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EEA359D" w14:textId="77777777" w:rsidR="00150106" w:rsidRDefault="00150106" w:rsidP="00FD2EA7">
      <w:pPr>
        <w:jc w:val="center"/>
        <w:rPr>
          <w:b/>
          <w:bCs/>
          <w:szCs w:val="24"/>
        </w:rPr>
      </w:pPr>
    </w:p>
    <w:p w14:paraId="1A178A33" w14:textId="77777777" w:rsidR="003A3079" w:rsidRPr="00504D41" w:rsidRDefault="003A3079" w:rsidP="00FD2EA7">
      <w:pPr>
        <w:jc w:val="center"/>
        <w:rPr>
          <w:b/>
          <w:bCs/>
          <w:szCs w:val="24"/>
        </w:rPr>
      </w:pPr>
      <w:r w:rsidRPr="00504D41">
        <w:rPr>
          <w:b/>
          <w:bCs/>
          <w:szCs w:val="24"/>
        </w:rPr>
        <w:t xml:space="preserve">Recent Advances in Seed Coating Technologies: </w:t>
      </w:r>
      <w:r w:rsidR="00214164" w:rsidRPr="00504D41">
        <w:rPr>
          <w:b/>
          <w:bCs/>
          <w:szCs w:val="24"/>
        </w:rPr>
        <w:t>Transitioning Toward</w:t>
      </w:r>
      <w:r w:rsidRPr="00504D41">
        <w:rPr>
          <w:b/>
          <w:bCs/>
          <w:szCs w:val="24"/>
        </w:rPr>
        <w:t xml:space="preserve"> Sustainable Agriculture</w:t>
      </w:r>
    </w:p>
    <w:p w14:paraId="141D88EB" w14:textId="77777777" w:rsidR="003006A2" w:rsidRPr="00504D41" w:rsidRDefault="001C4F7B" w:rsidP="003006A2">
      <w:pPr>
        <w:pStyle w:val="Body"/>
        <w:spacing w:line="480" w:lineRule="auto"/>
        <w:jc w:val="both"/>
        <w:rPr>
          <w:rFonts w:ascii="Times New Roman" w:eastAsia="Times New Roman" w:hAnsi="Times New Roman" w:cs="Times New Roman"/>
          <w:i/>
          <w:iCs/>
          <w:sz w:val="24"/>
          <w:szCs w:val="24"/>
        </w:rPr>
      </w:pPr>
      <w:r w:rsidRPr="00504D41">
        <w:rPr>
          <w:rFonts w:ascii="Times New Roman" w:hAnsi="Times New Roman"/>
          <w:i/>
          <w:iCs/>
          <w:sz w:val="24"/>
          <w:szCs w:val="24"/>
        </w:rPr>
        <w:t>Mariam Sohail</w:t>
      </w:r>
      <w:r w:rsidR="00122D32" w:rsidRPr="00504D41">
        <w:rPr>
          <w:rFonts w:ascii="Times New Roman" w:hAnsi="Times New Roman"/>
          <w:i/>
          <w:iCs/>
          <w:sz w:val="24"/>
          <w:szCs w:val="24"/>
        </w:rPr>
        <w:t xml:space="preserve">, </w:t>
      </w:r>
      <w:r w:rsidR="003006A2" w:rsidRPr="00504D41">
        <w:rPr>
          <w:rFonts w:ascii="Times New Roman" w:hAnsi="Times New Roman"/>
          <w:i/>
          <w:iCs/>
          <w:sz w:val="24"/>
          <w:szCs w:val="24"/>
        </w:rPr>
        <w:t>Tahira Pirzada, Charles H. Opperman, Saad A. Khan</w:t>
      </w:r>
      <w:r w:rsidR="003006A2" w:rsidRPr="00504D41">
        <w:rPr>
          <w:rFonts w:ascii="Times New Roman" w:hAnsi="Times New Roman"/>
          <w:i/>
          <w:iCs/>
          <w:sz w:val="24"/>
          <w:szCs w:val="24"/>
          <w:vertAlign w:val="superscript"/>
        </w:rPr>
        <w:t>*</w:t>
      </w:r>
    </w:p>
    <w:p w14:paraId="4C1A504D" w14:textId="77777777" w:rsidR="003006A2" w:rsidRPr="00504D41" w:rsidRDefault="003006A2" w:rsidP="00FD2EA7">
      <w:pPr>
        <w:jc w:val="center"/>
        <w:rPr>
          <w:b/>
          <w:bCs/>
          <w:szCs w:val="24"/>
        </w:rPr>
      </w:pPr>
    </w:p>
    <w:p w14:paraId="288764E7" w14:textId="77777777" w:rsidR="00E71DD1" w:rsidRPr="00504D41" w:rsidRDefault="009A58AD" w:rsidP="00E71DD1">
      <w:pPr>
        <w:pStyle w:val="Body"/>
        <w:spacing w:line="480" w:lineRule="auto"/>
        <w:jc w:val="both"/>
        <w:rPr>
          <w:rFonts w:ascii="Times New Roman" w:eastAsia="Times New Roman" w:hAnsi="Times New Roman" w:cs="Times New Roman"/>
          <w:sz w:val="24"/>
          <w:szCs w:val="24"/>
        </w:rPr>
      </w:pPr>
      <w:r w:rsidRPr="00504D41">
        <w:rPr>
          <w:rFonts w:ascii="Times New Roman" w:hAnsi="Times New Roman"/>
          <w:sz w:val="24"/>
          <w:szCs w:val="24"/>
          <w:lang w:val="es-ES_tradnl"/>
        </w:rPr>
        <w:t>Mariam Sohail</w:t>
      </w:r>
      <w:r w:rsidR="007C401E" w:rsidRPr="00504D41">
        <w:rPr>
          <w:rFonts w:ascii="Times New Roman" w:hAnsi="Times New Roman"/>
          <w:sz w:val="24"/>
          <w:szCs w:val="24"/>
          <w:vertAlign w:val="superscript"/>
          <w:lang w:val="es-ES_tradnl"/>
        </w:rPr>
        <w:t>#</w:t>
      </w:r>
      <w:r w:rsidRPr="00504D41">
        <w:rPr>
          <w:rFonts w:ascii="Times New Roman" w:hAnsi="Times New Roman"/>
          <w:sz w:val="24"/>
          <w:szCs w:val="24"/>
          <w:lang w:val="es-ES_tradnl"/>
        </w:rPr>
        <w:t xml:space="preserve">, </w:t>
      </w:r>
      <w:r w:rsidR="00E71DD1" w:rsidRPr="00504D41">
        <w:rPr>
          <w:rFonts w:ascii="Times New Roman" w:hAnsi="Times New Roman"/>
          <w:sz w:val="24"/>
          <w:szCs w:val="24"/>
          <w:lang w:val="es-ES_tradnl"/>
        </w:rPr>
        <w:t>Dr. Tahira Pirzada</w:t>
      </w:r>
      <w:r w:rsidR="007C401E" w:rsidRPr="00504D41">
        <w:rPr>
          <w:rFonts w:ascii="Times New Roman" w:hAnsi="Times New Roman"/>
          <w:sz w:val="24"/>
          <w:szCs w:val="24"/>
          <w:vertAlign w:val="superscript"/>
          <w:lang w:val="es-ES_tradnl"/>
        </w:rPr>
        <w:t>#</w:t>
      </w:r>
      <w:r w:rsidR="00E71DD1" w:rsidRPr="00504D41">
        <w:rPr>
          <w:rFonts w:ascii="Times New Roman" w:hAnsi="Times New Roman"/>
          <w:sz w:val="24"/>
          <w:szCs w:val="24"/>
          <w:lang w:val="es-ES_tradnl"/>
        </w:rPr>
        <w:t>, Prof. Saad A. Khan</w:t>
      </w:r>
      <w:r w:rsidR="00E71DD1" w:rsidRPr="00504D41">
        <w:rPr>
          <w:rFonts w:ascii="Times New Roman" w:hAnsi="Times New Roman"/>
          <w:sz w:val="24"/>
          <w:szCs w:val="24"/>
          <w:vertAlign w:val="superscript"/>
        </w:rPr>
        <w:t>*</w:t>
      </w:r>
    </w:p>
    <w:p w14:paraId="6D36BDF8" w14:textId="77777777" w:rsidR="00E71DD1" w:rsidRPr="00504D41" w:rsidRDefault="00E71DD1" w:rsidP="00E71DD1">
      <w:pPr>
        <w:pStyle w:val="Body"/>
        <w:spacing w:line="480" w:lineRule="auto"/>
        <w:jc w:val="both"/>
        <w:rPr>
          <w:rFonts w:ascii="Times New Roman" w:eastAsia="Times New Roman" w:hAnsi="Times New Roman" w:cs="Times New Roman"/>
          <w:sz w:val="24"/>
          <w:szCs w:val="24"/>
        </w:rPr>
      </w:pPr>
      <w:r w:rsidRPr="00504D41">
        <w:rPr>
          <w:rFonts w:ascii="Times New Roman" w:hAnsi="Times New Roman"/>
          <w:sz w:val="24"/>
          <w:szCs w:val="24"/>
        </w:rPr>
        <w:t xml:space="preserve">Department of Chemical &amp; Biomolecular Engineering, 911 Partners Way, North Carolina State University, Raleigh, 27606, NC, USA. </w:t>
      </w:r>
    </w:p>
    <w:p w14:paraId="6822BAF1" w14:textId="77777777" w:rsidR="00E71DD1" w:rsidRPr="00504D41" w:rsidRDefault="00E71DD1" w:rsidP="00E71DD1">
      <w:pPr>
        <w:pStyle w:val="Body"/>
        <w:spacing w:line="480" w:lineRule="auto"/>
        <w:jc w:val="both"/>
        <w:rPr>
          <w:rFonts w:ascii="Times New Roman" w:eastAsia="Times New Roman" w:hAnsi="Times New Roman" w:cs="Times New Roman"/>
          <w:sz w:val="24"/>
          <w:szCs w:val="24"/>
          <w:vertAlign w:val="superscript"/>
        </w:rPr>
      </w:pPr>
      <w:r w:rsidRPr="00504D41">
        <w:rPr>
          <w:rFonts w:ascii="Times New Roman" w:hAnsi="Times New Roman"/>
          <w:sz w:val="24"/>
          <w:szCs w:val="24"/>
        </w:rPr>
        <w:t>khan@eos.ncsu.edu</w:t>
      </w:r>
    </w:p>
    <w:p w14:paraId="176AA677" w14:textId="77777777" w:rsidR="00E71DD1" w:rsidRPr="00504D41" w:rsidRDefault="00E71DD1" w:rsidP="00E71DD1">
      <w:pPr>
        <w:pStyle w:val="Body"/>
        <w:spacing w:line="480" w:lineRule="auto"/>
        <w:jc w:val="both"/>
        <w:rPr>
          <w:rFonts w:ascii="Times New Roman" w:eastAsia="Times New Roman" w:hAnsi="Times New Roman" w:cs="Times New Roman"/>
          <w:sz w:val="24"/>
          <w:szCs w:val="24"/>
        </w:rPr>
      </w:pPr>
      <w:r w:rsidRPr="00504D41">
        <w:rPr>
          <w:rFonts w:ascii="Times New Roman" w:hAnsi="Times New Roman"/>
          <w:sz w:val="24"/>
          <w:szCs w:val="24"/>
        </w:rPr>
        <w:t xml:space="preserve">Prof. Charles H. Opperman* </w:t>
      </w:r>
    </w:p>
    <w:p w14:paraId="7180E0D2" w14:textId="77777777" w:rsidR="005761DE" w:rsidRPr="00504D41" w:rsidRDefault="00E71DD1" w:rsidP="00E71DD1">
      <w:pPr>
        <w:pStyle w:val="Body"/>
        <w:spacing w:line="480" w:lineRule="auto"/>
        <w:jc w:val="both"/>
        <w:rPr>
          <w:rFonts w:ascii="Times New Roman" w:eastAsia="Times New Roman" w:hAnsi="Times New Roman" w:cs="Times New Roman"/>
          <w:sz w:val="24"/>
          <w:szCs w:val="24"/>
        </w:rPr>
      </w:pPr>
      <w:r w:rsidRPr="00504D41">
        <w:rPr>
          <w:rFonts w:ascii="Times New Roman" w:hAnsi="Times New Roman"/>
          <w:sz w:val="24"/>
          <w:szCs w:val="24"/>
        </w:rPr>
        <w:t>Department of Entomology &amp; Plant Pathology, 840 Method Road, North Carolina State University, Raleigh, 27695, NC.  USA.</w:t>
      </w:r>
    </w:p>
    <w:p w14:paraId="783DBDF7" w14:textId="77777777" w:rsidR="00E71DD1" w:rsidRPr="00504D41" w:rsidRDefault="00B40B3B" w:rsidP="00E71DD1">
      <w:pPr>
        <w:pStyle w:val="Body"/>
        <w:spacing w:line="480" w:lineRule="auto"/>
        <w:jc w:val="both"/>
        <w:rPr>
          <w:rFonts w:ascii="Times New Roman" w:hAnsi="Times New Roman"/>
          <w:sz w:val="24"/>
          <w:szCs w:val="24"/>
        </w:rPr>
      </w:pPr>
      <w:r w:rsidRPr="00504D41">
        <w:rPr>
          <w:rFonts w:ascii="Times New Roman" w:hAnsi="Times New Roman"/>
          <w:sz w:val="24"/>
          <w:szCs w:val="24"/>
        </w:rPr>
        <w:t>warthog@ncsu.edu</w:t>
      </w:r>
    </w:p>
    <w:p w14:paraId="73AD994C" w14:textId="77777777" w:rsidR="007C401E" w:rsidRPr="00504D41" w:rsidRDefault="007C401E" w:rsidP="00E71DD1">
      <w:pPr>
        <w:pStyle w:val="Body"/>
        <w:spacing w:line="480" w:lineRule="auto"/>
        <w:jc w:val="both"/>
        <w:rPr>
          <w:rFonts w:ascii="Times New Roman" w:eastAsia="Times New Roman" w:hAnsi="Times New Roman" w:cs="Times New Roman"/>
          <w:sz w:val="24"/>
          <w:szCs w:val="24"/>
        </w:rPr>
      </w:pPr>
      <w:r w:rsidRPr="00504D41">
        <w:rPr>
          <w:rFonts w:ascii="Times New Roman" w:hAnsi="Times New Roman"/>
          <w:sz w:val="24"/>
          <w:szCs w:val="24"/>
          <w:vertAlign w:val="superscript"/>
        </w:rPr>
        <w:t>#</w:t>
      </w:r>
      <w:r w:rsidRPr="00504D41">
        <w:rPr>
          <w:rFonts w:ascii="Times New Roman" w:hAnsi="Times New Roman"/>
          <w:sz w:val="24"/>
          <w:szCs w:val="24"/>
        </w:rPr>
        <w:t>co-first authors</w:t>
      </w:r>
    </w:p>
    <w:p w14:paraId="65DF0074" w14:textId="77777777" w:rsidR="00E71DD1" w:rsidRPr="00504D41" w:rsidRDefault="00E71DD1" w:rsidP="00E71DD1">
      <w:pPr>
        <w:pStyle w:val="Body"/>
        <w:spacing w:line="480" w:lineRule="auto"/>
        <w:jc w:val="both"/>
        <w:rPr>
          <w:rFonts w:ascii="Times New Roman" w:eastAsia="Times New Roman" w:hAnsi="Times New Roman" w:cs="Times New Roman"/>
          <w:sz w:val="24"/>
          <w:szCs w:val="24"/>
        </w:rPr>
      </w:pPr>
      <w:r w:rsidRPr="00504D41">
        <w:rPr>
          <w:rFonts w:ascii="Times New Roman" w:hAnsi="Times New Roman"/>
          <w:sz w:val="24"/>
          <w:szCs w:val="24"/>
        </w:rPr>
        <w:t>*co-corresponding authors</w:t>
      </w:r>
    </w:p>
    <w:p w14:paraId="3721481E" w14:textId="77777777" w:rsidR="00541A17" w:rsidRPr="00504D41" w:rsidRDefault="00541A17">
      <w:pPr>
        <w:rPr>
          <w:b/>
          <w:bCs/>
          <w:szCs w:val="24"/>
        </w:rPr>
      </w:pPr>
      <w:r w:rsidRPr="00504D41">
        <w:rPr>
          <w:b/>
          <w:bCs/>
          <w:szCs w:val="24"/>
        </w:rPr>
        <w:br w:type="page"/>
      </w:r>
    </w:p>
    <w:p w14:paraId="12D888E8" w14:textId="77777777" w:rsidR="00602614" w:rsidRPr="00504D41" w:rsidRDefault="00602614" w:rsidP="0016445D">
      <w:pPr>
        <w:spacing w:line="360" w:lineRule="auto"/>
        <w:rPr>
          <w:b/>
          <w:bCs/>
          <w:szCs w:val="24"/>
        </w:rPr>
      </w:pPr>
      <w:r w:rsidRPr="00504D41">
        <w:rPr>
          <w:b/>
          <w:bCs/>
          <w:szCs w:val="24"/>
        </w:rPr>
        <w:t>Abstract</w:t>
      </w:r>
    </w:p>
    <w:p w14:paraId="1808F63D" w14:textId="77777777" w:rsidR="007E7A46" w:rsidRPr="00504D41" w:rsidRDefault="007E7A46" w:rsidP="007E7A46">
      <w:pPr>
        <w:spacing w:line="360" w:lineRule="auto"/>
        <w:jc w:val="both"/>
        <w:rPr>
          <w:szCs w:val="24"/>
        </w:rPr>
      </w:pPr>
      <w:r w:rsidRPr="00504D41">
        <w:t>The practice of coating seeds has evolved from ancient agriculture traditions to one of the most widely used aids in achieving enhanced crop yields. Wide-scale usage of seed coatings has come with its own share of challenges, including agrochemical overuse, carrier pollution caused due to non-biodegradable coating material and increased cost. Modern seed coating research aims to overcome these challenges through maintaining a careful balance between high crop yields and a minimum environmental footprint. Herein</w:t>
      </w:r>
      <w:r w:rsidR="0074658F" w:rsidRPr="00504D41">
        <w:t>,</w:t>
      </w:r>
      <w:r w:rsidRPr="00504D41">
        <w:t xml:space="preserve"> we discuss recent </w:t>
      </w:r>
      <w:r w:rsidR="00060079" w:rsidRPr="00504D41">
        <w:t>developments</w:t>
      </w:r>
      <w:r w:rsidRPr="00504D41">
        <w:t xml:space="preserve"> with an emphasis </w:t>
      </w:r>
      <w:r w:rsidRPr="00504D41">
        <w:rPr>
          <w:szCs w:val="24"/>
        </w:rPr>
        <w:t xml:space="preserve">on the overall agricultural and environmental viability focusing on the coating material synthesis, energy and chemical utilization, effect on seed growth and ultimate fate of the material in the environment. This review features sections on microbe inoculated, polysaccharide based, nanofibrous, hydrogel and nanomaterials based seed coatings along with elucidation of biomass derived seed treatment strategies aimed to close the loop for a circular seed coating agroindustry. </w:t>
      </w:r>
      <w:r w:rsidR="0074658F" w:rsidRPr="00504D41">
        <w:rPr>
          <w:szCs w:val="24"/>
        </w:rPr>
        <w:t>W</w:t>
      </w:r>
      <w:r w:rsidRPr="00504D41">
        <w:rPr>
          <w:szCs w:val="24"/>
        </w:rPr>
        <w:t>e provid</w:t>
      </w:r>
      <w:r w:rsidR="0074658F" w:rsidRPr="00504D41">
        <w:rPr>
          <w:szCs w:val="24"/>
        </w:rPr>
        <w:t>e</w:t>
      </w:r>
      <w:r w:rsidRPr="00504D41">
        <w:rPr>
          <w:szCs w:val="24"/>
        </w:rPr>
        <w:t xml:space="preserve"> an overall comparative analysis of the discussed coating materials and identif</w:t>
      </w:r>
      <w:r w:rsidR="0074658F" w:rsidRPr="00504D41">
        <w:rPr>
          <w:szCs w:val="24"/>
        </w:rPr>
        <w:t>y</w:t>
      </w:r>
      <w:r w:rsidRPr="00504D41">
        <w:rPr>
          <w:szCs w:val="24"/>
        </w:rPr>
        <w:t xml:space="preserve"> future research directives.</w:t>
      </w:r>
    </w:p>
    <w:p w14:paraId="2ADB405A" w14:textId="77777777" w:rsidR="0074658F" w:rsidRPr="00504D41" w:rsidRDefault="0074658F" w:rsidP="0016445D">
      <w:pPr>
        <w:spacing w:line="360" w:lineRule="auto"/>
        <w:jc w:val="both"/>
        <w:rPr>
          <w:szCs w:val="24"/>
        </w:rPr>
      </w:pPr>
      <w:r w:rsidRPr="00504D41">
        <w:rPr>
          <w:szCs w:val="24"/>
        </w:rPr>
        <w:br w:type="page"/>
      </w:r>
    </w:p>
    <w:p w14:paraId="38408D65" w14:textId="77777777" w:rsidR="003B5C0F" w:rsidRPr="00504D41" w:rsidRDefault="00180FB8" w:rsidP="003B5C0F">
      <w:pPr>
        <w:pStyle w:val="Body"/>
        <w:spacing w:line="480" w:lineRule="auto"/>
        <w:rPr>
          <w:rFonts w:ascii="Times New Roman" w:eastAsia="Times New Roman" w:hAnsi="Times New Roman" w:cs="Times New Roman"/>
          <w:sz w:val="24"/>
          <w:szCs w:val="24"/>
        </w:rPr>
      </w:pPr>
      <w:r w:rsidRPr="00504D41">
        <w:rPr>
          <w:rFonts w:ascii="Times New Roman" w:eastAsia="Times New Roman" w:hAnsi="Times New Roman" w:cs="Times New Roman"/>
          <w:b/>
          <w:bCs/>
          <w:color w:val="auto"/>
          <w:sz w:val="24"/>
          <w:szCs w:val="24"/>
        </w:rPr>
        <w:t>Keywords:</w:t>
      </w:r>
      <w:r w:rsidRPr="00504D41">
        <w:rPr>
          <w:rFonts w:ascii="Times New Roman" w:eastAsia="Times New Roman" w:hAnsi="Times New Roman" w:cs="Times New Roman"/>
          <w:color w:val="auto"/>
          <w:sz w:val="24"/>
          <w:szCs w:val="24"/>
        </w:rPr>
        <w:t xml:space="preserve"> </w:t>
      </w:r>
      <w:r w:rsidR="003B5C0F" w:rsidRPr="00504D41">
        <w:rPr>
          <w:rFonts w:ascii="Times New Roman" w:eastAsia="Times New Roman" w:hAnsi="Times New Roman" w:cs="Times New Roman"/>
          <w:sz w:val="24"/>
          <w:szCs w:val="24"/>
        </w:rPr>
        <w:t xml:space="preserve">precision agriculture; targeted delivery; fibrous seed coats; </w:t>
      </w:r>
      <w:r w:rsidR="003B5C0F" w:rsidRPr="00504D41">
        <w:rPr>
          <w:rFonts w:ascii="Times New Roman" w:eastAsia="Times New Roman" w:hAnsi="Times New Roman" w:cs="Times New Roman"/>
          <w:iCs/>
          <w:sz w:val="24"/>
          <w:szCs w:val="24"/>
        </w:rPr>
        <w:t>microbe inoculation;</w:t>
      </w:r>
      <w:r w:rsidR="003B5C0F" w:rsidRPr="00504D41">
        <w:rPr>
          <w:rFonts w:ascii="Times New Roman" w:eastAsia="Times New Roman" w:hAnsi="Times New Roman" w:cs="Times New Roman"/>
          <w:sz w:val="24"/>
          <w:szCs w:val="24"/>
        </w:rPr>
        <w:t xml:space="preserve"> bioplastics; </w:t>
      </w:r>
      <w:r w:rsidR="003B5C0F" w:rsidRPr="00504D41">
        <w:rPr>
          <w:rFonts w:ascii="Times New Roman" w:eastAsia="Times New Roman" w:hAnsi="Times New Roman" w:cs="Times New Roman"/>
          <w:iCs/>
          <w:sz w:val="24"/>
          <w:szCs w:val="24"/>
        </w:rPr>
        <w:t>circular agroindustry</w:t>
      </w:r>
    </w:p>
    <w:p w14:paraId="1F7D2739" w14:textId="77777777" w:rsidR="00180FB8" w:rsidRPr="00504D41" w:rsidRDefault="00180FB8" w:rsidP="003B5C0F">
      <w:pPr>
        <w:pStyle w:val="Body"/>
        <w:spacing w:line="480" w:lineRule="auto"/>
        <w:rPr>
          <w:rFonts w:ascii="Times New Roman" w:eastAsia="Times New Roman" w:hAnsi="Times New Roman" w:cs="Times New Roman"/>
          <w:color w:val="auto"/>
          <w:sz w:val="24"/>
          <w:szCs w:val="24"/>
        </w:rPr>
      </w:pPr>
    </w:p>
    <w:p w14:paraId="1F566CC8" w14:textId="77777777" w:rsidR="003A3079" w:rsidRPr="00504D41" w:rsidRDefault="003A3079" w:rsidP="0016445D">
      <w:pPr>
        <w:spacing w:line="360" w:lineRule="auto"/>
        <w:rPr>
          <w:b/>
          <w:bCs/>
          <w:szCs w:val="24"/>
        </w:rPr>
      </w:pPr>
      <w:r w:rsidRPr="00504D41">
        <w:rPr>
          <w:b/>
          <w:bCs/>
          <w:szCs w:val="24"/>
        </w:rPr>
        <w:t>TOC</w:t>
      </w:r>
    </w:p>
    <w:p w14:paraId="5197FB8A" w14:textId="77777777" w:rsidR="003A3079" w:rsidRPr="00504D41" w:rsidRDefault="003A3079" w:rsidP="0016445D">
      <w:pPr>
        <w:spacing w:line="360" w:lineRule="auto"/>
        <w:rPr>
          <w:szCs w:val="24"/>
        </w:rPr>
      </w:pPr>
    </w:p>
    <w:p w14:paraId="4E99B087" w14:textId="77777777" w:rsidR="00C96FD7" w:rsidRPr="00504D41" w:rsidRDefault="000057B3" w:rsidP="0016445D">
      <w:pPr>
        <w:spacing w:line="360" w:lineRule="auto"/>
        <w:jc w:val="center"/>
        <w:rPr>
          <w:szCs w:val="24"/>
        </w:rPr>
      </w:pPr>
      <w:r w:rsidRPr="00504D41">
        <w:rPr>
          <w:noProof/>
          <w:szCs w:val="24"/>
        </w:rPr>
        <w:pict w14:anchorId="3541A6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i1025" type="#_x0000_t75" style="width:226.9pt;height:113.85pt;visibility:visible">
            <v:imagedata r:id="rId12" o:title="TOC 1"/>
          </v:shape>
        </w:pict>
      </w:r>
    </w:p>
    <w:p w14:paraId="79160B3F" w14:textId="77777777" w:rsidR="00E860AC" w:rsidRPr="00504D41" w:rsidRDefault="00E860AC" w:rsidP="0016445D">
      <w:pPr>
        <w:spacing w:line="360" w:lineRule="auto"/>
        <w:jc w:val="center"/>
        <w:rPr>
          <w:szCs w:val="24"/>
        </w:rPr>
      </w:pPr>
      <w:r w:rsidRPr="00504D41">
        <w:rPr>
          <w:szCs w:val="24"/>
        </w:rPr>
        <w:t>OR</w:t>
      </w:r>
    </w:p>
    <w:p w14:paraId="5DBA78C7" w14:textId="77777777" w:rsidR="00E860AC" w:rsidRPr="00504D41" w:rsidRDefault="00E860AC" w:rsidP="0016445D">
      <w:pPr>
        <w:spacing w:line="360" w:lineRule="auto"/>
        <w:jc w:val="center"/>
        <w:rPr>
          <w:szCs w:val="24"/>
        </w:rPr>
      </w:pPr>
    </w:p>
    <w:p w14:paraId="55B86519" w14:textId="77777777" w:rsidR="00BE23C8" w:rsidRPr="00504D41" w:rsidRDefault="00BE23C8" w:rsidP="0016445D">
      <w:pPr>
        <w:spacing w:line="360" w:lineRule="auto"/>
        <w:rPr>
          <w:szCs w:val="24"/>
        </w:rPr>
      </w:pPr>
    </w:p>
    <w:p w14:paraId="1E0B651F" w14:textId="77777777" w:rsidR="0036649F" w:rsidRPr="00504D41" w:rsidRDefault="0036649F" w:rsidP="0016445D">
      <w:pPr>
        <w:spacing w:line="360" w:lineRule="auto"/>
        <w:rPr>
          <w:szCs w:val="24"/>
        </w:rPr>
      </w:pPr>
    </w:p>
    <w:p w14:paraId="36332576" w14:textId="77777777" w:rsidR="001255F4" w:rsidRPr="00504D41" w:rsidRDefault="00E860AC" w:rsidP="0016445D">
      <w:pPr>
        <w:spacing w:line="360" w:lineRule="auto"/>
        <w:jc w:val="both"/>
      </w:pPr>
      <w:bookmarkStart w:id="0" w:name="_Toc85537915"/>
      <w:r w:rsidRPr="00504D41">
        <w:t>This review provides a sustainability perspective on existing seed coating research through comparing potential agricultural benefits with the associated energy, chemical and environmental footprints.</w:t>
      </w:r>
    </w:p>
    <w:p w14:paraId="6330F97B" w14:textId="77777777" w:rsidR="00CA6685" w:rsidRPr="00504D41" w:rsidRDefault="00CA6685" w:rsidP="0016445D">
      <w:pPr>
        <w:spacing w:line="360" w:lineRule="auto"/>
      </w:pPr>
      <w:r w:rsidRPr="00504D41">
        <w:br w:type="page"/>
      </w:r>
    </w:p>
    <w:p w14:paraId="68DFC6D0" w14:textId="77777777" w:rsidR="00A3102C" w:rsidRPr="00504D41" w:rsidRDefault="00A365B3" w:rsidP="0016445D">
      <w:pPr>
        <w:spacing w:line="360" w:lineRule="auto"/>
        <w:rPr>
          <w:rStyle w:val="Heading1Char"/>
          <w:rFonts w:eastAsia="Calibri"/>
          <w:b/>
          <w:bCs/>
          <w:szCs w:val="24"/>
        </w:rPr>
      </w:pPr>
      <w:r w:rsidRPr="00504D41">
        <w:rPr>
          <w:b/>
          <w:bCs/>
          <w:szCs w:val="24"/>
        </w:rPr>
        <w:t>1</w:t>
      </w:r>
      <w:r w:rsidRPr="00504D41">
        <w:rPr>
          <w:rStyle w:val="Heading1Char"/>
          <w:rFonts w:eastAsia="Calibri"/>
          <w:b/>
          <w:bCs/>
        </w:rPr>
        <w:t xml:space="preserve">. </w:t>
      </w:r>
      <w:r w:rsidR="001E39DA" w:rsidRPr="00504D41">
        <w:rPr>
          <w:rStyle w:val="Heading1Char"/>
          <w:rFonts w:eastAsia="Calibri"/>
          <w:b/>
          <w:bCs/>
        </w:rPr>
        <w:t>Introduction</w:t>
      </w:r>
      <w:bookmarkEnd w:id="0"/>
    </w:p>
    <w:p w14:paraId="6BDAFF50" w14:textId="77777777" w:rsidR="001E39DA" w:rsidRPr="00504D41" w:rsidRDefault="004849D9" w:rsidP="0016445D">
      <w:pPr>
        <w:spacing w:line="360" w:lineRule="auto"/>
        <w:jc w:val="both"/>
        <w:rPr>
          <w:szCs w:val="24"/>
        </w:rPr>
      </w:pPr>
      <w:r w:rsidRPr="00504D41">
        <w:rPr>
          <w:szCs w:val="24"/>
        </w:rPr>
        <w:t>The term ‘seed coating’ refers to the practice of applying materials (solids, liquids or dispersions) to the external surface of seeds, resulting in the formation of a continuous layer on the surface.</w:t>
      </w:r>
      <w:r w:rsidRPr="00504D41">
        <w:rPr>
          <w:noProof/>
          <w:szCs w:val="24"/>
          <w:vertAlign w:val="superscript"/>
        </w:rPr>
        <w:t>1</w:t>
      </w:r>
      <w:r w:rsidRPr="00504D41">
        <w:rPr>
          <w:szCs w:val="24"/>
        </w:rPr>
        <w:t xml:space="preserve">  Seed coating is an ancient practice with early evidence of its use being dated back to as far as 2000 years ago by the ancient Chinese to use mud coated rice seeds in order to secure their position in flooded fields.</w:t>
      </w:r>
      <w:r w:rsidRPr="00504D41">
        <w:rPr>
          <w:noProof/>
          <w:szCs w:val="24"/>
          <w:vertAlign w:val="superscript"/>
        </w:rPr>
        <w:t>2</w:t>
      </w:r>
      <w:r w:rsidRPr="00504D41">
        <w:rPr>
          <w:szCs w:val="24"/>
        </w:rPr>
        <w:t xml:space="preserve"> </w:t>
      </w:r>
      <w:r w:rsidR="00FC22FC" w:rsidRPr="00504D41">
        <w:rPr>
          <w:szCs w:val="24"/>
        </w:rPr>
        <w:t xml:space="preserve">The earliest scientific literature on seed coatings can be traced back </w:t>
      </w:r>
      <w:r w:rsidR="00CE6281" w:rsidRPr="00504D41">
        <w:rPr>
          <w:szCs w:val="24"/>
        </w:rPr>
        <w:t>to 1866 in the form of a patent</w:t>
      </w:r>
      <w:r w:rsidR="00552D69" w:rsidRPr="00504D41">
        <w:rPr>
          <w:noProof/>
          <w:szCs w:val="24"/>
          <w:vertAlign w:val="superscript"/>
        </w:rPr>
        <w:t>3</w:t>
      </w:r>
      <w:r w:rsidR="00715BE1" w:rsidRPr="00504D41">
        <w:rPr>
          <w:szCs w:val="24"/>
        </w:rPr>
        <w:t xml:space="preserve"> </w:t>
      </w:r>
      <w:r w:rsidR="00FC22FC" w:rsidRPr="00504D41">
        <w:rPr>
          <w:szCs w:val="24"/>
        </w:rPr>
        <w:t xml:space="preserve">which proposed </w:t>
      </w:r>
      <w:r w:rsidR="00A80420" w:rsidRPr="00504D41">
        <w:rPr>
          <w:szCs w:val="24"/>
        </w:rPr>
        <w:t xml:space="preserve">the </w:t>
      </w:r>
      <w:r w:rsidR="00FC22FC" w:rsidRPr="00504D41">
        <w:rPr>
          <w:szCs w:val="24"/>
        </w:rPr>
        <w:t xml:space="preserve">use of wheat flour paste to treat cottonseed to increase their germination rates. </w:t>
      </w:r>
      <w:r w:rsidR="00A80420" w:rsidRPr="00504D41">
        <w:rPr>
          <w:szCs w:val="24"/>
        </w:rPr>
        <w:t>Commercially,</w:t>
      </w:r>
      <w:r w:rsidR="00FC22FC" w:rsidRPr="00504D41">
        <w:rPr>
          <w:szCs w:val="24"/>
        </w:rPr>
        <w:t xml:space="preserve"> seed coatings were first produced by a British company </w:t>
      </w:r>
      <w:r w:rsidR="00A80420" w:rsidRPr="00504D41">
        <w:rPr>
          <w:szCs w:val="24"/>
        </w:rPr>
        <w:t xml:space="preserve">in the 1930s </w:t>
      </w:r>
      <w:r w:rsidR="00FC22FC" w:rsidRPr="00504D41">
        <w:rPr>
          <w:szCs w:val="24"/>
        </w:rPr>
        <w:t xml:space="preserve">followed by </w:t>
      </w:r>
      <w:r w:rsidR="00A80420" w:rsidRPr="00504D41">
        <w:rPr>
          <w:szCs w:val="24"/>
        </w:rPr>
        <w:t>wide-</w:t>
      </w:r>
      <w:r w:rsidR="00FC22FC" w:rsidRPr="00504D41">
        <w:rPr>
          <w:szCs w:val="24"/>
        </w:rPr>
        <w:t xml:space="preserve">scale commercial usage by the 1960s. Since then, with </w:t>
      </w:r>
      <w:r w:rsidR="00A80420" w:rsidRPr="00504D41">
        <w:rPr>
          <w:szCs w:val="24"/>
        </w:rPr>
        <w:t xml:space="preserve">the </w:t>
      </w:r>
      <w:r w:rsidR="00FC22FC" w:rsidRPr="00504D41">
        <w:rPr>
          <w:szCs w:val="24"/>
        </w:rPr>
        <w:t>increase in scientific and agricultural prowess, the world seed market has evolved into a billion dollar industry having an estimated value of 41.6</w:t>
      </w:r>
      <w:r w:rsidR="00CE6281" w:rsidRPr="00504D41">
        <w:rPr>
          <w:szCs w:val="24"/>
        </w:rPr>
        <w:t xml:space="preserve"> billion USD in 2018</w:t>
      </w:r>
      <w:r w:rsidR="008B3472" w:rsidRPr="00504D41">
        <w:rPr>
          <w:szCs w:val="24"/>
        </w:rPr>
        <w:t>.</w:t>
      </w:r>
      <w:r w:rsidR="00552D69" w:rsidRPr="00504D41">
        <w:rPr>
          <w:noProof/>
          <w:szCs w:val="24"/>
          <w:vertAlign w:val="superscript"/>
        </w:rPr>
        <w:t>4</w:t>
      </w:r>
      <w:r w:rsidR="00FC22FC" w:rsidRPr="00504D41">
        <w:rPr>
          <w:szCs w:val="24"/>
        </w:rPr>
        <w:t xml:space="preserve"> </w:t>
      </w:r>
      <w:r w:rsidR="00FC22FC" w:rsidRPr="00504D41">
        <w:rPr>
          <w:b/>
          <w:bCs/>
          <w:szCs w:val="24"/>
        </w:rPr>
        <w:t>Figure 1</w:t>
      </w:r>
      <w:r w:rsidR="00585836" w:rsidRPr="00504D41">
        <w:rPr>
          <w:szCs w:val="24"/>
        </w:rPr>
        <w:t xml:space="preserve"> </w:t>
      </w:r>
      <w:r w:rsidR="00FC22FC" w:rsidRPr="00504D41">
        <w:rPr>
          <w:szCs w:val="24"/>
        </w:rPr>
        <w:t xml:space="preserve">shows </w:t>
      </w:r>
      <w:r w:rsidR="00C72A1A" w:rsidRPr="00504D41">
        <w:rPr>
          <w:szCs w:val="24"/>
        </w:rPr>
        <w:t xml:space="preserve">recent statistics on the global seed market including (1) </w:t>
      </w:r>
      <w:r w:rsidR="00FC22FC" w:rsidRPr="00504D41">
        <w:rPr>
          <w:szCs w:val="24"/>
        </w:rPr>
        <w:t>the estimated value of the world seed market</w:t>
      </w:r>
      <w:r w:rsidR="009336B1" w:rsidRPr="00504D41">
        <w:rPr>
          <w:szCs w:val="24"/>
        </w:rPr>
        <w:t xml:space="preserve"> (Figure 1a)</w:t>
      </w:r>
      <w:r w:rsidR="001D1258" w:rsidRPr="00504D41">
        <w:rPr>
          <w:szCs w:val="24"/>
        </w:rPr>
        <w:t>;</w:t>
      </w:r>
      <w:r w:rsidR="009336B1" w:rsidRPr="00504D41">
        <w:rPr>
          <w:szCs w:val="24"/>
        </w:rPr>
        <w:t xml:space="preserve"> (2) market share by crop type (Figure 1b)</w:t>
      </w:r>
      <w:r w:rsidR="001D1258" w:rsidRPr="00504D41">
        <w:rPr>
          <w:szCs w:val="24"/>
        </w:rPr>
        <w:t xml:space="preserve"> where we observe maize, soybean and vegetables to be the major ones with maize being predominant by a large factor (~43% of </w:t>
      </w:r>
      <w:r w:rsidR="00A80420" w:rsidRPr="00504D41">
        <w:rPr>
          <w:szCs w:val="24"/>
        </w:rPr>
        <w:t xml:space="preserve">the </w:t>
      </w:r>
      <w:r w:rsidR="001D1258" w:rsidRPr="00504D41">
        <w:rPr>
          <w:szCs w:val="24"/>
        </w:rPr>
        <w:t>market);</w:t>
      </w:r>
      <w:r w:rsidR="009336B1" w:rsidRPr="00504D41">
        <w:rPr>
          <w:szCs w:val="24"/>
        </w:rPr>
        <w:t xml:space="preserve"> (3) </w:t>
      </w:r>
      <w:r w:rsidR="004752C5" w:rsidRPr="00504D41">
        <w:rPr>
          <w:szCs w:val="24"/>
        </w:rPr>
        <w:t xml:space="preserve">documented pesticide usage </w:t>
      </w:r>
      <w:r w:rsidR="001D1258" w:rsidRPr="00504D41">
        <w:rPr>
          <w:szCs w:val="24"/>
        </w:rPr>
        <w:t xml:space="preserve">for seed treatments (Figure 1c); which reveals </w:t>
      </w:r>
      <w:r w:rsidR="00331C90" w:rsidRPr="00504D41">
        <w:rPr>
          <w:szCs w:val="24"/>
        </w:rPr>
        <w:t>insect</w:t>
      </w:r>
      <w:r w:rsidR="001D1258" w:rsidRPr="00504D41">
        <w:rPr>
          <w:szCs w:val="24"/>
        </w:rPr>
        <w:t>icide use (~</w:t>
      </w:r>
      <w:r w:rsidR="00862E22" w:rsidRPr="00504D41">
        <w:rPr>
          <w:szCs w:val="24"/>
        </w:rPr>
        <w:t>3,700</w:t>
      </w:r>
      <w:r w:rsidR="001D1258" w:rsidRPr="00504D41">
        <w:rPr>
          <w:szCs w:val="24"/>
        </w:rPr>
        <w:t xml:space="preserve"> tons) to be almost twice that of </w:t>
      </w:r>
      <w:r w:rsidR="00331C90" w:rsidRPr="00504D41">
        <w:rPr>
          <w:szCs w:val="24"/>
        </w:rPr>
        <w:t>fung</w:t>
      </w:r>
      <w:r w:rsidR="001D1258" w:rsidRPr="00504D41">
        <w:rPr>
          <w:szCs w:val="24"/>
        </w:rPr>
        <w:t>icide (~</w:t>
      </w:r>
      <w:r w:rsidR="00862E22" w:rsidRPr="00504D41">
        <w:rPr>
          <w:szCs w:val="24"/>
        </w:rPr>
        <w:t>1500</w:t>
      </w:r>
      <w:r w:rsidR="001D1258" w:rsidRPr="00504D41">
        <w:rPr>
          <w:szCs w:val="24"/>
        </w:rPr>
        <w:t xml:space="preserve"> tons);</w:t>
      </w:r>
      <w:r w:rsidR="004752C5" w:rsidRPr="00504D41">
        <w:rPr>
          <w:szCs w:val="24"/>
        </w:rPr>
        <w:t xml:space="preserve"> and (4)</w:t>
      </w:r>
      <w:r w:rsidR="00CC0689" w:rsidRPr="00504D41">
        <w:rPr>
          <w:szCs w:val="24"/>
        </w:rPr>
        <w:t xml:space="preserve"> top twenty seed exporting countries</w:t>
      </w:r>
      <w:r w:rsidR="0013529B" w:rsidRPr="00504D41">
        <w:rPr>
          <w:szCs w:val="24"/>
        </w:rPr>
        <w:t xml:space="preserve"> </w:t>
      </w:r>
      <w:r w:rsidR="005318FC" w:rsidRPr="00504D41">
        <w:rPr>
          <w:szCs w:val="24"/>
        </w:rPr>
        <w:t>in</w:t>
      </w:r>
      <w:r w:rsidR="0013529B" w:rsidRPr="00504D41">
        <w:rPr>
          <w:szCs w:val="24"/>
        </w:rPr>
        <w:t xml:space="preserve"> 2019 </w:t>
      </w:r>
      <w:r w:rsidR="00CC0689" w:rsidRPr="00504D41">
        <w:rPr>
          <w:szCs w:val="24"/>
        </w:rPr>
        <w:t>(Figure 1d)</w:t>
      </w:r>
      <w:r w:rsidR="00C51DE8" w:rsidRPr="00504D41">
        <w:rPr>
          <w:szCs w:val="24"/>
        </w:rPr>
        <w:t xml:space="preserve">, with the Netherlands showing the highest export value in horticulture seeds while France reported the highest </w:t>
      </w:r>
      <w:r w:rsidR="00331C90" w:rsidRPr="00504D41">
        <w:rPr>
          <w:szCs w:val="24"/>
        </w:rPr>
        <w:t>export rates for field seeds</w:t>
      </w:r>
      <w:r w:rsidR="00862E22" w:rsidRPr="00504D41">
        <w:rPr>
          <w:szCs w:val="24"/>
        </w:rPr>
        <w:t xml:space="preserve"> in 2019</w:t>
      </w:r>
      <w:r w:rsidR="00331C90" w:rsidRPr="00504D41">
        <w:rPr>
          <w:szCs w:val="24"/>
        </w:rPr>
        <w:t>.</w:t>
      </w:r>
      <w:r w:rsidR="00FC22FC" w:rsidRPr="00504D41">
        <w:rPr>
          <w:szCs w:val="24"/>
        </w:rPr>
        <w:t xml:space="preserve"> </w:t>
      </w:r>
    </w:p>
    <w:p w14:paraId="4B819387" w14:textId="77777777" w:rsidR="006044CF" w:rsidRPr="00504D41" w:rsidRDefault="000057B3" w:rsidP="0016445D">
      <w:pPr>
        <w:keepNext/>
        <w:spacing w:line="360" w:lineRule="auto"/>
        <w:rPr>
          <w:szCs w:val="24"/>
        </w:rPr>
      </w:pPr>
      <w:r w:rsidRPr="00504D41">
        <w:rPr>
          <w:noProof/>
        </w:rPr>
        <w:lastRenderedPageBreak/>
        <w:pict w14:anchorId="328EC83B">
          <v:shape id="Picture 1" o:spid="_x0000_i1026" type="#_x0000_t75" alt="Chart&#10;&#10;Description automatically generated" style="width:451.25pt;height:267.9pt;visibility:visible">
            <v:imagedata r:id="rId13" o:title="Chart&#10;&#10;Description automatically generated"/>
          </v:shape>
        </w:pict>
      </w:r>
    </w:p>
    <w:p w14:paraId="4505786F" w14:textId="4A6671E7" w:rsidR="00BA7155" w:rsidRPr="00504D41" w:rsidRDefault="006044CF" w:rsidP="0016445D">
      <w:pPr>
        <w:spacing w:line="360" w:lineRule="auto"/>
        <w:jc w:val="both"/>
        <w:rPr>
          <w:szCs w:val="24"/>
        </w:rPr>
      </w:pPr>
      <w:r w:rsidRPr="00504D41">
        <w:rPr>
          <w:b/>
          <w:bCs/>
          <w:szCs w:val="24"/>
        </w:rPr>
        <w:t xml:space="preserve">Figure </w:t>
      </w:r>
      <w:r w:rsidR="00DB77CE" w:rsidRPr="00504D41">
        <w:rPr>
          <w:b/>
          <w:bCs/>
          <w:szCs w:val="24"/>
        </w:rPr>
        <w:fldChar w:fldCharType="begin"/>
      </w:r>
      <w:r w:rsidR="00DB77CE" w:rsidRPr="00504D41">
        <w:rPr>
          <w:b/>
          <w:bCs/>
          <w:szCs w:val="24"/>
        </w:rPr>
        <w:instrText xml:space="preserve"> SEQ Figure \* ARABIC </w:instrText>
      </w:r>
      <w:r w:rsidR="00DB77CE" w:rsidRPr="00504D41">
        <w:rPr>
          <w:b/>
          <w:bCs/>
          <w:szCs w:val="24"/>
        </w:rPr>
        <w:fldChar w:fldCharType="separate"/>
      </w:r>
      <w:r w:rsidR="003D0A6B" w:rsidRPr="00504D41">
        <w:rPr>
          <w:b/>
          <w:bCs/>
          <w:noProof/>
          <w:szCs w:val="24"/>
        </w:rPr>
        <w:t>1</w:t>
      </w:r>
      <w:r w:rsidR="00DB77CE" w:rsidRPr="00504D41">
        <w:rPr>
          <w:b/>
          <w:bCs/>
          <w:noProof/>
          <w:szCs w:val="24"/>
        </w:rPr>
        <w:fldChar w:fldCharType="end"/>
      </w:r>
      <w:r w:rsidRPr="00504D41">
        <w:rPr>
          <w:szCs w:val="24"/>
        </w:rPr>
        <w:t xml:space="preserve">: </w:t>
      </w:r>
      <w:r w:rsidR="00242BD1" w:rsidRPr="00504D41">
        <w:rPr>
          <w:szCs w:val="24"/>
        </w:rPr>
        <w:t xml:space="preserve">a) Estimated value of global seed market from 2013-2018. (b) </w:t>
      </w:r>
      <w:r w:rsidR="00DD024B" w:rsidRPr="00504D41">
        <w:rPr>
          <w:szCs w:val="24"/>
        </w:rPr>
        <w:t>Percent</w:t>
      </w:r>
      <w:r w:rsidR="00242BD1" w:rsidRPr="00504D41">
        <w:rPr>
          <w:szCs w:val="24"/>
        </w:rPr>
        <w:t xml:space="preserve"> crop share of global seed market in 2018. Data for (</w:t>
      </w:r>
      <w:r w:rsidR="005318FC" w:rsidRPr="00504D41">
        <w:rPr>
          <w:szCs w:val="24"/>
        </w:rPr>
        <w:t>a</w:t>
      </w:r>
      <w:r w:rsidR="00242BD1" w:rsidRPr="00504D41">
        <w:rPr>
          <w:szCs w:val="24"/>
        </w:rPr>
        <w:t>) and (</w:t>
      </w:r>
      <w:r w:rsidR="005318FC" w:rsidRPr="00504D41">
        <w:rPr>
          <w:szCs w:val="24"/>
        </w:rPr>
        <w:t>b</w:t>
      </w:r>
      <w:r w:rsidR="00242BD1" w:rsidRPr="00504D41">
        <w:rPr>
          <w:szCs w:val="24"/>
        </w:rPr>
        <w:t xml:space="preserve">) </w:t>
      </w:r>
      <w:r w:rsidR="00242BD1" w:rsidRPr="00504D41">
        <w:rPr>
          <w:szCs w:val="24"/>
          <w:highlight w:val="yellow"/>
        </w:rPr>
        <w:t>replotted from</w:t>
      </w:r>
      <w:r w:rsidR="00F305BB" w:rsidRPr="00504D41">
        <w:rPr>
          <w:szCs w:val="24"/>
          <w:highlight w:val="yellow"/>
        </w:rPr>
        <w:t xml:space="preserve"> </w:t>
      </w:r>
      <w:r w:rsidR="008E6BB0" w:rsidRPr="00504D41">
        <w:rPr>
          <w:szCs w:val="24"/>
          <w:highlight w:val="yellow"/>
        </w:rPr>
        <w:t>independent</w:t>
      </w:r>
      <w:r w:rsidR="0060372E" w:rsidRPr="00504D41">
        <w:rPr>
          <w:szCs w:val="24"/>
          <w:highlight w:val="yellow"/>
        </w:rPr>
        <w:t xml:space="preserve"> report published by IHS Markit</w:t>
      </w:r>
      <w:r w:rsidR="00F305BB" w:rsidRPr="00504D41">
        <w:rPr>
          <w:szCs w:val="24"/>
          <w:highlight w:val="yellow"/>
        </w:rPr>
        <w:t>.</w:t>
      </w:r>
      <w:r w:rsidR="00552D69" w:rsidRPr="00504D41">
        <w:rPr>
          <w:noProof/>
          <w:highlight w:val="yellow"/>
          <w:vertAlign w:val="superscript"/>
        </w:rPr>
        <w:t>4</w:t>
      </w:r>
      <w:r w:rsidR="00242BD1" w:rsidRPr="00504D41">
        <w:rPr>
          <w:szCs w:val="24"/>
        </w:rPr>
        <w:t xml:space="preserve"> (c) Amount of reported pesticide used for seed</w:t>
      </w:r>
      <w:r w:rsidR="00CE6281" w:rsidRPr="00504D41">
        <w:rPr>
          <w:szCs w:val="24"/>
        </w:rPr>
        <w:t xml:space="preserve"> treatment. </w:t>
      </w:r>
      <w:r w:rsidR="00CE6281" w:rsidRPr="00504D41">
        <w:rPr>
          <w:szCs w:val="24"/>
          <w:highlight w:val="yellow"/>
        </w:rPr>
        <w:t>Data replotted from</w:t>
      </w:r>
      <w:r w:rsidR="00047F3F" w:rsidRPr="00504D41">
        <w:rPr>
          <w:szCs w:val="24"/>
          <w:highlight w:val="yellow"/>
        </w:rPr>
        <w:t xml:space="preserve"> </w:t>
      </w:r>
      <w:r w:rsidR="0060372E" w:rsidRPr="00504D41">
        <w:rPr>
          <w:szCs w:val="24"/>
          <w:highlight w:val="yellow"/>
        </w:rPr>
        <w:t>FAO website</w:t>
      </w:r>
      <w:r w:rsidR="00047F3F" w:rsidRPr="00504D41">
        <w:rPr>
          <w:szCs w:val="24"/>
          <w:highlight w:val="yellow"/>
        </w:rPr>
        <w:t>.</w:t>
      </w:r>
      <w:r w:rsidR="00552D69" w:rsidRPr="00504D41">
        <w:rPr>
          <w:noProof/>
          <w:highlight w:val="yellow"/>
          <w:vertAlign w:val="superscript"/>
        </w:rPr>
        <w:t>5</w:t>
      </w:r>
      <w:r w:rsidR="00242BD1" w:rsidRPr="00504D41">
        <w:rPr>
          <w:szCs w:val="24"/>
        </w:rPr>
        <w:t xml:space="preserve"> (d) Estimated export value of field and horticulture seeds by top twenty seed exporting countries</w:t>
      </w:r>
      <w:r w:rsidR="00D969B8" w:rsidRPr="00504D41">
        <w:rPr>
          <w:szCs w:val="24"/>
        </w:rPr>
        <w:t xml:space="preserve"> in 2019</w:t>
      </w:r>
      <w:r w:rsidR="00CE6281" w:rsidRPr="00504D41">
        <w:rPr>
          <w:szCs w:val="24"/>
        </w:rPr>
        <w:t xml:space="preserve">. </w:t>
      </w:r>
      <w:r w:rsidR="00CE6281" w:rsidRPr="00504D41">
        <w:rPr>
          <w:szCs w:val="24"/>
          <w:highlight w:val="yellow"/>
        </w:rPr>
        <w:t>Data replotted from</w:t>
      </w:r>
      <w:r w:rsidR="0066722F" w:rsidRPr="00504D41">
        <w:rPr>
          <w:szCs w:val="24"/>
          <w:highlight w:val="yellow"/>
        </w:rPr>
        <w:t xml:space="preserve"> </w:t>
      </w:r>
      <w:r w:rsidR="0060372E" w:rsidRPr="00504D41">
        <w:rPr>
          <w:szCs w:val="24"/>
          <w:highlight w:val="yellow"/>
        </w:rPr>
        <w:t>International Seed Federation website</w:t>
      </w:r>
      <w:r w:rsidR="0066722F" w:rsidRPr="00504D41">
        <w:rPr>
          <w:szCs w:val="24"/>
          <w:highlight w:val="yellow"/>
        </w:rPr>
        <w:t>.</w:t>
      </w:r>
      <w:r w:rsidR="00552D69" w:rsidRPr="00504D41">
        <w:rPr>
          <w:noProof/>
          <w:highlight w:val="yellow"/>
          <w:vertAlign w:val="superscript"/>
        </w:rPr>
        <w:t>6</w:t>
      </w:r>
      <w:bookmarkStart w:id="1" w:name="_GoBack"/>
      <w:bookmarkEnd w:id="1"/>
    </w:p>
    <w:p w14:paraId="7DEA24B8" w14:textId="77777777" w:rsidR="00C85B0A" w:rsidRPr="00504D41" w:rsidRDefault="001C20CC" w:rsidP="0016445D">
      <w:pPr>
        <w:spacing w:line="360" w:lineRule="auto"/>
        <w:jc w:val="both"/>
        <w:rPr>
          <w:szCs w:val="24"/>
        </w:rPr>
      </w:pPr>
      <w:r w:rsidRPr="00504D41">
        <w:rPr>
          <w:szCs w:val="24"/>
        </w:rPr>
        <w:t>Seed coating</w:t>
      </w:r>
      <w:r w:rsidR="00636768" w:rsidRPr="00504D41">
        <w:rPr>
          <w:szCs w:val="24"/>
        </w:rPr>
        <w:t xml:space="preserve"> serve</w:t>
      </w:r>
      <w:r w:rsidRPr="00504D41">
        <w:rPr>
          <w:szCs w:val="24"/>
        </w:rPr>
        <w:t>s</w:t>
      </w:r>
      <w:r w:rsidR="00636768" w:rsidRPr="00504D41">
        <w:rPr>
          <w:szCs w:val="24"/>
        </w:rPr>
        <w:t xml:space="preserve"> </w:t>
      </w:r>
      <w:r w:rsidRPr="00504D41">
        <w:rPr>
          <w:szCs w:val="24"/>
        </w:rPr>
        <w:t>a variety of purposes. It modifies the</w:t>
      </w:r>
      <w:r w:rsidR="00636768" w:rsidRPr="00504D41">
        <w:rPr>
          <w:szCs w:val="24"/>
        </w:rPr>
        <w:t xml:space="preserve"> physical characteristics of seeds to achieve uniform seed dimensions which in turn facilitate seed handling and accurate sowing.</w:t>
      </w:r>
      <w:r w:rsidRPr="00504D41">
        <w:rPr>
          <w:szCs w:val="24"/>
        </w:rPr>
        <w:t xml:space="preserve"> It control</w:t>
      </w:r>
      <w:r w:rsidR="00FE268F" w:rsidRPr="00504D41">
        <w:rPr>
          <w:szCs w:val="24"/>
        </w:rPr>
        <w:t>s</w:t>
      </w:r>
      <w:r w:rsidRPr="00504D41">
        <w:rPr>
          <w:szCs w:val="24"/>
        </w:rPr>
        <w:t xml:space="preserve"> (delay or expedite) seed germination to</w:t>
      </w:r>
      <w:r w:rsidR="00636768" w:rsidRPr="00504D41">
        <w:rPr>
          <w:szCs w:val="24"/>
        </w:rPr>
        <w:t xml:space="preserve"> facilitate hybrid seed production through synchronizing flowering times of parental lines with different maturities</w:t>
      </w:r>
      <w:r w:rsidR="00552D69" w:rsidRPr="00504D41">
        <w:rPr>
          <w:noProof/>
          <w:szCs w:val="24"/>
          <w:vertAlign w:val="superscript"/>
        </w:rPr>
        <w:t>3</w:t>
      </w:r>
      <w:r w:rsidRPr="00504D41">
        <w:rPr>
          <w:szCs w:val="24"/>
        </w:rPr>
        <w:t xml:space="preserve"> and</w:t>
      </w:r>
      <w:r w:rsidR="00636768" w:rsidRPr="00504D41">
        <w:rPr>
          <w:szCs w:val="24"/>
        </w:rPr>
        <w:t xml:space="preserve"> enable</w:t>
      </w:r>
      <w:r w:rsidR="00A80420" w:rsidRPr="00504D41">
        <w:rPr>
          <w:szCs w:val="24"/>
        </w:rPr>
        <w:t>s</w:t>
      </w:r>
      <w:r w:rsidR="00636768" w:rsidRPr="00504D41">
        <w:rPr>
          <w:szCs w:val="24"/>
        </w:rPr>
        <w:t xml:space="preserve"> earl</w:t>
      </w:r>
      <w:r w:rsidR="00CE6281" w:rsidRPr="00504D41">
        <w:rPr>
          <w:szCs w:val="24"/>
        </w:rPr>
        <w:t>y sowing for no-tillage systems</w:t>
      </w:r>
      <w:r w:rsidR="00832B11" w:rsidRPr="00504D41">
        <w:rPr>
          <w:szCs w:val="24"/>
        </w:rPr>
        <w:t>.</w:t>
      </w:r>
      <w:r w:rsidR="00552D69" w:rsidRPr="00504D41">
        <w:rPr>
          <w:noProof/>
          <w:szCs w:val="24"/>
          <w:vertAlign w:val="superscript"/>
        </w:rPr>
        <w:t>7</w:t>
      </w:r>
      <w:r w:rsidRPr="00504D41">
        <w:rPr>
          <w:szCs w:val="24"/>
        </w:rPr>
        <w:t xml:space="preserve"> </w:t>
      </w:r>
      <w:r w:rsidR="00636768" w:rsidRPr="00504D41">
        <w:rPr>
          <w:szCs w:val="24"/>
        </w:rPr>
        <w:t xml:space="preserve">Seed coatings can also act as a carrier of agricultural </w:t>
      </w:r>
      <w:r w:rsidR="00A80420" w:rsidRPr="00504D41">
        <w:rPr>
          <w:szCs w:val="24"/>
        </w:rPr>
        <w:t xml:space="preserve">active ingredients </w:t>
      </w:r>
      <w:r w:rsidR="00636768" w:rsidRPr="00504D41">
        <w:rPr>
          <w:szCs w:val="24"/>
        </w:rPr>
        <w:t>(AI) and thus assist seed germination, growth</w:t>
      </w:r>
      <w:r w:rsidR="00A80420" w:rsidRPr="00504D41">
        <w:rPr>
          <w:szCs w:val="24"/>
        </w:rPr>
        <w:t>,</w:t>
      </w:r>
      <w:r w:rsidR="00636768" w:rsidRPr="00504D41">
        <w:rPr>
          <w:szCs w:val="24"/>
        </w:rPr>
        <w:t xml:space="preserve"> and protection from pests</w:t>
      </w:r>
      <w:r w:rsidR="00552D69" w:rsidRPr="00504D41">
        <w:rPr>
          <w:noProof/>
          <w:szCs w:val="24"/>
          <w:vertAlign w:val="superscript"/>
        </w:rPr>
        <w:t>8–10</w:t>
      </w:r>
      <w:r w:rsidR="00636768" w:rsidRPr="00504D41">
        <w:rPr>
          <w:szCs w:val="24"/>
        </w:rPr>
        <w:t xml:space="preserve"> </w:t>
      </w:r>
      <w:r w:rsidR="00A80420" w:rsidRPr="00504D41">
        <w:rPr>
          <w:szCs w:val="24"/>
        </w:rPr>
        <w:t>before</w:t>
      </w:r>
      <w:r w:rsidR="00636768" w:rsidRPr="00504D41">
        <w:rPr>
          <w:szCs w:val="24"/>
        </w:rPr>
        <w:t xml:space="preserve"> and following germination.</w:t>
      </w:r>
      <w:r w:rsidRPr="00504D41">
        <w:rPr>
          <w:szCs w:val="24"/>
        </w:rPr>
        <w:t xml:space="preserve"> </w:t>
      </w:r>
      <w:r w:rsidR="00636768" w:rsidRPr="00504D41">
        <w:rPr>
          <w:szCs w:val="24"/>
        </w:rPr>
        <w:t xml:space="preserve">Seed weight can be increased through coating which can protect seeds from being displaced by </w:t>
      </w:r>
      <w:r w:rsidR="00A80420" w:rsidRPr="00504D41">
        <w:rPr>
          <w:szCs w:val="24"/>
        </w:rPr>
        <w:t xml:space="preserve">the </w:t>
      </w:r>
      <w:r w:rsidR="00636768" w:rsidRPr="00504D41">
        <w:rPr>
          <w:szCs w:val="24"/>
        </w:rPr>
        <w:t xml:space="preserve">wind when sown or being </w:t>
      </w:r>
      <w:r w:rsidR="00CE6281" w:rsidRPr="00504D41">
        <w:rPr>
          <w:szCs w:val="24"/>
        </w:rPr>
        <w:t>blown away during aerial sowing</w:t>
      </w:r>
      <w:r w:rsidR="0053608B" w:rsidRPr="00504D41">
        <w:rPr>
          <w:szCs w:val="24"/>
        </w:rPr>
        <w:t>.</w:t>
      </w:r>
      <w:r w:rsidR="00552D69" w:rsidRPr="00504D41">
        <w:rPr>
          <w:noProof/>
          <w:szCs w:val="24"/>
          <w:vertAlign w:val="superscript"/>
        </w:rPr>
        <w:t>11</w:t>
      </w:r>
      <w:r w:rsidRPr="00504D41">
        <w:rPr>
          <w:szCs w:val="24"/>
        </w:rPr>
        <w:t xml:space="preserve"> And finally, t</w:t>
      </w:r>
      <w:r w:rsidR="00636768" w:rsidRPr="00504D41">
        <w:rPr>
          <w:szCs w:val="24"/>
        </w:rPr>
        <w:t xml:space="preserve">he precise application of the AI on the seed through coatings minimizes the need to apply the AI over the entire field in addition </w:t>
      </w:r>
      <w:r w:rsidRPr="00504D41">
        <w:rPr>
          <w:szCs w:val="24"/>
        </w:rPr>
        <w:t>to reducing off-target exposure. This would make</w:t>
      </w:r>
      <w:r w:rsidR="00636768" w:rsidRPr="00504D41">
        <w:rPr>
          <w:szCs w:val="24"/>
        </w:rPr>
        <w:t xml:space="preserve"> the AI treatment process more sustainable and environmentally frien</w:t>
      </w:r>
      <w:r w:rsidR="00CE6281" w:rsidRPr="00504D41">
        <w:rPr>
          <w:szCs w:val="24"/>
        </w:rPr>
        <w:t xml:space="preserve">dly compared to aerial </w:t>
      </w:r>
      <w:r w:rsidR="00CE6281" w:rsidRPr="00504D41">
        <w:rPr>
          <w:szCs w:val="24"/>
        </w:rPr>
        <w:lastRenderedPageBreak/>
        <w:t>spraying</w:t>
      </w:r>
      <w:r w:rsidR="0053608B" w:rsidRPr="00504D41">
        <w:rPr>
          <w:szCs w:val="24"/>
        </w:rPr>
        <w:t>.</w:t>
      </w:r>
      <w:r w:rsidR="00552D69" w:rsidRPr="00504D41">
        <w:rPr>
          <w:noProof/>
          <w:szCs w:val="24"/>
          <w:vertAlign w:val="superscript"/>
        </w:rPr>
        <w:t>12</w:t>
      </w:r>
      <w:r w:rsidR="00975D4E" w:rsidRPr="00504D41">
        <w:rPr>
          <w:szCs w:val="24"/>
        </w:rPr>
        <w:t xml:space="preserve"> </w:t>
      </w:r>
      <w:r w:rsidR="00FC2455" w:rsidRPr="00504D41">
        <w:rPr>
          <w:szCs w:val="24"/>
        </w:rPr>
        <w:t xml:space="preserve">Currently, a wide variety of vegetables, field and flower crops use seed coatings. Seed treatment details of some major crops are listed in </w:t>
      </w:r>
      <w:r w:rsidR="00FC2455" w:rsidRPr="00504D41">
        <w:rPr>
          <w:b/>
          <w:bCs/>
          <w:szCs w:val="24"/>
        </w:rPr>
        <w:t>Table 1</w:t>
      </w:r>
      <w:r w:rsidR="00FC2455" w:rsidRPr="00504D41">
        <w:rPr>
          <w:szCs w:val="24"/>
        </w:rPr>
        <w:t>.</w:t>
      </w:r>
      <w:r w:rsidR="00483890" w:rsidRPr="00504D41">
        <w:rPr>
          <w:szCs w:val="24"/>
        </w:rPr>
        <w:t xml:space="preserve"> </w:t>
      </w:r>
    </w:p>
    <w:p w14:paraId="1A8FA45A" w14:textId="77777777" w:rsidR="004577F1" w:rsidRPr="00504D41" w:rsidRDefault="006B2040" w:rsidP="0016445D">
      <w:pPr>
        <w:spacing w:line="360" w:lineRule="auto"/>
        <w:jc w:val="both"/>
        <w:rPr>
          <w:szCs w:val="24"/>
        </w:rPr>
      </w:pPr>
      <w:r w:rsidRPr="00504D41">
        <w:rPr>
          <w:szCs w:val="24"/>
        </w:rPr>
        <w:t xml:space="preserve">The </w:t>
      </w:r>
      <w:r w:rsidR="00C01EDD" w:rsidRPr="00504D41">
        <w:rPr>
          <w:szCs w:val="24"/>
        </w:rPr>
        <w:t>rising</w:t>
      </w:r>
      <w:r w:rsidR="004A5780" w:rsidRPr="00504D41">
        <w:rPr>
          <w:szCs w:val="24"/>
        </w:rPr>
        <w:t xml:space="preserve"> need to achieve food security for a rapidly </w:t>
      </w:r>
      <w:r w:rsidR="00D81595" w:rsidRPr="00504D41">
        <w:rPr>
          <w:szCs w:val="24"/>
        </w:rPr>
        <w:t>increasing world population</w:t>
      </w:r>
      <w:r w:rsidR="00A80420" w:rsidRPr="00504D41">
        <w:rPr>
          <w:szCs w:val="24"/>
        </w:rPr>
        <w:t xml:space="preserve"> </w:t>
      </w:r>
      <w:r w:rsidR="005359B0" w:rsidRPr="00504D41">
        <w:rPr>
          <w:szCs w:val="24"/>
        </w:rPr>
        <w:t>at minimum environmental damage</w:t>
      </w:r>
      <w:r w:rsidR="005372E7" w:rsidRPr="00504D41">
        <w:rPr>
          <w:szCs w:val="24"/>
        </w:rPr>
        <w:t xml:space="preserve"> has</w:t>
      </w:r>
      <w:r w:rsidR="00A80420" w:rsidRPr="00504D41">
        <w:rPr>
          <w:szCs w:val="24"/>
        </w:rPr>
        <w:t xml:space="preserve"> </w:t>
      </w:r>
      <w:r w:rsidR="00D81595" w:rsidRPr="00504D41">
        <w:rPr>
          <w:szCs w:val="24"/>
        </w:rPr>
        <w:t xml:space="preserve">increased research interest </w:t>
      </w:r>
      <w:r w:rsidR="004C142D" w:rsidRPr="00504D41">
        <w:rPr>
          <w:szCs w:val="24"/>
        </w:rPr>
        <w:t>to provide innovative crop protection solutions</w:t>
      </w:r>
      <w:r w:rsidR="00315D7E" w:rsidRPr="00504D41">
        <w:rPr>
          <w:szCs w:val="24"/>
        </w:rPr>
        <w:t xml:space="preserve">, particularly </w:t>
      </w:r>
      <w:r w:rsidR="00A80420" w:rsidRPr="00504D41">
        <w:rPr>
          <w:szCs w:val="24"/>
        </w:rPr>
        <w:t xml:space="preserve">via the </w:t>
      </w:r>
      <w:r w:rsidR="00315D7E" w:rsidRPr="00504D41">
        <w:rPr>
          <w:szCs w:val="24"/>
        </w:rPr>
        <w:t>use of biopolymers</w:t>
      </w:r>
      <w:r w:rsidR="00807DBF" w:rsidRPr="00504D41">
        <w:rPr>
          <w:noProof/>
          <w:szCs w:val="24"/>
          <w:vertAlign w:val="superscript"/>
        </w:rPr>
        <w:t>13</w:t>
      </w:r>
      <w:r w:rsidR="00750FC4" w:rsidRPr="00504D41">
        <w:rPr>
          <w:szCs w:val="24"/>
        </w:rPr>
        <w:t xml:space="preserve"> </w:t>
      </w:r>
      <w:r w:rsidR="007B6CF3" w:rsidRPr="00504D41">
        <w:rPr>
          <w:szCs w:val="24"/>
        </w:rPr>
        <w:t>and biologics.</w:t>
      </w:r>
      <w:r w:rsidR="00807DBF" w:rsidRPr="00504D41">
        <w:rPr>
          <w:noProof/>
          <w:szCs w:val="24"/>
          <w:vertAlign w:val="superscript"/>
        </w:rPr>
        <w:t>14</w:t>
      </w:r>
      <w:r w:rsidR="00215685" w:rsidRPr="00504D41">
        <w:rPr>
          <w:szCs w:val="24"/>
        </w:rPr>
        <w:t xml:space="preserve"> </w:t>
      </w:r>
      <w:r w:rsidR="00A80420" w:rsidRPr="00504D41">
        <w:rPr>
          <w:szCs w:val="24"/>
        </w:rPr>
        <w:t>Some</w:t>
      </w:r>
      <w:r w:rsidR="00764E4C" w:rsidRPr="00504D41">
        <w:rPr>
          <w:szCs w:val="24"/>
        </w:rPr>
        <w:t xml:space="preserve"> recently published reviews</w:t>
      </w:r>
      <w:r w:rsidR="00807DBF" w:rsidRPr="00504D41">
        <w:rPr>
          <w:noProof/>
          <w:szCs w:val="24"/>
          <w:vertAlign w:val="superscript"/>
        </w:rPr>
        <w:t>13</w:t>
      </w:r>
      <w:r w:rsidR="00F67FC0" w:rsidRPr="00504D41">
        <w:rPr>
          <w:szCs w:val="24"/>
          <w:vertAlign w:val="superscript"/>
        </w:rPr>
        <w:t>,</w:t>
      </w:r>
      <w:r w:rsidR="006D54C2" w:rsidRPr="00504D41">
        <w:rPr>
          <w:noProof/>
          <w:szCs w:val="24"/>
          <w:vertAlign w:val="superscript"/>
        </w:rPr>
        <w:t>14</w:t>
      </w:r>
      <w:r w:rsidR="00764E4C" w:rsidRPr="00504D41">
        <w:rPr>
          <w:szCs w:val="24"/>
        </w:rPr>
        <w:t xml:space="preserve"> have summarized accomplishments achieved in the area as of now</w:t>
      </w:r>
      <w:r w:rsidR="00365704" w:rsidRPr="00504D41">
        <w:rPr>
          <w:szCs w:val="24"/>
        </w:rPr>
        <w:t xml:space="preserve">, </w:t>
      </w:r>
      <w:r w:rsidR="00664A05" w:rsidRPr="00504D41">
        <w:rPr>
          <w:szCs w:val="24"/>
        </w:rPr>
        <w:t xml:space="preserve">however </w:t>
      </w:r>
      <w:r w:rsidR="00215685" w:rsidRPr="00504D41">
        <w:rPr>
          <w:szCs w:val="24"/>
        </w:rPr>
        <w:t>herein</w:t>
      </w:r>
      <w:r w:rsidR="00664A05" w:rsidRPr="00504D41">
        <w:rPr>
          <w:szCs w:val="24"/>
        </w:rPr>
        <w:t xml:space="preserve"> we have </w:t>
      </w:r>
      <w:r w:rsidR="002706D0" w:rsidRPr="00504D41">
        <w:rPr>
          <w:szCs w:val="24"/>
        </w:rPr>
        <w:t>summarized</w:t>
      </w:r>
      <w:r w:rsidR="00E9100A" w:rsidRPr="00504D41">
        <w:rPr>
          <w:szCs w:val="24"/>
        </w:rPr>
        <w:t xml:space="preserve"> </w:t>
      </w:r>
      <w:r w:rsidR="00664A05" w:rsidRPr="00504D41">
        <w:rPr>
          <w:szCs w:val="24"/>
        </w:rPr>
        <w:t xml:space="preserve">seed coating research </w:t>
      </w:r>
      <w:r w:rsidR="00F56F3C" w:rsidRPr="00504D41">
        <w:rPr>
          <w:szCs w:val="24"/>
        </w:rPr>
        <w:t>from a green chemistry perspective</w:t>
      </w:r>
      <w:r w:rsidR="00AD2A48" w:rsidRPr="00504D41">
        <w:rPr>
          <w:szCs w:val="24"/>
        </w:rPr>
        <w:t>.</w:t>
      </w:r>
      <w:r w:rsidR="00AA1E6E" w:rsidRPr="00504D41">
        <w:rPr>
          <w:szCs w:val="24"/>
        </w:rPr>
        <w:t xml:space="preserve"> In particular, </w:t>
      </w:r>
      <w:r w:rsidR="001D5EA9" w:rsidRPr="00504D41">
        <w:rPr>
          <w:szCs w:val="24"/>
        </w:rPr>
        <w:t>we have targeted six out of the total twelve principles of green chemistry.</w:t>
      </w:r>
      <w:r w:rsidR="006D54C2" w:rsidRPr="00504D41">
        <w:rPr>
          <w:noProof/>
          <w:szCs w:val="24"/>
          <w:vertAlign w:val="superscript"/>
        </w:rPr>
        <w:t>15</w:t>
      </w:r>
      <w:r w:rsidR="001D5EA9" w:rsidRPr="00504D41">
        <w:rPr>
          <w:szCs w:val="24"/>
        </w:rPr>
        <w:t xml:space="preserve"> Firstly, we have examined coating material synthesis schemes to critique the adherence to green chemistry principle three, four and five highlighting the importance of safer chemical synthesis, design of less hazardous chemicals and use of </w:t>
      </w:r>
      <w:r w:rsidR="00E11AE1" w:rsidRPr="00504D41">
        <w:rPr>
          <w:szCs w:val="24"/>
        </w:rPr>
        <w:t>benign solven</w:t>
      </w:r>
      <w:r w:rsidR="001D5EA9" w:rsidRPr="00504D41">
        <w:rPr>
          <w:szCs w:val="24"/>
        </w:rPr>
        <w:t>t</w:t>
      </w:r>
      <w:r w:rsidR="00E11AE1" w:rsidRPr="00504D41">
        <w:rPr>
          <w:szCs w:val="24"/>
        </w:rPr>
        <w:t>s</w:t>
      </w:r>
      <w:r w:rsidR="001D5EA9" w:rsidRPr="00504D41">
        <w:rPr>
          <w:szCs w:val="24"/>
        </w:rPr>
        <w:t xml:space="preserve"> respectively. Secondly, the energy footprint of the coating material synthesis has been evaluated</w:t>
      </w:r>
      <w:r w:rsidR="00E11AE1" w:rsidRPr="00504D41">
        <w:rPr>
          <w:szCs w:val="24"/>
        </w:rPr>
        <w:t xml:space="preserve"> to g</w:t>
      </w:r>
      <w:r w:rsidR="001D5EA9" w:rsidRPr="00504D41">
        <w:rPr>
          <w:szCs w:val="24"/>
        </w:rPr>
        <w:t>a</w:t>
      </w:r>
      <w:r w:rsidR="00E11AE1" w:rsidRPr="00504D41">
        <w:rPr>
          <w:szCs w:val="24"/>
        </w:rPr>
        <w:t>u</w:t>
      </w:r>
      <w:r w:rsidR="001D5EA9" w:rsidRPr="00504D41">
        <w:rPr>
          <w:szCs w:val="24"/>
        </w:rPr>
        <w:t>ge adherence to principle s</w:t>
      </w:r>
      <w:r w:rsidR="003176C6" w:rsidRPr="00504D41">
        <w:rPr>
          <w:szCs w:val="24"/>
        </w:rPr>
        <w:t>ix</w:t>
      </w:r>
      <w:r w:rsidR="001D5EA9" w:rsidRPr="00504D41">
        <w:rPr>
          <w:szCs w:val="24"/>
        </w:rPr>
        <w:t xml:space="preserve"> discussing importance of energy utilization. Lastly, through investigating raw material source, renewability and ultimate fate of the coating material in the environment, principles seven and ten have been investigated discussing the importance of renewable feed source and mate</w:t>
      </w:r>
      <w:r w:rsidR="00F03227" w:rsidRPr="00504D41">
        <w:rPr>
          <w:szCs w:val="24"/>
        </w:rPr>
        <w:t xml:space="preserve">rial degradation respectively. </w:t>
      </w:r>
      <w:r w:rsidR="0083295D" w:rsidRPr="00504D41">
        <w:rPr>
          <w:szCs w:val="24"/>
        </w:rPr>
        <w:t xml:space="preserve">This discussion on green chemistry has been </w:t>
      </w:r>
      <w:r w:rsidR="00583ABE" w:rsidRPr="00504D41">
        <w:rPr>
          <w:szCs w:val="24"/>
        </w:rPr>
        <w:t xml:space="preserve">accompanied by </w:t>
      </w:r>
      <w:r w:rsidR="00D3573E" w:rsidRPr="00504D41">
        <w:rPr>
          <w:szCs w:val="24"/>
        </w:rPr>
        <w:t xml:space="preserve">characterizing the effect of the seed coating material </w:t>
      </w:r>
      <w:r w:rsidR="001D2AD4" w:rsidRPr="00504D41">
        <w:rPr>
          <w:szCs w:val="24"/>
        </w:rPr>
        <w:t>on crop yields</w:t>
      </w:r>
      <w:r w:rsidR="0083295D" w:rsidRPr="00504D41">
        <w:rPr>
          <w:szCs w:val="24"/>
        </w:rPr>
        <w:t xml:space="preserve"> and existing life cycle assessment (LCA) data to provide a comprehensive analysis of the potential pros and cons of the critiqued research. </w:t>
      </w:r>
      <w:r w:rsidR="00F56F3C" w:rsidRPr="00504D41">
        <w:rPr>
          <w:szCs w:val="24"/>
        </w:rPr>
        <w:t>We start with a brief overview of seed coating</w:t>
      </w:r>
      <w:r w:rsidR="00154915" w:rsidRPr="00504D41">
        <w:rPr>
          <w:szCs w:val="24"/>
        </w:rPr>
        <w:t>s</w:t>
      </w:r>
      <w:r w:rsidR="001D7EE6" w:rsidRPr="00504D41">
        <w:rPr>
          <w:szCs w:val="24"/>
        </w:rPr>
        <w:t xml:space="preserve"> discussing their types</w:t>
      </w:r>
      <w:r w:rsidR="00A80420" w:rsidRPr="00504D41">
        <w:rPr>
          <w:szCs w:val="24"/>
        </w:rPr>
        <w:t>, manufacture</w:t>
      </w:r>
      <w:r w:rsidR="001D7EE6" w:rsidRPr="00504D41">
        <w:rPr>
          <w:szCs w:val="24"/>
        </w:rPr>
        <w:t xml:space="preserve"> and </w:t>
      </w:r>
      <w:r w:rsidR="00A80420" w:rsidRPr="00504D41">
        <w:rPr>
          <w:szCs w:val="24"/>
        </w:rPr>
        <w:t>applications</w:t>
      </w:r>
      <w:r w:rsidR="001D7EE6" w:rsidRPr="00504D41">
        <w:rPr>
          <w:szCs w:val="24"/>
        </w:rPr>
        <w:t>.</w:t>
      </w:r>
      <w:r w:rsidR="00F56F3C" w:rsidRPr="00504D41">
        <w:rPr>
          <w:szCs w:val="24"/>
        </w:rPr>
        <w:t xml:space="preserve"> </w:t>
      </w:r>
      <w:r w:rsidR="00C2147B" w:rsidRPr="00504D41">
        <w:rPr>
          <w:szCs w:val="24"/>
        </w:rPr>
        <w:t xml:space="preserve">Following </w:t>
      </w:r>
      <w:r w:rsidR="00A80420" w:rsidRPr="00504D41">
        <w:rPr>
          <w:szCs w:val="24"/>
        </w:rPr>
        <w:t xml:space="preserve">this </w:t>
      </w:r>
      <w:r w:rsidR="00C2147B" w:rsidRPr="00504D41">
        <w:rPr>
          <w:szCs w:val="24"/>
        </w:rPr>
        <w:t>we</w:t>
      </w:r>
      <w:r w:rsidR="00B80030" w:rsidRPr="00504D41">
        <w:rPr>
          <w:szCs w:val="24"/>
        </w:rPr>
        <w:t xml:space="preserve"> </w:t>
      </w:r>
      <w:r w:rsidR="00C2147B" w:rsidRPr="00504D41">
        <w:rPr>
          <w:szCs w:val="24"/>
        </w:rPr>
        <w:t>discuss</w:t>
      </w:r>
      <w:r w:rsidR="00B80030" w:rsidRPr="00504D41">
        <w:rPr>
          <w:szCs w:val="24"/>
        </w:rPr>
        <w:t xml:space="preserve"> some of the major challenges being faced by the seed coating industry including agrochemical overuse, plastic pollution, and increased cost. Subsequently, innovative solutions to the </w:t>
      </w:r>
      <w:r w:rsidR="00A80420" w:rsidRPr="00504D41">
        <w:rPr>
          <w:szCs w:val="24"/>
        </w:rPr>
        <w:t xml:space="preserve">existing </w:t>
      </w:r>
      <w:r w:rsidR="00B80030" w:rsidRPr="00504D41">
        <w:rPr>
          <w:szCs w:val="24"/>
        </w:rPr>
        <w:t xml:space="preserve">limitations as proposed through modern research are discussed. </w:t>
      </w:r>
      <w:r w:rsidR="00C63B3F" w:rsidRPr="00504D41">
        <w:rPr>
          <w:szCs w:val="24"/>
        </w:rPr>
        <w:t>We conclude with</w:t>
      </w:r>
      <w:r w:rsidR="00DC68EA" w:rsidRPr="00504D41">
        <w:rPr>
          <w:szCs w:val="24"/>
        </w:rPr>
        <w:t xml:space="preserve"> a comparative analysis on various seed coating solutions in terms of the</w:t>
      </w:r>
      <w:r w:rsidR="00497777" w:rsidRPr="00504D41">
        <w:rPr>
          <w:szCs w:val="24"/>
        </w:rPr>
        <w:t>i</w:t>
      </w:r>
      <w:r w:rsidR="00DC68EA" w:rsidRPr="00504D41">
        <w:rPr>
          <w:szCs w:val="24"/>
        </w:rPr>
        <w:t xml:space="preserve">r efficacy and </w:t>
      </w:r>
      <w:r w:rsidR="002B3012" w:rsidRPr="00504D41">
        <w:rPr>
          <w:szCs w:val="24"/>
        </w:rPr>
        <w:t>environm</w:t>
      </w:r>
      <w:r w:rsidR="00146033" w:rsidRPr="00504D41">
        <w:rPr>
          <w:szCs w:val="24"/>
        </w:rPr>
        <w:t>en</w:t>
      </w:r>
      <w:r w:rsidR="002B3012" w:rsidRPr="00504D41">
        <w:rPr>
          <w:szCs w:val="24"/>
        </w:rPr>
        <w:t>tal impact</w:t>
      </w:r>
      <w:r w:rsidR="00A80420" w:rsidRPr="00504D41">
        <w:rPr>
          <w:szCs w:val="24"/>
        </w:rPr>
        <w:t>,</w:t>
      </w:r>
      <w:r w:rsidR="002B3012" w:rsidRPr="00504D41">
        <w:rPr>
          <w:szCs w:val="24"/>
        </w:rPr>
        <w:t xml:space="preserve"> identifying information gaps that future research needs to address. </w:t>
      </w:r>
    </w:p>
    <w:p w14:paraId="13A0CDC4" w14:textId="77777777" w:rsidR="00623959" w:rsidRPr="00504D41" w:rsidRDefault="00623959" w:rsidP="00207FEA">
      <w:pPr>
        <w:pStyle w:val="Caption"/>
        <w:keepNext/>
        <w:spacing w:line="360" w:lineRule="auto"/>
        <w:jc w:val="both"/>
        <w:rPr>
          <w:i w:val="0"/>
          <w:iCs w:val="0"/>
          <w:color w:val="auto"/>
          <w:sz w:val="24"/>
          <w:szCs w:val="24"/>
        </w:rPr>
      </w:pPr>
      <w:r w:rsidRPr="00504D41">
        <w:rPr>
          <w:b/>
          <w:bCs/>
          <w:i w:val="0"/>
          <w:iCs w:val="0"/>
          <w:color w:val="auto"/>
          <w:sz w:val="24"/>
          <w:szCs w:val="24"/>
        </w:rPr>
        <w:lastRenderedPageBreak/>
        <w:t xml:space="preserve">Table </w:t>
      </w:r>
      <w:r w:rsidRPr="00504D41">
        <w:rPr>
          <w:b/>
          <w:bCs/>
          <w:i w:val="0"/>
          <w:iCs w:val="0"/>
          <w:color w:val="auto"/>
          <w:sz w:val="24"/>
          <w:szCs w:val="24"/>
        </w:rPr>
        <w:fldChar w:fldCharType="begin"/>
      </w:r>
      <w:r w:rsidRPr="00504D41">
        <w:rPr>
          <w:b/>
          <w:bCs/>
          <w:i w:val="0"/>
          <w:iCs w:val="0"/>
          <w:color w:val="auto"/>
          <w:sz w:val="24"/>
          <w:szCs w:val="24"/>
        </w:rPr>
        <w:instrText xml:space="preserve"> SEQ Table \* ARABIC </w:instrText>
      </w:r>
      <w:r w:rsidRPr="00504D41">
        <w:rPr>
          <w:b/>
          <w:bCs/>
          <w:i w:val="0"/>
          <w:iCs w:val="0"/>
          <w:color w:val="auto"/>
          <w:sz w:val="24"/>
          <w:szCs w:val="24"/>
        </w:rPr>
        <w:fldChar w:fldCharType="separate"/>
      </w:r>
      <w:r w:rsidR="003D0A6B" w:rsidRPr="00504D41">
        <w:rPr>
          <w:b/>
          <w:bCs/>
          <w:i w:val="0"/>
          <w:iCs w:val="0"/>
          <w:noProof/>
          <w:color w:val="auto"/>
          <w:sz w:val="24"/>
          <w:szCs w:val="24"/>
        </w:rPr>
        <w:t>1</w:t>
      </w:r>
      <w:r w:rsidRPr="00504D41">
        <w:rPr>
          <w:b/>
          <w:bCs/>
          <w:i w:val="0"/>
          <w:iCs w:val="0"/>
          <w:color w:val="auto"/>
          <w:sz w:val="24"/>
          <w:szCs w:val="24"/>
        </w:rPr>
        <w:fldChar w:fldCharType="end"/>
      </w:r>
      <w:r w:rsidR="00A440EC" w:rsidRPr="00504D41">
        <w:rPr>
          <w:b/>
          <w:bCs/>
          <w:i w:val="0"/>
          <w:iCs w:val="0"/>
          <w:color w:val="auto"/>
          <w:sz w:val="24"/>
          <w:szCs w:val="24"/>
        </w:rPr>
        <w:t>.</w:t>
      </w:r>
      <w:r w:rsidRPr="00504D41">
        <w:rPr>
          <w:i w:val="0"/>
          <w:iCs w:val="0"/>
          <w:color w:val="auto"/>
          <w:sz w:val="24"/>
          <w:szCs w:val="24"/>
        </w:rPr>
        <w:t xml:space="preserve"> </w:t>
      </w:r>
      <w:r w:rsidR="00600BED" w:rsidRPr="00504D41">
        <w:rPr>
          <w:i w:val="0"/>
          <w:iCs w:val="0"/>
          <w:color w:val="auto"/>
          <w:sz w:val="24"/>
          <w:szCs w:val="24"/>
        </w:rPr>
        <w:t>Global</w:t>
      </w:r>
      <w:r w:rsidRPr="00504D41">
        <w:rPr>
          <w:i w:val="0"/>
          <w:iCs w:val="0"/>
          <w:color w:val="auto"/>
          <w:sz w:val="24"/>
          <w:szCs w:val="24"/>
        </w:rPr>
        <w:t xml:space="preserve"> production </w:t>
      </w:r>
      <w:r w:rsidR="00A80420" w:rsidRPr="00504D41">
        <w:rPr>
          <w:i w:val="0"/>
          <w:iCs w:val="0"/>
          <w:color w:val="auto"/>
          <w:sz w:val="24"/>
          <w:szCs w:val="24"/>
        </w:rPr>
        <w:t xml:space="preserve">(million tonnes) </w:t>
      </w:r>
      <w:r w:rsidRPr="00504D41">
        <w:rPr>
          <w:i w:val="0"/>
          <w:iCs w:val="0"/>
          <w:color w:val="auto"/>
          <w:sz w:val="24"/>
          <w:szCs w:val="24"/>
        </w:rPr>
        <w:t>of major crops</w:t>
      </w:r>
      <w:r w:rsidR="00A80420" w:rsidRPr="00504D41">
        <w:rPr>
          <w:i w:val="0"/>
          <w:iCs w:val="0"/>
          <w:color w:val="auto"/>
          <w:sz w:val="24"/>
          <w:szCs w:val="24"/>
        </w:rPr>
        <w:t xml:space="preserve"> with their </w:t>
      </w:r>
      <w:r w:rsidRPr="00504D41">
        <w:rPr>
          <w:i w:val="0"/>
          <w:iCs w:val="0"/>
          <w:color w:val="auto"/>
          <w:sz w:val="24"/>
          <w:szCs w:val="24"/>
        </w:rPr>
        <w:t>common pests</w:t>
      </w:r>
      <w:r w:rsidR="00A80420" w:rsidRPr="00504D41">
        <w:rPr>
          <w:i w:val="0"/>
          <w:iCs w:val="0"/>
          <w:color w:val="auto"/>
          <w:sz w:val="24"/>
          <w:szCs w:val="24"/>
        </w:rPr>
        <w:t>,</w:t>
      </w:r>
      <w:r w:rsidR="00FE38D8" w:rsidRPr="00504D41">
        <w:rPr>
          <w:i w:val="0"/>
          <w:iCs w:val="0"/>
          <w:color w:val="auto"/>
          <w:sz w:val="24"/>
          <w:szCs w:val="24"/>
        </w:rPr>
        <w:t xml:space="preserve"> </w:t>
      </w:r>
      <w:r w:rsidRPr="00504D41">
        <w:rPr>
          <w:i w:val="0"/>
          <w:iCs w:val="0"/>
          <w:color w:val="auto"/>
          <w:sz w:val="24"/>
          <w:szCs w:val="24"/>
        </w:rPr>
        <w:t>diseases,</w:t>
      </w:r>
      <w:r w:rsidR="00FE38D8" w:rsidRPr="00504D41">
        <w:rPr>
          <w:i w:val="0"/>
          <w:iCs w:val="0"/>
          <w:color w:val="auto"/>
          <w:sz w:val="24"/>
          <w:szCs w:val="24"/>
        </w:rPr>
        <w:t xml:space="preserve"> </w:t>
      </w:r>
      <w:r w:rsidR="00A80420" w:rsidRPr="00504D41">
        <w:rPr>
          <w:i w:val="0"/>
          <w:iCs w:val="0"/>
          <w:color w:val="auto"/>
          <w:sz w:val="24"/>
          <w:szCs w:val="24"/>
        </w:rPr>
        <w:t xml:space="preserve">and active ingredients </w:t>
      </w:r>
      <w:r w:rsidRPr="00504D41">
        <w:rPr>
          <w:i w:val="0"/>
          <w:iCs w:val="0"/>
          <w:color w:val="auto"/>
          <w:sz w:val="24"/>
          <w:szCs w:val="24"/>
        </w:rPr>
        <w:t>(AI) used for seed treatments, and major suppliers. Data summarized</w:t>
      </w:r>
      <w:r w:rsidR="00295B3D" w:rsidRPr="00504D41">
        <w:rPr>
          <w:i w:val="0"/>
          <w:iCs w:val="0"/>
          <w:color w:val="auto"/>
          <w:sz w:val="24"/>
          <w:szCs w:val="24"/>
        </w:rPr>
        <w:t xml:space="preserve"> and updated</w:t>
      </w:r>
      <w:r w:rsidR="00CE6281" w:rsidRPr="00504D41">
        <w:rPr>
          <w:i w:val="0"/>
          <w:iCs w:val="0"/>
          <w:color w:val="auto"/>
          <w:sz w:val="24"/>
          <w:szCs w:val="24"/>
        </w:rPr>
        <w:t xml:space="preserve"> from</w:t>
      </w:r>
      <w:r w:rsidR="00F12AFC" w:rsidRPr="00504D41">
        <w:rPr>
          <w:i w:val="0"/>
          <w:iCs w:val="0"/>
          <w:color w:val="auto"/>
          <w:sz w:val="24"/>
          <w:szCs w:val="24"/>
        </w:rPr>
        <w:t xml:space="preserve"> </w:t>
      </w:r>
      <w:r w:rsidR="00EE5C4A" w:rsidRPr="00504D41">
        <w:rPr>
          <w:i w:val="0"/>
          <w:iCs w:val="0"/>
          <w:color w:val="auto"/>
          <w:sz w:val="24"/>
          <w:szCs w:val="24"/>
        </w:rPr>
        <w:t>multiple references</w:t>
      </w:r>
      <w:r w:rsidR="00F12AFC" w:rsidRPr="00504D41">
        <w:rPr>
          <w:i w:val="0"/>
          <w:iCs w:val="0"/>
          <w:color w:val="auto"/>
          <w:sz w:val="24"/>
          <w:szCs w:val="24"/>
        </w:rPr>
        <w:t>.</w:t>
      </w:r>
      <w:r w:rsidR="00552D69" w:rsidRPr="00504D41">
        <w:rPr>
          <w:i w:val="0"/>
          <w:iCs w:val="0"/>
          <w:noProof/>
          <w:color w:val="auto"/>
          <w:sz w:val="24"/>
          <w:szCs w:val="24"/>
          <w:vertAlign w:val="superscript"/>
        </w:rPr>
        <w:t>4,5,12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046"/>
        <w:gridCol w:w="1530"/>
        <w:gridCol w:w="2396"/>
        <w:gridCol w:w="1480"/>
        <w:gridCol w:w="1875"/>
        <w:gridCol w:w="1249"/>
      </w:tblGrid>
      <w:tr w:rsidR="001F6006" w:rsidRPr="00504D41" w14:paraId="216A2A38" w14:textId="77777777" w:rsidTr="00A94367">
        <w:trPr>
          <w:trHeight w:val="1070"/>
        </w:trPr>
        <w:tc>
          <w:tcPr>
            <w:tcW w:w="546" w:type="pct"/>
            <w:shd w:val="clear" w:color="auto" w:fill="auto"/>
            <w:vAlign w:val="center"/>
            <w:hideMark/>
          </w:tcPr>
          <w:p w14:paraId="1B028D1B" w14:textId="77777777" w:rsidR="00623959" w:rsidRPr="00504D41" w:rsidRDefault="00623959" w:rsidP="00A94367">
            <w:pPr>
              <w:spacing w:after="0" w:line="240" w:lineRule="auto"/>
              <w:ind w:left="-30" w:right="-25" w:hanging="25"/>
              <w:rPr>
                <w:rFonts w:ascii="Arial" w:hAnsi="Arial" w:cs="Arial"/>
                <w:b/>
                <w:sz w:val="16"/>
                <w:szCs w:val="16"/>
              </w:rPr>
            </w:pPr>
            <w:r w:rsidRPr="00504D41">
              <w:rPr>
                <w:rFonts w:ascii="Arial" w:hAnsi="Arial" w:cs="Arial"/>
                <w:b/>
                <w:sz w:val="16"/>
                <w:szCs w:val="16"/>
              </w:rPr>
              <w:t>Crop</w:t>
            </w:r>
          </w:p>
          <w:p w14:paraId="4BEC016D" w14:textId="77777777" w:rsidR="00623959" w:rsidRPr="00504D41" w:rsidRDefault="00623959" w:rsidP="00A94367">
            <w:pPr>
              <w:spacing w:after="0" w:line="240" w:lineRule="auto"/>
              <w:ind w:left="-30" w:right="-25" w:hanging="25"/>
              <w:rPr>
                <w:rFonts w:ascii="Arial" w:hAnsi="Arial" w:cs="Arial"/>
                <w:b/>
                <w:sz w:val="16"/>
                <w:szCs w:val="16"/>
              </w:rPr>
            </w:pPr>
          </w:p>
        </w:tc>
        <w:tc>
          <w:tcPr>
            <w:tcW w:w="799" w:type="pct"/>
            <w:shd w:val="clear" w:color="auto" w:fill="auto"/>
            <w:vAlign w:val="center"/>
          </w:tcPr>
          <w:p w14:paraId="37FF8A6A" w14:textId="77777777" w:rsidR="00623959" w:rsidRPr="00504D41" w:rsidRDefault="00B85834" w:rsidP="00A94367">
            <w:pPr>
              <w:spacing w:after="0" w:line="240" w:lineRule="auto"/>
              <w:rPr>
                <w:rFonts w:ascii="Arial" w:hAnsi="Arial" w:cs="Arial"/>
                <w:b/>
                <w:sz w:val="16"/>
                <w:szCs w:val="16"/>
              </w:rPr>
            </w:pPr>
            <w:r w:rsidRPr="00504D41">
              <w:rPr>
                <w:rFonts w:ascii="Arial" w:hAnsi="Arial" w:cs="Arial"/>
                <w:b/>
                <w:sz w:val="16"/>
                <w:szCs w:val="16"/>
              </w:rPr>
              <w:t>World production 2020</w:t>
            </w:r>
            <w:r w:rsidR="00623959" w:rsidRPr="00504D41">
              <w:rPr>
                <w:rFonts w:ascii="Arial" w:hAnsi="Arial" w:cs="Arial"/>
                <w:b/>
                <w:sz w:val="16"/>
                <w:szCs w:val="16"/>
              </w:rPr>
              <w:t xml:space="preserve"> (</w:t>
            </w:r>
            <w:r w:rsidR="007E0F77" w:rsidRPr="00504D41">
              <w:rPr>
                <w:rFonts w:ascii="Arial" w:hAnsi="Arial" w:cs="Arial"/>
                <w:b/>
                <w:sz w:val="16"/>
                <w:szCs w:val="16"/>
              </w:rPr>
              <w:t>M</w:t>
            </w:r>
            <w:r w:rsidR="00303A09" w:rsidRPr="00504D41">
              <w:rPr>
                <w:rFonts w:ascii="Arial" w:hAnsi="Arial" w:cs="Arial"/>
                <w:b/>
                <w:sz w:val="16"/>
                <w:szCs w:val="16"/>
              </w:rPr>
              <w:t xml:space="preserve">illion </w:t>
            </w:r>
            <w:r w:rsidR="00623959" w:rsidRPr="00504D41">
              <w:rPr>
                <w:rFonts w:ascii="Arial" w:hAnsi="Arial" w:cs="Arial"/>
                <w:b/>
                <w:sz w:val="16"/>
                <w:szCs w:val="16"/>
              </w:rPr>
              <w:t>tonnes)</w:t>
            </w:r>
            <w:r w:rsidR="00552D69" w:rsidRPr="00504D41">
              <w:rPr>
                <w:rFonts w:ascii="Arial" w:hAnsi="Arial" w:cs="Arial"/>
                <w:b/>
                <w:noProof/>
                <w:sz w:val="16"/>
                <w:szCs w:val="16"/>
                <w:vertAlign w:val="superscript"/>
              </w:rPr>
              <w:t>5</w:t>
            </w:r>
          </w:p>
        </w:tc>
        <w:tc>
          <w:tcPr>
            <w:tcW w:w="1251" w:type="pct"/>
            <w:shd w:val="clear" w:color="auto" w:fill="auto"/>
            <w:vAlign w:val="center"/>
            <w:hideMark/>
          </w:tcPr>
          <w:p w14:paraId="616DD9D9" w14:textId="77777777" w:rsidR="00623959" w:rsidRPr="00504D41" w:rsidRDefault="00623959" w:rsidP="00A94367">
            <w:pPr>
              <w:spacing w:after="0" w:line="240" w:lineRule="auto"/>
              <w:rPr>
                <w:rFonts w:ascii="Arial" w:hAnsi="Arial" w:cs="Arial"/>
                <w:b/>
                <w:sz w:val="16"/>
                <w:szCs w:val="16"/>
              </w:rPr>
            </w:pPr>
            <w:r w:rsidRPr="00504D41">
              <w:rPr>
                <w:rFonts w:ascii="Arial" w:hAnsi="Arial" w:cs="Arial"/>
                <w:b/>
                <w:sz w:val="16"/>
                <w:szCs w:val="16"/>
              </w:rPr>
              <w:t>Common pests</w:t>
            </w:r>
          </w:p>
        </w:tc>
        <w:tc>
          <w:tcPr>
            <w:tcW w:w="773" w:type="pct"/>
            <w:shd w:val="clear" w:color="auto" w:fill="auto"/>
            <w:vAlign w:val="center"/>
            <w:hideMark/>
          </w:tcPr>
          <w:p w14:paraId="4E4B55C3" w14:textId="77777777" w:rsidR="00623959" w:rsidRPr="00504D41" w:rsidRDefault="00623959" w:rsidP="00A94367">
            <w:pPr>
              <w:spacing w:after="0" w:line="240" w:lineRule="auto"/>
              <w:rPr>
                <w:rFonts w:ascii="Arial" w:hAnsi="Arial" w:cs="Arial"/>
                <w:b/>
                <w:sz w:val="16"/>
                <w:szCs w:val="16"/>
              </w:rPr>
            </w:pPr>
            <w:r w:rsidRPr="00504D41">
              <w:rPr>
                <w:rFonts w:ascii="Arial" w:hAnsi="Arial" w:cs="Arial"/>
                <w:b/>
                <w:sz w:val="16"/>
                <w:szCs w:val="16"/>
              </w:rPr>
              <w:t>Common diseases</w:t>
            </w:r>
          </w:p>
        </w:tc>
        <w:tc>
          <w:tcPr>
            <w:tcW w:w="979" w:type="pct"/>
            <w:shd w:val="clear" w:color="auto" w:fill="auto"/>
            <w:vAlign w:val="center"/>
            <w:hideMark/>
          </w:tcPr>
          <w:p w14:paraId="3B260450" w14:textId="77777777" w:rsidR="00623959" w:rsidRPr="00504D41" w:rsidRDefault="00623959" w:rsidP="00A94367">
            <w:pPr>
              <w:spacing w:after="0" w:line="240" w:lineRule="auto"/>
              <w:rPr>
                <w:rFonts w:ascii="Arial" w:hAnsi="Arial" w:cs="Arial"/>
                <w:b/>
                <w:sz w:val="16"/>
                <w:szCs w:val="16"/>
              </w:rPr>
            </w:pPr>
            <w:r w:rsidRPr="00504D41">
              <w:rPr>
                <w:rFonts w:ascii="Arial" w:hAnsi="Arial" w:cs="Arial"/>
                <w:b/>
                <w:sz w:val="16"/>
                <w:szCs w:val="16"/>
              </w:rPr>
              <w:t>Seed treatment solutions</w:t>
            </w:r>
          </w:p>
        </w:tc>
        <w:tc>
          <w:tcPr>
            <w:tcW w:w="652" w:type="pct"/>
            <w:shd w:val="clear" w:color="auto" w:fill="auto"/>
            <w:vAlign w:val="center"/>
          </w:tcPr>
          <w:p w14:paraId="3C804F2C" w14:textId="77777777" w:rsidR="00623959" w:rsidRPr="00504D41" w:rsidRDefault="00623959" w:rsidP="00A94367">
            <w:pPr>
              <w:spacing w:after="0" w:line="240" w:lineRule="auto"/>
              <w:rPr>
                <w:rFonts w:ascii="Arial" w:hAnsi="Arial" w:cs="Arial"/>
                <w:b/>
                <w:sz w:val="16"/>
                <w:szCs w:val="16"/>
              </w:rPr>
            </w:pPr>
            <w:r w:rsidRPr="00504D41">
              <w:rPr>
                <w:rFonts w:ascii="Arial" w:hAnsi="Arial" w:cs="Arial"/>
                <w:b/>
                <w:sz w:val="16"/>
                <w:szCs w:val="16"/>
              </w:rPr>
              <w:t>Major suppliers</w:t>
            </w:r>
          </w:p>
        </w:tc>
      </w:tr>
      <w:tr w:rsidR="001F6006" w:rsidRPr="00504D41" w14:paraId="642B995E" w14:textId="77777777" w:rsidTr="00A94367">
        <w:trPr>
          <w:trHeight w:val="589"/>
        </w:trPr>
        <w:tc>
          <w:tcPr>
            <w:tcW w:w="546" w:type="pct"/>
            <w:shd w:val="clear" w:color="auto" w:fill="auto"/>
            <w:vAlign w:val="center"/>
            <w:hideMark/>
          </w:tcPr>
          <w:p w14:paraId="00E27B04" w14:textId="77777777" w:rsidR="00623959" w:rsidRPr="00504D41" w:rsidRDefault="00623959" w:rsidP="00A94367">
            <w:pPr>
              <w:spacing w:after="0" w:line="240" w:lineRule="auto"/>
              <w:ind w:left="-30" w:right="-25" w:hanging="25"/>
              <w:rPr>
                <w:rFonts w:ascii="Arial" w:hAnsi="Arial" w:cs="Arial"/>
                <w:b/>
                <w:sz w:val="16"/>
                <w:szCs w:val="16"/>
              </w:rPr>
            </w:pPr>
            <w:r w:rsidRPr="00504D41">
              <w:rPr>
                <w:rFonts w:ascii="Arial" w:hAnsi="Arial" w:cs="Arial"/>
                <w:b/>
                <w:sz w:val="16"/>
                <w:szCs w:val="16"/>
              </w:rPr>
              <w:t>Corn</w:t>
            </w:r>
          </w:p>
        </w:tc>
        <w:tc>
          <w:tcPr>
            <w:tcW w:w="799" w:type="pct"/>
            <w:shd w:val="clear" w:color="auto" w:fill="auto"/>
            <w:vAlign w:val="center"/>
          </w:tcPr>
          <w:p w14:paraId="0B9605AC" w14:textId="77777777" w:rsidR="00623959" w:rsidRPr="00504D41" w:rsidRDefault="00B85834" w:rsidP="00A94367">
            <w:pPr>
              <w:spacing w:after="0" w:line="240" w:lineRule="auto"/>
              <w:jc w:val="center"/>
              <w:rPr>
                <w:rFonts w:ascii="Arial" w:hAnsi="Arial" w:cs="Arial"/>
                <w:sz w:val="16"/>
                <w:szCs w:val="16"/>
              </w:rPr>
            </w:pPr>
            <w:r w:rsidRPr="00504D41">
              <w:rPr>
                <w:rFonts w:ascii="Arial" w:hAnsi="Arial" w:cs="Arial"/>
                <w:sz w:val="16"/>
                <w:szCs w:val="16"/>
              </w:rPr>
              <w:t>1,162</w:t>
            </w:r>
          </w:p>
        </w:tc>
        <w:tc>
          <w:tcPr>
            <w:tcW w:w="1251" w:type="pct"/>
            <w:shd w:val="clear" w:color="auto" w:fill="auto"/>
            <w:vAlign w:val="center"/>
            <w:hideMark/>
          </w:tcPr>
          <w:p w14:paraId="15645A53" w14:textId="77777777" w:rsidR="00623959" w:rsidRPr="00504D41" w:rsidRDefault="00623959" w:rsidP="00A94367">
            <w:pPr>
              <w:spacing w:after="0" w:line="240" w:lineRule="auto"/>
              <w:rPr>
                <w:rFonts w:ascii="Arial" w:hAnsi="Arial" w:cs="Arial"/>
                <w:sz w:val="16"/>
                <w:szCs w:val="16"/>
              </w:rPr>
            </w:pPr>
            <w:r w:rsidRPr="00504D41">
              <w:rPr>
                <w:rFonts w:ascii="Arial" w:hAnsi="Arial" w:cs="Arial"/>
                <w:sz w:val="16"/>
                <w:szCs w:val="16"/>
              </w:rPr>
              <w:t>Southern corn billbug; Southern green/brown stinkbug; Sugarcane beetle; Chinch bug and early season aphid; Corn rootworm; Wireworm; White grub Seed corn maggot; Black cutworm; Flea beetle Nematode</w:t>
            </w:r>
          </w:p>
        </w:tc>
        <w:tc>
          <w:tcPr>
            <w:tcW w:w="773" w:type="pct"/>
            <w:shd w:val="clear" w:color="auto" w:fill="auto"/>
            <w:vAlign w:val="center"/>
            <w:hideMark/>
          </w:tcPr>
          <w:p w14:paraId="45E9E207" w14:textId="77777777" w:rsidR="00623959" w:rsidRPr="00504D41" w:rsidRDefault="00623959" w:rsidP="00A94367">
            <w:pPr>
              <w:spacing w:after="0" w:line="240" w:lineRule="auto"/>
              <w:rPr>
                <w:rFonts w:ascii="Arial" w:hAnsi="Arial" w:cs="Arial"/>
                <w:sz w:val="16"/>
                <w:szCs w:val="16"/>
              </w:rPr>
            </w:pPr>
            <w:r w:rsidRPr="00504D41">
              <w:rPr>
                <w:rFonts w:ascii="Arial" w:hAnsi="Arial" w:cs="Arial"/>
                <w:sz w:val="16"/>
                <w:szCs w:val="16"/>
              </w:rPr>
              <w:t>Pythium (Midwest); Head smut</w:t>
            </w:r>
          </w:p>
        </w:tc>
        <w:tc>
          <w:tcPr>
            <w:tcW w:w="979" w:type="pct"/>
            <w:shd w:val="clear" w:color="auto" w:fill="auto"/>
            <w:vAlign w:val="center"/>
            <w:hideMark/>
          </w:tcPr>
          <w:p w14:paraId="38910DC2" w14:textId="77777777" w:rsidR="00623959" w:rsidRPr="00504D41" w:rsidRDefault="00623959" w:rsidP="00A94367">
            <w:pPr>
              <w:spacing w:after="0" w:line="240" w:lineRule="auto"/>
              <w:rPr>
                <w:rFonts w:ascii="Arial" w:hAnsi="Arial" w:cs="Arial"/>
                <w:sz w:val="16"/>
                <w:szCs w:val="16"/>
              </w:rPr>
            </w:pPr>
            <w:r w:rsidRPr="00504D41">
              <w:rPr>
                <w:rFonts w:ascii="Arial" w:hAnsi="Arial" w:cs="Arial"/>
                <w:sz w:val="16"/>
                <w:szCs w:val="16"/>
              </w:rPr>
              <w:t xml:space="preserve">Clothianidin; Imidacloprid; Thiamethoxam; Combinations of captan, carboxin, diazinon, maneb, or metalaxyl Metalaxyl and captan Abamectin and </w:t>
            </w:r>
            <w:r w:rsidRPr="00504D41">
              <w:rPr>
                <w:rFonts w:ascii="Arial" w:hAnsi="Arial" w:cs="Arial"/>
                <w:i/>
                <w:sz w:val="16"/>
                <w:szCs w:val="16"/>
              </w:rPr>
              <w:t>Bacillus firmus</w:t>
            </w:r>
            <w:r w:rsidRPr="00504D41">
              <w:rPr>
                <w:rFonts w:ascii="Arial" w:hAnsi="Arial" w:cs="Arial"/>
                <w:sz w:val="16"/>
                <w:szCs w:val="16"/>
              </w:rPr>
              <w:t>; Triticonazole</w:t>
            </w:r>
            <w:r w:rsidR="00E558F5" w:rsidRPr="00504D41">
              <w:rPr>
                <w:rFonts w:ascii="Arial" w:hAnsi="Arial" w:cs="Arial"/>
                <w:sz w:val="16"/>
                <w:szCs w:val="16"/>
              </w:rPr>
              <w:t>; Pro</w:t>
            </w:r>
            <w:r w:rsidR="00A706B6" w:rsidRPr="00504D41">
              <w:rPr>
                <w:rFonts w:ascii="Arial" w:hAnsi="Arial" w:cs="Arial"/>
                <w:sz w:val="16"/>
                <w:szCs w:val="16"/>
              </w:rPr>
              <w:t>thioconazole</w:t>
            </w:r>
          </w:p>
        </w:tc>
        <w:tc>
          <w:tcPr>
            <w:tcW w:w="652" w:type="pct"/>
            <w:shd w:val="clear" w:color="auto" w:fill="auto"/>
            <w:vAlign w:val="center"/>
          </w:tcPr>
          <w:p w14:paraId="2FC99A27" w14:textId="77777777" w:rsidR="00623959" w:rsidRPr="00504D41" w:rsidRDefault="00623959" w:rsidP="00A94367">
            <w:pPr>
              <w:spacing w:after="0" w:line="240" w:lineRule="auto"/>
              <w:rPr>
                <w:rFonts w:ascii="Arial" w:hAnsi="Arial" w:cs="Arial"/>
                <w:sz w:val="16"/>
                <w:szCs w:val="16"/>
              </w:rPr>
            </w:pPr>
            <w:r w:rsidRPr="00504D41">
              <w:rPr>
                <w:rFonts w:ascii="Arial" w:hAnsi="Arial" w:cs="Arial"/>
                <w:sz w:val="16"/>
                <w:szCs w:val="16"/>
              </w:rPr>
              <w:t>Bayer, Corteva, Syngenta, Vilmorin, KWS, AgReliant</w:t>
            </w:r>
          </w:p>
        </w:tc>
      </w:tr>
      <w:tr w:rsidR="001F6006" w:rsidRPr="00504D41" w14:paraId="43623BCD" w14:textId="77777777" w:rsidTr="00A94367">
        <w:trPr>
          <w:trHeight w:val="589"/>
        </w:trPr>
        <w:tc>
          <w:tcPr>
            <w:tcW w:w="546" w:type="pct"/>
            <w:shd w:val="clear" w:color="auto" w:fill="auto"/>
            <w:vAlign w:val="center"/>
            <w:hideMark/>
          </w:tcPr>
          <w:p w14:paraId="77A784C2" w14:textId="77777777" w:rsidR="00623959" w:rsidRPr="00504D41" w:rsidRDefault="00623959" w:rsidP="00A94367">
            <w:pPr>
              <w:spacing w:after="0" w:line="240" w:lineRule="auto"/>
              <w:ind w:left="-30" w:right="-25" w:hanging="25"/>
              <w:rPr>
                <w:rFonts w:ascii="Arial" w:hAnsi="Arial" w:cs="Arial"/>
                <w:b/>
                <w:sz w:val="16"/>
                <w:szCs w:val="16"/>
              </w:rPr>
            </w:pPr>
            <w:r w:rsidRPr="00504D41">
              <w:rPr>
                <w:rFonts w:ascii="Arial" w:hAnsi="Arial" w:cs="Arial"/>
                <w:b/>
                <w:sz w:val="16"/>
                <w:szCs w:val="16"/>
              </w:rPr>
              <w:t>Cotton</w:t>
            </w:r>
          </w:p>
        </w:tc>
        <w:tc>
          <w:tcPr>
            <w:tcW w:w="799" w:type="pct"/>
            <w:shd w:val="clear" w:color="auto" w:fill="auto"/>
            <w:vAlign w:val="center"/>
          </w:tcPr>
          <w:p w14:paraId="709D0FF8" w14:textId="77777777" w:rsidR="00623959" w:rsidRPr="00504D41" w:rsidRDefault="00D41BA9" w:rsidP="00A94367">
            <w:pPr>
              <w:spacing w:after="0" w:line="240" w:lineRule="auto"/>
              <w:jc w:val="center"/>
              <w:rPr>
                <w:rFonts w:ascii="Arial" w:hAnsi="Arial" w:cs="Arial"/>
                <w:sz w:val="16"/>
                <w:szCs w:val="16"/>
              </w:rPr>
            </w:pPr>
            <w:r w:rsidRPr="00504D41">
              <w:rPr>
                <w:rFonts w:ascii="Arial" w:hAnsi="Arial" w:cs="Arial"/>
                <w:sz w:val="16"/>
                <w:szCs w:val="16"/>
              </w:rPr>
              <w:t>83</w:t>
            </w:r>
          </w:p>
        </w:tc>
        <w:tc>
          <w:tcPr>
            <w:tcW w:w="1251" w:type="pct"/>
            <w:shd w:val="clear" w:color="auto" w:fill="auto"/>
            <w:vAlign w:val="center"/>
            <w:hideMark/>
          </w:tcPr>
          <w:p w14:paraId="547A82EC" w14:textId="77777777" w:rsidR="00623959" w:rsidRPr="00504D41" w:rsidRDefault="00623959" w:rsidP="00A94367">
            <w:pPr>
              <w:spacing w:after="0" w:line="240" w:lineRule="auto"/>
              <w:rPr>
                <w:rFonts w:ascii="Arial" w:hAnsi="Arial" w:cs="Arial"/>
                <w:sz w:val="16"/>
                <w:szCs w:val="16"/>
              </w:rPr>
            </w:pPr>
            <w:r w:rsidRPr="00504D41">
              <w:rPr>
                <w:rFonts w:ascii="Arial" w:hAnsi="Arial" w:cs="Arial"/>
                <w:sz w:val="16"/>
                <w:szCs w:val="16"/>
              </w:rPr>
              <w:t>Nematode; Thrip; Wireworm</w:t>
            </w:r>
          </w:p>
        </w:tc>
        <w:tc>
          <w:tcPr>
            <w:tcW w:w="773" w:type="pct"/>
            <w:shd w:val="clear" w:color="auto" w:fill="auto"/>
            <w:vAlign w:val="center"/>
            <w:hideMark/>
          </w:tcPr>
          <w:p w14:paraId="7AFD6BE0" w14:textId="77777777" w:rsidR="00623959" w:rsidRPr="00504D41" w:rsidRDefault="00623959" w:rsidP="00A94367">
            <w:pPr>
              <w:spacing w:after="0" w:line="240" w:lineRule="auto"/>
              <w:rPr>
                <w:rFonts w:ascii="Arial" w:hAnsi="Arial" w:cs="Arial"/>
                <w:sz w:val="16"/>
                <w:szCs w:val="16"/>
              </w:rPr>
            </w:pPr>
            <w:r w:rsidRPr="00504D41">
              <w:rPr>
                <w:rFonts w:ascii="Arial" w:hAnsi="Arial" w:cs="Arial"/>
                <w:sz w:val="16"/>
                <w:szCs w:val="16"/>
              </w:rPr>
              <w:t xml:space="preserve">Pythium; </w:t>
            </w:r>
            <w:r w:rsidRPr="00504D41">
              <w:rPr>
                <w:rFonts w:ascii="Arial" w:hAnsi="Arial" w:cs="Arial"/>
                <w:i/>
                <w:iCs/>
                <w:sz w:val="16"/>
                <w:szCs w:val="16"/>
              </w:rPr>
              <w:t>Rhizoctonia</w:t>
            </w:r>
            <w:r w:rsidRPr="00504D41">
              <w:rPr>
                <w:rFonts w:ascii="Arial" w:hAnsi="Arial" w:cs="Arial"/>
                <w:sz w:val="16"/>
                <w:szCs w:val="16"/>
              </w:rPr>
              <w:t xml:space="preserve">; </w:t>
            </w:r>
            <w:r w:rsidRPr="00504D41">
              <w:rPr>
                <w:rFonts w:ascii="Arial" w:hAnsi="Arial" w:cs="Arial"/>
                <w:i/>
                <w:iCs/>
                <w:sz w:val="16"/>
                <w:szCs w:val="16"/>
              </w:rPr>
              <w:t xml:space="preserve">Thielaviopsis </w:t>
            </w:r>
            <w:r w:rsidRPr="00504D41">
              <w:rPr>
                <w:rFonts w:ascii="Arial" w:hAnsi="Arial" w:cs="Arial"/>
                <w:sz w:val="16"/>
                <w:szCs w:val="16"/>
              </w:rPr>
              <w:t>black root</w:t>
            </w:r>
          </w:p>
        </w:tc>
        <w:tc>
          <w:tcPr>
            <w:tcW w:w="979" w:type="pct"/>
            <w:shd w:val="clear" w:color="auto" w:fill="auto"/>
            <w:vAlign w:val="center"/>
            <w:hideMark/>
          </w:tcPr>
          <w:p w14:paraId="67206FE7" w14:textId="77777777" w:rsidR="00623959" w:rsidRPr="00504D41" w:rsidRDefault="00623959" w:rsidP="00A94367">
            <w:pPr>
              <w:spacing w:after="0" w:line="240" w:lineRule="auto"/>
              <w:rPr>
                <w:rFonts w:ascii="Arial" w:hAnsi="Arial" w:cs="Arial"/>
                <w:sz w:val="16"/>
                <w:szCs w:val="16"/>
              </w:rPr>
            </w:pPr>
            <w:r w:rsidRPr="00504D41">
              <w:rPr>
                <w:rFonts w:ascii="Arial" w:hAnsi="Arial" w:cs="Arial"/>
                <w:sz w:val="16"/>
                <w:szCs w:val="16"/>
              </w:rPr>
              <w:t>Metalaxyl; Triadimenol or myclobutanil; Abemectin and Larvin; Imidacloprid and thiamethoxam; Disulfoton</w:t>
            </w:r>
          </w:p>
        </w:tc>
        <w:tc>
          <w:tcPr>
            <w:tcW w:w="652" w:type="pct"/>
            <w:shd w:val="clear" w:color="auto" w:fill="auto"/>
            <w:vAlign w:val="center"/>
          </w:tcPr>
          <w:p w14:paraId="6271D0C0" w14:textId="77777777" w:rsidR="00623959" w:rsidRPr="00504D41" w:rsidRDefault="00623959" w:rsidP="00A94367">
            <w:pPr>
              <w:spacing w:after="0" w:line="240" w:lineRule="auto"/>
              <w:rPr>
                <w:rFonts w:ascii="Arial" w:hAnsi="Arial" w:cs="Arial"/>
                <w:sz w:val="16"/>
                <w:szCs w:val="16"/>
              </w:rPr>
            </w:pPr>
            <w:r w:rsidRPr="00504D41">
              <w:rPr>
                <w:rFonts w:ascii="Arial" w:hAnsi="Arial" w:cs="Arial"/>
                <w:sz w:val="16"/>
                <w:szCs w:val="16"/>
              </w:rPr>
              <w:t>Corteva, Bayer, Syngenta</w:t>
            </w:r>
          </w:p>
        </w:tc>
      </w:tr>
      <w:tr w:rsidR="001F6006" w:rsidRPr="00504D41" w14:paraId="7328C841" w14:textId="77777777" w:rsidTr="00A94367">
        <w:trPr>
          <w:trHeight w:val="589"/>
        </w:trPr>
        <w:tc>
          <w:tcPr>
            <w:tcW w:w="546" w:type="pct"/>
            <w:shd w:val="clear" w:color="auto" w:fill="auto"/>
            <w:vAlign w:val="center"/>
            <w:hideMark/>
          </w:tcPr>
          <w:p w14:paraId="2A9D1073" w14:textId="77777777" w:rsidR="00623959" w:rsidRPr="00504D41" w:rsidRDefault="00623959" w:rsidP="00A94367">
            <w:pPr>
              <w:spacing w:after="0" w:line="240" w:lineRule="auto"/>
              <w:ind w:left="-30" w:right="-25" w:hanging="25"/>
              <w:rPr>
                <w:rFonts w:ascii="Arial" w:hAnsi="Arial" w:cs="Arial"/>
                <w:b/>
                <w:sz w:val="16"/>
                <w:szCs w:val="16"/>
              </w:rPr>
            </w:pPr>
            <w:r w:rsidRPr="00504D41">
              <w:rPr>
                <w:rFonts w:ascii="Arial" w:hAnsi="Arial" w:cs="Arial"/>
                <w:b/>
                <w:sz w:val="16"/>
                <w:szCs w:val="16"/>
              </w:rPr>
              <w:t>Sorghum</w:t>
            </w:r>
          </w:p>
        </w:tc>
        <w:tc>
          <w:tcPr>
            <w:tcW w:w="799" w:type="pct"/>
            <w:shd w:val="clear" w:color="auto" w:fill="auto"/>
            <w:vAlign w:val="center"/>
          </w:tcPr>
          <w:p w14:paraId="668CD19C" w14:textId="77777777" w:rsidR="00623959" w:rsidRPr="00504D41" w:rsidRDefault="00B85834" w:rsidP="00A94367">
            <w:pPr>
              <w:spacing w:after="0" w:line="240" w:lineRule="auto"/>
              <w:jc w:val="center"/>
              <w:rPr>
                <w:rFonts w:ascii="Arial" w:hAnsi="Arial" w:cs="Arial"/>
                <w:sz w:val="16"/>
                <w:szCs w:val="16"/>
              </w:rPr>
            </w:pPr>
            <w:r w:rsidRPr="00504D41">
              <w:rPr>
                <w:rFonts w:ascii="Arial" w:hAnsi="Arial" w:cs="Arial"/>
                <w:sz w:val="16"/>
                <w:szCs w:val="16"/>
              </w:rPr>
              <w:t>59</w:t>
            </w:r>
          </w:p>
        </w:tc>
        <w:tc>
          <w:tcPr>
            <w:tcW w:w="1251" w:type="pct"/>
            <w:shd w:val="clear" w:color="auto" w:fill="auto"/>
            <w:vAlign w:val="center"/>
            <w:hideMark/>
          </w:tcPr>
          <w:p w14:paraId="4352329A" w14:textId="77777777" w:rsidR="00623959" w:rsidRPr="00504D41" w:rsidRDefault="00623959" w:rsidP="00A94367">
            <w:pPr>
              <w:spacing w:after="0" w:line="240" w:lineRule="auto"/>
              <w:rPr>
                <w:rFonts w:ascii="Arial" w:hAnsi="Arial" w:cs="Arial"/>
                <w:sz w:val="16"/>
                <w:szCs w:val="16"/>
              </w:rPr>
            </w:pPr>
            <w:r w:rsidRPr="00504D41">
              <w:rPr>
                <w:rFonts w:ascii="Arial" w:hAnsi="Arial" w:cs="Arial"/>
                <w:sz w:val="16"/>
                <w:szCs w:val="16"/>
              </w:rPr>
              <w:t>Chinch bug; Aphid (greenbug, yellow sugarcane aphid); Red fire ant</w:t>
            </w:r>
          </w:p>
        </w:tc>
        <w:tc>
          <w:tcPr>
            <w:tcW w:w="773" w:type="pct"/>
            <w:shd w:val="clear" w:color="auto" w:fill="auto"/>
            <w:vAlign w:val="center"/>
            <w:hideMark/>
          </w:tcPr>
          <w:p w14:paraId="436C0B1F" w14:textId="77777777" w:rsidR="00623959" w:rsidRPr="00504D41" w:rsidRDefault="00623959" w:rsidP="00A94367">
            <w:pPr>
              <w:spacing w:after="0" w:line="240" w:lineRule="auto"/>
              <w:rPr>
                <w:rFonts w:ascii="Arial" w:hAnsi="Arial" w:cs="Arial"/>
                <w:sz w:val="16"/>
                <w:szCs w:val="16"/>
              </w:rPr>
            </w:pPr>
          </w:p>
        </w:tc>
        <w:tc>
          <w:tcPr>
            <w:tcW w:w="979" w:type="pct"/>
            <w:shd w:val="clear" w:color="auto" w:fill="auto"/>
            <w:vAlign w:val="center"/>
            <w:hideMark/>
          </w:tcPr>
          <w:p w14:paraId="22F3818D" w14:textId="77777777" w:rsidR="00623959" w:rsidRPr="00504D41" w:rsidRDefault="00623959" w:rsidP="00A94367">
            <w:pPr>
              <w:spacing w:after="0" w:line="240" w:lineRule="auto"/>
              <w:rPr>
                <w:rFonts w:ascii="Arial" w:hAnsi="Arial" w:cs="Arial"/>
                <w:sz w:val="16"/>
                <w:szCs w:val="16"/>
              </w:rPr>
            </w:pPr>
            <w:r w:rsidRPr="00504D41">
              <w:rPr>
                <w:rFonts w:ascii="Arial" w:hAnsi="Arial" w:cs="Arial"/>
                <w:sz w:val="16"/>
                <w:szCs w:val="16"/>
              </w:rPr>
              <w:t>Imidacloprid; Thiamethoxam; Fluxofenim</w:t>
            </w:r>
          </w:p>
        </w:tc>
        <w:tc>
          <w:tcPr>
            <w:tcW w:w="652" w:type="pct"/>
            <w:shd w:val="clear" w:color="auto" w:fill="auto"/>
            <w:vAlign w:val="center"/>
          </w:tcPr>
          <w:p w14:paraId="72BDB72A" w14:textId="77777777" w:rsidR="00623959" w:rsidRPr="00504D41" w:rsidRDefault="00623959" w:rsidP="00A94367">
            <w:pPr>
              <w:spacing w:after="0" w:line="240" w:lineRule="auto"/>
              <w:rPr>
                <w:rFonts w:ascii="Arial" w:hAnsi="Arial" w:cs="Arial"/>
                <w:sz w:val="16"/>
                <w:szCs w:val="16"/>
              </w:rPr>
            </w:pPr>
            <w:r w:rsidRPr="00504D41">
              <w:rPr>
                <w:rFonts w:ascii="Arial" w:hAnsi="Arial" w:cs="Arial"/>
                <w:sz w:val="16"/>
                <w:szCs w:val="16"/>
              </w:rPr>
              <w:t>Vilmorin, KWS, Syngenta</w:t>
            </w:r>
          </w:p>
        </w:tc>
      </w:tr>
      <w:tr w:rsidR="001F6006" w:rsidRPr="00504D41" w14:paraId="561AEFAB" w14:textId="77777777" w:rsidTr="00A94367">
        <w:trPr>
          <w:trHeight w:val="589"/>
        </w:trPr>
        <w:tc>
          <w:tcPr>
            <w:tcW w:w="546" w:type="pct"/>
            <w:shd w:val="clear" w:color="auto" w:fill="auto"/>
            <w:vAlign w:val="center"/>
            <w:hideMark/>
          </w:tcPr>
          <w:p w14:paraId="7E976B82" w14:textId="77777777" w:rsidR="00623959" w:rsidRPr="00504D41" w:rsidRDefault="00623959" w:rsidP="00A94367">
            <w:pPr>
              <w:spacing w:after="0" w:line="240" w:lineRule="auto"/>
              <w:ind w:left="-30" w:right="-25" w:hanging="25"/>
              <w:rPr>
                <w:rFonts w:ascii="Arial" w:hAnsi="Arial" w:cs="Arial"/>
                <w:b/>
                <w:sz w:val="16"/>
                <w:szCs w:val="16"/>
              </w:rPr>
            </w:pPr>
            <w:r w:rsidRPr="00504D41">
              <w:rPr>
                <w:rFonts w:ascii="Arial" w:hAnsi="Arial" w:cs="Arial"/>
                <w:b/>
                <w:sz w:val="16"/>
                <w:szCs w:val="16"/>
              </w:rPr>
              <w:t>Canola</w:t>
            </w:r>
          </w:p>
        </w:tc>
        <w:tc>
          <w:tcPr>
            <w:tcW w:w="799" w:type="pct"/>
            <w:shd w:val="clear" w:color="auto" w:fill="auto"/>
            <w:vAlign w:val="center"/>
          </w:tcPr>
          <w:p w14:paraId="12044AD9" w14:textId="77777777" w:rsidR="00623959" w:rsidRPr="00504D41" w:rsidRDefault="00B85834" w:rsidP="00A94367">
            <w:pPr>
              <w:spacing w:after="0" w:line="240" w:lineRule="auto"/>
              <w:jc w:val="center"/>
              <w:rPr>
                <w:rFonts w:ascii="Arial" w:hAnsi="Arial" w:cs="Arial"/>
                <w:sz w:val="16"/>
                <w:szCs w:val="16"/>
              </w:rPr>
            </w:pPr>
            <w:r w:rsidRPr="00504D41">
              <w:rPr>
                <w:rFonts w:ascii="Arial" w:hAnsi="Arial" w:cs="Arial"/>
                <w:sz w:val="16"/>
                <w:szCs w:val="16"/>
              </w:rPr>
              <w:t>72</w:t>
            </w:r>
          </w:p>
        </w:tc>
        <w:tc>
          <w:tcPr>
            <w:tcW w:w="1251" w:type="pct"/>
            <w:shd w:val="clear" w:color="auto" w:fill="auto"/>
            <w:vAlign w:val="center"/>
            <w:hideMark/>
          </w:tcPr>
          <w:p w14:paraId="49B81A9B" w14:textId="77777777" w:rsidR="00623959" w:rsidRPr="00504D41" w:rsidRDefault="00623959" w:rsidP="00A94367">
            <w:pPr>
              <w:spacing w:after="0" w:line="240" w:lineRule="auto"/>
              <w:rPr>
                <w:rFonts w:ascii="Arial" w:hAnsi="Arial" w:cs="Arial"/>
                <w:sz w:val="16"/>
                <w:szCs w:val="16"/>
              </w:rPr>
            </w:pPr>
            <w:r w:rsidRPr="00504D41">
              <w:rPr>
                <w:rFonts w:ascii="Arial" w:hAnsi="Arial" w:cs="Arial"/>
                <w:sz w:val="16"/>
                <w:szCs w:val="16"/>
              </w:rPr>
              <w:t>Crucifer flea beetl</w:t>
            </w:r>
            <w:r w:rsidR="00C94E45" w:rsidRPr="00504D41">
              <w:rPr>
                <w:rFonts w:ascii="Arial" w:hAnsi="Arial" w:cs="Arial"/>
                <w:sz w:val="16"/>
                <w:szCs w:val="16"/>
              </w:rPr>
              <w:t>e</w:t>
            </w:r>
            <w:r w:rsidR="00E174FD" w:rsidRPr="00504D41">
              <w:rPr>
                <w:rFonts w:ascii="Arial" w:hAnsi="Arial" w:cs="Arial"/>
                <w:sz w:val="16"/>
                <w:szCs w:val="16"/>
              </w:rPr>
              <w:t>, cabbage root fly</w:t>
            </w:r>
          </w:p>
        </w:tc>
        <w:tc>
          <w:tcPr>
            <w:tcW w:w="773" w:type="pct"/>
            <w:shd w:val="clear" w:color="auto" w:fill="auto"/>
            <w:vAlign w:val="center"/>
            <w:hideMark/>
          </w:tcPr>
          <w:p w14:paraId="36E199DB" w14:textId="77777777" w:rsidR="00623959" w:rsidRPr="00504D41" w:rsidRDefault="00623959" w:rsidP="00A94367">
            <w:pPr>
              <w:spacing w:after="0" w:line="240" w:lineRule="auto"/>
              <w:rPr>
                <w:rFonts w:ascii="Arial" w:hAnsi="Arial" w:cs="Arial"/>
                <w:sz w:val="16"/>
                <w:szCs w:val="16"/>
              </w:rPr>
            </w:pPr>
            <w:r w:rsidRPr="00504D41">
              <w:rPr>
                <w:rFonts w:ascii="Arial" w:hAnsi="Arial" w:cs="Arial"/>
                <w:sz w:val="16"/>
                <w:szCs w:val="16"/>
              </w:rPr>
              <w:t>Seed-borne black leg</w:t>
            </w:r>
          </w:p>
        </w:tc>
        <w:tc>
          <w:tcPr>
            <w:tcW w:w="979" w:type="pct"/>
            <w:shd w:val="clear" w:color="auto" w:fill="auto"/>
            <w:vAlign w:val="center"/>
            <w:hideMark/>
          </w:tcPr>
          <w:p w14:paraId="07D82F78" w14:textId="77777777" w:rsidR="00623959" w:rsidRPr="00504D41" w:rsidRDefault="00623959" w:rsidP="00A94367">
            <w:pPr>
              <w:spacing w:after="0" w:line="240" w:lineRule="auto"/>
              <w:rPr>
                <w:rFonts w:ascii="Arial" w:hAnsi="Arial" w:cs="Arial"/>
                <w:sz w:val="16"/>
                <w:szCs w:val="16"/>
              </w:rPr>
            </w:pPr>
            <w:r w:rsidRPr="00504D41">
              <w:rPr>
                <w:rFonts w:ascii="Arial" w:hAnsi="Arial" w:cs="Arial"/>
                <w:sz w:val="16"/>
                <w:szCs w:val="16"/>
              </w:rPr>
              <w:t>Benzimidazole; Dicarboximide; Morpholine; Imidacloprid; Clothianidin; Thiamethoxam</w:t>
            </w:r>
            <w:r w:rsidR="000318D8" w:rsidRPr="00504D41">
              <w:rPr>
                <w:rFonts w:ascii="Arial" w:hAnsi="Arial" w:cs="Arial"/>
                <w:sz w:val="16"/>
                <w:szCs w:val="16"/>
              </w:rPr>
              <w:t>; Flu</w:t>
            </w:r>
            <w:r w:rsidR="00C94E45" w:rsidRPr="00504D41">
              <w:rPr>
                <w:rFonts w:ascii="Arial" w:hAnsi="Arial" w:cs="Arial"/>
                <w:sz w:val="16"/>
                <w:szCs w:val="16"/>
              </w:rPr>
              <w:t>pyradifurone</w:t>
            </w:r>
          </w:p>
        </w:tc>
        <w:tc>
          <w:tcPr>
            <w:tcW w:w="652" w:type="pct"/>
            <w:shd w:val="clear" w:color="auto" w:fill="auto"/>
            <w:vAlign w:val="center"/>
          </w:tcPr>
          <w:p w14:paraId="0BA1B7F5" w14:textId="77777777" w:rsidR="00623959" w:rsidRPr="00504D41" w:rsidRDefault="00623959" w:rsidP="00A94367">
            <w:pPr>
              <w:spacing w:after="0" w:line="240" w:lineRule="auto"/>
              <w:rPr>
                <w:rFonts w:ascii="Arial" w:hAnsi="Arial" w:cs="Arial"/>
                <w:sz w:val="16"/>
                <w:szCs w:val="16"/>
              </w:rPr>
            </w:pPr>
            <w:r w:rsidRPr="00504D41">
              <w:rPr>
                <w:rFonts w:ascii="Arial" w:hAnsi="Arial" w:cs="Arial"/>
                <w:sz w:val="16"/>
                <w:szCs w:val="16"/>
              </w:rPr>
              <w:t>Bayer</w:t>
            </w:r>
          </w:p>
        </w:tc>
      </w:tr>
      <w:tr w:rsidR="001F6006" w:rsidRPr="00504D41" w14:paraId="0E8401A6" w14:textId="77777777" w:rsidTr="00A94367">
        <w:trPr>
          <w:trHeight w:val="589"/>
        </w:trPr>
        <w:tc>
          <w:tcPr>
            <w:tcW w:w="546" w:type="pct"/>
            <w:shd w:val="clear" w:color="auto" w:fill="auto"/>
            <w:vAlign w:val="center"/>
            <w:hideMark/>
          </w:tcPr>
          <w:p w14:paraId="62695FC4" w14:textId="77777777" w:rsidR="00623959" w:rsidRPr="00504D41" w:rsidRDefault="00623959" w:rsidP="00A94367">
            <w:pPr>
              <w:spacing w:after="0" w:line="240" w:lineRule="auto"/>
              <w:ind w:left="-30" w:right="-25" w:hanging="25"/>
              <w:rPr>
                <w:rFonts w:ascii="Arial" w:hAnsi="Arial" w:cs="Arial"/>
                <w:b/>
                <w:sz w:val="16"/>
                <w:szCs w:val="16"/>
              </w:rPr>
            </w:pPr>
            <w:r w:rsidRPr="00504D41">
              <w:rPr>
                <w:rFonts w:ascii="Arial" w:hAnsi="Arial" w:cs="Arial"/>
                <w:b/>
                <w:sz w:val="16"/>
                <w:szCs w:val="16"/>
              </w:rPr>
              <w:t>Small grains</w:t>
            </w:r>
          </w:p>
          <w:p w14:paraId="7F8BCA93" w14:textId="77777777" w:rsidR="00623959" w:rsidRPr="00504D41" w:rsidRDefault="00623959" w:rsidP="00A94367">
            <w:pPr>
              <w:numPr>
                <w:ilvl w:val="0"/>
                <w:numId w:val="11"/>
              </w:numPr>
              <w:tabs>
                <w:tab w:val="clear" w:pos="720"/>
                <w:tab w:val="num" w:pos="60"/>
              </w:tabs>
              <w:spacing w:after="0" w:line="240" w:lineRule="auto"/>
              <w:ind w:left="-30" w:right="-25" w:hanging="25"/>
              <w:rPr>
                <w:rFonts w:ascii="Arial" w:hAnsi="Arial" w:cs="Arial"/>
                <w:b/>
                <w:sz w:val="16"/>
                <w:szCs w:val="16"/>
              </w:rPr>
            </w:pPr>
            <w:r w:rsidRPr="00504D41">
              <w:rPr>
                <w:rFonts w:ascii="Arial" w:hAnsi="Arial" w:cs="Arial"/>
                <w:b/>
                <w:sz w:val="16"/>
                <w:szCs w:val="16"/>
              </w:rPr>
              <w:t>Oat</w:t>
            </w:r>
          </w:p>
          <w:p w14:paraId="30E76A94" w14:textId="77777777" w:rsidR="00623959" w:rsidRPr="00504D41" w:rsidRDefault="00623959" w:rsidP="00A94367">
            <w:pPr>
              <w:numPr>
                <w:ilvl w:val="0"/>
                <w:numId w:val="11"/>
              </w:numPr>
              <w:tabs>
                <w:tab w:val="clear" w:pos="720"/>
                <w:tab w:val="num" w:pos="60"/>
              </w:tabs>
              <w:spacing w:after="0" w:line="240" w:lineRule="auto"/>
              <w:ind w:left="-30" w:right="-25" w:hanging="25"/>
              <w:rPr>
                <w:rFonts w:ascii="Arial" w:hAnsi="Arial" w:cs="Arial"/>
                <w:b/>
                <w:sz w:val="16"/>
                <w:szCs w:val="16"/>
              </w:rPr>
            </w:pPr>
            <w:r w:rsidRPr="00504D41">
              <w:rPr>
                <w:rFonts w:ascii="Arial" w:hAnsi="Arial" w:cs="Arial"/>
                <w:b/>
                <w:sz w:val="16"/>
                <w:szCs w:val="16"/>
              </w:rPr>
              <w:t>Wheat</w:t>
            </w:r>
          </w:p>
          <w:p w14:paraId="38F08F4D" w14:textId="77777777" w:rsidR="00623959" w:rsidRPr="00504D41" w:rsidRDefault="00623959" w:rsidP="00A94367">
            <w:pPr>
              <w:numPr>
                <w:ilvl w:val="0"/>
                <w:numId w:val="11"/>
              </w:numPr>
              <w:tabs>
                <w:tab w:val="clear" w:pos="720"/>
                <w:tab w:val="num" w:pos="60"/>
              </w:tabs>
              <w:spacing w:after="0" w:line="240" w:lineRule="auto"/>
              <w:ind w:left="-30" w:right="-25" w:hanging="25"/>
              <w:rPr>
                <w:rFonts w:ascii="Arial" w:hAnsi="Arial" w:cs="Arial"/>
                <w:b/>
                <w:sz w:val="16"/>
                <w:szCs w:val="16"/>
              </w:rPr>
            </w:pPr>
            <w:r w:rsidRPr="00504D41">
              <w:rPr>
                <w:rFonts w:ascii="Arial" w:hAnsi="Arial" w:cs="Arial"/>
                <w:b/>
                <w:sz w:val="16"/>
                <w:szCs w:val="16"/>
              </w:rPr>
              <w:t>Barley</w:t>
            </w:r>
          </w:p>
        </w:tc>
        <w:tc>
          <w:tcPr>
            <w:tcW w:w="799" w:type="pct"/>
            <w:shd w:val="clear" w:color="auto" w:fill="auto"/>
            <w:vAlign w:val="center"/>
          </w:tcPr>
          <w:p w14:paraId="7FB64726" w14:textId="77777777" w:rsidR="00652513" w:rsidRPr="00504D41" w:rsidRDefault="00652513" w:rsidP="00A94367">
            <w:pPr>
              <w:spacing w:after="0" w:line="240" w:lineRule="auto"/>
              <w:jc w:val="center"/>
              <w:rPr>
                <w:rFonts w:ascii="Arial" w:hAnsi="Arial" w:cs="Arial"/>
                <w:sz w:val="16"/>
                <w:szCs w:val="16"/>
              </w:rPr>
            </w:pPr>
          </w:p>
          <w:p w14:paraId="0ED47644" w14:textId="77777777" w:rsidR="00623959" w:rsidRPr="00504D41" w:rsidRDefault="00B85834" w:rsidP="00A94367">
            <w:pPr>
              <w:spacing w:after="0" w:line="240" w:lineRule="auto"/>
              <w:jc w:val="center"/>
              <w:rPr>
                <w:rFonts w:ascii="Arial" w:hAnsi="Arial" w:cs="Arial"/>
                <w:sz w:val="16"/>
                <w:szCs w:val="16"/>
              </w:rPr>
            </w:pPr>
            <w:r w:rsidRPr="00504D41">
              <w:rPr>
                <w:rFonts w:ascii="Arial" w:hAnsi="Arial" w:cs="Arial"/>
                <w:sz w:val="16"/>
                <w:szCs w:val="16"/>
              </w:rPr>
              <w:t>25</w:t>
            </w:r>
            <w:r w:rsidR="00652513" w:rsidRPr="00504D41">
              <w:rPr>
                <w:rFonts w:ascii="Arial" w:hAnsi="Arial" w:cs="Arial"/>
                <w:sz w:val="16"/>
                <w:szCs w:val="16"/>
              </w:rPr>
              <w:t>,</w:t>
            </w:r>
          </w:p>
          <w:p w14:paraId="07C9D31E" w14:textId="77777777" w:rsidR="00623959" w:rsidRPr="00504D41" w:rsidRDefault="00B85834" w:rsidP="00A94367">
            <w:pPr>
              <w:spacing w:after="0" w:line="240" w:lineRule="auto"/>
              <w:jc w:val="center"/>
              <w:rPr>
                <w:rFonts w:ascii="Arial" w:hAnsi="Arial" w:cs="Arial"/>
                <w:sz w:val="16"/>
                <w:szCs w:val="16"/>
              </w:rPr>
            </w:pPr>
            <w:r w:rsidRPr="00504D41">
              <w:rPr>
                <w:rFonts w:ascii="Arial" w:hAnsi="Arial" w:cs="Arial"/>
                <w:sz w:val="16"/>
                <w:szCs w:val="16"/>
              </w:rPr>
              <w:t>760</w:t>
            </w:r>
            <w:r w:rsidR="00623959" w:rsidRPr="00504D41">
              <w:rPr>
                <w:rFonts w:ascii="Arial" w:hAnsi="Arial" w:cs="Arial"/>
                <w:sz w:val="16"/>
                <w:szCs w:val="16"/>
              </w:rPr>
              <w:t>,</w:t>
            </w:r>
          </w:p>
          <w:p w14:paraId="64B4D327" w14:textId="77777777" w:rsidR="00623959" w:rsidRPr="00504D41" w:rsidRDefault="00B85834" w:rsidP="00A94367">
            <w:pPr>
              <w:spacing w:after="0" w:line="240" w:lineRule="auto"/>
              <w:jc w:val="center"/>
              <w:rPr>
                <w:rFonts w:ascii="Arial" w:hAnsi="Arial" w:cs="Arial"/>
                <w:sz w:val="16"/>
                <w:szCs w:val="16"/>
              </w:rPr>
            </w:pPr>
            <w:r w:rsidRPr="00504D41">
              <w:rPr>
                <w:rFonts w:ascii="Arial" w:hAnsi="Arial" w:cs="Arial"/>
                <w:sz w:val="16"/>
                <w:szCs w:val="16"/>
              </w:rPr>
              <w:t>157</w:t>
            </w:r>
            <w:r w:rsidR="00623959" w:rsidRPr="00504D41">
              <w:rPr>
                <w:rFonts w:ascii="Arial" w:hAnsi="Arial" w:cs="Arial"/>
                <w:sz w:val="16"/>
                <w:szCs w:val="16"/>
              </w:rPr>
              <w:t xml:space="preserve"> </w:t>
            </w:r>
          </w:p>
        </w:tc>
        <w:tc>
          <w:tcPr>
            <w:tcW w:w="1251" w:type="pct"/>
            <w:shd w:val="clear" w:color="auto" w:fill="auto"/>
            <w:vAlign w:val="center"/>
            <w:hideMark/>
          </w:tcPr>
          <w:p w14:paraId="08157449" w14:textId="77777777" w:rsidR="00623959" w:rsidRPr="00504D41" w:rsidRDefault="00623959" w:rsidP="00A94367">
            <w:pPr>
              <w:spacing w:after="0" w:line="240" w:lineRule="auto"/>
              <w:rPr>
                <w:rFonts w:ascii="Arial" w:hAnsi="Arial" w:cs="Arial"/>
                <w:sz w:val="16"/>
                <w:szCs w:val="16"/>
              </w:rPr>
            </w:pPr>
            <w:r w:rsidRPr="00504D41">
              <w:rPr>
                <w:rFonts w:ascii="Arial" w:hAnsi="Arial" w:cs="Arial"/>
                <w:sz w:val="16"/>
                <w:szCs w:val="16"/>
              </w:rPr>
              <w:t>Hessian fly; Wireworm; Aphid – vector of barley yellow dwarf virus (BYDV)</w:t>
            </w:r>
          </w:p>
        </w:tc>
        <w:tc>
          <w:tcPr>
            <w:tcW w:w="773" w:type="pct"/>
            <w:shd w:val="clear" w:color="auto" w:fill="auto"/>
            <w:vAlign w:val="center"/>
            <w:hideMark/>
          </w:tcPr>
          <w:p w14:paraId="3A1AC453" w14:textId="77777777" w:rsidR="00623959" w:rsidRPr="00504D41" w:rsidRDefault="00623959" w:rsidP="00A94367">
            <w:pPr>
              <w:spacing w:after="0" w:line="240" w:lineRule="auto"/>
              <w:rPr>
                <w:rFonts w:ascii="Arial" w:hAnsi="Arial" w:cs="Arial"/>
                <w:sz w:val="16"/>
                <w:szCs w:val="16"/>
              </w:rPr>
            </w:pPr>
            <w:r w:rsidRPr="00504D41">
              <w:rPr>
                <w:rFonts w:ascii="Arial" w:hAnsi="Arial" w:cs="Arial"/>
                <w:sz w:val="16"/>
                <w:szCs w:val="16"/>
              </w:rPr>
              <w:t>Dwarf bunt; Loose smut; Black point (</w:t>
            </w:r>
            <w:r w:rsidRPr="00504D41">
              <w:rPr>
                <w:rFonts w:ascii="Arial" w:hAnsi="Arial" w:cs="Arial"/>
                <w:i/>
                <w:sz w:val="16"/>
                <w:szCs w:val="16"/>
              </w:rPr>
              <w:t>Fusarium</w:t>
            </w:r>
            <w:r w:rsidRPr="00504D41">
              <w:rPr>
                <w:rFonts w:ascii="Arial" w:hAnsi="Arial" w:cs="Arial"/>
                <w:sz w:val="16"/>
                <w:szCs w:val="16"/>
              </w:rPr>
              <w:t xml:space="preserve"> scab); Pythium; Loose and covered smut; Dry seed decay</w:t>
            </w:r>
          </w:p>
        </w:tc>
        <w:tc>
          <w:tcPr>
            <w:tcW w:w="979" w:type="pct"/>
            <w:shd w:val="clear" w:color="auto" w:fill="auto"/>
            <w:vAlign w:val="center"/>
            <w:hideMark/>
          </w:tcPr>
          <w:p w14:paraId="2FEA79A6" w14:textId="77777777" w:rsidR="00623959" w:rsidRPr="00504D41" w:rsidRDefault="00623959" w:rsidP="00A94367">
            <w:pPr>
              <w:spacing w:after="0" w:line="240" w:lineRule="auto"/>
              <w:rPr>
                <w:rFonts w:ascii="Arial" w:hAnsi="Arial" w:cs="Arial"/>
                <w:sz w:val="16"/>
                <w:szCs w:val="16"/>
              </w:rPr>
            </w:pPr>
            <w:r w:rsidRPr="00504D41">
              <w:rPr>
                <w:rFonts w:ascii="Arial" w:hAnsi="Arial" w:cs="Arial"/>
                <w:sz w:val="16"/>
                <w:szCs w:val="16"/>
              </w:rPr>
              <w:t>Difenoconazole; Carboxin; Imidacloprid; Triticonazole; Thiamethoxam; Imazalil; Clothianidin; Metalaxyl</w:t>
            </w:r>
          </w:p>
        </w:tc>
        <w:tc>
          <w:tcPr>
            <w:tcW w:w="652" w:type="pct"/>
            <w:shd w:val="clear" w:color="auto" w:fill="auto"/>
            <w:vAlign w:val="center"/>
          </w:tcPr>
          <w:p w14:paraId="51499272" w14:textId="77777777" w:rsidR="00623959" w:rsidRPr="00504D41" w:rsidRDefault="00623959" w:rsidP="00A94367">
            <w:pPr>
              <w:spacing w:after="0" w:line="240" w:lineRule="auto"/>
              <w:rPr>
                <w:rFonts w:ascii="Arial" w:hAnsi="Arial" w:cs="Arial"/>
                <w:sz w:val="16"/>
                <w:szCs w:val="16"/>
              </w:rPr>
            </w:pPr>
            <w:r w:rsidRPr="00504D41">
              <w:rPr>
                <w:rFonts w:ascii="Arial" w:hAnsi="Arial" w:cs="Arial"/>
                <w:sz w:val="16"/>
                <w:szCs w:val="16"/>
              </w:rPr>
              <w:t>Vilmorin, KWS</w:t>
            </w:r>
          </w:p>
        </w:tc>
      </w:tr>
      <w:tr w:rsidR="001F6006" w:rsidRPr="00504D41" w14:paraId="2BAB2D7F" w14:textId="77777777" w:rsidTr="00A94367">
        <w:trPr>
          <w:trHeight w:val="589"/>
        </w:trPr>
        <w:tc>
          <w:tcPr>
            <w:tcW w:w="546" w:type="pct"/>
            <w:shd w:val="clear" w:color="auto" w:fill="auto"/>
            <w:vAlign w:val="center"/>
            <w:hideMark/>
          </w:tcPr>
          <w:p w14:paraId="793FF5CC" w14:textId="77777777" w:rsidR="00623959" w:rsidRPr="00504D41" w:rsidRDefault="00623959" w:rsidP="00A94367">
            <w:pPr>
              <w:spacing w:after="0" w:line="240" w:lineRule="auto"/>
              <w:ind w:left="-30" w:right="-25" w:hanging="25"/>
              <w:rPr>
                <w:rFonts w:ascii="Arial" w:hAnsi="Arial" w:cs="Arial"/>
                <w:b/>
                <w:sz w:val="16"/>
                <w:szCs w:val="16"/>
              </w:rPr>
            </w:pPr>
            <w:r w:rsidRPr="00504D41">
              <w:rPr>
                <w:rFonts w:ascii="Arial" w:hAnsi="Arial" w:cs="Arial"/>
                <w:b/>
                <w:sz w:val="16"/>
                <w:szCs w:val="16"/>
              </w:rPr>
              <w:t>Potato</w:t>
            </w:r>
          </w:p>
        </w:tc>
        <w:tc>
          <w:tcPr>
            <w:tcW w:w="799" w:type="pct"/>
            <w:shd w:val="clear" w:color="auto" w:fill="auto"/>
            <w:vAlign w:val="center"/>
          </w:tcPr>
          <w:p w14:paraId="25C591AA" w14:textId="77777777" w:rsidR="00623959" w:rsidRPr="00504D41" w:rsidRDefault="00B85834" w:rsidP="00A94367">
            <w:pPr>
              <w:spacing w:after="0" w:line="240" w:lineRule="auto"/>
              <w:jc w:val="center"/>
              <w:rPr>
                <w:rFonts w:ascii="Arial" w:hAnsi="Arial" w:cs="Arial"/>
                <w:sz w:val="16"/>
                <w:szCs w:val="16"/>
              </w:rPr>
            </w:pPr>
            <w:r w:rsidRPr="00504D41">
              <w:rPr>
                <w:rFonts w:ascii="Arial" w:hAnsi="Arial" w:cs="Arial"/>
                <w:sz w:val="16"/>
                <w:szCs w:val="16"/>
              </w:rPr>
              <w:t>359</w:t>
            </w:r>
          </w:p>
        </w:tc>
        <w:tc>
          <w:tcPr>
            <w:tcW w:w="1251" w:type="pct"/>
            <w:shd w:val="clear" w:color="auto" w:fill="auto"/>
            <w:vAlign w:val="center"/>
            <w:hideMark/>
          </w:tcPr>
          <w:p w14:paraId="2771F8A8" w14:textId="77777777" w:rsidR="00623959" w:rsidRPr="00504D41" w:rsidRDefault="00623959" w:rsidP="00A94367">
            <w:pPr>
              <w:spacing w:after="0" w:line="240" w:lineRule="auto"/>
              <w:rPr>
                <w:rFonts w:ascii="Arial" w:hAnsi="Arial" w:cs="Arial"/>
                <w:sz w:val="16"/>
                <w:szCs w:val="16"/>
              </w:rPr>
            </w:pPr>
            <w:r w:rsidRPr="00504D41">
              <w:rPr>
                <w:rFonts w:ascii="Arial" w:hAnsi="Arial" w:cs="Arial"/>
                <w:sz w:val="16"/>
                <w:szCs w:val="16"/>
              </w:rPr>
              <w:t>Colorado potato beetle</w:t>
            </w:r>
          </w:p>
        </w:tc>
        <w:tc>
          <w:tcPr>
            <w:tcW w:w="773" w:type="pct"/>
            <w:shd w:val="clear" w:color="auto" w:fill="auto"/>
            <w:vAlign w:val="center"/>
            <w:hideMark/>
          </w:tcPr>
          <w:p w14:paraId="5A5D0CF6" w14:textId="77777777" w:rsidR="00623959" w:rsidRPr="00504D41" w:rsidRDefault="00623959" w:rsidP="00A94367">
            <w:pPr>
              <w:spacing w:after="0" w:line="240" w:lineRule="auto"/>
              <w:rPr>
                <w:rFonts w:ascii="Arial" w:hAnsi="Arial" w:cs="Arial"/>
                <w:sz w:val="16"/>
                <w:szCs w:val="16"/>
              </w:rPr>
            </w:pPr>
            <w:r w:rsidRPr="00504D41">
              <w:rPr>
                <w:rFonts w:ascii="Arial" w:hAnsi="Arial" w:cs="Arial"/>
                <w:sz w:val="16"/>
                <w:szCs w:val="16"/>
              </w:rPr>
              <w:t>Late blight (</w:t>
            </w:r>
            <w:r w:rsidRPr="00504D41">
              <w:rPr>
                <w:rFonts w:ascii="Arial" w:hAnsi="Arial" w:cs="Arial"/>
                <w:i/>
                <w:sz w:val="16"/>
                <w:szCs w:val="16"/>
              </w:rPr>
              <w:t>Phytophthora</w:t>
            </w:r>
            <w:r w:rsidRPr="00504D41">
              <w:rPr>
                <w:rFonts w:ascii="Arial" w:hAnsi="Arial" w:cs="Arial"/>
                <w:sz w:val="16"/>
                <w:szCs w:val="16"/>
              </w:rPr>
              <w:t xml:space="preserve"> infestans); </w:t>
            </w:r>
            <w:r w:rsidRPr="00504D41">
              <w:rPr>
                <w:rFonts w:ascii="Arial" w:hAnsi="Arial" w:cs="Arial"/>
                <w:i/>
                <w:sz w:val="16"/>
                <w:szCs w:val="16"/>
              </w:rPr>
              <w:t>Fusarium</w:t>
            </w:r>
            <w:r w:rsidRPr="00504D41">
              <w:rPr>
                <w:rFonts w:ascii="Arial" w:hAnsi="Arial" w:cs="Arial"/>
                <w:sz w:val="16"/>
                <w:szCs w:val="16"/>
              </w:rPr>
              <w:t xml:space="preserve"> dry rot</w:t>
            </w:r>
          </w:p>
        </w:tc>
        <w:tc>
          <w:tcPr>
            <w:tcW w:w="979" w:type="pct"/>
            <w:shd w:val="clear" w:color="auto" w:fill="auto"/>
            <w:vAlign w:val="center"/>
            <w:hideMark/>
          </w:tcPr>
          <w:p w14:paraId="3EC72198" w14:textId="77777777" w:rsidR="00623959" w:rsidRPr="00504D41" w:rsidRDefault="00623959" w:rsidP="00A94367">
            <w:pPr>
              <w:spacing w:after="0" w:line="240" w:lineRule="auto"/>
              <w:rPr>
                <w:rFonts w:ascii="Arial" w:hAnsi="Arial" w:cs="Arial"/>
                <w:sz w:val="16"/>
                <w:szCs w:val="16"/>
              </w:rPr>
            </w:pPr>
            <w:r w:rsidRPr="00504D41">
              <w:rPr>
                <w:rFonts w:ascii="Arial" w:hAnsi="Arial" w:cs="Arial"/>
                <w:sz w:val="16"/>
                <w:szCs w:val="16"/>
              </w:rPr>
              <w:t>Maneb; Mancozeb; Cymoxanil; Flutolanil; Fludioxonil; Thiophanate-methyl; Imidacloprid</w:t>
            </w:r>
            <w:r w:rsidR="00183AD5" w:rsidRPr="00504D41">
              <w:rPr>
                <w:rFonts w:ascii="Arial" w:hAnsi="Arial" w:cs="Arial"/>
                <w:sz w:val="16"/>
                <w:szCs w:val="16"/>
              </w:rPr>
              <w:t>; Thiameth</w:t>
            </w:r>
            <w:r w:rsidR="00270C06" w:rsidRPr="00504D41">
              <w:rPr>
                <w:rFonts w:ascii="Arial" w:hAnsi="Arial" w:cs="Arial"/>
                <w:sz w:val="16"/>
                <w:szCs w:val="16"/>
              </w:rPr>
              <w:t>oxam, Fludioxonil</w:t>
            </w:r>
          </w:p>
        </w:tc>
        <w:tc>
          <w:tcPr>
            <w:tcW w:w="652" w:type="pct"/>
            <w:shd w:val="clear" w:color="auto" w:fill="auto"/>
            <w:vAlign w:val="center"/>
          </w:tcPr>
          <w:p w14:paraId="78609118" w14:textId="77777777" w:rsidR="00623959" w:rsidRPr="00504D41" w:rsidRDefault="00623959" w:rsidP="00A94367">
            <w:pPr>
              <w:spacing w:after="0" w:line="240" w:lineRule="auto"/>
              <w:rPr>
                <w:rFonts w:ascii="Arial" w:hAnsi="Arial" w:cs="Arial"/>
                <w:sz w:val="16"/>
                <w:szCs w:val="16"/>
              </w:rPr>
            </w:pPr>
            <w:r w:rsidRPr="00504D41">
              <w:rPr>
                <w:rFonts w:ascii="Arial" w:hAnsi="Arial" w:cs="Arial"/>
                <w:sz w:val="16"/>
                <w:szCs w:val="16"/>
              </w:rPr>
              <w:t>Europlant, HZPC</w:t>
            </w:r>
            <w:r w:rsidR="00270C06" w:rsidRPr="00504D41">
              <w:rPr>
                <w:rFonts w:ascii="Arial" w:hAnsi="Arial" w:cs="Arial"/>
                <w:sz w:val="16"/>
                <w:szCs w:val="16"/>
              </w:rPr>
              <w:t>, Syngenta</w:t>
            </w:r>
          </w:p>
        </w:tc>
      </w:tr>
      <w:tr w:rsidR="001F6006" w:rsidRPr="00504D41" w14:paraId="62420314" w14:textId="77777777" w:rsidTr="00A94367">
        <w:trPr>
          <w:trHeight w:val="589"/>
        </w:trPr>
        <w:tc>
          <w:tcPr>
            <w:tcW w:w="546" w:type="pct"/>
            <w:shd w:val="clear" w:color="auto" w:fill="auto"/>
            <w:vAlign w:val="center"/>
            <w:hideMark/>
          </w:tcPr>
          <w:p w14:paraId="60FD2AA4" w14:textId="77777777" w:rsidR="00623959" w:rsidRPr="00504D41" w:rsidRDefault="00623959" w:rsidP="00A94367">
            <w:pPr>
              <w:spacing w:after="0" w:line="240" w:lineRule="auto"/>
              <w:ind w:left="-30" w:right="-25" w:hanging="25"/>
              <w:rPr>
                <w:rFonts w:ascii="Arial" w:hAnsi="Arial" w:cs="Arial"/>
                <w:b/>
                <w:sz w:val="16"/>
                <w:szCs w:val="16"/>
              </w:rPr>
            </w:pPr>
            <w:r w:rsidRPr="00504D41">
              <w:rPr>
                <w:rFonts w:ascii="Arial" w:hAnsi="Arial" w:cs="Arial"/>
                <w:b/>
                <w:sz w:val="16"/>
                <w:szCs w:val="16"/>
              </w:rPr>
              <w:t>Soybean</w:t>
            </w:r>
          </w:p>
        </w:tc>
        <w:tc>
          <w:tcPr>
            <w:tcW w:w="799" w:type="pct"/>
            <w:shd w:val="clear" w:color="auto" w:fill="auto"/>
            <w:vAlign w:val="center"/>
          </w:tcPr>
          <w:p w14:paraId="6B59B6AF" w14:textId="77777777" w:rsidR="00623959" w:rsidRPr="00504D41" w:rsidRDefault="00B85834" w:rsidP="00A94367">
            <w:pPr>
              <w:spacing w:after="0" w:line="240" w:lineRule="auto"/>
              <w:jc w:val="center"/>
              <w:rPr>
                <w:rFonts w:ascii="Arial" w:hAnsi="Arial" w:cs="Arial"/>
                <w:sz w:val="16"/>
                <w:szCs w:val="16"/>
              </w:rPr>
            </w:pPr>
            <w:r w:rsidRPr="00504D41">
              <w:rPr>
                <w:rFonts w:ascii="Arial" w:hAnsi="Arial" w:cs="Arial"/>
                <w:sz w:val="16"/>
                <w:szCs w:val="16"/>
              </w:rPr>
              <w:t>353</w:t>
            </w:r>
            <w:r w:rsidR="00623959" w:rsidRPr="00504D41">
              <w:rPr>
                <w:rFonts w:ascii="Arial" w:hAnsi="Arial" w:cs="Arial"/>
                <w:sz w:val="16"/>
                <w:szCs w:val="16"/>
              </w:rPr>
              <w:t xml:space="preserve"> </w:t>
            </w:r>
          </w:p>
        </w:tc>
        <w:tc>
          <w:tcPr>
            <w:tcW w:w="1251" w:type="pct"/>
            <w:shd w:val="clear" w:color="auto" w:fill="auto"/>
            <w:vAlign w:val="center"/>
            <w:hideMark/>
          </w:tcPr>
          <w:p w14:paraId="6BC240FF" w14:textId="77777777" w:rsidR="00623959" w:rsidRPr="00504D41" w:rsidRDefault="00623959" w:rsidP="00A94367">
            <w:pPr>
              <w:spacing w:after="0" w:line="240" w:lineRule="auto"/>
              <w:rPr>
                <w:rFonts w:ascii="Arial" w:hAnsi="Arial" w:cs="Arial"/>
                <w:sz w:val="16"/>
                <w:szCs w:val="16"/>
              </w:rPr>
            </w:pPr>
            <w:r w:rsidRPr="00504D41">
              <w:rPr>
                <w:rFonts w:ascii="Arial" w:hAnsi="Arial" w:cs="Arial"/>
                <w:sz w:val="16"/>
                <w:szCs w:val="16"/>
              </w:rPr>
              <w:t>Bean leaf beetle – vector of bean pod mottle virus (BPMV); Bean leaf beetle Thrip; Three-cornered alfalfa hopper; Aphid; Soybean cyst nematode</w:t>
            </w:r>
          </w:p>
        </w:tc>
        <w:tc>
          <w:tcPr>
            <w:tcW w:w="773" w:type="pct"/>
            <w:shd w:val="clear" w:color="auto" w:fill="auto"/>
            <w:vAlign w:val="center"/>
            <w:hideMark/>
          </w:tcPr>
          <w:p w14:paraId="1644665C" w14:textId="77777777" w:rsidR="00623959" w:rsidRPr="00504D41" w:rsidRDefault="00623959" w:rsidP="00A94367">
            <w:pPr>
              <w:spacing w:after="0" w:line="240" w:lineRule="auto"/>
              <w:rPr>
                <w:rFonts w:ascii="Arial" w:hAnsi="Arial" w:cs="Arial"/>
                <w:sz w:val="16"/>
                <w:szCs w:val="16"/>
              </w:rPr>
            </w:pPr>
            <w:r w:rsidRPr="00504D41">
              <w:rPr>
                <w:rFonts w:ascii="Arial" w:hAnsi="Arial" w:cs="Arial"/>
                <w:sz w:val="16"/>
                <w:szCs w:val="16"/>
              </w:rPr>
              <w:t xml:space="preserve">Pod and stem blight; Pythium; </w:t>
            </w:r>
            <w:r w:rsidRPr="00504D41">
              <w:rPr>
                <w:rFonts w:ascii="Arial" w:hAnsi="Arial" w:cs="Arial"/>
                <w:i/>
                <w:iCs/>
                <w:sz w:val="16"/>
                <w:szCs w:val="16"/>
              </w:rPr>
              <w:t>Phytophthora</w:t>
            </w:r>
            <w:r w:rsidRPr="00504D41">
              <w:rPr>
                <w:rFonts w:ascii="Arial" w:hAnsi="Arial" w:cs="Arial"/>
                <w:sz w:val="16"/>
                <w:szCs w:val="16"/>
              </w:rPr>
              <w:t xml:space="preserve">; White mold; </w:t>
            </w:r>
            <w:r w:rsidRPr="00504D41">
              <w:rPr>
                <w:rFonts w:ascii="Arial" w:hAnsi="Arial" w:cs="Arial"/>
                <w:i/>
                <w:sz w:val="16"/>
                <w:szCs w:val="16"/>
              </w:rPr>
              <w:t>Rhizoctonia</w:t>
            </w:r>
          </w:p>
        </w:tc>
        <w:tc>
          <w:tcPr>
            <w:tcW w:w="979" w:type="pct"/>
            <w:shd w:val="clear" w:color="auto" w:fill="auto"/>
            <w:vAlign w:val="center"/>
            <w:hideMark/>
          </w:tcPr>
          <w:p w14:paraId="5917844D" w14:textId="77777777" w:rsidR="00623959" w:rsidRPr="00504D41" w:rsidRDefault="00623959" w:rsidP="00A94367">
            <w:pPr>
              <w:spacing w:after="0" w:line="240" w:lineRule="auto"/>
              <w:rPr>
                <w:rFonts w:ascii="Arial" w:hAnsi="Arial" w:cs="Arial"/>
                <w:sz w:val="16"/>
                <w:szCs w:val="16"/>
              </w:rPr>
            </w:pPr>
            <w:r w:rsidRPr="00504D41">
              <w:rPr>
                <w:rFonts w:ascii="Arial" w:hAnsi="Arial" w:cs="Arial"/>
                <w:sz w:val="16"/>
                <w:szCs w:val="16"/>
              </w:rPr>
              <w:t xml:space="preserve">Carboxin; Metalaxyl; Mefenoxam; Imidacloprid; Thiram; Azoxystrobin; Clothianidin; Thiabendazole; Captan; Abamectin; </w:t>
            </w:r>
            <w:r w:rsidRPr="00504D41">
              <w:rPr>
                <w:rFonts w:ascii="Arial" w:hAnsi="Arial" w:cs="Arial"/>
                <w:i/>
                <w:sz w:val="16"/>
                <w:szCs w:val="16"/>
              </w:rPr>
              <w:t>Bacillus firmus</w:t>
            </w:r>
          </w:p>
        </w:tc>
        <w:tc>
          <w:tcPr>
            <w:tcW w:w="652" w:type="pct"/>
            <w:shd w:val="clear" w:color="auto" w:fill="auto"/>
            <w:vAlign w:val="center"/>
          </w:tcPr>
          <w:p w14:paraId="763B769B" w14:textId="77777777" w:rsidR="00623959" w:rsidRPr="00504D41" w:rsidRDefault="00623959" w:rsidP="00A94367">
            <w:pPr>
              <w:spacing w:after="0" w:line="240" w:lineRule="auto"/>
              <w:rPr>
                <w:rFonts w:ascii="Arial" w:hAnsi="Arial" w:cs="Arial"/>
                <w:sz w:val="16"/>
                <w:szCs w:val="16"/>
              </w:rPr>
            </w:pPr>
            <w:r w:rsidRPr="00504D41">
              <w:rPr>
                <w:rFonts w:ascii="Arial" w:hAnsi="Arial" w:cs="Arial"/>
                <w:sz w:val="16"/>
                <w:szCs w:val="16"/>
              </w:rPr>
              <w:t>Bayer, Corteva, Syngenta, Agreliant</w:t>
            </w:r>
          </w:p>
        </w:tc>
      </w:tr>
      <w:tr w:rsidR="001F6006" w:rsidRPr="00504D41" w14:paraId="1C90E78B" w14:textId="77777777" w:rsidTr="00A94367">
        <w:trPr>
          <w:trHeight w:val="589"/>
        </w:trPr>
        <w:tc>
          <w:tcPr>
            <w:tcW w:w="546" w:type="pct"/>
            <w:shd w:val="clear" w:color="auto" w:fill="auto"/>
            <w:vAlign w:val="center"/>
            <w:hideMark/>
          </w:tcPr>
          <w:p w14:paraId="197D1054" w14:textId="77777777" w:rsidR="00623959" w:rsidRPr="00504D41" w:rsidRDefault="00623959" w:rsidP="00A94367">
            <w:pPr>
              <w:spacing w:after="0" w:line="240" w:lineRule="auto"/>
              <w:ind w:left="-30" w:right="-25" w:hanging="25"/>
              <w:rPr>
                <w:rFonts w:ascii="Arial" w:hAnsi="Arial" w:cs="Arial"/>
                <w:b/>
                <w:sz w:val="16"/>
                <w:szCs w:val="16"/>
              </w:rPr>
            </w:pPr>
            <w:r w:rsidRPr="00504D41">
              <w:rPr>
                <w:rFonts w:ascii="Arial" w:hAnsi="Arial" w:cs="Arial"/>
                <w:b/>
                <w:sz w:val="16"/>
                <w:szCs w:val="16"/>
              </w:rPr>
              <w:t>Sunflower</w:t>
            </w:r>
          </w:p>
        </w:tc>
        <w:tc>
          <w:tcPr>
            <w:tcW w:w="799" w:type="pct"/>
            <w:shd w:val="clear" w:color="auto" w:fill="auto"/>
            <w:vAlign w:val="center"/>
          </w:tcPr>
          <w:p w14:paraId="6DE815DE" w14:textId="77777777" w:rsidR="00623959" w:rsidRPr="00504D41" w:rsidRDefault="00B85834" w:rsidP="00A94367">
            <w:pPr>
              <w:spacing w:after="0" w:line="240" w:lineRule="auto"/>
              <w:jc w:val="center"/>
              <w:rPr>
                <w:rFonts w:ascii="Arial" w:hAnsi="Arial" w:cs="Arial"/>
                <w:sz w:val="16"/>
                <w:szCs w:val="16"/>
              </w:rPr>
            </w:pPr>
            <w:r w:rsidRPr="00504D41">
              <w:rPr>
                <w:rFonts w:ascii="Arial" w:hAnsi="Arial" w:cs="Arial"/>
                <w:sz w:val="16"/>
                <w:szCs w:val="16"/>
              </w:rPr>
              <w:t>50</w:t>
            </w:r>
          </w:p>
        </w:tc>
        <w:tc>
          <w:tcPr>
            <w:tcW w:w="1251" w:type="pct"/>
            <w:shd w:val="clear" w:color="auto" w:fill="auto"/>
            <w:vAlign w:val="center"/>
            <w:hideMark/>
          </w:tcPr>
          <w:p w14:paraId="7B9BDE0E" w14:textId="77777777" w:rsidR="00623959" w:rsidRPr="00504D41" w:rsidRDefault="00623959" w:rsidP="00A94367">
            <w:pPr>
              <w:spacing w:after="0" w:line="240" w:lineRule="auto"/>
              <w:rPr>
                <w:rFonts w:ascii="Arial" w:hAnsi="Arial" w:cs="Arial"/>
                <w:sz w:val="16"/>
                <w:szCs w:val="16"/>
              </w:rPr>
            </w:pPr>
            <w:r w:rsidRPr="00504D41">
              <w:rPr>
                <w:rFonts w:ascii="Arial" w:hAnsi="Arial" w:cs="Arial"/>
                <w:sz w:val="16"/>
                <w:szCs w:val="16"/>
              </w:rPr>
              <w:t>Pale striped flea beetle; Sunflower beetle; Wireworm</w:t>
            </w:r>
          </w:p>
        </w:tc>
        <w:tc>
          <w:tcPr>
            <w:tcW w:w="773" w:type="pct"/>
            <w:shd w:val="clear" w:color="auto" w:fill="auto"/>
            <w:vAlign w:val="center"/>
            <w:hideMark/>
          </w:tcPr>
          <w:p w14:paraId="25A2BB65" w14:textId="77777777" w:rsidR="00623959" w:rsidRPr="00504D41" w:rsidRDefault="00623959" w:rsidP="00A94367">
            <w:pPr>
              <w:spacing w:after="0" w:line="240" w:lineRule="auto"/>
              <w:rPr>
                <w:rFonts w:ascii="Arial" w:hAnsi="Arial" w:cs="Arial"/>
                <w:sz w:val="16"/>
                <w:szCs w:val="16"/>
              </w:rPr>
            </w:pPr>
            <w:r w:rsidRPr="00504D41">
              <w:rPr>
                <w:rFonts w:ascii="Arial" w:hAnsi="Arial" w:cs="Arial"/>
                <w:sz w:val="16"/>
                <w:szCs w:val="16"/>
              </w:rPr>
              <w:t>Downy mildew</w:t>
            </w:r>
          </w:p>
        </w:tc>
        <w:tc>
          <w:tcPr>
            <w:tcW w:w="979" w:type="pct"/>
            <w:shd w:val="clear" w:color="auto" w:fill="auto"/>
            <w:vAlign w:val="center"/>
            <w:hideMark/>
          </w:tcPr>
          <w:p w14:paraId="6EFBD25A" w14:textId="77777777" w:rsidR="00623959" w:rsidRPr="00504D41" w:rsidRDefault="00623959" w:rsidP="00A94367">
            <w:pPr>
              <w:spacing w:after="0" w:line="240" w:lineRule="auto"/>
              <w:rPr>
                <w:rFonts w:ascii="Arial" w:hAnsi="Arial" w:cs="Arial"/>
                <w:sz w:val="16"/>
                <w:szCs w:val="16"/>
              </w:rPr>
            </w:pPr>
            <w:r w:rsidRPr="00504D41">
              <w:rPr>
                <w:rFonts w:ascii="Arial" w:hAnsi="Arial" w:cs="Arial"/>
                <w:sz w:val="16"/>
                <w:szCs w:val="16"/>
              </w:rPr>
              <w:t>Azoxystrobin; Thiamethoxam; Fenamidone; Mefenoxam; Metalaxyl</w:t>
            </w:r>
          </w:p>
        </w:tc>
        <w:tc>
          <w:tcPr>
            <w:tcW w:w="652" w:type="pct"/>
            <w:shd w:val="clear" w:color="auto" w:fill="auto"/>
            <w:vAlign w:val="center"/>
          </w:tcPr>
          <w:p w14:paraId="4DC1BD88" w14:textId="77777777" w:rsidR="00623959" w:rsidRPr="00504D41" w:rsidRDefault="00623959" w:rsidP="00A94367">
            <w:pPr>
              <w:spacing w:after="0" w:line="240" w:lineRule="auto"/>
              <w:rPr>
                <w:rFonts w:ascii="Arial" w:hAnsi="Arial" w:cs="Arial"/>
                <w:sz w:val="16"/>
                <w:szCs w:val="16"/>
              </w:rPr>
            </w:pPr>
            <w:r w:rsidRPr="00504D41">
              <w:rPr>
                <w:rFonts w:ascii="Arial" w:hAnsi="Arial" w:cs="Arial"/>
                <w:sz w:val="16"/>
                <w:szCs w:val="16"/>
              </w:rPr>
              <w:t>Syngenta, Pioneer</w:t>
            </w:r>
          </w:p>
        </w:tc>
      </w:tr>
      <w:tr w:rsidR="001F6006" w:rsidRPr="00504D41" w14:paraId="0C17C76F" w14:textId="77777777" w:rsidTr="00A94367">
        <w:trPr>
          <w:trHeight w:val="589"/>
        </w:trPr>
        <w:tc>
          <w:tcPr>
            <w:tcW w:w="546" w:type="pct"/>
            <w:shd w:val="clear" w:color="auto" w:fill="auto"/>
            <w:vAlign w:val="center"/>
            <w:hideMark/>
          </w:tcPr>
          <w:p w14:paraId="7E0F90DD" w14:textId="77777777" w:rsidR="00623959" w:rsidRPr="00504D41" w:rsidRDefault="00623959" w:rsidP="00A94367">
            <w:pPr>
              <w:spacing w:after="0" w:line="240" w:lineRule="auto"/>
              <w:ind w:left="-30" w:right="-25" w:hanging="25"/>
              <w:rPr>
                <w:rFonts w:ascii="Arial" w:hAnsi="Arial" w:cs="Arial"/>
                <w:b/>
                <w:sz w:val="16"/>
                <w:szCs w:val="16"/>
              </w:rPr>
            </w:pPr>
            <w:r w:rsidRPr="00504D41">
              <w:rPr>
                <w:rFonts w:ascii="Arial" w:hAnsi="Arial" w:cs="Arial"/>
                <w:b/>
                <w:sz w:val="16"/>
                <w:szCs w:val="16"/>
              </w:rPr>
              <w:lastRenderedPageBreak/>
              <w:t>Sugarbeet</w:t>
            </w:r>
          </w:p>
        </w:tc>
        <w:tc>
          <w:tcPr>
            <w:tcW w:w="799" w:type="pct"/>
            <w:shd w:val="clear" w:color="auto" w:fill="auto"/>
            <w:vAlign w:val="center"/>
          </w:tcPr>
          <w:p w14:paraId="36357887" w14:textId="77777777" w:rsidR="00623959" w:rsidRPr="00504D41" w:rsidRDefault="00B85834" w:rsidP="00A94367">
            <w:pPr>
              <w:spacing w:after="0" w:line="240" w:lineRule="auto"/>
              <w:jc w:val="center"/>
              <w:rPr>
                <w:rFonts w:ascii="Arial" w:hAnsi="Arial" w:cs="Arial"/>
                <w:sz w:val="16"/>
                <w:szCs w:val="16"/>
              </w:rPr>
            </w:pPr>
            <w:r w:rsidRPr="00504D41">
              <w:rPr>
                <w:rFonts w:ascii="Arial" w:hAnsi="Arial" w:cs="Arial"/>
                <w:sz w:val="16"/>
                <w:szCs w:val="16"/>
              </w:rPr>
              <w:t>253</w:t>
            </w:r>
          </w:p>
        </w:tc>
        <w:tc>
          <w:tcPr>
            <w:tcW w:w="1251" w:type="pct"/>
            <w:shd w:val="clear" w:color="auto" w:fill="auto"/>
            <w:vAlign w:val="center"/>
            <w:hideMark/>
          </w:tcPr>
          <w:p w14:paraId="3C5DB1D4" w14:textId="77777777" w:rsidR="00623959" w:rsidRPr="00504D41" w:rsidRDefault="00623959" w:rsidP="00A94367">
            <w:pPr>
              <w:spacing w:after="0" w:line="240" w:lineRule="auto"/>
              <w:rPr>
                <w:rFonts w:ascii="Arial" w:hAnsi="Arial" w:cs="Arial"/>
                <w:sz w:val="16"/>
                <w:szCs w:val="16"/>
              </w:rPr>
            </w:pPr>
            <w:r w:rsidRPr="00504D41">
              <w:rPr>
                <w:rFonts w:ascii="Arial" w:hAnsi="Arial" w:cs="Arial"/>
                <w:sz w:val="16"/>
                <w:szCs w:val="16"/>
              </w:rPr>
              <w:t>Beet leafhopper – vector of curly top</w:t>
            </w:r>
          </w:p>
        </w:tc>
        <w:tc>
          <w:tcPr>
            <w:tcW w:w="773" w:type="pct"/>
            <w:shd w:val="clear" w:color="auto" w:fill="auto"/>
            <w:vAlign w:val="center"/>
            <w:hideMark/>
          </w:tcPr>
          <w:p w14:paraId="717BE33C" w14:textId="77777777" w:rsidR="00623959" w:rsidRPr="00504D41" w:rsidRDefault="00623959" w:rsidP="00A94367">
            <w:pPr>
              <w:spacing w:after="0" w:line="240" w:lineRule="auto"/>
              <w:rPr>
                <w:rFonts w:ascii="Arial" w:hAnsi="Arial" w:cs="Arial"/>
                <w:i/>
                <w:iCs/>
                <w:sz w:val="16"/>
                <w:szCs w:val="16"/>
              </w:rPr>
            </w:pPr>
            <w:r w:rsidRPr="00504D41">
              <w:rPr>
                <w:rFonts w:ascii="Arial" w:hAnsi="Arial" w:cs="Arial"/>
                <w:i/>
                <w:iCs/>
                <w:sz w:val="16"/>
                <w:szCs w:val="16"/>
              </w:rPr>
              <w:t>Aphanomyces</w:t>
            </w:r>
          </w:p>
        </w:tc>
        <w:tc>
          <w:tcPr>
            <w:tcW w:w="979" w:type="pct"/>
            <w:shd w:val="clear" w:color="auto" w:fill="auto"/>
            <w:vAlign w:val="center"/>
            <w:hideMark/>
          </w:tcPr>
          <w:p w14:paraId="38C9711B" w14:textId="77777777" w:rsidR="00623959" w:rsidRPr="00504D41" w:rsidRDefault="00623959" w:rsidP="00A94367">
            <w:pPr>
              <w:spacing w:after="0" w:line="240" w:lineRule="auto"/>
              <w:rPr>
                <w:rFonts w:ascii="Arial" w:hAnsi="Arial" w:cs="Arial"/>
                <w:sz w:val="16"/>
                <w:szCs w:val="16"/>
              </w:rPr>
            </w:pPr>
            <w:r w:rsidRPr="00504D41">
              <w:rPr>
                <w:rFonts w:ascii="Arial" w:hAnsi="Arial" w:cs="Arial"/>
                <w:sz w:val="16"/>
                <w:szCs w:val="16"/>
              </w:rPr>
              <w:t>Hymexazol; Imidacloprid; Clothianidin; Thiamethoxam</w:t>
            </w:r>
          </w:p>
        </w:tc>
        <w:tc>
          <w:tcPr>
            <w:tcW w:w="652" w:type="pct"/>
            <w:shd w:val="clear" w:color="auto" w:fill="auto"/>
            <w:vAlign w:val="center"/>
          </w:tcPr>
          <w:p w14:paraId="2304D979" w14:textId="77777777" w:rsidR="00623959" w:rsidRPr="00504D41" w:rsidRDefault="00623959" w:rsidP="00A94367">
            <w:pPr>
              <w:spacing w:after="0" w:line="240" w:lineRule="auto"/>
              <w:rPr>
                <w:rFonts w:ascii="Arial" w:hAnsi="Arial" w:cs="Arial"/>
                <w:sz w:val="16"/>
                <w:szCs w:val="16"/>
              </w:rPr>
            </w:pPr>
            <w:r w:rsidRPr="00504D41">
              <w:rPr>
                <w:rFonts w:ascii="Arial" w:hAnsi="Arial" w:cs="Arial"/>
                <w:sz w:val="16"/>
                <w:szCs w:val="16"/>
              </w:rPr>
              <w:t>KWS</w:t>
            </w:r>
          </w:p>
        </w:tc>
      </w:tr>
      <w:tr w:rsidR="001F6006" w:rsidRPr="00504D41" w14:paraId="1CAEB2A0" w14:textId="77777777" w:rsidTr="00A94367">
        <w:trPr>
          <w:trHeight w:val="70"/>
        </w:trPr>
        <w:tc>
          <w:tcPr>
            <w:tcW w:w="546" w:type="pct"/>
            <w:shd w:val="clear" w:color="auto" w:fill="auto"/>
            <w:vAlign w:val="center"/>
          </w:tcPr>
          <w:p w14:paraId="074AA3F3" w14:textId="77777777" w:rsidR="00623959" w:rsidRPr="00504D41" w:rsidRDefault="00623959" w:rsidP="00A94367">
            <w:pPr>
              <w:spacing w:after="0" w:line="240" w:lineRule="auto"/>
              <w:ind w:left="-30" w:right="-25" w:hanging="25"/>
              <w:rPr>
                <w:rFonts w:ascii="Arial" w:hAnsi="Arial" w:cs="Arial"/>
                <w:b/>
                <w:sz w:val="16"/>
                <w:szCs w:val="16"/>
              </w:rPr>
            </w:pPr>
            <w:r w:rsidRPr="00504D41">
              <w:rPr>
                <w:rFonts w:ascii="Arial" w:hAnsi="Arial" w:cs="Arial"/>
                <w:b/>
                <w:sz w:val="16"/>
                <w:szCs w:val="16"/>
              </w:rPr>
              <w:t>Rice</w:t>
            </w:r>
          </w:p>
        </w:tc>
        <w:tc>
          <w:tcPr>
            <w:tcW w:w="799" w:type="pct"/>
            <w:shd w:val="clear" w:color="auto" w:fill="auto"/>
            <w:vAlign w:val="center"/>
          </w:tcPr>
          <w:p w14:paraId="558064B6" w14:textId="77777777" w:rsidR="00623959" w:rsidRPr="00504D41" w:rsidRDefault="00B85834" w:rsidP="00A94367">
            <w:pPr>
              <w:spacing w:after="0" w:line="240" w:lineRule="auto"/>
              <w:jc w:val="center"/>
              <w:rPr>
                <w:rFonts w:ascii="Arial" w:hAnsi="Arial" w:cs="Arial"/>
                <w:sz w:val="16"/>
                <w:szCs w:val="16"/>
              </w:rPr>
            </w:pPr>
            <w:r w:rsidRPr="00504D41">
              <w:rPr>
                <w:rFonts w:ascii="Arial" w:hAnsi="Arial" w:cs="Arial"/>
                <w:sz w:val="16"/>
                <w:szCs w:val="16"/>
              </w:rPr>
              <w:t>757</w:t>
            </w:r>
          </w:p>
        </w:tc>
        <w:tc>
          <w:tcPr>
            <w:tcW w:w="1251" w:type="pct"/>
            <w:shd w:val="clear" w:color="auto" w:fill="auto"/>
            <w:vAlign w:val="center"/>
          </w:tcPr>
          <w:p w14:paraId="39A4863D" w14:textId="77777777" w:rsidR="00623959" w:rsidRPr="00504D41" w:rsidRDefault="00623959" w:rsidP="00A94367">
            <w:pPr>
              <w:spacing w:after="0" w:line="240" w:lineRule="auto"/>
              <w:rPr>
                <w:rFonts w:ascii="Arial" w:hAnsi="Arial" w:cs="Arial"/>
                <w:sz w:val="16"/>
                <w:szCs w:val="16"/>
              </w:rPr>
            </w:pPr>
            <w:r w:rsidRPr="00504D41">
              <w:rPr>
                <w:rFonts w:ascii="Arial" w:hAnsi="Arial" w:cs="Arial"/>
                <w:sz w:val="16"/>
                <w:szCs w:val="16"/>
              </w:rPr>
              <w:t>Rice water weevil; Grape colaspis</w:t>
            </w:r>
          </w:p>
        </w:tc>
        <w:tc>
          <w:tcPr>
            <w:tcW w:w="773" w:type="pct"/>
            <w:shd w:val="clear" w:color="auto" w:fill="auto"/>
            <w:vAlign w:val="center"/>
          </w:tcPr>
          <w:p w14:paraId="77BEB01E" w14:textId="77777777" w:rsidR="00623959" w:rsidRPr="00504D41" w:rsidRDefault="00623959" w:rsidP="00A94367">
            <w:pPr>
              <w:spacing w:after="0" w:line="240" w:lineRule="auto"/>
              <w:rPr>
                <w:rFonts w:ascii="Arial" w:hAnsi="Arial" w:cs="Arial"/>
                <w:sz w:val="16"/>
                <w:szCs w:val="16"/>
              </w:rPr>
            </w:pPr>
            <w:r w:rsidRPr="00504D41">
              <w:rPr>
                <w:rFonts w:ascii="Arial" w:hAnsi="Arial" w:cs="Arial"/>
                <w:sz w:val="16"/>
                <w:szCs w:val="16"/>
              </w:rPr>
              <w:t>Pythium</w:t>
            </w:r>
            <w:r w:rsidR="00710E48" w:rsidRPr="00504D41">
              <w:rPr>
                <w:rFonts w:ascii="Arial" w:hAnsi="Arial" w:cs="Arial"/>
                <w:sz w:val="16"/>
                <w:szCs w:val="16"/>
              </w:rPr>
              <w:t xml:space="preserve">, </w:t>
            </w:r>
            <w:r w:rsidR="006B3E3A" w:rsidRPr="00504D41">
              <w:rPr>
                <w:rFonts w:ascii="Arial" w:hAnsi="Arial" w:cs="Arial"/>
                <w:sz w:val="16"/>
                <w:szCs w:val="16"/>
              </w:rPr>
              <w:t>rice blast, Bakanea</w:t>
            </w:r>
          </w:p>
        </w:tc>
        <w:tc>
          <w:tcPr>
            <w:tcW w:w="979" w:type="pct"/>
            <w:shd w:val="clear" w:color="auto" w:fill="auto"/>
            <w:vAlign w:val="center"/>
          </w:tcPr>
          <w:p w14:paraId="6977668F" w14:textId="77777777" w:rsidR="00623959" w:rsidRPr="00504D41" w:rsidRDefault="00623959" w:rsidP="00A94367">
            <w:pPr>
              <w:spacing w:after="0" w:line="240" w:lineRule="auto"/>
              <w:rPr>
                <w:rFonts w:ascii="Arial" w:hAnsi="Arial" w:cs="Arial"/>
                <w:sz w:val="16"/>
                <w:szCs w:val="16"/>
              </w:rPr>
            </w:pPr>
            <w:r w:rsidRPr="00504D41">
              <w:rPr>
                <w:rFonts w:ascii="Arial" w:hAnsi="Arial" w:cs="Arial"/>
                <w:sz w:val="16"/>
                <w:szCs w:val="16"/>
              </w:rPr>
              <w:t xml:space="preserve">Metalaxyl; Thiamethoxam; Mefenoxam; </w:t>
            </w:r>
            <w:r w:rsidR="007F6EDF" w:rsidRPr="00504D41">
              <w:rPr>
                <w:rFonts w:ascii="Arial" w:hAnsi="Arial" w:cs="Arial"/>
                <w:sz w:val="16"/>
                <w:szCs w:val="16"/>
              </w:rPr>
              <w:t>Azo</w:t>
            </w:r>
            <w:r w:rsidR="00A34925" w:rsidRPr="00504D41">
              <w:rPr>
                <w:rFonts w:ascii="Arial" w:hAnsi="Arial" w:cs="Arial"/>
                <w:sz w:val="16"/>
                <w:szCs w:val="16"/>
              </w:rPr>
              <w:t xml:space="preserve">xystrobin, Fludioxonil, </w:t>
            </w:r>
            <w:r w:rsidRPr="00504D41">
              <w:rPr>
                <w:rFonts w:ascii="Arial" w:hAnsi="Arial" w:cs="Arial"/>
                <w:sz w:val="16"/>
                <w:szCs w:val="16"/>
              </w:rPr>
              <w:t>Clothianidin</w:t>
            </w:r>
            <w:r w:rsidR="006B3E3A" w:rsidRPr="00504D41">
              <w:rPr>
                <w:rFonts w:ascii="Arial" w:hAnsi="Arial" w:cs="Arial"/>
                <w:sz w:val="16"/>
                <w:szCs w:val="16"/>
              </w:rPr>
              <w:t>; Trifloxystrobin, Iso</w:t>
            </w:r>
            <w:r w:rsidR="006E7FE6" w:rsidRPr="00504D41">
              <w:rPr>
                <w:rFonts w:ascii="Arial" w:hAnsi="Arial" w:cs="Arial"/>
                <w:sz w:val="16"/>
                <w:szCs w:val="16"/>
              </w:rPr>
              <w:t>tianil</w:t>
            </w:r>
            <w:r w:rsidR="000D7D3F" w:rsidRPr="00504D41">
              <w:rPr>
                <w:rFonts w:ascii="Arial" w:hAnsi="Arial" w:cs="Arial"/>
                <w:sz w:val="16"/>
                <w:szCs w:val="16"/>
              </w:rPr>
              <w:t xml:space="preserve">; </w:t>
            </w:r>
            <w:r w:rsidR="0025028A" w:rsidRPr="00504D41">
              <w:rPr>
                <w:rFonts w:ascii="Arial" w:hAnsi="Arial" w:cs="Arial"/>
                <w:sz w:val="16"/>
                <w:szCs w:val="16"/>
              </w:rPr>
              <w:t>Chlorantraniliprole</w:t>
            </w:r>
          </w:p>
        </w:tc>
        <w:tc>
          <w:tcPr>
            <w:tcW w:w="652" w:type="pct"/>
            <w:shd w:val="clear" w:color="auto" w:fill="auto"/>
            <w:vAlign w:val="center"/>
          </w:tcPr>
          <w:p w14:paraId="24A658F0" w14:textId="77777777" w:rsidR="00623959" w:rsidRPr="00504D41" w:rsidRDefault="00623959" w:rsidP="00A94367">
            <w:pPr>
              <w:spacing w:after="0" w:line="240" w:lineRule="auto"/>
              <w:rPr>
                <w:rFonts w:ascii="Arial" w:hAnsi="Arial" w:cs="Arial"/>
                <w:sz w:val="16"/>
                <w:szCs w:val="16"/>
              </w:rPr>
            </w:pPr>
            <w:r w:rsidRPr="00504D41">
              <w:rPr>
                <w:rFonts w:ascii="Arial" w:hAnsi="Arial" w:cs="Arial"/>
                <w:sz w:val="16"/>
                <w:szCs w:val="16"/>
              </w:rPr>
              <w:t>Bayer</w:t>
            </w:r>
            <w:r w:rsidR="0025028A" w:rsidRPr="00504D41">
              <w:rPr>
                <w:rFonts w:ascii="Arial" w:hAnsi="Arial" w:cs="Arial"/>
                <w:sz w:val="16"/>
                <w:szCs w:val="16"/>
              </w:rPr>
              <w:t>, Corteva</w:t>
            </w:r>
            <w:r w:rsidR="009C5274" w:rsidRPr="00504D41">
              <w:rPr>
                <w:rFonts w:ascii="Arial" w:hAnsi="Arial" w:cs="Arial"/>
                <w:sz w:val="16"/>
                <w:szCs w:val="16"/>
              </w:rPr>
              <w:t xml:space="preserve">, </w:t>
            </w:r>
            <w:r w:rsidR="00A34925" w:rsidRPr="00504D41">
              <w:rPr>
                <w:rFonts w:ascii="Arial" w:hAnsi="Arial" w:cs="Arial"/>
                <w:sz w:val="16"/>
                <w:szCs w:val="16"/>
              </w:rPr>
              <w:t>Syngenta</w:t>
            </w:r>
          </w:p>
        </w:tc>
      </w:tr>
    </w:tbl>
    <w:p w14:paraId="750769E1" w14:textId="77777777" w:rsidR="00623959" w:rsidRPr="00504D41" w:rsidRDefault="00623959" w:rsidP="007F4257">
      <w:pPr>
        <w:rPr>
          <w:szCs w:val="24"/>
        </w:rPr>
      </w:pPr>
    </w:p>
    <w:p w14:paraId="3875E110" w14:textId="77777777" w:rsidR="00376084" w:rsidRPr="00504D41" w:rsidRDefault="00376084" w:rsidP="004D183A">
      <w:pPr>
        <w:spacing w:line="360" w:lineRule="auto"/>
        <w:rPr>
          <w:rStyle w:val="Heading1Char"/>
          <w:rFonts w:eastAsia="Calibri"/>
          <w:b/>
          <w:bCs/>
        </w:rPr>
      </w:pPr>
      <w:r w:rsidRPr="00504D41">
        <w:rPr>
          <w:b/>
          <w:bCs/>
          <w:szCs w:val="24"/>
        </w:rPr>
        <w:t xml:space="preserve">2. </w:t>
      </w:r>
      <w:r w:rsidR="00C32872" w:rsidRPr="00504D41">
        <w:rPr>
          <w:rStyle w:val="Heading1Char"/>
          <w:rFonts w:eastAsia="Calibri"/>
          <w:b/>
          <w:bCs/>
        </w:rPr>
        <w:t>S</w:t>
      </w:r>
      <w:r w:rsidRPr="00504D41">
        <w:rPr>
          <w:rStyle w:val="Heading1Char"/>
          <w:rFonts w:eastAsia="Calibri"/>
          <w:b/>
          <w:bCs/>
        </w:rPr>
        <w:t>eed coatings</w:t>
      </w:r>
      <w:r w:rsidR="00C32872" w:rsidRPr="00504D41">
        <w:rPr>
          <w:rStyle w:val="Heading1Char"/>
          <w:rFonts w:eastAsia="Calibri"/>
          <w:b/>
          <w:bCs/>
        </w:rPr>
        <w:t xml:space="preserve"> types and equipment</w:t>
      </w:r>
    </w:p>
    <w:p w14:paraId="1D47F443" w14:textId="77777777" w:rsidR="00C32872" w:rsidRPr="00504D41" w:rsidRDefault="00C32872" w:rsidP="004D183A">
      <w:pPr>
        <w:spacing w:line="360" w:lineRule="auto"/>
        <w:jc w:val="both"/>
        <w:rPr>
          <w:b/>
          <w:szCs w:val="24"/>
        </w:rPr>
      </w:pPr>
      <w:r w:rsidRPr="00504D41">
        <w:rPr>
          <w:b/>
          <w:szCs w:val="24"/>
        </w:rPr>
        <w:t>2.1 Types of seed coatings</w:t>
      </w:r>
    </w:p>
    <w:p w14:paraId="6C7272D2" w14:textId="77777777" w:rsidR="00C32872" w:rsidRPr="00504D41" w:rsidRDefault="00376084" w:rsidP="004D183A">
      <w:pPr>
        <w:spacing w:line="360" w:lineRule="auto"/>
        <w:jc w:val="both"/>
        <w:rPr>
          <w:szCs w:val="24"/>
        </w:rPr>
      </w:pPr>
      <w:r w:rsidRPr="00504D41">
        <w:rPr>
          <w:szCs w:val="24"/>
        </w:rPr>
        <w:t>Seed coatings can be characterized as pellets, encrusting or film coatings</w:t>
      </w:r>
      <w:r w:rsidR="00466A0E" w:rsidRPr="00504D41">
        <w:rPr>
          <w:noProof/>
          <w:szCs w:val="24"/>
          <w:vertAlign w:val="superscript"/>
        </w:rPr>
        <w:t>1,10</w:t>
      </w:r>
    </w:p>
    <w:p w14:paraId="7DABE33D" w14:textId="77777777" w:rsidR="00376084" w:rsidRPr="00504D41" w:rsidRDefault="00376084" w:rsidP="004D183A">
      <w:pPr>
        <w:spacing w:line="360" w:lineRule="auto"/>
        <w:jc w:val="both"/>
        <w:rPr>
          <w:szCs w:val="24"/>
        </w:rPr>
      </w:pPr>
      <w:r w:rsidRPr="00504D41">
        <w:t>Seed pelleting refers to the process of covering seeds with an external</w:t>
      </w:r>
      <w:r w:rsidR="00026DB4" w:rsidRPr="00504D41">
        <w:t xml:space="preserve"> </w:t>
      </w:r>
      <w:r w:rsidRPr="00504D41">
        <w:t xml:space="preserve">material to achieve </w:t>
      </w:r>
      <w:r w:rsidR="001A3BD0" w:rsidRPr="00504D41">
        <w:t xml:space="preserve">an overall </w:t>
      </w:r>
      <w:r w:rsidRPr="00504D41">
        <w:t>globular shape. Initially developed to achieve uniform seed dimensions for precision sowing, seed pellets can be used for multiple purposes including seed protection and germination enhancement</w:t>
      </w:r>
      <w:r w:rsidR="006D54C2" w:rsidRPr="00504D41">
        <w:rPr>
          <w:noProof/>
          <w:szCs w:val="24"/>
          <w:vertAlign w:val="superscript"/>
        </w:rPr>
        <w:t>16</w:t>
      </w:r>
      <w:r w:rsidRPr="00504D41">
        <w:t>. Pellet size and density can vary depending on the nature of the crop and planting conditions. Larger seeds are typically pelleted into smaller sizes whereas smaller seeds typically require larger builds-up</w:t>
      </w:r>
      <w:r w:rsidR="006D54C2" w:rsidRPr="00504D41">
        <w:rPr>
          <w:noProof/>
          <w:szCs w:val="24"/>
          <w:vertAlign w:val="superscript"/>
        </w:rPr>
        <w:t>17</w:t>
      </w:r>
      <w:r w:rsidRPr="00504D41">
        <w:t>. Pelleting process consists of first stamping the seeds with an adhesive following which the pelleting material is stuck on the seeds through sprinkling. The coated seeds are then rolled achieving a uniform build-up on top of the seeds</w:t>
      </w:r>
      <w:r w:rsidR="006D54C2" w:rsidRPr="00504D41">
        <w:rPr>
          <w:noProof/>
          <w:szCs w:val="24"/>
          <w:vertAlign w:val="superscript"/>
        </w:rPr>
        <w:t>18</w:t>
      </w:r>
      <w:r w:rsidRPr="00504D41">
        <w:t xml:space="preserve">. Typical seed pelleting fillers include materials like sand, chalk and peat. </w:t>
      </w:r>
      <w:r w:rsidR="001A3BD0" w:rsidRPr="00504D41">
        <w:t xml:space="preserve">Owing to their high porosity and water holding capacity, some </w:t>
      </w:r>
      <w:r w:rsidR="00CE197B" w:rsidRPr="00504D41">
        <w:t xml:space="preserve">fillers </w:t>
      </w:r>
      <w:r w:rsidR="00A33A75" w:rsidRPr="00504D41">
        <w:t xml:space="preserve">such as </w:t>
      </w:r>
      <w:r w:rsidR="00CE197B" w:rsidRPr="00504D41">
        <w:t>peat also function as carrier</w:t>
      </w:r>
      <w:r w:rsidR="001A3BD0" w:rsidRPr="00504D41">
        <w:t>s</w:t>
      </w:r>
      <w:r w:rsidR="00CE197B" w:rsidRPr="00504D41">
        <w:t xml:space="preserve"> for </w:t>
      </w:r>
      <w:r w:rsidR="00440F6F" w:rsidRPr="00504D41">
        <w:t>beneficial microbes in seed pellets.</w:t>
      </w:r>
      <w:r w:rsidR="006D54C2" w:rsidRPr="00504D41">
        <w:rPr>
          <w:noProof/>
          <w:vertAlign w:val="superscript"/>
        </w:rPr>
        <w:t>19</w:t>
      </w:r>
      <w:r w:rsidR="003478A7" w:rsidRPr="00504D41">
        <w:rPr>
          <w:vertAlign w:val="superscript"/>
        </w:rPr>
        <w:t>,</w:t>
      </w:r>
      <w:r w:rsidR="006D54C2" w:rsidRPr="00504D41">
        <w:rPr>
          <w:noProof/>
          <w:vertAlign w:val="superscript"/>
        </w:rPr>
        <w:t>20</w:t>
      </w:r>
    </w:p>
    <w:p w14:paraId="46398C3A" w14:textId="77777777" w:rsidR="00376084" w:rsidRPr="00504D41" w:rsidRDefault="00A80420" w:rsidP="004D183A">
      <w:pPr>
        <w:spacing w:line="360" w:lineRule="auto"/>
        <w:jc w:val="both"/>
      </w:pPr>
      <w:r w:rsidRPr="00504D41">
        <w:t>During s</w:t>
      </w:r>
      <w:r w:rsidR="00376084" w:rsidRPr="00504D41">
        <w:t>eed encrusting or intermediate pelleting</w:t>
      </w:r>
      <w:r w:rsidRPr="00504D41">
        <w:t xml:space="preserve">, </w:t>
      </w:r>
      <w:r w:rsidR="00376084" w:rsidRPr="00504D41">
        <w:t>external material</w:t>
      </w:r>
      <w:r w:rsidRPr="00504D41">
        <w:t xml:space="preserve"> is</w:t>
      </w:r>
      <w:r w:rsidR="00376084" w:rsidRPr="00504D41">
        <w:t xml:space="preserve"> build-up on the seed surface </w:t>
      </w:r>
      <w:r w:rsidRPr="00504D41">
        <w:t>without</w:t>
      </w:r>
      <w:r w:rsidR="00376084" w:rsidRPr="00504D41">
        <w:t xml:space="preserve"> </w:t>
      </w:r>
      <w:r w:rsidR="00A33A75" w:rsidRPr="00504D41">
        <w:t>significantly</w:t>
      </w:r>
      <w:r w:rsidRPr="00504D41">
        <w:t xml:space="preserve"> </w:t>
      </w:r>
      <w:r w:rsidR="00376084" w:rsidRPr="00504D41">
        <w:t>chang</w:t>
      </w:r>
      <w:r w:rsidRPr="00504D41">
        <w:t>ing</w:t>
      </w:r>
      <w:r w:rsidR="00376084" w:rsidRPr="00504D41">
        <w:t xml:space="preserve"> the original seed shape</w:t>
      </w:r>
      <w:r w:rsidR="006D54C2" w:rsidRPr="00504D41">
        <w:rPr>
          <w:noProof/>
          <w:szCs w:val="24"/>
          <w:vertAlign w:val="superscript"/>
        </w:rPr>
        <w:t>21</w:t>
      </w:r>
      <w:r w:rsidR="00376084" w:rsidRPr="00504D41">
        <w:t xml:space="preserve">. Encrusting may increase the seed weight by 20-200%. Similar to pelleting, encrusting is used to </w:t>
      </w:r>
      <w:r w:rsidRPr="00504D41">
        <w:t xml:space="preserve">achieve </w:t>
      </w:r>
      <w:r w:rsidR="00376084" w:rsidRPr="00504D41">
        <w:t>uniform seed dimensions as well as loading the seeds with the desired AI</w:t>
      </w:r>
      <w:r w:rsidR="006D54C2" w:rsidRPr="00504D41">
        <w:rPr>
          <w:noProof/>
          <w:szCs w:val="24"/>
          <w:vertAlign w:val="superscript"/>
        </w:rPr>
        <w:t>22</w:t>
      </w:r>
      <w:r w:rsidR="00376084" w:rsidRPr="00504D41">
        <w:t>.</w:t>
      </w:r>
    </w:p>
    <w:p w14:paraId="28C56AA8" w14:textId="77777777" w:rsidR="00376084" w:rsidRPr="00504D41" w:rsidRDefault="00376084" w:rsidP="004D183A">
      <w:pPr>
        <w:spacing w:line="360" w:lineRule="auto"/>
        <w:jc w:val="both"/>
      </w:pPr>
      <w:r w:rsidRPr="00504D41">
        <w:t xml:space="preserve">Film coatings </w:t>
      </w:r>
      <w:r w:rsidR="00A80420" w:rsidRPr="00504D41">
        <w:t>involve</w:t>
      </w:r>
      <w:r w:rsidRPr="00504D41">
        <w:t xml:space="preserve"> covering the seeds with a thin film layer resulting in nominal (1-10%) weight increase</w:t>
      </w:r>
      <w:r w:rsidR="006D54C2" w:rsidRPr="00504D41">
        <w:rPr>
          <w:noProof/>
          <w:szCs w:val="24"/>
          <w:vertAlign w:val="superscript"/>
        </w:rPr>
        <w:t>23</w:t>
      </w:r>
      <w:r w:rsidRPr="00504D41">
        <w:t>. These enable accurate AI incorporation</w:t>
      </w:r>
      <w:r w:rsidR="006D54C2" w:rsidRPr="00504D41">
        <w:rPr>
          <w:noProof/>
          <w:szCs w:val="24"/>
          <w:vertAlign w:val="superscript"/>
        </w:rPr>
        <w:t>24</w:t>
      </w:r>
      <w:r w:rsidRPr="00504D41">
        <w:t xml:space="preserve"> within the seed coating in addition to facilitating seed flowability within planters</w:t>
      </w:r>
      <w:r w:rsidR="006D54C2" w:rsidRPr="00504D41">
        <w:rPr>
          <w:noProof/>
          <w:szCs w:val="24"/>
          <w:vertAlign w:val="superscript"/>
        </w:rPr>
        <w:t>24</w:t>
      </w:r>
      <w:r w:rsidRPr="00504D41">
        <w:t xml:space="preserve">. They are also used to improve seed aesthetics through </w:t>
      </w:r>
      <w:r w:rsidR="00A80420" w:rsidRPr="00504D41">
        <w:t xml:space="preserve">the </w:t>
      </w:r>
      <w:r w:rsidRPr="00504D41">
        <w:t>use of dyed films</w:t>
      </w:r>
      <w:r w:rsidR="006D54C2" w:rsidRPr="00504D41">
        <w:rPr>
          <w:noProof/>
          <w:szCs w:val="24"/>
          <w:vertAlign w:val="superscript"/>
        </w:rPr>
        <w:t>25</w:t>
      </w:r>
      <w:r w:rsidRPr="00504D41">
        <w:t xml:space="preserve"> and are safer for farmers due to reduced chemical dust release</w:t>
      </w:r>
      <w:r w:rsidR="006D54C2" w:rsidRPr="00504D41">
        <w:rPr>
          <w:noProof/>
          <w:szCs w:val="24"/>
          <w:vertAlign w:val="superscript"/>
        </w:rPr>
        <w:t>18</w:t>
      </w:r>
      <w:r w:rsidRPr="00504D41">
        <w:t xml:space="preserve">. </w:t>
      </w:r>
    </w:p>
    <w:p w14:paraId="389983DA" w14:textId="77777777" w:rsidR="00376084" w:rsidRPr="00504D41" w:rsidRDefault="00C32872" w:rsidP="004D183A">
      <w:pPr>
        <w:spacing w:line="360" w:lineRule="auto"/>
        <w:rPr>
          <w:b/>
          <w:bCs/>
        </w:rPr>
      </w:pPr>
      <w:r w:rsidRPr="00504D41">
        <w:rPr>
          <w:b/>
          <w:bCs/>
        </w:rPr>
        <w:lastRenderedPageBreak/>
        <w:t>2.2</w:t>
      </w:r>
      <w:r w:rsidR="00376084" w:rsidRPr="00504D41">
        <w:rPr>
          <w:b/>
          <w:bCs/>
        </w:rPr>
        <w:t xml:space="preserve"> Seed Coating equipment</w:t>
      </w:r>
    </w:p>
    <w:p w14:paraId="74640D58" w14:textId="77777777" w:rsidR="00376084" w:rsidRPr="00504D41" w:rsidRDefault="00376084" w:rsidP="003116DC">
      <w:pPr>
        <w:spacing w:line="360" w:lineRule="auto"/>
        <w:jc w:val="both"/>
      </w:pPr>
      <w:r w:rsidRPr="00504D41">
        <w:t>The earliest seed coating equipment was the rotating pan or drum</w:t>
      </w:r>
      <w:r w:rsidR="007050A2" w:rsidRPr="00504D41">
        <w:t xml:space="preserve">. In </w:t>
      </w:r>
      <w:r w:rsidRPr="00504D41">
        <w:t>a typical coating cycle</w:t>
      </w:r>
      <w:r w:rsidR="00F57E53" w:rsidRPr="00504D41">
        <w:t>, the drum</w:t>
      </w:r>
      <w:r w:rsidRPr="00504D41">
        <w:t xml:space="preserve"> is continuously rotated</w:t>
      </w:r>
      <w:r w:rsidR="009F433E" w:rsidRPr="00504D41">
        <w:t xml:space="preserve"> resulting in </w:t>
      </w:r>
      <w:r w:rsidR="00262750" w:rsidRPr="00504D41">
        <w:t xml:space="preserve">coating of the </w:t>
      </w:r>
      <w:r w:rsidRPr="00504D41">
        <w:t xml:space="preserve">seeds </w:t>
      </w:r>
      <w:r w:rsidR="00262750" w:rsidRPr="00504D41">
        <w:t>contained within</w:t>
      </w:r>
      <w:r w:rsidRPr="00504D41">
        <w:t xml:space="preserve"> by the wetting liquid and pelleting powder being sprinkled from the top. Seeds are coated to the desired build-up size followed by drying. Typical limitations include low production rates and high labor costs per batch.</w:t>
      </w:r>
      <w:r w:rsidRPr="00504D41">
        <w:rPr>
          <w:szCs w:val="24"/>
        </w:rPr>
        <w:t xml:space="preserve"> </w:t>
      </w:r>
      <w:r w:rsidR="006D54C2" w:rsidRPr="00504D41">
        <w:rPr>
          <w:noProof/>
          <w:szCs w:val="24"/>
          <w:vertAlign w:val="superscript"/>
        </w:rPr>
        <w:t>26</w:t>
      </w:r>
      <w:r w:rsidR="000A407D" w:rsidRPr="00504D41">
        <w:rPr>
          <w:szCs w:val="24"/>
          <w:vertAlign w:val="superscript"/>
        </w:rPr>
        <w:t>,</w:t>
      </w:r>
      <w:r w:rsidRPr="00504D41">
        <w:rPr>
          <w:noProof/>
          <w:szCs w:val="24"/>
          <w:vertAlign w:val="superscript"/>
        </w:rPr>
        <w:t>3</w:t>
      </w:r>
    </w:p>
    <w:p w14:paraId="3D60F04A" w14:textId="77777777" w:rsidR="00975D4E" w:rsidRPr="00504D41" w:rsidRDefault="009E5912" w:rsidP="003116DC">
      <w:pPr>
        <w:spacing w:line="360" w:lineRule="auto"/>
        <w:jc w:val="both"/>
        <w:rPr>
          <w:szCs w:val="24"/>
        </w:rPr>
      </w:pPr>
      <w:r w:rsidRPr="00504D41">
        <w:t>A</w:t>
      </w:r>
      <w:r w:rsidR="00376084" w:rsidRPr="00504D41">
        <w:t xml:space="preserve"> more standardized </w:t>
      </w:r>
      <w:r w:rsidRPr="00504D41">
        <w:t xml:space="preserve">seed coating </w:t>
      </w:r>
      <w:r w:rsidR="00376084" w:rsidRPr="00504D41">
        <w:t xml:space="preserve">equipment </w:t>
      </w:r>
      <w:r w:rsidRPr="00504D41">
        <w:t xml:space="preserve">is the </w:t>
      </w:r>
      <w:r w:rsidR="007068A2" w:rsidRPr="00504D41">
        <w:t xml:space="preserve">rotary seed coater </w:t>
      </w:r>
      <w:r w:rsidR="00376084" w:rsidRPr="00504D41">
        <w:t>consisting of a rotating cylinder. Seeds and pelletizing materials are continuously rotated within the cylinder, being forced back within the center upon collision with the baffles fitted on the sides achieving a uniform coating on the seeds.</w:t>
      </w:r>
      <w:r w:rsidR="006D54C2" w:rsidRPr="00504D41">
        <w:rPr>
          <w:noProof/>
          <w:szCs w:val="24"/>
          <w:vertAlign w:val="superscript"/>
        </w:rPr>
        <w:t>26</w:t>
      </w:r>
      <w:r w:rsidR="00975D4E" w:rsidRPr="00504D41">
        <w:rPr>
          <w:szCs w:val="24"/>
        </w:rPr>
        <w:t xml:space="preserve"> </w:t>
      </w:r>
    </w:p>
    <w:p w14:paraId="4AEF2285" w14:textId="77777777" w:rsidR="00376084" w:rsidRPr="00504D41" w:rsidRDefault="00376084" w:rsidP="003116DC">
      <w:pPr>
        <w:spacing w:line="360" w:lineRule="auto"/>
        <w:jc w:val="both"/>
        <w:rPr>
          <w:szCs w:val="24"/>
        </w:rPr>
      </w:pPr>
      <w:r w:rsidRPr="00504D41">
        <w:t>Modern seed coating equipment include</w:t>
      </w:r>
      <w:r w:rsidR="00466A0E" w:rsidRPr="00504D41">
        <w:t>s</w:t>
      </w:r>
      <w:r w:rsidRPr="00504D41">
        <w:t xml:space="preserve"> fluidized beds and side vented drums</w:t>
      </w:r>
      <w:r w:rsidR="006D54C2" w:rsidRPr="00504D41">
        <w:rPr>
          <w:noProof/>
          <w:szCs w:val="24"/>
          <w:vertAlign w:val="superscript"/>
        </w:rPr>
        <w:t>25</w:t>
      </w:r>
      <w:r w:rsidRPr="00504D41">
        <w:t xml:space="preserve"> used to produce precise film coatings and encrustings.</w:t>
      </w:r>
      <w:r w:rsidR="006D54C2" w:rsidRPr="00504D41">
        <w:rPr>
          <w:noProof/>
          <w:szCs w:val="24"/>
          <w:vertAlign w:val="superscript"/>
        </w:rPr>
        <w:t>1,10,27</w:t>
      </w:r>
      <w:r w:rsidRPr="00504D41">
        <w:rPr>
          <w:szCs w:val="24"/>
        </w:rPr>
        <w:t xml:space="preserve"> </w:t>
      </w:r>
      <w:r w:rsidR="00466A0E" w:rsidRPr="00504D41">
        <w:rPr>
          <w:szCs w:val="24"/>
        </w:rPr>
        <w:t>These</w:t>
      </w:r>
      <w:r w:rsidRPr="00504D41">
        <w:rPr>
          <w:szCs w:val="24"/>
        </w:rPr>
        <w:t xml:space="preserve"> </w:t>
      </w:r>
      <w:r w:rsidR="00A80420" w:rsidRPr="00504D41">
        <w:rPr>
          <w:szCs w:val="24"/>
        </w:rPr>
        <w:t xml:space="preserve">equipment </w:t>
      </w:r>
      <w:r w:rsidRPr="00504D41">
        <w:rPr>
          <w:szCs w:val="24"/>
        </w:rPr>
        <w:t xml:space="preserve">achieve coating through </w:t>
      </w:r>
      <w:r w:rsidR="00A80420" w:rsidRPr="00504D41">
        <w:rPr>
          <w:szCs w:val="24"/>
        </w:rPr>
        <w:t xml:space="preserve">the </w:t>
      </w:r>
      <w:r w:rsidRPr="00504D41">
        <w:rPr>
          <w:szCs w:val="24"/>
        </w:rPr>
        <w:t xml:space="preserve">provision of a constant air flow for suspending the seeds while the coating mixture is </w:t>
      </w:r>
      <w:r w:rsidR="00466A0E" w:rsidRPr="00504D41">
        <w:rPr>
          <w:szCs w:val="24"/>
        </w:rPr>
        <w:t>sprinkled through</w:t>
      </w:r>
      <w:r w:rsidRPr="00504D41">
        <w:rPr>
          <w:szCs w:val="24"/>
        </w:rPr>
        <w:t xml:space="preserve"> spray nozzles.</w:t>
      </w:r>
    </w:p>
    <w:p w14:paraId="530C27C6" w14:textId="77777777" w:rsidR="00B13BEE" w:rsidRPr="00504D41" w:rsidRDefault="00C32872" w:rsidP="0016445D">
      <w:pPr>
        <w:pStyle w:val="Heading1"/>
        <w:spacing w:line="360" w:lineRule="auto"/>
      </w:pPr>
      <w:bookmarkStart w:id="2" w:name="_Toc80791081"/>
      <w:bookmarkStart w:id="3" w:name="_Toc85537924"/>
      <w:r w:rsidRPr="00504D41">
        <w:rPr>
          <w:b/>
          <w:bCs/>
        </w:rPr>
        <w:t>3</w:t>
      </w:r>
      <w:r w:rsidR="00B453E7" w:rsidRPr="00504D41">
        <w:rPr>
          <w:b/>
          <w:bCs/>
        </w:rPr>
        <w:t>.</w:t>
      </w:r>
      <w:r w:rsidR="000802DA" w:rsidRPr="00504D41">
        <w:rPr>
          <w:b/>
          <w:bCs/>
        </w:rPr>
        <w:t xml:space="preserve"> </w:t>
      </w:r>
      <w:r w:rsidR="00B13BEE" w:rsidRPr="00504D41">
        <w:rPr>
          <w:b/>
          <w:bCs/>
        </w:rPr>
        <w:t>Key challenges</w:t>
      </w:r>
      <w:bookmarkEnd w:id="2"/>
      <w:bookmarkEnd w:id="3"/>
      <w:r w:rsidR="00B61537" w:rsidRPr="00504D41">
        <w:rPr>
          <w:b/>
          <w:bCs/>
        </w:rPr>
        <w:t xml:space="preserve"> </w:t>
      </w:r>
    </w:p>
    <w:p w14:paraId="145EC082" w14:textId="77777777" w:rsidR="00B13BEE" w:rsidRPr="00504D41" w:rsidRDefault="00B13BEE" w:rsidP="0016445D">
      <w:pPr>
        <w:spacing w:line="360" w:lineRule="auto"/>
        <w:jc w:val="both"/>
        <w:rPr>
          <w:szCs w:val="24"/>
        </w:rPr>
      </w:pPr>
      <w:r w:rsidRPr="00504D41">
        <w:rPr>
          <w:szCs w:val="24"/>
        </w:rPr>
        <w:t>The vast scale usage of polymeric seed coating treatments has given rise to concerns regarding the overall sustainability of the approach and its effect on the environment and non-target organisms. Some potential chall</w:t>
      </w:r>
      <w:r w:rsidR="00123AF8" w:rsidRPr="00504D41">
        <w:rPr>
          <w:szCs w:val="24"/>
        </w:rPr>
        <w:t>e</w:t>
      </w:r>
      <w:r w:rsidRPr="00504D41">
        <w:rPr>
          <w:szCs w:val="24"/>
        </w:rPr>
        <w:t>nges are summarized below:</w:t>
      </w:r>
    </w:p>
    <w:p w14:paraId="120BEC15" w14:textId="77777777" w:rsidR="00B13BEE" w:rsidRPr="00504D41" w:rsidRDefault="00C32872" w:rsidP="00B453E7">
      <w:pPr>
        <w:rPr>
          <w:b/>
          <w:bCs/>
        </w:rPr>
      </w:pPr>
      <w:bookmarkStart w:id="4" w:name="_Toc80791082"/>
      <w:bookmarkStart w:id="5" w:name="_Toc85537925"/>
      <w:r w:rsidRPr="00504D41">
        <w:rPr>
          <w:b/>
          <w:bCs/>
        </w:rPr>
        <w:t>3</w:t>
      </w:r>
      <w:r w:rsidR="000802DA" w:rsidRPr="00504D41">
        <w:rPr>
          <w:b/>
          <w:bCs/>
        </w:rPr>
        <w:t>.1</w:t>
      </w:r>
      <w:r w:rsidR="00B453E7" w:rsidRPr="00504D41">
        <w:rPr>
          <w:b/>
          <w:bCs/>
        </w:rPr>
        <w:t>.</w:t>
      </w:r>
      <w:r w:rsidR="000802DA" w:rsidRPr="00504D41">
        <w:rPr>
          <w:b/>
          <w:bCs/>
        </w:rPr>
        <w:t xml:space="preserve"> </w:t>
      </w:r>
      <w:r w:rsidR="00B13BEE" w:rsidRPr="00504D41">
        <w:rPr>
          <w:b/>
          <w:bCs/>
        </w:rPr>
        <w:t>Pesticide-rich seed dust</w:t>
      </w:r>
      <w:bookmarkEnd w:id="4"/>
      <w:bookmarkEnd w:id="5"/>
    </w:p>
    <w:p w14:paraId="6E6CA596" w14:textId="77777777" w:rsidR="00B13BEE" w:rsidRPr="00504D41" w:rsidRDefault="00B13BEE" w:rsidP="0016445D">
      <w:pPr>
        <w:spacing w:line="360" w:lineRule="auto"/>
        <w:jc w:val="both"/>
        <w:rPr>
          <w:szCs w:val="24"/>
        </w:rPr>
      </w:pPr>
      <w:r w:rsidRPr="00504D41">
        <w:rPr>
          <w:szCs w:val="24"/>
        </w:rPr>
        <w:t>Abrasion of pesticide containing seed coatings during seed (1) planting, (2) handling, and (3) storage can result in the production of pesticide-laden seed dust.</w:t>
      </w:r>
      <w:r w:rsidR="00D81D4A" w:rsidRPr="00504D41">
        <w:rPr>
          <w:szCs w:val="24"/>
        </w:rPr>
        <w:t xml:space="preserve"> </w:t>
      </w:r>
      <w:r w:rsidR="00D81D4A" w:rsidRPr="00504D41">
        <w:rPr>
          <w:b/>
          <w:bCs/>
          <w:szCs w:val="24"/>
        </w:rPr>
        <w:t>Figure 2</w:t>
      </w:r>
      <w:r w:rsidR="00D81D4A" w:rsidRPr="00504D41">
        <w:rPr>
          <w:szCs w:val="24"/>
        </w:rPr>
        <w:t xml:space="preserve"> shows various pathways through which abraded</w:t>
      </w:r>
      <w:r w:rsidR="006F219C" w:rsidRPr="00504D41">
        <w:rPr>
          <w:szCs w:val="24"/>
        </w:rPr>
        <w:t xml:space="preserve"> </w:t>
      </w:r>
      <w:r w:rsidR="00D81D4A" w:rsidRPr="00504D41">
        <w:rPr>
          <w:szCs w:val="24"/>
        </w:rPr>
        <w:t>dust from coated seeds can pollute the environment.</w:t>
      </w:r>
      <w:r w:rsidRPr="00504D41">
        <w:rPr>
          <w:szCs w:val="24"/>
        </w:rPr>
        <w:t xml:space="preserve"> This abraded dust containing the pesticide can be transported through air movement to off-target sites</w:t>
      </w:r>
      <w:r w:rsidR="006F219C" w:rsidRPr="00504D41">
        <w:rPr>
          <w:szCs w:val="24"/>
        </w:rPr>
        <w:t xml:space="preserve"> (adjacent fields, subsurface ground layer, water bodies)</w:t>
      </w:r>
      <w:r w:rsidRPr="00504D41">
        <w:rPr>
          <w:szCs w:val="24"/>
        </w:rPr>
        <w:t xml:space="preserve"> resulting in dust drift which can prove fatal to bees and other pollinators in addition to posing health concerns to farmers</w:t>
      </w:r>
      <w:r w:rsidR="00D81D4A" w:rsidRPr="00504D41">
        <w:rPr>
          <w:szCs w:val="24"/>
        </w:rPr>
        <w:t>.</w:t>
      </w:r>
      <w:r w:rsidR="00A80420" w:rsidRPr="00504D41">
        <w:rPr>
          <w:szCs w:val="24"/>
          <w:vertAlign w:val="superscript"/>
        </w:rPr>
        <w:t>27</w:t>
      </w:r>
      <w:r w:rsidR="00D81D4A" w:rsidRPr="00504D41">
        <w:rPr>
          <w:szCs w:val="24"/>
        </w:rPr>
        <w:t xml:space="preserve"> Furthermore, deposition of the</w:t>
      </w:r>
      <w:r w:rsidR="00A80420" w:rsidRPr="00504D41">
        <w:rPr>
          <w:szCs w:val="24"/>
        </w:rPr>
        <w:t xml:space="preserve"> seed</w:t>
      </w:r>
      <w:r w:rsidR="00D81D4A" w:rsidRPr="00504D41">
        <w:rPr>
          <w:szCs w:val="24"/>
        </w:rPr>
        <w:t xml:space="preserve"> dust in</w:t>
      </w:r>
      <w:r w:rsidR="006F219C" w:rsidRPr="00504D41">
        <w:rPr>
          <w:szCs w:val="24"/>
        </w:rPr>
        <w:t xml:space="preserve"> surface and ground water reservoirs can result in water pollution</w:t>
      </w:r>
      <w:r w:rsidR="006B299D" w:rsidRPr="00504D41">
        <w:rPr>
          <w:szCs w:val="24"/>
        </w:rPr>
        <w:t>.</w:t>
      </w:r>
      <w:r w:rsidR="006D54C2" w:rsidRPr="00504D41">
        <w:rPr>
          <w:noProof/>
          <w:szCs w:val="24"/>
          <w:vertAlign w:val="superscript"/>
        </w:rPr>
        <w:t>28–31</w:t>
      </w:r>
      <w:r w:rsidRPr="00504D41">
        <w:rPr>
          <w:szCs w:val="24"/>
        </w:rPr>
        <w:t xml:space="preserve"> Moreover, it is also suggested that risks associated with </w:t>
      </w:r>
      <w:r w:rsidR="00A80420" w:rsidRPr="00504D41">
        <w:rPr>
          <w:szCs w:val="24"/>
        </w:rPr>
        <w:t>dust-</w:t>
      </w:r>
      <w:r w:rsidRPr="00504D41">
        <w:rPr>
          <w:szCs w:val="24"/>
        </w:rPr>
        <w:t xml:space="preserve">off losses from coated seeds may potentially be underestimated. Foque and coworkers compared seed drift potential of commercially available pre-treated seeds, calculated from Heubach dust meter </w:t>
      </w:r>
      <w:r w:rsidRPr="00504D41">
        <w:rPr>
          <w:szCs w:val="24"/>
        </w:rPr>
        <w:lastRenderedPageBreak/>
        <w:t>(traditional method to determine drift potential from treated seeds) with values calculated from dust released from mechanical sieving of seed bags and from individual sowing el</w:t>
      </w:r>
      <w:r w:rsidR="00CE6281" w:rsidRPr="00504D41">
        <w:rPr>
          <w:szCs w:val="24"/>
        </w:rPr>
        <w:t>ement of a pneumatic seed drill</w:t>
      </w:r>
      <w:r w:rsidR="00612E23" w:rsidRPr="00504D41">
        <w:rPr>
          <w:szCs w:val="24"/>
        </w:rPr>
        <w:t>.</w:t>
      </w:r>
      <w:r w:rsidR="006D54C2" w:rsidRPr="00504D41">
        <w:rPr>
          <w:noProof/>
          <w:szCs w:val="24"/>
          <w:vertAlign w:val="superscript"/>
        </w:rPr>
        <w:t>28</w:t>
      </w:r>
      <w:r w:rsidRPr="00504D41">
        <w:rPr>
          <w:szCs w:val="24"/>
        </w:rPr>
        <w:t xml:space="preserve"> Drift potential values calculated from Heubach readings were much low</w:t>
      </w:r>
      <w:r w:rsidR="00A84686" w:rsidRPr="00504D41">
        <w:rPr>
          <w:szCs w:val="24"/>
        </w:rPr>
        <w:t xml:space="preserve">er than those obtained from </w:t>
      </w:r>
      <w:r w:rsidRPr="00504D41">
        <w:rPr>
          <w:szCs w:val="24"/>
        </w:rPr>
        <w:t>mechanical and individual sowing techniques. This suggests that current methods to quantify drift potential from seed coatings should be corroborated with alternate approaches to accurately identify potential risks and adopt the necessary safety counter</w:t>
      </w:r>
      <w:r w:rsidR="004A493D" w:rsidRPr="00504D41">
        <w:rPr>
          <w:szCs w:val="24"/>
        </w:rPr>
        <w:t>-</w:t>
      </w:r>
      <w:r w:rsidRPr="00504D41">
        <w:rPr>
          <w:szCs w:val="24"/>
        </w:rPr>
        <w:t xml:space="preserve">measures. Researchers are also probing mitigation techniques focusing on the design of safer seed coatings with reduced drift potential. In a recent patent, Reichert and coworkers disclosed a method to minimize pesticide dust from coated seeds through lubrication of treated seeds with a wax composition (polyethylene carnauba, paraffin, polypropylene, and oxidized polyethylene wax) in lieu of conventional planting lubricants (talc, graphite). The reduced dust emissions after wax lubrication of insecticide treated corn seeds was shown </w:t>
      </w:r>
      <w:r w:rsidR="00A80420" w:rsidRPr="00504D41">
        <w:rPr>
          <w:szCs w:val="24"/>
        </w:rPr>
        <w:t xml:space="preserve">via </w:t>
      </w:r>
      <w:r w:rsidRPr="00504D41">
        <w:rPr>
          <w:szCs w:val="24"/>
        </w:rPr>
        <w:t>calculating dust levels with a Heubach Dustmeter</w:t>
      </w:r>
      <w:r w:rsidR="00612E23" w:rsidRPr="00504D41">
        <w:rPr>
          <w:szCs w:val="24"/>
        </w:rPr>
        <w:t>.</w:t>
      </w:r>
      <w:r w:rsidR="006D54C2" w:rsidRPr="00504D41">
        <w:rPr>
          <w:noProof/>
          <w:szCs w:val="24"/>
          <w:vertAlign w:val="superscript"/>
        </w:rPr>
        <w:t>32</w:t>
      </w:r>
      <w:r w:rsidRPr="00504D41">
        <w:rPr>
          <w:szCs w:val="24"/>
        </w:rPr>
        <w:t xml:space="preserve"> In addition to design alterations, other proposed mitigation strategies include: (1) use of air deflectors in sowing sites to direct dust drift from seeds into sowing channels,</w:t>
      </w:r>
      <w:r w:rsidR="003B611F" w:rsidRPr="00504D41">
        <w:rPr>
          <w:szCs w:val="24"/>
        </w:rPr>
        <w:t xml:space="preserve"> </w:t>
      </w:r>
      <w:r w:rsidR="00AA567B" w:rsidRPr="00504D41">
        <w:rPr>
          <w:szCs w:val="24"/>
        </w:rPr>
        <w:t xml:space="preserve">(2) use of point of care detectors to gauge and control pesticide levels in </w:t>
      </w:r>
      <w:r w:rsidR="00A80420" w:rsidRPr="00504D41">
        <w:rPr>
          <w:szCs w:val="24"/>
        </w:rPr>
        <w:t xml:space="preserve">the </w:t>
      </w:r>
      <w:r w:rsidR="00AA567B" w:rsidRPr="00504D41">
        <w:rPr>
          <w:szCs w:val="24"/>
        </w:rPr>
        <w:t>field</w:t>
      </w:r>
      <w:r w:rsidR="00A43D10" w:rsidRPr="00504D41">
        <w:rPr>
          <w:szCs w:val="24"/>
        </w:rPr>
        <w:t>,</w:t>
      </w:r>
      <w:r w:rsidR="006D54C2" w:rsidRPr="00504D41">
        <w:rPr>
          <w:noProof/>
          <w:szCs w:val="24"/>
          <w:vertAlign w:val="superscript"/>
        </w:rPr>
        <w:t>33</w:t>
      </w:r>
      <w:r w:rsidRPr="00504D41">
        <w:rPr>
          <w:szCs w:val="24"/>
        </w:rPr>
        <w:t xml:space="preserve"> and (</w:t>
      </w:r>
      <w:r w:rsidR="00AA567B" w:rsidRPr="00504D41">
        <w:rPr>
          <w:szCs w:val="24"/>
        </w:rPr>
        <w:t>3</w:t>
      </w:r>
      <w:r w:rsidRPr="00504D41">
        <w:rPr>
          <w:szCs w:val="24"/>
        </w:rPr>
        <w:t>) rigorous monitoring by regulating authorities to ensure best coating and planting practices are adopted by agrochemical companies and farmers</w:t>
      </w:r>
      <w:r w:rsidR="005F432B" w:rsidRPr="00504D41">
        <w:rPr>
          <w:szCs w:val="24"/>
        </w:rPr>
        <w:t>.</w:t>
      </w:r>
      <w:r w:rsidR="006D54C2" w:rsidRPr="00504D41">
        <w:rPr>
          <w:noProof/>
          <w:szCs w:val="24"/>
          <w:vertAlign w:val="superscript"/>
        </w:rPr>
        <w:t>30</w:t>
      </w:r>
    </w:p>
    <w:p w14:paraId="59196207" w14:textId="77777777" w:rsidR="00B13BEE" w:rsidRPr="00504D41" w:rsidRDefault="00C32872" w:rsidP="00B453E7">
      <w:pPr>
        <w:rPr>
          <w:b/>
          <w:bCs/>
        </w:rPr>
      </w:pPr>
      <w:bookmarkStart w:id="6" w:name="_Toc80791083"/>
      <w:bookmarkStart w:id="7" w:name="_Toc85537926"/>
      <w:r w:rsidRPr="00504D41">
        <w:rPr>
          <w:b/>
          <w:bCs/>
        </w:rPr>
        <w:t>3</w:t>
      </w:r>
      <w:r w:rsidR="000802DA" w:rsidRPr="00504D41">
        <w:rPr>
          <w:b/>
          <w:bCs/>
        </w:rPr>
        <w:t>.2</w:t>
      </w:r>
      <w:r w:rsidR="00B453E7" w:rsidRPr="00504D41">
        <w:rPr>
          <w:b/>
          <w:bCs/>
        </w:rPr>
        <w:t>.</w:t>
      </w:r>
      <w:r w:rsidR="000802DA" w:rsidRPr="00504D41">
        <w:rPr>
          <w:b/>
          <w:bCs/>
        </w:rPr>
        <w:t xml:space="preserve"> </w:t>
      </w:r>
      <w:r w:rsidR="00B13BEE" w:rsidRPr="00504D41">
        <w:rPr>
          <w:b/>
          <w:bCs/>
        </w:rPr>
        <w:t>Pesticide overuse</w:t>
      </w:r>
      <w:bookmarkEnd w:id="6"/>
      <w:bookmarkEnd w:id="7"/>
    </w:p>
    <w:p w14:paraId="3DD28E2B" w14:textId="77777777" w:rsidR="00400ED4" w:rsidRPr="00504D41" w:rsidRDefault="000D3857" w:rsidP="00635A32">
      <w:pPr>
        <w:spacing w:line="360" w:lineRule="auto"/>
        <w:jc w:val="both"/>
        <w:rPr>
          <w:szCs w:val="24"/>
        </w:rPr>
      </w:pPr>
      <w:r w:rsidRPr="00504D41">
        <w:rPr>
          <w:szCs w:val="24"/>
        </w:rPr>
        <w:t xml:space="preserve">Seed coatings have been associated with agrochemical overuse, in particular, concerns have been raised over the use of </w:t>
      </w:r>
      <w:r w:rsidR="00A80420" w:rsidRPr="00504D41">
        <w:rPr>
          <w:szCs w:val="24"/>
        </w:rPr>
        <w:t xml:space="preserve">neonicotinoid </w:t>
      </w:r>
      <w:r w:rsidRPr="00504D41">
        <w:rPr>
          <w:szCs w:val="24"/>
        </w:rPr>
        <w:t>seed treatments (NSTs). Neonicotinoids are insecticides widely used in seed treatments that are documented to possess low toxicity towards mammals but are highly toxic to bees and other pollinators.</w:t>
      </w:r>
      <w:r w:rsidR="006D54C2" w:rsidRPr="00504D41">
        <w:rPr>
          <w:noProof/>
          <w:szCs w:val="24"/>
          <w:vertAlign w:val="superscript"/>
        </w:rPr>
        <w:t>34,35</w:t>
      </w:r>
      <w:r w:rsidRPr="00504D41">
        <w:rPr>
          <w:szCs w:val="24"/>
        </w:rPr>
        <w:t xml:space="preserve"> They also pose a threat to predators through transferring down in the food chain (plant-pest-predator) and due to their high water solubility resulting in their rapid mobility in waterways and subsequent penetration into aquatic wildlife and vegetation.</w:t>
      </w:r>
      <w:r w:rsidR="006D54C2" w:rsidRPr="00504D41">
        <w:rPr>
          <w:noProof/>
          <w:szCs w:val="24"/>
          <w:vertAlign w:val="superscript"/>
        </w:rPr>
        <w:t>36–40</w:t>
      </w:r>
      <w:r w:rsidRPr="00504D41">
        <w:rPr>
          <w:szCs w:val="24"/>
        </w:rPr>
        <w:t xml:space="preserve"> </w:t>
      </w:r>
      <w:r w:rsidR="00400ED4" w:rsidRPr="00504D41">
        <w:rPr>
          <w:szCs w:val="24"/>
        </w:rPr>
        <w:t>While unwanted environmental dissemination of neonicotinoids may result from either spray or seed treatments, the latter have been identified as their major route of application and thus require more scrutiny. Douglas et al</w:t>
      </w:r>
      <w:r w:rsidR="006D54C2" w:rsidRPr="00504D41">
        <w:rPr>
          <w:noProof/>
          <w:szCs w:val="24"/>
          <w:vertAlign w:val="superscript"/>
        </w:rPr>
        <w:t>41</w:t>
      </w:r>
      <w:r w:rsidR="00400ED4" w:rsidRPr="00504D41">
        <w:rPr>
          <w:szCs w:val="24"/>
        </w:rPr>
        <w:t xml:space="preserve"> compiled data from public (USGC, USDA, North Dakota State University and Minnesota Department of Agriculture) and corporate (Pioneer Hi-Bred International) sources subtracting reported NSTs amounts from the total reported usage to estimate the relative amounts applied as seed treatments. Their findings reveal that from 2000 to 2012 for maize, soybean and wheat</w:t>
      </w:r>
      <w:r w:rsidR="00A80420" w:rsidRPr="00504D41">
        <w:rPr>
          <w:szCs w:val="24"/>
        </w:rPr>
        <w:t>,</w:t>
      </w:r>
      <w:r w:rsidR="00400ED4" w:rsidRPr="00504D41">
        <w:rPr>
          <w:szCs w:val="24"/>
        </w:rPr>
        <w:t xml:space="preserve"> nearly 100% of the total reported </w:t>
      </w:r>
      <w:r w:rsidR="00400ED4" w:rsidRPr="00504D41">
        <w:rPr>
          <w:szCs w:val="24"/>
        </w:rPr>
        <w:lastRenderedPageBreak/>
        <w:t>neonicotinoid used was applied in the form of seed treatments while for cotton the value ranged around 60-70% after 2004. Furthermore, the relative importance of these figures can be gauged from the fact that for maize for the year 2004</w:t>
      </w:r>
      <w:r w:rsidR="00A80420" w:rsidRPr="00504D41">
        <w:rPr>
          <w:szCs w:val="24"/>
        </w:rPr>
        <w:t>,</w:t>
      </w:r>
      <w:r w:rsidR="00400ED4" w:rsidRPr="00504D41">
        <w:rPr>
          <w:szCs w:val="24"/>
        </w:rPr>
        <w:t xml:space="preserve"> NST alone accounted for 43% of the total documented insecticide use. </w:t>
      </w:r>
    </w:p>
    <w:p w14:paraId="51A4E97A" w14:textId="77777777" w:rsidR="000D3857" w:rsidRPr="00504D41" w:rsidRDefault="000D3857" w:rsidP="00635A32">
      <w:pPr>
        <w:spacing w:line="360" w:lineRule="auto"/>
        <w:jc w:val="both"/>
        <w:rPr>
          <w:szCs w:val="24"/>
        </w:rPr>
      </w:pPr>
      <w:r w:rsidRPr="00504D41">
        <w:rPr>
          <w:szCs w:val="24"/>
        </w:rPr>
        <w:t>Accurate risk assessment of neonicotinoids or any agrochemical for that matter requires precise data on application rates to monitor variations in field conditions and insect populations. While pesticides have increasingly been applied as seed treatments, regulatory data on pesticide usage has mainly been focused on directly applied field pesticides overlooking amounts contained in seed coatings.</w:t>
      </w:r>
      <w:r w:rsidR="006D54C2" w:rsidRPr="00504D41">
        <w:rPr>
          <w:noProof/>
          <w:szCs w:val="24"/>
          <w:vertAlign w:val="superscript"/>
        </w:rPr>
        <w:t>42,43</w:t>
      </w:r>
      <w:r w:rsidRPr="00504D41">
        <w:rPr>
          <w:szCs w:val="24"/>
        </w:rPr>
        <w:t xml:space="preserve"> Farmers are </w:t>
      </w:r>
      <w:r w:rsidR="00A80420" w:rsidRPr="00504D41">
        <w:rPr>
          <w:szCs w:val="24"/>
        </w:rPr>
        <w:t xml:space="preserve">also </w:t>
      </w:r>
      <w:r w:rsidRPr="00504D41">
        <w:rPr>
          <w:szCs w:val="24"/>
        </w:rPr>
        <w:t>generally less aware of pesticides applied through seed treatments compared to the amounts applied directly to crops.</w:t>
      </w:r>
      <w:r w:rsidR="006D54C2" w:rsidRPr="00504D41">
        <w:rPr>
          <w:noProof/>
          <w:szCs w:val="24"/>
          <w:vertAlign w:val="superscript"/>
        </w:rPr>
        <w:t>43</w:t>
      </w:r>
      <w:r w:rsidRPr="00504D41">
        <w:rPr>
          <w:szCs w:val="24"/>
        </w:rPr>
        <w:t xml:space="preserve"> All these factors have resulted in a general dearth of accurate data on pesticidal seed treatments. The prophylactic use of seed treatments and the difficulty in accessing uncoated seeds has further augmented this issue resulting in pesticide use even when the need does not exist.</w:t>
      </w:r>
      <w:r w:rsidR="006D54C2" w:rsidRPr="00504D41">
        <w:rPr>
          <w:noProof/>
          <w:szCs w:val="24"/>
          <w:vertAlign w:val="superscript"/>
        </w:rPr>
        <w:t>44</w:t>
      </w:r>
      <w:r w:rsidRPr="00504D41">
        <w:rPr>
          <w:szCs w:val="24"/>
        </w:rPr>
        <w:t xml:space="preserve"> Thus, seed coatings may result in pesticide overuse having catastrophic effects on bees and other beneficial predatory insects.  Recent research in seed treatments to reduce pesticide and other agrochemical intake</w:t>
      </w:r>
      <w:r w:rsidR="00A80420" w:rsidRPr="00504D41">
        <w:rPr>
          <w:szCs w:val="24"/>
        </w:rPr>
        <w:t>s</w:t>
      </w:r>
      <w:r w:rsidRPr="00504D41">
        <w:rPr>
          <w:szCs w:val="24"/>
        </w:rPr>
        <w:t xml:space="preserve"> has focused on </w:t>
      </w:r>
      <w:r w:rsidR="00A80420" w:rsidRPr="00504D41">
        <w:rPr>
          <w:szCs w:val="24"/>
        </w:rPr>
        <w:t xml:space="preserve">the </w:t>
      </w:r>
      <w:r w:rsidRPr="00504D41">
        <w:rPr>
          <w:szCs w:val="24"/>
        </w:rPr>
        <w:t xml:space="preserve">use of microbe inoculated seed coatings as bio-control agents (details in section </w:t>
      </w:r>
      <w:r w:rsidR="00265CFF" w:rsidRPr="00504D41">
        <w:rPr>
          <w:szCs w:val="24"/>
        </w:rPr>
        <w:t>4.1</w:t>
      </w:r>
      <w:r w:rsidRPr="00504D41">
        <w:rPr>
          <w:szCs w:val="24"/>
        </w:rPr>
        <w:t>).</w:t>
      </w:r>
    </w:p>
    <w:p w14:paraId="3E9DCFB4" w14:textId="77777777" w:rsidR="00B13BEE" w:rsidRPr="00504D41" w:rsidRDefault="00C32872" w:rsidP="00B453E7">
      <w:pPr>
        <w:rPr>
          <w:b/>
          <w:bCs/>
        </w:rPr>
      </w:pPr>
      <w:bookmarkStart w:id="8" w:name="_Toc80791084"/>
      <w:bookmarkStart w:id="9" w:name="_Toc85537927"/>
      <w:r w:rsidRPr="00504D41">
        <w:rPr>
          <w:b/>
          <w:bCs/>
        </w:rPr>
        <w:t>3</w:t>
      </w:r>
      <w:r w:rsidR="000802DA" w:rsidRPr="00504D41">
        <w:rPr>
          <w:b/>
          <w:bCs/>
        </w:rPr>
        <w:t>.3</w:t>
      </w:r>
      <w:r w:rsidR="00B453E7" w:rsidRPr="00504D41">
        <w:rPr>
          <w:b/>
          <w:bCs/>
        </w:rPr>
        <w:t>.</w:t>
      </w:r>
      <w:r w:rsidR="000802DA" w:rsidRPr="00504D41">
        <w:rPr>
          <w:b/>
          <w:bCs/>
        </w:rPr>
        <w:t xml:space="preserve"> </w:t>
      </w:r>
      <w:r w:rsidR="00B13BEE" w:rsidRPr="00504D41">
        <w:rPr>
          <w:b/>
          <w:bCs/>
        </w:rPr>
        <w:t>Microplastic coating film (MPCF)</w:t>
      </w:r>
      <w:bookmarkEnd w:id="8"/>
      <w:bookmarkEnd w:id="9"/>
    </w:p>
    <w:p w14:paraId="4735F2D3" w14:textId="77777777" w:rsidR="00B13BEE" w:rsidRPr="00504D41" w:rsidRDefault="00B13BEE" w:rsidP="0016445D">
      <w:pPr>
        <w:spacing w:line="360" w:lineRule="auto"/>
        <w:jc w:val="both"/>
        <w:rPr>
          <w:szCs w:val="24"/>
        </w:rPr>
      </w:pPr>
      <w:r w:rsidRPr="00504D41">
        <w:rPr>
          <w:szCs w:val="24"/>
        </w:rPr>
        <w:t xml:space="preserve">Seed coatings have been reported as a possible route through which microplastics can enter the soil. Detachment of non-biodegradable polymer films from seed coatings can result in persistent polymer fragments in the soil. The term </w:t>
      </w:r>
      <w:r w:rsidRPr="00504D41">
        <w:rPr>
          <w:szCs w:val="24"/>
          <w:shd w:val="clear" w:color="auto" w:fill="FFFFFF"/>
        </w:rPr>
        <w:t>microplastic coating film (MPCF) fragments was first coined by Accinelli et al</w:t>
      </w:r>
      <w:r w:rsidR="005F6E15" w:rsidRPr="00504D41">
        <w:rPr>
          <w:szCs w:val="24"/>
          <w:shd w:val="clear" w:color="auto" w:fill="FFFFFF"/>
        </w:rPr>
        <w:t xml:space="preserve"> </w:t>
      </w:r>
      <w:r w:rsidRPr="00504D41">
        <w:rPr>
          <w:szCs w:val="24"/>
          <w:shd w:val="clear" w:color="auto" w:fill="FFFFFF"/>
        </w:rPr>
        <w:t xml:space="preserve">to define detached seed coating fragments referring to their similarity with microplastics (MP) but with significantly lower thicknesses (&lt; </w:t>
      </w:r>
      <w:r w:rsidR="00CE6281" w:rsidRPr="00504D41">
        <w:rPr>
          <w:szCs w:val="24"/>
          <w:shd w:val="clear" w:color="auto" w:fill="FFFFFF"/>
        </w:rPr>
        <w:t>5-10 μm)</w:t>
      </w:r>
      <w:r w:rsidR="00103278" w:rsidRPr="00504D41">
        <w:rPr>
          <w:szCs w:val="24"/>
          <w:shd w:val="clear" w:color="auto" w:fill="FFFFFF"/>
        </w:rPr>
        <w:t>.</w:t>
      </w:r>
      <w:r w:rsidR="006D54C2" w:rsidRPr="00504D41">
        <w:rPr>
          <w:noProof/>
          <w:szCs w:val="24"/>
          <w:shd w:val="clear" w:color="auto" w:fill="FFFFFF"/>
          <w:vertAlign w:val="superscript"/>
        </w:rPr>
        <w:t>29</w:t>
      </w:r>
      <w:r w:rsidRPr="00504D41">
        <w:rPr>
          <w:szCs w:val="24"/>
          <w:shd w:val="clear" w:color="auto" w:fill="FFFFFF"/>
        </w:rPr>
        <w:t xml:space="preserve"> MPCF has been identified as a potential source of MP in the soil</w:t>
      </w:r>
      <w:r w:rsidR="0052342F" w:rsidRPr="00504D41">
        <w:rPr>
          <w:szCs w:val="24"/>
          <w:shd w:val="clear" w:color="auto" w:fill="FFFFFF"/>
        </w:rPr>
        <w:t xml:space="preserve"> (Refer to Figure 2).</w:t>
      </w:r>
      <w:r w:rsidR="006D54C2" w:rsidRPr="00504D41">
        <w:rPr>
          <w:noProof/>
          <w:szCs w:val="24"/>
          <w:shd w:val="clear" w:color="auto" w:fill="FFFFFF"/>
          <w:vertAlign w:val="superscript"/>
        </w:rPr>
        <w:t>45,46</w:t>
      </w:r>
      <w:r w:rsidR="0052342F" w:rsidRPr="00504D41">
        <w:rPr>
          <w:szCs w:val="24"/>
          <w:shd w:val="clear" w:color="auto" w:fill="FFFFFF"/>
        </w:rPr>
        <w:t xml:space="preserve"> </w:t>
      </w:r>
      <w:r w:rsidRPr="00504D41">
        <w:rPr>
          <w:szCs w:val="24"/>
        </w:rPr>
        <w:t xml:space="preserve">The presence of MP in the soil can change the physical properties of the soil as well as significantly alter soil fertility. Furthermore, </w:t>
      </w:r>
      <w:r w:rsidR="005F6E15" w:rsidRPr="00504D41">
        <w:rPr>
          <w:szCs w:val="24"/>
        </w:rPr>
        <w:t xml:space="preserve">their </w:t>
      </w:r>
      <w:r w:rsidRPr="00504D41">
        <w:rPr>
          <w:szCs w:val="24"/>
        </w:rPr>
        <w:t>degradation can result in the release of toxic additives in the soil, which can play havoc with the ecosystem and have uncharted effects on the soil quality. They can also be ingested by soil organisms and be transported within the food chain</w:t>
      </w:r>
      <w:r w:rsidR="00366B1F" w:rsidRPr="00504D41">
        <w:rPr>
          <w:szCs w:val="24"/>
        </w:rPr>
        <w:t>,</w:t>
      </w:r>
      <w:r w:rsidR="006D54C2" w:rsidRPr="00504D41">
        <w:rPr>
          <w:noProof/>
          <w:szCs w:val="24"/>
          <w:vertAlign w:val="superscript"/>
        </w:rPr>
        <w:t>31</w:t>
      </w:r>
      <w:r w:rsidR="008E20F4" w:rsidRPr="00504D41">
        <w:rPr>
          <w:szCs w:val="24"/>
        </w:rPr>
        <w:t xml:space="preserve"> </w:t>
      </w:r>
      <w:r w:rsidRPr="00504D41">
        <w:rPr>
          <w:szCs w:val="24"/>
        </w:rPr>
        <w:t xml:space="preserve">posing a threat to human health. Considering their potential toxicity, regulatory bodies in the EU have proposed banning the use of primary MP in consumer as well as </w:t>
      </w:r>
      <w:r w:rsidR="00A80420" w:rsidRPr="00504D41">
        <w:rPr>
          <w:szCs w:val="24"/>
        </w:rPr>
        <w:t xml:space="preserve">in </w:t>
      </w:r>
      <w:r w:rsidRPr="00504D41">
        <w:rPr>
          <w:szCs w:val="24"/>
        </w:rPr>
        <w:t>agriculture products</w:t>
      </w:r>
      <w:r w:rsidR="00366B1F" w:rsidRPr="00504D41">
        <w:rPr>
          <w:szCs w:val="24"/>
        </w:rPr>
        <w:t>.</w:t>
      </w:r>
      <w:r w:rsidR="006D54C2" w:rsidRPr="00504D41">
        <w:rPr>
          <w:noProof/>
          <w:szCs w:val="24"/>
          <w:vertAlign w:val="superscript"/>
        </w:rPr>
        <w:t>46</w:t>
      </w:r>
      <w:r w:rsidRPr="00504D41">
        <w:rPr>
          <w:szCs w:val="24"/>
        </w:rPr>
        <w:t xml:space="preserve"> </w:t>
      </w:r>
    </w:p>
    <w:p w14:paraId="7BB15899" w14:textId="77777777" w:rsidR="00B13BEE" w:rsidRPr="00504D41" w:rsidRDefault="00B13BEE" w:rsidP="0016445D">
      <w:pPr>
        <w:spacing w:line="360" w:lineRule="auto"/>
        <w:jc w:val="both"/>
        <w:rPr>
          <w:szCs w:val="24"/>
        </w:rPr>
      </w:pPr>
      <w:r w:rsidRPr="00504D41">
        <w:rPr>
          <w:szCs w:val="24"/>
        </w:rPr>
        <w:lastRenderedPageBreak/>
        <w:t>To address this serious issue, academic and industrial research is actively looking into the design of biodegradable and environmentally friendly seed coatings. Recently, Van Trump and coworkers disclosed a method to produce biodegradable coatings for agricultural granules (seeds, fertilizers, pesticides)</w:t>
      </w:r>
      <w:r w:rsidR="00366B1F" w:rsidRPr="00504D41">
        <w:rPr>
          <w:szCs w:val="24"/>
        </w:rPr>
        <w:t>.</w:t>
      </w:r>
      <w:r w:rsidR="006D54C2" w:rsidRPr="00504D41">
        <w:rPr>
          <w:noProof/>
          <w:szCs w:val="24"/>
          <w:vertAlign w:val="superscript"/>
        </w:rPr>
        <w:t>47</w:t>
      </w:r>
      <w:r w:rsidRPr="00504D41">
        <w:rPr>
          <w:szCs w:val="24"/>
        </w:rPr>
        <w:t xml:space="preserve"> The</w:t>
      </w:r>
      <w:r w:rsidR="00A80420" w:rsidRPr="00504D41">
        <w:rPr>
          <w:szCs w:val="24"/>
        </w:rPr>
        <w:t>ir</w:t>
      </w:r>
      <w:r w:rsidRPr="00504D41">
        <w:rPr>
          <w:szCs w:val="24"/>
        </w:rPr>
        <w:t xml:space="preserve"> biodegradable coatings consisted of a first layer synthesized primarily from polyhydroxyalkanoates along with a second layer composed of alternate biodegradable polymers</w:t>
      </w:r>
      <w:r w:rsidR="00E83541" w:rsidRPr="00504D41">
        <w:rPr>
          <w:szCs w:val="24"/>
        </w:rPr>
        <w:t xml:space="preserve"> (polylactic acid, polycaprolactone, polysa</w:t>
      </w:r>
      <w:r w:rsidR="003F7FA6" w:rsidRPr="00504D41">
        <w:rPr>
          <w:szCs w:val="24"/>
        </w:rPr>
        <w:t>ccharides</w:t>
      </w:r>
      <w:r w:rsidR="00A80420" w:rsidRPr="00504D41">
        <w:rPr>
          <w:szCs w:val="24"/>
        </w:rPr>
        <w:t>,</w:t>
      </w:r>
      <w:r w:rsidR="003F7FA6" w:rsidRPr="00504D41">
        <w:rPr>
          <w:szCs w:val="24"/>
        </w:rPr>
        <w:t xml:space="preserve"> etc)</w:t>
      </w:r>
      <w:r w:rsidRPr="00504D41">
        <w:rPr>
          <w:szCs w:val="24"/>
        </w:rPr>
        <w:t>. Exposure of the coatings to moisture and microbes in soil woul</w:t>
      </w:r>
      <w:r w:rsidR="00C85382" w:rsidRPr="00504D41">
        <w:rPr>
          <w:szCs w:val="24"/>
        </w:rPr>
        <w:t>d result in hydrolysis-</w:t>
      </w:r>
      <w:r w:rsidRPr="00504D41">
        <w:rPr>
          <w:szCs w:val="24"/>
        </w:rPr>
        <w:t>induced decomposition leading to release of encapsulated material (seeds or agrochemicals). Whereas the biodegradability of the proposed coatings makes them environmentally friendly, the microbe driven decomposition of the coatings allows controlled release of the enclosed ag</w:t>
      </w:r>
      <w:r w:rsidR="00CE6281" w:rsidRPr="00504D41">
        <w:rPr>
          <w:szCs w:val="24"/>
        </w:rPr>
        <w:t>rochemical within the coatings</w:t>
      </w:r>
      <w:r w:rsidRPr="00504D41">
        <w:rPr>
          <w:szCs w:val="24"/>
        </w:rPr>
        <w:t>. It has also been shown</w:t>
      </w:r>
      <w:r w:rsidR="006D54C2" w:rsidRPr="00504D41">
        <w:rPr>
          <w:noProof/>
          <w:szCs w:val="24"/>
          <w:vertAlign w:val="superscript"/>
        </w:rPr>
        <w:t>29</w:t>
      </w:r>
      <w:r w:rsidRPr="00504D41">
        <w:rPr>
          <w:szCs w:val="24"/>
        </w:rPr>
        <w:t xml:space="preserve"> that the degradation rate of detached seed coat fragments can be expedited by replacing conventional polymers with biodegradable formulations. </w:t>
      </w:r>
      <w:r w:rsidR="00FA559A" w:rsidRPr="00504D41">
        <w:rPr>
          <w:szCs w:val="24"/>
        </w:rPr>
        <w:t>We discuss in a subsequent section (</w:t>
      </w:r>
      <w:r w:rsidR="00AB7A54" w:rsidRPr="00504D41">
        <w:rPr>
          <w:szCs w:val="24"/>
        </w:rPr>
        <w:t>4.2</w:t>
      </w:r>
      <w:r w:rsidR="00FA559A" w:rsidRPr="00504D41">
        <w:rPr>
          <w:szCs w:val="24"/>
        </w:rPr>
        <w:t>)</w:t>
      </w:r>
      <w:r w:rsidRPr="00504D41">
        <w:rPr>
          <w:szCs w:val="24"/>
        </w:rPr>
        <w:t xml:space="preserve"> details of recent research done on the design of bio-derived polysaccharide-based polymers as a safer alternati</w:t>
      </w:r>
      <w:r w:rsidR="00FF0FD4" w:rsidRPr="00504D41">
        <w:rPr>
          <w:szCs w:val="24"/>
        </w:rPr>
        <w:t>ve</w:t>
      </w:r>
      <w:r w:rsidRPr="00504D41">
        <w:rPr>
          <w:szCs w:val="24"/>
        </w:rPr>
        <w:t xml:space="preserve"> to conventional polymeric seed coatings.</w:t>
      </w:r>
      <w:r w:rsidR="00FA559A" w:rsidRPr="00504D41">
        <w:rPr>
          <w:szCs w:val="24"/>
        </w:rPr>
        <w:t xml:space="preserve"> In summary though, f</w:t>
      </w:r>
      <w:r w:rsidRPr="00504D41">
        <w:rPr>
          <w:szCs w:val="24"/>
        </w:rPr>
        <w:t xml:space="preserve">urther research is needed to provide a quantifiable measure of MP accumulation in soil due to </w:t>
      </w:r>
      <w:r w:rsidR="00A80420" w:rsidRPr="00504D41">
        <w:rPr>
          <w:szCs w:val="24"/>
        </w:rPr>
        <w:t xml:space="preserve">the </w:t>
      </w:r>
      <w:r w:rsidRPr="00504D41">
        <w:rPr>
          <w:szCs w:val="24"/>
        </w:rPr>
        <w:t>use of plastic-based seed coatings and the replacement of non-biodegradable coatings with biodegradable environmentally friendly materials.</w:t>
      </w:r>
    </w:p>
    <w:p w14:paraId="5DA0DE84" w14:textId="77777777" w:rsidR="00B13BEE" w:rsidRPr="00504D41" w:rsidRDefault="00B13BEE" w:rsidP="0016445D">
      <w:pPr>
        <w:spacing w:line="360" w:lineRule="auto"/>
        <w:rPr>
          <w:szCs w:val="24"/>
        </w:rPr>
      </w:pPr>
    </w:p>
    <w:p w14:paraId="7F854E62" w14:textId="77777777" w:rsidR="00B13BEE" w:rsidRPr="00504D41" w:rsidRDefault="00B13BEE" w:rsidP="0016445D">
      <w:pPr>
        <w:spacing w:line="360" w:lineRule="auto"/>
        <w:rPr>
          <w:rFonts w:eastAsia="Times New Roman"/>
          <w:snapToGrid w:val="0"/>
          <w:w w:val="1"/>
          <w:szCs w:val="24"/>
          <w:bdr w:val="none" w:sz="0" w:space="0" w:color="auto" w:frame="1"/>
          <w:shd w:val="clear" w:color="auto" w:fill="000000"/>
          <w:lang w:val="x-none" w:eastAsia="x-none" w:bidi="x-none"/>
        </w:rPr>
      </w:pPr>
      <w:r w:rsidRPr="00504D41">
        <w:rPr>
          <w:rFonts w:eastAsia="Times New Roman"/>
          <w:snapToGrid w:val="0"/>
          <w:w w:val="1"/>
          <w:szCs w:val="24"/>
          <w:bdr w:val="none" w:sz="0" w:space="0" w:color="auto" w:frame="1"/>
          <w:shd w:val="clear" w:color="auto" w:fill="000000"/>
          <w:lang w:val="x-none" w:eastAsia="x-none" w:bidi="x-none"/>
        </w:rPr>
        <w:t xml:space="preserve"> </w:t>
      </w:r>
    </w:p>
    <w:p w14:paraId="381CFD0A" w14:textId="77777777" w:rsidR="00B13BEE" w:rsidRPr="00504D41" w:rsidRDefault="000057B3" w:rsidP="0016445D">
      <w:pPr>
        <w:spacing w:line="360" w:lineRule="auto"/>
        <w:rPr>
          <w:szCs w:val="24"/>
        </w:rPr>
      </w:pPr>
      <w:r w:rsidRPr="00504D41">
        <w:rPr>
          <w:noProof/>
        </w:rPr>
        <w:lastRenderedPageBreak/>
        <w:pict w14:anchorId="2AA45886">
          <v:shape id="Picture 12" o:spid="_x0000_i1027" type="#_x0000_t75" alt="Diagram&#10;&#10;Description automatically generated" style="width:451.25pt;height:267.9pt;visibility:visible">
            <v:imagedata r:id="rId14" o:title="Diagram&#10;&#10;Description automatically generated"/>
          </v:shape>
        </w:pict>
      </w:r>
    </w:p>
    <w:p w14:paraId="4B2430CA" w14:textId="77777777" w:rsidR="00B13BEE" w:rsidRPr="00504D41" w:rsidRDefault="00B13BEE" w:rsidP="003C3B93">
      <w:pPr>
        <w:spacing w:line="360" w:lineRule="auto"/>
        <w:jc w:val="both"/>
        <w:rPr>
          <w:szCs w:val="24"/>
        </w:rPr>
      </w:pPr>
      <w:r w:rsidRPr="00504D41">
        <w:rPr>
          <w:b/>
          <w:bCs/>
          <w:szCs w:val="24"/>
        </w:rPr>
        <w:t xml:space="preserve">Figure </w:t>
      </w:r>
      <w:r w:rsidRPr="00504D41">
        <w:rPr>
          <w:b/>
          <w:bCs/>
          <w:szCs w:val="24"/>
        </w:rPr>
        <w:fldChar w:fldCharType="begin"/>
      </w:r>
      <w:r w:rsidRPr="00504D41">
        <w:rPr>
          <w:b/>
          <w:bCs/>
          <w:szCs w:val="24"/>
        </w:rPr>
        <w:instrText xml:space="preserve"> SEQ Figure \* ARABIC </w:instrText>
      </w:r>
      <w:r w:rsidRPr="00504D41">
        <w:rPr>
          <w:b/>
          <w:bCs/>
          <w:szCs w:val="24"/>
        </w:rPr>
        <w:fldChar w:fldCharType="separate"/>
      </w:r>
      <w:r w:rsidR="003D0A6B" w:rsidRPr="00504D41">
        <w:rPr>
          <w:b/>
          <w:bCs/>
          <w:noProof/>
          <w:szCs w:val="24"/>
        </w:rPr>
        <w:t>2</w:t>
      </w:r>
      <w:r w:rsidRPr="00504D41">
        <w:rPr>
          <w:b/>
          <w:bCs/>
          <w:szCs w:val="24"/>
        </w:rPr>
        <w:fldChar w:fldCharType="end"/>
      </w:r>
      <w:r w:rsidRPr="00504D41">
        <w:rPr>
          <w:szCs w:val="24"/>
        </w:rPr>
        <w:t xml:space="preserve">: Schematic showing pollution pathways from </w:t>
      </w:r>
      <w:r w:rsidR="004F06C8" w:rsidRPr="00504D41">
        <w:rPr>
          <w:szCs w:val="24"/>
        </w:rPr>
        <w:t>abraded seed coating fragments containing</w:t>
      </w:r>
      <w:r w:rsidRPr="00504D41">
        <w:rPr>
          <w:szCs w:val="24"/>
        </w:rPr>
        <w:t xml:space="preserve"> microplastic particles and </w:t>
      </w:r>
      <w:r w:rsidR="00A80420" w:rsidRPr="00504D41">
        <w:rPr>
          <w:szCs w:val="24"/>
        </w:rPr>
        <w:t>pesticide-</w:t>
      </w:r>
      <w:r w:rsidR="004F06C8" w:rsidRPr="00504D41">
        <w:rPr>
          <w:szCs w:val="24"/>
        </w:rPr>
        <w:t>rich</w:t>
      </w:r>
      <w:r w:rsidRPr="00504D41">
        <w:rPr>
          <w:szCs w:val="24"/>
        </w:rPr>
        <w:t xml:space="preserve"> dust</w:t>
      </w:r>
      <w:r w:rsidR="004F06C8" w:rsidRPr="00504D41">
        <w:rPr>
          <w:szCs w:val="24"/>
        </w:rPr>
        <w:t xml:space="preserve">. These drift particles can be carried by air movement to neighboring fields and be deposited in both surface and groundwater reservoirs. </w:t>
      </w:r>
      <w:r w:rsidR="00A73A0B" w:rsidRPr="00504D41">
        <w:rPr>
          <w:szCs w:val="24"/>
        </w:rPr>
        <w:t xml:space="preserve">Ingestion by surrounding flora and fauna can lead to local population decline and contamination of the food chain. </w:t>
      </w:r>
    </w:p>
    <w:p w14:paraId="46708C26" w14:textId="77777777" w:rsidR="00A80420" w:rsidRPr="00504D41" w:rsidRDefault="00A80420" w:rsidP="003C3B93">
      <w:pPr>
        <w:spacing w:line="360" w:lineRule="auto"/>
        <w:jc w:val="both"/>
        <w:rPr>
          <w:szCs w:val="24"/>
        </w:rPr>
      </w:pPr>
    </w:p>
    <w:p w14:paraId="66BD74AE" w14:textId="77777777" w:rsidR="00B13BEE" w:rsidRPr="00504D41" w:rsidRDefault="00C32872" w:rsidP="00B453E7">
      <w:pPr>
        <w:rPr>
          <w:b/>
          <w:bCs/>
        </w:rPr>
      </w:pPr>
      <w:bookmarkStart w:id="10" w:name="_Toc85537928"/>
      <w:r w:rsidRPr="00504D41">
        <w:rPr>
          <w:b/>
          <w:bCs/>
        </w:rPr>
        <w:t>3</w:t>
      </w:r>
      <w:r w:rsidR="000802DA" w:rsidRPr="00504D41">
        <w:rPr>
          <w:b/>
          <w:bCs/>
        </w:rPr>
        <w:t>.4</w:t>
      </w:r>
      <w:r w:rsidR="00B453E7" w:rsidRPr="00504D41">
        <w:rPr>
          <w:b/>
          <w:bCs/>
        </w:rPr>
        <w:t>.</w:t>
      </w:r>
      <w:r w:rsidR="000802DA" w:rsidRPr="00504D41">
        <w:rPr>
          <w:b/>
          <w:bCs/>
        </w:rPr>
        <w:t xml:space="preserve"> </w:t>
      </w:r>
      <w:r w:rsidR="00B13BEE" w:rsidRPr="00504D41">
        <w:rPr>
          <w:b/>
          <w:bCs/>
        </w:rPr>
        <w:t>Other challenges</w:t>
      </w:r>
      <w:bookmarkEnd w:id="10"/>
    </w:p>
    <w:p w14:paraId="0D32201D" w14:textId="77777777" w:rsidR="00B13BEE" w:rsidRPr="00504D41" w:rsidRDefault="00B13BEE" w:rsidP="0016445D">
      <w:pPr>
        <w:spacing w:line="360" w:lineRule="auto"/>
        <w:jc w:val="both"/>
        <w:rPr>
          <w:szCs w:val="24"/>
        </w:rPr>
      </w:pPr>
      <w:r w:rsidRPr="00504D41">
        <w:rPr>
          <w:szCs w:val="24"/>
        </w:rPr>
        <w:t>One potential limitation of film-coated seeds is the restricted oxygen diffusion across the growing embryo and reduced leaching of oxygen consuming inhibitors from the seeds due to the physical barrier presented by the coated layer</w:t>
      </w:r>
      <w:r w:rsidR="00696402" w:rsidRPr="00504D41">
        <w:rPr>
          <w:szCs w:val="24"/>
        </w:rPr>
        <w:t>.</w:t>
      </w:r>
      <w:r w:rsidR="006D54C2" w:rsidRPr="00504D41">
        <w:rPr>
          <w:noProof/>
          <w:szCs w:val="24"/>
          <w:vertAlign w:val="superscript"/>
        </w:rPr>
        <w:t>48</w:t>
      </w:r>
      <w:r w:rsidR="00696402" w:rsidRPr="00504D41">
        <w:rPr>
          <w:szCs w:val="24"/>
        </w:rPr>
        <w:t xml:space="preserve"> </w:t>
      </w:r>
      <w:r w:rsidRPr="00504D41">
        <w:rPr>
          <w:szCs w:val="24"/>
        </w:rPr>
        <w:t>To counter these limitations, an exciting approach has been the use of polymer fibrous seed coatings</w:t>
      </w:r>
      <w:r w:rsidR="005829AE" w:rsidRPr="00504D41">
        <w:rPr>
          <w:szCs w:val="24"/>
        </w:rPr>
        <w:t xml:space="preserve"> which</w:t>
      </w:r>
      <w:r w:rsidRPr="00504D41">
        <w:rPr>
          <w:szCs w:val="24"/>
        </w:rPr>
        <w:t xml:space="preserve"> by virtue of partial seed area coverage can overcome the discussed limitation. Details are discussed in section </w:t>
      </w:r>
      <w:r w:rsidR="00C725C2" w:rsidRPr="00504D41">
        <w:rPr>
          <w:szCs w:val="24"/>
        </w:rPr>
        <w:t>4.3</w:t>
      </w:r>
      <w:r w:rsidRPr="00504D41">
        <w:rPr>
          <w:szCs w:val="24"/>
        </w:rPr>
        <w:t>.</w:t>
      </w:r>
    </w:p>
    <w:p w14:paraId="5706B766" w14:textId="77777777" w:rsidR="00B13BEE" w:rsidRPr="00504D41" w:rsidRDefault="00671176" w:rsidP="0016445D">
      <w:pPr>
        <w:spacing w:line="360" w:lineRule="auto"/>
        <w:jc w:val="both"/>
        <w:rPr>
          <w:szCs w:val="24"/>
        </w:rPr>
      </w:pPr>
      <w:r w:rsidRPr="00504D41">
        <w:rPr>
          <w:szCs w:val="24"/>
        </w:rPr>
        <w:t>Also, t</w:t>
      </w:r>
      <w:r w:rsidR="00B13BEE" w:rsidRPr="00504D41">
        <w:rPr>
          <w:szCs w:val="24"/>
        </w:rPr>
        <w:t xml:space="preserve">he use of expensive raw materials and complicated processing steps can be a deterrent to </w:t>
      </w:r>
      <w:r w:rsidR="00875066" w:rsidRPr="00504D41">
        <w:rPr>
          <w:szCs w:val="24"/>
        </w:rPr>
        <w:t xml:space="preserve">achieving </w:t>
      </w:r>
      <w:r w:rsidR="00B13BEE" w:rsidRPr="00504D41">
        <w:rPr>
          <w:szCs w:val="24"/>
        </w:rPr>
        <w:t>benefit</w:t>
      </w:r>
      <w:r w:rsidR="00A80420" w:rsidRPr="00504D41">
        <w:rPr>
          <w:szCs w:val="24"/>
        </w:rPr>
        <w:t>s</w:t>
      </w:r>
      <w:r w:rsidR="00B13BEE" w:rsidRPr="00504D41">
        <w:rPr>
          <w:szCs w:val="24"/>
        </w:rPr>
        <w:t xml:space="preserve"> from </w:t>
      </w:r>
      <w:r w:rsidR="001A48BA" w:rsidRPr="00504D41">
        <w:rPr>
          <w:szCs w:val="24"/>
        </w:rPr>
        <w:t>existing</w:t>
      </w:r>
      <w:r w:rsidR="00B13BEE" w:rsidRPr="00504D41">
        <w:rPr>
          <w:szCs w:val="24"/>
        </w:rPr>
        <w:t xml:space="preserve"> seed coating techniques, particularly in developing countries. </w:t>
      </w:r>
      <w:r w:rsidR="005101CC" w:rsidRPr="00504D41">
        <w:rPr>
          <w:szCs w:val="24"/>
        </w:rPr>
        <w:t>Thus, t</w:t>
      </w:r>
      <w:r w:rsidR="00B13BEE" w:rsidRPr="00504D41">
        <w:rPr>
          <w:szCs w:val="24"/>
        </w:rPr>
        <w:t xml:space="preserve">here is a need for alternate, easy to implement approaches that can be adopted by </w:t>
      </w:r>
      <w:r w:rsidR="00B13BEE" w:rsidRPr="00504D41">
        <w:rPr>
          <w:szCs w:val="24"/>
        </w:rPr>
        <w:lastRenderedPageBreak/>
        <w:t>small</w:t>
      </w:r>
      <w:r w:rsidR="00A80420" w:rsidRPr="00504D41">
        <w:rPr>
          <w:szCs w:val="24"/>
        </w:rPr>
        <w:t>holder farmers</w:t>
      </w:r>
      <w:r w:rsidR="00B13BEE" w:rsidRPr="00504D41">
        <w:rPr>
          <w:szCs w:val="24"/>
        </w:rPr>
        <w:t xml:space="preserve">. A recently proposed strategy entailing the use of plant-based fibers to coat seeds prior to planting is discussed in section </w:t>
      </w:r>
      <w:r w:rsidR="00916C1F" w:rsidRPr="00504D41">
        <w:rPr>
          <w:szCs w:val="24"/>
        </w:rPr>
        <w:t>5.</w:t>
      </w:r>
      <w:r w:rsidR="009350CF" w:rsidRPr="00504D41">
        <w:rPr>
          <w:szCs w:val="24"/>
        </w:rPr>
        <w:t>2</w:t>
      </w:r>
      <w:r w:rsidR="00B13BEE" w:rsidRPr="00504D41">
        <w:rPr>
          <w:szCs w:val="24"/>
        </w:rPr>
        <w:t xml:space="preserve">. </w:t>
      </w:r>
    </w:p>
    <w:p w14:paraId="37B6AD1B" w14:textId="77777777" w:rsidR="000E6A73" w:rsidRPr="00504D41" w:rsidRDefault="00C32872" w:rsidP="00B1743E">
      <w:pPr>
        <w:rPr>
          <w:b/>
          <w:bCs/>
        </w:rPr>
      </w:pPr>
      <w:bookmarkStart w:id="11" w:name="_Toc85537929"/>
      <w:r w:rsidRPr="00504D41">
        <w:rPr>
          <w:b/>
          <w:bCs/>
        </w:rPr>
        <w:t>4</w:t>
      </w:r>
      <w:r w:rsidR="00B1743E" w:rsidRPr="00504D41">
        <w:rPr>
          <w:b/>
          <w:bCs/>
        </w:rPr>
        <w:t>.</w:t>
      </w:r>
      <w:r w:rsidR="000802DA" w:rsidRPr="00504D41">
        <w:rPr>
          <w:b/>
          <w:bCs/>
        </w:rPr>
        <w:t xml:space="preserve"> </w:t>
      </w:r>
      <w:r w:rsidR="000E6A73" w:rsidRPr="00504D41">
        <w:rPr>
          <w:b/>
          <w:bCs/>
        </w:rPr>
        <w:t xml:space="preserve">Recent </w:t>
      </w:r>
      <w:bookmarkEnd w:id="11"/>
      <w:r w:rsidR="00BB148B" w:rsidRPr="00504D41">
        <w:rPr>
          <w:b/>
          <w:bCs/>
        </w:rPr>
        <w:t>approaches</w:t>
      </w:r>
    </w:p>
    <w:p w14:paraId="761BB19B" w14:textId="77777777" w:rsidR="00AB23A5" w:rsidRPr="00504D41" w:rsidRDefault="000417AB" w:rsidP="0016445D">
      <w:pPr>
        <w:spacing w:line="360" w:lineRule="auto"/>
        <w:jc w:val="both"/>
        <w:rPr>
          <w:szCs w:val="24"/>
        </w:rPr>
      </w:pPr>
      <w:r w:rsidRPr="00504D41">
        <w:rPr>
          <w:szCs w:val="24"/>
        </w:rPr>
        <w:t xml:space="preserve">In this section, we </w:t>
      </w:r>
      <w:r w:rsidR="000E6A73" w:rsidRPr="00504D41">
        <w:rPr>
          <w:szCs w:val="24"/>
        </w:rPr>
        <w:t xml:space="preserve">discuss recent </w:t>
      </w:r>
      <w:r w:rsidRPr="00504D41">
        <w:rPr>
          <w:szCs w:val="24"/>
        </w:rPr>
        <w:t>investigations</w:t>
      </w:r>
      <w:r w:rsidR="00C072C7" w:rsidRPr="00504D41">
        <w:rPr>
          <w:szCs w:val="24"/>
        </w:rPr>
        <w:t xml:space="preserve"> to develop</w:t>
      </w:r>
      <w:r w:rsidR="000E6A73" w:rsidRPr="00504D41">
        <w:rPr>
          <w:szCs w:val="24"/>
        </w:rPr>
        <w:t xml:space="preserve"> seed coatings to address some </w:t>
      </w:r>
      <w:r w:rsidRPr="00504D41">
        <w:rPr>
          <w:szCs w:val="24"/>
        </w:rPr>
        <w:t xml:space="preserve">of the </w:t>
      </w:r>
      <w:r w:rsidR="000E6A73" w:rsidRPr="00504D41">
        <w:rPr>
          <w:szCs w:val="24"/>
        </w:rPr>
        <w:t xml:space="preserve">key issues raised in Section </w:t>
      </w:r>
      <w:r w:rsidR="009350CF" w:rsidRPr="00504D41">
        <w:rPr>
          <w:szCs w:val="24"/>
        </w:rPr>
        <w:t>3</w:t>
      </w:r>
      <w:r w:rsidRPr="00504D41">
        <w:rPr>
          <w:szCs w:val="24"/>
        </w:rPr>
        <w:t>.</w:t>
      </w:r>
      <w:r w:rsidR="00E11C65" w:rsidRPr="00504D41">
        <w:rPr>
          <w:szCs w:val="24"/>
        </w:rPr>
        <w:t xml:space="preserve"> Proposed seed coating solutions are evaluated in terms of their effects on seed germination, growth and their environm</w:t>
      </w:r>
      <w:r w:rsidR="000C7900" w:rsidRPr="00504D41">
        <w:rPr>
          <w:szCs w:val="24"/>
        </w:rPr>
        <w:t>ental impact.</w:t>
      </w:r>
      <w:r w:rsidRPr="00504D41">
        <w:rPr>
          <w:szCs w:val="24"/>
        </w:rPr>
        <w:t xml:space="preserve"> </w:t>
      </w:r>
    </w:p>
    <w:p w14:paraId="1F798E7B" w14:textId="77777777" w:rsidR="00AB23A5" w:rsidRPr="00504D41" w:rsidRDefault="00C32872" w:rsidP="00464705">
      <w:pPr>
        <w:rPr>
          <w:b/>
        </w:rPr>
      </w:pPr>
      <w:bookmarkStart w:id="12" w:name="_Toc85537931"/>
      <w:r w:rsidRPr="00504D41">
        <w:rPr>
          <w:b/>
        </w:rPr>
        <w:t>4.1</w:t>
      </w:r>
      <w:r w:rsidR="00C41395" w:rsidRPr="00504D41">
        <w:rPr>
          <w:b/>
        </w:rPr>
        <w:t xml:space="preserve"> </w:t>
      </w:r>
      <w:r w:rsidR="00AB23A5" w:rsidRPr="00504D41">
        <w:rPr>
          <w:b/>
        </w:rPr>
        <w:t>Plant growth promoting microorganisms (PGPM) inoculated seed coatings</w:t>
      </w:r>
      <w:bookmarkEnd w:id="12"/>
    </w:p>
    <w:p w14:paraId="155BD23D" w14:textId="77777777" w:rsidR="00AB23A5" w:rsidRPr="00504D41" w:rsidRDefault="00AB23A5" w:rsidP="0016445D">
      <w:pPr>
        <w:tabs>
          <w:tab w:val="left" w:pos="0"/>
        </w:tabs>
        <w:spacing w:line="360" w:lineRule="auto"/>
        <w:jc w:val="both"/>
        <w:rPr>
          <w:szCs w:val="24"/>
        </w:rPr>
      </w:pPr>
      <w:r w:rsidRPr="00504D41">
        <w:rPr>
          <w:szCs w:val="24"/>
        </w:rPr>
        <w:t xml:space="preserve">Increasing concerns </w:t>
      </w:r>
      <w:r w:rsidR="00C072C7" w:rsidRPr="00504D41">
        <w:rPr>
          <w:szCs w:val="24"/>
        </w:rPr>
        <w:t xml:space="preserve">about </w:t>
      </w:r>
      <w:r w:rsidRPr="00504D41">
        <w:rPr>
          <w:szCs w:val="24"/>
        </w:rPr>
        <w:t xml:space="preserve">the environmental impact of agrochemicals have motivated research on alternative agricultural practices which are sustainable and eco-friendly. In this regard, the application of PGPM is gaining </w:t>
      </w:r>
      <w:r w:rsidR="009358AC" w:rsidRPr="00504D41">
        <w:rPr>
          <w:szCs w:val="24"/>
        </w:rPr>
        <w:t>increasing</w:t>
      </w:r>
      <w:r w:rsidRPr="00504D41">
        <w:rPr>
          <w:szCs w:val="24"/>
        </w:rPr>
        <w:t xml:space="preserve"> precedence, with many recent studies proposing their use (1) </w:t>
      </w:r>
      <w:r w:rsidR="009358AC" w:rsidRPr="00504D41">
        <w:rPr>
          <w:szCs w:val="24"/>
        </w:rPr>
        <w:t xml:space="preserve">as </w:t>
      </w:r>
      <w:r w:rsidRPr="00504D41">
        <w:rPr>
          <w:szCs w:val="24"/>
        </w:rPr>
        <w:t xml:space="preserve">biofertilizers or biocontrol agents over conventional agrochemicals to achieve the desired crop protection treatment, (2) for enhanced nitrogen fixation, and </w:t>
      </w:r>
      <w:r w:rsidR="009358AC" w:rsidRPr="00504D41">
        <w:rPr>
          <w:szCs w:val="24"/>
        </w:rPr>
        <w:t xml:space="preserve">(3) for promoting </w:t>
      </w:r>
      <w:r w:rsidRPr="00504D41">
        <w:rPr>
          <w:szCs w:val="24"/>
        </w:rPr>
        <w:t>phosphate solubilization</w:t>
      </w:r>
      <w:r w:rsidR="00696402" w:rsidRPr="00504D41">
        <w:rPr>
          <w:szCs w:val="24"/>
        </w:rPr>
        <w:t>.</w:t>
      </w:r>
      <w:r w:rsidR="006D54C2" w:rsidRPr="00504D41">
        <w:rPr>
          <w:noProof/>
          <w:szCs w:val="24"/>
          <w:vertAlign w:val="superscript"/>
        </w:rPr>
        <w:t>25</w:t>
      </w:r>
      <w:r w:rsidRPr="00504D41">
        <w:rPr>
          <w:szCs w:val="24"/>
        </w:rPr>
        <w:t xml:space="preserve"> </w:t>
      </w:r>
      <w:r w:rsidR="001255F4" w:rsidRPr="00504D41">
        <w:rPr>
          <w:szCs w:val="24"/>
        </w:rPr>
        <w:t xml:space="preserve"> </w:t>
      </w:r>
      <w:r w:rsidR="001255F4" w:rsidRPr="00504D41">
        <w:rPr>
          <w:b/>
          <w:bCs/>
          <w:szCs w:val="24"/>
        </w:rPr>
        <w:t>Figure 3</w:t>
      </w:r>
      <w:r w:rsidR="001255F4" w:rsidRPr="00504D41">
        <w:rPr>
          <w:szCs w:val="24"/>
        </w:rPr>
        <w:t xml:space="preserve"> shows possible types of PGPM and how they can affect plant growth. </w:t>
      </w:r>
      <w:r w:rsidR="000D0E3D" w:rsidRPr="00504D41">
        <w:rPr>
          <w:szCs w:val="24"/>
        </w:rPr>
        <w:t>For instance</w:t>
      </w:r>
      <w:r w:rsidR="001255F4" w:rsidRPr="00504D41">
        <w:rPr>
          <w:szCs w:val="24"/>
        </w:rPr>
        <w:t>, p</w:t>
      </w:r>
      <w:r w:rsidRPr="00504D41">
        <w:rPr>
          <w:szCs w:val="24"/>
        </w:rPr>
        <w:t>lant g</w:t>
      </w:r>
      <w:r w:rsidR="001255F4" w:rsidRPr="00504D41">
        <w:rPr>
          <w:szCs w:val="24"/>
        </w:rPr>
        <w:t>rowth promoting bacteria (PGPB)</w:t>
      </w:r>
      <w:r w:rsidRPr="00504D41">
        <w:rPr>
          <w:szCs w:val="24"/>
        </w:rPr>
        <w:t xml:space="preserve"> residing in the rhizosphere (</w:t>
      </w:r>
      <w:r w:rsidRPr="00504D41">
        <w:rPr>
          <w:szCs w:val="24"/>
          <w:shd w:val="clear" w:color="auto" w:fill="FFFFFF"/>
        </w:rPr>
        <w:t>soil vicinity around the root system)</w:t>
      </w:r>
      <w:r w:rsidRPr="00504D41">
        <w:rPr>
          <w:szCs w:val="24"/>
        </w:rPr>
        <w:t xml:space="preserve"> </w:t>
      </w:r>
      <w:r w:rsidR="000D0E3D" w:rsidRPr="00504D41">
        <w:rPr>
          <w:szCs w:val="24"/>
        </w:rPr>
        <w:t xml:space="preserve">could have </w:t>
      </w:r>
      <w:r w:rsidRPr="00504D41">
        <w:rPr>
          <w:szCs w:val="24"/>
        </w:rPr>
        <w:t xml:space="preserve">beneficial effects on plant growth </w:t>
      </w:r>
      <w:r w:rsidR="000D0E3D" w:rsidRPr="00504D41">
        <w:rPr>
          <w:szCs w:val="24"/>
        </w:rPr>
        <w:t>and have</w:t>
      </w:r>
      <w:r w:rsidRPr="00504D41">
        <w:rPr>
          <w:szCs w:val="24"/>
        </w:rPr>
        <w:t xml:space="preserve"> applications as biopesticides, bio-fertilizers, and rhizoremediators</w:t>
      </w:r>
      <w:r w:rsidR="00696402" w:rsidRPr="00504D41">
        <w:rPr>
          <w:szCs w:val="24"/>
        </w:rPr>
        <w:t>.</w:t>
      </w:r>
      <w:r w:rsidR="00334495" w:rsidRPr="00504D41">
        <w:rPr>
          <w:noProof/>
          <w:szCs w:val="24"/>
          <w:vertAlign w:val="superscript"/>
        </w:rPr>
        <w:t>1</w:t>
      </w:r>
      <w:r w:rsidR="000D0E3D" w:rsidRPr="00504D41">
        <w:rPr>
          <w:szCs w:val="24"/>
        </w:rPr>
        <w:t xml:space="preserve"> Rhizobia</w:t>
      </w:r>
      <w:r w:rsidR="00C072C7" w:rsidRPr="00504D41">
        <w:rPr>
          <w:szCs w:val="24"/>
        </w:rPr>
        <w:t>- the group of</w:t>
      </w:r>
      <w:r w:rsidRPr="00504D41">
        <w:rPr>
          <w:szCs w:val="24"/>
        </w:rPr>
        <w:t xml:space="preserve"> bacteria with N</w:t>
      </w:r>
      <w:r w:rsidRPr="00504D41">
        <w:rPr>
          <w:szCs w:val="24"/>
          <w:vertAlign w:val="subscript"/>
        </w:rPr>
        <w:t>2</w:t>
      </w:r>
      <w:r w:rsidRPr="00504D41">
        <w:rPr>
          <w:szCs w:val="24"/>
        </w:rPr>
        <w:t xml:space="preserve"> fixation characteristics</w:t>
      </w:r>
      <w:r w:rsidR="000D0E3D" w:rsidRPr="00504D41">
        <w:rPr>
          <w:szCs w:val="24"/>
        </w:rPr>
        <w:t>, could</w:t>
      </w:r>
      <w:r w:rsidRPr="00504D41">
        <w:rPr>
          <w:szCs w:val="24"/>
        </w:rPr>
        <w:t xml:space="preserve"> enable root nodulation in leguminous plants. </w:t>
      </w:r>
      <w:r w:rsidR="000D0E3D" w:rsidRPr="00504D41">
        <w:rPr>
          <w:szCs w:val="24"/>
        </w:rPr>
        <w:t xml:space="preserve">And finally, there is </w:t>
      </w:r>
      <w:r w:rsidRPr="00504D41">
        <w:rPr>
          <w:szCs w:val="24"/>
        </w:rPr>
        <w:t>Arb</w:t>
      </w:r>
      <w:r w:rsidR="000D0E3D" w:rsidRPr="00504D41">
        <w:rPr>
          <w:szCs w:val="24"/>
        </w:rPr>
        <w:t xml:space="preserve">uscular Mycorrhizal Fungi (AMF), </w:t>
      </w:r>
      <w:r w:rsidRPr="00504D41">
        <w:rPr>
          <w:szCs w:val="24"/>
          <w:shd w:val="clear" w:color="auto" w:fill="FFFFFF"/>
        </w:rPr>
        <w:t xml:space="preserve">soil-borne fungi with the ability to enhance plant nutrient uptake. They are largely being researched as bio-fertilizers to reduce </w:t>
      </w:r>
      <w:r w:rsidR="00C072C7" w:rsidRPr="00504D41">
        <w:rPr>
          <w:szCs w:val="24"/>
          <w:shd w:val="clear" w:color="auto" w:fill="FFFFFF"/>
        </w:rPr>
        <w:t xml:space="preserve">the </w:t>
      </w:r>
      <w:r w:rsidRPr="00504D41">
        <w:rPr>
          <w:szCs w:val="24"/>
          <w:shd w:val="clear" w:color="auto" w:fill="FFFFFF"/>
        </w:rPr>
        <w:t>amount of synthetic fertilizer in soil</w:t>
      </w:r>
      <w:r w:rsidR="00B82394" w:rsidRPr="00504D41">
        <w:rPr>
          <w:szCs w:val="24"/>
          <w:shd w:val="clear" w:color="auto" w:fill="FFFFFF"/>
        </w:rPr>
        <w:t>.</w:t>
      </w:r>
      <w:r w:rsidR="006D54C2" w:rsidRPr="00504D41">
        <w:rPr>
          <w:noProof/>
          <w:szCs w:val="24"/>
          <w:shd w:val="clear" w:color="auto" w:fill="FFFFFF"/>
          <w:vertAlign w:val="superscript"/>
        </w:rPr>
        <w:t>49</w:t>
      </w:r>
    </w:p>
    <w:p w14:paraId="7E9D218F" w14:textId="77777777" w:rsidR="0021380A" w:rsidRPr="00504D41" w:rsidRDefault="00504D41" w:rsidP="0016445D">
      <w:pPr>
        <w:keepNext/>
        <w:tabs>
          <w:tab w:val="left" w:pos="0"/>
        </w:tabs>
        <w:spacing w:line="360" w:lineRule="auto"/>
        <w:rPr>
          <w:szCs w:val="24"/>
        </w:rPr>
      </w:pPr>
      <w:r w:rsidRPr="00504D41">
        <w:rPr>
          <w:noProof/>
          <w:szCs w:val="24"/>
        </w:rPr>
        <w:lastRenderedPageBreak/>
        <w:pict w14:anchorId="7DE4E564">
          <v:shape id="Picture 6" o:spid="_x0000_i1028" type="#_x0000_t75" style="width:468pt;height:5in;visibility:visible">
            <v:imagedata r:id="rId15" o:title="microbes c"/>
          </v:shape>
        </w:pict>
      </w:r>
    </w:p>
    <w:p w14:paraId="6D1D5C03" w14:textId="77777777" w:rsidR="005A181C" w:rsidRPr="00504D41" w:rsidRDefault="0021380A" w:rsidP="0016445D">
      <w:pPr>
        <w:pStyle w:val="Caption"/>
        <w:spacing w:line="360" w:lineRule="auto"/>
        <w:rPr>
          <w:i w:val="0"/>
          <w:iCs w:val="0"/>
          <w:color w:val="auto"/>
          <w:sz w:val="24"/>
          <w:szCs w:val="24"/>
        </w:rPr>
      </w:pPr>
      <w:r w:rsidRPr="00504D41">
        <w:rPr>
          <w:b/>
          <w:bCs/>
          <w:i w:val="0"/>
          <w:iCs w:val="0"/>
          <w:color w:val="auto"/>
          <w:sz w:val="24"/>
          <w:szCs w:val="24"/>
        </w:rPr>
        <w:t xml:space="preserve">Figure </w:t>
      </w:r>
      <w:r w:rsidR="006F4605" w:rsidRPr="00504D41">
        <w:rPr>
          <w:b/>
          <w:bCs/>
          <w:i w:val="0"/>
          <w:iCs w:val="0"/>
          <w:color w:val="auto"/>
          <w:sz w:val="24"/>
          <w:szCs w:val="24"/>
        </w:rPr>
        <w:fldChar w:fldCharType="begin"/>
      </w:r>
      <w:r w:rsidR="006F4605" w:rsidRPr="00504D41">
        <w:rPr>
          <w:b/>
          <w:bCs/>
          <w:i w:val="0"/>
          <w:iCs w:val="0"/>
          <w:color w:val="auto"/>
          <w:sz w:val="24"/>
          <w:szCs w:val="24"/>
        </w:rPr>
        <w:instrText xml:space="preserve"> SEQ Figure \* ARABIC </w:instrText>
      </w:r>
      <w:r w:rsidR="006F4605" w:rsidRPr="00504D41">
        <w:rPr>
          <w:b/>
          <w:bCs/>
          <w:i w:val="0"/>
          <w:iCs w:val="0"/>
          <w:color w:val="auto"/>
          <w:sz w:val="24"/>
          <w:szCs w:val="24"/>
        </w:rPr>
        <w:fldChar w:fldCharType="separate"/>
      </w:r>
      <w:r w:rsidR="003D0A6B" w:rsidRPr="00504D41">
        <w:rPr>
          <w:b/>
          <w:bCs/>
          <w:i w:val="0"/>
          <w:iCs w:val="0"/>
          <w:noProof/>
          <w:color w:val="auto"/>
          <w:sz w:val="24"/>
          <w:szCs w:val="24"/>
        </w:rPr>
        <w:t>3</w:t>
      </w:r>
      <w:r w:rsidR="006F4605" w:rsidRPr="00504D41">
        <w:rPr>
          <w:b/>
          <w:bCs/>
          <w:i w:val="0"/>
          <w:iCs w:val="0"/>
          <w:noProof/>
          <w:color w:val="auto"/>
          <w:sz w:val="24"/>
          <w:szCs w:val="24"/>
        </w:rPr>
        <w:fldChar w:fldCharType="end"/>
      </w:r>
      <w:r w:rsidRPr="00504D41">
        <w:rPr>
          <w:i w:val="0"/>
          <w:iCs w:val="0"/>
          <w:color w:val="auto"/>
          <w:sz w:val="24"/>
          <w:szCs w:val="24"/>
        </w:rPr>
        <w:t xml:space="preserve">: </w:t>
      </w:r>
      <w:r w:rsidR="002D449D" w:rsidRPr="00504D41">
        <w:rPr>
          <w:i w:val="0"/>
          <w:iCs w:val="0"/>
          <w:color w:val="auto"/>
          <w:sz w:val="24"/>
          <w:szCs w:val="24"/>
        </w:rPr>
        <w:t xml:space="preserve">Schematic depicting three types of </w:t>
      </w:r>
      <w:r w:rsidR="00C072C7" w:rsidRPr="00504D41">
        <w:rPr>
          <w:i w:val="0"/>
          <w:iCs w:val="0"/>
          <w:color w:val="auto"/>
          <w:sz w:val="24"/>
          <w:szCs w:val="24"/>
        </w:rPr>
        <w:t xml:space="preserve">plant growth promoting microbes </w:t>
      </w:r>
      <w:r w:rsidR="002D449D" w:rsidRPr="00504D41">
        <w:rPr>
          <w:i w:val="0"/>
          <w:iCs w:val="0"/>
          <w:color w:val="auto"/>
          <w:sz w:val="24"/>
          <w:szCs w:val="24"/>
        </w:rPr>
        <w:t xml:space="preserve">(PGPM) and their role in enhancing </w:t>
      </w:r>
      <w:r w:rsidR="00076869" w:rsidRPr="00504D41">
        <w:rPr>
          <w:i w:val="0"/>
          <w:iCs w:val="0"/>
          <w:color w:val="auto"/>
          <w:sz w:val="24"/>
          <w:szCs w:val="24"/>
        </w:rPr>
        <w:t>plant growth.</w:t>
      </w:r>
    </w:p>
    <w:p w14:paraId="1A5FE30B" w14:textId="77777777" w:rsidR="00B52963" w:rsidRPr="00504D41" w:rsidRDefault="00AB23A5" w:rsidP="0016445D">
      <w:pPr>
        <w:tabs>
          <w:tab w:val="left" w:pos="0"/>
        </w:tabs>
        <w:spacing w:line="360" w:lineRule="auto"/>
        <w:jc w:val="both"/>
        <w:rPr>
          <w:szCs w:val="24"/>
        </w:rPr>
      </w:pPr>
      <w:r w:rsidRPr="00504D41">
        <w:rPr>
          <w:szCs w:val="24"/>
        </w:rPr>
        <w:t>Seed inoculation has been proposed as a suitable method to introduce the desired PGPM in the soil and around the rhizosphere</w:t>
      </w:r>
      <w:r w:rsidR="00B82394" w:rsidRPr="00504D41">
        <w:rPr>
          <w:szCs w:val="24"/>
        </w:rPr>
        <w:t>.</w:t>
      </w:r>
      <w:r w:rsidR="006D54C2" w:rsidRPr="00504D41">
        <w:rPr>
          <w:noProof/>
          <w:szCs w:val="24"/>
          <w:vertAlign w:val="superscript"/>
        </w:rPr>
        <w:t>50</w:t>
      </w:r>
      <w:r w:rsidR="003C63E7" w:rsidRPr="00504D41">
        <w:rPr>
          <w:szCs w:val="24"/>
        </w:rPr>
        <w:t xml:space="preserve"> E</w:t>
      </w:r>
      <w:r w:rsidRPr="00504D41">
        <w:rPr>
          <w:szCs w:val="24"/>
        </w:rPr>
        <w:t xml:space="preserve">nsuring the availability of the microorganisms to the root during the early germination stage, </w:t>
      </w:r>
      <w:r w:rsidR="003C63E7" w:rsidRPr="00504D41">
        <w:rPr>
          <w:szCs w:val="24"/>
        </w:rPr>
        <w:t>allows</w:t>
      </w:r>
      <w:r w:rsidRPr="00504D41">
        <w:rPr>
          <w:szCs w:val="24"/>
        </w:rPr>
        <w:t xml:space="preserve"> </w:t>
      </w:r>
      <w:r w:rsidR="00C072C7" w:rsidRPr="00504D41">
        <w:rPr>
          <w:szCs w:val="24"/>
        </w:rPr>
        <w:t xml:space="preserve">for </w:t>
      </w:r>
      <w:r w:rsidRPr="00504D41">
        <w:rPr>
          <w:szCs w:val="24"/>
        </w:rPr>
        <w:t>timely plant development and enhanced stress resistance. Consequently, current research in seed treatment techniques is investigating the use of bioplastic film coatings as carriers for PGPM. Such a film coating should be able to serve as a suitable growth medium for the loaded microorganism with high survival rates for the inoculated PGPM</w:t>
      </w:r>
      <w:r w:rsidR="00C072C7" w:rsidRPr="00504D41">
        <w:rPr>
          <w:szCs w:val="24"/>
        </w:rPr>
        <w:t>. In addition, it</w:t>
      </w:r>
      <w:r w:rsidRPr="00504D41">
        <w:rPr>
          <w:szCs w:val="24"/>
        </w:rPr>
        <w:t xml:space="preserve"> </w:t>
      </w:r>
      <w:r w:rsidR="00C072C7" w:rsidRPr="00504D41">
        <w:rPr>
          <w:szCs w:val="24"/>
        </w:rPr>
        <w:t>should</w:t>
      </w:r>
      <w:r w:rsidR="00E941DA" w:rsidRPr="00504D41">
        <w:rPr>
          <w:szCs w:val="24"/>
        </w:rPr>
        <w:t xml:space="preserve"> </w:t>
      </w:r>
      <w:r w:rsidRPr="00504D41">
        <w:rPr>
          <w:szCs w:val="24"/>
        </w:rPr>
        <w:t xml:space="preserve">possess the necessary attributes of a practical seed coat </w:t>
      </w:r>
      <w:r w:rsidR="00E3355A" w:rsidRPr="00504D41">
        <w:rPr>
          <w:szCs w:val="24"/>
        </w:rPr>
        <w:t xml:space="preserve">such as </w:t>
      </w:r>
      <w:r w:rsidR="001E57F2" w:rsidRPr="00504D41">
        <w:rPr>
          <w:szCs w:val="24"/>
        </w:rPr>
        <w:t>durability to endure stresses during handling,</w:t>
      </w:r>
      <w:r w:rsidR="005016F8" w:rsidRPr="00504D41">
        <w:rPr>
          <w:szCs w:val="24"/>
        </w:rPr>
        <w:t xml:space="preserve"> permeability to</w:t>
      </w:r>
      <w:r w:rsidR="004C52D7" w:rsidRPr="00504D41">
        <w:rPr>
          <w:szCs w:val="24"/>
        </w:rPr>
        <w:t xml:space="preserve"> allow free air movement during germination and</w:t>
      </w:r>
      <w:r w:rsidR="00556AAC" w:rsidRPr="00504D41">
        <w:rPr>
          <w:szCs w:val="24"/>
        </w:rPr>
        <w:t xml:space="preserve"> </w:t>
      </w:r>
      <w:r w:rsidR="00326DEC" w:rsidRPr="00504D41">
        <w:rPr>
          <w:szCs w:val="24"/>
        </w:rPr>
        <w:t>abl</w:t>
      </w:r>
      <w:r w:rsidR="00F03227" w:rsidRPr="00504D41">
        <w:rPr>
          <w:szCs w:val="24"/>
        </w:rPr>
        <w:t>itlity</w:t>
      </w:r>
      <w:r w:rsidR="00326DEC" w:rsidRPr="00504D41">
        <w:rPr>
          <w:szCs w:val="24"/>
        </w:rPr>
        <w:t xml:space="preserve"> to</w:t>
      </w:r>
      <w:r w:rsidRPr="00504D41">
        <w:rPr>
          <w:szCs w:val="24"/>
        </w:rPr>
        <w:t xml:space="preserve"> crack under the soil </w:t>
      </w:r>
      <w:r w:rsidR="00F03227" w:rsidRPr="00504D41">
        <w:rPr>
          <w:szCs w:val="24"/>
        </w:rPr>
        <w:t>to</w:t>
      </w:r>
      <w:r w:rsidR="000B2EAC" w:rsidRPr="00504D41">
        <w:rPr>
          <w:szCs w:val="24"/>
        </w:rPr>
        <w:t xml:space="preserve"> not hinder germination.</w:t>
      </w:r>
      <w:r w:rsidRPr="00504D41">
        <w:rPr>
          <w:szCs w:val="24"/>
        </w:rPr>
        <w:t xml:space="preserve"> </w:t>
      </w:r>
    </w:p>
    <w:p w14:paraId="6B95CB86" w14:textId="77777777" w:rsidR="00AB23A5" w:rsidRPr="00504D41" w:rsidRDefault="00AB23A5" w:rsidP="0016445D">
      <w:pPr>
        <w:tabs>
          <w:tab w:val="left" w:pos="0"/>
        </w:tabs>
        <w:spacing w:line="360" w:lineRule="auto"/>
        <w:jc w:val="both"/>
        <w:rPr>
          <w:szCs w:val="24"/>
        </w:rPr>
      </w:pPr>
      <w:r w:rsidRPr="00504D41">
        <w:rPr>
          <w:szCs w:val="24"/>
        </w:rPr>
        <w:lastRenderedPageBreak/>
        <w:t>Accinelli et al</w:t>
      </w:r>
      <w:r w:rsidR="00C072C7" w:rsidRPr="00504D41">
        <w:rPr>
          <w:szCs w:val="24"/>
        </w:rPr>
        <w:t>.</w:t>
      </w:r>
      <w:r w:rsidRPr="00504D41">
        <w:rPr>
          <w:szCs w:val="24"/>
        </w:rPr>
        <w:t xml:space="preserve"> coated corn and canola seeds with a proprietary starch-based bioplastic treated with (1) imidacloprid plus metalaxyl-M pesticide mixture and (2) spores of </w:t>
      </w:r>
      <w:r w:rsidRPr="00504D41">
        <w:rPr>
          <w:i/>
          <w:szCs w:val="24"/>
        </w:rPr>
        <w:t>Trichoderma harzianum</w:t>
      </w:r>
      <w:r w:rsidRPr="00504D41">
        <w:rPr>
          <w:szCs w:val="24"/>
        </w:rPr>
        <w:t xml:space="preserve"> -  a plant growth-boosting fungus as a biocontrol agent</w:t>
      </w:r>
      <w:r w:rsidR="00B82394" w:rsidRPr="00504D41">
        <w:rPr>
          <w:szCs w:val="24"/>
        </w:rPr>
        <w:t>.</w:t>
      </w:r>
      <w:r w:rsidR="006D54C2" w:rsidRPr="00504D41">
        <w:rPr>
          <w:noProof/>
          <w:szCs w:val="24"/>
          <w:vertAlign w:val="superscript"/>
        </w:rPr>
        <w:t>51</w:t>
      </w:r>
      <w:r w:rsidRPr="00504D41">
        <w:rPr>
          <w:szCs w:val="24"/>
        </w:rPr>
        <w:t xml:space="preserve"> </w:t>
      </w:r>
      <w:r w:rsidR="009B5B7F" w:rsidRPr="00504D41">
        <w:rPr>
          <w:szCs w:val="24"/>
        </w:rPr>
        <w:t>They reported</w:t>
      </w:r>
      <w:r w:rsidRPr="00504D41">
        <w:rPr>
          <w:szCs w:val="24"/>
        </w:rPr>
        <w:t xml:space="preserve"> that seed germination was significantly higher in the </w:t>
      </w:r>
      <w:r w:rsidRPr="00504D41">
        <w:rPr>
          <w:i/>
          <w:szCs w:val="24"/>
        </w:rPr>
        <w:t>T.harzianum</w:t>
      </w:r>
      <w:r w:rsidRPr="00504D41">
        <w:rPr>
          <w:szCs w:val="24"/>
        </w:rPr>
        <w:t xml:space="preserve"> incorporated coated seeds than the </w:t>
      </w:r>
      <w:r w:rsidR="00C072C7" w:rsidRPr="00504D41">
        <w:rPr>
          <w:szCs w:val="24"/>
        </w:rPr>
        <w:t>pesticide-</w:t>
      </w:r>
      <w:r w:rsidRPr="00504D41">
        <w:rPr>
          <w:szCs w:val="24"/>
        </w:rPr>
        <w:t>laden coated seeds</w:t>
      </w:r>
      <w:r w:rsidR="00C072C7" w:rsidRPr="00504D41">
        <w:rPr>
          <w:szCs w:val="24"/>
        </w:rPr>
        <w:t>,</w:t>
      </w:r>
      <w:r w:rsidRPr="00504D41">
        <w:rPr>
          <w:szCs w:val="24"/>
        </w:rPr>
        <w:t xml:space="preserve"> with enhanced growth as observed by the shoot height and root length of the seedlings. The authors have attributed the enhanced growth to the intense colonization of the </w:t>
      </w:r>
      <w:r w:rsidRPr="00504D41">
        <w:rPr>
          <w:i/>
          <w:szCs w:val="24"/>
        </w:rPr>
        <w:t>T.harzianum</w:t>
      </w:r>
      <w:r w:rsidRPr="00504D41">
        <w:rPr>
          <w:szCs w:val="24"/>
        </w:rPr>
        <w:t xml:space="preserve"> in the rhizosphere made possible due to the successful incorporation and compatibility of the loaded fungi with the bioplastic</w:t>
      </w:r>
      <w:r w:rsidR="00C072C7" w:rsidRPr="00504D41">
        <w:rPr>
          <w:szCs w:val="24"/>
        </w:rPr>
        <w:t>-based</w:t>
      </w:r>
      <w:r w:rsidRPr="00504D41">
        <w:rPr>
          <w:szCs w:val="24"/>
        </w:rPr>
        <w:t xml:space="preserve"> see</w:t>
      </w:r>
      <w:r w:rsidR="00CE6281" w:rsidRPr="00504D41">
        <w:rPr>
          <w:szCs w:val="24"/>
        </w:rPr>
        <w:t>d coat. Similarly, Rojas et al.</w:t>
      </w:r>
      <w:r w:rsidR="006D54C2" w:rsidRPr="00504D41">
        <w:rPr>
          <w:noProof/>
          <w:szCs w:val="24"/>
          <w:vertAlign w:val="superscript"/>
        </w:rPr>
        <w:t>52</w:t>
      </w:r>
      <w:r w:rsidRPr="00504D41">
        <w:rPr>
          <w:szCs w:val="24"/>
        </w:rPr>
        <w:t xml:space="preserve"> investigated different biopolymer-based seed coatings inoculated with the fungus, </w:t>
      </w:r>
      <w:r w:rsidRPr="00504D41">
        <w:rPr>
          <w:i/>
          <w:szCs w:val="24"/>
        </w:rPr>
        <w:t>Trichoderma koningiopsis</w:t>
      </w:r>
      <w:r w:rsidRPr="00504D41">
        <w:rPr>
          <w:szCs w:val="24"/>
        </w:rPr>
        <w:t xml:space="preserve">, a strain of the trichoderma fungal species that are widely used as biopesticides. Out of </w:t>
      </w:r>
      <w:r w:rsidR="00C072C7" w:rsidRPr="00504D41">
        <w:rPr>
          <w:szCs w:val="24"/>
        </w:rPr>
        <w:t>various</w:t>
      </w:r>
      <w:r w:rsidRPr="00504D41">
        <w:rPr>
          <w:szCs w:val="24"/>
        </w:rPr>
        <w:t xml:space="preserve"> biopolymers analyzed</w:t>
      </w:r>
      <w:r w:rsidR="00C072C7" w:rsidRPr="00504D41">
        <w:rPr>
          <w:szCs w:val="24"/>
        </w:rPr>
        <w:t xml:space="preserve"> in the study</w:t>
      </w:r>
      <w:r w:rsidRPr="00504D41">
        <w:rPr>
          <w:szCs w:val="24"/>
        </w:rPr>
        <w:t xml:space="preserve">, gelatin and pectin showed the highest survival results </w:t>
      </w:r>
      <w:r w:rsidR="00C072C7" w:rsidRPr="00504D41">
        <w:rPr>
          <w:szCs w:val="24"/>
        </w:rPr>
        <w:t xml:space="preserve">for </w:t>
      </w:r>
      <w:r w:rsidRPr="00504D41">
        <w:rPr>
          <w:szCs w:val="24"/>
        </w:rPr>
        <w:t xml:space="preserve">the fungus. However, all the coated seeds exhibited delayed germination and seed emergence rates. Thus, whereas the water and gas blocking properties of the polymer films on the seeds provided a viable environment for the survival of the microbes, it also inhibited embryo development resulting in delayed radicle emergence. Further research is needed to optimize the properties of the seed coating such that the coatings can provide a viable medium for the inoculated PGPM and </w:t>
      </w:r>
      <w:r w:rsidR="00602E90" w:rsidRPr="00504D41">
        <w:rPr>
          <w:szCs w:val="24"/>
        </w:rPr>
        <w:t>yet</w:t>
      </w:r>
      <w:r w:rsidRPr="00504D41">
        <w:rPr>
          <w:szCs w:val="24"/>
        </w:rPr>
        <w:t xml:space="preserve"> not retard seed germination. </w:t>
      </w:r>
      <w:r w:rsidR="004D183A" w:rsidRPr="00504D41">
        <w:rPr>
          <w:szCs w:val="24"/>
        </w:rPr>
        <w:t>Table 2 summarizes</w:t>
      </w:r>
      <w:r w:rsidR="003A5AF3" w:rsidRPr="00504D41">
        <w:rPr>
          <w:szCs w:val="24"/>
        </w:rPr>
        <w:t xml:space="preserve"> </w:t>
      </w:r>
      <w:r w:rsidR="00C072C7" w:rsidRPr="00504D41">
        <w:rPr>
          <w:szCs w:val="24"/>
        </w:rPr>
        <w:t xml:space="preserve">the </w:t>
      </w:r>
      <w:r w:rsidR="003A5AF3" w:rsidRPr="00504D41">
        <w:rPr>
          <w:szCs w:val="24"/>
        </w:rPr>
        <w:t xml:space="preserve">results of recently conducted studies on microbe inoculated seed coatings </w:t>
      </w:r>
      <w:r w:rsidR="003E3034" w:rsidRPr="00504D41">
        <w:rPr>
          <w:szCs w:val="24"/>
        </w:rPr>
        <w:t xml:space="preserve">synthesized from </w:t>
      </w:r>
      <w:r w:rsidR="008E6340" w:rsidRPr="00504D41">
        <w:rPr>
          <w:szCs w:val="24"/>
        </w:rPr>
        <w:t>various coating materials.</w:t>
      </w:r>
    </w:p>
    <w:p w14:paraId="6CADCC29" w14:textId="77777777" w:rsidR="00C8552B" w:rsidRPr="00504D41" w:rsidRDefault="00C8552B" w:rsidP="00C8552B">
      <w:pPr>
        <w:pStyle w:val="Caption"/>
        <w:keepNext/>
        <w:rPr>
          <w:b/>
          <w:bCs/>
          <w:i w:val="0"/>
          <w:iCs w:val="0"/>
          <w:color w:val="auto"/>
          <w:sz w:val="24"/>
          <w:szCs w:val="24"/>
        </w:rPr>
      </w:pPr>
      <w:r w:rsidRPr="00504D41">
        <w:rPr>
          <w:b/>
          <w:bCs/>
          <w:i w:val="0"/>
          <w:iCs w:val="0"/>
          <w:color w:val="auto"/>
          <w:sz w:val="24"/>
          <w:szCs w:val="24"/>
        </w:rPr>
        <w:t xml:space="preserve">Table </w:t>
      </w:r>
      <w:r w:rsidRPr="00504D41">
        <w:rPr>
          <w:b/>
          <w:bCs/>
          <w:i w:val="0"/>
          <w:iCs w:val="0"/>
          <w:color w:val="auto"/>
          <w:sz w:val="24"/>
          <w:szCs w:val="24"/>
        </w:rPr>
        <w:fldChar w:fldCharType="begin"/>
      </w:r>
      <w:r w:rsidRPr="00504D41">
        <w:rPr>
          <w:b/>
          <w:bCs/>
          <w:i w:val="0"/>
          <w:iCs w:val="0"/>
          <w:color w:val="auto"/>
          <w:sz w:val="24"/>
          <w:szCs w:val="24"/>
        </w:rPr>
        <w:instrText xml:space="preserve"> SEQ Table \* ARABIC </w:instrText>
      </w:r>
      <w:r w:rsidRPr="00504D41">
        <w:rPr>
          <w:b/>
          <w:bCs/>
          <w:i w:val="0"/>
          <w:iCs w:val="0"/>
          <w:color w:val="auto"/>
          <w:sz w:val="24"/>
          <w:szCs w:val="24"/>
        </w:rPr>
        <w:fldChar w:fldCharType="separate"/>
      </w:r>
      <w:r w:rsidR="003D0A6B" w:rsidRPr="00504D41">
        <w:rPr>
          <w:b/>
          <w:bCs/>
          <w:i w:val="0"/>
          <w:iCs w:val="0"/>
          <w:noProof/>
          <w:color w:val="auto"/>
          <w:sz w:val="24"/>
          <w:szCs w:val="24"/>
        </w:rPr>
        <w:t>2</w:t>
      </w:r>
      <w:r w:rsidRPr="00504D41">
        <w:rPr>
          <w:b/>
          <w:bCs/>
          <w:i w:val="0"/>
          <w:iCs w:val="0"/>
          <w:color w:val="auto"/>
          <w:sz w:val="24"/>
          <w:szCs w:val="24"/>
        </w:rPr>
        <w:fldChar w:fldCharType="end"/>
      </w:r>
      <w:r w:rsidR="003D0A6B" w:rsidRPr="00504D41">
        <w:rPr>
          <w:b/>
          <w:bCs/>
          <w:i w:val="0"/>
          <w:iCs w:val="0"/>
          <w:color w:val="auto"/>
          <w:sz w:val="24"/>
          <w:szCs w:val="24"/>
        </w:rPr>
        <w:t xml:space="preserve">. Summary of </w:t>
      </w:r>
      <w:r w:rsidR="00897B4E" w:rsidRPr="00504D41">
        <w:rPr>
          <w:b/>
          <w:bCs/>
          <w:i w:val="0"/>
          <w:iCs w:val="0"/>
          <w:color w:val="auto"/>
          <w:sz w:val="24"/>
          <w:szCs w:val="24"/>
        </w:rPr>
        <w:t>PGPM</w:t>
      </w:r>
      <w:r w:rsidR="003D0A6B" w:rsidRPr="00504D41">
        <w:rPr>
          <w:b/>
          <w:bCs/>
          <w:i w:val="0"/>
          <w:iCs w:val="0"/>
          <w:color w:val="auto"/>
          <w:sz w:val="24"/>
          <w:szCs w:val="24"/>
        </w:rPr>
        <w:t xml:space="preserve"> inoculated seed coating</w:t>
      </w:r>
      <w:r w:rsidR="00897B4E" w:rsidRPr="00504D41">
        <w:rPr>
          <w:b/>
          <w:bCs/>
          <w:i w:val="0"/>
          <w:iCs w:val="0"/>
          <w:color w:val="auto"/>
          <w:sz w:val="24"/>
          <w:szCs w:val="24"/>
        </w:rPr>
        <w:t>s</w:t>
      </w:r>
    </w:p>
    <w:tbl>
      <w:tblPr>
        <w:tblW w:w="9980" w:type="dxa"/>
        <w:jc w:val="center"/>
        <w:tblLayout w:type="fixed"/>
        <w:tblLook w:val="04A0" w:firstRow="1" w:lastRow="0" w:firstColumn="1" w:lastColumn="0" w:noHBand="0" w:noVBand="1"/>
      </w:tblPr>
      <w:tblGrid>
        <w:gridCol w:w="1795"/>
        <w:gridCol w:w="1440"/>
        <w:gridCol w:w="1170"/>
        <w:gridCol w:w="1890"/>
        <w:gridCol w:w="2528"/>
        <w:gridCol w:w="1157"/>
      </w:tblGrid>
      <w:tr w:rsidR="00CD5AFE" w:rsidRPr="00504D41" w14:paraId="20ACFCC6" w14:textId="77777777" w:rsidTr="00DD0F38">
        <w:trPr>
          <w:trHeight w:val="552"/>
          <w:jc w:val="center"/>
        </w:trPr>
        <w:tc>
          <w:tcPr>
            <w:tcW w:w="1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7E4418" w14:textId="77777777" w:rsidR="006341B9" w:rsidRPr="00504D41" w:rsidRDefault="006341B9" w:rsidP="006341B9">
            <w:pPr>
              <w:spacing w:after="0" w:line="240" w:lineRule="auto"/>
              <w:jc w:val="center"/>
              <w:rPr>
                <w:rFonts w:ascii="Arial" w:eastAsia="Times New Roman" w:hAnsi="Arial" w:cs="Arial"/>
                <w:b/>
                <w:bCs/>
                <w:color w:val="000000"/>
                <w:sz w:val="20"/>
                <w:szCs w:val="20"/>
              </w:rPr>
            </w:pPr>
            <w:r w:rsidRPr="00504D41">
              <w:rPr>
                <w:rFonts w:ascii="Arial" w:eastAsia="Times New Roman" w:hAnsi="Arial" w:cs="Arial"/>
                <w:b/>
                <w:bCs/>
                <w:color w:val="000000"/>
                <w:sz w:val="20"/>
                <w:szCs w:val="20"/>
              </w:rPr>
              <w:t>Microbe</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14:paraId="210728A8" w14:textId="77777777" w:rsidR="006341B9" w:rsidRPr="00504D41" w:rsidRDefault="006341B9" w:rsidP="006341B9">
            <w:pPr>
              <w:spacing w:after="0" w:line="240" w:lineRule="auto"/>
              <w:jc w:val="center"/>
              <w:rPr>
                <w:rFonts w:ascii="Arial" w:eastAsia="Times New Roman" w:hAnsi="Arial" w:cs="Arial"/>
                <w:b/>
                <w:bCs/>
                <w:color w:val="000000"/>
                <w:sz w:val="20"/>
                <w:szCs w:val="20"/>
              </w:rPr>
            </w:pPr>
            <w:r w:rsidRPr="00504D41">
              <w:rPr>
                <w:rFonts w:ascii="Arial" w:eastAsia="Times New Roman" w:hAnsi="Arial" w:cs="Arial"/>
                <w:b/>
                <w:bCs/>
                <w:color w:val="000000"/>
                <w:sz w:val="20"/>
                <w:szCs w:val="20"/>
              </w:rPr>
              <w:t>Coating material</w:t>
            </w:r>
          </w:p>
        </w:tc>
        <w:tc>
          <w:tcPr>
            <w:tcW w:w="1170" w:type="dxa"/>
            <w:tcBorders>
              <w:top w:val="single" w:sz="4" w:space="0" w:color="auto"/>
              <w:left w:val="nil"/>
              <w:bottom w:val="single" w:sz="4" w:space="0" w:color="auto"/>
              <w:right w:val="single" w:sz="4" w:space="0" w:color="auto"/>
            </w:tcBorders>
            <w:shd w:val="clear" w:color="auto" w:fill="auto"/>
            <w:vAlign w:val="center"/>
            <w:hideMark/>
          </w:tcPr>
          <w:p w14:paraId="2AAF8A00" w14:textId="77777777" w:rsidR="006341B9" w:rsidRPr="00504D41" w:rsidRDefault="006341B9" w:rsidP="006341B9">
            <w:pPr>
              <w:spacing w:after="0" w:line="240" w:lineRule="auto"/>
              <w:jc w:val="center"/>
              <w:rPr>
                <w:rFonts w:ascii="Arial" w:eastAsia="Times New Roman" w:hAnsi="Arial" w:cs="Arial"/>
                <w:b/>
                <w:bCs/>
                <w:color w:val="000000"/>
                <w:sz w:val="20"/>
                <w:szCs w:val="20"/>
              </w:rPr>
            </w:pPr>
            <w:r w:rsidRPr="00504D41">
              <w:rPr>
                <w:rFonts w:ascii="Arial" w:eastAsia="Times New Roman" w:hAnsi="Arial" w:cs="Arial"/>
                <w:b/>
                <w:bCs/>
                <w:color w:val="000000"/>
                <w:sz w:val="20"/>
                <w:szCs w:val="20"/>
              </w:rPr>
              <w:t>Plant</w:t>
            </w:r>
          </w:p>
        </w:tc>
        <w:tc>
          <w:tcPr>
            <w:tcW w:w="1890" w:type="dxa"/>
            <w:tcBorders>
              <w:top w:val="single" w:sz="4" w:space="0" w:color="auto"/>
              <w:left w:val="nil"/>
              <w:bottom w:val="single" w:sz="4" w:space="0" w:color="auto"/>
              <w:right w:val="single" w:sz="4" w:space="0" w:color="auto"/>
            </w:tcBorders>
            <w:shd w:val="clear" w:color="auto" w:fill="auto"/>
            <w:vAlign w:val="center"/>
            <w:hideMark/>
          </w:tcPr>
          <w:p w14:paraId="2B4DFB17" w14:textId="77777777" w:rsidR="006341B9" w:rsidRPr="00504D41" w:rsidRDefault="006341B9" w:rsidP="006341B9">
            <w:pPr>
              <w:spacing w:after="0" w:line="240" w:lineRule="auto"/>
              <w:jc w:val="center"/>
              <w:rPr>
                <w:rFonts w:ascii="Arial" w:eastAsia="Times New Roman" w:hAnsi="Arial" w:cs="Arial"/>
                <w:b/>
                <w:bCs/>
                <w:color w:val="000000"/>
                <w:sz w:val="20"/>
                <w:szCs w:val="20"/>
              </w:rPr>
            </w:pPr>
            <w:r w:rsidRPr="00504D41">
              <w:rPr>
                <w:rFonts w:ascii="Arial" w:eastAsia="Times New Roman" w:hAnsi="Arial" w:cs="Arial"/>
                <w:b/>
                <w:bCs/>
                <w:color w:val="000000"/>
                <w:sz w:val="20"/>
                <w:szCs w:val="20"/>
              </w:rPr>
              <w:t>Microbe survival count</w:t>
            </w:r>
          </w:p>
        </w:tc>
        <w:tc>
          <w:tcPr>
            <w:tcW w:w="2528" w:type="dxa"/>
            <w:tcBorders>
              <w:top w:val="single" w:sz="4" w:space="0" w:color="auto"/>
              <w:left w:val="nil"/>
              <w:bottom w:val="single" w:sz="4" w:space="0" w:color="auto"/>
              <w:right w:val="single" w:sz="4" w:space="0" w:color="auto"/>
            </w:tcBorders>
            <w:shd w:val="clear" w:color="auto" w:fill="auto"/>
            <w:vAlign w:val="center"/>
            <w:hideMark/>
          </w:tcPr>
          <w:p w14:paraId="69A67A11" w14:textId="77777777" w:rsidR="006341B9" w:rsidRPr="00504D41" w:rsidRDefault="006341B9" w:rsidP="006341B9">
            <w:pPr>
              <w:spacing w:after="0" w:line="240" w:lineRule="auto"/>
              <w:jc w:val="center"/>
              <w:rPr>
                <w:rFonts w:ascii="Arial" w:eastAsia="Times New Roman" w:hAnsi="Arial" w:cs="Arial"/>
                <w:b/>
                <w:bCs/>
                <w:color w:val="000000"/>
                <w:sz w:val="20"/>
                <w:szCs w:val="20"/>
              </w:rPr>
            </w:pPr>
            <w:r w:rsidRPr="00504D41">
              <w:rPr>
                <w:rFonts w:ascii="Arial" w:eastAsia="Times New Roman" w:hAnsi="Arial" w:cs="Arial"/>
                <w:b/>
                <w:bCs/>
                <w:color w:val="000000"/>
                <w:sz w:val="20"/>
                <w:szCs w:val="20"/>
              </w:rPr>
              <w:t>Performance as seed coating</w:t>
            </w:r>
          </w:p>
        </w:tc>
        <w:tc>
          <w:tcPr>
            <w:tcW w:w="1157" w:type="dxa"/>
            <w:tcBorders>
              <w:top w:val="single" w:sz="4" w:space="0" w:color="auto"/>
              <w:left w:val="nil"/>
              <w:bottom w:val="single" w:sz="4" w:space="0" w:color="auto"/>
              <w:right w:val="single" w:sz="4" w:space="0" w:color="auto"/>
            </w:tcBorders>
            <w:shd w:val="clear" w:color="auto" w:fill="auto"/>
            <w:vAlign w:val="center"/>
            <w:hideMark/>
          </w:tcPr>
          <w:p w14:paraId="32A5E0C7" w14:textId="77777777" w:rsidR="006341B9" w:rsidRPr="00504D41" w:rsidRDefault="006341B9" w:rsidP="006341B9">
            <w:pPr>
              <w:spacing w:after="0" w:line="240" w:lineRule="auto"/>
              <w:jc w:val="center"/>
              <w:rPr>
                <w:rFonts w:ascii="Arial" w:eastAsia="Times New Roman" w:hAnsi="Arial" w:cs="Arial"/>
                <w:b/>
                <w:bCs/>
                <w:color w:val="000000"/>
                <w:sz w:val="20"/>
                <w:szCs w:val="20"/>
              </w:rPr>
            </w:pPr>
            <w:r w:rsidRPr="00504D41">
              <w:rPr>
                <w:rFonts w:ascii="Arial" w:eastAsia="Times New Roman" w:hAnsi="Arial" w:cs="Arial"/>
                <w:b/>
                <w:bCs/>
                <w:color w:val="000000"/>
                <w:sz w:val="20"/>
                <w:szCs w:val="20"/>
              </w:rPr>
              <w:t>Reference</w:t>
            </w:r>
          </w:p>
        </w:tc>
      </w:tr>
      <w:tr w:rsidR="00CD5AFE" w:rsidRPr="00504D41" w14:paraId="565330F5" w14:textId="77777777" w:rsidTr="00DD0F38">
        <w:trPr>
          <w:trHeight w:val="1920"/>
          <w:jc w:val="center"/>
        </w:trPr>
        <w:tc>
          <w:tcPr>
            <w:tcW w:w="1795" w:type="dxa"/>
            <w:tcBorders>
              <w:top w:val="nil"/>
              <w:left w:val="single" w:sz="4" w:space="0" w:color="auto"/>
              <w:bottom w:val="single" w:sz="4" w:space="0" w:color="auto"/>
              <w:right w:val="single" w:sz="4" w:space="0" w:color="auto"/>
            </w:tcBorders>
            <w:shd w:val="clear" w:color="auto" w:fill="auto"/>
            <w:vAlign w:val="center"/>
            <w:hideMark/>
          </w:tcPr>
          <w:p w14:paraId="276A0089"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 xml:space="preserve">Fungus </w:t>
            </w:r>
            <w:r w:rsidRPr="00504D41">
              <w:rPr>
                <w:rFonts w:ascii="Arial" w:eastAsia="Times New Roman" w:hAnsi="Arial" w:cs="Arial"/>
                <w:i/>
                <w:iCs/>
                <w:color w:val="000000"/>
                <w:sz w:val="20"/>
                <w:szCs w:val="20"/>
              </w:rPr>
              <w:t>Trichoderma harzianum</w:t>
            </w:r>
          </w:p>
        </w:tc>
        <w:tc>
          <w:tcPr>
            <w:tcW w:w="1440" w:type="dxa"/>
            <w:tcBorders>
              <w:top w:val="nil"/>
              <w:left w:val="nil"/>
              <w:bottom w:val="single" w:sz="4" w:space="0" w:color="auto"/>
              <w:right w:val="single" w:sz="4" w:space="0" w:color="auto"/>
            </w:tcBorders>
            <w:shd w:val="clear" w:color="auto" w:fill="auto"/>
            <w:vAlign w:val="center"/>
            <w:hideMark/>
          </w:tcPr>
          <w:p w14:paraId="28A361FC"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Proprietary bioplastic (starch based)</w:t>
            </w:r>
          </w:p>
        </w:tc>
        <w:tc>
          <w:tcPr>
            <w:tcW w:w="1170" w:type="dxa"/>
            <w:tcBorders>
              <w:top w:val="nil"/>
              <w:left w:val="nil"/>
              <w:bottom w:val="single" w:sz="4" w:space="0" w:color="auto"/>
              <w:right w:val="single" w:sz="4" w:space="0" w:color="auto"/>
            </w:tcBorders>
            <w:shd w:val="clear" w:color="auto" w:fill="auto"/>
            <w:vAlign w:val="center"/>
            <w:hideMark/>
          </w:tcPr>
          <w:p w14:paraId="1EF2CEB3"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corn (</w:t>
            </w:r>
            <w:r w:rsidRPr="00504D41">
              <w:rPr>
                <w:rFonts w:ascii="Arial" w:eastAsia="Times New Roman" w:hAnsi="Arial" w:cs="Arial"/>
                <w:i/>
                <w:iCs/>
                <w:color w:val="000000"/>
                <w:sz w:val="20"/>
                <w:szCs w:val="20"/>
              </w:rPr>
              <w:t>Zea mays L.</w:t>
            </w:r>
            <w:r w:rsidRPr="00504D41">
              <w:rPr>
                <w:rFonts w:ascii="Arial" w:eastAsia="Times New Roman" w:hAnsi="Arial" w:cs="Arial"/>
                <w:color w:val="000000"/>
                <w:sz w:val="20"/>
                <w:szCs w:val="20"/>
              </w:rPr>
              <w:t>) and canola (</w:t>
            </w:r>
            <w:r w:rsidRPr="00504D41">
              <w:rPr>
                <w:rFonts w:ascii="Arial" w:eastAsia="Times New Roman" w:hAnsi="Arial" w:cs="Arial"/>
                <w:i/>
                <w:iCs/>
                <w:color w:val="000000"/>
                <w:sz w:val="20"/>
                <w:szCs w:val="20"/>
              </w:rPr>
              <w:t>Brassica napus L.</w:t>
            </w:r>
            <w:r w:rsidRPr="00504D41">
              <w:rPr>
                <w:rFonts w:ascii="Arial" w:eastAsia="Times New Roman" w:hAnsi="Arial" w:cs="Arial"/>
                <w:color w:val="000000"/>
                <w:sz w:val="20"/>
                <w:szCs w:val="20"/>
              </w:rPr>
              <w:t>)</w:t>
            </w:r>
          </w:p>
        </w:tc>
        <w:tc>
          <w:tcPr>
            <w:tcW w:w="1890" w:type="dxa"/>
            <w:tcBorders>
              <w:top w:val="nil"/>
              <w:left w:val="nil"/>
              <w:bottom w:val="single" w:sz="4" w:space="0" w:color="auto"/>
              <w:right w:val="single" w:sz="4" w:space="0" w:color="auto"/>
            </w:tcBorders>
            <w:shd w:val="clear" w:color="auto" w:fill="auto"/>
            <w:vAlign w:val="center"/>
            <w:hideMark/>
          </w:tcPr>
          <w:p w14:paraId="63F06DCF"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Not reported</w:t>
            </w:r>
          </w:p>
        </w:tc>
        <w:tc>
          <w:tcPr>
            <w:tcW w:w="2528" w:type="dxa"/>
            <w:tcBorders>
              <w:top w:val="nil"/>
              <w:left w:val="nil"/>
              <w:bottom w:val="single" w:sz="4" w:space="0" w:color="auto"/>
              <w:right w:val="single" w:sz="4" w:space="0" w:color="auto"/>
            </w:tcBorders>
            <w:shd w:val="clear" w:color="auto" w:fill="auto"/>
            <w:vAlign w:val="center"/>
            <w:hideMark/>
          </w:tcPr>
          <w:p w14:paraId="19B194AA"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Growth chamber study</w:t>
            </w:r>
            <w:r w:rsidRPr="00504D41">
              <w:rPr>
                <w:rFonts w:ascii="Arial" w:eastAsia="Times New Roman" w:hAnsi="Arial" w:cs="Arial"/>
                <w:color w:val="000000"/>
                <w:sz w:val="20"/>
                <w:szCs w:val="20"/>
              </w:rPr>
              <w:br/>
              <w:t>Germination significantly improved compared to treatment with synthetic pesticide but no significant improvememts compared to untreated controls. Significant improvements in root and shoot length compared to control.</w:t>
            </w:r>
          </w:p>
        </w:tc>
        <w:tc>
          <w:tcPr>
            <w:tcW w:w="1157" w:type="dxa"/>
            <w:tcBorders>
              <w:top w:val="nil"/>
              <w:left w:val="nil"/>
              <w:bottom w:val="single" w:sz="4" w:space="0" w:color="auto"/>
              <w:right w:val="single" w:sz="4" w:space="0" w:color="auto"/>
            </w:tcBorders>
            <w:shd w:val="clear" w:color="auto" w:fill="auto"/>
            <w:vAlign w:val="center"/>
            <w:hideMark/>
          </w:tcPr>
          <w:p w14:paraId="4CA0F7E7" w14:textId="77777777" w:rsidR="006341B9" w:rsidRPr="00504D41" w:rsidRDefault="006341B9" w:rsidP="006D54C2">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 </w:t>
            </w:r>
            <w:r w:rsidR="006D54C2" w:rsidRPr="00504D41">
              <w:rPr>
                <w:rFonts w:ascii="Arial" w:hAnsi="Arial" w:cs="Arial"/>
                <w:noProof/>
                <w:sz w:val="20"/>
                <w:szCs w:val="20"/>
                <w:vertAlign w:val="superscript"/>
              </w:rPr>
              <w:t>51</w:t>
            </w:r>
          </w:p>
        </w:tc>
      </w:tr>
      <w:tr w:rsidR="00CD5AFE" w:rsidRPr="00504D41" w14:paraId="04F4FF2B" w14:textId="77777777" w:rsidTr="00DD0F38">
        <w:trPr>
          <w:trHeight w:val="1200"/>
          <w:jc w:val="center"/>
        </w:trPr>
        <w:tc>
          <w:tcPr>
            <w:tcW w:w="1795" w:type="dxa"/>
            <w:tcBorders>
              <w:top w:val="nil"/>
              <w:left w:val="single" w:sz="4" w:space="0" w:color="auto"/>
              <w:bottom w:val="single" w:sz="4" w:space="0" w:color="auto"/>
              <w:right w:val="single" w:sz="4" w:space="0" w:color="auto"/>
            </w:tcBorders>
            <w:shd w:val="clear" w:color="auto" w:fill="auto"/>
            <w:vAlign w:val="center"/>
            <w:hideMark/>
          </w:tcPr>
          <w:p w14:paraId="508A1140"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Fungus</w:t>
            </w:r>
            <w:r w:rsidRPr="00504D41">
              <w:rPr>
                <w:rFonts w:ascii="Arial" w:eastAsia="Times New Roman" w:hAnsi="Arial" w:cs="Arial"/>
                <w:color w:val="000000"/>
                <w:sz w:val="20"/>
                <w:szCs w:val="20"/>
              </w:rPr>
              <w:br/>
            </w:r>
            <w:r w:rsidRPr="00504D41">
              <w:rPr>
                <w:rFonts w:ascii="Arial" w:eastAsia="Times New Roman" w:hAnsi="Arial" w:cs="Arial"/>
                <w:i/>
                <w:iCs/>
                <w:color w:val="000000"/>
                <w:sz w:val="20"/>
                <w:szCs w:val="20"/>
              </w:rPr>
              <w:t>Trichoderma koningiopsis</w:t>
            </w:r>
          </w:p>
        </w:tc>
        <w:tc>
          <w:tcPr>
            <w:tcW w:w="1440" w:type="dxa"/>
            <w:tcBorders>
              <w:top w:val="nil"/>
              <w:left w:val="nil"/>
              <w:bottom w:val="nil"/>
              <w:right w:val="nil"/>
            </w:tcBorders>
            <w:shd w:val="clear" w:color="auto" w:fill="auto"/>
            <w:noWrap/>
            <w:vAlign w:val="center"/>
            <w:hideMark/>
          </w:tcPr>
          <w:p w14:paraId="5BC4B3D1"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Gelatine, pectin</w:t>
            </w:r>
          </w:p>
        </w:tc>
        <w:tc>
          <w:tcPr>
            <w:tcW w:w="1170" w:type="dxa"/>
            <w:tcBorders>
              <w:top w:val="nil"/>
              <w:left w:val="single" w:sz="4" w:space="0" w:color="auto"/>
              <w:bottom w:val="single" w:sz="4" w:space="0" w:color="auto"/>
              <w:right w:val="single" w:sz="4" w:space="0" w:color="auto"/>
            </w:tcBorders>
            <w:shd w:val="clear" w:color="auto" w:fill="auto"/>
            <w:vAlign w:val="center"/>
            <w:hideMark/>
          </w:tcPr>
          <w:p w14:paraId="24334486"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Rice (Oryza sativa)</w:t>
            </w:r>
          </w:p>
        </w:tc>
        <w:tc>
          <w:tcPr>
            <w:tcW w:w="1890" w:type="dxa"/>
            <w:tcBorders>
              <w:top w:val="nil"/>
              <w:left w:val="nil"/>
              <w:bottom w:val="single" w:sz="4" w:space="0" w:color="auto"/>
              <w:right w:val="single" w:sz="4" w:space="0" w:color="auto"/>
            </w:tcBorders>
            <w:shd w:val="clear" w:color="auto" w:fill="auto"/>
            <w:vAlign w:val="center"/>
            <w:hideMark/>
          </w:tcPr>
          <w:p w14:paraId="5DD89C39"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10</w:t>
            </w:r>
            <w:r w:rsidRPr="00504D41">
              <w:rPr>
                <w:rFonts w:ascii="Arial" w:eastAsia="Times New Roman" w:hAnsi="Arial" w:cs="Arial"/>
                <w:color w:val="000000"/>
                <w:sz w:val="20"/>
                <w:szCs w:val="20"/>
                <w:vertAlign w:val="superscript"/>
              </w:rPr>
              <w:t>6</w:t>
            </w:r>
            <w:r w:rsidRPr="00504D41">
              <w:rPr>
                <w:rFonts w:ascii="Arial" w:eastAsia="Times New Roman" w:hAnsi="Arial" w:cs="Arial"/>
                <w:color w:val="000000"/>
                <w:sz w:val="20"/>
                <w:szCs w:val="20"/>
              </w:rPr>
              <w:t>CFU per seed after 60 days of storage at 6⁰C</w:t>
            </w:r>
          </w:p>
        </w:tc>
        <w:tc>
          <w:tcPr>
            <w:tcW w:w="2528" w:type="dxa"/>
            <w:tcBorders>
              <w:top w:val="nil"/>
              <w:left w:val="nil"/>
              <w:bottom w:val="single" w:sz="4" w:space="0" w:color="auto"/>
              <w:right w:val="single" w:sz="4" w:space="0" w:color="auto"/>
            </w:tcBorders>
            <w:shd w:val="clear" w:color="auto" w:fill="auto"/>
            <w:vAlign w:val="center"/>
            <w:hideMark/>
          </w:tcPr>
          <w:p w14:paraId="59EE24DA"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Pot trials</w:t>
            </w:r>
            <w:r w:rsidRPr="00504D41">
              <w:rPr>
                <w:rFonts w:ascii="Arial" w:eastAsia="Times New Roman" w:hAnsi="Arial" w:cs="Arial"/>
                <w:color w:val="000000"/>
                <w:sz w:val="20"/>
                <w:szCs w:val="20"/>
              </w:rPr>
              <w:br/>
              <w:t xml:space="preserve">Samples exhibited delayed germination compared to control 6 days after sowing </w:t>
            </w:r>
            <w:r w:rsidRPr="00504D41">
              <w:rPr>
                <w:rFonts w:ascii="Arial" w:eastAsia="Times New Roman" w:hAnsi="Arial" w:cs="Arial"/>
                <w:color w:val="000000"/>
                <w:sz w:val="20"/>
                <w:szCs w:val="20"/>
              </w:rPr>
              <w:lastRenderedPageBreak/>
              <w:t>however this trend was homogenized after 11 days.</w:t>
            </w:r>
          </w:p>
        </w:tc>
        <w:tc>
          <w:tcPr>
            <w:tcW w:w="1157" w:type="dxa"/>
            <w:tcBorders>
              <w:top w:val="nil"/>
              <w:left w:val="nil"/>
              <w:bottom w:val="single" w:sz="4" w:space="0" w:color="auto"/>
              <w:right w:val="single" w:sz="4" w:space="0" w:color="auto"/>
            </w:tcBorders>
            <w:shd w:val="clear" w:color="auto" w:fill="auto"/>
            <w:vAlign w:val="center"/>
            <w:hideMark/>
          </w:tcPr>
          <w:p w14:paraId="2008997C" w14:textId="77777777" w:rsidR="006341B9" w:rsidRPr="00504D41" w:rsidRDefault="006341B9" w:rsidP="006D54C2">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lastRenderedPageBreak/>
              <w:t> </w:t>
            </w:r>
            <w:r w:rsidR="006D54C2" w:rsidRPr="00504D41">
              <w:rPr>
                <w:rFonts w:ascii="Arial" w:hAnsi="Arial" w:cs="Arial"/>
                <w:noProof/>
                <w:sz w:val="20"/>
                <w:szCs w:val="20"/>
                <w:vertAlign w:val="superscript"/>
              </w:rPr>
              <w:t>52</w:t>
            </w:r>
          </w:p>
        </w:tc>
      </w:tr>
      <w:tr w:rsidR="00CD5AFE" w:rsidRPr="00504D41" w14:paraId="31E0FDDF" w14:textId="77777777" w:rsidTr="00DD0F38">
        <w:trPr>
          <w:trHeight w:val="1440"/>
          <w:jc w:val="center"/>
        </w:trPr>
        <w:tc>
          <w:tcPr>
            <w:tcW w:w="1795" w:type="dxa"/>
            <w:tcBorders>
              <w:top w:val="nil"/>
              <w:left w:val="single" w:sz="4" w:space="0" w:color="auto"/>
              <w:bottom w:val="single" w:sz="4" w:space="0" w:color="auto"/>
              <w:right w:val="single" w:sz="4" w:space="0" w:color="auto"/>
            </w:tcBorders>
            <w:shd w:val="clear" w:color="auto" w:fill="auto"/>
            <w:vAlign w:val="center"/>
            <w:hideMark/>
          </w:tcPr>
          <w:p w14:paraId="45EDD549" w14:textId="77777777" w:rsidR="006341B9" w:rsidRPr="00504D41" w:rsidRDefault="006341B9" w:rsidP="006341B9">
            <w:pPr>
              <w:spacing w:after="0" w:line="240" w:lineRule="auto"/>
              <w:rPr>
                <w:rFonts w:ascii="Arial" w:eastAsia="Times New Roman" w:hAnsi="Arial" w:cs="Arial"/>
                <w:i/>
                <w:iCs/>
                <w:color w:val="000000"/>
                <w:sz w:val="20"/>
                <w:szCs w:val="20"/>
              </w:rPr>
            </w:pPr>
            <w:r w:rsidRPr="00504D41">
              <w:rPr>
                <w:rFonts w:ascii="Arial" w:eastAsia="Times New Roman" w:hAnsi="Arial" w:cs="Arial"/>
                <w:color w:val="000000"/>
                <w:sz w:val="20"/>
                <w:szCs w:val="20"/>
              </w:rPr>
              <w:lastRenderedPageBreak/>
              <w:t>PGPB</w:t>
            </w:r>
            <w:r w:rsidRPr="00504D41">
              <w:rPr>
                <w:rFonts w:ascii="Arial" w:eastAsia="Times New Roman" w:hAnsi="Arial" w:cs="Arial"/>
                <w:i/>
                <w:iCs/>
                <w:color w:val="000000"/>
                <w:sz w:val="20"/>
                <w:szCs w:val="20"/>
              </w:rPr>
              <w:t xml:space="preserve"> Azospirillum brasilense Cd (ATCC 29710)</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14:paraId="501C21FE"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Alginate</w:t>
            </w:r>
          </w:p>
        </w:tc>
        <w:tc>
          <w:tcPr>
            <w:tcW w:w="1170" w:type="dxa"/>
            <w:tcBorders>
              <w:top w:val="nil"/>
              <w:left w:val="nil"/>
              <w:bottom w:val="single" w:sz="4" w:space="0" w:color="auto"/>
              <w:right w:val="single" w:sz="4" w:space="0" w:color="auto"/>
            </w:tcBorders>
            <w:shd w:val="clear" w:color="auto" w:fill="auto"/>
            <w:vAlign w:val="center"/>
            <w:hideMark/>
          </w:tcPr>
          <w:p w14:paraId="6250EA42"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sz w:val="20"/>
                <w:szCs w:val="20"/>
              </w:rPr>
              <w:t>wheat (</w:t>
            </w:r>
            <w:r w:rsidRPr="00504D41">
              <w:rPr>
                <w:rFonts w:ascii="Arial" w:eastAsia="Times New Roman" w:hAnsi="Arial" w:cs="Arial"/>
                <w:i/>
                <w:iCs/>
                <w:sz w:val="20"/>
                <w:szCs w:val="20"/>
              </w:rPr>
              <w:t>Triticum</w:t>
            </w:r>
            <w:r w:rsidRPr="00504D41">
              <w:rPr>
                <w:rFonts w:ascii="Arial" w:eastAsia="Times New Roman" w:hAnsi="Arial" w:cs="Arial"/>
                <w:sz w:val="20"/>
                <w:szCs w:val="20"/>
              </w:rPr>
              <w:t>) and tomato (</w:t>
            </w:r>
            <w:r w:rsidRPr="00504D41">
              <w:rPr>
                <w:rFonts w:ascii="Arial" w:eastAsia="Times New Roman" w:hAnsi="Arial" w:cs="Arial"/>
                <w:i/>
                <w:iCs/>
                <w:sz w:val="20"/>
                <w:szCs w:val="20"/>
              </w:rPr>
              <w:t>Solanum lycopersicum</w:t>
            </w:r>
            <w:r w:rsidRPr="00504D41">
              <w:rPr>
                <w:rFonts w:ascii="Arial" w:eastAsia="Times New Roman" w:hAnsi="Arial" w:cs="Arial"/>
                <w:sz w:val="20"/>
                <w:szCs w:val="20"/>
              </w:rPr>
              <w:t>)</w:t>
            </w:r>
          </w:p>
        </w:tc>
        <w:tc>
          <w:tcPr>
            <w:tcW w:w="1890" w:type="dxa"/>
            <w:tcBorders>
              <w:top w:val="nil"/>
              <w:left w:val="nil"/>
              <w:bottom w:val="single" w:sz="4" w:space="0" w:color="auto"/>
              <w:right w:val="single" w:sz="4" w:space="0" w:color="auto"/>
            </w:tcBorders>
            <w:shd w:val="clear" w:color="auto" w:fill="auto"/>
            <w:vAlign w:val="center"/>
            <w:hideMark/>
          </w:tcPr>
          <w:p w14:paraId="5537CFC6"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maximum 10</w:t>
            </w:r>
            <w:r w:rsidRPr="00504D41">
              <w:rPr>
                <w:rFonts w:ascii="Arial" w:eastAsia="Times New Roman" w:hAnsi="Arial" w:cs="Arial"/>
                <w:color w:val="000000"/>
                <w:sz w:val="20"/>
                <w:szCs w:val="20"/>
                <w:vertAlign w:val="superscript"/>
              </w:rPr>
              <w:t xml:space="preserve">5 </w:t>
            </w:r>
            <w:r w:rsidRPr="00504D41">
              <w:rPr>
                <w:rFonts w:ascii="Arial" w:eastAsia="Times New Roman" w:hAnsi="Arial" w:cs="Arial"/>
                <w:color w:val="000000"/>
                <w:sz w:val="20"/>
                <w:szCs w:val="20"/>
              </w:rPr>
              <w:t>CFU g</w:t>
            </w:r>
            <w:r w:rsidRPr="00504D41">
              <w:rPr>
                <w:rFonts w:ascii="Arial" w:eastAsia="Times New Roman" w:hAnsi="Arial" w:cs="Arial"/>
                <w:color w:val="000000"/>
                <w:sz w:val="20"/>
                <w:szCs w:val="20"/>
                <w:vertAlign w:val="superscript"/>
              </w:rPr>
              <w:t>–1</w:t>
            </w:r>
            <w:r w:rsidRPr="00504D41">
              <w:rPr>
                <w:rFonts w:ascii="Arial" w:eastAsia="Times New Roman" w:hAnsi="Arial" w:cs="Arial"/>
                <w:color w:val="000000"/>
                <w:sz w:val="20"/>
                <w:szCs w:val="20"/>
              </w:rPr>
              <w:t xml:space="preserve"> inoculant bacterial release after 10 days of storage at 4⁰C</w:t>
            </w:r>
          </w:p>
        </w:tc>
        <w:tc>
          <w:tcPr>
            <w:tcW w:w="2528" w:type="dxa"/>
            <w:tcBorders>
              <w:top w:val="nil"/>
              <w:left w:val="nil"/>
              <w:bottom w:val="single" w:sz="4" w:space="0" w:color="auto"/>
              <w:right w:val="single" w:sz="4" w:space="0" w:color="auto"/>
            </w:tcBorders>
            <w:shd w:val="clear" w:color="auto" w:fill="auto"/>
            <w:vAlign w:val="center"/>
            <w:hideMark/>
          </w:tcPr>
          <w:p w14:paraId="592ACB0D"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Pot trials</w:t>
            </w:r>
            <w:r w:rsidRPr="00504D41">
              <w:rPr>
                <w:rFonts w:ascii="Arial" w:eastAsia="Times New Roman" w:hAnsi="Arial" w:cs="Arial"/>
                <w:color w:val="000000"/>
                <w:sz w:val="20"/>
                <w:szCs w:val="20"/>
              </w:rPr>
              <w:br/>
              <w:t>Significant improvement in plant height and root and leaf dry mass compared to controls.</w:t>
            </w:r>
          </w:p>
        </w:tc>
        <w:tc>
          <w:tcPr>
            <w:tcW w:w="1157" w:type="dxa"/>
            <w:tcBorders>
              <w:top w:val="nil"/>
              <w:left w:val="nil"/>
              <w:bottom w:val="single" w:sz="4" w:space="0" w:color="auto"/>
              <w:right w:val="single" w:sz="4" w:space="0" w:color="auto"/>
            </w:tcBorders>
            <w:shd w:val="clear" w:color="auto" w:fill="auto"/>
            <w:vAlign w:val="center"/>
            <w:hideMark/>
          </w:tcPr>
          <w:p w14:paraId="59BC8FAE" w14:textId="77777777" w:rsidR="006341B9" w:rsidRPr="00504D41" w:rsidRDefault="006341B9" w:rsidP="006D54C2">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 </w:t>
            </w:r>
            <w:r w:rsidR="006D54C2" w:rsidRPr="00504D41">
              <w:rPr>
                <w:rFonts w:ascii="Arial" w:hAnsi="Arial" w:cs="Arial"/>
                <w:noProof/>
                <w:sz w:val="20"/>
                <w:szCs w:val="20"/>
                <w:vertAlign w:val="superscript"/>
              </w:rPr>
              <w:t>53</w:t>
            </w:r>
          </w:p>
        </w:tc>
      </w:tr>
      <w:tr w:rsidR="00CD5AFE" w:rsidRPr="00504D41" w14:paraId="246568DF" w14:textId="77777777" w:rsidTr="00DD0F38">
        <w:trPr>
          <w:trHeight w:val="1455"/>
          <w:jc w:val="center"/>
        </w:trPr>
        <w:tc>
          <w:tcPr>
            <w:tcW w:w="1795" w:type="dxa"/>
            <w:tcBorders>
              <w:top w:val="nil"/>
              <w:left w:val="single" w:sz="4" w:space="0" w:color="auto"/>
              <w:bottom w:val="single" w:sz="4" w:space="0" w:color="auto"/>
              <w:right w:val="single" w:sz="4" w:space="0" w:color="auto"/>
            </w:tcBorders>
            <w:shd w:val="clear" w:color="auto" w:fill="auto"/>
            <w:vAlign w:val="center"/>
            <w:hideMark/>
          </w:tcPr>
          <w:p w14:paraId="1F7830ED"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Fungi</w:t>
            </w:r>
            <w:r w:rsidRPr="00504D41">
              <w:rPr>
                <w:rFonts w:ascii="Arial" w:eastAsia="Times New Roman" w:hAnsi="Arial" w:cs="Arial"/>
                <w:color w:val="000000"/>
                <w:sz w:val="20"/>
                <w:szCs w:val="20"/>
              </w:rPr>
              <w:br/>
            </w:r>
            <w:r w:rsidRPr="00504D41">
              <w:rPr>
                <w:rFonts w:ascii="Arial" w:eastAsia="Times New Roman" w:hAnsi="Arial" w:cs="Arial"/>
                <w:i/>
                <w:iCs/>
                <w:color w:val="000000"/>
                <w:sz w:val="20"/>
                <w:szCs w:val="20"/>
              </w:rPr>
              <w:t>Trichoderma spp.</w:t>
            </w:r>
          </w:p>
        </w:tc>
        <w:tc>
          <w:tcPr>
            <w:tcW w:w="1440" w:type="dxa"/>
            <w:tcBorders>
              <w:top w:val="nil"/>
              <w:left w:val="nil"/>
              <w:bottom w:val="single" w:sz="4" w:space="0" w:color="auto"/>
              <w:right w:val="single" w:sz="4" w:space="0" w:color="auto"/>
            </w:tcBorders>
            <w:shd w:val="clear" w:color="auto" w:fill="auto"/>
            <w:vAlign w:val="center"/>
            <w:hideMark/>
          </w:tcPr>
          <w:p w14:paraId="60F9B090"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Chitosan/PEG blend</w:t>
            </w:r>
          </w:p>
        </w:tc>
        <w:tc>
          <w:tcPr>
            <w:tcW w:w="1170" w:type="dxa"/>
            <w:tcBorders>
              <w:top w:val="nil"/>
              <w:left w:val="nil"/>
              <w:bottom w:val="single" w:sz="4" w:space="0" w:color="auto"/>
              <w:right w:val="single" w:sz="4" w:space="0" w:color="auto"/>
            </w:tcBorders>
            <w:shd w:val="clear" w:color="auto" w:fill="auto"/>
            <w:vAlign w:val="center"/>
            <w:hideMark/>
          </w:tcPr>
          <w:p w14:paraId="65F7748E"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castor (</w:t>
            </w:r>
            <w:r w:rsidRPr="00504D41">
              <w:rPr>
                <w:rFonts w:ascii="Arial" w:eastAsia="Times New Roman" w:hAnsi="Arial" w:cs="Arial"/>
                <w:i/>
                <w:iCs/>
                <w:color w:val="000000"/>
                <w:sz w:val="20"/>
                <w:szCs w:val="20"/>
              </w:rPr>
              <w:t>Ricinus communis L.</w:t>
            </w:r>
            <w:r w:rsidRPr="00504D41">
              <w:rPr>
                <w:rFonts w:ascii="Arial" w:eastAsia="Times New Roman" w:hAnsi="Arial" w:cs="Arial"/>
                <w:color w:val="000000"/>
                <w:sz w:val="20"/>
                <w:szCs w:val="20"/>
              </w:rPr>
              <w:t>)</w:t>
            </w:r>
          </w:p>
        </w:tc>
        <w:tc>
          <w:tcPr>
            <w:tcW w:w="1890" w:type="dxa"/>
            <w:tcBorders>
              <w:top w:val="nil"/>
              <w:left w:val="nil"/>
              <w:bottom w:val="single" w:sz="4" w:space="0" w:color="auto"/>
              <w:right w:val="single" w:sz="4" w:space="0" w:color="auto"/>
            </w:tcBorders>
            <w:shd w:val="clear" w:color="auto" w:fill="auto"/>
            <w:vAlign w:val="center"/>
            <w:hideMark/>
          </w:tcPr>
          <w:p w14:paraId="613F492B"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10</w:t>
            </w:r>
            <w:r w:rsidRPr="00504D41">
              <w:rPr>
                <w:rFonts w:ascii="Arial" w:eastAsia="Times New Roman" w:hAnsi="Arial" w:cs="Arial"/>
                <w:color w:val="2E2E2E"/>
                <w:sz w:val="20"/>
                <w:szCs w:val="20"/>
                <w:vertAlign w:val="superscript"/>
              </w:rPr>
              <w:t>8</w:t>
            </w:r>
            <w:r w:rsidRPr="00504D41">
              <w:rPr>
                <w:rFonts w:ascii="Arial" w:eastAsia="Times New Roman" w:hAnsi="Arial" w:cs="Arial"/>
                <w:color w:val="2E2E2E"/>
                <w:sz w:val="20"/>
                <w:szCs w:val="20"/>
              </w:rPr>
              <w:t>–10</w:t>
            </w:r>
            <w:r w:rsidRPr="00504D41">
              <w:rPr>
                <w:rFonts w:ascii="Arial" w:eastAsia="Times New Roman" w:hAnsi="Arial" w:cs="Arial"/>
                <w:color w:val="2E2E2E"/>
                <w:sz w:val="20"/>
                <w:szCs w:val="20"/>
                <w:vertAlign w:val="superscript"/>
              </w:rPr>
              <w:t>10</w:t>
            </w:r>
            <w:r w:rsidRPr="00504D41">
              <w:rPr>
                <w:rFonts w:ascii="Arial" w:eastAsia="Times New Roman" w:hAnsi="Arial" w:cs="Arial"/>
                <w:color w:val="2E2E2E"/>
                <w:sz w:val="20"/>
                <w:szCs w:val="20"/>
              </w:rPr>
              <w:t> spores/ml blend</w:t>
            </w:r>
            <w:r w:rsidRPr="00504D41">
              <w:rPr>
                <w:rFonts w:ascii="Arial" w:eastAsia="Times New Roman" w:hAnsi="Arial" w:cs="Arial"/>
                <w:color w:val="000000"/>
                <w:sz w:val="20"/>
                <w:szCs w:val="20"/>
              </w:rPr>
              <w:t xml:space="preserve"> after 3 months of storage at room temperature</w:t>
            </w:r>
          </w:p>
        </w:tc>
        <w:tc>
          <w:tcPr>
            <w:tcW w:w="2528" w:type="dxa"/>
            <w:tcBorders>
              <w:top w:val="nil"/>
              <w:left w:val="nil"/>
              <w:bottom w:val="single" w:sz="4" w:space="0" w:color="auto"/>
              <w:right w:val="single" w:sz="4" w:space="0" w:color="auto"/>
            </w:tcBorders>
            <w:shd w:val="clear" w:color="auto" w:fill="auto"/>
            <w:vAlign w:val="center"/>
            <w:hideMark/>
          </w:tcPr>
          <w:p w14:paraId="53E6F1CD" w14:textId="77777777" w:rsidR="006341B9" w:rsidRPr="00504D41" w:rsidRDefault="006341B9" w:rsidP="00C072C7">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Germination assay.</w:t>
            </w:r>
            <w:r w:rsidRPr="00504D41">
              <w:rPr>
                <w:rFonts w:ascii="Arial" w:eastAsia="Times New Roman" w:hAnsi="Arial" w:cs="Arial"/>
                <w:color w:val="000000"/>
                <w:sz w:val="20"/>
                <w:szCs w:val="20"/>
              </w:rPr>
              <w:br/>
              <w:t>Significant improvements in seedling germination, vigor index, shoot and root length were reported compared to untreated controls.</w:t>
            </w:r>
          </w:p>
        </w:tc>
        <w:tc>
          <w:tcPr>
            <w:tcW w:w="1157" w:type="dxa"/>
            <w:tcBorders>
              <w:top w:val="nil"/>
              <w:left w:val="nil"/>
              <w:bottom w:val="single" w:sz="4" w:space="0" w:color="auto"/>
              <w:right w:val="single" w:sz="4" w:space="0" w:color="auto"/>
            </w:tcBorders>
            <w:shd w:val="clear" w:color="auto" w:fill="auto"/>
            <w:vAlign w:val="center"/>
            <w:hideMark/>
          </w:tcPr>
          <w:p w14:paraId="5DD736FD" w14:textId="77777777" w:rsidR="006341B9" w:rsidRPr="00504D41" w:rsidRDefault="006341B9" w:rsidP="006D54C2">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 </w:t>
            </w:r>
            <w:r w:rsidR="006D54C2" w:rsidRPr="00504D41">
              <w:rPr>
                <w:rFonts w:ascii="Arial" w:hAnsi="Arial" w:cs="Arial"/>
                <w:noProof/>
                <w:sz w:val="20"/>
                <w:szCs w:val="20"/>
                <w:vertAlign w:val="superscript"/>
              </w:rPr>
              <w:t>54</w:t>
            </w:r>
          </w:p>
        </w:tc>
      </w:tr>
      <w:tr w:rsidR="00CD5AFE" w:rsidRPr="00504D41" w14:paraId="1A3C9DDA" w14:textId="77777777" w:rsidTr="00DD0F38">
        <w:trPr>
          <w:trHeight w:val="1755"/>
          <w:jc w:val="center"/>
        </w:trPr>
        <w:tc>
          <w:tcPr>
            <w:tcW w:w="1795" w:type="dxa"/>
            <w:tcBorders>
              <w:top w:val="nil"/>
              <w:left w:val="single" w:sz="4" w:space="0" w:color="auto"/>
              <w:bottom w:val="single" w:sz="4" w:space="0" w:color="auto"/>
              <w:right w:val="single" w:sz="4" w:space="0" w:color="auto"/>
            </w:tcBorders>
            <w:shd w:val="clear" w:color="auto" w:fill="auto"/>
            <w:vAlign w:val="center"/>
            <w:hideMark/>
          </w:tcPr>
          <w:p w14:paraId="6174E822"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 xml:space="preserve">PGPB </w:t>
            </w:r>
            <w:r w:rsidRPr="00504D41">
              <w:rPr>
                <w:rFonts w:ascii="Arial" w:eastAsia="Times New Roman" w:hAnsi="Arial" w:cs="Arial"/>
                <w:i/>
                <w:iCs/>
                <w:color w:val="000000"/>
                <w:sz w:val="20"/>
                <w:szCs w:val="20"/>
              </w:rPr>
              <w:t>Pseudomonas libanensis</w:t>
            </w:r>
          </w:p>
        </w:tc>
        <w:tc>
          <w:tcPr>
            <w:tcW w:w="1440" w:type="dxa"/>
            <w:tcBorders>
              <w:top w:val="nil"/>
              <w:left w:val="nil"/>
              <w:bottom w:val="single" w:sz="4" w:space="0" w:color="auto"/>
              <w:right w:val="single" w:sz="4" w:space="0" w:color="auto"/>
            </w:tcBorders>
            <w:shd w:val="clear" w:color="auto" w:fill="auto"/>
            <w:vAlign w:val="center"/>
            <w:hideMark/>
          </w:tcPr>
          <w:p w14:paraId="5CFA583C"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Pyrovac and Dynamotive Biochar</w:t>
            </w:r>
          </w:p>
        </w:tc>
        <w:tc>
          <w:tcPr>
            <w:tcW w:w="1170" w:type="dxa"/>
            <w:tcBorders>
              <w:top w:val="nil"/>
              <w:left w:val="nil"/>
              <w:bottom w:val="single" w:sz="4" w:space="0" w:color="auto"/>
              <w:right w:val="single" w:sz="4" w:space="0" w:color="auto"/>
            </w:tcBorders>
            <w:shd w:val="clear" w:color="auto" w:fill="auto"/>
            <w:vAlign w:val="center"/>
            <w:hideMark/>
          </w:tcPr>
          <w:p w14:paraId="0B17E79E"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sz w:val="20"/>
                <w:szCs w:val="20"/>
              </w:rPr>
              <w:t>Corn (</w:t>
            </w:r>
            <w:r w:rsidRPr="00504D41">
              <w:rPr>
                <w:rFonts w:ascii="Arial" w:eastAsia="Times New Roman" w:hAnsi="Arial" w:cs="Arial"/>
                <w:i/>
                <w:iCs/>
                <w:sz w:val="20"/>
                <w:szCs w:val="20"/>
              </w:rPr>
              <w:t>Zea mays</w:t>
            </w:r>
            <w:r w:rsidRPr="00504D41">
              <w:rPr>
                <w:rFonts w:ascii="Arial" w:eastAsia="Times New Roman" w:hAnsi="Arial" w:cs="Arial"/>
                <w:sz w:val="20"/>
                <w:szCs w:val="20"/>
              </w:rPr>
              <w:t>)</w:t>
            </w:r>
          </w:p>
        </w:tc>
        <w:tc>
          <w:tcPr>
            <w:tcW w:w="1890" w:type="dxa"/>
            <w:tcBorders>
              <w:top w:val="nil"/>
              <w:left w:val="nil"/>
              <w:bottom w:val="single" w:sz="4" w:space="0" w:color="auto"/>
              <w:right w:val="single" w:sz="4" w:space="0" w:color="auto"/>
            </w:tcBorders>
            <w:shd w:val="clear" w:color="auto" w:fill="auto"/>
            <w:vAlign w:val="center"/>
            <w:hideMark/>
          </w:tcPr>
          <w:p w14:paraId="2F1D4881"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Maximum count of 1.73*10</w:t>
            </w:r>
            <w:r w:rsidRPr="00504D41">
              <w:rPr>
                <w:rFonts w:ascii="Arial" w:eastAsia="Times New Roman" w:hAnsi="Arial" w:cs="Arial"/>
                <w:color w:val="000000"/>
                <w:sz w:val="20"/>
                <w:szCs w:val="20"/>
                <w:vertAlign w:val="superscript"/>
              </w:rPr>
              <w:t>3</w:t>
            </w:r>
            <w:r w:rsidRPr="00504D41">
              <w:rPr>
                <w:rFonts w:ascii="Arial" w:eastAsia="Times New Roman" w:hAnsi="Arial" w:cs="Arial"/>
                <w:color w:val="000000"/>
                <w:sz w:val="20"/>
                <w:szCs w:val="20"/>
              </w:rPr>
              <w:t>CFU/ml biochar inoculant at 4⁰C storage temperature</w:t>
            </w:r>
          </w:p>
        </w:tc>
        <w:tc>
          <w:tcPr>
            <w:tcW w:w="2528" w:type="dxa"/>
            <w:tcBorders>
              <w:top w:val="nil"/>
              <w:left w:val="nil"/>
              <w:bottom w:val="single" w:sz="4" w:space="0" w:color="auto"/>
              <w:right w:val="single" w:sz="4" w:space="0" w:color="auto"/>
            </w:tcBorders>
            <w:shd w:val="clear" w:color="auto" w:fill="auto"/>
            <w:vAlign w:val="center"/>
            <w:hideMark/>
          </w:tcPr>
          <w:p w14:paraId="117347DF"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Greenhouse trials.</w:t>
            </w:r>
            <w:r w:rsidRPr="00504D41">
              <w:rPr>
                <w:rFonts w:ascii="Arial" w:eastAsia="Times New Roman" w:hAnsi="Arial" w:cs="Arial"/>
                <w:color w:val="000000"/>
                <w:sz w:val="20"/>
                <w:szCs w:val="20"/>
              </w:rPr>
              <w:br/>
              <w:t xml:space="preserve">Biochar and PGPB combination did not significantly improve growth characteristics. Only significant improvement in seedling root length </w:t>
            </w:r>
            <w:r w:rsidR="00C072C7" w:rsidRPr="00504D41">
              <w:rPr>
                <w:rFonts w:ascii="Arial" w:eastAsia="Times New Roman" w:hAnsi="Arial" w:cs="Arial"/>
                <w:color w:val="000000"/>
                <w:sz w:val="20"/>
                <w:szCs w:val="20"/>
              </w:rPr>
              <w:t xml:space="preserve">was </w:t>
            </w:r>
            <w:r w:rsidRPr="00504D41">
              <w:rPr>
                <w:rFonts w:ascii="Arial" w:eastAsia="Times New Roman" w:hAnsi="Arial" w:cs="Arial"/>
                <w:color w:val="000000"/>
                <w:sz w:val="20"/>
                <w:szCs w:val="20"/>
              </w:rPr>
              <w:t>reported.</w:t>
            </w:r>
          </w:p>
        </w:tc>
        <w:tc>
          <w:tcPr>
            <w:tcW w:w="1157" w:type="dxa"/>
            <w:tcBorders>
              <w:top w:val="nil"/>
              <w:left w:val="nil"/>
              <w:bottom w:val="single" w:sz="4" w:space="0" w:color="auto"/>
              <w:right w:val="single" w:sz="4" w:space="0" w:color="auto"/>
            </w:tcBorders>
            <w:shd w:val="clear" w:color="auto" w:fill="auto"/>
            <w:vAlign w:val="center"/>
            <w:hideMark/>
          </w:tcPr>
          <w:p w14:paraId="0E98E2AC" w14:textId="77777777" w:rsidR="006341B9" w:rsidRPr="00504D41" w:rsidRDefault="006341B9" w:rsidP="006D54C2">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 </w:t>
            </w:r>
            <w:r w:rsidR="006D54C2" w:rsidRPr="00504D41">
              <w:rPr>
                <w:rFonts w:ascii="Arial" w:hAnsi="Arial" w:cs="Arial"/>
                <w:noProof/>
                <w:sz w:val="20"/>
                <w:szCs w:val="20"/>
                <w:vertAlign w:val="superscript"/>
              </w:rPr>
              <w:t>55</w:t>
            </w:r>
          </w:p>
        </w:tc>
      </w:tr>
      <w:tr w:rsidR="00CD5AFE" w:rsidRPr="00504D41" w14:paraId="47A66470" w14:textId="77777777" w:rsidTr="00DD0F38">
        <w:trPr>
          <w:trHeight w:val="2016"/>
          <w:jc w:val="center"/>
        </w:trPr>
        <w:tc>
          <w:tcPr>
            <w:tcW w:w="1795" w:type="dxa"/>
            <w:tcBorders>
              <w:top w:val="nil"/>
              <w:left w:val="single" w:sz="4" w:space="0" w:color="auto"/>
              <w:bottom w:val="single" w:sz="4" w:space="0" w:color="auto"/>
              <w:right w:val="single" w:sz="4" w:space="0" w:color="auto"/>
            </w:tcBorders>
            <w:shd w:val="clear" w:color="auto" w:fill="auto"/>
            <w:vAlign w:val="center"/>
            <w:hideMark/>
          </w:tcPr>
          <w:p w14:paraId="228084F8"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 xml:space="preserve">PGPR </w:t>
            </w:r>
            <w:r w:rsidRPr="00504D41">
              <w:rPr>
                <w:rFonts w:ascii="Arial" w:eastAsia="Times New Roman" w:hAnsi="Arial" w:cs="Arial"/>
                <w:i/>
                <w:iCs/>
                <w:color w:val="000000"/>
                <w:sz w:val="20"/>
                <w:szCs w:val="20"/>
              </w:rPr>
              <w:t>Burkholderia sp. strain L2</w:t>
            </w:r>
          </w:p>
        </w:tc>
        <w:tc>
          <w:tcPr>
            <w:tcW w:w="1440" w:type="dxa"/>
            <w:tcBorders>
              <w:top w:val="nil"/>
              <w:left w:val="nil"/>
              <w:bottom w:val="single" w:sz="4" w:space="0" w:color="auto"/>
              <w:right w:val="single" w:sz="4" w:space="0" w:color="auto"/>
            </w:tcBorders>
            <w:shd w:val="clear" w:color="auto" w:fill="auto"/>
            <w:vAlign w:val="center"/>
            <w:hideMark/>
          </w:tcPr>
          <w:p w14:paraId="3779F097"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Biochar</w:t>
            </w:r>
          </w:p>
        </w:tc>
        <w:tc>
          <w:tcPr>
            <w:tcW w:w="1170" w:type="dxa"/>
            <w:tcBorders>
              <w:top w:val="nil"/>
              <w:left w:val="nil"/>
              <w:bottom w:val="single" w:sz="4" w:space="0" w:color="auto"/>
              <w:right w:val="single" w:sz="4" w:space="0" w:color="auto"/>
            </w:tcBorders>
            <w:shd w:val="clear" w:color="auto" w:fill="auto"/>
            <w:vAlign w:val="center"/>
            <w:hideMark/>
          </w:tcPr>
          <w:p w14:paraId="5C0FAA2B"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tomato (</w:t>
            </w:r>
            <w:r w:rsidRPr="00504D41">
              <w:rPr>
                <w:rFonts w:ascii="Arial" w:eastAsia="Times New Roman" w:hAnsi="Arial" w:cs="Arial"/>
                <w:i/>
                <w:iCs/>
                <w:color w:val="000000"/>
                <w:sz w:val="20"/>
                <w:szCs w:val="20"/>
              </w:rPr>
              <w:t>Lycopersicon esculentum Mill.</w:t>
            </w:r>
            <w:r w:rsidRPr="00504D41">
              <w:rPr>
                <w:rFonts w:ascii="Arial" w:eastAsia="Times New Roman" w:hAnsi="Arial" w:cs="Arial"/>
                <w:color w:val="000000"/>
                <w:sz w:val="20"/>
                <w:szCs w:val="20"/>
              </w:rPr>
              <w:t>)</w:t>
            </w:r>
          </w:p>
        </w:tc>
        <w:tc>
          <w:tcPr>
            <w:tcW w:w="1890" w:type="dxa"/>
            <w:tcBorders>
              <w:top w:val="nil"/>
              <w:left w:val="nil"/>
              <w:bottom w:val="single" w:sz="4" w:space="0" w:color="auto"/>
              <w:right w:val="single" w:sz="4" w:space="0" w:color="auto"/>
            </w:tcBorders>
            <w:shd w:val="clear" w:color="auto" w:fill="auto"/>
            <w:vAlign w:val="center"/>
            <w:hideMark/>
          </w:tcPr>
          <w:p w14:paraId="6000213D"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10</w:t>
            </w:r>
            <w:r w:rsidRPr="00504D41">
              <w:rPr>
                <w:rFonts w:ascii="Arial" w:eastAsia="Times New Roman" w:hAnsi="Arial" w:cs="Arial"/>
                <w:color w:val="000000"/>
                <w:sz w:val="20"/>
                <w:szCs w:val="20"/>
                <w:vertAlign w:val="superscript"/>
              </w:rPr>
              <w:t>7</w:t>
            </w:r>
            <w:r w:rsidRPr="00504D41">
              <w:rPr>
                <w:rFonts w:ascii="Arial" w:eastAsia="Times New Roman" w:hAnsi="Arial" w:cs="Arial"/>
                <w:color w:val="000000"/>
                <w:sz w:val="20"/>
                <w:szCs w:val="20"/>
              </w:rPr>
              <w:t xml:space="preserve"> cfu g−1) at 240 days. Storage temperature not mentioned.</w:t>
            </w:r>
          </w:p>
        </w:tc>
        <w:tc>
          <w:tcPr>
            <w:tcW w:w="2528" w:type="dxa"/>
            <w:tcBorders>
              <w:top w:val="nil"/>
              <w:left w:val="nil"/>
              <w:bottom w:val="single" w:sz="4" w:space="0" w:color="auto"/>
              <w:right w:val="single" w:sz="4" w:space="0" w:color="auto"/>
            </w:tcBorders>
            <w:shd w:val="clear" w:color="auto" w:fill="auto"/>
            <w:vAlign w:val="center"/>
            <w:hideMark/>
          </w:tcPr>
          <w:p w14:paraId="00081767"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Pot trials</w:t>
            </w:r>
            <w:r w:rsidRPr="00504D41">
              <w:rPr>
                <w:rFonts w:ascii="Arial" w:eastAsia="Times New Roman" w:hAnsi="Arial" w:cs="Arial"/>
                <w:color w:val="000000"/>
                <w:sz w:val="20"/>
                <w:szCs w:val="20"/>
              </w:rPr>
              <w:br/>
              <w:t>Significant improvement in seed germination and biometric growth parameters compared to controls</w:t>
            </w:r>
          </w:p>
        </w:tc>
        <w:tc>
          <w:tcPr>
            <w:tcW w:w="1157" w:type="dxa"/>
            <w:tcBorders>
              <w:top w:val="nil"/>
              <w:left w:val="nil"/>
              <w:bottom w:val="single" w:sz="4" w:space="0" w:color="auto"/>
              <w:right w:val="single" w:sz="4" w:space="0" w:color="auto"/>
            </w:tcBorders>
            <w:shd w:val="clear" w:color="auto" w:fill="auto"/>
            <w:vAlign w:val="center"/>
            <w:hideMark/>
          </w:tcPr>
          <w:p w14:paraId="51766FA8" w14:textId="77777777" w:rsidR="006341B9" w:rsidRPr="00504D41" w:rsidRDefault="006341B9" w:rsidP="006D54C2">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 </w:t>
            </w:r>
            <w:r w:rsidR="006D54C2" w:rsidRPr="00504D41">
              <w:rPr>
                <w:rFonts w:ascii="Arial" w:hAnsi="Arial" w:cs="Arial"/>
                <w:noProof/>
                <w:sz w:val="20"/>
                <w:szCs w:val="20"/>
                <w:vertAlign w:val="superscript"/>
              </w:rPr>
              <w:t>56</w:t>
            </w:r>
          </w:p>
        </w:tc>
      </w:tr>
      <w:tr w:rsidR="00CD5AFE" w:rsidRPr="00504D41" w14:paraId="6BC10BBF" w14:textId="77777777" w:rsidTr="00DD0F38">
        <w:trPr>
          <w:trHeight w:val="1440"/>
          <w:jc w:val="center"/>
        </w:trPr>
        <w:tc>
          <w:tcPr>
            <w:tcW w:w="1795" w:type="dxa"/>
            <w:tcBorders>
              <w:top w:val="nil"/>
              <w:left w:val="single" w:sz="4" w:space="0" w:color="auto"/>
              <w:bottom w:val="single" w:sz="4" w:space="0" w:color="auto"/>
              <w:right w:val="single" w:sz="4" w:space="0" w:color="auto"/>
            </w:tcBorders>
            <w:shd w:val="clear" w:color="auto" w:fill="auto"/>
            <w:vAlign w:val="center"/>
            <w:hideMark/>
          </w:tcPr>
          <w:p w14:paraId="5567ED16"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 xml:space="preserve">PGPR </w:t>
            </w:r>
            <w:r w:rsidRPr="00504D41">
              <w:rPr>
                <w:rFonts w:ascii="Arial" w:eastAsia="Times New Roman" w:hAnsi="Arial" w:cs="Arial"/>
                <w:i/>
                <w:iCs/>
                <w:color w:val="000000"/>
                <w:sz w:val="20"/>
                <w:szCs w:val="20"/>
              </w:rPr>
              <w:t>Pantoea agglomerans</w:t>
            </w:r>
            <w:r w:rsidRPr="00504D41">
              <w:rPr>
                <w:rFonts w:ascii="Arial" w:eastAsia="Times New Roman" w:hAnsi="Arial" w:cs="Arial"/>
                <w:i/>
                <w:iCs/>
                <w:color w:val="202020"/>
                <w:sz w:val="20"/>
                <w:szCs w:val="20"/>
              </w:rPr>
              <w:t> ISIB55, Burkholderia caribensis ISIB40</w:t>
            </w:r>
          </w:p>
        </w:tc>
        <w:tc>
          <w:tcPr>
            <w:tcW w:w="1440" w:type="dxa"/>
            <w:tcBorders>
              <w:top w:val="nil"/>
              <w:left w:val="nil"/>
              <w:bottom w:val="single" w:sz="4" w:space="0" w:color="auto"/>
              <w:right w:val="single" w:sz="4" w:space="0" w:color="auto"/>
            </w:tcBorders>
            <w:shd w:val="clear" w:color="auto" w:fill="auto"/>
            <w:vAlign w:val="center"/>
            <w:hideMark/>
          </w:tcPr>
          <w:p w14:paraId="0EFF3B03"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Polyvinyl alcohol nanofibers</w:t>
            </w:r>
          </w:p>
        </w:tc>
        <w:tc>
          <w:tcPr>
            <w:tcW w:w="1170" w:type="dxa"/>
            <w:tcBorders>
              <w:top w:val="nil"/>
              <w:left w:val="nil"/>
              <w:bottom w:val="single" w:sz="4" w:space="0" w:color="auto"/>
              <w:right w:val="single" w:sz="4" w:space="0" w:color="auto"/>
            </w:tcBorders>
            <w:shd w:val="clear" w:color="auto" w:fill="auto"/>
            <w:vAlign w:val="center"/>
            <w:hideMark/>
          </w:tcPr>
          <w:p w14:paraId="7087A9A5"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Soybean (</w:t>
            </w:r>
            <w:r w:rsidRPr="00504D41">
              <w:rPr>
                <w:rFonts w:ascii="Arial" w:eastAsia="Times New Roman" w:hAnsi="Arial" w:cs="Arial"/>
                <w:i/>
                <w:iCs/>
                <w:color w:val="000000"/>
                <w:sz w:val="20"/>
                <w:szCs w:val="20"/>
              </w:rPr>
              <w:t>Glycine max L.</w:t>
            </w:r>
            <w:r w:rsidRPr="00504D41">
              <w:rPr>
                <w:rFonts w:ascii="Arial" w:eastAsia="Times New Roman" w:hAnsi="Arial" w:cs="Arial"/>
                <w:color w:val="000000"/>
                <w:sz w:val="20"/>
                <w:szCs w:val="20"/>
              </w:rPr>
              <w:t>)</w:t>
            </w:r>
          </w:p>
        </w:tc>
        <w:tc>
          <w:tcPr>
            <w:tcW w:w="1890" w:type="dxa"/>
            <w:tcBorders>
              <w:top w:val="nil"/>
              <w:left w:val="nil"/>
              <w:bottom w:val="single" w:sz="4" w:space="0" w:color="auto"/>
              <w:right w:val="single" w:sz="4" w:space="0" w:color="auto"/>
            </w:tcBorders>
            <w:shd w:val="clear" w:color="auto" w:fill="auto"/>
            <w:vAlign w:val="center"/>
            <w:hideMark/>
          </w:tcPr>
          <w:p w14:paraId="1F840AB1"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1.6*10</w:t>
            </w:r>
            <w:r w:rsidRPr="00504D41">
              <w:rPr>
                <w:rFonts w:ascii="Arial" w:eastAsia="Times New Roman" w:hAnsi="Arial" w:cs="Arial"/>
                <w:color w:val="000000"/>
                <w:sz w:val="20"/>
                <w:szCs w:val="20"/>
                <w:vertAlign w:val="superscript"/>
              </w:rPr>
              <w:t>4</w:t>
            </w:r>
            <w:r w:rsidRPr="00504D41">
              <w:rPr>
                <w:rFonts w:ascii="Arial" w:eastAsia="Times New Roman" w:hAnsi="Arial" w:cs="Arial"/>
                <w:color w:val="000000"/>
                <w:sz w:val="20"/>
                <w:szCs w:val="20"/>
              </w:rPr>
              <w:t xml:space="preserve"> CFU per seed after 30days of storage at room temperature.</w:t>
            </w:r>
          </w:p>
        </w:tc>
        <w:tc>
          <w:tcPr>
            <w:tcW w:w="2528" w:type="dxa"/>
            <w:tcBorders>
              <w:top w:val="nil"/>
              <w:left w:val="nil"/>
              <w:bottom w:val="single" w:sz="4" w:space="0" w:color="auto"/>
              <w:right w:val="single" w:sz="4" w:space="0" w:color="auto"/>
            </w:tcBorders>
            <w:shd w:val="clear" w:color="auto" w:fill="auto"/>
            <w:vAlign w:val="center"/>
            <w:hideMark/>
          </w:tcPr>
          <w:p w14:paraId="279AE392"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Greenhouse trials</w:t>
            </w:r>
            <w:r w:rsidRPr="00504D41">
              <w:rPr>
                <w:rFonts w:ascii="Arial" w:eastAsia="Times New Roman" w:hAnsi="Arial" w:cs="Arial"/>
                <w:color w:val="000000"/>
                <w:sz w:val="20"/>
                <w:szCs w:val="20"/>
              </w:rPr>
              <w:br/>
              <w:t>Significant improvement in seedling vigor index compared to controls.</w:t>
            </w:r>
          </w:p>
        </w:tc>
        <w:tc>
          <w:tcPr>
            <w:tcW w:w="1157" w:type="dxa"/>
            <w:tcBorders>
              <w:top w:val="nil"/>
              <w:left w:val="nil"/>
              <w:bottom w:val="single" w:sz="4" w:space="0" w:color="auto"/>
              <w:right w:val="single" w:sz="4" w:space="0" w:color="auto"/>
            </w:tcBorders>
            <w:shd w:val="clear" w:color="auto" w:fill="auto"/>
            <w:vAlign w:val="center"/>
            <w:hideMark/>
          </w:tcPr>
          <w:p w14:paraId="7C192583" w14:textId="77777777" w:rsidR="006341B9" w:rsidRPr="00504D41" w:rsidRDefault="006341B9" w:rsidP="006D54C2">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 </w:t>
            </w:r>
            <w:r w:rsidR="006D54C2" w:rsidRPr="00504D41">
              <w:rPr>
                <w:rFonts w:ascii="Arial" w:hAnsi="Arial" w:cs="Arial"/>
                <w:noProof/>
                <w:sz w:val="20"/>
                <w:szCs w:val="20"/>
                <w:shd w:val="clear" w:color="auto" w:fill="FFFFFF"/>
                <w:vertAlign w:val="superscript"/>
              </w:rPr>
              <w:t>57</w:t>
            </w:r>
          </w:p>
        </w:tc>
      </w:tr>
      <w:tr w:rsidR="00CD5AFE" w:rsidRPr="00504D41" w14:paraId="63861D7E" w14:textId="77777777" w:rsidTr="00DD0F38">
        <w:trPr>
          <w:trHeight w:val="1440"/>
          <w:jc w:val="center"/>
        </w:trPr>
        <w:tc>
          <w:tcPr>
            <w:tcW w:w="1795" w:type="dxa"/>
            <w:tcBorders>
              <w:top w:val="nil"/>
              <w:left w:val="single" w:sz="4" w:space="0" w:color="auto"/>
              <w:bottom w:val="single" w:sz="4" w:space="0" w:color="auto"/>
              <w:right w:val="single" w:sz="4" w:space="0" w:color="auto"/>
            </w:tcBorders>
            <w:shd w:val="clear" w:color="auto" w:fill="auto"/>
            <w:vAlign w:val="center"/>
            <w:hideMark/>
          </w:tcPr>
          <w:p w14:paraId="67EC93A6"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 xml:space="preserve">PGPB </w:t>
            </w:r>
            <w:r w:rsidRPr="00504D41">
              <w:rPr>
                <w:rFonts w:ascii="Arial" w:eastAsia="Times New Roman" w:hAnsi="Arial" w:cs="Arial"/>
                <w:i/>
                <w:iCs/>
                <w:color w:val="000000"/>
                <w:sz w:val="20"/>
                <w:szCs w:val="20"/>
              </w:rPr>
              <w:t>Bacillus subtilis NH-100, Seratia marcescens FA-4</w:t>
            </w:r>
          </w:p>
        </w:tc>
        <w:tc>
          <w:tcPr>
            <w:tcW w:w="1440" w:type="dxa"/>
            <w:tcBorders>
              <w:top w:val="nil"/>
              <w:left w:val="nil"/>
              <w:bottom w:val="single" w:sz="4" w:space="0" w:color="auto"/>
              <w:right w:val="single" w:sz="4" w:space="0" w:color="auto"/>
            </w:tcBorders>
            <w:shd w:val="clear" w:color="auto" w:fill="auto"/>
            <w:vAlign w:val="center"/>
            <w:hideMark/>
          </w:tcPr>
          <w:p w14:paraId="79E92B7B"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poly(vinyl alcohol) (PVA) and poly(vinylpyrrolidone) (PVP) nanofibers</w:t>
            </w:r>
          </w:p>
        </w:tc>
        <w:tc>
          <w:tcPr>
            <w:tcW w:w="1170" w:type="dxa"/>
            <w:tcBorders>
              <w:top w:val="nil"/>
              <w:left w:val="nil"/>
              <w:bottom w:val="single" w:sz="4" w:space="0" w:color="auto"/>
              <w:right w:val="single" w:sz="4" w:space="0" w:color="auto"/>
            </w:tcBorders>
            <w:shd w:val="clear" w:color="auto" w:fill="auto"/>
            <w:vAlign w:val="center"/>
            <w:hideMark/>
          </w:tcPr>
          <w:p w14:paraId="01360845"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Canola (</w:t>
            </w:r>
            <w:r w:rsidRPr="00504D41">
              <w:rPr>
                <w:rFonts w:ascii="Arial" w:eastAsia="Times New Roman" w:hAnsi="Arial" w:cs="Arial"/>
                <w:i/>
                <w:iCs/>
                <w:color w:val="000000"/>
                <w:sz w:val="20"/>
                <w:szCs w:val="20"/>
              </w:rPr>
              <w:t>Brassica napus</w:t>
            </w:r>
            <w:r w:rsidRPr="00504D41">
              <w:rPr>
                <w:rFonts w:ascii="Arial" w:eastAsia="Times New Roman" w:hAnsi="Arial" w:cs="Arial"/>
                <w:color w:val="000000"/>
                <w:sz w:val="20"/>
                <w:szCs w:val="20"/>
              </w:rPr>
              <w:t> L.)</w:t>
            </w:r>
          </w:p>
        </w:tc>
        <w:tc>
          <w:tcPr>
            <w:tcW w:w="1890" w:type="dxa"/>
            <w:tcBorders>
              <w:top w:val="nil"/>
              <w:left w:val="nil"/>
              <w:bottom w:val="single" w:sz="4" w:space="0" w:color="auto"/>
              <w:right w:val="single" w:sz="4" w:space="0" w:color="auto"/>
            </w:tcBorders>
            <w:shd w:val="clear" w:color="auto" w:fill="auto"/>
            <w:vAlign w:val="center"/>
            <w:hideMark/>
          </w:tcPr>
          <w:p w14:paraId="10E7F8D7"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1.3*10</w:t>
            </w:r>
            <w:r w:rsidRPr="00504D41">
              <w:rPr>
                <w:rFonts w:ascii="Arial" w:eastAsia="Times New Roman" w:hAnsi="Arial" w:cs="Arial"/>
                <w:color w:val="000000"/>
                <w:sz w:val="20"/>
                <w:szCs w:val="20"/>
                <w:vertAlign w:val="superscript"/>
              </w:rPr>
              <w:t>4</w:t>
            </w:r>
            <w:r w:rsidRPr="00504D41">
              <w:rPr>
                <w:rFonts w:ascii="Arial" w:eastAsia="Times New Roman" w:hAnsi="Arial" w:cs="Arial"/>
                <w:color w:val="000000"/>
                <w:sz w:val="20"/>
                <w:szCs w:val="20"/>
              </w:rPr>
              <w:t xml:space="preserve"> CFU/seed at the 25th day at room temperature.</w:t>
            </w:r>
          </w:p>
        </w:tc>
        <w:tc>
          <w:tcPr>
            <w:tcW w:w="2528" w:type="dxa"/>
            <w:tcBorders>
              <w:top w:val="nil"/>
              <w:left w:val="nil"/>
              <w:bottom w:val="single" w:sz="4" w:space="0" w:color="auto"/>
              <w:right w:val="single" w:sz="4" w:space="0" w:color="auto"/>
            </w:tcBorders>
            <w:shd w:val="clear" w:color="auto" w:fill="auto"/>
            <w:vAlign w:val="center"/>
            <w:hideMark/>
          </w:tcPr>
          <w:p w14:paraId="2E42054F" w14:textId="77777777" w:rsidR="006341B9" w:rsidRPr="00504D41" w:rsidRDefault="006341B9" w:rsidP="00765772">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Pot trials</w:t>
            </w:r>
            <w:r w:rsidRPr="00504D41">
              <w:rPr>
                <w:rFonts w:ascii="Arial" w:eastAsia="Times New Roman" w:hAnsi="Arial" w:cs="Arial"/>
                <w:color w:val="000000"/>
                <w:sz w:val="20"/>
                <w:szCs w:val="20"/>
              </w:rPr>
              <w:br/>
              <w:t>Improvements in seed germination,  root and shoot growth (weight and length), leaf area in addition to</w:t>
            </w:r>
            <w:r w:rsidRPr="00504D41">
              <w:rPr>
                <w:rFonts w:ascii="Arial" w:eastAsia="Times New Roman" w:hAnsi="Arial" w:cs="Arial"/>
                <w:color w:val="000000"/>
                <w:sz w:val="20"/>
                <w:szCs w:val="20"/>
              </w:rPr>
              <w:br/>
              <w:t xml:space="preserve">increasing soil pH and bioavailability of </w:t>
            </w:r>
            <w:r w:rsidR="00765772" w:rsidRPr="00504D41">
              <w:rPr>
                <w:rFonts w:ascii="Arial" w:eastAsia="Times New Roman" w:hAnsi="Arial" w:cs="Arial"/>
                <w:color w:val="000000"/>
                <w:sz w:val="20"/>
                <w:szCs w:val="20"/>
              </w:rPr>
              <w:t xml:space="preserve">zinc (Zn) </w:t>
            </w:r>
            <w:r w:rsidRPr="00504D41">
              <w:rPr>
                <w:rFonts w:ascii="Arial" w:eastAsia="Times New Roman" w:hAnsi="Arial" w:cs="Arial"/>
                <w:color w:val="000000"/>
                <w:sz w:val="20"/>
                <w:szCs w:val="20"/>
              </w:rPr>
              <w:t xml:space="preserve"> and </w:t>
            </w:r>
            <w:r w:rsidR="00765772" w:rsidRPr="00504D41">
              <w:rPr>
                <w:rFonts w:ascii="Arial" w:eastAsia="Times New Roman" w:hAnsi="Arial" w:cs="Arial"/>
                <w:color w:val="000000"/>
                <w:sz w:val="20"/>
                <w:szCs w:val="20"/>
              </w:rPr>
              <w:t>phosphorus (P)</w:t>
            </w:r>
            <w:r w:rsidRPr="00504D41">
              <w:rPr>
                <w:rFonts w:ascii="Arial" w:eastAsia="Times New Roman" w:hAnsi="Arial" w:cs="Arial"/>
                <w:color w:val="000000"/>
                <w:sz w:val="20"/>
                <w:szCs w:val="20"/>
              </w:rPr>
              <w:t>.</w:t>
            </w:r>
          </w:p>
        </w:tc>
        <w:tc>
          <w:tcPr>
            <w:tcW w:w="1157" w:type="dxa"/>
            <w:tcBorders>
              <w:top w:val="nil"/>
              <w:left w:val="nil"/>
              <w:bottom w:val="single" w:sz="4" w:space="0" w:color="auto"/>
              <w:right w:val="single" w:sz="4" w:space="0" w:color="auto"/>
            </w:tcBorders>
            <w:shd w:val="clear" w:color="auto" w:fill="auto"/>
            <w:vAlign w:val="center"/>
            <w:hideMark/>
          </w:tcPr>
          <w:p w14:paraId="35D26554" w14:textId="77777777" w:rsidR="006341B9" w:rsidRPr="00504D41" w:rsidRDefault="006341B9" w:rsidP="006D54C2">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 </w:t>
            </w:r>
            <w:r w:rsidR="006D54C2" w:rsidRPr="00504D41">
              <w:rPr>
                <w:rFonts w:ascii="Arial" w:hAnsi="Arial" w:cs="Arial"/>
                <w:noProof/>
                <w:sz w:val="20"/>
                <w:szCs w:val="20"/>
                <w:shd w:val="clear" w:color="auto" w:fill="FFFFFF"/>
                <w:vertAlign w:val="superscript"/>
              </w:rPr>
              <w:t>58</w:t>
            </w:r>
          </w:p>
        </w:tc>
      </w:tr>
      <w:tr w:rsidR="00CD5AFE" w:rsidRPr="00504D41" w14:paraId="1822F5A9" w14:textId="77777777" w:rsidTr="00DD0F38">
        <w:trPr>
          <w:trHeight w:val="960"/>
          <w:jc w:val="center"/>
        </w:trPr>
        <w:tc>
          <w:tcPr>
            <w:tcW w:w="1795" w:type="dxa"/>
            <w:tcBorders>
              <w:top w:val="nil"/>
              <w:left w:val="single" w:sz="4" w:space="0" w:color="auto"/>
              <w:bottom w:val="single" w:sz="4" w:space="0" w:color="auto"/>
              <w:right w:val="single" w:sz="4" w:space="0" w:color="auto"/>
            </w:tcBorders>
            <w:shd w:val="clear" w:color="auto" w:fill="auto"/>
            <w:vAlign w:val="center"/>
            <w:hideMark/>
          </w:tcPr>
          <w:p w14:paraId="2B26685B"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 xml:space="preserve">AMF </w:t>
            </w:r>
            <w:r w:rsidRPr="00504D41">
              <w:rPr>
                <w:rFonts w:ascii="Arial" w:eastAsia="Times New Roman" w:hAnsi="Arial" w:cs="Arial"/>
                <w:i/>
                <w:iCs/>
                <w:color w:val="000000"/>
                <w:sz w:val="20"/>
                <w:szCs w:val="20"/>
              </w:rPr>
              <w:t>Rhizophagus irregularis</w:t>
            </w:r>
          </w:p>
        </w:tc>
        <w:tc>
          <w:tcPr>
            <w:tcW w:w="1440" w:type="dxa"/>
            <w:tcBorders>
              <w:top w:val="nil"/>
              <w:left w:val="nil"/>
              <w:bottom w:val="single" w:sz="4" w:space="0" w:color="auto"/>
              <w:right w:val="single" w:sz="4" w:space="0" w:color="auto"/>
            </w:tcBorders>
            <w:shd w:val="clear" w:color="auto" w:fill="auto"/>
            <w:vAlign w:val="center"/>
            <w:hideMark/>
          </w:tcPr>
          <w:p w14:paraId="7B7E2F04"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poly(ethylene oxide) (PEO)</w:t>
            </w:r>
          </w:p>
        </w:tc>
        <w:tc>
          <w:tcPr>
            <w:tcW w:w="1170" w:type="dxa"/>
            <w:tcBorders>
              <w:top w:val="nil"/>
              <w:left w:val="nil"/>
              <w:bottom w:val="single" w:sz="4" w:space="0" w:color="auto"/>
              <w:right w:val="single" w:sz="4" w:space="0" w:color="auto"/>
            </w:tcBorders>
            <w:shd w:val="clear" w:color="auto" w:fill="auto"/>
            <w:vAlign w:val="center"/>
            <w:hideMark/>
          </w:tcPr>
          <w:p w14:paraId="32DEA2FE"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bean seeds (</w:t>
            </w:r>
            <w:r w:rsidRPr="00504D41">
              <w:rPr>
                <w:rFonts w:ascii="Arial" w:eastAsia="Times New Roman" w:hAnsi="Arial" w:cs="Arial"/>
                <w:i/>
                <w:iCs/>
                <w:color w:val="000000"/>
                <w:sz w:val="20"/>
                <w:szCs w:val="20"/>
              </w:rPr>
              <w:t xml:space="preserve">Phaseolus vulgaris </w:t>
            </w:r>
            <w:r w:rsidRPr="00504D41">
              <w:rPr>
                <w:rFonts w:ascii="Arial" w:eastAsia="Times New Roman" w:hAnsi="Arial" w:cs="Arial"/>
                <w:i/>
                <w:iCs/>
                <w:color w:val="000000"/>
                <w:sz w:val="20"/>
                <w:szCs w:val="20"/>
              </w:rPr>
              <w:lastRenderedPageBreak/>
              <w:t>L var. José Beta</w:t>
            </w:r>
            <w:r w:rsidRPr="00504D41">
              <w:rPr>
                <w:rFonts w:ascii="Arial" w:eastAsia="Times New Roman" w:hAnsi="Arial" w:cs="Arial"/>
                <w:color w:val="000000"/>
                <w:sz w:val="20"/>
                <w:szCs w:val="20"/>
              </w:rPr>
              <w:t>)</w:t>
            </w:r>
          </w:p>
        </w:tc>
        <w:tc>
          <w:tcPr>
            <w:tcW w:w="1890" w:type="dxa"/>
            <w:tcBorders>
              <w:top w:val="nil"/>
              <w:left w:val="nil"/>
              <w:bottom w:val="single" w:sz="4" w:space="0" w:color="auto"/>
              <w:right w:val="single" w:sz="4" w:space="0" w:color="auto"/>
            </w:tcBorders>
            <w:shd w:val="clear" w:color="auto" w:fill="auto"/>
            <w:vAlign w:val="center"/>
            <w:hideMark/>
          </w:tcPr>
          <w:p w14:paraId="221FAB8A"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lastRenderedPageBreak/>
              <w:t>not reported</w:t>
            </w:r>
          </w:p>
        </w:tc>
        <w:tc>
          <w:tcPr>
            <w:tcW w:w="2528" w:type="dxa"/>
            <w:tcBorders>
              <w:top w:val="nil"/>
              <w:left w:val="nil"/>
              <w:bottom w:val="single" w:sz="4" w:space="0" w:color="auto"/>
              <w:right w:val="single" w:sz="4" w:space="0" w:color="auto"/>
            </w:tcBorders>
            <w:shd w:val="clear" w:color="auto" w:fill="auto"/>
            <w:vAlign w:val="center"/>
            <w:hideMark/>
          </w:tcPr>
          <w:p w14:paraId="340488A0" w14:textId="77777777" w:rsidR="006341B9" w:rsidRPr="00504D41" w:rsidRDefault="006341B9" w:rsidP="00C072C7">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Pot trials.</w:t>
            </w:r>
            <w:r w:rsidRPr="00504D41">
              <w:rPr>
                <w:rFonts w:ascii="Arial" w:eastAsia="Times New Roman" w:hAnsi="Arial" w:cs="Arial"/>
                <w:color w:val="000000"/>
                <w:sz w:val="20"/>
                <w:szCs w:val="20"/>
              </w:rPr>
              <w:br/>
              <w:t>No signifi</w:t>
            </w:r>
            <w:r w:rsidR="00C072C7" w:rsidRPr="00504D41">
              <w:rPr>
                <w:rFonts w:ascii="Arial" w:eastAsia="Times New Roman" w:hAnsi="Arial" w:cs="Arial"/>
                <w:color w:val="000000"/>
                <w:sz w:val="20"/>
                <w:szCs w:val="20"/>
              </w:rPr>
              <w:t>c</w:t>
            </w:r>
            <w:r w:rsidRPr="00504D41">
              <w:rPr>
                <w:rFonts w:ascii="Arial" w:eastAsia="Times New Roman" w:hAnsi="Arial" w:cs="Arial"/>
                <w:color w:val="000000"/>
                <w:sz w:val="20"/>
                <w:szCs w:val="20"/>
              </w:rPr>
              <w:t xml:space="preserve">ant improvement in root and plant length </w:t>
            </w:r>
            <w:r w:rsidR="00C072C7" w:rsidRPr="00504D41">
              <w:rPr>
                <w:rFonts w:ascii="Arial" w:eastAsia="Times New Roman" w:hAnsi="Arial" w:cs="Arial"/>
                <w:color w:val="000000"/>
                <w:sz w:val="20"/>
                <w:szCs w:val="20"/>
              </w:rPr>
              <w:t xml:space="preserve">was </w:t>
            </w:r>
            <w:r w:rsidRPr="00504D41">
              <w:rPr>
                <w:rFonts w:ascii="Arial" w:eastAsia="Times New Roman" w:hAnsi="Arial" w:cs="Arial"/>
                <w:color w:val="000000"/>
                <w:sz w:val="20"/>
                <w:szCs w:val="20"/>
              </w:rPr>
              <w:lastRenderedPageBreak/>
              <w:t>observed but increased</w:t>
            </w:r>
            <w:r w:rsidR="00C072C7" w:rsidRPr="00504D41">
              <w:rPr>
                <w:rFonts w:ascii="Arial" w:eastAsia="Times New Roman" w:hAnsi="Arial" w:cs="Arial"/>
                <w:color w:val="000000"/>
                <w:sz w:val="20"/>
                <w:szCs w:val="20"/>
              </w:rPr>
              <w:t xml:space="preserve"> number of</w:t>
            </w:r>
            <w:r w:rsidRPr="00504D41">
              <w:rPr>
                <w:rFonts w:ascii="Arial" w:eastAsia="Times New Roman" w:hAnsi="Arial" w:cs="Arial"/>
                <w:color w:val="000000"/>
                <w:sz w:val="20"/>
                <w:szCs w:val="20"/>
              </w:rPr>
              <w:t xml:space="preserve"> flower buds </w:t>
            </w:r>
            <w:r w:rsidR="00C072C7" w:rsidRPr="00504D41">
              <w:rPr>
                <w:rFonts w:ascii="Arial" w:eastAsia="Times New Roman" w:hAnsi="Arial" w:cs="Arial"/>
                <w:color w:val="000000"/>
                <w:sz w:val="20"/>
                <w:szCs w:val="20"/>
              </w:rPr>
              <w:t xml:space="preserve">was </w:t>
            </w:r>
            <w:r w:rsidRPr="00504D41">
              <w:rPr>
                <w:rFonts w:ascii="Arial" w:eastAsia="Times New Roman" w:hAnsi="Arial" w:cs="Arial"/>
                <w:color w:val="000000"/>
                <w:sz w:val="20"/>
                <w:szCs w:val="20"/>
              </w:rPr>
              <w:t>reported.</w:t>
            </w:r>
          </w:p>
        </w:tc>
        <w:tc>
          <w:tcPr>
            <w:tcW w:w="1157" w:type="dxa"/>
            <w:tcBorders>
              <w:top w:val="nil"/>
              <w:left w:val="nil"/>
              <w:bottom w:val="single" w:sz="4" w:space="0" w:color="auto"/>
              <w:right w:val="single" w:sz="4" w:space="0" w:color="auto"/>
            </w:tcBorders>
            <w:shd w:val="clear" w:color="auto" w:fill="auto"/>
            <w:vAlign w:val="center"/>
            <w:hideMark/>
          </w:tcPr>
          <w:p w14:paraId="2CFA4482" w14:textId="77777777" w:rsidR="006341B9" w:rsidRPr="00504D41" w:rsidRDefault="006341B9" w:rsidP="006D54C2">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lastRenderedPageBreak/>
              <w:t> </w:t>
            </w:r>
            <w:r w:rsidR="006D54C2" w:rsidRPr="00504D41">
              <w:rPr>
                <w:rFonts w:ascii="Arial" w:hAnsi="Arial" w:cs="Arial"/>
                <w:noProof/>
                <w:sz w:val="20"/>
                <w:szCs w:val="20"/>
                <w:shd w:val="clear" w:color="auto" w:fill="FFFFFF"/>
                <w:vertAlign w:val="superscript"/>
              </w:rPr>
              <w:t>59</w:t>
            </w:r>
          </w:p>
        </w:tc>
      </w:tr>
      <w:tr w:rsidR="00CD5AFE" w:rsidRPr="00504D41" w14:paraId="75431796" w14:textId="77777777" w:rsidTr="00DD0F38">
        <w:trPr>
          <w:trHeight w:val="1200"/>
          <w:jc w:val="center"/>
        </w:trPr>
        <w:tc>
          <w:tcPr>
            <w:tcW w:w="1795" w:type="dxa"/>
            <w:tcBorders>
              <w:top w:val="nil"/>
              <w:left w:val="single" w:sz="4" w:space="0" w:color="auto"/>
              <w:bottom w:val="single" w:sz="4" w:space="0" w:color="auto"/>
              <w:right w:val="single" w:sz="4" w:space="0" w:color="auto"/>
            </w:tcBorders>
            <w:shd w:val="clear" w:color="auto" w:fill="auto"/>
            <w:vAlign w:val="center"/>
            <w:hideMark/>
          </w:tcPr>
          <w:p w14:paraId="10372459"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lastRenderedPageBreak/>
              <w:t xml:space="preserve">PGPR </w:t>
            </w:r>
            <w:r w:rsidRPr="00504D41">
              <w:rPr>
                <w:rFonts w:ascii="Arial" w:eastAsia="Times New Roman" w:hAnsi="Arial" w:cs="Arial"/>
                <w:i/>
                <w:iCs/>
                <w:color w:val="000000"/>
                <w:sz w:val="20"/>
                <w:szCs w:val="20"/>
              </w:rPr>
              <w:t>Bacillus pumilus TUAT1</w:t>
            </w:r>
          </w:p>
        </w:tc>
        <w:tc>
          <w:tcPr>
            <w:tcW w:w="1440" w:type="dxa"/>
            <w:tcBorders>
              <w:top w:val="nil"/>
              <w:left w:val="nil"/>
              <w:bottom w:val="single" w:sz="4" w:space="0" w:color="auto"/>
              <w:right w:val="single" w:sz="4" w:space="0" w:color="auto"/>
            </w:tcBorders>
            <w:shd w:val="clear" w:color="auto" w:fill="auto"/>
            <w:vAlign w:val="center"/>
            <w:hideMark/>
          </w:tcPr>
          <w:p w14:paraId="2E7A168B"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Calcium peroxide (CaO2), iron powder (Fe), and Benmoly (Mn + Fe)</w:t>
            </w:r>
          </w:p>
        </w:tc>
        <w:tc>
          <w:tcPr>
            <w:tcW w:w="1170" w:type="dxa"/>
            <w:tcBorders>
              <w:top w:val="nil"/>
              <w:left w:val="nil"/>
              <w:bottom w:val="single" w:sz="4" w:space="0" w:color="auto"/>
              <w:right w:val="single" w:sz="4" w:space="0" w:color="auto"/>
            </w:tcBorders>
            <w:shd w:val="clear" w:color="auto" w:fill="auto"/>
            <w:vAlign w:val="center"/>
            <w:hideMark/>
          </w:tcPr>
          <w:p w14:paraId="1CBF8C6B"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Monster Rice 1 (</w:t>
            </w:r>
            <w:r w:rsidRPr="00504D41">
              <w:rPr>
                <w:rFonts w:ascii="Arial" w:eastAsia="Times New Roman" w:hAnsi="Arial" w:cs="Arial"/>
                <w:i/>
                <w:iCs/>
                <w:color w:val="000000"/>
                <w:sz w:val="20"/>
                <w:szCs w:val="20"/>
              </w:rPr>
              <w:t>Oryza sativa L., line LTAT-29</w:t>
            </w:r>
            <w:r w:rsidRPr="00504D41">
              <w:rPr>
                <w:rFonts w:ascii="Arial" w:eastAsia="Times New Roman" w:hAnsi="Arial" w:cs="Arial"/>
                <w:color w:val="000000"/>
                <w:sz w:val="20"/>
                <w:szCs w:val="20"/>
              </w:rPr>
              <w:t>)</w:t>
            </w:r>
          </w:p>
        </w:tc>
        <w:tc>
          <w:tcPr>
            <w:tcW w:w="1890" w:type="dxa"/>
            <w:tcBorders>
              <w:top w:val="nil"/>
              <w:left w:val="nil"/>
              <w:bottom w:val="single" w:sz="4" w:space="0" w:color="auto"/>
              <w:right w:val="single" w:sz="4" w:space="0" w:color="auto"/>
            </w:tcBorders>
            <w:shd w:val="clear" w:color="auto" w:fill="auto"/>
            <w:vAlign w:val="center"/>
            <w:hideMark/>
          </w:tcPr>
          <w:p w14:paraId="7B7AA801"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not reported</w:t>
            </w:r>
          </w:p>
        </w:tc>
        <w:tc>
          <w:tcPr>
            <w:tcW w:w="2528" w:type="dxa"/>
            <w:tcBorders>
              <w:top w:val="nil"/>
              <w:left w:val="nil"/>
              <w:bottom w:val="single" w:sz="4" w:space="0" w:color="auto"/>
              <w:right w:val="single" w:sz="4" w:space="0" w:color="auto"/>
            </w:tcBorders>
            <w:shd w:val="clear" w:color="auto" w:fill="auto"/>
            <w:vAlign w:val="center"/>
            <w:hideMark/>
          </w:tcPr>
          <w:p w14:paraId="2B8C24FA"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Double coating with PGPR and Benmoly significantly enhanced growth (root and shoot fresh weight)</w:t>
            </w:r>
          </w:p>
        </w:tc>
        <w:tc>
          <w:tcPr>
            <w:tcW w:w="1157" w:type="dxa"/>
            <w:tcBorders>
              <w:top w:val="nil"/>
              <w:left w:val="nil"/>
              <w:bottom w:val="single" w:sz="4" w:space="0" w:color="auto"/>
              <w:right w:val="single" w:sz="4" w:space="0" w:color="auto"/>
            </w:tcBorders>
            <w:shd w:val="clear" w:color="auto" w:fill="auto"/>
            <w:vAlign w:val="center"/>
            <w:hideMark/>
          </w:tcPr>
          <w:p w14:paraId="3A7352FA" w14:textId="77777777" w:rsidR="006341B9" w:rsidRPr="00504D41" w:rsidRDefault="006341B9" w:rsidP="006D54C2">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 </w:t>
            </w:r>
            <w:r w:rsidR="006D54C2" w:rsidRPr="00504D41">
              <w:rPr>
                <w:rFonts w:ascii="Arial" w:hAnsi="Arial" w:cs="Arial"/>
                <w:noProof/>
                <w:sz w:val="20"/>
                <w:szCs w:val="20"/>
                <w:vertAlign w:val="superscript"/>
              </w:rPr>
              <w:t>60</w:t>
            </w:r>
          </w:p>
        </w:tc>
      </w:tr>
      <w:tr w:rsidR="00CD5AFE" w:rsidRPr="00504D41" w14:paraId="44557F38" w14:textId="77777777" w:rsidTr="00DD0F38">
        <w:trPr>
          <w:trHeight w:val="1680"/>
          <w:jc w:val="center"/>
        </w:trPr>
        <w:tc>
          <w:tcPr>
            <w:tcW w:w="1795" w:type="dxa"/>
            <w:tcBorders>
              <w:top w:val="nil"/>
              <w:left w:val="single" w:sz="4" w:space="0" w:color="auto"/>
              <w:bottom w:val="single" w:sz="4" w:space="0" w:color="auto"/>
              <w:right w:val="single" w:sz="4" w:space="0" w:color="auto"/>
            </w:tcBorders>
            <w:shd w:val="clear" w:color="auto" w:fill="auto"/>
            <w:vAlign w:val="center"/>
            <w:hideMark/>
          </w:tcPr>
          <w:p w14:paraId="29ECBC5F"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 xml:space="preserve">PGPR </w:t>
            </w:r>
            <w:r w:rsidRPr="00504D41">
              <w:rPr>
                <w:rFonts w:ascii="Arial" w:eastAsia="Times New Roman" w:hAnsi="Arial" w:cs="Arial"/>
                <w:i/>
                <w:iCs/>
                <w:color w:val="000000"/>
                <w:sz w:val="20"/>
                <w:szCs w:val="20"/>
              </w:rPr>
              <w:t>Rhizobium tropici CIAT 899 PGPR</w:t>
            </w:r>
          </w:p>
        </w:tc>
        <w:tc>
          <w:tcPr>
            <w:tcW w:w="1440" w:type="dxa"/>
            <w:tcBorders>
              <w:top w:val="nil"/>
              <w:left w:val="nil"/>
              <w:bottom w:val="single" w:sz="4" w:space="0" w:color="auto"/>
              <w:right w:val="single" w:sz="4" w:space="0" w:color="auto"/>
            </w:tcBorders>
            <w:shd w:val="clear" w:color="auto" w:fill="auto"/>
            <w:vAlign w:val="center"/>
            <w:hideMark/>
          </w:tcPr>
          <w:p w14:paraId="7A034B1F"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Double layer consisting of silk fibroin and trehalose and pectin and carboxy-methylcellulose</w:t>
            </w:r>
          </w:p>
        </w:tc>
        <w:tc>
          <w:tcPr>
            <w:tcW w:w="1170" w:type="dxa"/>
            <w:tcBorders>
              <w:top w:val="nil"/>
              <w:left w:val="nil"/>
              <w:bottom w:val="single" w:sz="4" w:space="0" w:color="auto"/>
              <w:right w:val="single" w:sz="4" w:space="0" w:color="auto"/>
            </w:tcBorders>
            <w:shd w:val="clear" w:color="auto" w:fill="auto"/>
            <w:vAlign w:val="center"/>
            <w:hideMark/>
          </w:tcPr>
          <w:p w14:paraId="6B65D075" w14:textId="77777777" w:rsidR="006341B9" w:rsidRPr="00504D41" w:rsidRDefault="006341B9" w:rsidP="006341B9">
            <w:pPr>
              <w:spacing w:after="0" w:line="240" w:lineRule="auto"/>
              <w:rPr>
                <w:rFonts w:ascii="Arial" w:eastAsia="Times New Roman" w:hAnsi="Arial" w:cs="Arial"/>
                <w:i/>
                <w:iCs/>
                <w:color w:val="000000"/>
                <w:sz w:val="20"/>
                <w:szCs w:val="20"/>
              </w:rPr>
            </w:pPr>
            <w:r w:rsidRPr="00504D41">
              <w:rPr>
                <w:rFonts w:ascii="Arial" w:eastAsia="Times New Roman" w:hAnsi="Arial" w:cs="Arial"/>
                <w:i/>
                <w:iCs/>
                <w:color w:val="000000"/>
                <w:sz w:val="20"/>
                <w:szCs w:val="20"/>
              </w:rPr>
              <w:t>Phaseolus vulgaris</w:t>
            </w:r>
          </w:p>
        </w:tc>
        <w:tc>
          <w:tcPr>
            <w:tcW w:w="1890" w:type="dxa"/>
            <w:tcBorders>
              <w:top w:val="nil"/>
              <w:left w:val="nil"/>
              <w:bottom w:val="single" w:sz="4" w:space="0" w:color="auto"/>
              <w:right w:val="single" w:sz="4" w:space="0" w:color="auto"/>
            </w:tcBorders>
            <w:shd w:val="clear" w:color="auto" w:fill="auto"/>
            <w:vAlign w:val="center"/>
            <w:hideMark/>
          </w:tcPr>
          <w:p w14:paraId="3BFAFD6F" w14:textId="77777777" w:rsidR="006341B9" w:rsidRPr="00504D41" w:rsidRDefault="006341B9" w:rsidP="006341B9">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not reported</w:t>
            </w:r>
          </w:p>
        </w:tc>
        <w:tc>
          <w:tcPr>
            <w:tcW w:w="2528" w:type="dxa"/>
            <w:tcBorders>
              <w:top w:val="nil"/>
              <w:left w:val="nil"/>
              <w:bottom w:val="single" w:sz="4" w:space="0" w:color="auto"/>
              <w:right w:val="single" w:sz="4" w:space="0" w:color="auto"/>
            </w:tcBorders>
            <w:shd w:val="clear" w:color="auto" w:fill="auto"/>
            <w:vAlign w:val="center"/>
            <w:hideMark/>
          </w:tcPr>
          <w:p w14:paraId="26D95894" w14:textId="77777777" w:rsidR="006341B9" w:rsidRPr="00504D41" w:rsidRDefault="006341B9" w:rsidP="00C072C7">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Pot and field trials</w:t>
            </w:r>
            <w:r w:rsidRPr="00504D41">
              <w:rPr>
                <w:rFonts w:ascii="Arial" w:eastAsia="Times New Roman" w:hAnsi="Arial" w:cs="Arial"/>
                <w:color w:val="000000"/>
                <w:sz w:val="20"/>
                <w:szCs w:val="20"/>
              </w:rPr>
              <w:br/>
              <w:t xml:space="preserve">Pot trials showed 100% nodulation in samples and positive controls. Field trials in semiarid soils showed enhanced germination and </w:t>
            </w:r>
            <w:r w:rsidR="00C072C7" w:rsidRPr="00504D41">
              <w:rPr>
                <w:rFonts w:ascii="Arial" w:eastAsia="Times New Roman" w:hAnsi="Arial" w:cs="Arial"/>
                <w:color w:val="000000"/>
                <w:sz w:val="20"/>
                <w:szCs w:val="20"/>
              </w:rPr>
              <w:t xml:space="preserve">an </w:t>
            </w:r>
            <w:r w:rsidRPr="00504D41">
              <w:rPr>
                <w:rFonts w:ascii="Arial" w:eastAsia="Times New Roman" w:hAnsi="Arial" w:cs="Arial"/>
                <w:color w:val="000000"/>
                <w:sz w:val="20"/>
                <w:szCs w:val="20"/>
              </w:rPr>
              <w:t xml:space="preserve">increase in shoot dry mass </w:t>
            </w:r>
            <w:r w:rsidR="00C072C7" w:rsidRPr="00504D41">
              <w:rPr>
                <w:rFonts w:ascii="Arial" w:eastAsia="Times New Roman" w:hAnsi="Arial" w:cs="Arial"/>
                <w:color w:val="000000"/>
                <w:sz w:val="20"/>
                <w:szCs w:val="20"/>
              </w:rPr>
              <w:t xml:space="preserve">under </w:t>
            </w:r>
            <w:r w:rsidRPr="00504D41">
              <w:rPr>
                <w:rFonts w:ascii="Arial" w:eastAsia="Times New Roman" w:hAnsi="Arial" w:cs="Arial"/>
                <w:color w:val="000000"/>
                <w:sz w:val="20"/>
                <w:szCs w:val="20"/>
              </w:rPr>
              <w:t>mild and severe water stress conditions with double layer coating.</w:t>
            </w:r>
          </w:p>
        </w:tc>
        <w:tc>
          <w:tcPr>
            <w:tcW w:w="1157" w:type="dxa"/>
            <w:tcBorders>
              <w:top w:val="nil"/>
              <w:left w:val="nil"/>
              <w:bottom w:val="single" w:sz="4" w:space="0" w:color="auto"/>
              <w:right w:val="single" w:sz="4" w:space="0" w:color="auto"/>
            </w:tcBorders>
            <w:shd w:val="clear" w:color="auto" w:fill="auto"/>
            <w:vAlign w:val="center"/>
            <w:hideMark/>
          </w:tcPr>
          <w:p w14:paraId="7B27E3A7" w14:textId="77777777" w:rsidR="006341B9" w:rsidRPr="00504D41" w:rsidRDefault="006341B9" w:rsidP="006D54C2">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 </w:t>
            </w:r>
            <w:r w:rsidR="006D54C2" w:rsidRPr="00504D41">
              <w:rPr>
                <w:rFonts w:ascii="Arial" w:hAnsi="Arial" w:cs="Arial"/>
                <w:noProof/>
                <w:sz w:val="20"/>
                <w:szCs w:val="20"/>
                <w:vertAlign w:val="superscript"/>
              </w:rPr>
              <w:t>61</w:t>
            </w:r>
          </w:p>
        </w:tc>
      </w:tr>
    </w:tbl>
    <w:p w14:paraId="1EFE636F" w14:textId="77777777" w:rsidR="008E6340" w:rsidRPr="00504D41" w:rsidRDefault="008E6340" w:rsidP="0016445D">
      <w:pPr>
        <w:tabs>
          <w:tab w:val="left" w:pos="0"/>
        </w:tabs>
        <w:spacing w:line="360" w:lineRule="auto"/>
        <w:jc w:val="both"/>
        <w:rPr>
          <w:szCs w:val="24"/>
        </w:rPr>
      </w:pPr>
    </w:p>
    <w:p w14:paraId="203955DE" w14:textId="77777777" w:rsidR="00AB23A5" w:rsidRPr="00504D41" w:rsidRDefault="00DC44F5" w:rsidP="0016445D">
      <w:pPr>
        <w:tabs>
          <w:tab w:val="left" w:pos="0"/>
        </w:tabs>
        <w:spacing w:line="360" w:lineRule="auto"/>
        <w:jc w:val="both"/>
        <w:rPr>
          <w:szCs w:val="24"/>
        </w:rPr>
      </w:pPr>
      <w:r w:rsidRPr="00504D41">
        <w:rPr>
          <w:szCs w:val="24"/>
        </w:rPr>
        <w:t>Table 2 shows that d</w:t>
      </w:r>
      <w:r w:rsidR="00CA4484" w:rsidRPr="00504D41">
        <w:rPr>
          <w:szCs w:val="24"/>
        </w:rPr>
        <w:t>espite the</w:t>
      </w:r>
      <w:r w:rsidR="00AB23A5" w:rsidRPr="00504D41">
        <w:rPr>
          <w:szCs w:val="24"/>
        </w:rPr>
        <w:t xml:space="preserve"> potential of PGPM to reduce or replace the use of conventional agrochemicals, published data on microbe inoculated seed coatings has shown conflicting results.</w:t>
      </w:r>
      <w:r w:rsidR="00152F42" w:rsidRPr="00504D41">
        <w:rPr>
          <w:szCs w:val="24"/>
        </w:rPr>
        <w:t xml:space="preserve"> While </w:t>
      </w:r>
      <w:r w:rsidR="00C072C7" w:rsidRPr="00504D41">
        <w:rPr>
          <w:szCs w:val="24"/>
        </w:rPr>
        <w:t xml:space="preserve">the </w:t>
      </w:r>
      <w:r w:rsidR="001C2B9B" w:rsidRPr="00504D41">
        <w:rPr>
          <w:szCs w:val="24"/>
        </w:rPr>
        <w:t>majority rep</w:t>
      </w:r>
      <w:r w:rsidR="00A27EFF" w:rsidRPr="00504D41">
        <w:rPr>
          <w:szCs w:val="24"/>
        </w:rPr>
        <w:t>orts</w:t>
      </w:r>
      <w:r w:rsidR="006D54C2" w:rsidRPr="00504D41">
        <w:rPr>
          <w:noProof/>
          <w:szCs w:val="24"/>
          <w:vertAlign w:val="superscript"/>
        </w:rPr>
        <w:t>53</w:t>
      </w:r>
      <w:r w:rsidR="00D41685" w:rsidRPr="00504D41">
        <w:rPr>
          <w:szCs w:val="24"/>
          <w:vertAlign w:val="superscript"/>
        </w:rPr>
        <w:t>,</w:t>
      </w:r>
      <w:r w:rsidR="00D41685" w:rsidRPr="00504D41">
        <w:rPr>
          <w:rFonts w:eastAsia="Times New Roman"/>
          <w:color w:val="000000"/>
          <w:sz w:val="18"/>
          <w:szCs w:val="18"/>
          <w:vertAlign w:val="superscript"/>
        </w:rPr>
        <w:t xml:space="preserve"> </w:t>
      </w:r>
      <w:r w:rsidR="006D54C2" w:rsidRPr="00504D41">
        <w:rPr>
          <w:noProof/>
          <w:szCs w:val="24"/>
          <w:vertAlign w:val="superscript"/>
        </w:rPr>
        <w:t>56</w:t>
      </w:r>
      <w:r w:rsidR="00D41685" w:rsidRPr="00504D41">
        <w:rPr>
          <w:szCs w:val="24"/>
          <w:vertAlign w:val="superscript"/>
        </w:rPr>
        <w:t>,</w:t>
      </w:r>
      <w:r w:rsidR="006D54C2" w:rsidRPr="00504D41">
        <w:rPr>
          <w:noProof/>
          <w:szCs w:val="24"/>
          <w:shd w:val="clear" w:color="auto" w:fill="FFFFFF"/>
          <w:vertAlign w:val="superscript"/>
        </w:rPr>
        <w:t>57</w:t>
      </w:r>
      <w:r w:rsidR="00D41685" w:rsidRPr="00504D41">
        <w:rPr>
          <w:szCs w:val="24"/>
          <w:shd w:val="clear" w:color="auto" w:fill="FFFFFF"/>
          <w:vertAlign w:val="superscript"/>
        </w:rPr>
        <w:t>,</w:t>
      </w:r>
      <w:r w:rsidR="006D54C2" w:rsidRPr="00504D41">
        <w:rPr>
          <w:noProof/>
          <w:szCs w:val="24"/>
          <w:shd w:val="clear" w:color="auto" w:fill="FFFFFF"/>
          <w:vertAlign w:val="superscript"/>
        </w:rPr>
        <w:t>58</w:t>
      </w:r>
      <w:r w:rsidR="00A27EFF" w:rsidRPr="00504D41">
        <w:rPr>
          <w:szCs w:val="24"/>
          <w:vertAlign w:val="superscript"/>
        </w:rPr>
        <w:t xml:space="preserve"> </w:t>
      </w:r>
      <w:r w:rsidR="00A27EFF" w:rsidRPr="00504D41">
        <w:rPr>
          <w:szCs w:val="24"/>
        </w:rPr>
        <w:t>have maintained a favorable outlook on their use, some have also reported delayed</w:t>
      </w:r>
      <w:r w:rsidR="00152F42" w:rsidRPr="00504D41">
        <w:rPr>
          <w:szCs w:val="24"/>
        </w:rPr>
        <w:t xml:space="preserve"> </w:t>
      </w:r>
      <w:r w:rsidR="00E66F1A" w:rsidRPr="00504D41">
        <w:rPr>
          <w:szCs w:val="24"/>
        </w:rPr>
        <w:t>germination</w:t>
      </w:r>
      <w:r w:rsidR="006D54C2" w:rsidRPr="00504D41">
        <w:rPr>
          <w:noProof/>
          <w:szCs w:val="24"/>
          <w:vertAlign w:val="superscript"/>
        </w:rPr>
        <w:t>52</w:t>
      </w:r>
      <w:r w:rsidR="00652513" w:rsidRPr="00504D41">
        <w:rPr>
          <w:szCs w:val="24"/>
        </w:rPr>
        <w:t xml:space="preserve"> </w:t>
      </w:r>
      <w:r w:rsidR="00E66F1A" w:rsidRPr="00504D41">
        <w:rPr>
          <w:szCs w:val="24"/>
        </w:rPr>
        <w:t xml:space="preserve">or no significant improvement in growth compared to </w:t>
      </w:r>
      <w:r w:rsidR="00C9655A" w:rsidRPr="00504D41">
        <w:rPr>
          <w:szCs w:val="24"/>
        </w:rPr>
        <w:t>controls.</w:t>
      </w:r>
      <w:r w:rsidR="00362287" w:rsidRPr="00504D41">
        <w:rPr>
          <w:szCs w:val="24"/>
        </w:rPr>
        <w:t xml:space="preserve"> </w:t>
      </w:r>
      <w:r w:rsidR="006D54C2" w:rsidRPr="00504D41">
        <w:rPr>
          <w:noProof/>
          <w:szCs w:val="24"/>
          <w:vertAlign w:val="superscript"/>
        </w:rPr>
        <w:t>51</w:t>
      </w:r>
      <w:r w:rsidR="00362287" w:rsidRPr="00504D41">
        <w:rPr>
          <w:szCs w:val="24"/>
          <w:vertAlign w:val="superscript"/>
        </w:rPr>
        <w:t>,</w:t>
      </w:r>
      <w:r w:rsidR="006D54C2" w:rsidRPr="00504D41">
        <w:rPr>
          <w:noProof/>
          <w:szCs w:val="24"/>
          <w:vertAlign w:val="superscript"/>
        </w:rPr>
        <w:t>55</w:t>
      </w:r>
      <w:r w:rsidR="00C9655A" w:rsidRPr="00504D41">
        <w:rPr>
          <w:szCs w:val="24"/>
        </w:rPr>
        <w:t xml:space="preserve"> </w:t>
      </w:r>
      <w:r w:rsidR="00AB23A5" w:rsidRPr="00504D41">
        <w:rPr>
          <w:szCs w:val="24"/>
        </w:rPr>
        <w:t>Furthermore, not all the reported studies include data on laboratory, greenhouse, and field results. It is reported that only 3% of studies conducted on PGPM inoculated seed coatings from 1960 to 2019 contain data across all three analysis scales</w:t>
      </w:r>
      <w:r w:rsidR="00D43C8E" w:rsidRPr="00504D41">
        <w:rPr>
          <w:szCs w:val="24"/>
        </w:rPr>
        <w:t>.</w:t>
      </w:r>
      <w:r w:rsidR="00334495" w:rsidRPr="00504D41">
        <w:rPr>
          <w:noProof/>
          <w:szCs w:val="24"/>
          <w:vertAlign w:val="superscript"/>
        </w:rPr>
        <w:t>1</w:t>
      </w:r>
      <w:r w:rsidR="00AC5F5B" w:rsidRPr="00504D41">
        <w:rPr>
          <w:szCs w:val="24"/>
        </w:rPr>
        <w:t xml:space="preserve"> Addition of</w:t>
      </w:r>
      <w:r w:rsidR="0056356A" w:rsidRPr="00504D41">
        <w:rPr>
          <w:szCs w:val="24"/>
        </w:rPr>
        <w:t xml:space="preserve"> PGPM in any field/are</w:t>
      </w:r>
      <w:r w:rsidR="0087177D" w:rsidRPr="00504D41">
        <w:rPr>
          <w:szCs w:val="24"/>
        </w:rPr>
        <w:t>a</w:t>
      </w:r>
      <w:r w:rsidR="0056356A" w:rsidRPr="00504D41">
        <w:rPr>
          <w:szCs w:val="24"/>
        </w:rPr>
        <w:t xml:space="preserve"> may have unaccounted effects on the su</w:t>
      </w:r>
      <w:r w:rsidR="0087177D" w:rsidRPr="00504D41">
        <w:rPr>
          <w:szCs w:val="24"/>
        </w:rPr>
        <w:t>r</w:t>
      </w:r>
      <w:r w:rsidR="0056356A" w:rsidRPr="00504D41">
        <w:rPr>
          <w:szCs w:val="24"/>
        </w:rPr>
        <w:t>rounding ecosystem</w:t>
      </w:r>
      <w:r w:rsidR="00F03227" w:rsidRPr="00504D41">
        <w:rPr>
          <w:szCs w:val="24"/>
        </w:rPr>
        <w:t>.</w:t>
      </w:r>
      <w:r w:rsidR="0056356A" w:rsidRPr="00504D41">
        <w:rPr>
          <w:szCs w:val="24"/>
        </w:rPr>
        <w:t xml:space="preserve"> </w:t>
      </w:r>
      <w:r w:rsidR="00F03227" w:rsidRPr="00504D41">
        <w:rPr>
          <w:szCs w:val="24"/>
        </w:rPr>
        <w:t>T</w:t>
      </w:r>
      <w:r w:rsidR="0056356A" w:rsidRPr="00504D41">
        <w:rPr>
          <w:szCs w:val="24"/>
        </w:rPr>
        <w:t xml:space="preserve">hus </w:t>
      </w:r>
      <w:r w:rsidR="00762F6A" w:rsidRPr="00504D41">
        <w:rPr>
          <w:szCs w:val="24"/>
        </w:rPr>
        <w:t xml:space="preserve">both long and </w:t>
      </w:r>
      <w:r w:rsidR="00C072C7" w:rsidRPr="00504D41">
        <w:rPr>
          <w:szCs w:val="24"/>
        </w:rPr>
        <w:t>short-</w:t>
      </w:r>
      <w:r w:rsidR="00762F6A" w:rsidRPr="00504D41">
        <w:rPr>
          <w:szCs w:val="24"/>
        </w:rPr>
        <w:t xml:space="preserve">term environmental assessment is needed </w:t>
      </w:r>
      <w:r w:rsidR="00B206C6" w:rsidRPr="00504D41">
        <w:rPr>
          <w:szCs w:val="24"/>
        </w:rPr>
        <w:t>before promoting their use.</w:t>
      </w:r>
      <w:r w:rsidR="00762F6A" w:rsidRPr="00504D41">
        <w:rPr>
          <w:szCs w:val="24"/>
        </w:rPr>
        <w:t xml:space="preserve"> </w:t>
      </w:r>
      <w:r w:rsidR="00F03227" w:rsidRPr="00504D41">
        <w:rPr>
          <w:szCs w:val="24"/>
        </w:rPr>
        <w:t>To</w:t>
      </w:r>
      <w:r w:rsidR="00AB23A5" w:rsidRPr="00504D41">
        <w:rPr>
          <w:szCs w:val="24"/>
        </w:rPr>
        <w:t xml:space="preserve"> reach an unequivocal verdict on the utility of PGPM and their inoculation in seed coatings, further data with </w:t>
      </w:r>
      <w:r w:rsidR="00C072C7" w:rsidRPr="00504D41">
        <w:rPr>
          <w:szCs w:val="24"/>
        </w:rPr>
        <w:t xml:space="preserve">supportive and consistent </w:t>
      </w:r>
      <w:r w:rsidR="00AB23A5" w:rsidRPr="00504D41">
        <w:rPr>
          <w:szCs w:val="24"/>
        </w:rPr>
        <w:t>results across diverse experimental scales and conditions is needed.</w:t>
      </w:r>
    </w:p>
    <w:p w14:paraId="529FF67F" w14:textId="77777777" w:rsidR="005A181C" w:rsidRPr="00504D41" w:rsidRDefault="00C32872" w:rsidP="00464705">
      <w:pPr>
        <w:rPr>
          <w:b/>
        </w:rPr>
      </w:pPr>
      <w:bookmarkStart w:id="13" w:name="_Toc80791088"/>
      <w:bookmarkStart w:id="14" w:name="_Toc85537932"/>
      <w:r w:rsidRPr="00504D41">
        <w:rPr>
          <w:b/>
        </w:rPr>
        <w:t>4.2</w:t>
      </w:r>
      <w:r w:rsidR="00464705" w:rsidRPr="00504D41">
        <w:rPr>
          <w:b/>
        </w:rPr>
        <w:t>.</w:t>
      </w:r>
      <w:r w:rsidR="00C41395" w:rsidRPr="00504D41">
        <w:rPr>
          <w:b/>
        </w:rPr>
        <w:t xml:space="preserve"> </w:t>
      </w:r>
      <w:r w:rsidR="005A181C" w:rsidRPr="00504D41">
        <w:rPr>
          <w:b/>
        </w:rPr>
        <w:t>Polysaccharide based seed coatings</w:t>
      </w:r>
      <w:bookmarkEnd w:id="13"/>
      <w:bookmarkEnd w:id="14"/>
    </w:p>
    <w:p w14:paraId="5DC03F99" w14:textId="77777777" w:rsidR="005A181C" w:rsidRPr="00504D41" w:rsidRDefault="005A181C" w:rsidP="0016445D">
      <w:pPr>
        <w:tabs>
          <w:tab w:val="left" w:pos="0"/>
        </w:tabs>
        <w:spacing w:line="360" w:lineRule="auto"/>
        <w:jc w:val="both"/>
        <w:rPr>
          <w:szCs w:val="24"/>
        </w:rPr>
      </w:pPr>
      <w:r w:rsidRPr="00504D41">
        <w:rPr>
          <w:szCs w:val="24"/>
        </w:rPr>
        <w:t xml:space="preserve">Concerns </w:t>
      </w:r>
      <w:r w:rsidR="00CC7B17" w:rsidRPr="00504D41">
        <w:rPr>
          <w:szCs w:val="24"/>
        </w:rPr>
        <w:t xml:space="preserve">about </w:t>
      </w:r>
      <w:r w:rsidRPr="00504D41">
        <w:rPr>
          <w:szCs w:val="24"/>
        </w:rPr>
        <w:t xml:space="preserve">the use of plastic-based seed coatings and the potential soil pollution caused due to detachment of the plastic film fragments from the seed </w:t>
      </w:r>
      <w:r w:rsidR="00CC7B17" w:rsidRPr="00504D41">
        <w:rPr>
          <w:szCs w:val="24"/>
        </w:rPr>
        <w:t xml:space="preserve">coat </w:t>
      </w:r>
      <w:r w:rsidRPr="00504D41">
        <w:rPr>
          <w:szCs w:val="24"/>
        </w:rPr>
        <w:t xml:space="preserve">(Section </w:t>
      </w:r>
      <w:r w:rsidR="006C51BC" w:rsidRPr="00504D41">
        <w:rPr>
          <w:szCs w:val="24"/>
        </w:rPr>
        <w:t>3</w:t>
      </w:r>
      <w:r w:rsidRPr="00504D41">
        <w:rPr>
          <w:szCs w:val="24"/>
        </w:rPr>
        <w:t>.3)</w:t>
      </w:r>
      <w:r w:rsidR="00CC7B17" w:rsidRPr="00504D41">
        <w:rPr>
          <w:szCs w:val="24"/>
        </w:rPr>
        <w:t>,</w:t>
      </w:r>
      <w:r w:rsidRPr="00504D41">
        <w:rPr>
          <w:szCs w:val="24"/>
        </w:rPr>
        <w:t xml:space="preserve"> have propelled research</w:t>
      </w:r>
      <w:r w:rsidR="00CC7B17" w:rsidRPr="00504D41">
        <w:rPr>
          <w:szCs w:val="24"/>
        </w:rPr>
        <w:t>ers</w:t>
      </w:r>
      <w:r w:rsidRPr="00504D41">
        <w:rPr>
          <w:szCs w:val="24"/>
        </w:rPr>
        <w:t xml:space="preserve"> to develop biocompatible and biodegradable coating materials. In this regard, the design and use of polysaccharide-based seed coatings ha</w:t>
      </w:r>
      <w:r w:rsidR="00933AB2" w:rsidRPr="00504D41">
        <w:rPr>
          <w:szCs w:val="24"/>
        </w:rPr>
        <w:t>s</w:t>
      </w:r>
      <w:r w:rsidRPr="00504D41">
        <w:rPr>
          <w:szCs w:val="24"/>
        </w:rPr>
        <w:t xml:space="preserve"> gained impetus</w:t>
      </w:r>
      <w:r w:rsidR="008F4C9C" w:rsidRPr="00504D41">
        <w:rPr>
          <w:szCs w:val="24"/>
        </w:rPr>
        <w:t xml:space="preserve"> across academic and </w:t>
      </w:r>
      <w:r w:rsidR="008F4C9C" w:rsidRPr="00504D41">
        <w:rPr>
          <w:szCs w:val="24"/>
        </w:rPr>
        <w:lastRenderedPageBreak/>
        <w:t>industrial</w:t>
      </w:r>
      <w:r w:rsidRPr="00504D41">
        <w:rPr>
          <w:szCs w:val="24"/>
        </w:rPr>
        <w:t xml:space="preserve"> research programs.</w:t>
      </w:r>
      <w:r w:rsidR="00B30618" w:rsidRPr="00504D41">
        <w:rPr>
          <w:szCs w:val="24"/>
        </w:rPr>
        <w:t xml:space="preserve"> In the following sections</w:t>
      </w:r>
      <w:r w:rsidR="00CC7B17" w:rsidRPr="00504D41">
        <w:rPr>
          <w:szCs w:val="24"/>
        </w:rPr>
        <w:t>,</w:t>
      </w:r>
      <w:r w:rsidR="00964911" w:rsidRPr="00504D41">
        <w:rPr>
          <w:szCs w:val="24"/>
        </w:rPr>
        <w:t xml:space="preserve"> we have discussed s</w:t>
      </w:r>
      <w:r w:rsidRPr="00504D41">
        <w:rPr>
          <w:szCs w:val="24"/>
        </w:rPr>
        <w:t xml:space="preserve">ome widely studied polysaccharide materials </w:t>
      </w:r>
      <w:r w:rsidR="00964911" w:rsidRPr="00504D41">
        <w:rPr>
          <w:szCs w:val="24"/>
        </w:rPr>
        <w:t>investigated as</w:t>
      </w:r>
      <w:r w:rsidRPr="00504D41">
        <w:rPr>
          <w:szCs w:val="24"/>
        </w:rPr>
        <w:t xml:space="preserve"> seeds coatings </w:t>
      </w:r>
      <w:r w:rsidR="002C7376" w:rsidRPr="00504D41">
        <w:rPr>
          <w:szCs w:val="24"/>
        </w:rPr>
        <w:t xml:space="preserve">including sub-sections </w:t>
      </w:r>
      <w:r w:rsidR="00872FCF" w:rsidRPr="00504D41">
        <w:rPr>
          <w:szCs w:val="24"/>
        </w:rPr>
        <w:t>reviewing</w:t>
      </w:r>
      <w:r w:rsidR="002C7376" w:rsidRPr="00504D41">
        <w:rPr>
          <w:szCs w:val="24"/>
        </w:rPr>
        <w:t xml:space="preserve"> their performance as </w:t>
      </w:r>
      <w:r w:rsidR="00872FCF" w:rsidRPr="00504D41">
        <w:rPr>
          <w:szCs w:val="24"/>
        </w:rPr>
        <w:t xml:space="preserve">sustainable </w:t>
      </w:r>
      <w:r w:rsidR="00022630" w:rsidRPr="00504D41">
        <w:rPr>
          <w:szCs w:val="24"/>
        </w:rPr>
        <w:t>carriers</w:t>
      </w:r>
      <w:r w:rsidR="00872FCF" w:rsidRPr="00504D41">
        <w:rPr>
          <w:szCs w:val="24"/>
        </w:rPr>
        <w:t xml:space="preserve"> in terms of raw material renewability and extraction processes.</w:t>
      </w:r>
    </w:p>
    <w:p w14:paraId="3354CC24" w14:textId="77777777" w:rsidR="005A181C" w:rsidRPr="00504D41" w:rsidRDefault="00C32872" w:rsidP="00464705">
      <w:r w:rsidRPr="00504D41">
        <w:t xml:space="preserve">4.2.1. </w:t>
      </w:r>
      <w:r w:rsidR="005A181C" w:rsidRPr="00504D41">
        <w:t>Alginate</w:t>
      </w:r>
    </w:p>
    <w:p w14:paraId="572848B5" w14:textId="77777777" w:rsidR="00B52963" w:rsidRPr="00504D41" w:rsidRDefault="005A181C" w:rsidP="0016445D">
      <w:pPr>
        <w:tabs>
          <w:tab w:val="left" w:pos="0"/>
        </w:tabs>
        <w:spacing w:line="360" w:lineRule="auto"/>
        <w:jc w:val="both"/>
        <w:rPr>
          <w:szCs w:val="24"/>
        </w:rPr>
      </w:pPr>
      <w:r w:rsidRPr="00504D41">
        <w:rPr>
          <w:szCs w:val="24"/>
        </w:rPr>
        <w:t xml:space="preserve">Alginates are biopolymers found in brown algae as well as in soil bacteria. These are polysaccharides composed of a varying sequence of </w:t>
      </w:r>
      <w:r w:rsidR="00EA51DF" w:rsidRPr="00504D41">
        <w:rPr>
          <w:szCs w:val="24"/>
        </w:rPr>
        <w:t>D</w:t>
      </w:r>
      <w:r w:rsidRPr="00504D41">
        <w:rPr>
          <w:szCs w:val="24"/>
        </w:rPr>
        <w:t>-mannuronic (M)</w:t>
      </w:r>
      <w:r w:rsidR="007F51C7" w:rsidRPr="00504D41">
        <w:rPr>
          <w:szCs w:val="24"/>
        </w:rPr>
        <w:t xml:space="preserve"> (</w:t>
      </w:r>
      <w:r w:rsidR="007F51C7" w:rsidRPr="00504D41">
        <w:rPr>
          <w:b/>
          <w:bCs/>
          <w:szCs w:val="24"/>
        </w:rPr>
        <w:t xml:space="preserve">Figure </w:t>
      </w:r>
      <w:r w:rsidR="00B817FB" w:rsidRPr="00504D41">
        <w:rPr>
          <w:b/>
          <w:bCs/>
          <w:szCs w:val="24"/>
        </w:rPr>
        <w:t>4</w:t>
      </w:r>
      <w:r w:rsidR="00271459" w:rsidRPr="00504D41">
        <w:rPr>
          <w:b/>
          <w:bCs/>
          <w:szCs w:val="24"/>
        </w:rPr>
        <w:t>a</w:t>
      </w:r>
      <w:r w:rsidR="007F51C7" w:rsidRPr="00504D41">
        <w:rPr>
          <w:szCs w:val="24"/>
        </w:rPr>
        <w:t>)</w:t>
      </w:r>
      <w:r w:rsidRPr="00504D41">
        <w:rPr>
          <w:szCs w:val="24"/>
        </w:rPr>
        <w:t xml:space="preserve"> and (1 → 4)-linked </w:t>
      </w:r>
      <w:r w:rsidR="00EA51DF" w:rsidRPr="00504D41">
        <w:rPr>
          <w:szCs w:val="24"/>
        </w:rPr>
        <w:t>L</w:t>
      </w:r>
      <w:r w:rsidRPr="00504D41">
        <w:rPr>
          <w:szCs w:val="24"/>
        </w:rPr>
        <w:t>-guluronic (G)</w:t>
      </w:r>
      <w:r w:rsidR="007F51C7" w:rsidRPr="00504D41">
        <w:rPr>
          <w:szCs w:val="24"/>
        </w:rPr>
        <w:t xml:space="preserve"> (Figure </w:t>
      </w:r>
      <w:r w:rsidR="00B817FB" w:rsidRPr="00504D41">
        <w:rPr>
          <w:szCs w:val="24"/>
        </w:rPr>
        <w:t>4</w:t>
      </w:r>
      <w:r w:rsidR="00271459" w:rsidRPr="00504D41">
        <w:rPr>
          <w:szCs w:val="24"/>
        </w:rPr>
        <w:t>b</w:t>
      </w:r>
      <w:r w:rsidR="007F51C7" w:rsidRPr="00504D41">
        <w:rPr>
          <w:szCs w:val="24"/>
        </w:rPr>
        <w:t>)</w:t>
      </w:r>
      <w:r w:rsidRPr="00504D41">
        <w:rPr>
          <w:szCs w:val="24"/>
        </w:rPr>
        <w:t xml:space="preserve"> blocks. Alginates are typically used in the form of gels prepared either by ionic crosslinking or through acid precipitation. Depending on the gelation method</w:t>
      </w:r>
      <w:r w:rsidR="00CC7B17" w:rsidRPr="00504D41">
        <w:rPr>
          <w:szCs w:val="24"/>
        </w:rPr>
        <w:t>,</w:t>
      </w:r>
      <w:r w:rsidRPr="00504D41">
        <w:rPr>
          <w:szCs w:val="24"/>
        </w:rPr>
        <w:t xml:space="preserve"> the physical and chemical properties of alginate gels can be adjusted. </w:t>
      </w:r>
      <w:r w:rsidR="00E24421" w:rsidRPr="00504D41">
        <w:rPr>
          <w:szCs w:val="24"/>
        </w:rPr>
        <w:t>D</w:t>
      </w:r>
      <w:r w:rsidRPr="00504D41">
        <w:rPr>
          <w:szCs w:val="24"/>
        </w:rPr>
        <w:t>ue to their versatile adjustable properties, ability to retain water, ease of availability and low</w:t>
      </w:r>
      <w:r w:rsidR="00CC7B17" w:rsidRPr="00504D41">
        <w:rPr>
          <w:szCs w:val="24"/>
        </w:rPr>
        <w:t xml:space="preserve"> </w:t>
      </w:r>
      <w:r w:rsidRPr="00504D41">
        <w:rPr>
          <w:szCs w:val="24"/>
        </w:rPr>
        <w:t>cost</w:t>
      </w:r>
      <w:r w:rsidR="00894FEA" w:rsidRPr="00504D41">
        <w:rPr>
          <w:szCs w:val="24"/>
        </w:rPr>
        <w:t>,</w:t>
      </w:r>
      <w:r w:rsidRPr="00504D41">
        <w:rPr>
          <w:szCs w:val="24"/>
        </w:rPr>
        <w:t xml:space="preserve"> alginates</w:t>
      </w:r>
      <w:r w:rsidR="004A6DE1" w:rsidRPr="00504D41">
        <w:rPr>
          <w:szCs w:val="24"/>
        </w:rPr>
        <w:t xml:space="preserve"> are actively being researched for </w:t>
      </w:r>
      <w:r w:rsidRPr="00504D41">
        <w:rPr>
          <w:szCs w:val="24"/>
        </w:rPr>
        <w:t xml:space="preserve">applications in the food and </w:t>
      </w:r>
      <w:r w:rsidR="001D312C" w:rsidRPr="00504D41">
        <w:rPr>
          <w:szCs w:val="24"/>
        </w:rPr>
        <w:t xml:space="preserve">biomedical </w:t>
      </w:r>
      <w:r w:rsidRPr="00504D41">
        <w:rPr>
          <w:szCs w:val="24"/>
        </w:rPr>
        <w:t>industries</w:t>
      </w:r>
      <w:r w:rsidR="00D43C8E" w:rsidRPr="00504D41">
        <w:rPr>
          <w:szCs w:val="24"/>
        </w:rPr>
        <w:t>.</w:t>
      </w:r>
      <w:r w:rsidR="006D54C2" w:rsidRPr="00504D41">
        <w:rPr>
          <w:noProof/>
          <w:szCs w:val="24"/>
          <w:vertAlign w:val="superscript"/>
        </w:rPr>
        <w:t>62–67</w:t>
      </w:r>
      <w:r w:rsidR="004A6DE1" w:rsidRPr="00504D41">
        <w:rPr>
          <w:szCs w:val="24"/>
        </w:rPr>
        <w:t xml:space="preserve"> </w:t>
      </w:r>
      <w:r w:rsidRPr="00504D41">
        <w:rPr>
          <w:szCs w:val="24"/>
        </w:rPr>
        <w:t>In seed treatment research, the use of both crosslinked</w:t>
      </w:r>
      <w:r w:rsidR="006D54C2" w:rsidRPr="00504D41">
        <w:rPr>
          <w:noProof/>
          <w:szCs w:val="24"/>
          <w:vertAlign w:val="superscript"/>
        </w:rPr>
        <w:t>53,68,69</w:t>
      </w:r>
      <w:r w:rsidRPr="00504D41">
        <w:rPr>
          <w:szCs w:val="24"/>
        </w:rPr>
        <w:t xml:space="preserve"> and un-crosslinked</w:t>
      </w:r>
      <w:r w:rsidR="006D54C2" w:rsidRPr="00504D41">
        <w:rPr>
          <w:noProof/>
          <w:szCs w:val="24"/>
          <w:vertAlign w:val="superscript"/>
        </w:rPr>
        <w:t>70</w:t>
      </w:r>
      <w:r w:rsidRPr="00504D41">
        <w:rPr>
          <w:szCs w:val="24"/>
        </w:rPr>
        <w:t xml:space="preserve"> alginate has been explored. While some reports mention direct coating of </w:t>
      </w:r>
      <w:r w:rsidR="00CC7B17" w:rsidRPr="00504D41">
        <w:rPr>
          <w:szCs w:val="24"/>
        </w:rPr>
        <w:t xml:space="preserve">a layer of </w:t>
      </w:r>
      <w:r w:rsidRPr="00504D41">
        <w:rPr>
          <w:szCs w:val="24"/>
        </w:rPr>
        <w:t>alginate on seeds</w:t>
      </w:r>
      <w:r w:rsidR="00027884" w:rsidRPr="00504D41">
        <w:rPr>
          <w:szCs w:val="24"/>
        </w:rPr>
        <w:t>,</w:t>
      </w:r>
      <w:r w:rsidR="006D54C2" w:rsidRPr="00504D41">
        <w:rPr>
          <w:noProof/>
          <w:szCs w:val="24"/>
          <w:vertAlign w:val="superscript"/>
        </w:rPr>
        <w:t>68</w:t>
      </w:r>
      <w:r w:rsidRPr="00504D41">
        <w:rPr>
          <w:szCs w:val="24"/>
        </w:rPr>
        <w:t xml:space="preserve"> others propose design</w:t>
      </w:r>
      <w:r w:rsidR="00CC7B17" w:rsidRPr="00504D41">
        <w:rPr>
          <w:szCs w:val="24"/>
        </w:rPr>
        <w:t>ing</w:t>
      </w:r>
      <w:r w:rsidRPr="00504D41">
        <w:rPr>
          <w:szCs w:val="24"/>
        </w:rPr>
        <w:t xml:space="preserve"> alginate microbeads</w:t>
      </w:r>
      <w:r w:rsidR="006D54C2" w:rsidRPr="00504D41">
        <w:rPr>
          <w:noProof/>
          <w:szCs w:val="24"/>
          <w:vertAlign w:val="superscript"/>
        </w:rPr>
        <w:t>53,69</w:t>
      </w:r>
      <w:r w:rsidRPr="00504D41">
        <w:rPr>
          <w:szCs w:val="24"/>
        </w:rPr>
        <w:t xml:space="preserve"> containing an enclosed AI/microbe which can then be stuck on seeds through an adhesive. </w:t>
      </w:r>
    </w:p>
    <w:p w14:paraId="3F7A3A78" w14:textId="77777777" w:rsidR="005A181C" w:rsidRPr="00504D41" w:rsidRDefault="005A181C" w:rsidP="0016445D">
      <w:pPr>
        <w:tabs>
          <w:tab w:val="left" w:pos="0"/>
        </w:tabs>
        <w:spacing w:line="360" w:lineRule="auto"/>
        <w:jc w:val="both"/>
        <w:rPr>
          <w:szCs w:val="24"/>
        </w:rPr>
      </w:pPr>
      <w:r w:rsidRPr="00504D41">
        <w:rPr>
          <w:szCs w:val="24"/>
        </w:rPr>
        <w:t>An early patent</w:t>
      </w:r>
      <w:r w:rsidR="006D54C2" w:rsidRPr="00504D41">
        <w:rPr>
          <w:noProof/>
          <w:szCs w:val="24"/>
          <w:vertAlign w:val="superscript"/>
        </w:rPr>
        <w:t>70</w:t>
      </w:r>
      <w:r w:rsidRPr="00504D41">
        <w:rPr>
          <w:szCs w:val="24"/>
        </w:rPr>
        <w:t xml:space="preserve"> disclosed the use of a dried liquid free-flowing composition containing a mixture of non-crosslinked alginates and a suspension of microorganisms to produce inoculated seed coatings. The viability of the alginate seed coatings to provide a suitable survival medium for various microbes was demonstrated through microbe survival assays on soybean and canola seeds.</w:t>
      </w:r>
      <w:r w:rsidR="00C32872" w:rsidRPr="00504D41">
        <w:rPr>
          <w:szCs w:val="24"/>
        </w:rPr>
        <w:t xml:space="preserve"> </w:t>
      </w:r>
      <w:r w:rsidRPr="00504D41">
        <w:rPr>
          <w:szCs w:val="24"/>
        </w:rPr>
        <w:t>In another study</w:t>
      </w:r>
      <w:r w:rsidR="00027884" w:rsidRPr="00504D41">
        <w:rPr>
          <w:szCs w:val="24"/>
        </w:rPr>
        <w:t>,</w:t>
      </w:r>
      <w:r w:rsidR="006D54C2" w:rsidRPr="00504D41">
        <w:rPr>
          <w:noProof/>
          <w:szCs w:val="24"/>
          <w:vertAlign w:val="superscript"/>
        </w:rPr>
        <w:t>53</w:t>
      </w:r>
      <w:r w:rsidRPr="00504D41">
        <w:rPr>
          <w:szCs w:val="24"/>
        </w:rPr>
        <w:t xml:space="preserve"> microbe inoculated alginate beads were produced </w:t>
      </w:r>
      <w:r w:rsidR="00CC7B17" w:rsidRPr="00504D41">
        <w:rPr>
          <w:szCs w:val="24"/>
        </w:rPr>
        <w:t xml:space="preserve">by </w:t>
      </w:r>
      <w:r w:rsidRPr="00504D41">
        <w:rPr>
          <w:szCs w:val="24"/>
        </w:rPr>
        <w:t xml:space="preserve">spraying the bacteria inoculated alginate solution in a hardening </w:t>
      </w:r>
      <w:r w:rsidR="000F5A35" w:rsidRPr="00504D41">
        <w:rPr>
          <w:szCs w:val="24"/>
        </w:rPr>
        <w:t>calcium chloride (</w:t>
      </w:r>
      <w:r w:rsidRPr="00504D41">
        <w:rPr>
          <w:szCs w:val="24"/>
        </w:rPr>
        <w:t>CaCl</w:t>
      </w:r>
      <w:r w:rsidRPr="00504D41">
        <w:rPr>
          <w:szCs w:val="24"/>
          <w:vertAlign w:val="subscript"/>
        </w:rPr>
        <w:t>2</w:t>
      </w:r>
      <w:r w:rsidR="000F5A35" w:rsidRPr="00504D41">
        <w:rPr>
          <w:szCs w:val="24"/>
        </w:rPr>
        <w:t xml:space="preserve">) </w:t>
      </w:r>
      <w:r w:rsidRPr="00504D41">
        <w:rPr>
          <w:szCs w:val="24"/>
        </w:rPr>
        <w:t>bath</w:t>
      </w:r>
      <w:r w:rsidR="007F51C7" w:rsidRPr="00504D41">
        <w:rPr>
          <w:szCs w:val="24"/>
        </w:rPr>
        <w:t xml:space="preserve"> (Figure </w:t>
      </w:r>
      <w:r w:rsidR="00D36988" w:rsidRPr="00504D41">
        <w:rPr>
          <w:szCs w:val="24"/>
        </w:rPr>
        <w:t>4</w:t>
      </w:r>
      <w:r w:rsidR="007F51C7" w:rsidRPr="00504D41">
        <w:rPr>
          <w:szCs w:val="24"/>
        </w:rPr>
        <w:t>c, d, e)</w:t>
      </w:r>
      <w:r w:rsidRPr="00504D41">
        <w:rPr>
          <w:szCs w:val="24"/>
        </w:rPr>
        <w:t xml:space="preserve">. The produced microbeads were stuck to tomato and wheat leaves through </w:t>
      </w:r>
      <w:r w:rsidR="00CC7B17" w:rsidRPr="00504D41">
        <w:rPr>
          <w:szCs w:val="24"/>
        </w:rPr>
        <w:t xml:space="preserve">the </w:t>
      </w:r>
      <w:r w:rsidRPr="00504D41">
        <w:rPr>
          <w:szCs w:val="24"/>
        </w:rPr>
        <w:t xml:space="preserve">use of an adhesive. Pot trials of the coated seeds showed significant improvement in plant height and dry leaf and root </w:t>
      </w:r>
      <w:r w:rsidR="007F51C7" w:rsidRPr="00504D41">
        <w:rPr>
          <w:szCs w:val="24"/>
        </w:rPr>
        <w:t xml:space="preserve">weight (Figure </w:t>
      </w:r>
      <w:r w:rsidR="002039F9" w:rsidRPr="00504D41">
        <w:rPr>
          <w:szCs w:val="24"/>
        </w:rPr>
        <w:t>4</w:t>
      </w:r>
      <w:r w:rsidR="007F51C7" w:rsidRPr="00504D41">
        <w:rPr>
          <w:szCs w:val="24"/>
        </w:rPr>
        <w:t>f).</w:t>
      </w:r>
      <w:r w:rsidRPr="00504D41">
        <w:rPr>
          <w:szCs w:val="24"/>
        </w:rPr>
        <w:t xml:space="preserve"> Although promising, production of the inoculated alginate microbeads </w:t>
      </w:r>
      <w:r w:rsidR="00CC7B17" w:rsidRPr="00504D41">
        <w:rPr>
          <w:szCs w:val="24"/>
        </w:rPr>
        <w:t xml:space="preserve">followed by </w:t>
      </w:r>
      <w:r w:rsidRPr="00504D41">
        <w:rPr>
          <w:szCs w:val="24"/>
        </w:rPr>
        <w:t xml:space="preserve">coating on individual seeds may pose challenges on </w:t>
      </w:r>
      <w:r w:rsidR="00CA4484" w:rsidRPr="00504D41">
        <w:rPr>
          <w:szCs w:val="24"/>
        </w:rPr>
        <w:t>a commercial scale. To overcome</w:t>
      </w:r>
      <w:r w:rsidRPr="00504D41">
        <w:rPr>
          <w:szCs w:val="24"/>
        </w:rPr>
        <w:t xml:space="preserve"> the</w:t>
      </w:r>
      <w:r w:rsidR="00CC7B17" w:rsidRPr="00504D41">
        <w:rPr>
          <w:szCs w:val="24"/>
        </w:rPr>
        <w:t xml:space="preserve">se </w:t>
      </w:r>
      <w:r w:rsidRPr="00504D41">
        <w:rPr>
          <w:szCs w:val="24"/>
        </w:rPr>
        <w:t>challenges, a</w:t>
      </w:r>
      <w:r w:rsidR="00CC7B17" w:rsidRPr="00504D41">
        <w:rPr>
          <w:szCs w:val="24"/>
        </w:rPr>
        <w:t>nother</w:t>
      </w:r>
      <w:r w:rsidRPr="00504D41">
        <w:rPr>
          <w:szCs w:val="24"/>
        </w:rPr>
        <w:t xml:space="preserve"> patent</w:t>
      </w:r>
      <w:r w:rsidR="006D54C2" w:rsidRPr="00504D41">
        <w:rPr>
          <w:noProof/>
          <w:szCs w:val="24"/>
          <w:vertAlign w:val="superscript"/>
        </w:rPr>
        <w:t>68</w:t>
      </w:r>
      <w:r w:rsidRPr="00504D41">
        <w:rPr>
          <w:szCs w:val="24"/>
        </w:rPr>
        <w:t xml:space="preserve"> disclosed a more commercially feasible technique of producing alginate seed coatings wherein either the alginate coating (premixed with a suitable AI) and the divalent metal ion (Ca</w:t>
      </w:r>
      <w:r w:rsidRPr="00504D41">
        <w:rPr>
          <w:szCs w:val="24"/>
          <w:vertAlign w:val="superscript"/>
        </w:rPr>
        <w:t>+2</w:t>
      </w:r>
      <w:r w:rsidRPr="00504D41">
        <w:rPr>
          <w:szCs w:val="24"/>
        </w:rPr>
        <w:t>, Ba</w:t>
      </w:r>
      <w:r w:rsidRPr="00504D41">
        <w:rPr>
          <w:szCs w:val="24"/>
          <w:vertAlign w:val="superscript"/>
        </w:rPr>
        <w:t>+2</w:t>
      </w:r>
      <w:r w:rsidRPr="00504D41">
        <w:rPr>
          <w:szCs w:val="24"/>
        </w:rPr>
        <w:t>, Zn</w:t>
      </w:r>
      <w:r w:rsidRPr="00504D41">
        <w:rPr>
          <w:szCs w:val="24"/>
          <w:vertAlign w:val="superscript"/>
        </w:rPr>
        <w:t>+2</w:t>
      </w:r>
      <w:r w:rsidRPr="00504D41">
        <w:rPr>
          <w:szCs w:val="24"/>
        </w:rPr>
        <w:t xml:space="preserve">) crosslinking solution could be applied on the seeds via spraying </w:t>
      </w:r>
      <w:r w:rsidR="00CC7B17" w:rsidRPr="00504D41">
        <w:rPr>
          <w:szCs w:val="24"/>
        </w:rPr>
        <w:t xml:space="preserve">to achieve </w:t>
      </w:r>
      <w:r w:rsidRPr="00504D41">
        <w:rPr>
          <w:szCs w:val="24"/>
        </w:rPr>
        <w:t>larger throughputs at lower costs.</w:t>
      </w:r>
    </w:p>
    <w:p w14:paraId="4F21EAF4" w14:textId="77777777" w:rsidR="005A181C" w:rsidRPr="00504D41" w:rsidRDefault="00CC7B17" w:rsidP="0016445D">
      <w:pPr>
        <w:tabs>
          <w:tab w:val="left" w:pos="0"/>
        </w:tabs>
        <w:spacing w:line="360" w:lineRule="auto"/>
        <w:jc w:val="both"/>
        <w:rPr>
          <w:szCs w:val="24"/>
        </w:rPr>
      </w:pPr>
      <w:r w:rsidRPr="00504D41">
        <w:rPr>
          <w:szCs w:val="24"/>
        </w:rPr>
        <w:lastRenderedPageBreak/>
        <w:t>For alginate</w:t>
      </w:r>
      <w:r w:rsidR="005A181C" w:rsidRPr="00504D41">
        <w:rPr>
          <w:szCs w:val="24"/>
        </w:rPr>
        <w:t xml:space="preserve"> bead based seed coatings, Berninger and coworkers have argued that smaller bead sizes are</w:t>
      </w:r>
      <w:r w:rsidR="00414BD0" w:rsidRPr="00504D41">
        <w:rPr>
          <w:szCs w:val="24"/>
        </w:rPr>
        <w:t xml:space="preserve"> more</w:t>
      </w:r>
      <w:r w:rsidR="005A181C" w:rsidRPr="00504D41">
        <w:rPr>
          <w:szCs w:val="24"/>
        </w:rPr>
        <w:t xml:space="preserve"> suitable for achieving a uniform coating on the seeds and maintain</w:t>
      </w:r>
      <w:r w:rsidR="00414BD0" w:rsidRPr="00504D41">
        <w:rPr>
          <w:szCs w:val="24"/>
        </w:rPr>
        <w:t>ing</w:t>
      </w:r>
      <w:r w:rsidR="005A181C" w:rsidRPr="00504D41">
        <w:rPr>
          <w:szCs w:val="24"/>
        </w:rPr>
        <w:t xml:space="preserve"> a favorable distance between the inoculated microbe and the seed</w:t>
      </w:r>
      <w:r w:rsidR="00027884" w:rsidRPr="00504D41">
        <w:rPr>
          <w:szCs w:val="24"/>
        </w:rPr>
        <w:t>.</w:t>
      </w:r>
      <w:r w:rsidR="006D54C2" w:rsidRPr="00504D41">
        <w:rPr>
          <w:noProof/>
          <w:szCs w:val="24"/>
          <w:vertAlign w:val="superscript"/>
        </w:rPr>
        <w:t>69</w:t>
      </w:r>
      <w:r w:rsidR="005A181C" w:rsidRPr="00504D41">
        <w:rPr>
          <w:szCs w:val="24"/>
        </w:rPr>
        <w:t xml:space="preserve"> They identified a range of lab-scale approaches to produce small-sized alginate beads loaded with PGPB. Techniques tested included (1) contact spotting wherein using an automated microarray system alginate drops were spotted on a reservoir following which the hardening CaCl</w:t>
      </w:r>
      <w:r w:rsidR="005A181C" w:rsidRPr="00504D41">
        <w:rPr>
          <w:szCs w:val="24"/>
          <w:vertAlign w:val="subscript"/>
        </w:rPr>
        <w:t>2</w:t>
      </w:r>
      <w:r w:rsidR="005A181C" w:rsidRPr="00504D41">
        <w:rPr>
          <w:szCs w:val="24"/>
        </w:rPr>
        <w:t xml:space="preserve"> solution was dropped on top of the alginate dots</w:t>
      </w:r>
      <w:r w:rsidR="007F51C7" w:rsidRPr="00504D41">
        <w:rPr>
          <w:szCs w:val="24"/>
        </w:rPr>
        <w:t xml:space="preserve"> (Figure </w:t>
      </w:r>
      <w:r w:rsidR="00012B9D" w:rsidRPr="00504D41">
        <w:rPr>
          <w:szCs w:val="24"/>
        </w:rPr>
        <w:t>4</w:t>
      </w:r>
      <w:r w:rsidR="007F51C7" w:rsidRPr="00504D41">
        <w:rPr>
          <w:szCs w:val="24"/>
        </w:rPr>
        <w:t>g)</w:t>
      </w:r>
      <w:r w:rsidR="005A181C" w:rsidRPr="00504D41">
        <w:rPr>
          <w:szCs w:val="24"/>
        </w:rPr>
        <w:t xml:space="preserve">, (2) </w:t>
      </w:r>
      <w:r w:rsidR="00145B97" w:rsidRPr="00504D41">
        <w:rPr>
          <w:szCs w:val="24"/>
        </w:rPr>
        <w:t>s</w:t>
      </w:r>
      <w:r w:rsidR="005A181C" w:rsidRPr="00504D41">
        <w:rPr>
          <w:szCs w:val="24"/>
        </w:rPr>
        <w:t>yringe based extrusion of alginate solution into the hardening bath</w:t>
      </w:r>
      <w:r w:rsidR="007F51C7" w:rsidRPr="00504D41">
        <w:rPr>
          <w:szCs w:val="24"/>
        </w:rPr>
        <w:t xml:space="preserve"> (Figure </w:t>
      </w:r>
      <w:r w:rsidR="00012B9D" w:rsidRPr="00504D41">
        <w:rPr>
          <w:szCs w:val="24"/>
        </w:rPr>
        <w:t>4</w:t>
      </w:r>
      <w:r w:rsidR="007F51C7" w:rsidRPr="00504D41">
        <w:rPr>
          <w:szCs w:val="24"/>
        </w:rPr>
        <w:t>h</w:t>
      </w:r>
      <w:r w:rsidR="007B34E2" w:rsidRPr="00504D41">
        <w:rPr>
          <w:szCs w:val="24"/>
        </w:rPr>
        <w:t>, i</w:t>
      </w:r>
      <w:r w:rsidR="007F51C7" w:rsidRPr="00504D41">
        <w:rPr>
          <w:szCs w:val="24"/>
        </w:rPr>
        <w:t>)</w:t>
      </w:r>
      <w:r w:rsidR="005A181C" w:rsidRPr="00504D41">
        <w:rPr>
          <w:szCs w:val="24"/>
        </w:rPr>
        <w:t xml:space="preserve">, (3) </w:t>
      </w:r>
      <w:r w:rsidR="00145B97" w:rsidRPr="00504D41">
        <w:rPr>
          <w:szCs w:val="24"/>
        </w:rPr>
        <w:t>a</w:t>
      </w:r>
      <w:r w:rsidR="005A181C" w:rsidRPr="00504D41">
        <w:rPr>
          <w:szCs w:val="24"/>
        </w:rPr>
        <w:t xml:space="preserve">utomatic pipetting of the alginate solution into the hardening bath </w:t>
      </w:r>
      <w:r w:rsidR="007F51C7" w:rsidRPr="00504D41">
        <w:rPr>
          <w:szCs w:val="24"/>
        </w:rPr>
        <w:t xml:space="preserve">(Figure </w:t>
      </w:r>
      <w:r w:rsidR="002F73C3" w:rsidRPr="00504D41">
        <w:rPr>
          <w:szCs w:val="24"/>
        </w:rPr>
        <w:t>4</w:t>
      </w:r>
      <w:r w:rsidR="0031110C" w:rsidRPr="00504D41">
        <w:rPr>
          <w:szCs w:val="24"/>
        </w:rPr>
        <w:t>j</w:t>
      </w:r>
      <w:r w:rsidR="007F51C7" w:rsidRPr="00504D41">
        <w:rPr>
          <w:szCs w:val="24"/>
        </w:rPr>
        <w:t xml:space="preserve">) </w:t>
      </w:r>
      <w:r w:rsidR="005A181C" w:rsidRPr="00504D41">
        <w:rPr>
          <w:szCs w:val="24"/>
        </w:rPr>
        <w:t>and (4)</w:t>
      </w:r>
      <w:r w:rsidR="00027884" w:rsidRPr="00504D41">
        <w:rPr>
          <w:szCs w:val="24"/>
        </w:rPr>
        <w:t xml:space="preserve"> </w:t>
      </w:r>
      <w:r w:rsidR="005A181C" w:rsidRPr="00504D41">
        <w:rPr>
          <w:szCs w:val="24"/>
        </w:rPr>
        <w:t>production of alginate beads from commercial nanodispenser, and encapsulator instruments. Contact spotting produced the smallest bead sizes however at very low throughputs of 10</w:t>
      </w:r>
      <w:r w:rsidR="005A181C" w:rsidRPr="00504D41">
        <w:rPr>
          <w:szCs w:val="24"/>
          <w:vertAlign w:val="superscript"/>
        </w:rPr>
        <w:t>-7</w:t>
      </w:r>
      <w:r w:rsidR="005A181C" w:rsidRPr="00504D41">
        <w:rPr>
          <w:szCs w:val="24"/>
        </w:rPr>
        <w:t>ml</w:t>
      </w:r>
      <w:r w:rsidRPr="00504D41">
        <w:rPr>
          <w:szCs w:val="24"/>
        </w:rPr>
        <w:t>.</w:t>
      </w:r>
      <w:r w:rsidR="005A181C" w:rsidRPr="00504D41">
        <w:rPr>
          <w:szCs w:val="24"/>
        </w:rPr>
        <w:t>min</w:t>
      </w:r>
      <w:r w:rsidR="00D557AF" w:rsidRPr="00504D41">
        <w:rPr>
          <w:szCs w:val="24"/>
          <w:vertAlign w:val="superscript"/>
        </w:rPr>
        <w:t>-</w:t>
      </w:r>
      <w:r w:rsidR="002F73C3" w:rsidRPr="00504D41">
        <w:rPr>
          <w:szCs w:val="24"/>
          <w:vertAlign w:val="superscript"/>
        </w:rPr>
        <w:t>1</w:t>
      </w:r>
      <w:r w:rsidR="005F3A77" w:rsidRPr="00504D41">
        <w:rPr>
          <w:szCs w:val="24"/>
        </w:rPr>
        <w:t>.</w:t>
      </w:r>
      <w:r w:rsidR="005A181C" w:rsidRPr="00504D41">
        <w:rPr>
          <w:szCs w:val="24"/>
        </w:rPr>
        <w:t xml:space="preserve"> </w:t>
      </w:r>
      <w:r w:rsidR="005F3A77" w:rsidRPr="00504D41">
        <w:rPr>
          <w:szCs w:val="24"/>
        </w:rPr>
        <w:t>T</w:t>
      </w:r>
      <w:r w:rsidR="005A181C" w:rsidRPr="00504D41">
        <w:rPr>
          <w:szCs w:val="24"/>
        </w:rPr>
        <w:t>he maximum throughput</w:t>
      </w:r>
      <w:r w:rsidR="003F4583" w:rsidRPr="00504D41">
        <w:rPr>
          <w:szCs w:val="24"/>
        </w:rPr>
        <w:t xml:space="preserve"> </w:t>
      </w:r>
      <w:r w:rsidR="005A181C" w:rsidRPr="00504D41">
        <w:rPr>
          <w:szCs w:val="24"/>
        </w:rPr>
        <w:t>was achieved by manually dropping a drop of alginate solution in a CaCl</w:t>
      </w:r>
      <w:r w:rsidR="005A181C" w:rsidRPr="00504D41">
        <w:rPr>
          <w:szCs w:val="24"/>
          <w:vertAlign w:val="subscript"/>
        </w:rPr>
        <w:t>2</w:t>
      </w:r>
      <w:r w:rsidR="005A181C" w:rsidRPr="00504D41">
        <w:rPr>
          <w:szCs w:val="24"/>
        </w:rPr>
        <w:t xml:space="preserve"> hardening bath </w:t>
      </w:r>
      <w:r w:rsidR="005F3A77" w:rsidRPr="00504D41">
        <w:rPr>
          <w:szCs w:val="24"/>
        </w:rPr>
        <w:t>at</w:t>
      </w:r>
      <w:r w:rsidR="005A181C" w:rsidRPr="00504D41">
        <w:rPr>
          <w:szCs w:val="24"/>
        </w:rPr>
        <w:t xml:space="preserve"> 5 ml</w:t>
      </w:r>
      <w:r w:rsidRPr="00504D41">
        <w:rPr>
          <w:szCs w:val="24"/>
        </w:rPr>
        <w:t>.</w:t>
      </w:r>
      <w:r w:rsidR="005A181C" w:rsidRPr="00504D41">
        <w:rPr>
          <w:szCs w:val="24"/>
        </w:rPr>
        <w:t>min</w:t>
      </w:r>
      <w:r w:rsidR="00B52AFF" w:rsidRPr="00504D41">
        <w:rPr>
          <w:szCs w:val="24"/>
          <w:vertAlign w:val="superscript"/>
        </w:rPr>
        <w:t>-1</w:t>
      </w:r>
      <w:r w:rsidRPr="00504D41">
        <w:rPr>
          <w:szCs w:val="24"/>
        </w:rPr>
        <w:t>, producing</w:t>
      </w:r>
      <w:r w:rsidR="00466A0E" w:rsidRPr="00504D41">
        <w:rPr>
          <w:szCs w:val="24"/>
        </w:rPr>
        <w:t xml:space="preserve"> </w:t>
      </w:r>
      <w:r w:rsidRPr="00504D41">
        <w:rPr>
          <w:szCs w:val="24"/>
        </w:rPr>
        <w:t xml:space="preserve">beads in </w:t>
      </w:r>
      <w:r w:rsidR="005A181C" w:rsidRPr="00504D41">
        <w:rPr>
          <w:szCs w:val="24"/>
        </w:rPr>
        <w:t>mm size range</w:t>
      </w:r>
      <w:r w:rsidRPr="00504D41">
        <w:rPr>
          <w:szCs w:val="24"/>
        </w:rPr>
        <w:t xml:space="preserve">. </w:t>
      </w:r>
      <w:r w:rsidR="005A181C" w:rsidRPr="00504D41">
        <w:rPr>
          <w:szCs w:val="24"/>
        </w:rPr>
        <w:t xml:space="preserve">Surface coverage of seeds with smaller sized beads was reported to be higher as compared to larger sized beads. The authors have argued that crushing larger sized beads prior to coating on seeds may help overcome low-throughput limitations associated with </w:t>
      </w:r>
      <w:r w:rsidRPr="00504D41">
        <w:rPr>
          <w:szCs w:val="24"/>
        </w:rPr>
        <w:t xml:space="preserve">the </w:t>
      </w:r>
      <w:r w:rsidR="005A181C" w:rsidRPr="00504D41">
        <w:rPr>
          <w:szCs w:val="24"/>
        </w:rPr>
        <w:t xml:space="preserve">production of smaller bead sizes. </w:t>
      </w:r>
    </w:p>
    <w:p w14:paraId="633F78EA" w14:textId="77777777" w:rsidR="00896FA5" w:rsidRPr="00504D41" w:rsidRDefault="005A181C" w:rsidP="00896FA5">
      <w:pPr>
        <w:spacing w:line="360" w:lineRule="auto"/>
        <w:jc w:val="both"/>
      </w:pPr>
      <w:r w:rsidRPr="00504D41">
        <w:rPr>
          <w:szCs w:val="24"/>
        </w:rPr>
        <w:t>Alginates have also been used in combination with other materials to produce</w:t>
      </w:r>
      <w:r w:rsidR="00C32872" w:rsidRPr="00504D41">
        <w:rPr>
          <w:szCs w:val="24"/>
        </w:rPr>
        <w:t xml:space="preserve"> hybrid seed coating materials. </w:t>
      </w:r>
      <w:r w:rsidRPr="00504D41">
        <w:rPr>
          <w:szCs w:val="24"/>
        </w:rPr>
        <w:t xml:space="preserve">Recently Castro et al. proposed the use of a composite film consisting of alginate and a layered double hydroxide (LDH) of </w:t>
      </w:r>
      <w:r w:rsidR="00E45CCD" w:rsidRPr="00504D41">
        <w:rPr>
          <w:szCs w:val="24"/>
        </w:rPr>
        <w:t>Zn</w:t>
      </w:r>
      <w:r w:rsidRPr="00504D41">
        <w:rPr>
          <w:szCs w:val="24"/>
        </w:rPr>
        <w:t xml:space="preserve"> and </w:t>
      </w:r>
      <w:r w:rsidR="00765772" w:rsidRPr="00504D41">
        <w:rPr>
          <w:szCs w:val="24"/>
        </w:rPr>
        <w:t>aluminum (</w:t>
      </w:r>
      <w:r w:rsidRPr="00504D41">
        <w:rPr>
          <w:szCs w:val="24"/>
        </w:rPr>
        <w:t>Al</w:t>
      </w:r>
      <w:r w:rsidR="00765772" w:rsidRPr="00504D41">
        <w:rPr>
          <w:szCs w:val="24"/>
        </w:rPr>
        <w:t>)</w:t>
      </w:r>
      <w:r w:rsidRPr="00504D41">
        <w:rPr>
          <w:szCs w:val="24"/>
        </w:rPr>
        <w:t xml:space="preserve"> as bean</w:t>
      </w:r>
      <w:r w:rsidR="00704283" w:rsidRPr="00504D41">
        <w:rPr>
          <w:szCs w:val="24"/>
        </w:rPr>
        <w:t xml:space="preserve"> </w:t>
      </w:r>
      <w:r w:rsidR="00704283" w:rsidRPr="00504D41">
        <w:rPr>
          <w:szCs w:val="24"/>
          <w:shd w:val="clear" w:color="auto" w:fill="FFFFFF"/>
        </w:rPr>
        <w:t>(</w:t>
      </w:r>
      <w:r w:rsidR="00704283" w:rsidRPr="00504D41">
        <w:rPr>
          <w:rStyle w:val="Emphasis"/>
          <w:szCs w:val="24"/>
          <w:shd w:val="clear" w:color="auto" w:fill="FFFFFF"/>
        </w:rPr>
        <w:t>Phaseolus vulgaris L.</w:t>
      </w:r>
      <w:r w:rsidR="00704283" w:rsidRPr="00504D41">
        <w:rPr>
          <w:szCs w:val="24"/>
          <w:shd w:val="clear" w:color="auto" w:fill="FFFFFF"/>
        </w:rPr>
        <w:t>)</w:t>
      </w:r>
      <w:r w:rsidRPr="00504D41">
        <w:rPr>
          <w:szCs w:val="24"/>
        </w:rPr>
        <w:t xml:space="preserve"> seed coatings. These hybrid coatings were incorporated with plant growth regulating auxins. Results of the pot trials showed enhanced biometric parameters (root surface area and fresh mat</w:t>
      </w:r>
      <w:r w:rsidR="00526625" w:rsidRPr="00504D41">
        <w:rPr>
          <w:szCs w:val="24"/>
        </w:rPr>
        <w:t>t</w:t>
      </w:r>
      <w:r w:rsidRPr="00504D41">
        <w:rPr>
          <w:szCs w:val="24"/>
        </w:rPr>
        <w:t xml:space="preserve">er and shoot length) however germination rate and speed </w:t>
      </w:r>
      <w:r w:rsidR="00CC7B17" w:rsidRPr="00504D41">
        <w:rPr>
          <w:szCs w:val="24"/>
        </w:rPr>
        <w:t xml:space="preserve">were </w:t>
      </w:r>
      <w:r w:rsidRPr="00504D41">
        <w:rPr>
          <w:szCs w:val="24"/>
        </w:rPr>
        <w:t xml:space="preserve">lower in all </w:t>
      </w:r>
      <w:r w:rsidR="00CC7B17" w:rsidRPr="00504D41">
        <w:rPr>
          <w:szCs w:val="24"/>
        </w:rPr>
        <w:t xml:space="preserve">the </w:t>
      </w:r>
      <w:r w:rsidRPr="00504D41">
        <w:rPr>
          <w:szCs w:val="24"/>
        </w:rPr>
        <w:t>samples compared to untreated controls</w:t>
      </w:r>
      <w:r w:rsidR="007F51C7" w:rsidRPr="00504D41">
        <w:rPr>
          <w:szCs w:val="24"/>
        </w:rPr>
        <w:t xml:space="preserve"> (Figure </w:t>
      </w:r>
      <w:r w:rsidR="00F13E9C" w:rsidRPr="00504D41">
        <w:rPr>
          <w:szCs w:val="24"/>
        </w:rPr>
        <w:t>4</w:t>
      </w:r>
      <w:r w:rsidR="002D09CB" w:rsidRPr="00504D41">
        <w:rPr>
          <w:szCs w:val="24"/>
        </w:rPr>
        <w:t>k</w:t>
      </w:r>
      <w:r w:rsidR="007C0245" w:rsidRPr="00504D41">
        <w:rPr>
          <w:szCs w:val="24"/>
        </w:rPr>
        <w:t xml:space="preserve">, </w:t>
      </w:r>
      <w:r w:rsidR="002D09CB" w:rsidRPr="00504D41">
        <w:rPr>
          <w:szCs w:val="24"/>
        </w:rPr>
        <w:t>l</w:t>
      </w:r>
      <w:r w:rsidR="007C0245" w:rsidRPr="00504D41">
        <w:rPr>
          <w:szCs w:val="24"/>
        </w:rPr>
        <w:t>)</w:t>
      </w:r>
      <w:r w:rsidR="00027884" w:rsidRPr="00504D41">
        <w:rPr>
          <w:szCs w:val="24"/>
        </w:rPr>
        <w:t>.</w:t>
      </w:r>
      <w:r w:rsidR="006D54C2" w:rsidRPr="00504D41">
        <w:rPr>
          <w:noProof/>
          <w:szCs w:val="24"/>
          <w:vertAlign w:val="superscript"/>
        </w:rPr>
        <w:t>71</w:t>
      </w:r>
      <w:r w:rsidR="00ED5E70" w:rsidRPr="00504D41">
        <w:rPr>
          <w:szCs w:val="24"/>
        </w:rPr>
        <w:t xml:space="preserve"> </w:t>
      </w:r>
      <w:r w:rsidR="00665BDA" w:rsidRPr="00504D41">
        <w:rPr>
          <w:szCs w:val="24"/>
        </w:rPr>
        <w:t>Although t</w:t>
      </w:r>
      <w:r w:rsidR="00CE06F4" w:rsidRPr="00504D41">
        <w:rPr>
          <w:szCs w:val="24"/>
        </w:rPr>
        <w:t xml:space="preserve">he intercalation of the </w:t>
      </w:r>
      <w:r w:rsidR="00665BDA" w:rsidRPr="00504D41">
        <w:rPr>
          <w:szCs w:val="24"/>
        </w:rPr>
        <w:t xml:space="preserve">auxins within the LDH can </w:t>
      </w:r>
      <w:r w:rsidR="003E06E5" w:rsidRPr="00504D41">
        <w:rPr>
          <w:szCs w:val="24"/>
        </w:rPr>
        <w:t>facilitate their slow release and reduce the amount of AI required</w:t>
      </w:r>
      <w:r w:rsidR="00FF5B8A" w:rsidRPr="00504D41">
        <w:rPr>
          <w:szCs w:val="24"/>
        </w:rPr>
        <w:t>, t</w:t>
      </w:r>
      <w:r w:rsidRPr="00504D41">
        <w:rPr>
          <w:szCs w:val="24"/>
        </w:rPr>
        <w:t xml:space="preserve">he inhibited germination of coated seeds can be a drawback due to </w:t>
      </w:r>
      <w:r w:rsidR="006A5CB1" w:rsidRPr="00504D41">
        <w:rPr>
          <w:szCs w:val="24"/>
        </w:rPr>
        <w:t>potential</w:t>
      </w:r>
      <w:r w:rsidRPr="00504D41">
        <w:rPr>
          <w:szCs w:val="24"/>
        </w:rPr>
        <w:t xml:space="preserve"> reduc</w:t>
      </w:r>
      <w:r w:rsidR="006A5CB1" w:rsidRPr="00504D41">
        <w:rPr>
          <w:szCs w:val="24"/>
        </w:rPr>
        <w:t>tion in</w:t>
      </w:r>
      <w:r w:rsidRPr="00504D41">
        <w:rPr>
          <w:szCs w:val="24"/>
        </w:rPr>
        <w:t xml:space="preserve"> crop yield. </w:t>
      </w:r>
      <w:r w:rsidR="00EF6C83" w:rsidRPr="00504D41">
        <w:t xml:space="preserve">Recently researchers have also explored </w:t>
      </w:r>
      <w:r w:rsidR="00CC7B17" w:rsidRPr="00504D41">
        <w:t xml:space="preserve">the </w:t>
      </w:r>
      <w:r w:rsidR="00EF6C83" w:rsidRPr="00504D41">
        <w:t>use of quaternary ammonium alginate salts as seed coatings. Sequeira et al</w:t>
      </w:r>
      <w:r w:rsidR="006D54C2" w:rsidRPr="00504D41">
        <w:rPr>
          <w:noProof/>
          <w:vertAlign w:val="superscript"/>
        </w:rPr>
        <w:t>72</w:t>
      </w:r>
      <w:r w:rsidR="00EF6C83" w:rsidRPr="00504D41">
        <w:t xml:space="preserve"> extracted alginic acid directly through </w:t>
      </w:r>
      <w:r w:rsidR="00CC7B17" w:rsidRPr="00504D41">
        <w:t xml:space="preserve">the </w:t>
      </w:r>
      <w:r w:rsidR="00EF6C83" w:rsidRPr="00504D41">
        <w:t xml:space="preserve">dissolution of seaweed in HCl followed by treatment with </w:t>
      </w:r>
      <w:r w:rsidR="00CC7B17" w:rsidRPr="00504D41">
        <w:t xml:space="preserve">an </w:t>
      </w:r>
      <w:r w:rsidR="00EF6C83" w:rsidRPr="00504D41">
        <w:t xml:space="preserve">aqueous solution of tetramethyl ammonium hydroxide resulting in </w:t>
      </w:r>
      <w:r w:rsidR="00CC7B17" w:rsidRPr="00504D41">
        <w:t xml:space="preserve">the </w:t>
      </w:r>
      <w:r w:rsidR="00EF6C83" w:rsidRPr="00504D41">
        <w:t>formation of tetramethyl ammonium alginate (TMAA). In addition, they extracted cellulose from the remaining seaweed biomass through bleaching with H</w:t>
      </w:r>
      <w:r w:rsidR="00EF6C83" w:rsidRPr="00504D41">
        <w:rPr>
          <w:vertAlign w:val="subscript"/>
        </w:rPr>
        <w:t>2</w:t>
      </w:r>
      <w:r w:rsidR="00EF6C83" w:rsidRPr="00504D41">
        <w:t>O</w:t>
      </w:r>
      <w:r w:rsidR="00EF6C83" w:rsidRPr="00504D41">
        <w:rPr>
          <w:vertAlign w:val="subscript"/>
        </w:rPr>
        <w:t>2</w:t>
      </w:r>
      <w:r w:rsidR="00EF6C83" w:rsidRPr="00504D41">
        <w:t xml:space="preserve"> and pH adjustment. Germination assays showed significant improvements in shoot and root weight compared to controls. Although the synthesis scheme involves large amounts of water and reagents </w:t>
      </w:r>
      <w:r w:rsidR="00EF6C83" w:rsidRPr="00504D41">
        <w:lastRenderedPageBreak/>
        <w:t xml:space="preserve">(acids/alkali) during the washing stage, cellulose extraction is a step towards improving the sustainability of the extraction process. However, </w:t>
      </w:r>
      <w:r w:rsidR="00CC7B17" w:rsidRPr="00504D41">
        <w:t xml:space="preserve">the </w:t>
      </w:r>
      <w:r w:rsidR="00EF6C83" w:rsidRPr="00504D41">
        <w:t>toxic</w:t>
      </w:r>
      <w:r w:rsidR="00CC7B17" w:rsidRPr="00504D41">
        <w:t xml:space="preserve"> nature</w:t>
      </w:r>
      <w:r w:rsidR="00EF6C83" w:rsidRPr="00504D41">
        <w:t xml:space="preserve"> of quaternary ammonium compounds</w:t>
      </w:r>
      <w:r w:rsidR="00CC7B17" w:rsidRPr="00504D41">
        <w:t xml:space="preserve"> for aquatic organisms and microrganisms</w:t>
      </w:r>
      <w:r w:rsidR="00EF6C83" w:rsidRPr="00504D41">
        <w:t xml:space="preserve"> is a </w:t>
      </w:r>
      <w:r w:rsidR="00CC7B17" w:rsidRPr="00504D41">
        <w:t xml:space="preserve">major </w:t>
      </w:r>
      <w:r w:rsidR="00EF6C83" w:rsidRPr="00504D41">
        <w:t>concern</w:t>
      </w:r>
      <w:r w:rsidR="00CC7B17" w:rsidRPr="00504D41">
        <w:t>,</w:t>
      </w:r>
      <w:r w:rsidR="00EF6C83" w:rsidRPr="00504D41">
        <w:t xml:space="preserve"> particularly for use in agriculture applications.</w:t>
      </w:r>
    </w:p>
    <w:p w14:paraId="150EA6E4" w14:textId="77777777" w:rsidR="008E2905" w:rsidRPr="00504D41" w:rsidRDefault="00466A0E" w:rsidP="008E2905">
      <w:pPr>
        <w:spacing w:line="360" w:lineRule="auto"/>
        <w:jc w:val="both"/>
        <w:rPr>
          <w:szCs w:val="24"/>
        </w:rPr>
      </w:pPr>
      <w:r w:rsidRPr="00504D41">
        <w:rPr>
          <w:szCs w:val="24"/>
        </w:rPr>
        <w:t xml:space="preserve">From a sustainability view point, </w:t>
      </w:r>
      <w:r w:rsidR="00F03227" w:rsidRPr="00504D41">
        <w:rPr>
          <w:szCs w:val="24"/>
        </w:rPr>
        <w:t>a</w:t>
      </w:r>
      <w:r w:rsidR="008E2905" w:rsidRPr="00504D41">
        <w:rPr>
          <w:szCs w:val="24"/>
        </w:rPr>
        <w:t>lginate</w:t>
      </w:r>
      <w:r w:rsidR="00CC7B17" w:rsidRPr="00504D41">
        <w:rPr>
          <w:szCs w:val="24"/>
        </w:rPr>
        <w:t>s</w:t>
      </w:r>
      <w:r w:rsidR="008E2905" w:rsidRPr="00504D41">
        <w:rPr>
          <w:szCs w:val="24"/>
        </w:rPr>
        <w:t xml:space="preserve"> represent a renewable resource harvested from various species of brown seaweeds such as </w:t>
      </w:r>
      <w:r w:rsidR="008E2905" w:rsidRPr="00504D41">
        <w:rPr>
          <w:i/>
          <w:iCs/>
          <w:szCs w:val="24"/>
        </w:rPr>
        <w:t>Macrocystis sp</w:t>
      </w:r>
      <w:r w:rsidR="008E2905" w:rsidRPr="00504D41">
        <w:rPr>
          <w:szCs w:val="24"/>
        </w:rPr>
        <w:t>. (US), </w:t>
      </w:r>
      <w:r w:rsidR="008E2905" w:rsidRPr="00504D41">
        <w:rPr>
          <w:i/>
          <w:iCs/>
          <w:szCs w:val="24"/>
        </w:rPr>
        <w:t>Lessonia sp</w:t>
      </w:r>
      <w:r w:rsidR="008E2905" w:rsidRPr="00504D41">
        <w:rPr>
          <w:szCs w:val="24"/>
        </w:rPr>
        <w:t>. and </w:t>
      </w:r>
      <w:r w:rsidR="008E2905" w:rsidRPr="00504D41">
        <w:rPr>
          <w:i/>
          <w:iCs/>
          <w:szCs w:val="24"/>
        </w:rPr>
        <w:t>Durvillaea sp.</w:t>
      </w:r>
      <w:r w:rsidR="008E2905" w:rsidRPr="00504D41">
        <w:rPr>
          <w:szCs w:val="24"/>
        </w:rPr>
        <w:t xml:space="preserve"> (Chile), </w:t>
      </w:r>
      <w:r w:rsidR="008E2905" w:rsidRPr="00504D41">
        <w:rPr>
          <w:i/>
          <w:szCs w:val="24"/>
        </w:rPr>
        <w:t>Laminaria sp</w:t>
      </w:r>
      <w:r w:rsidR="008E2905" w:rsidRPr="00504D41">
        <w:rPr>
          <w:szCs w:val="24"/>
        </w:rPr>
        <w:t>., and </w:t>
      </w:r>
      <w:r w:rsidR="008E2905" w:rsidRPr="00504D41">
        <w:rPr>
          <w:i/>
          <w:iCs/>
          <w:szCs w:val="24"/>
        </w:rPr>
        <w:t>Ecklonia sp</w:t>
      </w:r>
      <w:r w:rsidR="008E2905" w:rsidRPr="00504D41">
        <w:rPr>
          <w:szCs w:val="24"/>
        </w:rPr>
        <w:t xml:space="preserve"> (Far East), </w:t>
      </w:r>
      <w:r w:rsidR="008E2905" w:rsidRPr="00504D41">
        <w:rPr>
          <w:i/>
          <w:iCs/>
        </w:rPr>
        <w:t xml:space="preserve">Laminaria digitata </w:t>
      </w:r>
      <w:r w:rsidR="008E2905" w:rsidRPr="00504D41">
        <w:t>(France</w:t>
      </w:r>
      <w:r w:rsidR="008E2905" w:rsidRPr="00504D41">
        <w:rPr>
          <w:rStyle w:val="Emphasis"/>
          <w:color w:val="212121"/>
          <w:szCs w:val="24"/>
          <w:shd w:val="clear" w:color="auto" w:fill="FFFFFF"/>
        </w:rPr>
        <w:t>).</w:t>
      </w:r>
      <w:r w:rsidR="006D54C2" w:rsidRPr="00504D41">
        <w:rPr>
          <w:rStyle w:val="Emphasis"/>
          <w:i w:val="0"/>
          <w:noProof/>
          <w:color w:val="212121"/>
          <w:szCs w:val="24"/>
          <w:shd w:val="clear" w:color="auto" w:fill="FFFFFF"/>
          <w:vertAlign w:val="superscript"/>
        </w:rPr>
        <w:t>73</w:t>
      </w:r>
      <w:r w:rsidR="008E2905" w:rsidRPr="00504D41">
        <w:rPr>
          <w:rStyle w:val="Emphasis"/>
          <w:color w:val="212121"/>
          <w:szCs w:val="24"/>
          <w:shd w:val="clear" w:color="auto" w:fill="FFFFFF"/>
        </w:rPr>
        <w:t xml:space="preserve"> </w:t>
      </w:r>
      <w:r w:rsidR="008E2905" w:rsidRPr="00504D41">
        <w:rPr>
          <w:rStyle w:val="Emphasis"/>
          <w:i w:val="0"/>
          <w:iCs w:val="0"/>
          <w:color w:val="212121"/>
          <w:szCs w:val="24"/>
          <w:shd w:val="clear" w:color="auto" w:fill="FFFFFF"/>
        </w:rPr>
        <w:t>Brown seaweed</w:t>
      </w:r>
      <w:r w:rsidR="008E2905" w:rsidRPr="00504D41">
        <w:rPr>
          <w:rStyle w:val="Emphasis"/>
          <w:color w:val="212121"/>
          <w:szCs w:val="24"/>
          <w:shd w:val="clear" w:color="auto" w:fill="FFFFFF"/>
        </w:rPr>
        <w:t xml:space="preserve">, </w:t>
      </w:r>
      <w:r w:rsidR="008E2905" w:rsidRPr="00504D41">
        <w:rPr>
          <w:szCs w:val="24"/>
        </w:rPr>
        <w:t>which is present in abundance in the world oceans,</w:t>
      </w:r>
      <w:r w:rsidR="006D54C2" w:rsidRPr="00504D41">
        <w:rPr>
          <w:noProof/>
          <w:szCs w:val="24"/>
          <w:vertAlign w:val="superscript"/>
        </w:rPr>
        <w:t>73–75</w:t>
      </w:r>
      <w:r w:rsidR="008E2905" w:rsidRPr="00504D41">
        <w:rPr>
          <w:szCs w:val="24"/>
        </w:rPr>
        <w:t xml:space="preserve"> </w:t>
      </w:r>
      <w:r w:rsidR="008E2905" w:rsidRPr="00504D41">
        <w:rPr>
          <w:rStyle w:val="Emphasis"/>
          <w:color w:val="212121"/>
          <w:szCs w:val="24"/>
          <w:shd w:val="clear" w:color="auto" w:fill="FFFFFF"/>
        </w:rPr>
        <w:t xml:space="preserve"> </w:t>
      </w:r>
      <w:r w:rsidR="008E2905" w:rsidRPr="00504D41">
        <w:rPr>
          <w:rStyle w:val="Emphasis"/>
          <w:i w:val="0"/>
          <w:iCs w:val="0"/>
          <w:color w:val="212121"/>
          <w:szCs w:val="24"/>
          <w:shd w:val="clear" w:color="auto" w:fill="FFFFFF"/>
        </w:rPr>
        <w:t xml:space="preserve">represents </w:t>
      </w:r>
      <w:r w:rsidR="00CC7B17" w:rsidRPr="00504D41">
        <w:rPr>
          <w:rStyle w:val="Emphasis"/>
          <w:i w:val="0"/>
          <w:iCs w:val="0"/>
          <w:color w:val="212121"/>
          <w:szCs w:val="24"/>
          <w:shd w:val="clear" w:color="auto" w:fill="FFFFFF"/>
        </w:rPr>
        <w:t xml:space="preserve">a </w:t>
      </w:r>
      <w:r w:rsidR="008E2905" w:rsidRPr="00504D41">
        <w:rPr>
          <w:rStyle w:val="Emphasis"/>
          <w:i w:val="0"/>
          <w:iCs w:val="0"/>
          <w:color w:val="212121"/>
          <w:szCs w:val="24"/>
          <w:shd w:val="clear" w:color="auto" w:fill="FFFFFF"/>
        </w:rPr>
        <w:t>fast growing organisms and their renewability fortifies their position as an unlimited raw material source.</w:t>
      </w:r>
      <w:r w:rsidR="008E2905" w:rsidRPr="00504D41">
        <w:rPr>
          <w:szCs w:val="24"/>
        </w:rPr>
        <w:tab/>
      </w:r>
    </w:p>
    <w:p w14:paraId="6E25324C" w14:textId="77777777" w:rsidR="008E2905" w:rsidRPr="00504D41" w:rsidRDefault="008E2905" w:rsidP="008E2905">
      <w:pPr>
        <w:spacing w:line="360" w:lineRule="auto"/>
        <w:jc w:val="both"/>
        <w:rPr>
          <w:szCs w:val="24"/>
        </w:rPr>
      </w:pPr>
      <w:r w:rsidRPr="00504D41">
        <w:rPr>
          <w:szCs w:val="24"/>
        </w:rPr>
        <w:t>T</w:t>
      </w:r>
      <w:r w:rsidR="00CC7B17" w:rsidRPr="00504D41">
        <w:rPr>
          <w:szCs w:val="24"/>
        </w:rPr>
        <w:t>he t</w:t>
      </w:r>
      <w:r w:rsidRPr="00504D41">
        <w:rPr>
          <w:szCs w:val="24"/>
        </w:rPr>
        <w:t xml:space="preserve">ypical alginate extraction process involves milling the washed seaweed into dry powder followed by chemical treatment to remove un-wanted materials. This is proceeded by breaking the cell wall through an acid or alkaline treatment. The pH is then neutralized through washing with water and alginate salts are extracted through sodium carbonate extraction. </w:t>
      </w:r>
      <w:r w:rsidR="00604D36" w:rsidRPr="00504D41">
        <w:rPr>
          <w:szCs w:val="24"/>
        </w:rPr>
        <w:t xml:space="preserve">Thus, from a green chemistry perspective, whereas alginate usage is favourable over fossil fuel derived coating materials due to raw-material renewability, existing extraction strategies present significant environmental burdens. </w:t>
      </w:r>
      <w:r w:rsidRPr="00504D41">
        <w:rPr>
          <w:szCs w:val="24"/>
        </w:rPr>
        <w:t xml:space="preserve">Use of large amounts of acids, alkalis, </w:t>
      </w:r>
      <w:r w:rsidR="00CC7B17" w:rsidRPr="00504D41">
        <w:rPr>
          <w:szCs w:val="24"/>
        </w:rPr>
        <w:t xml:space="preserve">and toxic </w:t>
      </w:r>
      <w:r w:rsidRPr="00504D41">
        <w:rPr>
          <w:szCs w:val="24"/>
        </w:rPr>
        <w:t xml:space="preserve">chemicals </w:t>
      </w:r>
      <w:r w:rsidR="00CC7B17" w:rsidRPr="00504D41">
        <w:rPr>
          <w:szCs w:val="24"/>
        </w:rPr>
        <w:t xml:space="preserve">such as </w:t>
      </w:r>
      <w:r w:rsidRPr="00504D41">
        <w:rPr>
          <w:szCs w:val="24"/>
        </w:rPr>
        <w:t>formaldehyde,</w:t>
      </w:r>
      <w:r w:rsidR="00CC7B17" w:rsidRPr="00504D41">
        <w:rPr>
          <w:szCs w:val="24"/>
        </w:rPr>
        <w:t xml:space="preserve"> together with</w:t>
      </w:r>
      <w:r w:rsidRPr="00504D41">
        <w:rPr>
          <w:szCs w:val="24"/>
        </w:rPr>
        <w:t xml:space="preserve"> high water and energy requirements are some of the potential issues that need to be optimized. Green alginate extraction techniques </w:t>
      </w:r>
      <w:r w:rsidR="00CC7B17" w:rsidRPr="00504D41">
        <w:rPr>
          <w:szCs w:val="24"/>
        </w:rPr>
        <w:t xml:space="preserve">including </w:t>
      </w:r>
      <w:r w:rsidRPr="00504D41">
        <w:rPr>
          <w:szCs w:val="24"/>
        </w:rPr>
        <w:t>ultrasound, microwave and enzyme assisted extractions are being researched but are expensive and possess scale-up challenges.</w:t>
      </w:r>
      <w:r w:rsidR="006D54C2" w:rsidRPr="00504D41">
        <w:rPr>
          <w:noProof/>
          <w:szCs w:val="24"/>
          <w:vertAlign w:val="superscript"/>
        </w:rPr>
        <w:t>76</w:t>
      </w:r>
    </w:p>
    <w:p w14:paraId="240773AA" w14:textId="77777777" w:rsidR="005A181C" w:rsidRPr="00504D41" w:rsidRDefault="00E57225" w:rsidP="0016445D">
      <w:pPr>
        <w:tabs>
          <w:tab w:val="left" w:pos="0"/>
        </w:tabs>
        <w:spacing w:line="360" w:lineRule="auto"/>
        <w:jc w:val="both"/>
        <w:rPr>
          <w:szCs w:val="24"/>
        </w:rPr>
      </w:pPr>
      <w:r w:rsidRPr="00504D41">
        <w:rPr>
          <w:szCs w:val="24"/>
        </w:rPr>
        <w:t xml:space="preserve">Overall, it can be surmised that alginate is a promising seed coating material. </w:t>
      </w:r>
      <w:r w:rsidR="005A181C" w:rsidRPr="00504D41">
        <w:rPr>
          <w:szCs w:val="24"/>
        </w:rPr>
        <w:t>However, concerns related to (1) inhibited seed germination rates,</w:t>
      </w:r>
      <w:r w:rsidR="00704283" w:rsidRPr="00504D41">
        <w:rPr>
          <w:szCs w:val="24"/>
        </w:rPr>
        <w:t xml:space="preserve"> </w:t>
      </w:r>
      <w:r w:rsidR="008E2905" w:rsidRPr="00504D41">
        <w:rPr>
          <w:szCs w:val="24"/>
        </w:rPr>
        <w:t xml:space="preserve">(3) green extraction strategies </w:t>
      </w:r>
      <w:r w:rsidR="005A181C" w:rsidRPr="00504D41">
        <w:rPr>
          <w:szCs w:val="24"/>
        </w:rPr>
        <w:t>and (2) the design of continuous and cost-effective strategies for synthesizing alginate coatings need to be addressed.</w:t>
      </w:r>
    </w:p>
    <w:p w14:paraId="4CED0385" w14:textId="77777777" w:rsidR="00721F10" w:rsidRPr="00504D41" w:rsidRDefault="000057B3" w:rsidP="0016445D">
      <w:pPr>
        <w:keepNext/>
        <w:tabs>
          <w:tab w:val="left" w:pos="0"/>
        </w:tabs>
        <w:spacing w:line="360" w:lineRule="auto"/>
        <w:rPr>
          <w:szCs w:val="24"/>
        </w:rPr>
      </w:pPr>
      <w:r w:rsidRPr="00504D41">
        <w:rPr>
          <w:noProof/>
        </w:rPr>
        <w:lastRenderedPageBreak/>
        <w:pict w14:anchorId="51412FED">
          <v:shape id="Picture 16" o:spid="_x0000_i1029" type="#_x0000_t75" alt="A picture containing diagram&#10;&#10;Description automatically generated" style="width:451.25pt;height:603.65pt;visibility:visible">
            <v:imagedata r:id="rId16" o:title="A picture containing diagram&#10;&#10;Description automatically generated"/>
          </v:shape>
        </w:pict>
      </w:r>
    </w:p>
    <w:p w14:paraId="3BACD916" w14:textId="77777777" w:rsidR="00086904" w:rsidRPr="00504D41" w:rsidRDefault="00721F10" w:rsidP="0016445D">
      <w:pPr>
        <w:spacing w:line="360" w:lineRule="auto"/>
        <w:jc w:val="both"/>
        <w:rPr>
          <w:szCs w:val="24"/>
        </w:rPr>
      </w:pPr>
      <w:r w:rsidRPr="00504D41">
        <w:rPr>
          <w:b/>
          <w:bCs/>
          <w:szCs w:val="24"/>
        </w:rPr>
        <w:lastRenderedPageBreak/>
        <w:t xml:space="preserve">Figure </w:t>
      </w:r>
      <w:r w:rsidR="00DB77CE" w:rsidRPr="00504D41">
        <w:rPr>
          <w:b/>
          <w:bCs/>
          <w:szCs w:val="24"/>
        </w:rPr>
        <w:fldChar w:fldCharType="begin"/>
      </w:r>
      <w:r w:rsidR="00DB77CE" w:rsidRPr="00504D41">
        <w:rPr>
          <w:b/>
          <w:bCs/>
          <w:szCs w:val="24"/>
        </w:rPr>
        <w:instrText xml:space="preserve"> SEQ Figure \* ARABIC </w:instrText>
      </w:r>
      <w:r w:rsidR="00DB77CE" w:rsidRPr="00504D41">
        <w:rPr>
          <w:b/>
          <w:bCs/>
          <w:szCs w:val="24"/>
        </w:rPr>
        <w:fldChar w:fldCharType="separate"/>
      </w:r>
      <w:r w:rsidR="003D0A6B" w:rsidRPr="00504D41">
        <w:rPr>
          <w:b/>
          <w:bCs/>
          <w:noProof/>
          <w:szCs w:val="24"/>
        </w:rPr>
        <w:t>4</w:t>
      </w:r>
      <w:r w:rsidR="00DB77CE" w:rsidRPr="00504D41">
        <w:rPr>
          <w:b/>
          <w:bCs/>
          <w:noProof/>
          <w:szCs w:val="24"/>
        </w:rPr>
        <w:fldChar w:fldCharType="end"/>
      </w:r>
      <w:r w:rsidR="006E4A61" w:rsidRPr="00504D41">
        <w:rPr>
          <w:szCs w:val="24"/>
        </w:rPr>
        <w:t>.</w:t>
      </w:r>
      <w:r w:rsidRPr="00504D41">
        <w:rPr>
          <w:szCs w:val="24"/>
        </w:rPr>
        <w:t xml:space="preserve"> (a-b) </w:t>
      </w:r>
      <w:bookmarkStart w:id="15" w:name="_Toc80791091"/>
      <w:r w:rsidR="00061E7D" w:rsidRPr="00504D41">
        <w:rPr>
          <w:szCs w:val="24"/>
        </w:rPr>
        <w:t>Chemical structures of alginate monomers. Adapted with permission</w:t>
      </w:r>
      <w:r w:rsidR="00E51437" w:rsidRPr="00504D41">
        <w:rPr>
          <w:szCs w:val="24"/>
        </w:rPr>
        <w:t>.</w:t>
      </w:r>
      <w:r w:rsidR="006D54C2" w:rsidRPr="00504D41">
        <w:rPr>
          <w:noProof/>
          <w:vertAlign w:val="superscript"/>
        </w:rPr>
        <w:t>62</w:t>
      </w:r>
      <w:r w:rsidR="00100E1B" w:rsidRPr="00504D41">
        <w:rPr>
          <w:szCs w:val="24"/>
        </w:rPr>
        <w:t xml:space="preserve"> </w:t>
      </w:r>
      <w:r w:rsidR="00061E7D" w:rsidRPr="00504D41">
        <w:rPr>
          <w:szCs w:val="24"/>
        </w:rPr>
        <w:t>Copyrights Taylor &amp; Francis 2017. (a) D-mannuronic acid (b) L-guluronic acid. (c-</w:t>
      </w:r>
      <w:r w:rsidR="00673920" w:rsidRPr="00504D41">
        <w:rPr>
          <w:szCs w:val="24"/>
        </w:rPr>
        <w:t>f</w:t>
      </w:r>
      <w:r w:rsidR="00061E7D" w:rsidRPr="00504D41">
        <w:rPr>
          <w:szCs w:val="24"/>
        </w:rPr>
        <w:t xml:space="preserve">) Micrographs of </w:t>
      </w:r>
      <w:r w:rsidR="00061E7D" w:rsidRPr="00504D41">
        <w:rPr>
          <w:i/>
          <w:iCs/>
          <w:szCs w:val="24"/>
        </w:rPr>
        <w:t>Azospirillum brasilense Cd</w:t>
      </w:r>
      <w:r w:rsidR="00061E7D" w:rsidRPr="00504D41">
        <w:rPr>
          <w:szCs w:val="24"/>
        </w:rPr>
        <w:t xml:space="preserve"> (PGPB) inoculated alginate microbeads.</w:t>
      </w:r>
      <w:r w:rsidR="00B56359" w:rsidRPr="00504D41">
        <w:rPr>
          <w:szCs w:val="24"/>
        </w:rPr>
        <w:t xml:space="preserve"> Adapted </w:t>
      </w:r>
      <w:r w:rsidR="00E51437" w:rsidRPr="00504D41">
        <w:rPr>
          <w:szCs w:val="24"/>
        </w:rPr>
        <w:t>with permission.</w:t>
      </w:r>
      <w:r w:rsidR="006D54C2" w:rsidRPr="00504D41">
        <w:rPr>
          <w:noProof/>
          <w:vertAlign w:val="superscript"/>
        </w:rPr>
        <w:t>53</w:t>
      </w:r>
      <w:r w:rsidR="001B16C2" w:rsidRPr="00504D41">
        <w:rPr>
          <w:szCs w:val="24"/>
        </w:rPr>
        <w:t xml:space="preserve"> </w:t>
      </w:r>
      <w:r w:rsidR="00061E7D" w:rsidRPr="00504D41">
        <w:rPr>
          <w:szCs w:val="24"/>
        </w:rPr>
        <w:t xml:space="preserve">Copyrights Springer Nature 2002. SEM image showing (c) wet and (d) dry (lyophilized) alginate microbeads colonized by </w:t>
      </w:r>
      <w:r w:rsidR="00061E7D" w:rsidRPr="00504D41">
        <w:rPr>
          <w:i/>
          <w:iCs/>
          <w:szCs w:val="24"/>
        </w:rPr>
        <w:t>A. brasilense Cd.</w:t>
      </w:r>
      <w:r w:rsidR="00061E7D" w:rsidRPr="00504D41">
        <w:rPr>
          <w:szCs w:val="24"/>
        </w:rPr>
        <w:t xml:space="preserve"> (e) TEM image showing interior of a wet microbead containing </w:t>
      </w:r>
      <w:r w:rsidR="00061E7D" w:rsidRPr="00504D41">
        <w:rPr>
          <w:i/>
          <w:iCs/>
          <w:szCs w:val="24"/>
        </w:rPr>
        <w:t>A. brasilense Cd.</w:t>
      </w:r>
      <w:r w:rsidR="00061E7D" w:rsidRPr="00504D41">
        <w:rPr>
          <w:szCs w:val="24"/>
        </w:rPr>
        <w:t xml:space="preserve"> (f) Pot trial results showing increase in leaf and root dry weight after seedling treatment with inoculated alginate microbeads. Similar alphabets indicate statistically similar groups at P ≤ 0.05.</w:t>
      </w:r>
      <w:r w:rsidR="0030358B" w:rsidRPr="00504D41">
        <w:rPr>
          <w:szCs w:val="24"/>
        </w:rPr>
        <w:t xml:space="preserve"> </w:t>
      </w:r>
      <w:r w:rsidR="00061E7D" w:rsidRPr="00504D41">
        <w:rPr>
          <w:szCs w:val="24"/>
        </w:rPr>
        <w:t xml:space="preserve">(g-j) Digital images showing </w:t>
      </w:r>
      <w:r w:rsidR="00CC7B17" w:rsidRPr="00504D41">
        <w:rPr>
          <w:szCs w:val="24"/>
        </w:rPr>
        <w:t xml:space="preserve">the </w:t>
      </w:r>
      <w:r w:rsidR="00061E7D" w:rsidRPr="00504D41">
        <w:rPr>
          <w:szCs w:val="24"/>
        </w:rPr>
        <w:t xml:space="preserve">set-up of different techniques used to produce alginate microbeads. Adapted </w:t>
      </w:r>
      <w:r w:rsidR="00E51437" w:rsidRPr="00504D41">
        <w:rPr>
          <w:szCs w:val="24"/>
        </w:rPr>
        <w:t>with permission.</w:t>
      </w:r>
      <w:r w:rsidR="006D54C2" w:rsidRPr="00504D41">
        <w:rPr>
          <w:noProof/>
          <w:vertAlign w:val="superscript"/>
        </w:rPr>
        <w:t>69</w:t>
      </w:r>
      <w:r w:rsidR="00E51437" w:rsidRPr="00504D41">
        <w:rPr>
          <w:szCs w:val="24"/>
        </w:rPr>
        <w:t xml:space="preserve"> </w:t>
      </w:r>
      <w:r w:rsidR="00061E7D" w:rsidRPr="00504D41">
        <w:rPr>
          <w:szCs w:val="24"/>
        </w:rPr>
        <w:t>Copyrights Taylor &amp; Francis 2016. (g)</w:t>
      </w:r>
      <w:r w:rsidR="00CF40BE" w:rsidRPr="00504D41">
        <w:rPr>
          <w:szCs w:val="24"/>
        </w:rPr>
        <w:t xml:space="preserve"> </w:t>
      </w:r>
      <w:r w:rsidR="00061E7D" w:rsidRPr="00504D41">
        <w:rPr>
          <w:szCs w:val="24"/>
        </w:rPr>
        <w:t xml:space="preserve">Contact-spotting of alginate beads through use of spinning pin to drop alginate solution into multi-channel reservoir troughs. (h) syringe fitted into falcon tube used to drop alginate solution into hardening bath. (i) use of peristaltic pump to pump alginate solution into hardening bath. (j) pumping of alginate solution through automated liquid handler.(k-l) Graphs showing results of germination trials of bean seeds coated with sodium alginate and </w:t>
      </w:r>
      <w:r w:rsidR="00827951" w:rsidRPr="00504D41">
        <w:rPr>
          <w:szCs w:val="24"/>
        </w:rPr>
        <w:t>Zn</w:t>
      </w:r>
      <w:r w:rsidR="00061E7D" w:rsidRPr="00504D41">
        <w:rPr>
          <w:szCs w:val="24"/>
        </w:rPr>
        <w:t xml:space="preserve"> and </w:t>
      </w:r>
      <w:r w:rsidR="00827951" w:rsidRPr="00504D41">
        <w:rPr>
          <w:szCs w:val="24"/>
        </w:rPr>
        <w:t>Al</w:t>
      </w:r>
      <w:r w:rsidR="00061E7D" w:rsidRPr="00504D41">
        <w:rPr>
          <w:szCs w:val="24"/>
        </w:rPr>
        <w:t xml:space="preserve"> layered double hydroxide (LDH) and the synthetic auxin 1-naphthalenoacetic acid (ZnAl-NAA-LDH). Figures adapted from open source article</w:t>
      </w:r>
      <w:r w:rsidR="000E67E9" w:rsidRPr="00504D41">
        <w:rPr>
          <w:szCs w:val="24"/>
        </w:rPr>
        <w:t>.</w:t>
      </w:r>
      <w:r w:rsidR="006D54C2" w:rsidRPr="00504D41">
        <w:rPr>
          <w:noProof/>
          <w:vertAlign w:val="superscript"/>
        </w:rPr>
        <w:t>71</w:t>
      </w:r>
      <w:r w:rsidR="00061E7D" w:rsidRPr="00504D41">
        <w:rPr>
          <w:szCs w:val="24"/>
        </w:rPr>
        <w:t xml:space="preserve"> Treatments tested included (1) untreated controls, (2) alginate coating (M1) (2) alginate + ZnAl-CO3-LDH coating (M2), (3) alginate + NAA coating (M3), (4) alginate + ZnAl-NAA-LDH coating (M4). (k) All tested coated seeds exhibited germination rates lower than uncoated seeds. (l) Germination speed index (GSI) of the three test samples compared to uncoated control showing reduced germination behavior of the coated seeds.</w:t>
      </w:r>
    </w:p>
    <w:p w14:paraId="7110FDAD" w14:textId="77777777" w:rsidR="00641858" w:rsidRPr="00504D41" w:rsidRDefault="00C32872" w:rsidP="0016445D">
      <w:pPr>
        <w:spacing w:line="360" w:lineRule="auto"/>
      </w:pPr>
      <w:r w:rsidRPr="00504D41">
        <w:t xml:space="preserve">4.2.2. </w:t>
      </w:r>
      <w:r w:rsidR="00641858" w:rsidRPr="00504D41">
        <w:t>Chitosan</w:t>
      </w:r>
      <w:bookmarkEnd w:id="15"/>
    </w:p>
    <w:p w14:paraId="33E0CA23" w14:textId="77777777" w:rsidR="00CC7B17" w:rsidRPr="00504D41" w:rsidRDefault="00641858" w:rsidP="0016445D">
      <w:pPr>
        <w:tabs>
          <w:tab w:val="left" w:pos="0"/>
        </w:tabs>
        <w:spacing w:line="360" w:lineRule="auto"/>
        <w:jc w:val="both"/>
        <w:rPr>
          <w:szCs w:val="24"/>
        </w:rPr>
      </w:pPr>
      <w:r w:rsidRPr="00504D41">
        <w:rPr>
          <w:szCs w:val="24"/>
        </w:rPr>
        <w:t>Chitosan is a naturally occurring biopolymer consisting of glucosamine (~70-80%) and N-acetyl glucosamine (~20-30%%) residues</w:t>
      </w:r>
      <w:r w:rsidR="000E67E9" w:rsidRPr="00504D41">
        <w:rPr>
          <w:szCs w:val="24"/>
        </w:rPr>
        <w:t>.</w:t>
      </w:r>
      <w:r w:rsidR="006D54C2" w:rsidRPr="00504D41">
        <w:rPr>
          <w:noProof/>
          <w:szCs w:val="24"/>
          <w:vertAlign w:val="superscript"/>
        </w:rPr>
        <w:t>77</w:t>
      </w:r>
      <w:r w:rsidRPr="00504D41">
        <w:rPr>
          <w:szCs w:val="24"/>
        </w:rPr>
        <w:t xml:space="preserve"> It is produced by the deacetylation of chitin</w:t>
      </w:r>
      <w:r w:rsidR="000E67E9" w:rsidRPr="00504D41">
        <w:rPr>
          <w:szCs w:val="24"/>
        </w:rPr>
        <w:t>,</w:t>
      </w:r>
      <w:r w:rsidR="006D54C2" w:rsidRPr="00504D41">
        <w:rPr>
          <w:noProof/>
          <w:szCs w:val="24"/>
          <w:vertAlign w:val="superscript"/>
        </w:rPr>
        <w:t>78</w:t>
      </w:r>
      <w:r w:rsidRPr="00504D41">
        <w:rPr>
          <w:szCs w:val="24"/>
        </w:rPr>
        <w:t xml:space="preserve"> a natural polysaccharide found in the exoskeleton of crustaceans, insects, and nematodes</w:t>
      </w:r>
      <w:r w:rsidR="00DE06CC" w:rsidRPr="00504D41">
        <w:rPr>
          <w:szCs w:val="24"/>
        </w:rPr>
        <w:t xml:space="preserve">. </w:t>
      </w:r>
      <w:r w:rsidRPr="00504D41">
        <w:rPr>
          <w:szCs w:val="24"/>
        </w:rPr>
        <w:t>The chemical structure of chitosan</w:t>
      </w:r>
      <w:r w:rsidR="001D0071" w:rsidRPr="00504D41">
        <w:rPr>
          <w:szCs w:val="24"/>
        </w:rPr>
        <w:t xml:space="preserve"> (</w:t>
      </w:r>
      <w:r w:rsidR="001D0071" w:rsidRPr="00504D41">
        <w:rPr>
          <w:b/>
          <w:bCs/>
          <w:szCs w:val="24"/>
        </w:rPr>
        <w:t xml:space="preserve">Figure </w:t>
      </w:r>
      <w:r w:rsidR="00027043" w:rsidRPr="00504D41">
        <w:rPr>
          <w:b/>
          <w:bCs/>
          <w:szCs w:val="24"/>
        </w:rPr>
        <w:t>5</w:t>
      </w:r>
      <w:r w:rsidR="001D0071" w:rsidRPr="00504D41">
        <w:rPr>
          <w:b/>
          <w:bCs/>
          <w:szCs w:val="24"/>
        </w:rPr>
        <w:t>a</w:t>
      </w:r>
      <w:r w:rsidR="001D0071" w:rsidRPr="00504D41">
        <w:rPr>
          <w:szCs w:val="24"/>
        </w:rPr>
        <w:t>)</w:t>
      </w:r>
      <w:r w:rsidRPr="00504D41">
        <w:rPr>
          <w:szCs w:val="24"/>
        </w:rPr>
        <w:t xml:space="preserve"> offers ease of processability due to the presence of the highly reactive hydroxyl and amino groups which can react with a large number of other mol</w:t>
      </w:r>
      <w:r w:rsidR="00DC2C23" w:rsidRPr="00504D41">
        <w:rPr>
          <w:szCs w:val="24"/>
        </w:rPr>
        <w:t>e</w:t>
      </w:r>
      <w:r w:rsidRPr="00504D41">
        <w:rPr>
          <w:szCs w:val="24"/>
        </w:rPr>
        <w:t xml:space="preserve">cules. This </w:t>
      </w:r>
      <w:r w:rsidR="00065595" w:rsidRPr="00504D41">
        <w:rPr>
          <w:szCs w:val="24"/>
        </w:rPr>
        <w:t xml:space="preserve">chemical reactivity </w:t>
      </w:r>
      <w:r w:rsidRPr="00504D41">
        <w:rPr>
          <w:szCs w:val="24"/>
        </w:rPr>
        <w:t xml:space="preserve">combined with its biodegradability, biocompatibility, bio-safety, and antimicrobial properties </w:t>
      </w:r>
      <w:r w:rsidR="00CC7B17" w:rsidRPr="00504D41">
        <w:rPr>
          <w:szCs w:val="24"/>
        </w:rPr>
        <w:t xml:space="preserve">has </w:t>
      </w:r>
      <w:r w:rsidRPr="00504D41">
        <w:rPr>
          <w:szCs w:val="24"/>
        </w:rPr>
        <w:t xml:space="preserve">made chitosan an actively researched material for diverse agricultural applications including use as a carrier for AI, biofertilizer, soil remedial agents, seed </w:t>
      </w:r>
      <w:r w:rsidRPr="00504D41">
        <w:rPr>
          <w:szCs w:val="24"/>
        </w:rPr>
        <w:lastRenderedPageBreak/>
        <w:t>priming agent and as a plant growth booster</w:t>
      </w:r>
      <w:r w:rsidR="00640F21" w:rsidRPr="00504D41">
        <w:rPr>
          <w:szCs w:val="24"/>
        </w:rPr>
        <w:t>.</w:t>
      </w:r>
      <w:r w:rsidR="006D54C2" w:rsidRPr="00504D41">
        <w:rPr>
          <w:noProof/>
          <w:szCs w:val="24"/>
          <w:vertAlign w:val="superscript"/>
        </w:rPr>
        <w:t>79,80</w:t>
      </w:r>
      <w:r w:rsidRPr="00504D41">
        <w:rPr>
          <w:szCs w:val="24"/>
        </w:rPr>
        <w:t xml:space="preserve"> Chitosan has also been demonstrated as an effective seed coating agent with promising results</w:t>
      </w:r>
      <w:r w:rsidR="00640F21" w:rsidRPr="00504D41">
        <w:rPr>
          <w:szCs w:val="24"/>
        </w:rPr>
        <w:t>.</w:t>
      </w:r>
      <w:r w:rsidR="006D54C2" w:rsidRPr="00504D41">
        <w:rPr>
          <w:noProof/>
          <w:szCs w:val="24"/>
          <w:vertAlign w:val="superscript"/>
        </w:rPr>
        <w:t>54,77,81</w:t>
      </w:r>
      <w:r w:rsidRPr="00504D41">
        <w:rPr>
          <w:szCs w:val="24"/>
        </w:rPr>
        <w:t xml:space="preserve"> Freepons summarized results from different field trials conducted to measure </w:t>
      </w:r>
      <w:r w:rsidR="00CC7B17" w:rsidRPr="00504D41">
        <w:rPr>
          <w:szCs w:val="24"/>
        </w:rPr>
        <w:t xml:space="preserve">the </w:t>
      </w:r>
      <w:r w:rsidRPr="00504D41">
        <w:rPr>
          <w:szCs w:val="24"/>
        </w:rPr>
        <w:t>efficacy of chitosan seed</w:t>
      </w:r>
      <w:r w:rsidR="00CC7B17" w:rsidRPr="00504D41">
        <w:rPr>
          <w:szCs w:val="24"/>
        </w:rPr>
        <w:t xml:space="preserve"> </w:t>
      </w:r>
      <w:r w:rsidRPr="00504D41">
        <w:rPr>
          <w:szCs w:val="24"/>
        </w:rPr>
        <w:t>coats for (1) drill-seeded rice grown in humid soil, (2) water-seeded rice grown in humid soil with high-disease pressures, (3) and rice cultivated under flood conditions in semi-arid soil</w:t>
      </w:r>
      <w:r w:rsidR="00640F21" w:rsidRPr="00504D41">
        <w:rPr>
          <w:szCs w:val="24"/>
        </w:rPr>
        <w:t>.</w:t>
      </w:r>
      <w:r w:rsidR="006D54C2" w:rsidRPr="00504D41">
        <w:rPr>
          <w:noProof/>
          <w:szCs w:val="24"/>
          <w:vertAlign w:val="superscript"/>
        </w:rPr>
        <w:t>77</w:t>
      </w:r>
      <w:r w:rsidRPr="00504D41">
        <w:rPr>
          <w:szCs w:val="24"/>
        </w:rPr>
        <w:t xml:space="preserve"> Despite the variability in crop and soil conditions, chitosan seed treatments produced consistent c</w:t>
      </w:r>
      <w:r w:rsidR="00CE6281" w:rsidRPr="00504D41">
        <w:rPr>
          <w:szCs w:val="24"/>
        </w:rPr>
        <w:t>rop yields. Reddy and coworkers</w:t>
      </w:r>
      <w:r w:rsidR="006D54C2" w:rsidRPr="00504D41">
        <w:rPr>
          <w:noProof/>
          <w:szCs w:val="24"/>
          <w:vertAlign w:val="superscript"/>
        </w:rPr>
        <w:t>81</w:t>
      </w:r>
      <w:r w:rsidRPr="00504D41">
        <w:rPr>
          <w:szCs w:val="24"/>
        </w:rPr>
        <w:t xml:space="preserve"> investigated the potential of chitosan coatings to prevent a seed-borne infection </w:t>
      </w:r>
      <w:r w:rsidRPr="00504D41">
        <w:rPr>
          <w:i/>
          <w:iCs/>
          <w:szCs w:val="24"/>
        </w:rPr>
        <w:t xml:space="preserve">F. graminearum </w:t>
      </w:r>
      <w:r w:rsidRPr="00504D41">
        <w:rPr>
          <w:szCs w:val="24"/>
        </w:rPr>
        <w:t>in wheat seeds</w:t>
      </w:r>
      <w:r w:rsidRPr="00504D41">
        <w:rPr>
          <w:i/>
          <w:iCs/>
          <w:szCs w:val="24"/>
        </w:rPr>
        <w:t>.</w:t>
      </w:r>
      <w:r w:rsidR="00904410" w:rsidRPr="00504D41">
        <w:rPr>
          <w:i/>
          <w:iCs/>
          <w:szCs w:val="24"/>
        </w:rPr>
        <w:t xml:space="preserve"> </w:t>
      </w:r>
      <w:r w:rsidRPr="00504D41">
        <w:rPr>
          <w:iCs/>
          <w:szCs w:val="24"/>
        </w:rPr>
        <w:t>Four</w:t>
      </w:r>
      <w:r w:rsidRPr="00504D41">
        <w:rPr>
          <w:szCs w:val="24"/>
        </w:rPr>
        <w:t xml:space="preserve"> replicate batches containing 100 wheat seeds with </w:t>
      </w:r>
      <w:r w:rsidR="00CA4484" w:rsidRPr="00504D41">
        <w:rPr>
          <w:szCs w:val="24"/>
        </w:rPr>
        <w:t>susceptibility to the infection</w:t>
      </w:r>
      <w:r w:rsidRPr="00504D41">
        <w:rPr>
          <w:szCs w:val="24"/>
        </w:rPr>
        <w:t xml:space="preserve"> were sterilized and immersed in chitosan solution followed by drying to achieve chitosan-coated seeds. Germination trials showed increased seed germination and vigor for the coated seeds compared to untreated controls with </w:t>
      </w:r>
      <w:r w:rsidR="00CC7B17" w:rsidRPr="00504D41">
        <w:rPr>
          <w:szCs w:val="24"/>
        </w:rPr>
        <w:t xml:space="preserve">a </w:t>
      </w:r>
      <w:r w:rsidRPr="00504D41">
        <w:rPr>
          <w:szCs w:val="24"/>
        </w:rPr>
        <w:t xml:space="preserve">significant reduction in seed infections (Figure </w:t>
      </w:r>
      <w:r w:rsidR="007D42BA" w:rsidRPr="00504D41">
        <w:rPr>
          <w:szCs w:val="24"/>
        </w:rPr>
        <w:t>5</w:t>
      </w:r>
      <w:r w:rsidR="00AA7796" w:rsidRPr="00504D41">
        <w:rPr>
          <w:szCs w:val="24"/>
        </w:rPr>
        <w:t>b</w:t>
      </w:r>
      <w:r w:rsidRPr="00504D41">
        <w:rPr>
          <w:szCs w:val="24"/>
        </w:rPr>
        <w:t xml:space="preserve">). The results suggest that chitosan prevents seed infection spread </w:t>
      </w:r>
      <w:r w:rsidR="00CC7B17" w:rsidRPr="00504D41">
        <w:rPr>
          <w:szCs w:val="24"/>
        </w:rPr>
        <w:t xml:space="preserve">by </w:t>
      </w:r>
      <w:r w:rsidRPr="00504D41">
        <w:rPr>
          <w:szCs w:val="24"/>
        </w:rPr>
        <w:t xml:space="preserve">creating a barrier between the seed and </w:t>
      </w:r>
      <w:r w:rsidR="00CC7B17" w:rsidRPr="00504D41">
        <w:rPr>
          <w:szCs w:val="24"/>
        </w:rPr>
        <w:t>soil-</w:t>
      </w:r>
      <w:r w:rsidRPr="00504D41">
        <w:rPr>
          <w:szCs w:val="24"/>
        </w:rPr>
        <w:t xml:space="preserve">borne organisms inhibiting fungal spread. The fact that infection spread was </w:t>
      </w:r>
      <w:r w:rsidR="00526625" w:rsidRPr="00504D41">
        <w:rPr>
          <w:szCs w:val="24"/>
        </w:rPr>
        <w:t>inhibited</w:t>
      </w:r>
      <w:r w:rsidRPr="00504D41">
        <w:rPr>
          <w:szCs w:val="24"/>
        </w:rPr>
        <w:t xml:space="preserve"> without </w:t>
      </w:r>
      <w:r w:rsidR="00CC7B17" w:rsidRPr="00504D41">
        <w:rPr>
          <w:szCs w:val="24"/>
        </w:rPr>
        <w:t xml:space="preserve">the </w:t>
      </w:r>
      <w:r w:rsidRPr="00504D41">
        <w:rPr>
          <w:szCs w:val="24"/>
        </w:rPr>
        <w:t xml:space="preserve">use </w:t>
      </w:r>
      <w:r w:rsidR="00B81737" w:rsidRPr="00504D41">
        <w:rPr>
          <w:szCs w:val="24"/>
        </w:rPr>
        <w:t xml:space="preserve">of </w:t>
      </w:r>
      <w:r w:rsidRPr="00504D41">
        <w:rPr>
          <w:szCs w:val="24"/>
        </w:rPr>
        <w:t xml:space="preserve">fungicide treatment or toxic residues shows the vast potential of chitosan-based seed coatings to achieve environmentally benign and sustainable crop protection. </w:t>
      </w:r>
    </w:p>
    <w:p w14:paraId="51B776F5" w14:textId="77777777" w:rsidR="00F07EAD" w:rsidRPr="00504D41" w:rsidRDefault="00641858" w:rsidP="0016445D">
      <w:pPr>
        <w:tabs>
          <w:tab w:val="left" w:pos="0"/>
        </w:tabs>
        <w:spacing w:line="360" w:lineRule="auto"/>
        <w:jc w:val="both"/>
        <w:rPr>
          <w:szCs w:val="24"/>
        </w:rPr>
      </w:pPr>
      <w:r w:rsidRPr="00504D41">
        <w:rPr>
          <w:szCs w:val="24"/>
        </w:rPr>
        <w:t xml:space="preserve">Blends of chitosan with other materials are also being explored as seed coatings. Chandrika et al. synthesized chitosan blends with polyethylene glycol and glycerol, and loaded those with a biocontrol agent, </w:t>
      </w:r>
      <w:r w:rsidRPr="00504D41">
        <w:rPr>
          <w:i/>
          <w:iCs/>
          <w:szCs w:val="24"/>
        </w:rPr>
        <w:t>Trichoderma</w:t>
      </w:r>
      <w:r w:rsidRPr="00504D41">
        <w:rPr>
          <w:iCs/>
          <w:szCs w:val="24"/>
        </w:rPr>
        <w:t>, followed by coating on</w:t>
      </w:r>
      <w:r w:rsidRPr="00504D41">
        <w:rPr>
          <w:szCs w:val="24"/>
        </w:rPr>
        <w:t xml:space="preserve"> castor seeds</w:t>
      </w:r>
      <w:r w:rsidR="00640F21" w:rsidRPr="00504D41">
        <w:rPr>
          <w:szCs w:val="24"/>
        </w:rPr>
        <w:t>.</w:t>
      </w:r>
      <w:r w:rsidR="006D54C2" w:rsidRPr="00504D41">
        <w:rPr>
          <w:noProof/>
          <w:szCs w:val="24"/>
          <w:vertAlign w:val="superscript"/>
        </w:rPr>
        <w:t>54</w:t>
      </w:r>
      <w:r w:rsidRPr="00504D41">
        <w:rPr>
          <w:szCs w:val="24"/>
        </w:rPr>
        <w:t xml:space="preserve"> The coated seeds exhibited enhanced germination rates and seedling vigor as corroborated through germination assays, while spore germination assays demonstrated the viability of the microbe in the hybrid blend (Figure </w:t>
      </w:r>
      <w:r w:rsidR="00787E2C" w:rsidRPr="00504D41">
        <w:rPr>
          <w:szCs w:val="24"/>
        </w:rPr>
        <w:t>5</w:t>
      </w:r>
      <w:r w:rsidR="00AA7796" w:rsidRPr="00504D41">
        <w:rPr>
          <w:szCs w:val="24"/>
        </w:rPr>
        <w:t>c</w:t>
      </w:r>
      <w:r w:rsidRPr="00504D41">
        <w:rPr>
          <w:szCs w:val="24"/>
        </w:rPr>
        <w:t>)</w:t>
      </w:r>
      <w:r w:rsidR="007F300E" w:rsidRPr="00504D41">
        <w:rPr>
          <w:szCs w:val="24"/>
        </w:rPr>
        <w:t>.</w:t>
      </w:r>
      <w:r w:rsidRPr="00504D41">
        <w:rPr>
          <w:szCs w:val="24"/>
        </w:rPr>
        <w:t xml:space="preserve"> Although promising, the results of the study need to be followed up with greenhouse and field trials to elucidate the effects of the hybrid materials and the loaded quantities of the biocontrol agent on long-term plant health. In another study, Ziani et al. studied the effect of chitosan coatings on artichoke seeds, reporting that the performance of the coating was dependent on various factors, including the chitosan molecular weight, chitosan concentration, pH, and presence </w:t>
      </w:r>
      <w:r w:rsidR="00CC7B17" w:rsidRPr="00504D41">
        <w:rPr>
          <w:szCs w:val="24"/>
        </w:rPr>
        <w:t xml:space="preserve">of the </w:t>
      </w:r>
      <w:r w:rsidRPr="00504D41">
        <w:rPr>
          <w:szCs w:val="24"/>
        </w:rPr>
        <w:t>surfactant and AI</w:t>
      </w:r>
      <w:r w:rsidR="007F300E" w:rsidRPr="00504D41">
        <w:rPr>
          <w:szCs w:val="24"/>
        </w:rPr>
        <w:t>.</w:t>
      </w:r>
      <w:r w:rsidR="006D54C2" w:rsidRPr="00504D41">
        <w:rPr>
          <w:noProof/>
          <w:szCs w:val="24"/>
          <w:vertAlign w:val="superscript"/>
        </w:rPr>
        <w:t>82</w:t>
      </w:r>
      <w:r w:rsidRPr="00504D41">
        <w:rPr>
          <w:szCs w:val="24"/>
        </w:rPr>
        <w:t xml:space="preserve"> Seeds coated with two different molecular weights (400kDa, 149 kDa) of chitosan under diverse pH, surfactant concentration and layer thickness were analyzed</w:t>
      </w:r>
      <w:r w:rsidR="003E4E43" w:rsidRPr="00504D41">
        <w:rPr>
          <w:szCs w:val="24"/>
        </w:rPr>
        <w:t>. L</w:t>
      </w:r>
      <w:r w:rsidRPr="00504D41">
        <w:rPr>
          <w:szCs w:val="24"/>
        </w:rPr>
        <w:t xml:space="preserve">ower Mw chitosan coatings incorporated with fungicide TMTD (tetramethylthiuram disulfide) gave the best results in terms of higher observed germination rates and superior antifungal performance (Figure </w:t>
      </w:r>
      <w:r w:rsidR="00900545" w:rsidRPr="00504D41">
        <w:rPr>
          <w:szCs w:val="24"/>
        </w:rPr>
        <w:t>5</w:t>
      </w:r>
      <w:r w:rsidR="009F5AD0" w:rsidRPr="00504D41">
        <w:rPr>
          <w:szCs w:val="24"/>
        </w:rPr>
        <w:t>d</w:t>
      </w:r>
      <w:r w:rsidRPr="00504D41">
        <w:rPr>
          <w:szCs w:val="24"/>
        </w:rPr>
        <w:t xml:space="preserve">). Researchers have hypothesized that chitosan </w:t>
      </w:r>
      <w:r w:rsidRPr="00504D41">
        <w:rPr>
          <w:szCs w:val="24"/>
        </w:rPr>
        <w:lastRenderedPageBreak/>
        <w:t xml:space="preserve">treatment influences the plant physiology to increase crop yield </w:t>
      </w:r>
      <w:r w:rsidR="00CC7B17" w:rsidRPr="00504D41">
        <w:rPr>
          <w:szCs w:val="24"/>
        </w:rPr>
        <w:t xml:space="preserve">by </w:t>
      </w:r>
      <w:r w:rsidRPr="00504D41">
        <w:rPr>
          <w:szCs w:val="24"/>
        </w:rPr>
        <w:t>producing more grains rather than higher foliar growth which increases the promise of higher crop yields at lower fertilizer inputs</w:t>
      </w:r>
      <w:r w:rsidR="007F300E" w:rsidRPr="00504D41">
        <w:rPr>
          <w:szCs w:val="24"/>
        </w:rPr>
        <w:t>.</w:t>
      </w:r>
      <w:r w:rsidR="006D54C2" w:rsidRPr="00504D41">
        <w:rPr>
          <w:noProof/>
          <w:szCs w:val="24"/>
          <w:vertAlign w:val="superscript"/>
        </w:rPr>
        <w:t>77</w:t>
      </w:r>
      <w:r w:rsidRPr="00504D41">
        <w:rPr>
          <w:szCs w:val="24"/>
        </w:rPr>
        <w:t xml:space="preserve"> Similarly, the inherent anti-fungal properties of chitosan can also be exploited to achieve fungicide function in</w:t>
      </w:r>
      <w:r w:rsidR="00CC7B17" w:rsidRPr="00504D41">
        <w:rPr>
          <w:szCs w:val="24"/>
        </w:rPr>
        <w:t xml:space="preserve"> the</w:t>
      </w:r>
      <w:r w:rsidRPr="00504D41">
        <w:rPr>
          <w:szCs w:val="24"/>
        </w:rPr>
        <w:t xml:space="preserve"> absence of potent AI. </w:t>
      </w:r>
    </w:p>
    <w:p w14:paraId="065B7178" w14:textId="77777777" w:rsidR="001213C4" w:rsidRPr="00504D41" w:rsidRDefault="00466A0E" w:rsidP="001213C4">
      <w:pPr>
        <w:spacing w:line="360" w:lineRule="auto"/>
        <w:jc w:val="both"/>
        <w:rPr>
          <w:szCs w:val="24"/>
        </w:rPr>
      </w:pPr>
      <w:r w:rsidRPr="00504D41">
        <w:rPr>
          <w:szCs w:val="24"/>
        </w:rPr>
        <w:t>From a sustainability perspective, s</w:t>
      </w:r>
      <w:r w:rsidR="001213C4" w:rsidRPr="00504D41">
        <w:rPr>
          <w:szCs w:val="24"/>
        </w:rPr>
        <w:t>eafood waste can serve as an ample raw material source for chitosan production. FAO estimates</w:t>
      </w:r>
      <w:r w:rsidR="006D54C2" w:rsidRPr="00504D41">
        <w:rPr>
          <w:noProof/>
          <w:szCs w:val="24"/>
          <w:vertAlign w:val="superscript"/>
        </w:rPr>
        <w:t>83</w:t>
      </w:r>
      <w:r w:rsidR="001213C4" w:rsidRPr="00504D41">
        <w:rPr>
          <w:szCs w:val="24"/>
        </w:rPr>
        <w:t xml:space="preserve"> indicate that in 2018 shelled mollusks accounted for 56.3% of the global marine aquaculture production while crustaceans alone represented 18.5%. Waste shells typically end up in landfill sites or are just dumped in the sea. Unaccounted dumping can result in ocean acidification, </w:t>
      </w:r>
      <w:r w:rsidR="00CC7B17" w:rsidRPr="00504D41">
        <w:rPr>
          <w:szCs w:val="24"/>
        </w:rPr>
        <w:t xml:space="preserve">and </w:t>
      </w:r>
      <w:r w:rsidR="001213C4" w:rsidRPr="00504D41">
        <w:rPr>
          <w:szCs w:val="24"/>
        </w:rPr>
        <w:t>disease occurrence while landfill is expensive.</w:t>
      </w:r>
      <w:r w:rsidR="006D54C2" w:rsidRPr="00504D41">
        <w:rPr>
          <w:noProof/>
          <w:szCs w:val="24"/>
          <w:vertAlign w:val="superscript"/>
        </w:rPr>
        <w:t>84</w:t>
      </w:r>
      <w:r w:rsidR="001213C4" w:rsidRPr="00504D41">
        <w:rPr>
          <w:szCs w:val="24"/>
          <w:vertAlign w:val="superscript"/>
        </w:rPr>
        <w:t>,</w:t>
      </w:r>
      <w:r w:rsidR="006D54C2" w:rsidRPr="00504D41">
        <w:rPr>
          <w:noProof/>
          <w:szCs w:val="24"/>
          <w:vertAlign w:val="superscript"/>
        </w:rPr>
        <w:t>85</w:t>
      </w:r>
      <w:r w:rsidR="001213C4" w:rsidRPr="00504D41">
        <w:rPr>
          <w:szCs w:val="24"/>
        </w:rPr>
        <w:t xml:space="preserve"> Thus, seafood waste can serve as a rich material source of chitosan while also providing an ingenious reuse solution. The second factor to be considered is the extraction strategy. Typically, chitosan can be extracted through chemical and biological methods. The chemical method involves various processing steps including deproteinization (alkali treatment), demineralization (acid treatment) deacetylation (treatment with concentrated NaOH at 107</w:t>
      </w:r>
      <w:r w:rsidR="00CC7B17" w:rsidRPr="00504D41">
        <w:rPr>
          <w:szCs w:val="24"/>
        </w:rPr>
        <w:t xml:space="preserve"> </w:t>
      </w:r>
      <w:r w:rsidR="002F2ED1" w:rsidRPr="00504D41">
        <w:rPr>
          <w:szCs w:val="24"/>
        </w:rPr>
        <w:t>⁰</w:t>
      </w:r>
      <w:r w:rsidR="001213C4" w:rsidRPr="00504D41">
        <w:rPr>
          <w:szCs w:val="24"/>
        </w:rPr>
        <w:t>C for 6 hours) and decoloration (hydrogen peroxide, NaClO treatment).</w:t>
      </w:r>
      <w:r w:rsidR="006D54C2" w:rsidRPr="00504D41">
        <w:rPr>
          <w:noProof/>
          <w:szCs w:val="24"/>
          <w:vertAlign w:val="superscript"/>
        </w:rPr>
        <w:t>86</w:t>
      </w:r>
      <w:r w:rsidR="001213C4" w:rsidRPr="00504D41">
        <w:rPr>
          <w:szCs w:val="24"/>
        </w:rPr>
        <w:t xml:space="preserve"> Thus, while chemical extraction is more established on an industrial scale</w:t>
      </w:r>
      <w:r w:rsidR="00CC7B17" w:rsidRPr="00504D41">
        <w:rPr>
          <w:szCs w:val="24"/>
        </w:rPr>
        <w:t>,</w:t>
      </w:r>
      <w:r w:rsidR="001213C4" w:rsidRPr="00504D41">
        <w:rPr>
          <w:szCs w:val="24"/>
        </w:rPr>
        <w:t xml:space="preserve"> with scale-up it involves harsh chemicals and processing at elevated temperature</w:t>
      </w:r>
      <w:r w:rsidR="00CC7B17" w:rsidRPr="00504D41">
        <w:rPr>
          <w:szCs w:val="24"/>
        </w:rPr>
        <w:t>s</w:t>
      </w:r>
      <w:r w:rsidR="001213C4" w:rsidRPr="00504D41">
        <w:rPr>
          <w:szCs w:val="24"/>
        </w:rPr>
        <w:t xml:space="preserve"> in addition to requiring large volumes of water to adjust pH. Biological extraction employ</w:t>
      </w:r>
      <w:r w:rsidR="00CC7B17" w:rsidRPr="00504D41">
        <w:rPr>
          <w:szCs w:val="24"/>
        </w:rPr>
        <w:t>s</w:t>
      </w:r>
      <w:r w:rsidR="001213C4" w:rsidRPr="00504D41">
        <w:rPr>
          <w:szCs w:val="24"/>
        </w:rPr>
        <w:t xml:space="preserve"> </w:t>
      </w:r>
      <w:r w:rsidR="00CC7B17" w:rsidRPr="00504D41">
        <w:rPr>
          <w:szCs w:val="24"/>
        </w:rPr>
        <w:t xml:space="preserve">the </w:t>
      </w:r>
      <w:r w:rsidR="001213C4" w:rsidRPr="00504D41">
        <w:rPr>
          <w:szCs w:val="24"/>
        </w:rPr>
        <w:t>use of fermentation techniques to achieve greener conversion of chitin into chitosan. Bio-extraction is environmentally more friendly but is still under research and issues related to commercial scalability need to be resolved.</w:t>
      </w:r>
      <w:r w:rsidR="006D54C2" w:rsidRPr="00504D41">
        <w:rPr>
          <w:noProof/>
          <w:szCs w:val="24"/>
          <w:vertAlign w:val="superscript"/>
        </w:rPr>
        <w:t>87</w:t>
      </w:r>
    </w:p>
    <w:p w14:paraId="7D1CC19C" w14:textId="77777777" w:rsidR="007C0245" w:rsidRPr="00504D41" w:rsidRDefault="00641858" w:rsidP="0016445D">
      <w:pPr>
        <w:tabs>
          <w:tab w:val="left" w:pos="0"/>
        </w:tabs>
        <w:spacing w:line="360" w:lineRule="auto"/>
        <w:jc w:val="both"/>
        <w:rPr>
          <w:szCs w:val="24"/>
        </w:rPr>
      </w:pPr>
      <w:r w:rsidRPr="00504D41">
        <w:rPr>
          <w:szCs w:val="24"/>
        </w:rPr>
        <w:t>T</w:t>
      </w:r>
      <w:r w:rsidR="00F70128" w:rsidRPr="00504D41">
        <w:rPr>
          <w:szCs w:val="24"/>
        </w:rPr>
        <w:t>o sum up</w:t>
      </w:r>
      <w:r w:rsidRPr="00504D41">
        <w:rPr>
          <w:szCs w:val="24"/>
        </w:rPr>
        <w:t xml:space="preserve">, </w:t>
      </w:r>
      <w:r w:rsidR="00B3697C" w:rsidRPr="00504D41">
        <w:rPr>
          <w:szCs w:val="24"/>
        </w:rPr>
        <w:t>chitosan is a highly promisin</w:t>
      </w:r>
      <w:r w:rsidR="00222BA3" w:rsidRPr="00504D41">
        <w:rPr>
          <w:szCs w:val="24"/>
        </w:rPr>
        <w:t xml:space="preserve">g seed coating material with </w:t>
      </w:r>
      <w:r w:rsidR="00D034C3" w:rsidRPr="00504D41">
        <w:rPr>
          <w:szCs w:val="24"/>
        </w:rPr>
        <w:t xml:space="preserve">multiple </w:t>
      </w:r>
      <w:r w:rsidR="00222BA3" w:rsidRPr="00504D41">
        <w:rPr>
          <w:szCs w:val="24"/>
        </w:rPr>
        <w:t xml:space="preserve">applications </w:t>
      </w:r>
      <w:r w:rsidR="006B561C" w:rsidRPr="00504D41">
        <w:rPr>
          <w:szCs w:val="24"/>
        </w:rPr>
        <w:t xml:space="preserve">both </w:t>
      </w:r>
      <w:r w:rsidR="00222BA3" w:rsidRPr="00504D41">
        <w:rPr>
          <w:szCs w:val="24"/>
        </w:rPr>
        <w:t>as</w:t>
      </w:r>
      <w:r w:rsidR="00E65C6F" w:rsidRPr="00504D41">
        <w:rPr>
          <w:szCs w:val="24"/>
        </w:rPr>
        <w:t xml:space="preserve"> a fungicide,</w:t>
      </w:r>
      <w:r w:rsidR="006B561C" w:rsidRPr="00504D41">
        <w:rPr>
          <w:szCs w:val="24"/>
        </w:rPr>
        <w:t xml:space="preserve"> and as a carrier for PGPM</w:t>
      </w:r>
      <w:r w:rsidR="001A58C0" w:rsidRPr="00504D41">
        <w:rPr>
          <w:szCs w:val="24"/>
        </w:rPr>
        <w:t xml:space="preserve"> with positive effects on plant yield. </w:t>
      </w:r>
      <w:r w:rsidR="00B02F78" w:rsidRPr="00504D41">
        <w:rPr>
          <w:szCs w:val="24"/>
        </w:rPr>
        <w:t xml:space="preserve">Future research in this area needs to focus on optimizing existing </w:t>
      </w:r>
      <w:r w:rsidR="00CC7B17" w:rsidRPr="00504D41">
        <w:rPr>
          <w:szCs w:val="24"/>
        </w:rPr>
        <w:t xml:space="preserve">challenges </w:t>
      </w:r>
      <w:r w:rsidR="00B02F78" w:rsidRPr="00504D41">
        <w:rPr>
          <w:szCs w:val="24"/>
        </w:rPr>
        <w:t xml:space="preserve">associated with </w:t>
      </w:r>
      <w:r w:rsidR="00C207BE" w:rsidRPr="00504D41">
        <w:rPr>
          <w:szCs w:val="24"/>
        </w:rPr>
        <w:t>green</w:t>
      </w:r>
      <w:r w:rsidR="00B02F78" w:rsidRPr="00504D41">
        <w:rPr>
          <w:szCs w:val="24"/>
        </w:rPr>
        <w:t xml:space="preserve"> extraction of chitosan.</w:t>
      </w:r>
    </w:p>
    <w:p w14:paraId="533C86A4" w14:textId="77777777" w:rsidR="008443A6" w:rsidRPr="00504D41" w:rsidRDefault="00504D41" w:rsidP="0016445D">
      <w:pPr>
        <w:keepNext/>
        <w:tabs>
          <w:tab w:val="left" w:pos="0"/>
        </w:tabs>
        <w:spacing w:line="360" w:lineRule="auto"/>
        <w:rPr>
          <w:szCs w:val="24"/>
        </w:rPr>
      </w:pPr>
      <w:r w:rsidRPr="00504D41">
        <w:rPr>
          <w:noProof/>
        </w:rPr>
        <w:lastRenderedPageBreak/>
        <w:pict w14:anchorId="4CD88804">
          <v:shape id="Picture 2" o:spid="_x0000_i1030" type="#_x0000_t75" alt="A picture containing schematic&#10;&#10;Description automatically generated" style="width:468pt;height:5in;visibility:visible">
            <v:imagedata r:id="rId17" o:title="A picture containing schematic&#10;&#10;Description automatically generated"/>
          </v:shape>
        </w:pict>
      </w:r>
    </w:p>
    <w:p w14:paraId="54061CEA" w14:textId="77777777" w:rsidR="00F413CE" w:rsidRPr="00504D41" w:rsidRDefault="005050C6" w:rsidP="0016445D">
      <w:pPr>
        <w:spacing w:line="360" w:lineRule="auto"/>
        <w:jc w:val="both"/>
        <w:rPr>
          <w:szCs w:val="24"/>
        </w:rPr>
      </w:pPr>
      <w:r w:rsidRPr="00504D41">
        <w:rPr>
          <w:b/>
          <w:bCs/>
          <w:szCs w:val="24"/>
        </w:rPr>
        <w:t xml:space="preserve">Figure </w:t>
      </w:r>
      <w:r w:rsidR="00405B53" w:rsidRPr="00504D41">
        <w:rPr>
          <w:b/>
          <w:bCs/>
          <w:szCs w:val="24"/>
        </w:rPr>
        <w:fldChar w:fldCharType="begin"/>
      </w:r>
      <w:r w:rsidR="00405B53" w:rsidRPr="00504D41">
        <w:rPr>
          <w:b/>
          <w:bCs/>
          <w:szCs w:val="24"/>
        </w:rPr>
        <w:instrText xml:space="preserve"> SEQ Figure \* ARABIC </w:instrText>
      </w:r>
      <w:r w:rsidR="00405B53" w:rsidRPr="00504D41">
        <w:rPr>
          <w:b/>
          <w:bCs/>
          <w:szCs w:val="24"/>
        </w:rPr>
        <w:fldChar w:fldCharType="separate"/>
      </w:r>
      <w:r w:rsidR="003D0A6B" w:rsidRPr="00504D41">
        <w:rPr>
          <w:b/>
          <w:bCs/>
          <w:noProof/>
          <w:szCs w:val="24"/>
        </w:rPr>
        <w:t>5</w:t>
      </w:r>
      <w:r w:rsidR="00405B53" w:rsidRPr="00504D41">
        <w:rPr>
          <w:b/>
          <w:bCs/>
          <w:noProof/>
          <w:szCs w:val="24"/>
        </w:rPr>
        <w:fldChar w:fldCharType="end"/>
      </w:r>
      <w:r w:rsidR="006E4A61" w:rsidRPr="00504D41">
        <w:rPr>
          <w:szCs w:val="24"/>
        </w:rPr>
        <w:t>.</w:t>
      </w:r>
      <w:r w:rsidRPr="00504D41">
        <w:rPr>
          <w:szCs w:val="24"/>
        </w:rPr>
        <w:t xml:space="preserve"> </w:t>
      </w:r>
      <w:r w:rsidR="00F43220" w:rsidRPr="00504D41">
        <w:rPr>
          <w:szCs w:val="24"/>
        </w:rPr>
        <w:t>(a) Chemical structure of chitosan. Adapted from an open source article</w:t>
      </w:r>
      <w:r w:rsidR="007F300E" w:rsidRPr="00504D41">
        <w:rPr>
          <w:szCs w:val="24"/>
        </w:rPr>
        <w:t>.</w:t>
      </w:r>
      <w:r w:rsidR="006D54C2" w:rsidRPr="00504D41">
        <w:rPr>
          <w:noProof/>
          <w:vertAlign w:val="superscript"/>
        </w:rPr>
        <w:t>88</w:t>
      </w:r>
      <w:r w:rsidR="00F43220" w:rsidRPr="00504D41">
        <w:rPr>
          <w:szCs w:val="24"/>
        </w:rPr>
        <w:t xml:space="preserve"> (b) Results from germinations assays conducted on two types of spring wheat (</w:t>
      </w:r>
      <w:r w:rsidR="00F43220" w:rsidRPr="00504D41">
        <w:rPr>
          <w:i/>
          <w:iCs/>
          <w:szCs w:val="24"/>
        </w:rPr>
        <w:t>Triticum aestivum L</w:t>
      </w:r>
      <w:r w:rsidR="00F43220" w:rsidRPr="00504D41">
        <w:rPr>
          <w:szCs w:val="24"/>
        </w:rPr>
        <w:t>.) seed samples, (1) cv. Norseman and (2) cv. Max treated with chitosan solutions. Seeds treated with (1) sterile water, (2) HCl and (3) benomyl were used as controls. Results demonstrate a significantly increased germination rate in all test samples compared to untreated controls. Reprinted with permission</w:t>
      </w:r>
      <w:r w:rsidR="007F300E" w:rsidRPr="00504D41">
        <w:rPr>
          <w:szCs w:val="24"/>
        </w:rPr>
        <w:t>.</w:t>
      </w:r>
      <w:r w:rsidR="006D54C2" w:rsidRPr="00504D41">
        <w:rPr>
          <w:noProof/>
          <w:vertAlign w:val="superscript"/>
        </w:rPr>
        <w:t>81</w:t>
      </w:r>
      <w:r w:rsidR="007F300E" w:rsidRPr="00504D41">
        <w:rPr>
          <w:szCs w:val="24"/>
        </w:rPr>
        <w:t xml:space="preserve"> </w:t>
      </w:r>
      <w:r w:rsidR="00F43220" w:rsidRPr="00504D41">
        <w:rPr>
          <w:szCs w:val="24"/>
        </w:rPr>
        <w:t xml:space="preserve">Copyright 1999 American Chemical Society. (c) Microscope images showing germination of </w:t>
      </w:r>
      <w:r w:rsidR="00F43220" w:rsidRPr="00504D41">
        <w:rPr>
          <w:i/>
          <w:iCs/>
          <w:szCs w:val="24"/>
        </w:rPr>
        <w:t xml:space="preserve">Trichoderma </w:t>
      </w:r>
      <w:r w:rsidR="00F43220" w:rsidRPr="00504D41">
        <w:rPr>
          <w:szCs w:val="24"/>
        </w:rPr>
        <w:t>spores in Chitosan-PEG films demonstrating the viability of the blends for the microbes. The images represent results of spore germination assays which showed viability of 10</w:t>
      </w:r>
      <w:r w:rsidR="00F43220" w:rsidRPr="00504D41">
        <w:rPr>
          <w:szCs w:val="24"/>
          <w:vertAlign w:val="superscript"/>
        </w:rPr>
        <w:t>8</w:t>
      </w:r>
      <w:r w:rsidR="00F43220" w:rsidRPr="00504D41">
        <w:rPr>
          <w:szCs w:val="24"/>
        </w:rPr>
        <w:t>-10</w:t>
      </w:r>
      <w:r w:rsidR="00F43220" w:rsidRPr="00504D41">
        <w:rPr>
          <w:szCs w:val="24"/>
          <w:vertAlign w:val="superscript"/>
        </w:rPr>
        <w:t>10</w:t>
      </w:r>
      <w:r w:rsidR="00F43220" w:rsidRPr="00504D41">
        <w:rPr>
          <w:szCs w:val="24"/>
        </w:rPr>
        <w:t xml:space="preserve"> spores</w:t>
      </w:r>
      <w:r w:rsidR="00CC7B17" w:rsidRPr="00504D41">
        <w:rPr>
          <w:szCs w:val="24"/>
        </w:rPr>
        <w:t xml:space="preserve"> per </w:t>
      </w:r>
      <w:r w:rsidR="00F43220" w:rsidRPr="00504D41">
        <w:rPr>
          <w:szCs w:val="24"/>
        </w:rPr>
        <w:t xml:space="preserve">ml of formulation. Figure adapted </w:t>
      </w:r>
      <w:r w:rsidR="00CB0D64" w:rsidRPr="00504D41">
        <w:rPr>
          <w:szCs w:val="24"/>
        </w:rPr>
        <w:t>with permission</w:t>
      </w:r>
      <w:r w:rsidR="00580471" w:rsidRPr="00504D41">
        <w:rPr>
          <w:szCs w:val="24"/>
        </w:rPr>
        <w:t>.</w:t>
      </w:r>
      <w:r w:rsidR="006D54C2" w:rsidRPr="00504D41">
        <w:rPr>
          <w:noProof/>
          <w:vertAlign w:val="superscript"/>
        </w:rPr>
        <w:t>54</w:t>
      </w:r>
      <w:r w:rsidR="00CB0D64" w:rsidRPr="00504D41">
        <w:rPr>
          <w:szCs w:val="24"/>
        </w:rPr>
        <w:t xml:space="preserve"> </w:t>
      </w:r>
      <w:r w:rsidR="00F43220" w:rsidRPr="00504D41">
        <w:rPr>
          <w:szCs w:val="24"/>
        </w:rPr>
        <w:t>Copyright Elsevier 2019.</w:t>
      </w:r>
      <w:r w:rsidR="00CB0D64" w:rsidRPr="00504D41">
        <w:rPr>
          <w:szCs w:val="24"/>
        </w:rPr>
        <w:t xml:space="preserve"> </w:t>
      </w:r>
      <w:r w:rsidR="00F43220" w:rsidRPr="00504D41">
        <w:rPr>
          <w:szCs w:val="24"/>
        </w:rPr>
        <w:t xml:space="preserve">(d) Results from germination trials of chitosan coated artichoke seeds. Data replotted </w:t>
      </w:r>
      <w:r w:rsidR="00F60B22" w:rsidRPr="00504D41">
        <w:rPr>
          <w:szCs w:val="24"/>
        </w:rPr>
        <w:t>with</w:t>
      </w:r>
      <w:r w:rsidR="00F43220" w:rsidRPr="00504D41">
        <w:rPr>
          <w:szCs w:val="24"/>
        </w:rPr>
        <w:t xml:space="preserve"> permission</w:t>
      </w:r>
      <w:r w:rsidR="00CB0D64" w:rsidRPr="00504D41">
        <w:rPr>
          <w:szCs w:val="24"/>
        </w:rPr>
        <w:t>.</w:t>
      </w:r>
      <w:r w:rsidR="006D54C2" w:rsidRPr="00504D41">
        <w:rPr>
          <w:noProof/>
          <w:vertAlign w:val="superscript"/>
        </w:rPr>
        <w:t>82</w:t>
      </w:r>
      <w:r w:rsidR="00F43220" w:rsidRPr="00504D41">
        <w:rPr>
          <w:szCs w:val="24"/>
        </w:rPr>
        <w:t xml:space="preserve"> Copyright Elsevier 2010. Treatments tested included (1) 1 layer (L) coating of 4 wt.% Chitosan with Mw=149kDa (B), (2) 3 L coating of 4% B, (3) 1 L coating of 4% B + 5 % Span surfactant, (4) 3 L coating of 4% B + 5 % Span </w:t>
      </w:r>
      <w:r w:rsidR="00F43220" w:rsidRPr="00504D41">
        <w:rPr>
          <w:szCs w:val="24"/>
        </w:rPr>
        <w:lastRenderedPageBreak/>
        <w:t xml:space="preserve">surfactant, (5) 1 L coating of 4% B + 0.037 % (TMTD) fungicide, (6) 1 L coating of 4% B + 0.075 % (TMTD) fungicide, (7) 1 L coating of 4% B + 0.15 % (TMTD) fungicide. As controls uncoated seeds and seeds treated with TMTD were used. Pink spheres show </w:t>
      </w:r>
      <w:r w:rsidR="00CC7B17" w:rsidRPr="00504D41">
        <w:rPr>
          <w:szCs w:val="24"/>
        </w:rPr>
        <w:t xml:space="preserve">the </w:t>
      </w:r>
      <w:r w:rsidR="00F43220" w:rsidRPr="00504D41">
        <w:rPr>
          <w:szCs w:val="24"/>
        </w:rPr>
        <w:t>number of germinated seeds</w:t>
      </w:r>
      <w:r w:rsidR="00CC7B17" w:rsidRPr="00504D41">
        <w:rPr>
          <w:szCs w:val="24"/>
        </w:rPr>
        <w:t xml:space="preserve">. </w:t>
      </w:r>
      <w:r w:rsidR="00F43220" w:rsidRPr="00504D41">
        <w:rPr>
          <w:szCs w:val="24"/>
        </w:rPr>
        <w:t xml:space="preserve">All test samples show higher germination rates than untreated controls, with </w:t>
      </w:r>
      <w:r w:rsidR="00CC7B17" w:rsidRPr="00504D41">
        <w:rPr>
          <w:szCs w:val="24"/>
        </w:rPr>
        <w:t xml:space="preserve">a </w:t>
      </w:r>
      <w:r w:rsidR="00F43220" w:rsidRPr="00504D41">
        <w:rPr>
          <w:szCs w:val="24"/>
        </w:rPr>
        <w:t>significant rise observed in Chitosan and TMTD combinations. Similar alphabets indicate statistically similar groups as per Duncan test (P &lt; 0.05). Bars show number of seeds contaminated by fungal attack</w:t>
      </w:r>
      <w:r w:rsidR="00CC7B17" w:rsidRPr="00504D41">
        <w:rPr>
          <w:szCs w:val="24"/>
        </w:rPr>
        <w:t>s</w:t>
      </w:r>
      <w:r w:rsidR="00F43220" w:rsidRPr="00504D41">
        <w:rPr>
          <w:szCs w:val="24"/>
        </w:rPr>
        <w:t xml:space="preserve"> in addition to showing the distribution of the types of fungi found. Results show the high efficacy of TMTD containing chitosan coatings against </w:t>
      </w:r>
      <w:r w:rsidR="00F43220" w:rsidRPr="00504D41">
        <w:rPr>
          <w:i/>
          <w:iCs/>
          <w:szCs w:val="24"/>
        </w:rPr>
        <w:t>Rhizopus</w:t>
      </w:r>
      <w:r w:rsidR="00F43220" w:rsidRPr="00504D41">
        <w:rPr>
          <w:szCs w:val="24"/>
        </w:rPr>
        <w:t xml:space="preserve"> contamination, a highly damaging fungi type.</w:t>
      </w:r>
    </w:p>
    <w:p w14:paraId="099026F6" w14:textId="77777777" w:rsidR="004C0853" w:rsidRPr="00504D41" w:rsidRDefault="00C32872" w:rsidP="00464705">
      <w:r w:rsidRPr="00504D41">
        <w:t xml:space="preserve">4.2.3. </w:t>
      </w:r>
      <w:r w:rsidR="004C0853" w:rsidRPr="00504D41">
        <w:t>Guar gum</w:t>
      </w:r>
    </w:p>
    <w:p w14:paraId="7A3358B2" w14:textId="77777777" w:rsidR="004C0853" w:rsidRPr="00504D41" w:rsidRDefault="004C0853" w:rsidP="0016445D">
      <w:pPr>
        <w:tabs>
          <w:tab w:val="left" w:pos="0"/>
        </w:tabs>
        <w:spacing w:line="360" w:lineRule="auto"/>
        <w:jc w:val="both"/>
        <w:rPr>
          <w:szCs w:val="24"/>
        </w:rPr>
      </w:pPr>
      <w:r w:rsidRPr="00504D41">
        <w:rPr>
          <w:szCs w:val="24"/>
        </w:rPr>
        <w:t>Guar gum extracted from seeds of the guar plant (</w:t>
      </w:r>
      <w:r w:rsidRPr="00504D41">
        <w:rPr>
          <w:i/>
          <w:iCs/>
          <w:szCs w:val="24"/>
        </w:rPr>
        <w:t>Cyamopsis tetragonolobus</w:t>
      </w:r>
      <w:r w:rsidRPr="00504D41">
        <w:rPr>
          <w:szCs w:val="24"/>
        </w:rPr>
        <w:t>) is one of the most widely used commercial sources of galactomannan, linear polysaccharides consisting of a mannose backbone with attached galactose side chains</w:t>
      </w:r>
      <w:r w:rsidR="00396AF4" w:rsidRPr="00504D41">
        <w:rPr>
          <w:szCs w:val="24"/>
        </w:rPr>
        <w:t xml:space="preserve"> (</w:t>
      </w:r>
      <w:r w:rsidR="00396AF4" w:rsidRPr="00504D41">
        <w:rPr>
          <w:b/>
          <w:bCs/>
          <w:szCs w:val="24"/>
        </w:rPr>
        <w:t xml:space="preserve">Figure </w:t>
      </w:r>
      <w:r w:rsidR="00273E2F" w:rsidRPr="00504D41">
        <w:rPr>
          <w:b/>
          <w:bCs/>
          <w:szCs w:val="24"/>
        </w:rPr>
        <w:t>6</w:t>
      </w:r>
      <w:r w:rsidR="006C017B" w:rsidRPr="00504D41">
        <w:rPr>
          <w:b/>
          <w:bCs/>
          <w:szCs w:val="24"/>
        </w:rPr>
        <w:t>a</w:t>
      </w:r>
      <w:r w:rsidR="006C017B" w:rsidRPr="00504D41">
        <w:rPr>
          <w:szCs w:val="24"/>
        </w:rPr>
        <w:t>)</w:t>
      </w:r>
      <w:r w:rsidRPr="00504D41">
        <w:rPr>
          <w:szCs w:val="24"/>
        </w:rPr>
        <w:t>. High molecular weights combined with an abundance of hydroxyl groups contribute towards highly viscous galactomannan solutions in water which enable its utilization as a gelling, thickening, stabilizing and binding agent</w:t>
      </w:r>
      <w:r w:rsidR="00F2000C" w:rsidRPr="00504D41">
        <w:rPr>
          <w:szCs w:val="24"/>
        </w:rPr>
        <w:t>.</w:t>
      </w:r>
      <w:r w:rsidR="006D54C2" w:rsidRPr="00504D41">
        <w:rPr>
          <w:noProof/>
          <w:szCs w:val="24"/>
          <w:vertAlign w:val="superscript"/>
        </w:rPr>
        <w:t>89</w:t>
      </w:r>
      <w:r w:rsidR="005B7822" w:rsidRPr="00504D41">
        <w:rPr>
          <w:szCs w:val="24"/>
        </w:rPr>
        <w:t xml:space="preserve"> G</w:t>
      </w:r>
      <w:r w:rsidRPr="00504D41">
        <w:rPr>
          <w:szCs w:val="24"/>
        </w:rPr>
        <w:t>uar gum as a cost-effective source of galactomannan, has been widely explored for industrial and drug-delivery applications</w:t>
      </w:r>
      <w:r w:rsidR="00F2000C" w:rsidRPr="00504D41">
        <w:rPr>
          <w:szCs w:val="24"/>
        </w:rPr>
        <w:t>,</w:t>
      </w:r>
      <w:r w:rsidR="006D54C2" w:rsidRPr="00504D41">
        <w:rPr>
          <w:noProof/>
          <w:szCs w:val="24"/>
          <w:vertAlign w:val="superscript"/>
        </w:rPr>
        <w:t>89,90</w:t>
      </w:r>
      <w:r w:rsidRPr="00504D41">
        <w:rPr>
          <w:szCs w:val="24"/>
        </w:rPr>
        <w:t xml:space="preserve"> along with uses in the food industry</w:t>
      </w:r>
      <w:r w:rsidR="00F2000C" w:rsidRPr="00504D41">
        <w:rPr>
          <w:szCs w:val="24"/>
        </w:rPr>
        <w:t>.</w:t>
      </w:r>
      <w:r w:rsidR="006D54C2" w:rsidRPr="00504D41">
        <w:rPr>
          <w:noProof/>
          <w:szCs w:val="24"/>
          <w:vertAlign w:val="superscript"/>
        </w:rPr>
        <w:t>91</w:t>
      </w:r>
      <w:r w:rsidRPr="00504D41">
        <w:rPr>
          <w:szCs w:val="24"/>
        </w:rPr>
        <w:t xml:space="preserve"> There have been few reports</w:t>
      </w:r>
      <w:r w:rsidR="006D54C2" w:rsidRPr="00504D41">
        <w:rPr>
          <w:noProof/>
          <w:szCs w:val="24"/>
          <w:vertAlign w:val="superscript"/>
        </w:rPr>
        <w:t>89,92</w:t>
      </w:r>
      <w:r w:rsidRPr="00504D41">
        <w:rPr>
          <w:szCs w:val="24"/>
        </w:rPr>
        <w:t xml:space="preserve"> on the utilization of guar gum for agricultural applications, where it has been mainly explored as a soil conditioning agent to enhance soil moisture retention</w:t>
      </w:r>
      <w:r w:rsidR="002C7F82" w:rsidRPr="00504D41">
        <w:rPr>
          <w:szCs w:val="24"/>
        </w:rPr>
        <w:t xml:space="preserve"> </w:t>
      </w:r>
      <w:r w:rsidR="009B20FD" w:rsidRPr="00504D41">
        <w:rPr>
          <w:szCs w:val="24"/>
        </w:rPr>
        <w:t xml:space="preserve">(Figure </w:t>
      </w:r>
      <w:r w:rsidR="003D4349" w:rsidRPr="00504D41">
        <w:rPr>
          <w:szCs w:val="24"/>
        </w:rPr>
        <w:t>6</w:t>
      </w:r>
      <w:r w:rsidR="009B20FD" w:rsidRPr="00504D41">
        <w:rPr>
          <w:szCs w:val="24"/>
        </w:rPr>
        <w:t>b</w:t>
      </w:r>
      <w:r w:rsidR="005B7822" w:rsidRPr="00504D41">
        <w:rPr>
          <w:szCs w:val="24"/>
        </w:rPr>
        <w:t>-e</w:t>
      </w:r>
      <w:r w:rsidR="009B20FD" w:rsidRPr="00504D41">
        <w:rPr>
          <w:szCs w:val="24"/>
        </w:rPr>
        <w:t>)</w:t>
      </w:r>
      <w:r w:rsidRPr="00504D41">
        <w:rPr>
          <w:szCs w:val="24"/>
        </w:rPr>
        <w:t>. A few patents</w:t>
      </w:r>
      <w:r w:rsidR="006D54C2" w:rsidRPr="00504D41">
        <w:rPr>
          <w:noProof/>
          <w:szCs w:val="24"/>
          <w:vertAlign w:val="superscript"/>
        </w:rPr>
        <w:t>93–95</w:t>
      </w:r>
      <w:r w:rsidR="00070A19" w:rsidRPr="00504D41">
        <w:rPr>
          <w:szCs w:val="24"/>
        </w:rPr>
        <w:t xml:space="preserve"> </w:t>
      </w:r>
      <w:r w:rsidRPr="00504D41">
        <w:rPr>
          <w:szCs w:val="24"/>
        </w:rPr>
        <w:t>have reported the use of guar gum in seed coatings.</w:t>
      </w:r>
      <w:r w:rsidR="00E75F9C" w:rsidRPr="00504D41">
        <w:rPr>
          <w:szCs w:val="24"/>
        </w:rPr>
        <w:t xml:space="preserve"> </w:t>
      </w:r>
      <w:r w:rsidRPr="00504D41">
        <w:rPr>
          <w:szCs w:val="24"/>
        </w:rPr>
        <w:t>Duke</w:t>
      </w:r>
      <w:r w:rsidR="006D54C2" w:rsidRPr="00504D41">
        <w:rPr>
          <w:noProof/>
          <w:szCs w:val="24"/>
          <w:vertAlign w:val="superscript"/>
        </w:rPr>
        <w:t>93</w:t>
      </w:r>
      <w:r w:rsidR="00B37242" w:rsidRPr="00504D41">
        <w:rPr>
          <w:szCs w:val="24"/>
        </w:rPr>
        <w:t xml:space="preserve"> </w:t>
      </w:r>
      <w:r w:rsidRPr="00504D41">
        <w:rPr>
          <w:szCs w:val="24"/>
        </w:rPr>
        <w:t>in 1992 disclosed the use of hydroxypropyl guar solution to coat fuzzy cotton seeds</w:t>
      </w:r>
      <w:r w:rsidR="00CC7B17" w:rsidRPr="00504D41">
        <w:rPr>
          <w:szCs w:val="24"/>
        </w:rPr>
        <w:t>,</w:t>
      </w:r>
      <w:r w:rsidRPr="00504D41">
        <w:rPr>
          <w:szCs w:val="24"/>
        </w:rPr>
        <w:t xml:space="preserve"> achieving better flowability through planting equipment.</w:t>
      </w:r>
      <w:r w:rsidR="00B37242" w:rsidRPr="00504D41">
        <w:rPr>
          <w:szCs w:val="24"/>
        </w:rPr>
        <w:t xml:space="preserve"> </w:t>
      </w:r>
      <w:r w:rsidRPr="00504D41">
        <w:rPr>
          <w:szCs w:val="24"/>
        </w:rPr>
        <w:t>In a more recent patent</w:t>
      </w:r>
      <w:r w:rsidR="00F2000C" w:rsidRPr="00504D41">
        <w:rPr>
          <w:szCs w:val="24"/>
        </w:rPr>
        <w:t>,</w:t>
      </w:r>
      <w:r w:rsidR="006D54C2" w:rsidRPr="00504D41">
        <w:rPr>
          <w:noProof/>
          <w:szCs w:val="24"/>
          <w:vertAlign w:val="superscript"/>
        </w:rPr>
        <w:t>94</w:t>
      </w:r>
      <w:r w:rsidRPr="00504D41">
        <w:rPr>
          <w:szCs w:val="24"/>
        </w:rPr>
        <w:t xml:space="preserve"> Chen and coworkers disclosed a method to develop guar gum seed coatings to enhance water retention around the seed to promote seedling establishment (expeditious and homogeneous seedling emergence in field</w:t>
      </w:r>
      <w:r w:rsidR="006D54C2" w:rsidRPr="00504D41">
        <w:rPr>
          <w:noProof/>
          <w:szCs w:val="24"/>
          <w:vertAlign w:val="superscript"/>
        </w:rPr>
        <w:t>96</w:t>
      </w:r>
      <w:r w:rsidRPr="00504D41">
        <w:rPr>
          <w:szCs w:val="24"/>
        </w:rPr>
        <w:t>)</w:t>
      </w:r>
      <w:r w:rsidR="00CC7B17" w:rsidRPr="00504D41">
        <w:rPr>
          <w:szCs w:val="24"/>
        </w:rPr>
        <w:t>,</w:t>
      </w:r>
      <w:r w:rsidRPr="00504D41">
        <w:rPr>
          <w:szCs w:val="24"/>
        </w:rPr>
        <w:t xml:space="preserve"> particularly in hostile croplands with limited or scarce irrigation. Furthermore, the use of derivatized guar to form coating layers allowed </w:t>
      </w:r>
      <w:r w:rsidR="00CC7B17" w:rsidRPr="00504D41">
        <w:rPr>
          <w:szCs w:val="24"/>
        </w:rPr>
        <w:t xml:space="preserve">the </w:t>
      </w:r>
      <w:r w:rsidRPr="00504D41">
        <w:rPr>
          <w:szCs w:val="24"/>
        </w:rPr>
        <w:t>grouping of multiple seeds in agglomerates which is sometimes desirable in precision sowing. Methods mentioned to coat seeds with the guar layer include</w:t>
      </w:r>
      <w:r w:rsidR="00AD5F19" w:rsidRPr="00504D41">
        <w:rPr>
          <w:szCs w:val="24"/>
        </w:rPr>
        <w:t>d</w:t>
      </w:r>
      <w:r w:rsidRPr="00504D41">
        <w:rPr>
          <w:szCs w:val="24"/>
        </w:rPr>
        <w:t xml:space="preserve"> coating in rotary coaters, drum coaters, fluidized beds and in-situ coating</w:t>
      </w:r>
      <w:r w:rsidR="00CC7B17" w:rsidRPr="00504D41">
        <w:rPr>
          <w:szCs w:val="24"/>
        </w:rPr>
        <w:t>s</w:t>
      </w:r>
      <w:r w:rsidRPr="00504D41">
        <w:rPr>
          <w:szCs w:val="24"/>
        </w:rPr>
        <w:t xml:space="preserve"> wherein the uncoated seeds are planted in a hole in the ground followed by immediate spraying of the coating mixture in the hole to </w:t>
      </w:r>
      <w:r w:rsidR="00CC7B17" w:rsidRPr="00504D41">
        <w:rPr>
          <w:szCs w:val="24"/>
        </w:rPr>
        <w:t xml:space="preserve">completely or partially </w:t>
      </w:r>
      <w:r w:rsidRPr="00504D41">
        <w:rPr>
          <w:szCs w:val="24"/>
        </w:rPr>
        <w:t>surround the seed</w:t>
      </w:r>
      <w:r w:rsidR="00CE6281" w:rsidRPr="00504D41">
        <w:rPr>
          <w:szCs w:val="24"/>
        </w:rPr>
        <w:t>. More recently, researchers</w:t>
      </w:r>
      <w:r w:rsidR="006D54C2" w:rsidRPr="00504D41">
        <w:rPr>
          <w:noProof/>
          <w:szCs w:val="24"/>
          <w:vertAlign w:val="superscript"/>
        </w:rPr>
        <w:t>95</w:t>
      </w:r>
      <w:r w:rsidRPr="00504D41">
        <w:rPr>
          <w:szCs w:val="24"/>
        </w:rPr>
        <w:t xml:space="preserve"> have disclosed the use of dry seed coatings consisting of a cross-linked biopolymer </w:t>
      </w:r>
      <w:r w:rsidRPr="00504D41">
        <w:rPr>
          <w:szCs w:val="24"/>
        </w:rPr>
        <w:lastRenderedPageBreak/>
        <w:t>(amylose or amylopectin) and a binder layer of guar, starch</w:t>
      </w:r>
      <w:r w:rsidR="00CC7B17" w:rsidRPr="00504D41">
        <w:rPr>
          <w:szCs w:val="24"/>
        </w:rPr>
        <w:t>,</w:t>
      </w:r>
      <w:r w:rsidRPr="00504D41">
        <w:rPr>
          <w:szCs w:val="24"/>
        </w:rPr>
        <w:t xml:space="preserve"> or a mixture of the two. As an example, corn seeds were coated with a dispersion of starch and guar biostimulant (derivatized cationic guar) powder in DI water. The treated seeds showed no caking, were visually dry and left no observable residues in the coating chamber. Dust measurements showed reduced emissions from the coated seeds compared to untreated seeds</w:t>
      </w:r>
      <w:r w:rsidR="002A50B9" w:rsidRPr="00504D41">
        <w:rPr>
          <w:szCs w:val="24"/>
        </w:rPr>
        <w:t xml:space="preserve"> (Figure </w:t>
      </w:r>
      <w:r w:rsidR="00B970F7" w:rsidRPr="00504D41">
        <w:rPr>
          <w:szCs w:val="24"/>
        </w:rPr>
        <w:t>6</w:t>
      </w:r>
      <w:r w:rsidR="00AF37C7" w:rsidRPr="00504D41">
        <w:rPr>
          <w:szCs w:val="24"/>
        </w:rPr>
        <w:t>g)</w:t>
      </w:r>
      <w:r w:rsidRPr="00504D41">
        <w:rPr>
          <w:szCs w:val="24"/>
        </w:rPr>
        <w:t xml:space="preserve">. Moreover, no detrimental effects on seed </w:t>
      </w:r>
      <w:r w:rsidR="00AF37C7" w:rsidRPr="00504D41">
        <w:rPr>
          <w:szCs w:val="24"/>
        </w:rPr>
        <w:t>germination</w:t>
      </w:r>
      <w:r w:rsidRPr="00504D41">
        <w:rPr>
          <w:szCs w:val="24"/>
        </w:rPr>
        <w:t xml:space="preserve"> were observed due to the coating</w:t>
      </w:r>
      <w:r w:rsidR="00AF37C7" w:rsidRPr="00504D41">
        <w:rPr>
          <w:szCs w:val="24"/>
        </w:rPr>
        <w:t xml:space="preserve"> (Figure </w:t>
      </w:r>
      <w:r w:rsidR="008B00D7" w:rsidRPr="00504D41">
        <w:rPr>
          <w:szCs w:val="24"/>
        </w:rPr>
        <w:t>6</w:t>
      </w:r>
      <w:r w:rsidR="00AF37C7" w:rsidRPr="00504D41">
        <w:rPr>
          <w:szCs w:val="24"/>
        </w:rPr>
        <w:t>f)</w:t>
      </w:r>
      <w:r w:rsidRPr="00504D41">
        <w:rPr>
          <w:szCs w:val="24"/>
        </w:rPr>
        <w:t xml:space="preserve">. </w:t>
      </w:r>
    </w:p>
    <w:p w14:paraId="1EDEA0BF" w14:textId="77777777" w:rsidR="00894E94" w:rsidRPr="00504D41" w:rsidRDefault="00894E94" w:rsidP="00894E94">
      <w:pPr>
        <w:spacing w:line="360" w:lineRule="auto"/>
        <w:jc w:val="both"/>
        <w:rPr>
          <w:szCs w:val="24"/>
        </w:rPr>
      </w:pPr>
      <w:r w:rsidRPr="00504D41">
        <w:t xml:space="preserve">The source plant of guar gum </w:t>
      </w:r>
      <w:r w:rsidRPr="00504D41">
        <w:rPr>
          <w:i/>
          <w:iCs/>
          <w:szCs w:val="24"/>
        </w:rPr>
        <w:t>C. tetragonoloba</w:t>
      </w:r>
      <w:r w:rsidRPr="00504D41">
        <w:rPr>
          <w:szCs w:val="24"/>
        </w:rPr>
        <w:t xml:space="preserve"> native to South Asia, is used both for human and animal consumption. Guar can be considered as a low emission crop</w:t>
      </w:r>
      <w:r w:rsidR="006D54C2" w:rsidRPr="00504D41">
        <w:rPr>
          <w:iCs/>
          <w:noProof/>
          <w:color w:val="333333"/>
          <w:sz w:val="27"/>
          <w:szCs w:val="27"/>
          <w:shd w:val="clear" w:color="auto" w:fill="FCFCFC"/>
          <w:vertAlign w:val="superscript"/>
        </w:rPr>
        <w:t>97</w:t>
      </w:r>
      <w:r w:rsidR="009A4630" w:rsidRPr="00504D41">
        <w:rPr>
          <w:i/>
          <w:iCs/>
          <w:color w:val="333333"/>
          <w:sz w:val="27"/>
          <w:szCs w:val="27"/>
          <w:shd w:val="clear" w:color="auto" w:fill="FCFCFC"/>
          <w:vertAlign w:val="superscript"/>
        </w:rPr>
        <w:t>,</w:t>
      </w:r>
      <w:r w:rsidR="006D54C2" w:rsidRPr="00504D41">
        <w:rPr>
          <w:iCs/>
          <w:noProof/>
          <w:color w:val="333333"/>
          <w:sz w:val="27"/>
          <w:szCs w:val="27"/>
          <w:shd w:val="clear" w:color="auto" w:fill="FCFCFC"/>
          <w:vertAlign w:val="superscript"/>
        </w:rPr>
        <w:t>98</w:t>
      </w:r>
      <w:r w:rsidRPr="00504D41">
        <w:rPr>
          <w:szCs w:val="24"/>
        </w:rPr>
        <w:t>. Environmental results of an LCA analysis</w:t>
      </w:r>
      <w:r w:rsidR="006D54C2" w:rsidRPr="00504D41">
        <w:rPr>
          <w:iCs/>
          <w:noProof/>
          <w:color w:val="333333"/>
          <w:sz w:val="27"/>
          <w:szCs w:val="27"/>
          <w:shd w:val="clear" w:color="auto" w:fill="FCFCFC"/>
          <w:vertAlign w:val="superscript"/>
        </w:rPr>
        <w:t>98</w:t>
      </w:r>
      <w:r w:rsidRPr="00504D41">
        <w:rPr>
          <w:szCs w:val="24"/>
        </w:rPr>
        <w:t xml:space="preserve"> conducted for the irrigation of guar in the US Southwest indicate lesser or equivalent emissions at 2.67kg CO</w:t>
      </w:r>
      <w:r w:rsidRPr="00504D41">
        <w:rPr>
          <w:szCs w:val="24"/>
          <w:vertAlign w:val="subscript"/>
        </w:rPr>
        <w:t>2</w:t>
      </w:r>
      <w:r w:rsidRPr="00504D41">
        <w:rPr>
          <w:szCs w:val="24"/>
        </w:rPr>
        <w:t xml:space="preserve"> eq per kg guar gum compared to crops like wheat, barley and corn. Drawbacks associated with </w:t>
      </w:r>
      <w:r w:rsidR="00CC7B17" w:rsidRPr="00504D41">
        <w:rPr>
          <w:szCs w:val="24"/>
        </w:rPr>
        <w:t>large-</w:t>
      </w:r>
      <w:r w:rsidRPr="00504D41">
        <w:rPr>
          <w:szCs w:val="24"/>
        </w:rPr>
        <w:t xml:space="preserve">scale usage of guar gum for seed coatings relate to utilization of </w:t>
      </w:r>
      <w:r w:rsidR="00CC7B17" w:rsidRPr="00504D41">
        <w:rPr>
          <w:szCs w:val="24"/>
        </w:rPr>
        <w:t xml:space="preserve">agricultural </w:t>
      </w:r>
      <w:r w:rsidRPr="00504D41">
        <w:rPr>
          <w:szCs w:val="24"/>
        </w:rPr>
        <w:t xml:space="preserve">land for producing industrial raw materials. Also, extraction of guar gum from </w:t>
      </w:r>
      <w:r w:rsidRPr="00504D41">
        <w:rPr>
          <w:i/>
          <w:iCs/>
          <w:szCs w:val="24"/>
        </w:rPr>
        <w:t>C. tetragonoloba</w:t>
      </w:r>
      <w:r w:rsidRPr="00504D41">
        <w:rPr>
          <w:szCs w:val="24"/>
        </w:rPr>
        <w:t xml:space="preserve"> seeds involves various steps including dehusking through heat treatment, milling and polishing</w:t>
      </w:r>
      <w:r w:rsidRPr="00504D41">
        <w:rPr>
          <w:i/>
          <w:iCs/>
          <w:color w:val="333333"/>
          <w:sz w:val="27"/>
          <w:szCs w:val="27"/>
          <w:shd w:val="clear" w:color="auto" w:fill="FCFCFC"/>
        </w:rPr>
        <w:t>.</w:t>
      </w:r>
      <w:r w:rsidR="006D54C2" w:rsidRPr="00504D41">
        <w:rPr>
          <w:iCs/>
          <w:noProof/>
          <w:color w:val="333333"/>
          <w:sz w:val="27"/>
          <w:szCs w:val="27"/>
          <w:shd w:val="clear" w:color="auto" w:fill="FCFCFC"/>
          <w:vertAlign w:val="superscript"/>
        </w:rPr>
        <w:t>91</w:t>
      </w:r>
      <w:r w:rsidRPr="00504D41">
        <w:rPr>
          <w:szCs w:val="24"/>
        </w:rPr>
        <w:t xml:space="preserve"> with significant water and energy intake.</w:t>
      </w:r>
    </w:p>
    <w:p w14:paraId="5DC9916F" w14:textId="77777777" w:rsidR="00894E94" w:rsidRPr="00504D41" w:rsidRDefault="00894E94" w:rsidP="00894E94">
      <w:pPr>
        <w:tabs>
          <w:tab w:val="left" w:pos="0"/>
        </w:tabs>
        <w:spacing w:line="360" w:lineRule="auto"/>
        <w:jc w:val="both"/>
        <w:rPr>
          <w:szCs w:val="24"/>
        </w:rPr>
      </w:pPr>
      <w:r w:rsidRPr="00504D41">
        <w:rPr>
          <w:szCs w:val="24"/>
        </w:rPr>
        <w:t xml:space="preserve">Thus, guar gum can be considered a potentially promising seed coating material based on patent literature; however, more experimental studies are needed to ascertain its utility as an effective seed coating material. Moreover, LCA studies are needed to gauge its environmental impact compared to existing coating materials. </w:t>
      </w:r>
    </w:p>
    <w:p w14:paraId="18DD2532" w14:textId="77777777" w:rsidR="00894E94" w:rsidRPr="00504D41" w:rsidRDefault="00894E94" w:rsidP="0016445D">
      <w:pPr>
        <w:tabs>
          <w:tab w:val="left" w:pos="0"/>
        </w:tabs>
        <w:spacing w:line="360" w:lineRule="auto"/>
        <w:jc w:val="both"/>
        <w:rPr>
          <w:szCs w:val="24"/>
        </w:rPr>
      </w:pPr>
    </w:p>
    <w:p w14:paraId="76E8A8C8" w14:textId="77777777" w:rsidR="009262D4" w:rsidRPr="00504D41" w:rsidRDefault="009262D4" w:rsidP="0016445D">
      <w:pPr>
        <w:tabs>
          <w:tab w:val="left" w:pos="0"/>
        </w:tabs>
        <w:spacing w:line="360" w:lineRule="auto"/>
        <w:jc w:val="both"/>
        <w:rPr>
          <w:szCs w:val="24"/>
        </w:rPr>
      </w:pPr>
    </w:p>
    <w:p w14:paraId="569FF4A5" w14:textId="77777777" w:rsidR="00B1689E" w:rsidRPr="00504D41" w:rsidRDefault="000057B3" w:rsidP="0016445D">
      <w:pPr>
        <w:keepNext/>
        <w:tabs>
          <w:tab w:val="left" w:pos="0"/>
        </w:tabs>
        <w:spacing w:line="360" w:lineRule="auto"/>
        <w:rPr>
          <w:szCs w:val="24"/>
        </w:rPr>
      </w:pPr>
      <w:r w:rsidRPr="00504D41">
        <w:rPr>
          <w:noProof/>
        </w:rPr>
        <w:lastRenderedPageBreak/>
        <w:pict w14:anchorId="29E6D107">
          <v:shape id="Picture 20" o:spid="_x0000_i1031" type="#_x0000_t75" alt="Graphical user interface&#10;&#10;Description automatically generated" style="width:451.25pt;height:335.7pt;visibility:visible">
            <v:imagedata r:id="rId18" o:title="Graphical user interface&#10;&#10;Description automatically generated"/>
          </v:shape>
        </w:pict>
      </w:r>
    </w:p>
    <w:p w14:paraId="51793EAC" w14:textId="77777777" w:rsidR="00404D3E" w:rsidRPr="00504D41" w:rsidRDefault="00B1689E" w:rsidP="00604AEC">
      <w:pPr>
        <w:spacing w:line="360" w:lineRule="auto"/>
        <w:jc w:val="both"/>
        <w:rPr>
          <w:szCs w:val="24"/>
        </w:rPr>
      </w:pPr>
      <w:r w:rsidRPr="00504D41">
        <w:rPr>
          <w:b/>
          <w:bCs/>
          <w:szCs w:val="24"/>
        </w:rPr>
        <w:t xml:space="preserve">Figure </w:t>
      </w:r>
      <w:r w:rsidR="00405B53" w:rsidRPr="00504D41">
        <w:rPr>
          <w:b/>
          <w:bCs/>
          <w:szCs w:val="24"/>
        </w:rPr>
        <w:fldChar w:fldCharType="begin"/>
      </w:r>
      <w:r w:rsidR="00405B53" w:rsidRPr="00504D41">
        <w:rPr>
          <w:b/>
          <w:bCs/>
          <w:szCs w:val="24"/>
        </w:rPr>
        <w:instrText xml:space="preserve"> SEQ Figure \* ARABIC </w:instrText>
      </w:r>
      <w:r w:rsidR="00405B53" w:rsidRPr="00504D41">
        <w:rPr>
          <w:b/>
          <w:bCs/>
          <w:szCs w:val="24"/>
        </w:rPr>
        <w:fldChar w:fldCharType="separate"/>
      </w:r>
      <w:r w:rsidR="003D0A6B" w:rsidRPr="00504D41">
        <w:rPr>
          <w:b/>
          <w:bCs/>
          <w:noProof/>
          <w:szCs w:val="24"/>
        </w:rPr>
        <w:t>6</w:t>
      </w:r>
      <w:r w:rsidR="00405B53" w:rsidRPr="00504D41">
        <w:rPr>
          <w:b/>
          <w:bCs/>
          <w:noProof/>
          <w:szCs w:val="24"/>
        </w:rPr>
        <w:fldChar w:fldCharType="end"/>
      </w:r>
      <w:r w:rsidR="006E4A61" w:rsidRPr="00504D41">
        <w:rPr>
          <w:szCs w:val="24"/>
        </w:rPr>
        <w:t>.</w:t>
      </w:r>
      <w:r w:rsidRPr="00504D41">
        <w:rPr>
          <w:szCs w:val="24"/>
        </w:rPr>
        <w:t xml:space="preserve"> </w:t>
      </w:r>
      <w:r w:rsidR="00BE5EF4" w:rsidRPr="00504D41">
        <w:rPr>
          <w:szCs w:val="24"/>
        </w:rPr>
        <w:t xml:space="preserve">(a) Chemical structure of guar gum. Adapted </w:t>
      </w:r>
      <w:r w:rsidR="00094E41" w:rsidRPr="00504D41">
        <w:rPr>
          <w:szCs w:val="24"/>
        </w:rPr>
        <w:t>with permission</w:t>
      </w:r>
      <w:r w:rsidR="00D37AB7" w:rsidRPr="00504D41">
        <w:rPr>
          <w:szCs w:val="24"/>
        </w:rPr>
        <w:t>.</w:t>
      </w:r>
      <w:r w:rsidR="006D54C2" w:rsidRPr="00504D41">
        <w:rPr>
          <w:noProof/>
          <w:vertAlign w:val="superscript"/>
        </w:rPr>
        <w:t>90</w:t>
      </w:r>
      <w:r w:rsidR="00BE5EF4" w:rsidRPr="00504D41">
        <w:rPr>
          <w:szCs w:val="24"/>
        </w:rPr>
        <w:t xml:space="preserve"> Copyright Elsevier 2011. SEM images of (b) guar gum film, (c) acrylic acid grafted guar gum crosslinked with ethylene glycol di methacrylic acid (EGDMA) (GG-AA-EGDMA) dried hydrogel at 100 X magnification, (d) GG-AA-EGDMA dried hydrogel at 2000 X magnification and (e) hydrated GG-AA-EGDMA hydrogel. Adapted </w:t>
      </w:r>
      <w:r w:rsidR="00094E41" w:rsidRPr="00504D41">
        <w:rPr>
          <w:szCs w:val="24"/>
        </w:rPr>
        <w:t>with permission.</w:t>
      </w:r>
      <w:r w:rsidR="006D54C2" w:rsidRPr="00504D41">
        <w:rPr>
          <w:noProof/>
          <w:vertAlign w:val="superscript"/>
        </w:rPr>
        <w:t>92</w:t>
      </w:r>
      <w:r w:rsidR="00094E41" w:rsidRPr="00504D41">
        <w:rPr>
          <w:szCs w:val="24"/>
        </w:rPr>
        <w:t xml:space="preserve"> </w:t>
      </w:r>
      <w:r w:rsidR="00BE5EF4" w:rsidRPr="00504D41">
        <w:rPr>
          <w:szCs w:val="24"/>
        </w:rPr>
        <w:t xml:space="preserve">Copyright Elsevier 2018. Whereas guar gum exhibits a compact, non-porous structure, GG-AA-EGDMA hydrogels display </w:t>
      </w:r>
      <w:r w:rsidR="00CC7B17" w:rsidRPr="00504D41">
        <w:rPr>
          <w:szCs w:val="24"/>
        </w:rPr>
        <w:t xml:space="preserve">a </w:t>
      </w:r>
      <w:r w:rsidR="00BE5EF4" w:rsidRPr="00504D41">
        <w:rPr>
          <w:szCs w:val="24"/>
        </w:rPr>
        <w:t xml:space="preserve">porous network with interspatial voids. The pores enable high water penetration resulting in high water absorption rates. The difference in dried and hydrated hydrogels is evident from the transformation of the distinct boundary network structure </w:t>
      </w:r>
      <w:r w:rsidR="00CC7B17" w:rsidRPr="00504D41">
        <w:rPr>
          <w:szCs w:val="24"/>
        </w:rPr>
        <w:t xml:space="preserve">in </w:t>
      </w:r>
      <w:r w:rsidR="00BE5EF4" w:rsidRPr="00504D41">
        <w:rPr>
          <w:szCs w:val="24"/>
        </w:rPr>
        <w:t xml:space="preserve">dry conditions to the </w:t>
      </w:r>
      <w:r w:rsidR="00CC7B17" w:rsidRPr="00504D41">
        <w:rPr>
          <w:szCs w:val="24"/>
        </w:rPr>
        <w:t>web-</w:t>
      </w:r>
      <w:r w:rsidR="00BE5EF4" w:rsidRPr="00504D41">
        <w:rPr>
          <w:szCs w:val="24"/>
        </w:rPr>
        <w:t>like morphology in wet conditions. This transformation can be attributed to water imbibition by the hydrogels. The high water retention capacity of these guar based hydrogels can be exploited for soil conditioning applications. (f-g) Germination and dust emission test results of corn seeds coated with mixtures of DV-12 and DV-89 (starch powder), guar biostimulant powder DCG-1 and derivatized cationic guar DCD-2. Data replotted from</w:t>
      </w:r>
      <w:r w:rsidR="00CA0B19" w:rsidRPr="00504D41">
        <w:rPr>
          <w:szCs w:val="24"/>
        </w:rPr>
        <w:t xml:space="preserve"> ref</w:t>
      </w:r>
      <w:r w:rsidR="00653AA2" w:rsidRPr="00504D41">
        <w:rPr>
          <w:szCs w:val="24"/>
        </w:rPr>
        <w:t>erence.</w:t>
      </w:r>
      <w:r w:rsidR="006D54C2" w:rsidRPr="00504D41">
        <w:rPr>
          <w:noProof/>
          <w:szCs w:val="24"/>
          <w:vertAlign w:val="superscript"/>
        </w:rPr>
        <w:t>95</w:t>
      </w:r>
      <w:r w:rsidR="00BE5EF4" w:rsidRPr="00504D41">
        <w:rPr>
          <w:szCs w:val="24"/>
        </w:rPr>
        <w:t xml:space="preserve"> (f) DV-89 + DCG-1 </w:t>
      </w:r>
      <w:r w:rsidR="00BE5EF4" w:rsidRPr="00504D41">
        <w:rPr>
          <w:szCs w:val="24"/>
        </w:rPr>
        <w:lastRenderedPageBreak/>
        <w:t xml:space="preserve">combination shows </w:t>
      </w:r>
      <w:r w:rsidR="00CC7B17" w:rsidRPr="00504D41">
        <w:rPr>
          <w:szCs w:val="24"/>
        </w:rPr>
        <w:t xml:space="preserve">the </w:t>
      </w:r>
      <w:r w:rsidR="00BE5EF4" w:rsidRPr="00504D41">
        <w:rPr>
          <w:szCs w:val="24"/>
        </w:rPr>
        <w:t xml:space="preserve">highest normal germination rates whereas the other </w:t>
      </w:r>
      <w:r w:rsidR="00FF337E" w:rsidRPr="00504D41">
        <w:rPr>
          <w:szCs w:val="24"/>
        </w:rPr>
        <w:t>three</w:t>
      </w:r>
      <w:r w:rsidR="00BE5EF4" w:rsidRPr="00504D41">
        <w:rPr>
          <w:szCs w:val="24"/>
        </w:rPr>
        <w:t xml:space="preserve"> tested coatings show slightly lower germination compared to untreated control. (g) Dust measurement results conducted on a Heubach dust</w:t>
      </w:r>
      <w:r w:rsidR="00CC7B17" w:rsidRPr="00504D41">
        <w:rPr>
          <w:szCs w:val="24"/>
        </w:rPr>
        <w:t xml:space="preserve"> </w:t>
      </w:r>
      <w:r w:rsidR="00BE5EF4" w:rsidRPr="00504D41">
        <w:rPr>
          <w:szCs w:val="24"/>
        </w:rPr>
        <w:t xml:space="preserve">meter equipment for 4 different coating combinations and untreated controls. All tested coatings show lower dust emission rates compared to </w:t>
      </w:r>
      <w:r w:rsidR="009367A4" w:rsidRPr="00504D41">
        <w:rPr>
          <w:szCs w:val="24"/>
        </w:rPr>
        <w:t>control</w:t>
      </w:r>
      <w:r w:rsidR="00147DA6" w:rsidRPr="00504D41">
        <w:rPr>
          <w:szCs w:val="24"/>
        </w:rPr>
        <w:t>s</w:t>
      </w:r>
      <w:r w:rsidR="009367A4" w:rsidRPr="00504D41">
        <w:rPr>
          <w:szCs w:val="24"/>
        </w:rPr>
        <w:t>.</w:t>
      </w:r>
    </w:p>
    <w:p w14:paraId="3366396E" w14:textId="77777777" w:rsidR="00CC7B17" w:rsidRPr="00504D41" w:rsidRDefault="00CC7B17" w:rsidP="00604AEC">
      <w:pPr>
        <w:spacing w:line="360" w:lineRule="auto"/>
        <w:jc w:val="both"/>
        <w:rPr>
          <w:szCs w:val="24"/>
        </w:rPr>
      </w:pPr>
    </w:p>
    <w:p w14:paraId="73B60ED8" w14:textId="77777777" w:rsidR="00F4101E" w:rsidRPr="00504D41" w:rsidRDefault="00C32872" w:rsidP="005009CE">
      <w:pPr>
        <w:rPr>
          <w:b/>
        </w:rPr>
      </w:pPr>
      <w:bookmarkStart w:id="16" w:name="_Toc85537935"/>
      <w:r w:rsidRPr="00504D41">
        <w:rPr>
          <w:b/>
        </w:rPr>
        <w:t>4.3.</w:t>
      </w:r>
      <w:r w:rsidR="002A7D72" w:rsidRPr="00504D41">
        <w:rPr>
          <w:b/>
        </w:rPr>
        <w:t xml:space="preserve"> </w:t>
      </w:r>
      <w:r w:rsidR="00A071E2" w:rsidRPr="00504D41">
        <w:rPr>
          <w:b/>
        </w:rPr>
        <w:t>Electrosp</w:t>
      </w:r>
      <w:r w:rsidR="0034055E" w:rsidRPr="00504D41">
        <w:rPr>
          <w:b/>
        </w:rPr>
        <w:t>un nanofibrous seed coatings</w:t>
      </w:r>
      <w:bookmarkEnd w:id="16"/>
    </w:p>
    <w:p w14:paraId="2A64652A" w14:textId="77777777" w:rsidR="001D5F89" w:rsidRPr="00504D41" w:rsidRDefault="001D5F89" w:rsidP="0016445D">
      <w:pPr>
        <w:spacing w:line="360" w:lineRule="auto"/>
        <w:jc w:val="both"/>
        <w:rPr>
          <w:szCs w:val="24"/>
        </w:rPr>
      </w:pPr>
      <w:r w:rsidRPr="00504D41">
        <w:rPr>
          <w:szCs w:val="24"/>
        </w:rPr>
        <w:t>Electrospinning is a versatile technique to produce nano to micron size ranged nanofibers from a viscous solution (typically a polymer) by applying an electrical field</w:t>
      </w:r>
      <w:r w:rsidR="000A16DA" w:rsidRPr="00504D41">
        <w:rPr>
          <w:szCs w:val="24"/>
        </w:rPr>
        <w:t xml:space="preserve"> </w:t>
      </w:r>
      <w:r w:rsidR="000A16DA" w:rsidRPr="00504D41">
        <w:rPr>
          <w:b/>
          <w:bCs/>
          <w:szCs w:val="24"/>
        </w:rPr>
        <w:t xml:space="preserve">(Figure </w:t>
      </w:r>
      <w:r w:rsidR="00647875" w:rsidRPr="00504D41">
        <w:rPr>
          <w:b/>
          <w:bCs/>
          <w:szCs w:val="24"/>
        </w:rPr>
        <w:t>7</w:t>
      </w:r>
      <w:r w:rsidR="000A16DA" w:rsidRPr="00504D41">
        <w:rPr>
          <w:b/>
          <w:bCs/>
          <w:szCs w:val="24"/>
        </w:rPr>
        <w:t>a, b)</w:t>
      </w:r>
      <w:r w:rsidR="000A16DA" w:rsidRPr="00504D41">
        <w:rPr>
          <w:szCs w:val="24"/>
        </w:rPr>
        <w:t>.</w:t>
      </w:r>
      <w:r w:rsidR="006D54C2" w:rsidRPr="00504D41">
        <w:rPr>
          <w:noProof/>
          <w:szCs w:val="24"/>
          <w:vertAlign w:val="superscript"/>
        </w:rPr>
        <w:t>99</w:t>
      </w:r>
      <w:r w:rsidR="000A16DA" w:rsidRPr="00504D41">
        <w:rPr>
          <w:szCs w:val="24"/>
        </w:rPr>
        <w:t xml:space="preserve"> </w:t>
      </w:r>
      <w:r w:rsidRPr="00504D41">
        <w:rPr>
          <w:szCs w:val="24"/>
        </w:rPr>
        <w:t xml:space="preserve">The ability to electrospin a diverse range of solutions to produce fibers with the desired morphology combined with their unique characteristics (porosity, high surface to volume ratio and lack of residual solvent) </w:t>
      </w:r>
      <w:r w:rsidR="00A95C55" w:rsidRPr="00504D41">
        <w:rPr>
          <w:szCs w:val="24"/>
        </w:rPr>
        <w:t>pres</w:t>
      </w:r>
      <w:r w:rsidR="00604D36" w:rsidRPr="00504D41">
        <w:rPr>
          <w:szCs w:val="24"/>
        </w:rPr>
        <w:t>e</w:t>
      </w:r>
      <w:r w:rsidR="00A95C55" w:rsidRPr="00504D41">
        <w:rPr>
          <w:szCs w:val="24"/>
        </w:rPr>
        <w:t>nts electrospun nanofibers as interesting candidates for</w:t>
      </w:r>
      <w:r w:rsidRPr="00504D41">
        <w:rPr>
          <w:szCs w:val="24"/>
        </w:rPr>
        <w:t xml:space="preserve"> agricultural applications</w:t>
      </w:r>
      <w:r w:rsidR="003A3DF0" w:rsidRPr="00504D41">
        <w:rPr>
          <w:szCs w:val="24"/>
        </w:rPr>
        <w:t>.</w:t>
      </w:r>
      <w:r w:rsidR="006D54C2" w:rsidRPr="00504D41">
        <w:rPr>
          <w:noProof/>
          <w:szCs w:val="24"/>
          <w:vertAlign w:val="superscript"/>
        </w:rPr>
        <w:t>100</w:t>
      </w:r>
      <w:r w:rsidRPr="00504D41">
        <w:rPr>
          <w:szCs w:val="24"/>
        </w:rPr>
        <w:t xml:space="preserve"> In seed coating research, nanofibers loaded with the requisite AI/PGPM have been used to coat a variety of different seeds with promising </w:t>
      </w:r>
      <w:r w:rsidR="00A95C55" w:rsidRPr="00504D41">
        <w:rPr>
          <w:szCs w:val="24"/>
        </w:rPr>
        <w:t xml:space="preserve">preliminary </w:t>
      </w:r>
      <w:r w:rsidRPr="00504D41">
        <w:rPr>
          <w:szCs w:val="24"/>
        </w:rPr>
        <w:t>results</w:t>
      </w:r>
      <w:r w:rsidR="003A04E5" w:rsidRPr="00504D41">
        <w:rPr>
          <w:szCs w:val="24"/>
        </w:rPr>
        <w:t xml:space="preserve">. Seeds can either be </w:t>
      </w:r>
      <w:r w:rsidR="00A95C55" w:rsidRPr="00504D41">
        <w:rPr>
          <w:szCs w:val="24"/>
        </w:rPr>
        <w:t xml:space="preserve">(a) </w:t>
      </w:r>
      <w:r w:rsidR="003A04E5" w:rsidRPr="00504D41">
        <w:rPr>
          <w:szCs w:val="24"/>
        </w:rPr>
        <w:t xml:space="preserve">directly coated by nanofibers through electrospinning the </w:t>
      </w:r>
      <w:r w:rsidR="00A95C55" w:rsidRPr="00504D41">
        <w:rPr>
          <w:szCs w:val="24"/>
        </w:rPr>
        <w:t xml:space="preserve">solution </w:t>
      </w:r>
      <w:r w:rsidR="003A04E5" w:rsidRPr="00504D41">
        <w:rPr>
          <w:szCs w:val="24"/>
        </w:rPr>
        <w:t xml:space="preserve">on top of the seeds (Figure </w:t>
      </w:r>
      <w:r w:rsidR="00024E2B" w:rsidRPr="00504D41">
        <w:rPr>
          <w:szCs w:val="24"/>
        </w:rPr>
        <w:t>7</w:t>
      </w:r>
      <w:r w:rsidR="003A04E5" w:rsidRPr="00504D41">
        <w:rPr>
          <w:szCs w:val="24"/>
        </w:rPr>
        <w:t xml:space="preserve">c) or </w:t>
      </w:r>
      <w:r w:rsidR="00604D36" w:rsidRPr="00504D41">
        <w:rPr>
          <w:szCs w:val="24"/>
        </w:rPr>
        <w:t>(b</w:t>
      </w:r>
      <w:r w:rsidR="00A95C55" w:rsidRPr="00504D41">
        <w:rPr>
          <w:szCs w:val="24"/>
        </w:rPr>
        <w:t xml:space="preserve">) </w:t>
      </w:r>
      <w:r w:rsidR="003A04E5" w:rsidRPr="00504D41">
        <w:rPr>
          <w:szCs w:val="24"/>
        </w:rPr>
        <w:t xml:space="preserve">indirectly coated wherein the fiber mats are prepared </w:t>
      </w:r>
      <w:r w:rsidR="00A95C55" w:rsidRPr="00504D41">
        <w:rPr>
          <w:szCs w:val="24"/>
        </w:rPr>
        <w:t xml:space="preserve">first and </w:t>
      </w:r>
      <w:r w:rsidR="003A04E5" w:rsidRPr="00504D41">
        <w:rPr>
          <w:szCs w:val="24"/>
        </w:rPr>
        <w:t>are then wrap</w:t>
      </w:r>
      <w:r w:rsidR="00A95C55" w:rsidRPr="00504D41">
        <w:rPr>
          <w:szCs w:val="24"/>
        </w:rPr>
        <w:t>ped around</w:t>
      </w:r>
      <w:r w:rsidR="003A04E5" w:rsidRPr="00504D41">
        <w:rPr>
          <w:szCs w:val="24"/>
        </w:rPr>
        <w:t xml:space="preserve"> the seeds. </w:t>
      </w:r>
      <w:r w:rsidRPr="00504D41">
        <w:rPr>
          <w:szCs w:val="24"/>
        </w:rPr>
        <w:t xml:space="preserve">(Figure </w:t>
      </w:r>
      <w:r w:rsidR="00024E2B" w:rsidRPr="00504D41">
        <w:rPr>
          <w:szCs w:val="24"/>
        </w:rPr>
        <w:t>7</w:t>
      </w:r>
      <w:r w:rsidRPr="00504D41">
        <w:rPr>
          <w:szCs w:val="24"/>
        </w:rPr>
        <w:t>d). By virtue of the partial surface area coverage of seeds, nanofibers help to overcome restricted gas permeability across the coating</w:t>
      </w:r>
      <w:r w:rsidR="00A95C55" w:rsidRPr="00504D41">
        <w:rPr>
          <w:szCs w:val="24"/>
        </w:rPr>
        <w:t>-</w:t>
      </w:r>
      <w:r w:rsidRPr="00504D41">
        <w:rPr>
          <w:szCs w:val="24"/>
        </w:rPr>
        <w:t xml:space="preserve"> a limitation present in conventional film coatings.</w:t>
      </w:r>
    </w:p>
    <w:p w14:paraId="6889B6ED" w14:textId="77777777" w:rsidR="001D5F89" w:rsidRPr="00504D41" w:rsidRDefault="001D5F89" w:rsidP="0016445D">
      <w:pPr>
        <w:spacing w:line="360" w:lineRule="auto"/>
        <w:jc w:val="both"/>
        <w:rPr>
          <w:szCs w:val="24"/>
          <w:shd w:val="clear" w:color="auto" w:fill="FFFFFF"/>
        </w:rPr>
      </w:pPr>
      <w:r w:rsidRPr="00504D41">
        <w:rPr>
          <w:szCs w:val="24"/>
        </w:rPr>
        <w:t xml:space="preserve">In an early study on the subject, </w:t>
      </w:r>
      <w:r w:rsidR="00CE6281" w:rsidRPr="00504D41">
        <w:rPr>
          <w:szCs w:val="24"/>
          <w:shd w:val="clear" w:color="auto" w:fill="FFFFFF"/>
        </w:rPr>
        <w:t>researchers</w:t>
      </w:r>
      <w:r w:rsidR="006D54C2" w:rsidRPr="00504D41">
        <w:rPr>
          <w:noProof/>
          <w:szCs w:val="24"/>
          <w:shd w:val="clear" w:color="auto" w:fill="FFFFFF"/>
          <w:vertAlign w:val="superscript"/>
        </w:rPr>
        <w:t>101</w:t>
      </w:r>
      <w:r w:rsidR="00FA0464" w:rsidRPr="00504D41">
        <w:rPr>
          <w:szCs w:val="24"/>
          <w:shd w:val="clear" w:color="auto" w:fill="FFFFFF"/>
        </w:rPr>
        <w:t xml:space="preserve"> </w:t>
      </w:r>
      <w:r w:rsidRPr="00504D41">
        <w:rPr>
          <w:szCs w:val="24"/>
          <w:shd w:val="clear" w:color="auto" w:fill="FFFFFF"/>
        </w:rPr>
        <w:t xml:space="preserve">coated soybean seeds with electrospun fibers prepared from a </w:t>
      </w:r>
      <w:r w:rsidR="004744FE" w:rsidRPr="00504D41">
        <w:rPr>
          <w:szCs w:val="24"/>
          <w:shd w:val="clear" w:color="auto" w:fill="FFFFFF"/>
        </w:rPr>
        <w:t xml:space="preserve">rhizobia </w:t>
      </w:r>
      <w:r w:rsidRPr="00504D41">
        <w:rPr>
          <w:szCs w:val="24"/>
          <w:shd w:val="clear" w:color="auto" w:fill="FFFFFF"/>
        </w:rPr>
        <w:t xml:space="preserve">inoculated </w:t>
      </w:r>
      <w:r w:rsidR="00A95C55" w:rsidRPr="00504D41">
        <w:rPr>
          <w:szCs w:val="24"/>
          <w:shd w:val="clear" w:color="auto" w:fill="FFFFFF"/>
        </w:rPr>
        <w:t>polyvinyl alcohol (PVA)</w:t>
      </w:r>
      <w:r w:rsidRPr="00504D41">
        <w:rPr>
          <w:szCs w:val="24"/>
          <w:shd w:val="clear" w:color="auto" w:fill="FFFFFF"/>
        </w:rPr>
        <w:t xml:space="preserve"> solution. Exposure to a fungicide solution toxic to the incorporated </w:t>
      </w:r>
      <w:r w:rsidR="00445084" w:rsidRPr="00504D41">
        <w:rPr>
          <w:szCs w:val="24"/>
          <w:shd w:val="clear" w:color="auto" w:fill="FFFFFF"/>
        </w:rPr>
        <w:t>microbe</w:t>
      </w:r>
      <w:r w:rsidRPr="00504D41">
        <w:rPr>
          <w:szCs w:val="24"/>
          <w:shd w:val="clear" w:color="auto" w:fill="FFFFFF"/>
        </w:rPr>
        <w:t xml:space="preserve"> showed a greater </w:t>
      </w:r>
      <w:r w:rsidR="00445084" w:rsidRPr="00504D41">
        <w:rPr>
          <w:szCs w:val="24"/>
          <w:shd w:val="clear" w:color="auto" w:fill="FFFFFF"/>
        </w:rPr>
        <w:t xml:space="preserve">microbe </w:t>
      </w:r>
      <w:r w:rsidRPr="00504D41">
        <w:rPr>
          <w:szCs w:val="24"/>
          <w:shd w:val="clear" w:color="auto" w:fill="FFFFFF"/>
        </w:rPr>
        <w:t>survival rate in the seeds coated with the PVA nanofibers compared to the control sample containing only the bacteria inoculate. Their findings signif</w:t>
      </w:r>
      <w:r w:rsidR="00195B56" w:rsidRPr="00504D41">
        <w:rPr>
          <w:szCs w:val="24"/>
          <w:shd w:val="clear" w:color="auto" w:fill="FFFFFF"/>
        </w:rPr>
        <w:t>ied</w:t>
      </w:r>
      <w:r w:rsidRPr="00504D41">
        <w:rPr>
          <w:szCs w:val="24"/>
          <w:shd w:val="clear" w:color="auto" w:fill="FFFFFF"/>
        </w:rPr>
        <w:t xml:space="preserve"> that electrospun fibers protect</w:t>
      </w:r>
      <w:r w:rsidR="00195B56" w:rsidRPr="00504D41">
        <w:rPr>
          <w:szCs w:val="24"/>
          <w:shd w:val="clear" w:color="auto" w:fill="FFFFFF"/>
        </w:rPr>
        <w:t>ed</w:t>
      </w:r>
      <w:r w:rsidRPr="00504D41">
        <w:rPr>
          <w:szCs w:val="24"/>
          <w:shd w:val="clear" w:color="auto" w:fill="FFFFFF"/>
        </w:rPr>
        <w:t xml:space="preserve"> the loaded microorganisms from harmful chemicals, resulting in an increase in their survival rates. In another study,</w:t>
      </w:r>
      <w:r w:rsidR="00FA0464" w:rsidRPr="00504D41">
        <w:rPr>
          <w:szCs w:val="24"/>
          <w:shd w:val="clear" w:color="auto" w:fill="FFFFFF"/>
        </w:rPr>
        <w:t xml:space="preserve"> </w:t>
      </w:r>
      <w:r w:rsidRPr="00504D41">
        <w:rPr>
          <w:szCs w:val="24"/>
        </w:rPr>
        <w:t>Castañeda et al. coated rice seeds with ethyl cellulose-based electrospun nanofibers containing commercial fungicide formulations (ca</w:t>
      </w:r>
      <w:r w:rsidR="00CE6281" w:rsidRPr="00504D41">
        <w:rPr>
          <w:szCs w:val="24"/>
        </w:rPr>
        <w:t>rboxin, thiram and carbendazim)</w:t>
      </w:r>
      <w:r w:rsidR="003A3DF0" w:rsidRPr="00504D41">
        <w:rPr>
          <w:szCs w:val="24"/>
        </w:rPr>
        <w:t>.</w:t>
      </w:r>
      <w:r w:rsidR="006D54C2" w:rsidRPr="00504D41">
        <w:rPr>
          <w:noProof/>
          <w:szCs w:val="24"/>
          <w:vertAlign w:val="superscript"/>
        </w:rPr>
        <w:t>102</w:t>
      </w:r>
      <w:r w:rsidRPr="00504D41">
        <w:rPr>
          <w:szCs w:val="24"/>
        </w:rPr>
        <w:t xml:space="preserve"> Germination trials showed improved seed germination rates, which signified the enhanced anti-fungal performance of the loaded fungicide as well as the fact that nanofiber coating did not restrict seed germination. These initial pioneering studies laid the foundation for further investigation of electrospun polymer fibers for seed coatings and ultimately led to the </w:t>
      </w:r>
      <w:r w:rsidR="00C20124" w:rsidRPr="00504D41">
        <w:rPr>
          <w:szCs w:val="24"/>
        </w:rPr>
        <w:t>investigation</w:t>
      </w:r>
      <w:r w:rsidRPr="00504D41">
        <w:rPr>
          <w:szCs w:val="24"/>
        </w:rPr>
        <w:t xml:space="preserve"> of </w:t>
      </w:r>
      <w:r w:rsidRPr="00504D41">
        <w:rPr>
          <w:szCs w:val="24"/>
        </w:rPr>
        <w:lastRenderedPageBreak/>
        <w:t>biodegradable and biocompatible polymers for producing environmentally friendly seed coatings.</w:t>
      </w:r>
      <w:r w:rsidR="00FA0464" w:rsidRPr="00504D41">
        <w:rPr>
          <w:szCs w:val="24"/>
        </w:rPr>
        <w:t xml:space="preserve"> </w:t>
      </w:r>
      <w:r w:rsidRPr="00504D41">
        <w:rPr>
          <w:szCs w:val="24"/>
        </w:rPr>
        <w:t xml:space="preserve">Krishnamoorthy et al. coated cowpea seeds with water-soluble polymer </w:t>
      </w:r>
      <w:r w:rsidRPr="00504D41">
        <w:rPr>
          <w:szCs w:val="24"/>
          <w:shd w:val="clear" w:color="auto" w:fill="FFFFFF"/>
        </w:rPr>
        <w:t>polyvinylpyrrolidone (PVP) mixed with urea and cobalt nanoparticles to coat cowpea seeds through electrospinning and dip coating techniques</w:t>
      </w:r>
      <w:r w:rsidR="003A3DF0" w:rsidRPr="00504D41">
        <w:rPr>
          <w:szCs w:val="24"/>
          <w:shd w:val="clear" w:color="auto" w:fill="FFFFFF"/>
        </w:rPr>
        <w:t>.</w:t>
      </w:r>
      <w:r w:rsidR="006D54C2" w:rsidRPr="00504D41">
        <w:rPr>
          <w:noProof/>
          <w:szCs w:val="24"/>
          <w:vertAlign w:val="superscript"/>
        </w:rPr>
        <w:t>103</w:t>
      </w:r>
      <w:r w:rsidRPr="00504D41">
        <w:rPr>
          <w:szCs w:val="24"/>
          <w:shd w:val="clear" w:color="auto" w:fill="FFFFFF"/>
        </w:rPr>
        <w:t xml:space="preserve"> While both film and fiber coatings exhibited sustained nutrient release, the lack of residual solvents, ease of gas flow through the coated seeds and lesser seed pore clogging compared to the dip-coated film coatings, signified the superior performance of the fiber-based coating.</w:t>
      </w:r>
      <w:r w:rsidR="00FA0464" w:rsidRPr="00504D41">
        <w:rPr>
          <w:szCs w:val="24"/>
          <w:shd w:val="clear" w:color="auto" w:fill="FFFFFF"/>
        </w:rPr>
        <w:t xml:space="preserve"> </w:t>
      </w:r>
      <w:r w:rsidRPr="00504D41">
        <w:rPr>
          <w:szCs w:val="24"/>
          <w:shd w:val="clear" w:color="auto" w:fill="FFFFFF"/>
        </w:rPr>
        <w:t xml:space="preserve">De Gregorio et al. showed </w:t>
      </w:r>
      <w:r w:rsidR="00604D36" w:rsidRPr="00504D41">
        <w:rPr>
          <w:szCs w:val="24"/>
          <w:shd w:val="clear" w:color="auto" w:fill="FFFFFF"/>
        </w:rPr>
        <w:t xml:space="preserve">the </w:t>
      </w:r>
      <w:r w:rsidRPr="00504D41">
        <w:rPr>
          <w:szCs w:val="24"/>
          <w:shd w:val="clear" w:color="auto" w:fill="FFFFFF"/>
        </w:rPr>
        <w:t xml:space="preserve">use of PVA electrospun fibers loaded with two rhizobacteria </w:t>
      </w:r>
      <w:r w:rsidRPr="00504D41">
        <w:rPr>
          <w:rStyle w:val="Emphasis"/>
          <w:szCs w:val="24"/>
          <w:shd w:val="clear" w:color="auto" w:fill="FFFFFF"/>
        </w:rPr>
        <w:t>Pantoea agglomerans</w:t>
      </w:r>
      <w:r w:rsidRPr="00504D41">
        <w:rPr>
          <w:szCs w:val="24"/>
          <w:shd w:val="clear" w:color="auto" w:fill="FFFFFF"/>
        </w:rPr>
        <w:t> ISIB55 and </w:t>
      </w:r>
      <w:r w:rsidRPr="00504D41">
        <w:rPr>
          <w:rStyle w:val="Emphasis"/>
          <w:szCs w:val="24"/>
          <w:shd w:val="clear" w:color="auto" w:fill="FFFFFF"/>
        </w:rPr>
        <w:t>Burkholderia caribensis</w:t>
      </w:r>
      <w:r w:rsidRPr="00504D41">
        <w:rPr>
          <w:szCs w:val="24"/>
          <w:shd w:val="clear" w:color="auto" w:fill="FFFFFF"/>
        </w:rPr>
        <w:t> ISIB40, as coatings for soybean seeds</w:t>
      </w:r>
      <w:r w:rsidR="003A3DF0" w:rsidRPr="00504D41">
        <w:rPr>
          <w:szCs w:val="24"/>
          <w:shd w:val="clear" w:color="auto" w:fill="FFFFFF"/>
        </w:rPr>
        <w:t>.</w:t>
      </w:r>
      <w:r w:rsidR="006D54C2" w:rsidRPr="00504D41">
        <w:rPr>
          <w:noProof/>
          <w:szCs w:val="24"/>
          <w:shd w:val="clear" w:color="auto" w:fill="FFFFFF"/>
          <w:vertAlign w:val="superscript"/>
        </w:rPr>
        <w:t>57</w:t>
      </w:r>
      <w:r w:rsidRPr="00504D41">
        <w:rPr>
          <w:szCs w:val="24"/>
          <w:shd w:val="clear" w:color="auto" w:fill="FFFFFF"/>
        </w:rPr>
        <w:t xml:space="preserve"> The bacteria were shown to successfully survive and colonize on the fibrous seed coatings for 30 days, in addition to promoting plant growth as demonstrated through germination assays and greenhouse trials. </w:t>
      </w:r>
    </w:p>
    <w:p w14:paraId="063B848F" w14:textId="77777777" w:rsidR="001D5F89" w:rsidRPr="00504D41" w:rsidRDefault="00A95C55" w:rsidP="0016445D">
      <w:pPr>
        <w:spacing w:line="360" w:lineRule="auto"/>
        <w:jc w:val="both"/>
        <w:rPr>
          <w:szCs w:val="24"/>
          <w:shd w:val="clear" w:color="auto" w:fill="FFFFFF"/>
        </w:rPr>
      </w:pPr>
      <w:r w:rsidRPr="00504D41">
        <w:rPr>
          <w:szCs w:val="24"/>
          <w:shd w:val="clear" w:color="auto" w:fill="FFFFFF"/>
        </w:rPr>
        <w:t xml:space="preserve">The use </w:t>
      </w:r>
      <w:r w:rsidR="001D5F89" w:rsidRPr="00504D41">
        <w:rPr>
          <w:szCs w:val="24"/>
          <w:shd w:val="clear" w:color="auto" w:fill="FFFFFF"/>
        </w:rPr>
        <w:t xml:space="preserve">of hydrophilic nanofibrous seed coatings may suffer from </w:t>
      </w:r>
      <w:r w:rsidRPr="00504D41">
        <w:rPr>
          <w:szCs w:val="24"/>
          <w:shd w:val="clear" w:color="auto" w:fill="FFFFFF"/>
        </w:rPr>
        <w:t>moisture-</w:t>
      </w:r>
      <w:r w:rsidR="001D5F89" w:rsidRPr="00504D41">
        <w:rPr>
          <w:szCs w:val="24"/>
          <w:shd w:val="clear" w:color="auto" w:fill="FFFFFF"/>
        </w:rPr>
        <w:t xml:space="preserve">driven dissolution in </w:t>
      </w:r>
      <w:r w:rsidRPr="00504D41">
        <w:rPr>
          <w:szCs w:val="24"/>
          <w:shd w:val="clear" w:color="auto" w:fill="FFFFFF"/>
        </w:rPr>
        <w:t xml:space="preserve">the </w:t>
      </w:r>
      <w:r w:rsidR="001D5F89" w:rsidRPr="00504D41">
        <w:rPr>
          <w:szCs w:val="24"/>
          <w:shd w:val="clear" w:color="auto" w:fill="FFFFFF"/>
        </w:rPr>
        <w:t xml:space="preserve">soil leading to burst release of the encapsulated AI. To counter this issue, </w:t>
      </w:r>
      <w:r w:rsidR="001D5F89" w:rsidRPr="00504D41">
        <w:rPr>
          <w:noProof/>
          <w:szCs w:val="24"/>
          <w:shd w:val="clear" w:color="auto" w:fill="FFFFFF"/>
        </w:rPr>
        <w:t>Krishnamoorthy et al</w:t>
      </w:r>
      <w:r w:rsidRPr="00504D41">
        <w:rPr>
          <w:noProof/>
          <w:szCs w:val="24"/>
          <w:shd w:val="clear" w:color="auto" w:fill="FFFFFF"/>
        </w:rPr>
        <w:t>.</w:t>
      </w:r>
      <w:r w:rsidR="001D5F89" w:rsidRPr="00504D41">
        <w:rPr>
          <w:noProof/>
          <w:szCs w:val="24"/>
          <w:shd w:val="clear" w:color="auto" w:fill="FFFFFF"/>
        </w:rPr>
        <w:t xml:space="preserve"> in a follow-up work to their previous study, used </w:t>
      </w:r>
      <w:r w:rsidR="001D5F89" w:rsidRPr="00504D41">
        <w:rPr>
          <w:szCs w:val="24"/>
          <w:shd w:val="clear" w:color="auto" w:fill="FFFFFF"/>
        </w:rPr>
        <w:t>a blend of the hydrophilic PVP with a hydrophobic polymer poly (diethoxy) phosphazene (PPZ) with phosphorus and nitrogen-based</w:t>
      </w:r>
      <w:r w:rsidR="005143A8" w:rsidRPr="00504D41">
        <w:rPr>
          <w:szCs w:val="24"/>
          <w:shd w:val="clear" w:color="auto" w:fill="FFFFFF"/>
        </w:rPr>
        <w:t xml:space="preserve">backbone </w:t>
      </w:r>
      <w:r w:rsidR="001D5F89" w:rsidRPr="00504D41">
        <w:rPr>
          <w:szCs w:val="24"/>
          <w:shd w:val="clear" w:color="auto" w:fill="FFFFFF"/>
        </w:rPr>
        <w:t>to produce electrospun seed coats</w:t>
      </w:r>
      <w:r w:rsidR="003A3DF0" w:rsidRPr="00504D41">
        <w:rPr>
          <w:szCs w:val="24"/>
          <w:shd w:val="clear" w:color="auto" w:fill="FFFFFF"/>
        </w:rPr>
        <w:t xml:space="preserve">(Figure </w:t>
      </w:r>
      <w:r w:rsidR="003F0742" w:rsidRPr="00504D41">
        <w:rPr>
          <w:szCs w:val="24"/>
          <w:shd w:val="clear" w:color="auto" w:fill="FFFFFF"/>
        </w:rPr>
        <w:t>7</w:t>
      </w:r>
      <w:r w:rsidR="003A3DF0" w:rsidRPr="00504D41">
        <w:rPr>
          <w:szCs w:val="24"/>
          <w:shd w:val="clear" w:color="auto" w:fill="FFFFFF"/>
        </w:rPr>
        <w:t>i).</w:t>
      </w:r>
      <w:r w:rsidR="006D54C2" w:rsidRPr="00504D41">
        <w:rPr>
          <w:noProof/>
          <w:szCs w:val="24"/>
          <w:shd w:val="clear" w:color="auto" w:fill="FFFFFF"/>
          <w:vertAlign w:val="superscript"/>
        </w:rPr>
        <w:t>104</w:t>
      </w:r>
      <w:r w:rsidR="003A3DF0" w:rsidRPr="00504D41">
        <w:rPr>
          <w:szCs w:val="24"/>
          <w:shd w:val="clear" w:color="auto" w:fill="FFFFFF"/>
        </w:rPr>
        <w:t xml:space="preserve"> </w:t>
      </w:r>
      <w:r w:rsidR="001D5F89" w:rsidRPr="00504D41">
        <w:rPr>
          <w:szCs w:val="24"/>
          <w:shd w:val="clear" w:color="auto" w:fill="FFFFFF"/>
        </w:rPr>
        <w:t xml:space="preserve">The hydrophobicity of the coating fibers enabled increased retention of the seed coat, particularly in </w:t>
      </w:r>
      <w:r w:rsidRPr="00504D41">
        <w:rPr>
          <w:szCs w:val="24"/>
          <w:shd w:val="clear" w:color="auto" w:fill="FFFFFF"/>
        </w:rPr>
        <w:t xml:space="preserve">the </w:t>
      </w:r>
      <w:r w:rsidR="001D5F89" w:rsidRPr="00504D41">
        <w:rPr>
          <w:szCs w:val="24"/>
          <w:shd w:val="clear" w:color="auto" w:fill="FFFFFF"/>
        </w:rPr>
        <w:t xml:space="preserve">wet soil. The biocompatibility of the polymer blend was complimented by the fact that degradation of PPZ produces phosphates and ammonia, which can act as plant nutrients. </w:t>
      </w:r>
    </w:p>
    <w:p w14:paraId="345908FD" w14:textId="77777777" w:rsidR="001006B4" w:rsidRPr="00504D41" w:rsidRDefault="000057B3" w:rsidP="0016445D">
      <w:pPr>
        <w:keepNext/>
        <w:spacing w:line="360" w:lineRule="auto"/>
        <w:jc w:val="both"/>
      </w:pPr>
      <w:r w:rsidRPr="00504D41">
        <w:rPr>
          <w:noProof/>
        </w:rPr>
        <w:lastRenderedPageBreak/>
        <w:pict w14:anchorId="16EDCFA3">
          <v:shape id="Picture 25" o:spid="_x0000_i1032" type="#_x0000_t75" alt="Diagram&#10;&#10;Description automatically generated" style="width:451.25pt;height:564.3pt;visibility:visible">
            <v:imagedata r:id="rId19" o:title="Diagram&#10;&#10;Description automatically generated" cropbottom="4249f"/>
          </v:shape>
        </w:pict>
      </w:r>
    </w:p>
    <w:p w14:paraId="56BA9DBD" w14:textId="77777777" w:rsidR="001006B4" w:rsidRPr="00504D41" w:rsidRDefault="001006B4" w:rsidP="0016445D">
      <w:pPr>
        <w:pStyle w:val="Caption"/>
        <w:spacing w:line="360" w:lineRule="auto"/>
        <w:jc w:val="both"/>
        <w:rPr>
          <w:i w:val="0"/>
          <w:iCs w:val="0"/>
          <w:color w:val="auto"/>
          <w:sz w:val="24"/>
          <w:szCs w:val="24"/>
          <w:shd w:val="clear" w:color="auto" w:fill="FFFFFF"/>
        </w:rPr>
      </w:pPr>
      <w:r w:rsidRPr="00504D41">
        <w:rPr>
          <w:b/>
          <w:bCs/>
          <w:i w:val="0"/>
          <w:iCs w:val="0"/>
          <w:color w:val="auto"/>
          <w:sz w:val="24"/>
          <w:szCs w:val="24"/>
        </w:rPr>
        <w:t xml:space="preserve">Figure </w:t>
      </w:r>
      <w:r w:rsidR="00EE662D" w:rsidRPr="00504D41">
        <w:rPr>
          <w:b/>
          <w:bCs/>
          <w:i w:val="0"/>
          <w:iCs w:val="0"/>
          <w:color w:val="auto"/>
          <w:sz w:val="24"/>
          <w:szCs w:val="24"/>
        </w:rPr>
        <w:fldChar w:fldCharType="begin"/>
      </w:r>
      <w:r w:rsidR="00EE662D" w:rsidRPr="00504D41">
        <w:rPr>
          <w:b/>
          <w:bCs/>
          <w:i w:val="0"/>
          <w:iCs w:val="0"/>
          <w:color w:val="auto"/>
          <w:sz w:val="24"/>
          <w:szCs w:val="24"/>
        </w:rPr>
        <w:instrText xml:space="preserve"> SEQ Figure \* ARABIC </w:instrText>
      </w:r>
      <w:r w:rsidR="00EE662D" w:rsidRPr="00504D41">
        <w:rPr>
          <w:b/>
          <w:bCs/>
          <w:i w:val="0"/>
          <w:iCs w:val="0"/>
          <w:color w:val="auto"/>
          <w:sz w:val="24"/>
          <w:szCs w:val="24"/>
        </w:rPr>
        <w:fldChar w:fldCharType="separate"/>
      </w:r>
      <w:r w:rsidR="003D0A6B" w:rsidRPr="00504D41">
        <w:rPr>
          <w:b/>
          <w:bCs/>
          <w:i w:val="0"/>
          <w:iCs w:val="0"/>
          <w:noProof/>
          <w:color w:val="auto"/>
          <w:sz w:val="24"/>
          <w:szCs w:val="24"/>
        </w:rPr>
        <w:t>7</w:t>
      </w:r>
      <w:r w:rsidR="00EE662D" w:rsidRPr="00504D41">
        <w:rPr>
          <w:b/>
          <w:bCs/>
          <w:i w:val="0"/>
          <w:iCs w:val="0"/>
          <w:noProof/>
          <w:color w:val="auto"/>
          <w:sz w:val="24"/>
          <w:szCs w:val="24"/>
        </w:rPr>
        <w:fldChar w:fldCharType="end"/>
      </w:r>
      <w:r w:rsidR="00AB5CCF" w:rsidRPr="00504D41">
        <w:rPr>
          <w:i w:val="0"/>
          <w:iCs w:val="0"/>
          <w:color w:val="auto"/>
          <w:sz w:val="24"/>
          <w:szCs w:val="24"/>
        </w:rPr>
        <w:t>.</w:t>
      </w:r>
      <w:r w:rsidRPr="00504D41">
        <w:rPr>
          <w:i w:val="0"/>
          <w:iCs w:val="0"/>
          <w:color w:val="auto"/>
          <w:sz w:val="24"/>
          <w:szCs w:val="24"/>
        </w:rPr>
        <w:t xml:space="preserve"> </w:t>
      </w:r>
      <w:r w:rsidR="00460108" w:rsidRPr="00504D41">
        <w:rPr>
          <w:i w:val="0"/>
          <w:iCs w:val="0"/>
          <w:color w:val="auto"/>
          <w:sz w:val="24"/>
          <w:szCs w:val="24"/>
        </w:rPr>
        <w:t>Synthesis procedure and morphology of electrospun nanofibrous seed coatings. Schematic showing (a) vertical</w:t>
      </w:r>
      <w:r w:rsidR="006D54C2" w:rsidRPr="00504D41">
        <w:rPr>
          <w:i w:val="0"/>
          <w:iCs w:val="0"/>
          <w:noProof/>
          <w:color w:val="auto"/>
          <w:sz w:val="24"/>
          <w:szCs w:val="24"/>
          <w:vertAlign w:val="superscript"/>
        </w:rPr>
        <w:t>105</w:t>
      </w:r>
      <w:r w:rsidR="008D7FEF" w:rsidRPr="00504D41">
        <w:rPr>
          <w:i w:val="0"/>
          <w:iCs w:val="0"/>
          <w:color w:val="auto"/>
          <w:sz w:val="24"/>
          <w:szCs w:val="24"/>
        </w:rPr>
        <w:t xml:space="preserve"> </w:t>
      </w:r>
      <w:r w:rsidR="00460108" w:rsidRPr="00504D41">
        <w:rPr>
          <w:i w:val="0"/>
          <w:iCs w:val="0"/>
          <w:color w:val="auto"/>
          <w:sz w:val="24"/>
          <w:szCs w:val="24"/>
        </w:rPr>
        <w:t>and (b) horizontal electrospinning set-up</w:t>
      </w:r>
      <w:r w:rsidR="006D54C2" w:rsidRPr="00504D41">
        <w:rPr>
          <w:i w:val="0"/>
          <w:iCs w:val="0"/>
          <w:noProof/>
          <w:color w:val="auto"/>
          <w:sz w:val="24"/>
          <w:szCs w:val="24"/>
          <w:vertAlign w:val="superscript"/>
        </w:rPr>
        <w:t>58</w:t>
      </w:r>
      <w:r w:rsidR="00460108" w:rsidRPr="00504D41">
        <w:rPr>
          <w:i w:val="0"/>
          <w:iCs w:val="0"/>
          <w:color w:val="auto"/>
          <w:sz w:val="24"/>
          <w:szCs w:val="24"/>
        </w:rPr>
        <w:t xml:space="preserve"> for producing nanofibers. (c) Seed coating process through direct deposition of the AI loaded electrospun fibers </w:t>
      </w:r>
      <w:r w:rsidR="00460108" w:rsidRPr="00504D41">
        <w:rPr>
          <w:i w:val="0"/>
          <w:iCs w:val="0"/>
          <w:color w:val="auto"/>
          <w:sz w:val="24"/>
          <w:szCs w:val="24"/>
        </w:rPr>
        <w:lastRenderedPageBreak/>
        <w:t>on top of seeds</w:t>
      </w:r>
      <w:r w:rsidR="008D7FEF" w:rsidRPr="00504D41">
        <w:rPr>
          <w:i w:val="0"/>
          <w:iCs w:val="0"/>
          <w:color w:val="auto"/>
          <w:sz w:val="24"/>
          <w:szCs w:val="24"/>
        </w:rPr>
        <w:t>.</w:t>
      </w:r>
      <w:r w:rsidR="006D54C2" w:rsidRPr="00504D41">
        <w:rPr>
          <w:i w:val="0"/>
          <w:iCs w:val="0"/>
          <w:noProof/>
          <w:color w:val="auto"/>
          <w:sz w:val="24"/>
          <w:szCs w:val="24"/>
          <w:vertAlign w:val="superscript"/>
        </w:rPr>
        <w:t>105</w:t>
      </w:r>
      <w:r w:rsidR="00460108" w:rsidRPr="00504D41">
        <w:rPr>
          <w:i w:val="0"/>
          <w:iCs w:val="0"/>
          <w:color w:val="auto"/>
          <w:sz w:val="24"/>
          <w:szCs w:val="24"/>
        </w:rPr>
        <w:t xml:space="preserve"> (d) Indirect seed coating through first preparation of polymer fiber mats followed by loading of mycorrhizal inoculant powder. Seeds are then wrapped within the inoculated fiber sheets</w:t>
      </w:r>
      <w:r w:rsidR="0024455F" w:rsidRPr="00504D41">
        <w:rPr>
          <w:i w:val="0"/>
          <w:iCs w:val="0"/>
          <w:color w:val="auto"/>
          <w:sz w:val="24"/>
          <w:szCs w:val="24"/>
        </w:rPr>
        <w:t>.</w:t>
      </w:r>
      <w:r w:rsidR="006D54C2" w:rsidRPr="00504D41">
        <w:rPr>
          <w:i w:val="0"/>
          <w:iCs w:val="0"/>
          <w:noProof/>
          <w:color w:val="auto"/>
          <w:sz w:val="24"/>
          <w:szCs w:val="24"/>
          <w:vertAlign w:val="superscript"/>
        </w:rPr>
        <w:t>59</w:t>
      </w:r>
      <w:r w:rsidR="00460108" w:rsidRPr="00504D41">
        <w:rPr>
          <w:i w:val="0"/>
          <w:iCs w:val="0"/>
          <w:color w:val="auto"/>
          <w:sz w:val="24"/>
          <w:szCs w:val="24"/>
        </w:rPr>
        <w:t xml:space="preserve"> Adapted with permission from</w:t>
      </w:r>
      <w:r w:rsidR="004536CB" w:rsidRPr="00504D41">
        <w:rPr>
          <w:i w:val="0"/>
          <w:iCs w:val="0"/>
          <w:color w:val="auto"/>
          <w:sz w:val="24"/>
          <w:szCs w:val="24"/>
        </w:rPr>
        <w:t xml:space="preserve"> ref</w:t>
      </w:r>
      <w:r w:rsidR="0024455F" w:rsidRPr="00504D41">
        <w:rPr>
          <w:i w:val="0"/>
          <w:iCs w:val="0"/>
          <w:color w:val="auto"/>
          <w:sz w:val="24"/>
          <w:szCs w:val="24"/>
        </w:rPr>
        <w:t>erences</w:t>
      </w:r>
      <w:r w:rsidR="004536CB" w:rsidRPr="00504D41">
        <w:rPr>
          <w:i w:val="0"/>
          <w:iCs w:val="0"/>
          <w:color w:val="auto"/>
          <w:sz w:val="24"/>
          <w:szCs w:val="24"/>
        </w:rPr>
        <w:t>.</w:t>
      </w:r>
      <w:r w:rsidR="006D54C2" w:rsidRPr="00504D41">
        <w:rPr>
          <w:i w:val="0"/>
          <w:iCs w:val="0"/>
          <w:noProof/>
          <w:color w:val="auto"/>
          <w:sz w:val="24"/>
          <w:szCs w:val="24"/>
          <w:vertAlign w:val="superscript"/>
        </w:rPr>
        <w:t>105</w:t>
      </w:r>
      <w:r w:rsidR="00460108" w:rsidRPr="00504D41">
        <w:rPr>
          <w:i w:val="0"/>
          <w:iCs w:val="0"/>
          <w:color w:val="auto"/>
          <w:sz w:val="24"/>
          <w:szCs w:val="24"/>
          <w:vertAlign w:val="superscript"/>
        </w:rPr>
        <w:t xml:space="preserve">, </w:t>
      </w:r>
      <w:r w:rsidR="006D54C2" w:rsidRPr="00504D41">
        <w:rPr>
          <w:i w:val="0"/>
          <w:iCs w:val="0"/>
          <w:noProof/>
          <w:color w:val="auto"/>
          <w:sz w:val="24"/>
          <w:szCs w:val="24"/>
          <w:vertAlign w:val="superscript"/>
        </w:rPr>
        <w:t>58</w:t>
      </w:r>
      <w:r w:rsidR="00460108" w:rsidRPr="00504D41">
        <w:rPr>
          <w:i w:val="0"/>
          <w:iCs w:val="0"/>
          <w:color w:val="auto"/>
          <w:sz w:val="24"/>
          <w:szCs w:val="24"/>
          <w:vertAlign w:val="superscript"/>
        </w:rPr>
        <w:t xml:space="preserve">, </w:t>
      </w:r>
      <w:r w:rsidR="006D54C2" w:rsidRPr="00504D41">
        <w:rPr>
          <w:i w:val="0"/>
          <w:iCs w:val="0"/>
          <w:noProof/>
          <w:color w:val="auto"/>
          <w:sz w:val="24"/>
          <w:szCs w:val="24"/>
          <w:vertAlign w:val="superscript"/>
        </w:rPr>
        <w:t>59</w:t>
      </w:r>
      <w:r w:rsidR="0024455F" w:rsidRPr="00504D41">
        <w:rPr>
          <w:i w:val="0"/>
          <w:iCs w:val="0"/>
          <w:color w:val="auto"/>
          <w:sz w:val="24"/>
          <w:szCs w:val="24"/>
          <w:vertAlign w:val="superscript"/>
        </w:rPr>
        <w:t xml:space="preserve"> </w:t>
      </w:r>
      <w:r w:rsidR="00460108" w:rsidRPr="00504D41">
        <w:rPr>
          <w:i w:val="0"/>
          <w:iCs w:val="0"/>
          <w:color w:val="auto"/>
          <w:sz w:val="24"/>
          <w:szCs w:val="24"/>
        </w:rPr>
        <w:t xml:space="preserve">Copyrights 2019, 2020 American Chemical Society. SEM images of (e) PEO, and (f) </w:t>
      </w:r>
      <w:r w:rsidR="00F25BD8" w:rsidRPr="00504D41">
        <w:rPr>
          <w:i w:val="0"/>
          <w:iCs w:val="0"/>
          <w:color w:val="auto"/>
          <w:sz w:val="24"/>
          <w:szCs w:val="24"/>
        </w:rPr>
        <w:t>Arbuscular Mycorrhizal Fungi</w:t>
      </w:r>
      <w:r w:rsidR="00460108" w:rsidRPr="00504D41">
        <w:rPr>
          <w:i w:val="0"/>
          <w:iCs w:val="0"/>
          <w:color w:val="auto"/>
          <w:sz w:val="24"/>
          <w:szCs w:val="24"/>
        </w:rPr>
        <w:t xml:space="preserve"> loaded PEO electrospun nanofibers</w:t>
      </w:r>
      <w:r w:rsidR="008668AE" w:rsidRPr="00504D41">
        <w:rPr>
          <w:i w:val="0"/>
          <w:iCs w:val="0"/>
          <w:color w:val="auto"/>
          <w:sz w:val="24"/>
          <w:szCs w:val="24"/>
        </w:rPr>
        <w:t>,</w:t>
      </w:r>
      <w:r w:rsidR="006D54C2" w:rsidRPr="00504D41">
        <w:rPr>
          <w:i w:val="0"/>
          <w:iCs w:val="0"/>
          <w:noProof/>
          <w:color w:val="auto"/>
          <w:sz w:val="24"/>
          <w:szCs w:val="24"/>
          <w:vertAlign w:val="superscript"/>
        </w:rPr>
        <w:t>59</w:t>
      </w:r>
      <w:r w:rsidR="008668AE" w:rsidRPr="00504D41">
        <w:rPr>
          <w:i w:val="0"/>
          <w:iCs w:val="0"/>
          <w:color w:val="auto"/>
          <w:sz w:val="24"/>
          <w:szCs w:val="24"/>
        </w:rPr>
        <w:t xml:space="preserve"> </w:t>
      </w:r>
      <w:r w:rsidR="00460108" w:rsidRPr="00504D41">
        <w:rPr>
          <w:i w:val="0"/>
          <w:iCs w:val="0"/>
          <w:color w:val="auto"/>
          <w:sz w:val="24"/>
          <w:szCs w:val="24"/>
        </w:rPr>
        <w:t>(g) CDA and (h) Abamectin loaded CDA nanofibers</w:t>
      </w:r>
      <w:r w:rsidR="008668AE" w:rsidRPr="00504D41">
        <w:rPr>
          <w:i w:val="0"/>
          <w:iCs w:val="0"/>
          <w:color w:val="auto"/>
          <w:sz w:val="24"/>
          <w:szCs w:val="24"/>
        </w:rPr>
        <w:t>,</w:t>
      </w:r>
      <w:r w:rsidR="006D54C2" w:rsidRPr="00504D41">
        <w:rPr>
          <w:i w:val="0"/>
          <w:iCs w:val="0"/>
          <w:noProof/>
          <w:color w:val="auto"/>
          <w:sz w:val="24"/>
          <w:szCs w:val="24"/>
          <w:vertAlign w:val="superscript"/>
        </w:rPr>
        <w:t>106</w:t>
      </w:r>
      <w:r w:rsidR="00460108" w:rsidRPr="00504D41">
        <w:rPr>
          <w:i w:val="0"/>
          <w:iCs w:val="0"/>
          <w:color w:val="auto"/>
          <w:sz w:val="24"/>
          <w:szCs w:val="24"/>
        </w:rPr>
        <w:t xml:space="preserve"> (i) PVP+PPZ</w:t>
      </w:r>
      <w:r w:rsidR="006D54C2" w:rsidRPr="00504D41">
        <w:rPr>
          <w:i w:val="0"/>
          <w:iCs w:val="0"/>
          <w:noProof/>
          <w:color w:val="auto"/>
          <w:sz w:val="24"/>
          <w:szCs w:val="24"/>
          <w:vertAlign w:val="superscript"/>
        </w:rPr>
        <w:t>104</w:t>
      </w:r>
      <w:r w:rsidR="00460108" w:rsidRPr="00504D41">
        <w:rPr>
          <w:i w:val="0"/>
          <w:iCs w:val="0"/>
          <w:color w:val="auto"/>
          <w:sz w:val="24"/>
          <w:szCs w:val="24"/>
        </w:rPr>
        <w:t xml:space="preserve"> nanofibers, and (j) PVA electrospun nanofibers</w:t>
      </w:r>
      <w:r w:rsidR="006D54C2" w:rsidRPr="00504D41">
        <w:rPr>
          <w:i w:val="0"/>
          <w:noProof/>
          <w:color w:val="auto"/>
          <w:sz w:val="24"/>
          <w:szCs w:val="24"/>
          <w:shd w:val="clear" w:color="auto" w:fill="FFFFFF"/>
          <w:vertAlign w:val="superscript"/>
        </w:rPr>
        <w:t>107</w:t>
      </w:r>
      <w:r w:rsidR="00460108" w:rsidRPr="00504D41">
        <w:rPr>
          <w:i w:val="0"/>
          <w:iCs w:val="0"/>
          <w:color w:val="auto"/>
          <w:sz w:val="24"/>
          <w:szCs w:val="24"/>
        </w:rPr>
        <w:t>. Adapted with permission</w:t>
      </w:r>
      <w:r w:rsidR="008668AE" w:rsidRPr="00504D41">
        <w:rPr>
          <w:i w:val="0"/>
          <w:iCs w:val="0"/>
          <w:color w:val="auto"/>
          <w:sz w:val="24"/>
          <w:szCs w:val="24"/>
        </w:rPr>
        <w:t xml:space="preserve">. </w:t>
      </w:r>
      <w:r w:rsidR="006D54C2" w:rsidRPr="00504D41">
        <w:rPr>
          <w:i w:val="0"/>
          <w:iCs w:val="0"/>
          <w:noProof/>
          <w:color w:val="auto"/>
          <w:sz w:val="24"/>
          <w:szCs w:val="24"/>
          <w:vertAlign w:val="superscript"/>
        </w:rPr>
        <w:t>59</w:t>
      </w:r>
      <w:r w:rsidR="00460108" w:rsidRPr="00504D41">
        <w:rPr>
          <w:i w:val="0"/>
          <w:iCs w:val="0"/>
          <w:color w:val="auto"/>
          <w:sz w:val="24"/>
          <w:szCs w:val="24"/>
          <w:vertAlign w:val="superscript"/>
        </w:rPr>
        <w:t xml:space="preserve">, </w:t>
      </w:r>
      <w:r w:rsidR="006D54C2" w:rsidRPr="00504D41">
        <w:rPr>
          <w:i w:val="0"/>
          <w:iCs w:val="0"/>
          <w:noProof/>
          <w:color w:val="auto"/>
          <w:sz w:val="24"/>
          <w:szCs w:val="24"/>
          <w:vertAlign w:val="superscript"/>
        </w:rPr>
        <w:t>106</w:t>
      </w:r>
      <w:r w:rsidR="00460108" w:rsidRPr="00504D41">
        <w:rPr>
          <w:i w:val="0"/>
          <w:iCs w:val="0"/>
          <w:color w:val="auto"/>
          <w:sz w:val="24"/>
          <w:szCs w:val="24"/>
          <w:vertAlign w:val="superscript"/>
        </w:rPr>
        <w:t xml:space="preserve">, </w:t>
      </w:r>
      <w:r w:rsidR="006D54C2" w:rsidRPr="00504D41">
        <w:rPr>
          <w:i w:val="0"/>
          <w:iCs w:val="0"/>
          <w:noProof/>
          <w:color w:val="auto"/>
          <w:sz w:val="24"/>
          <w:szCs w:val="24"/>
          <w:vertAlign w:val="superscript"/>
        </w:rPr>
        <w:t>104</w:t>
      </w:r>
      <w:r w:rsidR="00460108" w:rsidRPr="00504D41">
        <w:rPr>
          <w:i w:val="0"/>
          <w:iCs w:val="0"/>
          <w:color w:val="auto"/>
          <w:sz w:val="24"/>
          <w:szCs w:val="24"/>
          <w:vertAlign w:val="superscript"/>
        </w:rPr>
        <w:t xml:space="preserve">, </w:t>
      </w:r>
      <w:r w:rsidR="006D54C2" w:rsidRPr="00504D41">
        <w:rPr>
          <w:i w:val="0"/>
          <w:iCs w:val="0"/>
          <w:noProof/>
          <w:color w:val="auto"/>
          <w:sz w:val="24"/>
          <w:szCs w:val="24"/>
          <w:vertAlign w:val="superscript"/>
        </w:rPr>
        <w:t>107</w:t>
      </w:r>
      <w:r w:rsidR="00460108" w:rsidRPr="00504D41">
        <w:rPr>
          <w:color w:val="auto"/>
          <w:sz w:val="24"/>
          <w:szCs w:val="24"/>
          <w:shd w:val="clear" w:color="auto" w:fill="FFFFFF"/>
        </w:rPr>
        <w:t xml:space="preserve"> </w:t>
      </w:r>
      <w:r w:rsidR="00460108" w:rsidRPr="00504D41">
        <w:rPr>
          <w:i w:val="0"/>
          <w:iCs w:val="0"/>
          <w:color w:val="auto"/>
          <w:sz w:val="24"/>
          <w:szCs w:val="24"/>
          <w:shd w:val="clear" w:color="auto" w:fill="FFFFFF"/>
        </w:rPr>
        <w:t>Copyrights 2019, 2020 American Chemical Society, Elsevier 2018, and Springer Nature 2020</w:t>
      </w:r>
      <w:r w:rsidRPr="00504D41">
        <w:rPr>
          <w:i w:val="0"/>
          <w:iCs w:val="0"/>
          <w:color w:val="auto"/>
          <w:sz w:val="24"/>
          <w:szCs w:val="24"/>
        </w:rPr>
        <w:t>.</w:t>
      </w:r>
    </w:p>
    <w:p w14:paraId="50422E9B" w14:textId="77777777" w:rsidR="00917DC2" w:rsidRPr="00504D41" w:rsidRDefault="001D5F89" w:rsidP="00031114">
      <w:pPr>
        <w:spacing w:line="360" w:lineRule="auto"/>
        <w:jc w:val="both"/>
        <w:rPr>
          <w:szCs w:val="24"/>
          <w:shd w:val="clear" w:color="auto" w:fill="FFFFFF"/>
        </w:rPr>
      </w:pPr>
      <w:r w:rsidRPr="00504D41">
        <w:rPr>
          <w:szCs w:val="24"/>
          <w:shd w:val="clear" w:color="auto" w:fill="FFFFFF"/>
        </w:rPr>
        <w:t>To overcome the limitations presented by the high cost of PPZ, which deters its wide-scale usage for seed coating applications,</w:t>
      </w:r>
      <w:r w:rsidR="00FA0464" w:rsidRPr="00504D41">
        <w:rPr>
          <w:szCs w:val="24"/>
          <w:shd w:val="clear" w:color="auto" w:fill="FFFFFF"/>
        </w:rPr>
        <w:t xml:space="preserve"> </w:t>
      </w:r>
      <w:r w:rsidRPr="00504D41">
        <w:rPr>
          <w:szCs w:val="24"/>
          <w:shd w:val="clear" w:color="auto" w:fill="FFFFFF"/>
        </w:rPr>
        <w:t xml:space="preserve">Farias </w:t>
      </w:r>
      <w:r w:rsidR="00A95C55" w:rsidRPr="00504D41">
        <w:rPr>
          <w:szCs w:val="24"/>
          <w:shd w:val="clear" w:color="auto" w:fill="FFFFFF"/>
        </w:rPr>
        <w:t xml:space="preserve">and Pirzada </w:t>
      </w:r>
      <w:r w:rsidRPr="00504D41">
        <w:rPr>
          <w:szCs w:val="24"/>
          <w:shd w:val="clear" w:color="auto" w:fill="FFFFFF"/>
        </w:rPr>
        <w:t>et al. proposed the usage of cellulose diacetate (CDA) electrospun fibers as seed coatings</w:t>
      </w:r>
      <w:r w:rsidR="00700244" w:rsidRPr="00504D41">
        <w:rPr>
          <w:szCs w:val="24"/>
          <w:shd w:val="clear" w:color="auto" w:fill="FFFFFF"/>
        </w:rPr>
        <w:t xml:space="preserve"> (Figure </w:t>
      </w:r>
      <w:r w:rsidR="00C95480" w:rsidRPr="00504D41">
        <w:rPr>
          <w:szCs w:val="24"/>
          <w:shd w:val="clear" w:color="auto" w:fill="FFFFFF"/>
        </w:rPr>
        <w:t>7</w:t>
      </w:r>
      <w:r w:rsidR="00700244" w:rsidRPr="00504D41">
        <w:rPr>
          <w:szCs w:val="24"/>
          <w:shd w:val="clear" w:color="auto" w:fill="FFFFFF"/>
        </w:rPr>
        <w:t>g, h).</w:t>
      </w:r>
      <w:r w:rsidR="006D54C2" w:rsidRPr="00504D41">
        <w:rPr>
          <w:noProof/>
          <w:szCs w:val="24"/>
          <w:shd w:val="clear" w:color="auto" w:fill="FFFFFF"/>
          <w:vertAlign w:val="superscript"/>
        </w:rPr>
        <w:t>106</w:t>
      </w:r>
      <w:r w:rsidR="00700244" w:rsidRPr="00504D41">
        <w:rPr>
          <w:szCs w:val="24"/>
          <w:shd w:val="clear" w:color="auto" w:fill="FFFFFF"/>
        </w:rPr>
        <w:t xml:space="preserve"> </w:t>
      </w:r>
      <w:r w:rsidRPr="00504D41">
        <w:rPr>
          <w:szCs w:val="24"/>
          <w:shd w:val="clear" w:color="auto" w:fill="FFFFFF"/>
        </w:rPr>
        <w:t>The hydrophobic nature of CDA facilitated retention of the polymer fibers on the seed coat, particularly in moist soil. Two model A</w:t>
      </w:r>
      <w:r w:rsidR="000A4473" w:rsidRPr="00504D41">
        <w:rPr>
          <w:szCs w:val="24"/>
          <w:shd w:val="clear" w:color="auto" w:fill="FFFFFF"/>
        </w:rPr>
        <w:t>I</w:t>
      </w:r>
      <w:r w:rsidRPr="00504D41">
        <w:rPr>
          <w:szCs w:val="24"/>
          <w:shd w:val="clear" w:color="auto" w:fill="FFFFFF"/>
        </w:rPr>
        <w:t>s, abamectin (an anthelminthic) and fluopyram (a fungicide) were separately incorporated in</w:t>
      </w:r>
      <w:r w:rsidR="00A95C55" w:rsidRPr="00504D41">
        <w:rPr>
          <w:szCs w:val="24"/>
          <w:shd w:val="clear" w:color="auto" w:fill="FFFFFF"/>
        </w:rPr>
        <w:t>to</w:t>
      </w:r>
      <w:r w:rsidRPr="00504D41">
        <w:rPr>
          <w:szCs w:val="24"/>
          <w:shd w:val="clear" w:color="auto" w:fill="FFFFFF"/>
        </w:rPr>
        <w:t xml:space="preserve"> the polymer fiber mats. Efficacy of the nanofibrous seed coat was verified via sustained release of AI measured through HPLC</w:t>
      </w:r>
      <w:r w:rsidR="00CC7CC3" w:rsidRPr="00504D41">
        <w:rPr>
          <w:szCs w:val="24"/>
          <w:shd w:val="clear" w:color="auto" w:fill="FFFFFF"/>
        </w:rPr>
        <w:t xml:space="preserve"> </w:t>
      </w:r>
      <w:r w:rsidRPr="00504D41">
        <w:rPr>
          <w:b/>
          <w:bCs/>
          <w:szCs w:val="24"/>
          <w:shd w:val="clear" w:color="auto" w:fill="FFFFFF"/>
        </w:rPr>
        <w:t xml:space="preserve">(Figure </w:t>
      </w:r>
      <w:r w:rsidR="000A4473" w:rsidRPr="00504D41">
        <w:rPr>
          <w:b/>
          <w:bCs/>
          <w:szCs w:val="24"/>
          <w:shd w:val="clear" w:color="auto" w:fill="FFFFFF"/>
        </w:rPr>
        <w:t>8</w:t>
      </w:r>
      <w:r w:rsidR="000F1B21" w:rsidRPr="00504D41">
        <w:rPr>
          <w:b/>
          <w:bCs/>
          <w:szCs w:val="24"/>
          <w:shd w:val="clear" w:color="auto" w:fill="FFFFFF"/>
        </w:rPr>
        <w:t>a, b</w:t>
      </w:r>
      <w:r w:rsidRPr="00504D41">
        <w:rPr>
          <w:b/>
          <w:bCs/>
          <w:szCs w:val="24"/>
          <w:shd w:val="clear" w:color="auto" w:fill="FFFFFF"/>
        </w:rPr>
        <w:t>)</w:t>
      </w:r>
      <w:r w:rsidRPr="00504D41">
        <w:rPr>
          <w:szCs w:val="24"/>
          <w:shd w:val="clear" w:color="auto" w:fill="FFFFFF"/>
        </w:rPr>
        <w:t xml:space="preserve"> and bioavailability of the AI through in-vitro bioassays. </w:t>
      </w:r>
      <w:r w:rsidR="00A95C55" w:rsidRPr="00504D41">
        <w:rPr>
          <w:szCs w:val="24"/>
          <w:shd w:val="clear" w:color="auto" w:fill="FFFFFF"/>
        </w:rPr>
        <w:t xml:space="preserve">The viability </w:t>
      </w:r>
      <w:r w:rsidRPr="00504D41">
        <w:rPr>
          <w:szCs w:val="24"/>
          <w:shd w:val="clear" w:color="auto" w:fill="FFFFFF"/>
        </w:rPr>
        <w:t>of nanofibers as carriers for PGPB was demonstrated by</w:t>
      </w:r>
      <w:r w:rsidR="00FA0464" w:rsidRPr="00504D41">
        <w:rPr>
          <w:szCs w:val="24"/>
          <w:shd w:val="clear" w:color="auto" w:fill="FFFFFF"/>
        </w:rPr>
        <w:t xml:space="preserve"> </w:t>
      </w:r>
      <w:r w:rsidRPr="00504D41">
        <w:rPr>
          <w:szCs w:val="24"/>
          <w:shd w:val="clear" w:color="auto" w:fill="FFFFFF"/>
        </w:rPr>
        <w:t>Hussain et al</w:t>
      </w:r>
      <w:r w:rsidR="00A95C55" w:rsidRPr="00504D41">
        <w:rPr>
          <w:szCs w:val="24"/>
          <w:shd w:val="clear" w:color="auto" w:fill="FFFFFF"/>
        </w:rPr>
        <w:t>.</w:t>
      </w:r>
      <w:r w:rsidRPr="00504D41">
        <w:rPr>
          <w:szCs w:val="24"/>
          <w:shd w:val="clear" w:color="auto" w:fill="FFFFFF"/>
        </w:rPr>
        <w:t xml:space="preserve"> who showed use of </w:t>
      </w:r>
      <w:r w:rsidR="00A95C55" w:rsidRPr="00504D41">
        <w:rPr>
          <w:szCs w:val="24"/>
          <w:shd w:val="clear" w:color="auto" w:fill="FFFFFF"/>
        </w:rPr>
        <w:t>PVA/PVB</w:t>
      </w:r>
      <w:r w:rsidRPr="00504D41">
        <w:rPr>
          <w:szCs w:val="24"/>
          <w:shd w:val="clear" w:color="auto" w:fill="FFFFFF"/>
        </w:rPr>
        <w:t xml:space="preserve"> hybrid electrospun fibers loaded with </w:t>
      </w:r>
      <w:r w:rsidRPr="00504D41">
        <w:rPr>
          <w:i/>
          <w:szCs w:val="24"/>
          <w:shd w:val="clear" w:color="auto" w:fill="FFFFFF"/>
        </w:rPr>
        <w:t xml:space="preserve">Bacillus subtilis </w:t>
      </w:r>
      <w:r w:rsidRPr="00504D41">
        <w:rPr>
          <w:szCs w:val="24"/>
          <w:shd w:val="clear" w:color="auto" w:fill="FFFFFF"/>
        </w:rPr>
        <w:t xml:space="preserve">NH-100 and </w:t>
      </w:r>
      <w:r w:rsidRPr="00504D41">
        <w:rPr>
          <w:i/>
          <w:szCs w:val="24"/>
          <w:shd w:val="clear" w:color="auto" w:fill="FFFFFF"/>
        </w:rPr>
        <w:t xml:space="preserve">Seratia marcescens </w:t>
      </w:r>
      <w:r w:rsidRPr="00504D41">
        <w:rPr>
          <w:szCs w:val="24"/>
          <w:shd w:val="clear" w:color="auto" w:fill="FFFFFF"/>
        </w:rPr>
        <w:t>FA-4 as seed coatings for canola seeds</w:t>
      </w:r>
      <w:r w:rsidR="00CC7CC3" w:rsidRPr="00504D41">
        <w:rPr>
          <w:szCs w:val="24"/>
          <w:shd w:val="clear" w:color="auto" w:fill="FFFFFF"/>
        </w:rPr>
        <w:t xml:space="preserve"> (Figure </w:t>
      </w:r>
      <w:r w:rsidR="005B31F4" w:rsidRPr="00504D41">
        <w:rPr>
          <w:szCs w:val="24"/>
          <w:shd w:val="clear" w:color="auto" w:fill="FFFFFF"/>
        </w:rPr>
        <w:t>8</w:t>
      </w:r>
      <w:r w:rsidR="00CC7CC3" w:rsidRPr="00504D41">
        <w:rPr>
          <w:szCs w:val="24"/>
          <w:shd w:val="clear" w:color="auto" w:fill="FFFFFF"/>
        </w:rPr>
        <w:t>i).</w:t>
      </w:r>
      <w:r w:rsidR="006D54C2" w:rsidRPr="00504D41">
        <w:rPr>
          <w:noProof/>
          <w:szCs w:val="24"/>
          <w:shd w:val="clear" w:color="auto" w:fill="FFFFFF"/>
          <w:vertAlign w:val="superscript"/>
        </w:rPr>
        <w:t>58</w:t>
      </w:r>
      <w:r w:rsidR="00CC7CC3" w:rsidRPr="00504D41">
        <w:rPr>
          <w:szCs w:val="24"/>
          <w:shd w:val="clear" w:color="auto" w:fill="FFFFFF"/>
        </w:rPr>
        <w:t xml:space="preserve"> </w:t>
      </w:r>
      <w:r w:rsidRPr="00504D41">
        <w:rPr>
          <w:szCs w:val="24"/>
          <w:shd w:val="clear" w:color="auto" w:fill="FFFFFF"/>
        </w:rPr>
        <w:t xml:space="preserve">In-vitro functional studies verified that the electrospun biocomposite membranes provided a viable growth media for the inoculated PGPB in addition to demonstrating </w:t>
      </w:r>
      <w:r w:rsidR="003B3ABE" w:rsidRPr="00504D41">
        <w:rPr>
          <w:szCs w:val="24"/>
          <w:shd w:val="clear" w:color="auto" w:fill="FFFFFF"/>
        </w:rPr>
        <w:t xml:space="preserve">their </w:t>
      </w:r>
      <w:r w:rsidRPr="00504D41">
        <w:rPr>
          <w:szCs w:val="24"/>
          <w:shd w:val="clear" w:color="auto" w:fill="FFFFFF"/>
        </w:rPr>
        <w:t xml:space="preserve">superior antifungal and </w:t>
      </w:r>
      <w:r w:rsidR="00A95C55" w:rsidRPr="00504D41">
        <w:rPr>
          <w:szCs w:val="24"/>
          <w:shd w:val="clear" w:color="auto" w:fill="FFFFFF"/>
        </w:rPr>
        <w:t>p</w:t>
      </w:r>
      <w:r w:rsidR="00CC7CC3" w:rsidRPr="00504D41">
        <w:rPr>
          <w:szCs w:val="24"/>
          <w:shd w:val="clear" w:color="auto" w:fill="FFFFFF"/>
        </w:rPr>
        <w:t>hosphorus</w:t>
      </w:r>
      <w:r w:rsidRPr="00504D41">
        <w:rPr>
          <w:szCs w:val="24"/>
          <w:shd w:val="clear" w:color="auto" w:fill="FFFFFF"/>
        </w:rPr>
        <w:t xml:space="preserve"> solubilizing properties (Figure</w:t>
      </w:r>
      <w:r w:rsidR="003B3ABE" w:rsidRPr="00504D41">
        <w:rPr>
          <w:szCs w:val="24"/>
          <w:shd w:val="clear" w:color="auto" w:fill="FFFFFF"/>
        </w:rPr>
        <w:t xml:space="preserve"> </w:t>
      </w:r>
      <w:r w:rsidR="005B31F4" w:rsidRPr="00504D41">
        <w:rPr>
          <w:szCs w:val="24"/>
          <w:shd w:val="clear" w:color="auto" w:fill="FFFFFF"/>
        </w:rPr>
        <w:t>8</w:t>
      </w:r>
      <w:r w:rsidR="00BE0335" w:rsidRPr="00504D41">
        <w:rPr>
          <w:szCs w:val="24"/>
          <w:shd w:val="clear" w:color="auto" w:fill="FFFFFF"/>
        </w:rPr>
        <w:t>c</w:t>
      </w:r>
      <w:r w:rsidRPr="00504D41">
        <w:rPr>
          <w:szCs w:val="24"/>
          <w:shd w:val="clear" w:color="auto" w:fill="FFFFFF"/>
        </w:rPr>
        <w:t>-</w:t>
      </w:r>
      <w:r w:rsidR="00BE0335" w:rsidRPr="00504D41">
        <w:rPr>
          <w:szCs w:val="24"/>
          <w:shd w:val="clear" w:color="auto" w:fill="FFFFFF"/>
        </w:rPr>
        <w:t>h</w:t>
      </w:r>
      <w:r w:rsidRPr="00504D41">
        <w:rPr>
          <w:szCs w:val="24"/>
          <w:shd w:val="clear" w:color="auto" w:fill="FFFFFF"/>
        </w:rPr>
        <w:t>). Furthermore, the enhanced functional (anti-fungal and stable nutrient acquisition) performance of the coated seeds was exhibited through pot trials whereas stability studies indicated that the seed coat was stable at room temperature for 15 days.</w:t>
      </w:r>
      <w:r w:rsidR="003976C3" w:rsidRPr="00504D41">
        <w:rPr>
          <w:szCs w:val="24"/>
          <w:shd w:val="clear" w:color="auto" w:fill="FFFFFF"/>
        </w:rPr>
        <w:t xml:space="preserve"> </w:t>
      </w:r>
      <w:r w:rsidRPr="00504D41">
        <w:rPr>
          <w:szCs w:val="24"/>
          <w:shd w:val="clear" w:color="auto" w:fill="FFFFFF"/>
        </w:rPr>
        <w:t>In another recent work,</w:t>
      </w:r>
      <w:r w:rsidR="00FA0464" w:rsidRPr="00504D41">
        <w:rPr>
          <w:szCs w:val="24"/>
          <w:shd w:val="clear" w:color="auto" w:fill="FFFFFF"/>
        </w:rPr>
        <w:t xml:space="preserve"> </w:t>
      </w:r>
      <w:r w:rsidRPr="00504D41">
        <w:rPr>
          <w:szCs w:val="24"/>
          <w:shd w:val="clear" w:color="auto" w:fill="FFFFFF"/>
        </w:rPr>
        <w:t>Xu and coworkers coated tomato and lettuce seeds with cellulose acetate electrospun nanofibers en</w:t>
      </w:r>
      <w:r w:rsidR="00CE6281" w:rsidRPr="00504D41">
        <w:rPr>
          <w:szCs w:val="24"/>
          <w:shd w:val="clear" w:color="auto" w:fill="FFFFFF"/>
        </w:rPr>
        <w:t xml:space="preserve">capsulating </w:t>
      </w:r>
      <w:r w:rsidR="00A95C55" w:rsidRPr="00504D41">
        <w:rPr>
          <w:szCs w:val="24"/>
          <w:shd w:val="clear" w:color="auto" w:fill="FFFFFF"/>
        </w:rPr>
        <w:t>copper (</w:t>
      </w:r>
      <w:r w:rsidR="00CE6281" w:rsidRPr="00504D41">
        <w:rPr>
          <w:szCs w:val="24"/>
          <w:shd w:val="clear" w:color="auto" w:fill="FFFFFF"/>
        </w:rPr>
        <w:t>Cu</w:t>
      </w:r>
      <w:r w:rsidR="00A95C55" w:rsidRPr="00504D41">
        <w:rPr>
          <w:szCs w:val="24"/>
          <w:shd w:val="clear" w:color="auto" w:fill="FFFFFF"/>
        </w:rPr>
        <w:t>)</w:t>
      </w:r>
      <w:r w:rsidR="00CE6281" w:rsidRPr="00504D41">
        <w:rPr>
          <w:szCs w:val="24"/>
          <w:shd w:val="clear" w:color="auto" w:fill="FFFFFF"/>
        </w:rPr>
        <w:t xml:space="preserve"> as the model AI</w:t>
      </w:r>
      <w:r w:rsidR="00CC7CC3" w:rsidRPr="00504D41">
        <w:rPr>
          <w:szCs w:val="24"/>
          <w:shd w:val="clear" w:color="auto" w:fill="FFFFFF"/>
        </w:rPr>
        <w:t>.</w:t>
      </w:r>
      <w:r w:rsidR="006D54C2" w:rsidRPr="00504D41">
        <w:rPr>
          <w:noProof/>
          <w:szCs w:val="24"/>
          <w:shd w:val="clear" w:color="auto" w:fill="FFFFFF"/>
          <w:vertAlign w:val="superscript"/>
        </w:rPr>
        <w:t>105</w:t>
      </w:r>
      <w:r w:rsidRPr="00504D41">
        <w:rPr>
          <w:szCs w:val="24"/>
          <w:shd w:val="clear" w:color="auto" w:fill="FFFFFF"/>
        </w:rPr>
        <w:t xml:space="preserve"> Greenhouse trials showed the enhanced germination rates (70% rise for tomato seeds and 25% increase for lettuce seeds) of the coated seeds in fungal pathogen (</w:t>
      </w:r>
      <w:r w:rsidRPr="00504D41">
        <w:rPr>
          <w:i/>
          <w:iCs/>
          <w:szCs w:val="24"/>
          <w:shd w:val="clear" w:color="auto" w:fill="FFFFFF"/>
        </w:rPr>
        <w:t>Fusarium)</w:t>
      </w:r>
      <w:r w:rsidRPr="00504D41">
        <w:rPr>
          <w:szCs w:val="24"/>
          <w:shd w:val="clear" w:color="auto" w:fill="FFFFFF"/>
        </w:rPr>
        <w:t xml:space="preserve"> infected soils as compared to untreated soils (Figure </w:t>
      </w:r>
      <w:r w:rsidR="005B31F4" w:rsidRPr="00504D41">
        <w:rPr>
          <w:szCs w:val="24"/>
          <w:shd w:val="clear" w:color="auto" w:fill="FFFFFF"/>
        </w:rPr>
        <w:t>8</w:t>
      </w:r>
      <w:r w:rsidR="00BE0335" w:rsidRPr="00504D41">
        <w:rPr>
          <w:szCs w:val="24"/>
          <w:shd w:val="clear" w:color="auto" w:fill="FFFFFF"/>
        </w:rPr>
        <w:t>k, l</w:t>
      </w:r>
      <w:r w:rsidRPr="00504D41">
        <w:rPr>
          <w:szCs w:val="24"/>
          <w:shd w:val="clear" w:color="auto" w:fill="FFFFFF"/>
        </w:rPr>
        <w:t>).</w:t>
      </w:r>
      <w:r w:rsidR="009E1049" w:rsidRPr="00504D41">
        <w:rPr>
          <w:szCs w:val="24"/>
          <w:shd w:val="clear" w:color="auto" w:fill="FFFFFF"/>
        </w:rPr>
        <w:t xml:space="preserve"> </w:t>
      </w:r>
      <w:r w:rsidRPr="00504D41">
        <w:rPr>
          <w:szCs w:val="24"/>
          <w:shd w:val="clear" w:color="auto" w:fill="FFFFFF"/>
        </w:rPr>
        <w:t>Raja et al</w:t>
      </w:r>
      <w:r w:rsidR="00A95C55" w:rsidRPr="00504D41">
        <w:rPr>
          <w:szCs w:val="24"/>
          <w:shd w:val="clear" w:color="auto" w:fill="FFFFFF"/>
        </w:rPr>
        <w:t>.</w:t>
      </w:r>
      <w:r w:rsidRPr="00504D41">
        <w:rPr>
          <w:szCs w:val="24"/>
          <w:shd w:val="clear" w:color="auto" w:fill="FFFFFF"/>
        </w:rPr>
        <w:t xml:space="preserve"> demonstrated the enhanced bio-efficacy of plant growth-promoting hormones (gibberellic acid and indole acetic acid)  loaded on </w:t>
      </w:r>
      <w:r w:rsidR="00A95C55" w:rsidRPr="00504D41">
        <w:rPr>
          <w:szCs w:val="24"/>
          <w:shd w:val="clear" w:color="auto" w:fill="FFFFFF"/>
        </w:rPr>
        <w:t>PVA</w:t>
      </w:r>
      <w:r w:rsidRPr="00504D41">
        <w:rPr>
          <w:szCs w:val="24"/>
          <w:shd w:val="clear" w:color="auto" w:fill="FFFFFF"/>
        </w:rPr>
        <w:t xml:space="preserve"> electrospun nanofibrous coatings on </w:t>
      </w:r>
      <w:r w:rsidR="00466A0E" w:rsidRPr="00504D41">
        <w:rPr>
          <w:szCs w:val="24"/>
          <w:shd w:val="clear" w:color="auto" w:fill="FFFFFF"/>
        </w:rPr>
        <w:t xml:space="preserve">(Figure 7j) </w:t>
      </w:r>
      <w:r w:rsidRPr="00504D41">
        <w:rPr>
          <w:szCs w:val="24"/>
          <w:shd w:val="clear" w:color="auto" w:fill="FFFFFF"/>
        </w:rPr>
        <w:t>black gram and ground nut seeds which showed increased seedling germination and vigor as compared to controls</w:t>
      </w:r>
      <w:r w:rsidR="006D6399" w:rsidRPr="00504D41">
        <w:rPr>
          <w:szCs w:val="24"/>
          <w:shd w:val="clear" w:color="auto" w:fill="FFFFFF"/>
        </w:rPr>
        <w:t xml:space="preserve"> (Figure </w:t>
      </w:r>
      <w:r w:rsidR="009B414E" w:rsidRPr="00504D41">
        <w:rPr>
          <w:szCs w:val="24"/>
          <w:shd w:val="clear" w:color="auto" w:fill="FFFFFF"/>
        </w:rPr>
        <w:t>8</w:t>
      </w:r>
      <w:r w:rsidR="006D6399" w:rsidRPr="00504D41">
        <w:rPr>
          <w:szCs w:val="24"/>
          <w:shd w:val="clear" w:color="auto" w:fill="FFFFFF"/>
        </w:rPr>
        <w:t xml:space="preserve">m, n). </w:t>
      </w:r>
      <w:r w:rsidR="006D54C2" w:rsidRPr="00504D41">
        <w:rPr>
          <w:noProof/>
          <w:szCs w:val="24"/>
          <w:shd w:val="clear" w:color="auto" w:fill="FFFFFF"/>
          <w:vertAlign w:val="superscript"/>
        </w:rPr>
        <w:t>107</w:t>
      </w:r>
      <w:r w:rsidR="00031114" w:rsidRPr="00504D41">
        <w:rPr>
          <w:szCs w:val="24"/>
          <w:shd w:val="clear" w:color="auto" w:fill="FFFFFF"/>
        </w:rPr>
        <w:t xml:space="preserve"> </w:t>
      </w:r>
      <w:r w:rsidRPr="00504D41">
        <w:rPr>
          <w:szCs w:val="24"/>
          <w:shd w:val="clear" w:color="auto" w:fill="FFFFFF"/>
        </w:rPr>
        <w:t>More recently, researchers</w:t>
      </w:r>
      <w:r w:rsidR="006D54C2" w:rsidRPr="00504D41">
        <w:rPr>
          <w:noProof/>
          <w:szCs w:val="24"/>
          <w:shd w:val="clear" w:color="auto" w:fill="FFFFFF"/>
          <w:vertAlign w:val="superscript"/>
        </w:rPr>
        <w:t>59</w:t>
      </w:r>
      <w:r w:rsidRPr="00504D41">
        <w:rPr>
          <w:szCs w:val="24"/>
          <w:shd w:val="clear" w:color="auto" w:fill="FFFFFF"/>
        </w:rPr>
        <w:t xml:space="preserve"> </w:t>
      </w:r>
      <w:r w:rsidRPr="00504D41">
        <w:rPr>
          <w:szCs w:val="24"/>
          <w:shd w:val="clear" w:color="auto" w:fill="FFFFFF"/>
        </w:rPr>
        <w:lastRenderedPageBreak/>
        <w:t xml:space="preserve">have proposed the use of polyethylene </w:t>
      </w:r>
      <w:r w:rsidR="002B1CE6" w:rsidRPr="00504D41">
        <w:rPr>
          <w:szCs w:val="24"/>
          <w:shd w:val="clear" w:color="auto" w:fill="FFFFFF"/>
        </w:rPr>
        <w:t>oxide</w:t>
      </w:r>
      <w:r w:rsidRPr="00504D41">
        <w:rPr>
          <w:szCs w:val="24"/>
          <w:shd w:val="clear" w:color="auto" w:fill="FFFFFF"/>
        </w:rPr>
        <w:t xml:space="preserve"> (PE</w:t>
      </w:r>
      <w:r w:rsidR="002B1CE6" w:rsidRPr="00504D41">
        <w:rPr>
          <w:szCs w:val="24"/>
          <w:shd w:val="clear" w:color="auto" w:fill="FFFFFF"/>
        </w:rPr>
        <w:t>O</w:t>
      </w:r>
      <w:r w:rsidRPr="00504D41">
        <w:rPr>
          <w:szCs w:val="24"/>
          <w:shd w:val="clear" w:color="auto" w:fill="FFFFFF"/>
        </w:rPr>
        <w:t xml:space="preserve">) fibrous seed coatings as loading media for </w:t>
      </w:r>
      <w:r w:rsidR="00F25BD8" w:rsidRPr="00504D41">
        <w:rPr>
          <w:szCs w:val="24"/>
        </w:rPr>
        <w:t>Arbuscular Mycorrhizal Fungi</w:t>
      </w:r>
      <w:r w:rsidR="00F25BD8" w:rsidRPr="00504D41">
        <w:rPr>
          <w:szCs w:val="24"/>
          <w:shd w:val="clear" w:color="auto" w:fill="FFFFFF"/>
        </w:rPr>
        <w:t xml:space="preserve"> </w:t>
      </w:r>
      <w:r w:rsidRPr="00504D41">
        <w:rPr>
          <w:szCs w:val="24"/>
          <w:shd w:val="clear" w:color="auto" w:fill="FFFFFF"/>
        </w:rPr>
        <w:t xml:space="preserve">(section </w:t>
      </w:r>
      <w:r w:rsidR="009B414E" w:rsidRPr="00504D41">
        <w:rPr>
          <w:szCs w:val="24"/>
          <w:shd w:val="clear" w:color="auto" w:fill="FFFFFF"/>
        </w:rPr>
        <w:t>4.1</w:t>
      </w:r>
      <w:r w:rsidRPr="00504D41">
        <w:rPr>
          <w:szCs w:val="24"/>
          <w:shd w:val="clear" w:color="auto" w:fill="FFFFFF"/>
        </w:rPr>
        <w:t xml:space="preserve">) (Figure </w:t>
      </w:r>
      <w:r w:rsidR="00466A0E" w:rsidRPr="00504D41">
        <w:rPr>
          <w:szCs w:val="24"/>
          <w:shd w:val="clear" w:color="auto" w:fill="FFFFFF"/>
        </w:rPr>
        <w:t>7</w:t>
      </w:r>
      <w:r w:rsidRPr="00504D41">
        <w:rPr>
          <w:szCs w:val="24"/>
          <w:shd w:val="clear" w:color="auto" w:fill="FFFFFF"/>
        </w:rPr>
        <w:t>e, f). PE</w:t>
      </w:r>
      <w:r w:rsidR="002B1CE6" w:rsidRPr="00504D41">
        <w:rPr>
          <w:szCs w:val="24"/>
          <w:shd w:val="clear" w:color="auto" w:fill="FFFFFF"/>
        </w:rPr>
        <w:t>O</w:t>
      </w:r>
      <w:r w:rsidR="00031114" w:rsidRPr="00504D41">
        <w:rPr>
          <w:szCs w:val="24"/>
          <w:shd w:val="clear" w:color="auto" w:fill="FFFFFF"/>
        </w:rPr>
        <w:t xml:space="preserve"> </w:t>
      </w:r>
      <w:r w:rsidRPr="00504D41">
        <w:rPr>
          <w:szCs w:val="24"/>
          <w:shd w:val="clear" w:color="auto" w:fill="FFFFFF"/>
        </w:rPr>
        <w:t xml:space="preserve">nanofibers showed superior performance as </w:t>
      </w:r>
      <w:r w:rsidR="009B414E" w:rsidRPr="00504D41">
        <w:rPr>
          <w:szCs w:val="24"/>
        </w:rPr>
        <w:t>AMF</w:t>
      </w:r>
      <w:r w:rsidR="00F25BD8" w:rsidRPr="00504D41">
        <w:rPr>
          <w:szCs w:val="24"/>
          <w:shd w:val="clear" w:color="auto" w:fill="FFFFFF"/>
        </w:rPr>
        <w:t xml:space="preserve"> </w:t>
      </w:r>
      <w:r w:rsidRPr="00504D41">
        <w:rPr>
          <w:szCs w:val="24"/>
          <w:shd w:val="clear" w:color="auto" w:fill="FFFFFF"/>
        </w:rPr>
        <w:t xml:space="preserve">inoculated carriers (Figure </w:t>
      </w:r>
      <w:r w:rsidR="00466A0E" w:rsidRPr="00504D41">
        <w:rPr>
          <w:szCs w:val="24"/>
          <w:shd w:val="clear" w:color="auto" w:fill="FFFFFF"/>
        </w:rPr>
        <w:t>8</w:t>
      </w:r>
      <w:r w:rsidR="00BE0335" w:rsidRPr="00504D41">
        <w:rPr>
          <w:szCs w:val="24"/>
          <w:shd w:val="clear" w:color="auto" w:fill="FFFFFF"/>
        </w:rPr>
        <w:t>j</w:t>
      </w:r>
      <w:r w:rsidRPr="00504D41">
        <w:rPr>
          <w:szCs w:val="24"/>
          <w:shd w:val="clear" w:color="auto" w:fill="FFFFFF"/>
        </w:rPr>
        <w:t xml:space="preserve">) and treated bean plant seeds showed enhanced </w:t>
      </w:r>
      <w:r w:rsidR="00466A0E" w:rsidRPr="00504D41">
        <w:rPr>
          <w:szCs w:val="24"/>
          <w:shd w:val="clear" w:color="auto" w:fill="FFFFFF"/>
        </w:rPr>
        <w:t>flower bud growth</w:t>
      </w:r>
      <w:r w:rsidRPr="00504D41">
        <w:rPr>
          <w:szCs w:val="24"/>
          <w:shd w:val="clear" w:color="auto" w:fill="FFFFFF"/>
        </w:rPr>
        <w:t xml:space="preserve">. </w:t>
      </w:r>
    </w:p>
    <w:p w14:paraId="1602CD13" w14:textId="77777777" w:rsidR="00E24246" w:rsidRPr="00504D41" w:rsidRDefault="000057B3" w:rsidP="0016445D">
      <w:pPr>
        <w:keepNext/>
        <w:spacing w:line="360" w:lineRule="auto"/>
        <w:jc w:val="both"/>
        <w:rPr>
          <w:szCs w:val="24"/>
        </w:rPr>
      </w:pPr>
      <w:r w:rsidRPr="00504D41">
        <w:rPr>
          <w:noProof/>
        </w:rPr>
        <w:lastRenderedPageBreak/>
        <w:pict w14:anchorId="3C436EBE">
          <v:shape id="Picture 28" o:spid="_x0000_i1033" type="#_x0000_t75" alt="Diagram&#10;&#10;Description automatically generated with low confidence" style="width:451.25pt;height:603.65pt;visibility:visible">
            <v:imagedata r:id="rId20" o:title="Diagram&#10;&#10;Description automatically generated with low confidence"/>
          </v:shape>
        </w:pict>
      </w:r>
    </w:p>
    <w:p w14:paraId="04820070" w14:textId="77777777" w:rsidR="00CA7444" w:rsidRPr="00504D41" w:rsidRDefault="001D5F89" w:rsidP="0016445D">
      <w:pPr>
        <w:spacing w:line="360" w:lineRule="auto"/>
        <w:jc w:val="both"/>
        <w:rPr>
          <w:szCs w:val="24"/>
        </w:rPr>
      </w:pPr>
      <w:r w:rsidRPr="00504D41">
        <w:rPr>
          <w:b/>
          <w:bCs/>
          <w:szCs w:val="24"/>
        </w:rPr>
        <w:lastRenderedPageBreak/>
        <w:t xml:space="preserve">Figure </w:t>
      </w:r>
      <w:r w:rsidR="00405B53" w:rsidRPr="00504D41">
        <w:rPr>
          <w:b/>
          <w:bCs/>
          <w:szCs w:val="24"/>
        </w:rPr>
        <w:fldChar w:fldCharType="begin"/>
      </w:r>
      <w:r w:rsidR="00405B53" w:rsidRPr="00504D41">
        <w:rPr>
          <w:b/>
          <w:bCs/>
          <w:szCs w:val="24"/>
        </w:rPr>
        <w:instrText xml:space="preserve"> SEQ Figure \* ARABIC </w:instrText>
      </w:r>
      <w:r w:rsidR="00405B53" w:rsidRPr="00504D41">
        <w:rPr>
          <w:b/>
          <w:bCs/>
          <w:szCs w:val="24"/>
        </w:rPr>
        <w:fldChar w:fldCharType="separate"/>
      </w:r>
      <w:r w:rsidR="003D0A6B" w:rsidRPr="00504D41">
        <w:rPr>
          <w:b/>
          <w:bCs/>
          <w:noProof/>
          <w:szCs w:val="24"/>
        </w:rPr>
        <w:t>8</w:t>
      </w:r>
      <w:r w:rsidR="00405B53" w:rsidRPr="00504D41">
        <w:rPr>
          <w:b/>
          <w:bCs/>
          <w:noProof/>
          <w:szCs w:val="24"/>
        </w:rPr>
        <w:fldChar w:fldCharType="end"/>
      </w:r>
      <w:r w:rsidR="00AB5CCF" w:rsidRPr="00504D41">
        <w:rPr>
          <w:szCs w:val="24"/>
        </w:rPr>
        <w:t>.</w:t>
      </w:r>
      <w:r w:rsidRPr="00504D41">
        <w:rPr>
          <w:szCs w:val="24"/>
        </w:rPr>
        <w:t xml:space="preserve"> </w:t>
      </w:r>
      <w:r w:rsidR="003424F2" w:rsidRPr="00504D41">
        <w:rPr>
          <w:szCs w:val="24"/>
        </w:rPr>
        <w:t xml:space="preserve">Summarized results demonstrating diverse applications of electrospun nanofibrous seed coating. (a-b) Graphs demonstrating sustained release of (a) </w:t>
      </w:r>
      <w:r w:rsidR="00A95C55" w:rsidRPr="00504D41">
        <w:rPr>
          <w:szCs w:val="24"/>
        </w:rPr>
        <w:t xml:space="preserve">abamectin </w:t>
      </w:r>
      <w:r w:rsidR="003424F2" w:rsidRPr="00504D41">
        <w:rPr>
          <w:szCs w:val="24"/>
        </w:rPr>
        <w:t xml:space="preserve">and (b) </w:t>
      </w:r>
      <w:r w:rsidR="00A95C55" w:rsidRPr="00504D41">
        <w:rPr>
          <w:szCs w:val="24"/>
        </w:rPr>
        <w:t xml:space="preserve">fluopyram </w:t>
      </w:r>
      <w:r w:rsidR="003424F2" w:rsidRPr="00504D41">
        <w:rPr>
          <w:szCs w:val="24"/>
        </w:rPr>
        <w:t>from CDA nanofibers. Adapted</w:t>
      </w:r>
      <w:r w:rsidR="00F8029A" w:rsidRPr="00504D41">
        <w:rPr>
          <w:szCs w:val="24"/>
        </w:rPr>
        <w:t xml:space="preserve"> with permission.</w:t>
      </w:r>
      <w:r w:rsidR="006D54C2" w:rsidRPr="00504D41">
        <w:rPr>
          <w:noProof/>
          <w:vertAlign w:val="superscript"/>
        </w:rPr>
        <w:t>106</w:t>
      </w:r>
      <w:r w:rsidR="00871C9B" w:rsidRPr="00504D41">
        <w:rPr>
          <w:szCs w:val="24"/>
        </w:rPr>
        <w:t xml:space="preserve"> </w:t>
      </w:r>
      <w:r w:rsidR="003424F2" w:rsidRPr="00504D41">
        <w:rPr>
          <w:szCs w:val="24"/>
        </w:rPr>
        <w:t>Copyrights 2019 American Chemical Society.</w:t>
      </w:r>
      <w:r w:rsidR="00871C9B" w:rsidRPr="00504D41">
        <w:rPr>
          <w:szCs w:val="24"/>
        </w:rPr>
        <w:t xml:space="preserve"> </w:t>
      </w:r>
      <w:r w:rsidR="003424F2" w:rsidRPr="00504D41">
        <w:rPr>
          <w:szCs w:val="24"/>
        </w:rPr>
        <w:t xml:space="preserve">(c-h) Digital images showing antifungal performance of PGPB inoculated nanofibers. Zone of inhibition potential against (c) </w:t>
      </w:r>
      <w:r w:rsidR="003424F2" w:rsidRPr="00504D41">
        <w:rPr>
          <w:i/>
          <w:iCs/>
          <w:szCs w:val="24"/>
        </w:rPr>
        <w:t xml:space="preserve">M. phaseolina </w:t>
      </w:r>
      <w:r w:rsidR="003424F2" w:rsidRPr="00504D41">
        <w:rPr>
          <w:szCs w:val="24"/>
        </w:rPr>
        <w:t>(15 ± 0.5mm),</w:t>
      </w:r>
      <w:r w:rsidR="003424F2" w:rsidRPr="00504D41">
        <w:rPr>
          <w:i/>
          <w:iCs/>
          <w:szCs w:val="24"/>
        </w:rPr>
        <w:t xml:space="preserve"> </w:t>
      </w:r>
      <w:r w:rsidR="003424F2" w:rsidRPr="00504D41">
        <w:rPr>
          <w:szCs w:val="24"/>
        </w:rPr>
        <w:t xml:space="preserve"> (d) </w:t>
      </w:r>
      <w:r w:rsidR="003424F2" w:rsidRPr="00504D41">
        <w:rPr>
          <w:i/>
          <w:iCs/>
          <w:szCs w:val="24"/>
        </w:rPr>
        <w:t xml:space="preserve">R. solani </w:t>
      </w:r>
      <w:r w:rsidR="003424F2" w:rsidRPr="00504D41">
        <w:rPr>
          <w:szCs w:val="24"/>
        </w:rPr>
        <w:t xml:space="preserve">(13  ± 1.0 mm), (e) </w:t>
      </w:r>
      <w:r w:rsidR="003424F2" w:rsidRPr="00504D41">
        <w:rPr>
          <w:i/>
          <w:iCs/>
          <w:szCs w:val="24"/>
        </w:rPr>
        <w:t xml:space="preserve">F. oxysporum </w:t>
      </w:r>
      <w:r w:rsidR="003424F2" w:rsidRPr="00504D41">
        <w:rPr>
          <w:szCs w:val="24"/>
        </w:rPr>
        <w:t>(14 ± 0.6 mm).(f) Hollow zone around inoculated nanofibers show</w:t>
      </w:r>
      <w:r w:rsidR="005119AB" w:rsidRPr="00504D41">
        <w:rPr>
          <w:szCs w:val="24"/>
        </w:rPr>
        <w:t>s</w:t>
      </w:r>
      <w:r w:rsidR="003424F2" w:rsidRPr="00504D41">
        <w:rPr>
          <w:szCs w:val="24"/>
        </w:rPr>
        <w:t xml:space="preserve"> the phosphate solubilizing activity of the inoculated bacteria in Pikovskaya agar medium (g-h) Representative (g) pink and (h) white creamy dots showing bacterial colonies on the agar plates demonstrate that electrospinning does not affect biological functions of the loaded bacteria. Adapted</w:t>
      </w:r>
      <w:r w:rsidR="000E4F13" w:rsidRPr="00504D41">
        <w:rPr>
          <w:szCs w:val="24"/>
        </w:rPr>
        <w:t xml:space="preserve"> with permission</w:t>
      </w:r>
      <w:r w:rsidR="00871C9B" w:rsidRPr="00504D41">
        <w:rPr>
          <w:szCs w:val="24"/>
        </w:rPr>
        <w:t>.</w:t>
      </w:r>
      <w:r w:rsidR="006D54C2" w:rsidRPr="00504D41">
        <w:rPr>
          <w:noProof/>
          <w:vertAlign w:val="superscript"/>
        </w:rPr>
        <w:t>58</w:t>
      </w:r>
      <w:r w:rsidR="00871C9B" w:rsidRPr="00504D41">
        <w:rPr>
          <w:szCs w:val="24"/>
        </w:rPr>
        <w:t xml:space="preserve"> </w:t>
      </w:r>
      <w:r w:rsidR="003424F2" w:rsidRPr="00504D41">
        <w:rPr>
          <w:szCs w:val="24"/>
        </w:rPr>
        <w:t xml:space="preserve">Copyrights 2019 American Chemical Society. (i-j) Survival rates of inoculated microbes on electrospun fibers. (i) Viable cell count of inoculated PGPB in </w:t>
      </w:r>
      <w:r w:rsidR="00A95C55" w:rsidRPr="00504D41">
        <w:rPr>
          <w:szCs w:val="24"/>
        </w:rPr>
        <w:t>c</w:t>
      </w:r>
      <w:r w:rsidR="003424F2" w:rsidRPr="00504D41">
        <w:rPr>
          <w:szCs w:val="24"/>
        </w:rPr>
        <w:t>olony forming unit (CFU) as a function of days stored incorporated in PVA/PVP/Glycerol membrane –A, PVA+PVP+Gly dispersions - B, and PVA/PVP/Glycerol coated canola seeds.-C.</w:t>
      </w:r>
      <w:r w:rsidR="006D54C2" w:rsidRPr="00504D41">
        <w:rPr>
          <w:noProof/>
          <w:szCs w:val="24"/>
          <w:vertAlign w:val="superscript"/>
        </w:rPr>
        <w:t>58</w:t>
      </w:r>
      <w:r w:rsidR="003424F2" w:rsidRPr="00504D41">
        <w:rPr>
          <w:szCs w:val="24"/>
        </w:rPr>
        <w:t xml:space="preserve">  (j) Bar Graph showing </w:t>
      </w:r>
      <w:r w:rsidR="009B414E" w:rsidRPr="00504D41">
        <w:rPr>
          <w:szCs w:val="24"/>
        </w:rPr>
        <w:t>AMF</w:t>
      </w:r>
      <w:r w:rsidR="003424F2" w:rsidRPr="00504D41">
        <w:rPr>
          <w:szCs w:val="24"/>
        </w:rPr>
        <w:t xml:space="preserve"> colonization rate in soil inoculated seeds – CP and seeds coated with </w:t>
      </w:r>
      <w:r w:rsidR="00A52FA1" w:rsidRPr="00504D41">
        <w:rPr>
          <w:szCs w:val="24"/>
        </w:rPr>
        <w:t>AMF</w:t>
      </w:r>
      <w:r w:rsidR="003424F2" w:rsidRPr="00504D41">
        <w:rPr>
          <w:szCs w:val="24"/>
        </w:rPr>
        <w:t xml:space="preserve"> loaded PEO nanofibers </w:t>
      </w:r>
      <w:r w:rsidR="00DF2968" w:rsidRPr="00504D41">
        <w:rPr>
          <w:szCs w:val="24"/>
        </w:rPr>
        <w:t>–</w:t>
      </w:r>
      <w:r w:rsidR="003424F2" w:rsidRPr="00504D41">
        <w:rPr>
          <w:szCs w:val="24"/>
        </w:rPr>
        <w:t xml:space="preserve"> SNM</w:t>
      </w:r>
      <w:r w:rsidR="00DF2968" w:rsidRPr="00504D41">
        <w:rPr>
          <w:szCs w:val="24"/>
        </w:rPr>
        <w:t>.</w:t>
      </w:r>
      <w:r w:rsidR="006D54C2" w:rsidRPr="00504D41">
        <w:rPr>
          <w:noProof/>
          <w:szCs w:val="24"/>
          <w:vertAlign w:val="superscript"/>
        </w:rPr>
        <w:t>59</w:t>
      </w:r>
      <w:r w:rsidR="003424F2" w:rsidRPr="00504D41">
        <w:rPr>
          <w:szCs w:val="24"/>
        </w:rPr>
        <w:t xml:space="preserve">  Nanofiber coatings contained 97% less inoculum dose per seed compared to tradition soil based inoculation. Adapted</w:t>
      </w:r>
      <w:r w:rsidR="00D6133A" w:rsidRPr="00504D41">
        <w:rPr>
          <w:szCs w:val="24"/>
        </w:rPr>
        <w:t xml:space="preserve"> with permission.</w:t>
      </w:r>
      <w:r w:rsidR="006D54C2" w:rsidRPr="00504D41">
        <w:rPr>
          <w:noProof/>
          <w:vertAlign w:val="superscript"/>
        </w:rPr>
        <w:t>58</w:t>
      </w:r>
      <w:r w:rsidR="003424F2" w:rsidRPr="00504D41">
        <w:rPr>
          <w:vertAlign w:val="superscript"/>
        </w:rPr>
        <w:t>,</w:t>
      </w:r>
      <w:r w:rsidR="006D54C2" w:rsidRPr="00504D41">
        <w:rPr>
          <w:noProof/>
          <w:vertAlign w:val="superscript"/>
        </w:rPr>
        <w:t>59</w:t>
      </w:r>
      <w:r w:rsidR="00DF2968" w:rsidRPr="00504D41">
        <w:rPr>
          <w:szCs w:val="24"/>
        </w:rPr>
        <w:t xml:space="preserve"> </w:t>
      </w:r>
      <w:r w:rsidR="003424F2" w:rsidRPr="00504D41">
        <w:rPr>
          <w:szCs w:val="24"/>
        </w:rPr>
        <w:t>Copyrights 2019, 2020 American Chemical Society. (k-l) Enhanced germination rates of Cu-loaded CA nanofiber coated (k) tomato and (l)</w:t>
      </w:r>
      <w:r w:rsidR="00A95C55" w:rsidRPr="00504D41">
        <w:rPr>
          <w:szCs w:val="24"/>
        </w:rPr>
        <w:t xml:space="preserve"> </w:t>
      </w:r>
      <w:r w:rsidR="003424F2" w:rsidRPr="00504D41">
        <w:rPr>
          <w:szCs w:val="24"/>
        </w:rPr>
        <w:t xml:space="preserve">lettuce seeds as compared to untreated controls in </w:t>
      </w:r>
      <w:r w:rsidR="003424F2" w:rsidRPr="00504D41">
        <w:rPr>
          <w:i/>
          <w:iCs/>
          <w:szCs w:val="24"/>
        </w:rPr>
        <w:t>Fusarium</w:t>
      </w:r>
      <w:r w:rsidR="003424F2" w:rsidRPr="00504D41">
        <w:rPr>
          <w:szCs w:val="24"/>
        </w:rPr>
        <w:t xml:space="preserve"> infected diseased soils. Adapted</w:t>
      </w:r>
      <w:r w:rsidR="00203793" w:rsidRPr="00504D41">
        <w:rPr>
          <w:szCs w:val="24"/>
        </w:rPr>
        <w:t xml:space="preserve"> with permission</w:t>
      </w:r>
      <w:r w:rsidR="00DF2968" w:rsidRPr="00504D41">
        <w:rPr>
          <w:szCs w:val="24"/>
        </w:rPr>
        <w:t>.</w:t>
      </w:r>
      <w:r w:rsidR="006D54C2" w:rsidRPr="00504D41">
        <w:rPr>
          <w:noProof/>
          <w:vertAlign w:val="superscript"/>
        </w:rPr>
        <w:t>105</w:t>
      </w:r>
      <w:r w:rsidR="003424F2" w:rsidRPr="00504D41">
        <w:rPr>
          <w:szCs w:val="24"/>
        </w:rPr>
        <w:t xml:space="preserve"> Copyright 2020 American Chemical Society</w:t>
      </w:r>
      <w:r w:rsidR="000103A1" w:rsidRPr="00504D41">
        <w:rPr>
          <w:szCs w:val="24"/>
        </w:rPr>
        <w:t xml:space="preserve"> </w:t>
      </w:r>
      <w:r w:rsidR="003424F2" w:rsidRPr="00504D41">
        <w:rPr>
          <w:szCs w:val="24"/>
        </w:rPr>
        <w:t>(m-n) Enhanced seedling (n)</w:t>
      </w:r>
      <w:r w:rsidR="00EC5D91" w:rsidRPr="00504D41">
        <w:rPr>
          <w:szCs w:val="24"/>
        </w:rPr>
        <w:t xml:space="preserve"> </w:t>
      </w:r>
      <w:r w:rsidR="003424F2" w:rsidRPr="00504D41">
        <w:rPr>
          <w:szCs w:val="24"/>
        </w:rPr>
        <w:t>germination and (m)</w:t>
      </w:r>
      <w:r w:rsidR="00EC5D91" w:rsidRPr="00504D41">
        <w:rPr>
          <w:szCs w:val="24"/>
        </w:rPr>
        <w:t xml:space="preserve"> </w:t>
      </w:r>
      <w:r w:rsidR="003424F2" w:rsidRPr="00504D41">
        <w:rPr>
          <w:szCs w:val="24"/>
        </w:rPr>
        <w:t xml:space="preserve">vigor index of </w:t>
      </w:r>
      <w:r w:rsidR="00A95C55" w:rsidRPr="00504D41">
        <w:rPr>
          <w:szCs w:val="24"/>
        </w:rPr>
        <w:t>hormone-</w:t>
      </w:r>
      <w:r w:rsidR="003424F2" w:rsidRPr="00504D41">
        <w:rPr>
          <w:szCs w:val="24"/>
        </w:rPr>
        <w:t>loaded PVA nanofibrous coated seeds at different water stress levels.</w:t>
      </w:r>
      <w:r w:rsidR="006F2356" w:rsidRPr="00504D41">
        <w:rPr>
          <w:szCs w:val="24"/>
        </w:rPr>
        <w:t xml:space="preserve"> </w:t>
      </w:r>
      <w:r w:rsidR="003424F2" w:rsidRPr="00504D41">
        <w:rPr>
          <w:szCs w:val="24"/>
        </w:rPr>
        <w:t>Reproduced with permission</w:t>
      </w:r>
      <w:r w:rsidR="006F2356" w:rsidRPr="00504D41">
        <w:rPr>
          <w:szCs w:val="24"/>
        </w:rPr>
        <w:t>.</w:t>
      </w:r>
      <w:r w:rsidR="006D54C2" w:rsidRPr="00504D41">
        <w:rPr>
          <w:noProof/>
          <w:vertAlign w:val="superscript"/>
        </w:rPr>
        <w:t>107</w:t>
      </w:r>
      <w:r w:rsidR="003424F2" w:rsidRPr="00504D41">
        <w:rPr>
          <w:szCs w:val="24"/>
        </w:rPr>
        <w:t xml:space="preserve"> Copyright Springer Nature 2020</w:t>
      </w:r>
      <w:r w:rsidR="00CA7444" w:rsidRPr="00504D41">
        <w:rPr>
          <w:szCs w:val="24"/>
        </w:rPr>
        <w:t>.</w:t>
      </w:r>
    </w:p>
    <w:p w14:paraId="0A577473" w14:textId="77777777" w:rsidR="00EA3953" w:rsidRPr="00504D41" w:rsidRDefault="00EA3953" w:rsidP="00EA3953">
      <w:pPr>
        <w:spacing w:line="360" w:lineRule="auto"/>
        <w:jc w:val="both"/>
        <w:rPr>
          <w:szCs w:val="24"/>
        </w:rPr>
      </w:pPr>
      <w:r w:rsidRPr="00504D41">
        <w:rPr>
          <w:szCs w:val="24"/>
        </w:rPr>
        <w:t xml:space="preserve">An environmental assessment of the proposed nanofibrous seed coatings requires an evaluation of the impacts of the polymer as well as the electrospinning parameters. The properties of the major electrospun polymers are discussed in </w:t>
      </w:r>
      <w:r w:rsidR="0027125C" w:rsidRPr="00504D41">
        <w:rPr>
          <w:szCs w:val="24"/>
        </w:rPr>
        <w:t xml:space="preserve">Table </w:t>
      </w:r>
      <w:r w:rsidR="00C65A70" w:rsidRPr="00504D41">
        <w:rPr>
          <w:szCs w:val="24"/>
        </w:rPr>
        <w:t xml:space="preserve">4 </w:t>
      </w:r>
      <w:r w:rsidRPr="00504D41">
        <w:rPr>
          <w:szCs w:val="24"/>
        </w:rPr>
        <w:t xml:space="preserve">Section </w:t>
      </w:r>
      <w:r w:rsidR="00C65A70" w:rsidRPr="00504D41">
        <w:rPr>
          <w:szCs w:val="24"/>
        </w:rPr>
        <w:t>6</w:t>
      </w:r>
      <w:r w:rsidRPr="00504D41">
        <w:rPr>
          <w:szCs w:val="24"/>
        </w:rPr>
        <w:t xml:space="preserve">. Addressing the operational parameters of typical electrospinning systems, </w:t>
      </w:r>
      <w:r w:rsidR="00A95C55" w:rsidRPr="00504D41">
        <w:rPr>
          <w:szCs w:val="24"/>
        </w:rPr>
        <w:t xml:space="preserve">the </w:t>
      </w:r>
      <w:r w:rsidRPr="00504D41">
        <w:rPr>
          <w:szCs w:val="24"/>
        </w:rPr>
        <w:t>use of high voltage conditions and halogenated organic solvents pose significant environmental and operational hazards and hence are barriers for large scale implementation of this otherwise feasible technique.</w:t>
      </w:r>
      <w:r w:rsidR="006D54C2" w:rsidRPr="00504D41">
        <w:rPr>
          <w:noProof/>
          <w:shd w:val="clear" w:color="auto" w:fill="FCFCFC"/>
          <w:vertAlign w:val="superscript"/>
        </w:rPr>
        <w:t>108</w:t>
      </w:r>
      <w:r w:rsidRPr="00504D41">
        <w:rPr>
          <w:szCs w:val="24"/>
        </w:rPr>
        <w:t xml:space="preserve"> GSK has developed a solvent guide allotting a color to commonly used solvents considering the safety (boiling point, flammability, reactivity) and health (exposure limits) and environmental (emissions, recycling, land and water impact) impacts.</w:t>
      </w:r>
      <w:r w:rsidRPr="00504D41">
        <w:rPr>
          <w:noProof/>
          <w:shd w:val="clear" w:color="auto" w:fill="FCFCFC"/>
          <w:vertAlign w:val="superscript"/>
        </w:rPr>
        <w:t xml:space="preserve"> </w:t>
      </w:r>
      <w:r w:rsidR="006D54C2" w:rsidRPr="00504D41">
        <w:rPr>
          <w:noProof/>
          <w:shd w:val="clear" w:color="auto" w:fill="FCFCFC"/>
          <w:vertAlign w:val="superscript"/>
        </w:rPr>
        <w:t>109</w:t>
      </w:r>
      <w:r w:rsidRPr="00504D41">
        <w:rPr>
          <w:szCs w:val="24"/>
        </w:rPr>
        <w:t xml:space="preserve"> A color rating of green indicates few </w:t>
      </w:r>
      <w:r w:rsidRPr="00504D41">
        <w:rPr>
          <w:szCs w:val="24"/>
        </w:rPr>
        <w:lastRenderedPageBreak/>
        <w:t>hazards, while amber and red denote some and major hazards respectively. Table 3 shows the classification of solvents used in the above discussed publications on electrospun fibrous seed coatings as per the GSK solvent guide. It is obvious that water appears the best solvent choice followed by acetic acid and acetone whereas DMAC, dichloromethane and chloroform are not suitable choices</w:t>
      </w:r>
      <w:r w:rsidR="00A95C55" w:rsidRPr="00504D41">
        <w:rPr>
          <w:szCs w:val="24"/>
        </w:rPr>
        <w:t>,</w:t>
      </w:r>
      <w:r w:rsidRPr="00504D41">
        <w:rPr>
          <w:szCs w:val="24"/>
        </w:rPr>
        <w:t xml:space="preserve"> particularly for agriculture usage. </w:t>
      </w:r>
    </w:p>
    <w:p w14:paraId="581B1640" w14:textId="77777777" w:rsidR="00C8552B" w:rsidRPr="00504D41" w:rsidRDefault="00C8552B" w:rsidP="00C8552B">
      <w:pPr>
        <w:pStyle w:val="Caption"/>
        <w:keepNext/>
        <w:rPr>
          <w:b/>
          <w:bCs/>
          <w:i w:val="0"/>
          <w:iCs w:val="0"/>
          <w:color w:val="auto"/>
          <w:sz w:val="24"/>
          <w:szCs w:val="24"/>
        </w:rPr>
      </w:pPr>
      <w:r w:rsidRPr="00504D41">
        <w:rPr>
          <w:b/>
          <w:bCs/>
          <w:i w:val="0"/>
          <w:iCs w:val="0"/>
          <w:color w:val="auto"/>
          <w:sz w:val="24"/>
          <w:szCs w:val="24"/>
        </w:rPr>
        <w:t xml:space="preserve">Table </w:t>
      </w:r>
      <w:r w:rsidRPr="00504D41">
        <w:rPr>
          <w:b/>
          <w:bCs/>
          <w:i w:val="0"/>
          <w:iCs w:val="0"/>
          <w:color w:val="auto"/>
          <w:sz w:val="24"/>
          <w:szCs w:val="24"/>
        </w:rPr>
        <w:fldChar w:fldCharType="begin"/>
      </w:r>
      <w:r w:rsidRPr="00504D41">
        <w:rPr>
          <w:b/>
          <w:bCs/>
          <w:i w:val="0"/>
          <w:iCs w:val="0"/>
          <w:color w:val="auto"/>
          <w:sz w:val="24"/>
          <w:szCs w:val="24"/>
        </w:rPr>
        <w:instrText xml:space="preserve"> SEQ Table \* ARABIC </w:instrText>
      </w:r>
      <w:r w:rsidRPr="00504D41">
        <w:rPr>
          <w:b/>
          <w:bCs/>
          <w:i w:val="0"/>
          <w:iCs w:val="0"/>
          <w:color w:val="auto"/>
          <w:sz w:val="24"/>
          <w:szCs w:val="24"/>
        </w:rPr>
        <w:fldChar w:fldCharType="separate"/>
      </w:r>
      <w:r w:rsidR="003D0A6B" w:rsidRPr="00504D41">
        <w:rPr>
          <w:b/>
          <w:bCs/>
          <w:i w:val="0"/>
          <w:iCs w:val="0"/>
          <w:noProof/>
          <w:color w:val="auto"/>
          <w:sz w:val="24"/>
          <w:szCs w:val="24"/>
        </w:rPr>
        <w:t>3</w:t>
      </w:r>
      <w:r w:rsidRPr="00504D41">
        <w:rPr>
          <w:b/>
          <w:bCs/>
          <w:i w:val="0"/>
          <w:iCs w:val="0"/>
          <w:color w:val="auto"/>
          <w:sz w:val="24"/>
          <w:szCs w:val="24"/>
        </w:rPr>
        <w:fldChar w:fldCharType="end"/>
      </w:r>
      <w:r w:rsidR="00897B4E" w:rsidRPr="00504D41">
        <w:rPr>
          <w:b/>
          <w:bCs/>
          <w:i w:val="0"/>
          <w:iCs w:val="0"/>
          <w:color w:val="auto"/>
          <w:sz w:val="24"/>
          <w:szCs w:val="24"/>
        </w:rPr>
        <w:t xml:space="preserve">. </w:t>
      </w:r>
      <w:r w:rsidR="0085722F" w:rsidRPr="00504D41">
        <w:rPr>
          <w:b/>
          <w:bCs/>
          <w:i w:val="0"/>
          <w:iCs w:val="0"/>
          <w:color w:val="auto"/>
          <w:sz w:val="24"/>
          <w:szCs w:val="24"/>
        </w:rPr>
        <w:t>Summary of electrospun polymer and p</w:t>
      </w:r>
      <w:r w:rsidR="00970E91" w:rsidRPr="00504D41">
        <w:rPr>
          <w:b/>
          <w:bCs/>
          <w:i w:val="0"/>
          <w:iCs w:val="0"/>
          <w:color w:val="auto"/>
          <w:sz w:val="24"/>
          <w:szCs w:val="24"/>
        </w:rPr>
        <w:t>arameters investigated as seed coatings</w:t>
      </w:r>
    </w:p>
    <w:tbl>
      <w:tblPr>
        <w:tblW w:w="5000" w:type="pct"/>
        <w:tblLook w:val="04A0" w:firstRow="1" w:lastRow="0" w:firstColumn="1" w:lastColumn="0" w:noHBand="0" w:noVBand="1"/>
      </w:tblPr>
      <w:tblGrid>
        <w:gridCol w:w="1839"/>
        <w:gridCol w:w="2532"/>
        <w:gridCol w:w="1982"/>
        <w:gridCol w:w="1720"/>
        <w:gridCol w:w="1503"/>
      </w:tblGrid>
      <w:tr w:rsidR="006D54C2" w:rsidRPr="00504D41" w14:paraId="4E1FBFC5" w14:textId="77777777" w:rsidTr="008A28E2">
        <w:trPr>
          <w:trHeight w:val="480"/>
        </w:trPr>
        <w:tc>
          <w:tcPr>
            <w:tcW w:w="960" w:type="pct"/>
            <w:tcBorders>
              <w:top w:val="single" w:sz="4" w:space="0" w:color="auto"/>
              <w:left w:val="single" w:sz="4" w:space="0" w:color="auto"/>
              <w:bottom w:val="single" w:sz="4" w:space="0" w:color="auto"/>
              <w:right w:val="single" w:sz="4" w:space="0" w:color="auto"/>
            </w:tcBorders>
            <w:vAlign w:val="center"/>
            <w:hideMark/>
          </w:tcPr>
          <w:p w14:paraId="2231711D" w14:textId="77777777" w:rsidR="00EA3953" w:rsidRPr="00504D41" w:rsidRDefault="00EA3953">
            <w:pPr>
              <w:spacing w:after="0" w:line="240" w:lineRule="auto"/>
              <w:jc w:val="center"/>
              <w:rPr>
                <w:rFonts w:ascii="Arial" w:eastAsia="Times New Roman" w:hAnsi="Arial" w:cs="Arial"/>
                <w:color w:val="000000"/>
                <w:sz w:val="20"/>
                <w:szCs w:val="20"/>
              </w:rPr>
            </w:pPr>
            <w:r w:rsidRPr="00504D41">
              <w:rPr>
                <w:rFonts w:ascii="Arial" w:eastAsia="Times New Roman" w:hAnsi="Arial" w:cs="Arial"/>
                <w:color w:val="000000"/>
                <w:sz w:val="20"/>
                <w:szCs w:val="20"/>
              </w:rPr>
              <w:t>Polymer</w:t>
            </w:r>
          </w:p>
        </w:tc>
        <w:tc>
          <w:tcPr>
            <w:tcW w:w="1322" w:type="pct"/>
            <w:tcBorders>
              <w:top w:val="single" w:sz="4" w:space="0" w:color="auto"/>
              <w:left w:val="nil"/>
              <w:bottom w:val="single" w:sz="4" w:space="0" w:color="auto"/>
              <w:right w:val="single" w:sz="4" w:space="0" w:color="auto"/>
            </w:tcBorders>
            <w:vAlign w:val="center"/>
            <w:hideMark/>
          </w:tcPr>
          <w:p w14:paraId="5DCD3389" w14:textId="77777777" w:rsidR="00EA3953" w:rsidRPr="00504D41" w:rsidRDefault="00EA3953">
            <w:pPr>
              <w:spacing w:after="0" w:line="240" w:lineRule="auto"/>
              <w:jc w:val="center"/>
              <w:rPr>
                <w:rFonts w:ascii="Arial" w:eastAsia="Times New Roman" w:hAnsi="Arial" w:cs="Arial"/>
                <w:color w:val="000000"/>
                <w:sz w:val="20"/>
                <w:szCs w:val="20"/>
              </w:rPr>
            </w:pPr>
            <w:r w:rsidRPr="00504D41">
              <w:rPr>
                <w:rFonts w:ascii="Arial" w:eastAsia="Times New Roman" w:hAnsi="Arial" w:cs="Arial"/>
                <w:color w:val="000000"/>
                <w:sz w:val="20"/>
                <w:szCs w:val="20"/>
              </w:rPr>
              <w:t>Solvent</w:t>
            </w:r>
          </w:p>
        </w:tc>
        <w:tc>
          <w:tcPr>
            <w:tcW w:w="1035" w:type="pct"/>
            <w:tcBorders>
              <w:top w:val="single" w:sz="4" w:space="0" w:color="auto"/>
              <w:left w:val="nil"/>
              <w:bottom w:val="single" w:sz="4" w:space="0" w:color="auto"/>
              <w:right w:val="single" w:sz="4" w:space="0" w:color="auto"/>
            </w:tcBorders>
            <w:vAlign w:val="center"/>
            <w:hideMark/>
          </w:tcPr>
          <w:p w14:paraId="243EEBFB" w14:textId="77777777" w:rsidR="00EA3953" w:rsidRPr="00504D41" w:rsidRDefault="00EA3953">
            <w:pPr>
              <w:spacing w:after="0" w:line="240" w:lineRule="auto"/>
              <w:jc w:val="center"/>
              <w:rPr>
                <w:rFonts w:ascii="Arial" w:eastAsia="Times New Roman" w:hAnsi="Arial" w:cs="Arial"/>
                <w:color w:val="000000"/>
                <w:sz w:val="20"/>
                <w:szCs w:val="20"/>
              </w:rPr>
            </w:pPr>
            <w:r w:rsidRPr="00504D41">
              <w:rPr>
                <w:rFonts w:ascii="Arial" w:eastAsia="Times New Roman" w:hAnsi="Arial" w:cs="Arial"/>
                <w:color w:val="000000"/>
                <w:sz w:val="20"/>
                <w:szCs w:val="20"/>
              </w:rPr>
              <w:t>GSK solvent rating</w:t>
            </w:r>
          </w:p>
        </w:tc>
        <w:tc>
          <w:tcPr>
            <w:tcW w:w="898" w:type="pct"/>
            <w:tcBorders>
              <w:top w:val="single" w:sz="4" w:space="0" w:color="auto"/>
              <w:left w:val="nil"/>
              <w:bottom w:val="single" w:sz="4" w:space="0" w:color="auto"/>
              <w:right w:val="single" w:sz="4" w:space="0" w:color="auto"/>
            </w:tcBorders>
            <w:vAlign w:val="center"/>
            <w:hideMark/>
          </w:tcPr>
          <w:p w14:paraId="1CEFD487" w14:textId="77777777" w:rsidR="00EA3953" w:rsidRPr="00504D41" w:rsidRDefault="00EA3953">
            <w:pPr>
              <w:spacing w:after="0" w:line="240" w:lineRule="auto"/>
              <w:jc w:val="center"/>
              <w:rPr>
                <w:rFonts w:ascii="Arial" w:eastAsia="Times New Roman" w:hAnsi="Arial" w:cs="Arial"/>
                <w:color w:val="000000"/>
                <w:sz w:val="20"/>
                <w:szCs w:val="20"/>
              </w:rPr>
            </w:pPr>
            <w:r w:rsidRPr="00504D41">
              <w:rPr>
                <w:rFonts w:ascii="Arial" w:eastAsia="Times New Roman" w:hAnsi="Arial" w:cs="Arial"/>
                <w:color w:val="000000"/>
                <w:sz w:val="20"/>
                <w:szCs w:val="20"/>
              </w:rPr>
              <w:t>Electrospinning voltage</w:t>
            </w:r>
          </w:p>
        </w:tc>
        <w:tc>
          <w:tcPr>
            <w:tcW w:w="785" w:type="pct"/>
            <w:tcBorders>
              <w:top w:val="single" w:sz="4" w:space="0" w:color="auto"/>
              <w:left w:val="nil"/>
              <w:bottom w:val="single" w:sz="4" w:space="0" w:color="auto"/>
              <w:right w:val="single" w:sz="4" w:space="0" w:color="auto"/>
            </w:tcBorders>
            <w:vAlign w:val="center"/>
            <w:hideMark/>
          </w:tcPr>
          <w:p w14:paraId="37B8F870" w14:textId="77777777" w:rsidR="00EA3953" w:rsidRPr="00504D41" w:rsidRDefault="00EA3953">
            <w:pPr>
              <w:spacing w:after="0" w:line="240" w:lineRule="auto"/>
              <w:jc w:val="center"/>
              <w:rPr>
                <w:rFonts w:ascii="Arial" w:eastAsia="Times New Roman" w:hAnsi="Arial" w:cs="Arial"/>
                <w:color w:val="000000"/>
                <w:sz w:val="20"/>
                <w:szCs w:val="20"/>
              </w:rPr>
            </w:pPr>
            <w:r w:rsidRPr="00504D41">
              <w:rPr>
                <w:rFonts w:ascii="Arial" w:eastAsia="Times New Roman" w:hAnsi="Arial" w:cs="Arial"/>
                <w:color w:val="000000"/>
                <w:sz w:val="20"/>
                <w:szCs w:val="20"/>
              </w:rPr>
              <w:t>Reference</w:t>
            </w:r>
          </w:p>
        </w:tc>
      </w:tr>
      <w:tr w:rsidR="006D54C2" w:rsidRPr="00504D41" w14:paraId="38497A3E" w14:textId="77777777" w:rsidTr="008A28E2">
        <w:trPr>
          <w:trHeight w:val="579"/>
        </w:trPr>
        <w:tc>
          <w:tcPr>
            <w:tcW w:w="960" w:type="pct"/>
            <w:tcBorders>
              <w:top w:val="nil"/>
              <w:left w:val="single" w:sz="4" w:space="0" w:color="auto"/>
              <w:bottom w:val="single" w:sz="4" w:space="0" w:color="auto"/>
              <w:right w:val="single" w:sz="4" w:space="0" w:color="auto"/>
            </w:tcBorders>
            <w:noWrap/>
            <w:vAlign w:val="center"/>
            <w:hideMark/>
          </w:tcPr>
          <w:p w14:paraId="330CD5AA" w14:textId="77777777" w:rsidR="00EA3953" w:rsidRPr="00504D41" w:rsidRDefault="00EA3953">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PVA</w:t>
            </w:r>
          </w:p>
        </w:tc>
        <w:tc>
          <w:tcPr>
            <w:tcW w:w="1322" w:type="pct"/>
            <w:tcBorders>
              <w:top w:val="nil"/>
              <w:left w:val="nil"/>
              <w:bottom w:val="single" w:sz="4" w:space="0" w:color="auto"/>
              <w:right w:val="single" w:sz="4" w:space="0" w:color="auto"/>
            </w:tcBorders>
            <w:vAlign w:val="center"/>
            <w:hideMark/>
          </w:tcPr>
          <w:p w14:paraId="0E6DA038" w14:textId="77777777" w:rsidR="00EA3953" w:rsidRPr="00504D41" w:rsidRDefault="00EA3953">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water</w:t>
            </w:r>
          </w:p>
        </w:tc>
        <w:tc>
          <w:tcPr>
            <w:tcW w:w="1035" w:type="pct"/>
            <w:tcBorders>
              <w:top w:val="nil"/>
              <w:left w:val="nil"/>
              <w:bottom w:val="single" w:sz="4" w:space="0" w:color="auto"/>
              <w:right w:val="single" w:sz="4" w:space="0" w:color="auto"/>
            </w:tcBorders>
            <w:vAlign w:val="center"/>
            <w:hideMark/>
          </w:tcPr>
          <w:p w14:paraId="1EA8466F" w14:textId="77777777" w:rsidR="00EA3953" w:rsidRPr="00504D41" w:rsidRDefault="00EA3953">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 xml:space="preserve">Green </w:t>
            </w:r>
          </w:p>
        </w:tc>
        <w:tc>
          <w:tcPr>
            <w:tcW w:w="898" w:type="pct"/>
            <w:tcBorders>
              <w:top w:val="nil"/>
              <w:left w:val="nil"/>
              <w:bottom w:val="single" w:sz="4" w:space="0" w:color="auto"/>
              <w:right w:val="single" w:sz="4" w:space="0" w:color="auto"/>
            </w:tcBorders>
            <w:noWrap/>
            <w:vAlign w:val="center"/>
            <w:hideMark/>
          </w:tcPr>
          <w:p w14:paraId="38A2CBBE" w14:textId="77777777" w:rsidR="00EA3953" w:rsidRPr="00504D41" w:rsidRDefault="00EA3953">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22 kV</w:t>
            </w:r>
          </w:p>
        </w:tc>
        <w:tc>
          <w:tcPr>
            <w:tcW w:w="785" w:type="pct"/>
            <w:tcBorders>
              <w:top w:val="nil"/>
              <w:left w:val="nil"/>
              <w:bottom w:val="single" w:sz="4" w:space="0" w:color="auto"/>
              <w:right w:val="single" w:sz="4" w:space="0" w:color="auto"/>
            </w:tcBorders>
            <w:noWrap/>
            <w:vAlign w:val="center"/>
            <w:hideMark/>
          </w:tcPr>
          <w:p w14:paraId="586F136F" w14:textId="77777777" w:rsidR="00EA3953" w:rsidRPr="00504D41" w:rsidRDefault="006D54C2" w:rsidP="006D54C2">
            <w:pPr>
              <w:spacing w:after="0" w:line="240" w:lineRule="auto"/>
              <w:jc w:val="center"/>
              <w:rPr>
                <w:rFonts w:ascii="Arial" w:eastAsia="Times New Roman" w:hAnsi="Arial" w:cs="Arial"/>
                <w:color w:val="000000"/>
                <w:sz w:val="20"/>
                <w:szCs w:val="20"/>
              </w:rPr>
            </w:pPr>
            <w:r w:rsidRPr="00504D41">
              <w:rPr>
                <w:rFonts w:ascii="Arial" w:hAnsi="Arial" w:cs="Arial"/>
                <w:noProof/>
                <w:sz w:val="20"/>
                <w:szCs w:val="20"/>
                <w:shd w:val="clear" w:color="auto" w:fill="FFFFFF"/>
                <w:vertAlign w:val="superscript"/>
              </w:rPr>
              <w:t>101</w:t>
            </w:r>
            <w:r w:rsidR="00EA3953" w:rsidRPr="00504D41">
              <w:rPr>
                <w:rFonts w:ascii="Arial" w:hAnsi="Arial" w:cs="Arial"/>
                <w:sz w:val="20"/>
                <w:szCs w:val="20"/>
                <w:shd w:val="clear" w:color="auto" w:fill="FFFFFF"/>
              </w:rPr>
              <w:t xml:space="preserve"> </w:t>
            </w:r>
            <w:r w:rsidRPr="00504D41">
              <w:rPr>
                <w:rFonts w:ascii="Arial" w:hAnsi="Arial" w:cs="Arial"/>
                <w:noProof/>
                <w:sz w:val="20"/>
                <w:szCs w:val="20"/>
                <w:shd w:val="clear" w:color="auto" w:fill="FFFFFF"/>
                <w:vertAlign w:val="superscript"/>
              </w:rPr>
              <w:t>107</w:t>
            </w:r>
          </w:p>
        </w:tc>
      </w:tr>
      <w:tr w:rsidR="006D54C2" w:rsidRPr="00504D41" w14:paraId="60A55732" w14:textId="77777777" w:rsidTr="008A28E2">
        <w:trPr>
          <w:trHeight w:val="744"/>
        </w:trPr>
        <w:tc>
          <w:tcPr>
            <w:tcW w:w="960" w:type="pct"/>
            <w:tcBorders>
              <w:top w:val="nil"/>
              <w:left w:val="single" w:sz="4" w:space="0" w:color="auto"/>
              <w:bottom w:val="single" w:sz="4" w:space="0" w:color="auto"/>
              <w:right w:val="single" w:sz="4" w:space="0" w:color="auto"/>
            </w:tcBorders>
            <w:noWrap/>
            <w:vAlign w:val="center"/>
            <w:hideMark/>
          </w:tcPr>
          <w:p w14:paraId="75E36C18" w14:textId="77777777" w:rsidR="00EA3953" w:rsidRPr="00504D41" w:rsidRDefault="00EA3953">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Ethyl cellulose</w:t>
            </w:r>
          </w:p>
        </w:tc>
        <w:tc>
          <w:tcPr>
            <w:tcW w:w="1322" w:type="pct"/>
            <w:tcBorders>
              <w:top w:val="nil"/>
              <w:left w:val="nil"/>
              <w:bottom w:val="single" w:sz="4" w:space="0" w:color="auto"/>
              <w:right w:val="single" w:sz="4" w:space="0" w:color="auto"/>
            </w:tcBorders>
            <w:vAlign w:val="center"/>
            <w:hideMark/>
          </w:tcPr>
          <w:p w14:paraId="30B6D12D" w14:textId="77777777" w:rsidR="00EA3953" w:rsidRPr="00504D41" w:rsidRDefault="00EA3953">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dichloromethane,</w:t>
            </w:r>
            <w:r w:rsidRPr="00504D41">
              <w:rPr>
                <w:rFonts w:ascii="Arial" w:eastAsia="Times New Roman" w:hAnsi="Arial" w:cs="Arial"/>
                <w:color w:val="000000"/>
                <w:sz w:val="20"/>
                <w:szCs w:val="20"/>
              </w:rPr>
              <w:br/>
              <w:t xml:space="preserve">ethanol, N,N-dimethyl formamide </w:t>
            </w:r>
          </w:p>
        </w:tc>
        <w:tc>
          <w:tcPr>
            <w:tcW w:w="1035" w:type="pct"/>
            <w:tcBorders>
              <w:top w:val="nil"/>
              <w:left w:val="nil"/>
              <w:bottom w:val="single" w:sz="4" w:space="0" w:color="auto"/>
              <w:right w:val="single" w:sz="4" w:space="0" w:color="auto"/>
            </w:tcBorders>
            <w:vAlign w:val="center"/>
            <w:hideMark/>
          </w:tcPr>
          <w:p w14:paraId="708379F2" w14:textId="77777777" w:rsidR="00EA3953" w:rsidRPr="00504D41" w:rsidRDefault="00EA3953">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Red</w:t>
            </w:r>
          </w:p>
        </w:tc>
        <w:tc>
          <w:tcPr>
            <w:tcW w:w="898" w:type="pct"/>
            <w:tcBorders>
              <w:top w:val="nil"/>
              <w:left w:val="nil"/>
              <w:bottom w:val="single" w:sz="4" w:space="0" w:color="auto"/>
              <w:right w:val="single" w:sz="4" w:space="0" w:color="auto"/>
            </w:tcBorders>
            <w:noWrap/>
            <w:vAlign w:val="center"/>
            <w:hideMark/>
          </w:tcPr>
          <w:p w14:paraId="7EEA2781" w14:textId="77777777" w:rsidR="00EA3953" w:rsidRPr="00504D41" w:rsidRDefault="00EA3953">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30 kV</w:t>
            </w:r>
          </w:p>
        </w:tc>
        <w:tc>
          <w:tcPr>
            <w:tcW w:w="785" w:type="pct"/>
            <w:tcBorders>
              <w:top w:val="nil"/>
              <w:left w:val="nil"/>
              <w:bottom w:val="single" w:sz="4" w:space="0" w:color="auto"/>
              <w:right w:val="single" w:sz="4" w:space="0" w:color="auto"/>
            </w:tcBorders>
            <w:noWrap/>
            <w:vAlign w:val="center"/>
            <w:hideMark/>
          </w:tcPr>
          <w:p w14:paraId="77FA83F5" w14:textId="77777777" w:rsidR="00EA3953" w:rsidRPr="00504D41" w:rsidRDefault="006D54C2" w:rsidP="006D54C2">
            <w:pPr>
              <w:spacing w:after="0" w:line="240" w:lineRule="auto"/>
              <w:jc w:val="center"/>
              <w:rPr>
                <w:rFonts w:ascii="Arial" w:eastAsia="Times New Roman" w:hAnsi="Arial" w:cs="Arial"/>
                <w:color w:val="000000"/>
                <w:sz w:val="20"/>
                <w:szCs w:val="20"/>
              </w:rPr>
            </w:pPr>
            <w:r w:rsidRPr="00504D41">
              <w:rPr>
                <w:rFonts w:ascii="Arial" w:hAnsi="Arial" w:cs="Arial"/>
                <w:noProof/>
                <w:sz w:val="20"/>
                <w:szCs w:val="20"/>
                <w:vertAlign w:val="superscript"/>
              </w:rPr>
              <w:t>102</w:t>
            </w:r>
          </w:p>
        </w:tc>
      </w:tr>
      <w:tr w:rsidR="006D54C2" w:rsidRPr="00504D41" w14:paraId="432C10DD" w14:textId="77777777" w:rsidTr="008A28E2">
        <w:trPr>
          <w:trHeight w:val="579"/>
        </w:trPr>
        <w:tc>
          <w:tcPr>
            <w:tcW w:w="960" w:type="pct"/>
            <w:tcBorders>
              <w:top w:val="nil"/>
              <w:left w:val="single" w:sz="4" w:space="0" w:color="auto"/>
              <w:bottom w:val="single" w:sz="4" w:space="0" w:color="auto"/>
              <w:right w:val="single" w:sz="4" w:space="0" w:color="auto"/>
            </w:tcBorders>
            <w:noWrap/>
            <w:vAlign w:val="center"/>
            <w:hideMark/>
          </w:tcPr>
          <w:p w14:paraId="420F097B" w14:textId="77777777" w:rsidR="00EA3953" w:rsidRPr="00504D41" w:rsidRDefault="00EA3953">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 xml:space="preserve">PVP + PPZ </w:t>
            </w:r>
          </w:p>
        </w:tc>
        <w:tc>
          <w:tcPr>
            <w:tcW w:w="1322" w:type="pct"/>
            <w:tcBorders>
              <w:top w:val="nil"/>
              <w:left w:val="nil"/>
              <w:bottom w:val="single" w:sz="4" w:space="0" w:color="auto"/>
              <w:right w:val="single" w:sz="4" w:space="0" w:color="auto"/>
            </w:tcBorders>
            <w:vAlign w:val="center"/>
            <w:hideMark/>
          </w:tcPr>
          <w:p w14:paraId="55EB983D" w14:textId="77777777" w:rsidR="00EA3953" w:rsidRPr="00504D41" w:rsidRDefault="00EA3953">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 chloroform/ethanol (4 : 1)</w:t>
            </w:r>
          </w:p>
        </w:tc>
        <w:tc>
          <w:tcPr>
            <w:tcW w:w="1035" w:type="pct"/>
            <w:tcBorders>
              <w:top w:val="nil"/>
              <w:left w:val="nil"/>
              <w:bottom w:val="single" w:sz="4" w:space="0" w:color="auto"/>
              <w:right w:val="single" w:sz="4" w:space="0" w:color="auto"/>
            </w:tcBorders>
            <w:vAlign w:val="center"/>
            <w:hideMark/>
          </w:tcPr>
          <w:p w14:paraId="4A3C2CDC" w14:textId="77777777" w:rsidR="00EA3953" w:rsidRPr="00504D41" w:rsidRDefault="00EA3953">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Red</w:t>
            </w:r>
          </w:p>
        </w:tc>
        <w:tc>
          <w:tcPr>
            <w:tcW w:w="898" w:type="pct"/>
            <w:tcBorders>
              <w:top w:val="nil"/>
              <w:left w:val="nil"/>
              <w:bottom w:val="single" w:sz="4" w:space="0" w:color="auto"/>
              <w:right w:val="single" w:sz="4" w:space="0" w:color="auto"/>
            </w:tcBorders>
            <w:noWrap/>
            <w:vAlign w:val="center"/>
            <w:hideMark/>
          </w:tcPr>
          <w:p w14:paraId="0191BF74" w14:textId="77777777" w:rsidR="00EA3953" w:rsidRPr="00504D41" w:rsidRDefault="00EA3953">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30-16 kV</w:t>
            </w:r>
          </w:p>
        </w:tc>
        <w:tc>
          <w:tcPr>
            <w:tcW w:w="785" w:type="pct"/>
            <w:tcBorders>
              <w:top w:val="nil"/>
              <w:left w:val="nil"/>
              <w:bottom w:val="single" w:sz="4" w:space="0" w:color="auto"/>
              <w:right w:val="single" w:sz="4" w:space="0" w:color="auto"/>
            </w:tcBorders>
            <w:noWrap/>
            <w:vAlign w:val="center"/>
            <w:hideMark/>
          </w:tcPr>
          <w:p w14:paraId="4F6A7C36" w14:textId="77777777" w:rsidR="00EA3953" w:rsidRPr="00504D41" w:rsidRDefault="006D54C2" w:rsidP="006D54C2">
            <w:pPr>
              <w:spacing w:after="0" w:line="240" w:lineRule="auto"/>
              <w:jc w:val="center"/>
              <w:rPr>
                <w:rFonts w:ascii="Arial" w:eastAsia="Times New Roman" w:hAnsi="Arial" w:cs="Arial"/>
                <w:color w:val="000000"/>
                <w:sz w:val="20"/>
                <w:szCs w:val="20"/>
              </w:rPr>
            </w:pPr>
            <w:r w:rsidRPr="00504D41">
              <w:rPr>
                <w:rFonts w:ascii="Arial" w:hAnsi="Arial" w:cs="Arial"/>
                <w:noProof/>
                <w:sz w:val="20"/>
                <w:szCs w:val="20"/>
                <w:shd w:val="clear" w:color="auto" w:fill="FFFFFF"/>
                <w:vertAlign w:val="superscript"/>
              </w:rPr>
              <w:t>104</w:t>
            </w:r>
          </w:p>
        </w:tc>
      </w:tr>
      <w:tr w:rsidR="006D54C2" w:rsidRPr="00504D41" w14:paraId="2DF33D5D" w14:textId="77777777" w:rsidTr="008A28E2">
        <w:trPr>
          <w:trHeight w:val="579"/>
        </w:trPr>
        <w:tc>
          <w:tcPr>
            <w:tcW w:w="960" w:type="pct"/>
            <w:tcBorders>
              <w:top w:val="nil"/>
              <w:left w:val="single" w:sz="4" w:space="0" w:color="auto"/>
              <w:bottom w:val="single" w:sz="4" w:space="0" w:color="auto"/>
              <w:right w:val="single" w:sz="4" w:space="0" w:color="auto"/>
            </w:tcBorders>
            <w:noWrap/>
            <w:vAlign w:val="center"/>
            <w:hideMark/>
          </w:tcPr>
          <w:p w14:paraId="0C8FCD26" w14:textId="77777777" w:rsidR="00EA3953" w:rsidRPr="00504D41" w:rsidRDefault="00EA3953">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CDA</w:t>
            </w:r>
          </w:p>
        </w:tc>
        <w:tc>
          <w:tcPr>
            <w:tcW w:w="1322" w:type="pct"/>
            <w:tcBorders>
              <w:top w:val="nil"/>
              <w:left w:val="nil"/>
              <w:bottom w:val="single" w:sz="4" w:space="0" w:color="auto"/>
              <w:right w:val="single" w:sz="4" w:space="0" w:color="auto"/>
            </w:tcBorders>
            <w:vAlign w:val="center"/>
            <w:hideMark/>
          </w:tcPr>
          <w:p w14:paraId="03BDDCA3" w14:textId="77777777" w:rsidR="00EA3953" w:rsidRPr="00504D41" w:rsidRDefault="00EA3953">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acetone  (Ac),  dimethyl acetamide (DMAc) (2:1)</w:t>
            </w:r>
          </w:p>
        </w:tc>
        <w:tc>
          <w:tcPr>
            <w:tcW w:w="1035" w:type="pct"/>
            <w:tcBorders>
              <w:top w:val="nil"/>
              <w:left w:val="nil"/>
              <w:bottom w:val="single" w:sz="4" w:space="0" w:color="auto"/>
              <w:right w:val="single" w:sz="4" w:space="0" w:color="auto"/>
            </w:tcBorders>
            <w:vAlign w:val="center"/>
            <w:hideMark/>
          </w:tcPr>
          <w:p w14:paraId="25C604AD" w14:textId="77777777" w:rsidR="00EA3953" w:rsidRPr="00504D41" w:rsidRDefault="00EA3953">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Yellow, Red</w:t>
            </w:r>
          </w:p>
        </w:tc>
        <w:tc>
          <w:tcPr>
            <w:tcW w:w="898" w:type="pct"/>
            <w:tcBorders>
              <w:top w:val="nil"/>
              <w:left w:val="nil"/>
              <w:bottom w:val="single" w:sz="4" w:space="0" w:color="auto"/>
              <w:right w:val="single" w:sz="4" w:space="0" w:color="auto"/>
            </w:tcBorders>
            <w:noWrap/>
            <w:vAlign w:val="center"/>
            <w:hideMark/>
          </w:tcPr>
          <w:p w14:paraId="38AE21D0" w14:textId="77777777" w:rsidR="00EA3953" w:rsidRPr="00504D41" w:rsidRDefault="00EA3953">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12.5 kV</w:t>
            </w:r>
          </w:p>
        </w:tc>
        <w:tc>
          <w:tcPr>
            <w:tcW w:w="785" w:type="pct"/>
            <w:tcBorders>
              <w:top w:val="nil"/>
              <w:left w:val="nil"/>
              <w:bottom w:val="single" w:sz="4" w:space="0" w:color="auto"/>
              <w:right w:val="single" w:sz="4" w:space="0" w:color="auto"/>
            </w:tcBorders>
            <w:noWrap/>
            <w:vAlign w:val="center"/>
            <w:hideMark/>
          </w:tcPr>
          <w:p w14:paraId="0B53EE8D" w14:textId="77777777" w:rsidR="00EA3953" w:rsidRPr="00504D41" w:rsidRDefault="006D54C2" w:rsidP="006D54C2">
            <w:pPr>
              <w:spacing w:after="0" w:line="240" w:lineRule="auto"/>
              <w:jc w:val="center"/>
              <w:rPr>
                <w:rFonts w:ascii="Arial" w:eastAsia="Times New Roman" w:hAnsi="Arial" w:cs="Arial"/>
                <w:color w:val="000000"/>
                <w:sz w:val="20"/>
                <w:szCs w:val="20"/>
              </w:rPr>
            </w:pPr>
            <w:r w:rsidRPr="00504D41">
              <w:rPr>
                <w:rFonts w:ascii="Arial" w:hAnsi="Arial" w:cs="Arial"/>
                <w:noProof/>
                <w:sz w:val="20"/>
                <w:szCs w:val="20"/>
                <w:shd w:val="clear" w:color="auto" w:fill="FFFFFF"/>
                <w:vertAlign w:val="superscript"/>
              </w:rPr>
              <w:t>106</w:t>
            </w:r>
          </w:p>
        </w:tc>
      </w:tr>
      <w:tr w:rsidR="006D54C2" w:rsidRPr="00504D41" w14:paraId="33DB081B" w14:textId="77777777" w:rsidTr="008A28E2">
        <w:trPr>
          <w:trHeight w:val="579"/>
        </w:trPr>
        <w:tc>
          <w:tcPr>
            <w:tcW w:w="960" w:type="pct"/>
            <w:tcBorders>
              <w:top w:val="nil"/>
              <w:left w:val="single" w:sz="4" w:space="0" w:color="auto"/>
              <w:bottom w:val="single" w:sz="4" w:space="0" w:color="auto"/>
              <w:right w:val="single" w:sz="4" w:space="0" w:color="auto"/>
            </w:tcBorders>
            <w:noWrap/>
            <w:vAlign w:val="center"/>
            <w:hideMark/>
          </w:tcPr>
          <w:p w14:paraId="6785DDB8" w14:textId="77777777" w:rsidR="00EA3953" w:rsidRPr="00504D41" w:rsidRDefault="00EA3953">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PVA+PVP blend</w:t>
            </w:r>
          </w:p>
        </w:tc>
        <w:tc>
          <w:tcPr>
            <w:tcW w:w="1322" w:type="pct"/>
            <w:tcBorders>
              <w:top w:val="nil"/>
              <w:left w:val="nil"/>
              <w:bottom w:val="single" w:sz="4" w:space="0" w:color="auto"/>
              <w:right w:val="single" w:sz="4" w:space="0" w:color="auto"/>
            </w:tcBorders>
            <w:vAlign w:val="center"/>
            <w:hideMark/>
          </w:tcPr>
          <w:p w14:paraId="1597B9E2" w14:textId="77777777" w:rsidR="00EA3953" w:rsidRPr="00504D41" w:rsidRDefault="00EA3953">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water, glycerol as plasticizer</w:t>
            </w:r>
          </w:p>
        </w:tc>
        <w:tc>
          <w:tcPr>
            <w:tcW w:w="1035" w:type="pct"/>
            <w:tcBorders>
              <w:top w:val="nil"/>
              <w:left w:val="nil"/>
              <w:bottom w:val="single" w:sz="4" w:space="0" w:color="auto"/>
              <w:right w:val="single" w:sz="4" w:space="0" w:color="auto"/>
            </w:tcBorders>
            <w:vAlign w:val="center"/>
            <w:hideMark/>
          </w:tcPr>
          <w:p w14:paraId="78C2C500" w14:textId="77777777" w:rsidR="00EA3953" w:rsidRPr="00504D41" w:rsidRDefault="00EA3953">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Green</w:t>
            </w:r>
          </w:p>
        </w:tc>
        <w:tc>
          <w:tcPr>
            <w:tcW w:w="898" w:type="pct"/>
            <w:tcBorders>
              <w:top w:val="nil"/>
              <w:left w:val="nil"/>
              <w:bottom w:val="single" w:sz="4" w:space="0" w:color="auto"/>
              <w:right w:val="single" w:sz="4" w:space="0" w:color="auto"/>
            </w:tcBorders>
            <w:noWrap/>
            <w:vAlign w:val="center"/>
            <w:hideMark/>
          </w:tcPr>
          <w:p w14:paraId="630C9027" w14:textId="77777777" w:rsidR="00EA3953" w:rsidRPr="00504D41" w:rsidRDefault="00EA3953">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17 ± 1 kV</w:t>
            </w:r>
          </w:p>
        </w:tc>
        <w:tc>
          <w:tcPr>
            <w:tcW w:w="785" w:type="pct"/>
            <w:tcBorders>
              <w:top w:val="nil"/>
              <w:left w:val="nil"/>
              <w:bottom w:val="single" w:sz="4" w:space="0" w:color="auto"/>
              <w:right w:val="single" w:sz="4" w:space="0" w:color="auto"/>
            </w:tcBorders>
            <w:noWrap/>
            <w:vAlign w:val="center"/>
            <w:hideMark/>
          </w:tcPr>
          <w:p w14:paraId="74030B72" w14:textId="77777777" w:rsidR="00EA3953" w:rsidRPr="00504D41" w:rsidRDefault="006D54C2" w:rsidP="006D54C2">
            <w:pPr>
              <w:spacing w:after="0" w:line="240" w:lineRule="auto"/>
              <w:jc w:val="center"/>
              <w:rPr>
                <w:rFonts w:ascii="Arial" w:eastAsia="Times New Roman" w:hAnsi="Arial" w:cs="Arial"/>
                <w:color w:val="000000"/>
                <w:sz w:val="20"/>
                <w:szCs w:val="20"/>
              </w:rPr>
            </w:pPr>
            <w:r w:rsidRPr="00504D41">
              <w:rPr>
                <w:rFonts w:ascii="Arial" w:hAnsi="Arial" w:cs="Arial"/>
                <w:noProof/>
                <w:sz w:val="20"/>
                <w:szCs w:val="20"/>
                <w:shd w:val="clear" w:color="auto" w:fill="FFFFFF"/>
                <w:vertAlign w:val="superscript"/>
              </w:rPr>
              <w:t>58</w:t>
            </w:r>
          </w:p>
        </w:tc>
      </w:tr>
      <w:tr w:rsidR="006D54C2" w:rsidRPr="00504D41" w14:paraId="171DB25D" w14:textId="77777777" w:rsidTr="008A28E2">
        <w:trPr>
          <w:trHeight w:val="579"/>
        </w:trPr>
        <w:tc>
          <w:tcPr>
            <w:tcW w:w="960" w:type="pct"/>
            <w:tcBorders>
              <w:top w:val="nil"/>
              <w:left w:val="single" w:sz="4" w:space="0" w:color="auto"/>
              <w:bottom w:val="single" w:sz="4" w:space="0" w:color="auto"/>
              <w:right w:val="single" w:sz="4" w:space="0" w:color="auto"/>
            </w:tcBorders>
            <w:noWrap/>
            <w:vAlign w:val="center"/>
            <w:hideMark/>
          </w:tcPr>
          <w:p w14:paraId="74D2B8AA" w14:textId="77777777" w:rsidR="00EA3953" w:rsidRPr="00504D41" w:rsidRDefault="00EA3953">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CA + gelatin</w:t>
            </w:r>
          </w:p>
        </w:tc>
        <w:tc>
          <w:tcPr>
            <w:tcW w:w="1322" w:type="pct"/>
            <w:tcBorders>
              <w:top w:val="nil"/>
              <w:left w:val="nil"/>
              <w:bottom w:val="single" w:sz="4" w:space="0" w:color="auto"/>
              <w:right w:val="single" w:sz="4" w:space="0" w:color="auto"/>
            </w:tcBorders>
            <w:vAlign w:val="center"/>
            <w:hideMark/>
          </w:tcPr>
          <w:p w14:paraId="53034F30" w14:textId="77777777" w:rsidR="00EA3953" w:rsidRPr="00504D41" w:rsidRDefault="00EA3953">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acetic acid/water (3:1)</w:t>
            </w:r>
          </w:p>
        </w:tc>
        <w:tc>
          <w:tcPr>
            <w:tcW w:w="1035" w:type="pct"/>
            <w:tcBorders>
              <w:top w:val="nil"/>
              <w:left w:val="nil"/>
              <w:bottom w:val="single" w:sz="4" w:space="0" w:color="auto"/>
              <w:right w:val="single" w:sz="4" w:space="0" w:color="auto"/>
            </w:tcBorders>
            <w:vAlign w:val="center"/>
            <w:hideMark/>
          </w:tcPr>
          <w:p w14:paraId="4101C0F9" w14:textId="77777777" w:rsidR="00EA3953" w:rsidRPr="00504D41" w:rsidRDefault="00EA3953">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Amber</w:t>
            </w:r>
          </w:p>
        </w:tc>
        <w:tc>
          <w:tcPr>
            <w:tcW w:w="898" w:type="pct"/>
            <w:tcBorders>
              <w:top w:val="nil"/>
              <w:left w:val="nil"/>
              <w:bottom w:val="single" w:sz="4" w:space="0" w:color="auto"/>
              <w:right w:val="single" w:sz="4" w:space="0" w:color="auto"/>
            </w:tcBorders>
            <w:noWrap/>
            <w:vAlign w:val="center"/>
            <w:hideMark/>
          </w:tcPr>
          <w:p w14:paraId="7B54F6CE" w14:textId="77777777" w:rsidR="00EA3953" w:rsidRPr="00504D41" w:rsidRDefault="00EA3953">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18 kV</w:t>
            </w:r>
          </w:p>
        </w:tc>
        <w:tc>
          <w:tcPr>
            <w:tcW w:w="785" w:type="pct"/>
            <w:tcBorders>
              <w:top w:val="nil"/>
              <w:left w:val="nil"/>
              <w:bottom w:val="single" w:sz="4" w:space="0" w:color="auto"/>
              <w:right w:val="single" w:sz="4" w:space="0" w:color="auto"/>
            </w:tcBorders>
            <w:noWrap/>
            <w:vAlign w:val="center"/>
            <w:hideMark/>
          </w:tcPr>
          <w:p w14:paraId="058D41B0" w14:textId="77777777" w:rsidR="00EA3953" w:rsidRPr="00504D41" w:rsidRDefault="006D54C2" w:rsidP="006D54C2">
            <w:pPr>
              <w:spacing w:after="0" w:line="240" w:lineRule="auto"/>
              <w:jc w:val="center"/>
              <w:rPr>
                <w:rFonts w:ascii="Arial" w:eastAsia="Times New Roman" w:hAnsi="Arial" w:cs="Arial"/>
                <w:color w:val="000000"/>
                <w:sz w:val="20"/>
                <w:szCs w:val="20"/>
              </w:rPr>
            </w:pPr>
            <w:r w:rsidRPr="00504D41">
              <w:rPr>
                <w:rFonts w:ascii="Arial" w:hAnsi="Arial" w:cs="Arial"/>
                <w:noProof/>
                <w:sz w:val="20"/>
                <w:szCs w:val="20"/>
                <w:shd w:val="clear" w:color="auto" w:fill="FFFFFF"/>
                <w:vertAlign w:val="superscript"/>
              </w:rPr>
              <w:t>105</w:t>
            </w:r>
          </w:p>
        </w:tc>
      </w:tr>
      <w:tr w:rsidR="006D54C2" w:rsidRPr="00504D41" w14:paraId="2C3CE69D" w14:textId="77777777" w:rsidTr="008A28E2">
        <w:trPr>
          <w:trHeight w:val="579"/>
        </w:trPr>
        <w:tc>
          <w:tcPr>
            <w:tcW w:w="960" w:type="pct"/>
            <w:tcBorders>
              <w:top w:val="nil"/>
              <w:left w:val="single" w:sz="4" w:space="0" w:color="auto"/>
              <w:bottom w:val="single" w:sz="4" w:space="0" w:color="auto"/>
              <w:right w:val="single" w:sz="4" w:space="0" w:color="auto"/>
            </w:tcBorders>
            <w:noWrap/>
            <w:vAlign w:val="center"/>
            <w:hideMark/>
          </w:tcPr>
          <w:p w14:paraId="695060D1" w14:textId="77777777" w:rsidR="00EA3953" w:rsidRPr="00504D41" w:rsidRDefault="00EA3953">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PEO</w:t>
            </w:r>
          </w:p>
        </w:tc>
        <w:tc>
          <w:tcPr>
            <w:tcW w:w="1322" w:type="pct"/>
            <w:tcBorders>
              <w:top w:val="nil"/>
              <w:left w:val="nil"/>
              <w:bottom w:val="single" w:sz="4" w:space="0" w:color="auto"/>
              <w:right w:val="single" w:sz="4" w:space="0" w:color="auto"/>
            </w:tcBorders>
            <w:vAlign w:val="center"/>
            <w:hideMark/>
          </w:tcPr>
          <w:p w14:paraId="4B9F1342" w14:textId="77777777" w:rsidR="00EA3953" w:rsidRPr="00504D41" w:rsidRDefault="00EA3953">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water</w:t>
            </w:r>
          </w:p>
        </w:tc>
        <w:tc>
          <w:tcPr>
            <w:tcW w:w="1035" w:type="pct"/>
            <w:tcBorders>
              <w:top w:val="nil"/>
              <w:left w:val="nil"/>
              <w:bottom w:val="single" w:sz="4" w:space="0" w:color="auto"/>
              <w:right w:val="single" w:sz="4" w:space="0" w:color="auto"/>
            </w:tcBorders>
            <w:vAlign w:val="center"/>
            <w:hideMark/>
          </w:tcPr>
          <w:p w14:paraId="30B2A2F2" w14:textId="77777777" w:rsidR="00EA3953" w:rsidRPr="00504D41" w:rsidRDefault="00EA3953">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Green</w:t>
            </w:r>
          </w:p>
        </w:tc>
        <w:tc>
          <w:tcPr>
            <w:tcW w:w="898" w:type="pct"/>
            <w:tcBorders>
              <w:top w:val="nil"/>
              <w:left w:val="nil"/>
              <w:bottom w:val="single" w:sz="4" w:space="0" w:color="auto"/>
              <w:right w:val="single" w:sz="4" w:space="0" w:color="auto"/>
            </w:tcBorders>
            <w:noWrap/>
            <w:vAlign w:val="center"/>
            <w:hideMark/>
          </w:tcPr>
          <w:p w14:paraId="5021DAD5" w14:textId="77777777" w:rsidR="00EA3953" w:rsidRPr="00504D41" w:rsidRDefault="00EA3953">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not specified</w:t>
            </w:r>
          </w:p>
        </w:tc>
        <w:tc>
          <w:tcPr>
            <w:tcW w:w="785" w:type="pct"/>
            <w:tcBorders>
              <w:top w:val="nil"/>
              <w:left w:val="nil"/>
              <w:bottom w:val="single" w:sz="4" w:space="0" w:color="auto"/>
              <w:right w:val="single" w:sz="4" w:space="0" w:color="auto"/>
            </w:tcBorders>
            <w:noWrap/>
            <w:vAlign w:val="center"/>
            <w:hideMark/>
          </w:tcPr>
          <w:p w14:paraId="3DD4EAB5" w14:textId="77777777" w:rsidR="00EA3953" w:rsidRPr="00504D41" w:rsidRDefault="006D54C2" w:rsidP="006D54C2">
            <w:pPr>
              <w:spacing w:after="0" w:line="240" w:lineRule="auto"/>
              <w:jc w:val="center"/>
              <w:rPr>
                <w:rFonts w:ascii="Arial" w:eastAsia="Times New Roman" w:hAnsi="Arial" w:cs="Arial"/>
                <w:color w:val="000000"/>
                <w:sz w:val="20"/>
                <w:szCs w:val="20"/>
              </w:rPr>
            </w:pPr>
            <w:r w:rsidRPr="00504D41">
              <w:rPr>
                <w:rFonts w:ascii="Arial" w:hAnsi="Arial" w:cs="Arial"/>
                <w:noProof/>
                <w:sz w:val="20"/>
                <w:szCs w:val="20"/>
                <w:shd w:val="clear" w:color="auto" w:fill="FFFFFF"/>
                <w:vertAlign w:val="superscript"/>
              </w:rPr>
              <w:t>59</w:t>
            </w:r>
          </w:p>
        </w:tc>
      </w:tr>
    </w:tbl>
    <w:p w14:paraId="3767EC1A" w14:textId="77777777" w:rsidR="00127109" w:rsidRPr="00504D41" w:rsidRDefault="00127109" w:rsidP="008A28E2">
      <w:pPr>
        <w:keepNext/>
        <w:spacing w:line="360" w:lineRule="auto"/>
        <w:jc w:val="both"/>
        <w:rPr>
          <w:szCs w:val="24"/>
          <w:shd w:val="clear" w:color="auto" w:fill="FFFFFF"/>
        </w:rPr>
      </w:pPr>
    </w:p>
    <w:p w14:paraId="28D97DD5" w14:textId="77777777" w:rsidR="00EA3953" w:rsidRPr="00504D41" w:rsidRDefault="00F167D4" w:rsidP="008A28E2">
      <w:pPr>
        <w:keepNext/>
        <w:spacing w:line="360" w:lineRule="auto"/>
        <w:jc w:val="both"/>
      </w:pPr>
      <w:r w:rsidRPr="00504D41">
        <w:rPr>
          <w:szCs w:val="24"/>
          <w:shd w:val="clear" w:color="auto" w:fill="FFFFFF"/>
        </w:rPr>
        <w:t>Thus, where t</w:t>
      </w:r>
      <w:r w:rsidR="008A28E2" w:rsidRPr="00504D41">
        <w:rPr>
          <w:szCs w:val="24"/>
          <w:shd w:val="clear" w:color="auto" w:fill="FFFFFF"/>
        </w:rPr>
        <w:t>he consistently promising results of electrospun fibrous seed coatings show their potential in seed treatment applications</w:t>
      </w:r>
      <w:r w:rsidRPr="00504D41">
        <w:rPr>
          <w:szCs w:val="24"/>
          <w:shd w:val="clear" w:color="auto" w:fill="FFFFFF"/>
        </w:rPr>
        <w:t xml:space="preserve">, environmental concerns related to </w:t>
      </w:r>
      <w:r w:rsidR="00A95C55" w:rsidRPr="00504D41">
        <w:rPr>
          <w:szCs w:val="24"/>
          <w:shd w:val="clear" w:color="auto" w:fill="FFFFFF"/>
        </w:rPr>
        <w:t xml:space="preserve">the </w:t>
      </w:r>
      <w:r w:rsidRPr="00504D41">
        <w:rPr>
          <w:szCs w:val="24"/>
          <w:shd w:val="clear" w:color="auto" w:fill="FFFFFF"/>
        </w:rPr>
        <w:t xml:space="preserve">use of toxic solvents and </w:t>
      </w:r>
      <w:r w:rsidR="00716148" w:rsidRPr="00504D41">
        <w:rPr>
          <w:szCs w:val="24"/>
          <w:shd w:val="clear" w:color="auto" w:fill="FFFFFF"/>
        </w:rPr>
        <w:t>high energy inputs need to be addressed</w:t>
      </w:r>
      <w:r w:rsidR="008A28E2" w:rsidRPr="00504D41">
        <w:rPr>
          <w:szCs w:val="24"/>
          <w:shd w:val="clear" w:color="auto" w:fill="FFFFFF"/>
        </w:rPr>
        <w:t xml:space="preserve">. Future studies on electrospun seed coatings need to focus on overcoming existing limitations mainly transforming the batch scale </w:t>
      </w:r>
      <w:r w:rsidR="00A95C55" w:rsidRPr="00504D41">
        <w:rPr>
          <w:szCs w:val="24"/>
          <w:shd w:val="clear" w:color="auto" w:fill="FFFFFF"/>
        </w:rPr>
        <w:t>lab-</w:t>
      </w:r>
      <w:r w:rsidR="008A28E2" w:rsidRPr="00504D41">
        <w:rPr>
          <w:szCs w:val="24"/>
          <w:shd w:val="clear" w:color="auto" w:fill="FFFFFF"/>
        </w:rPr>
        <w:t>based electrospinning process into an automated continuous material fabrication set-up to facilitate commercial production at lower costs.</w:t>
      </w:r>
      <w:r w:rsidR="00235DE1" w:rsidRPr="00504D41">
        <w:rPr>
          <w:szCs w:val="24"/>
          <w:shd w:val="clear" w:color="auto" w:fill="FFFFFF"/>
        </w:rPr>
        <w:t xml:space="preserve"> </w:t>
      </w:r>
      <w:r w:rsidR="00665B30" w:rsidRPr="00504D41">
        <w:rPr>
          <w:szCs w:val="24"/>
          <w:shd w:val="clear" w:color="auto" w:fill="FFFFFF"/>
        </w:rPr>
        <w:t xml:space="preserve">Furthermore, LCA studies can also aid in estimating the environmental footprint of electrospun seed coatings </w:t>
      </w:r>
      <w:r w:rsidR="00127109" w:rsidRPr="00504D41">
        <w:t>and their performance over longer periods.</w:t>
      </w:r>
    </w:p>
    <w:p w14:paraId="3ABD2CCC" w14:textId="77777777" w:rsidR="00A95C55" w:rsidRPr="00504D41" w:rsidRDefault="00A95C55" w:rsidP="008A28E2">
      <w:pPr>
        <w:keepNext/>
        <w:spacing w:line="360" w:lineRule="auto"/>
        <w:jc w:val="both"/>
      </w:pPr>
    </w:p>
    <w:p w14:paraId="066C4E7A" w14:textId="77777777" w:rsidR="00CA7444" w:rsidRPr="00504D41" w:rsidRDefault="00C32872" w:rsidP="005009CE">
      <w:pPr>
        <w:rPr>
          <w:b/>
        </w:rPr>
      </w:pPr>
      <w:bookmarkStart w:id="17" w:name="_Toc80791094"/>
      <w:bookmarkStart w:id="18" w:name="_Toc85537936"/>
      <w:r w:rsidRPr="00504D41">
        <w:rPr>
          <w:b/>
        </w:rPr>
        <w:t>4.4</w:t>
      </w:r>
      <w:r w:rsidR="002A7D72" w:rsidRPr="00504D41">
        <w:rPr>
          <w:b/>
        </w:rPr>
        <w:t xml:space="preserve"> </w:t>
      </w:r>
      <w:r w:rsidR="00CA7444" w:rsidRPr="00504D41">
        <w:rPr>
          <w:b/>
        </w:rPr>
        <w:t>Hydrogel based seed coatings</w:t>
      </w:r>
      <w:bookmarkEnd w:id="17"/>
      <w:bookmarkEnd w:id="18"/>
    </w:p>
    <w:p w14:paraId="040B52ED" w14:textId="77777777" w:rsidR="00CA7444" w:rsidRPr="00504D41" w:rsidRDefault="00CA7444" w:rsidP="0016445D">
      <w:pPr>
        <w:spacing w:line="360" w:lineRule="auto"/>
        <w:jc w:val="both"/>
        <w:rPr>
          <w:szCs w:val="24"/>
        </w:rPr>
      </w:pPr>
      <w:r w:rsidRPr="00504D41">
        <w:rPr>
          <w:szCs w:val="24"/>
        </w:rPr>
        <w:lastRenderedPageBreak/>
        <w:t>Hydrogels are hydrophilic three-dimensional polymer networks that can absorb a large amount of water</w:t>
      </w:r>
      <w:r w:rsidR="00336CB6" w:rsidRPr="00504D41">
        <w:rPr>
          <w:szCs w:val="24"/>
        </w:rPr>
        <w:t>.</w:t>
      </w:r>
      <w:r w:rsidR="006D54C2" w:rsidRPr="00504D41">
        <w:rPr>
          <w:noProof/>
          <w:szCs w:val="24"/>
          <w:vertAlign w:val="superscript"/>
        </w:rPr>
        <w:t>110</w:t>
      </w:r>
      <w:r w:rsidRPr="00504D41">
        <w:rPr>
          <w:szCs w:val="24"/>
        </w:rPr>
        <w:t xml:space="preserve"> Due to their hydrophilicity and biocompatibility, hydrogels have found applications in diverse fields such as tissue engineering</w:t>
      </w:r>
      <w:r w:rsidR="00336CB6" w:rsidRPr="00504D41">
        <w:rPr>
          <w:szCs w:val="24"/>
        </w:rPr>
        <w:t>,</w:t>
      </w:r>
      <w:r w:rsidR="006D54C2" w:rsidRPr="00504D41">
        <w:rPr>
          <w:noProof/>
          <w:szCs w:val="24"/>
          <w:vertAlign w:val="superscript"/>
        </w:rPr>
        <w:t>111</w:t>
      </w:r>
      <w:r w:rsidRPr="00504D41">
        <w:rPr>
          <w:szCs w:val="24"/>
        </w:rPr>
        <w:t xml:space="preserve"> drug formulations</w:t>
      </w:r>
      <w:r w:rsidR="00336CB6" w:rsidRPr="00504D41">
        <w:rPr>
          <w:szCs w:val="24"/>
        </w:rPr>
        <w:t>,</w:t>
      </w:r>
      <w:r w:rsidR="006D54C2" w:rsidRPr="00504D41">
        <w:rPr>
          <w:noProof/>
          <w:szCs w:val="24"/>
          <w:vertAlign w:val="superscript"/>
        </w:rPr>
        <w:t>112</w:t>
      </w:r>
      <w:r w:rsidRPr="00504D41">
        <w:rPr>
          <w:szCs w:val="24"/>
        </w:rPr>
        <w:t xml:space="preserve"> wound dressing</w:t>
      </w:r>
      <w:r w:rsidR="006D54C2" w:rsidRPr="00504D41">
        <w:rPr>
          <w:noProof/>
          <w:szCs w:val="24"/>
          <w:vertAlign w:val="superscript"/>
        </w:rPr>
        <w:t>113</w:t>
      </w:r>
      <w:r w:rsidR="00336CB6" w:rsidRPr="00504D41">
        <w:rPr>
          <w:szCs w:val="24"/>
        </w:rPr>
        <w:t>,</w:t>
      </w:r>
      <w:r w:rsidRPr="00504D41">
        <w:rPr>
          <w:szCs w:val="24"/>
        </w:rPr>
        <w:t xml:space="preserve"> and as constituents of hygiene products</w:t>
      </w:r>
      <w:r w:rsidR="00336CB6" w:rsidRPr="00504D41">
        <w:rPr>
          <w:szCs w:val="24"/>
        </w:rPr>
        <w:t>.</w:t>
      </w:r>
      <w:r w:rsidR="006D54C2" w:rsidRPr="00504D41">
        <w:rPr>
          <w:noProof/>
          <w:szCs w:val="24"/>
          <w:vertAlign w:val="superscript"/>
        </w:rPr>
        <w:t>114</w:t>
      </w:r>
      <w:r w:rsidRPr="00504D41">
        <w:rPr>
          <w:szCs w:val="24"/>
        </w:rPr>
        <w:t xml:space="preserve"> Recently, hydrogels are also being explored in agricultural applications as soil remediation agents, stimuli-responsive carriers for agricultural AI, and mini water reservoirs in arid regions</w:t>
      </w:r>
      <w:r w:rsidR="00336CB6" w:rsidRPr="00504D41">
        <w:rPr>
          <w:szCs w:val="24"/>
        </w:rPr>
        <w:t>.</w:t>
      </w:r>
      <w:r w:rsidR="006D54C2" w:rsidRPr="00504D41">
        <w:rPr>
          <w:noProof/>
          <w:szCs w:val="24"/>
          <w:vertAlign w:val="superscript"/>
        </w:rPr>
        <w:t>115</w:t>
      </w:r>
      <w:r w:rsidRPr="00504D41">
        <w:rPr>
          <w:szCs w:val="24"/>
        </w:rPr>
        <w:t xml:space="preserve"> A unique application of hydrogels is their utilization as seed coatings for achieving crop protection through water retention around the seed. In dry conditions</w:t>
      </w:r>
      <w:r w:rsidR="00A95C55" w:rsidRPr="00504D41">
        <w:rPr>
          <w:szCs w:val="24"/>
        </w:rPr>
        <w:t>,</w:t>
      </w:r>
      <w:r w:rsidRPr="00504D41">
        <w:rPr>
          <w:szCs w:val="24"/>
        </w:rPr>
        <w:t xml:space="preserve"> where reduced water supply to seedlings can impair germination and crop </w:t>
      </w:r>
      <w:r w:rsidR="007D694E" w:rsidRPr="00504D41">
        <w:rPr>
          <w:szCs w:val="24"/>
        </w:rPr>
        <w:t>establis</w:t>
      </w:r>
      <w:r w:rsidR="00D945CC" w:rsidRPr="00504D41">
        <w:rPr>
          <w:szCs w:val="24"/>
        </w:rPr>
        <w:t>hment</w:t>
      </w:r>
      <w:r w:rsidRPr="00504D41">
        <w:rPr>
          <w:szCs w:val="24"/>
        </w:rPr>
        <w:t>, the use of hydrogel based seed coatings offers an attractive solution; however, studies done in this regard have shown diverse and conflicting outcomes. An early study</w:t>
      </w:r>
      <w:r w:rsidR="006D54C2" w:rsidRPr="00504D41">
        <w:rPr>
          <w:noProof/>
          <w:szCs w:val="24"/>
          <w:vertAlign w:val="superscript"/>
        </w:rPr>
        <w:t>116</w:t>
      </w:r>
      <w:r w:rsidRPr="00504D41">
        <w:rPr>
          <w:szCs w:val="24"/>
        </w:rPr>
        <w:t xml:space="preserve"> </w:t>
      </w:r>
      <w:r w:rsidR="00A95C55" w:rsidRPr="00504D41">
        <w:rPr>
          <w:szCs w:val="24"/>
        </w:rPr>
        <w:t xml:space="preserve">conducted </w:t>
      </w:r>
      <w:r w:rsidRPr="00504D41">
        <w:rPr>
          <w:szCs w:val="24"/>
        </w:rPr>
        <w:t xml:space="preserve">on </w:t>
      </w:r>
      <w:r w:rsidR="00225D6E" w:rsidRPr="00504D41">
        <w:rPr>
          <w:szCs w:val="24"/>
        </w:rPr>
        <w:t xml:space="preserve">the effect of </w:t>
      </w:r>
      <w:r w:rsidRPr="00504D41">
        <w:rPr>
          <w:szCs w:val="24"/>
        </w:rPr>
        <w:t xml:space="preserve">hydrogel seed coatings </w:t>
      </w:r>
      <w:r w:rsidR="00225D6E" w:rsidRPr="00504D41">
        <w:rPr>
          <w:szCs w:val="24"/>
        </w:rPr>
        <w:t>o</w:t>
      </w:r>
      <w:r w:rsidRPr="00504D41">
        <w:rPr>
          <w:szCs w:val="24"/>
        </w:rPr>
        <w:t>n Russian wildrye reported reduced germination rates and a failure to improve crop establishment rates in the field. Similarly, Sarrocco et al</w:t>
      </w:r>
      <w:r w:rsidR="00A95C55" w:rsidRPr="00504D41">
        <w:rPr>
          <w:szCs w:val="24"/>
        </w:rPr>
        <w:t>.</w:t>
      </w:r>
      <w:r w:rsidRPr="00504D41">
        <w:rPr>
          <w:szCs w:val="24"/>
        </w:rPr>
        <w:t xml:space="preserve"> coated wheat, cabbage, basil and radish seeds with sodium alginate hydrogels achieving a durable </w:t>
      </w:r>
      <w:r w:rsidR="00CE6281" w:rsidRPr="00504D41">
        <w:rPr>
          <w:szCs w:val="24"/>
        </w:rPr>
        <w:t>seed coating stable for 90 days</w:t>
      </w:r>
      <w:r w:rsidR="00872344" w:rsidRPr="00504D41">
        <w:rPr>
          <w:szCs w:val="24"/>
        </w:rPr>
        <w:t>.</w:t>
      </w:r>
      <w:r w:rsidR="006D54C2" w:rsidRPr="00504D41">
        <w:rPr>
          <w:noProof/>
          <w:szCs w:val="24"/>
          <w:vertAlign w:val="superscript"/>
        </w:rPr>
        <w:t>117</w:t>
      </w:r>
      <w:r w:rsidRPr="00504D41">
        <w:rPr>
          <w:szCs w:val="24"/>
        </w:rPr>
        <w:t xml:space="preserve"> However, </w:t>
      </w:r>
      <w:r w:rsidRPr="00504D41">
        <w:rPr>
          <w:i/>
          <w:szCs w:val="24"/>
        </w:rPr>
        <w:t>in-vitro</w:t>
      </w:r>
      <w:r w:rsidRPr="00504D41">
        <w:rPr>
          <w:szCs w:val="24"/>
        </w:rPr>
        <w:t xml:space="preserve"> and </w:t>
      </w:r>
      <w:r w:rsidRPr="00504D41">
        <w:rPr>
          <w:i/>
          <w:szCs w:val="24"/>
        </w:rPr>
        <w:t xml:space="preserve">in-vivo </w:t>
      </w:r>
      <w:r w:rsidRPr="00504D41">
        <w:rPr>
          <w:szCs w:val="24"/>
        </w:rPr>
        <w:t xml:space="preserve">germination trials showed a significant reduction in the germination rate of coated seeds compared to uncoated seeds.  Gorim et al. coated barley, rye and wheat seeds with (1) a commercial hydro-absorber, </w:t>
      </w:r>
      <w:r w:rsidRPr="00504D41">
        <w:rPr>
          <w:szCs w:val="24"/>
          <w:shd w:val="clear" w:color="auto" w:fill="FFFFFF"/>
        </w:rPr>
        <w:t>Stockosorb</w:t>
      </w:r>
      <w:r w:rsidRPr="00504D41">
        <w:rPr>
          <w:szCs w:val="24"/>
          <w:shd w:val="clear" w:color="auto" w:fill="FFFFFF"/>
          <w:vertAlign w:val="superscript"/>
        </w:rPr>
        <w:t xml:space="preserve">® </w:t>
      </w:r>
      <w:r w:rsidRPr="00504D41">
        <w:rPr>
          <w:szCs w:val="24"/>
        </w:rPr>
        <w:t>and plant strengthener formulations (2) biplantol and (3) humic acid) comparing the performance of the coated seeds with uncoated controls</w:t>
      </w:r>
      <w:r w:rsidR="00872344" w:rsidRPr="00504D41">
        <w:rPr>
          <w:szCs w:val="24"/>
        </w:rPr>
        <w:t>.</w:t>
      </w:r>
      <w:r w:rsidR="006D54C2" w:rsidRPr="00504D41">
        <w:rPr>
          <w:noProof/>
          <w:szCs w:val="24"/>
          <w:vertAlign w:val="superscript"/>
        </w:rPr>
        <w:t>118</w:t>
      </w:r>
      <w:r w:rsidR="00EF7988" w:rsidRPr="00504D41">
        <w:rPr>
          <w:szCs w:val="24"/>
        </w:rPr>
        <w:t xml:space="preserve"> </w:t>
      </w:r>
      <w:r w:rsidRPr="00504D41">
        <w:rPr>
          <w:szCs w:val="24"/>
        </w:rPr>
        <w:t xml:space="preserve">Germination trials showed all three seed coatings inhibited seedling germination compared to the </w:t>
      </w:r>
      <w:r w:rsidR="00EA5583" w:rsidRPr="00504D41">
        <w:rPr>
          <w:szCs w:val="24"/>
        </w:rPr>
        <w:t xml:space="preserve">uncoated seed </w:t>
      </w:r>
      <w:r w:rsidRPr="00504D41">
        <w:rPr>
          <w:szCs w:val="24"/>
        </w:rPr>
        <w:t>controls.</w:t>
      </w:r>
    </w:p>
    <w:p w14:paraId="4178EED7" w14:textId="77777777" w:rsidR="00CA7444" w:rsidRPr="00504D41" w:rsidRDefault="00CA7444" w:rsidP="0016445D">
      <w:pPr>
        <w:spacing w:line="360" w:lineRule="auto"/>
        <w:jc w:val="both"/>
        <w:rPr>
          <w:szCs w:val="24"/>
        </w:rPr>
      </w:pPr>
      <w:r w:rsidRPr="00504D41">
        <w:rPr>
          <w:szCs w:val="24"/>
        </w:rPr>
        <w:t>Nevertheless, other research groups have reported positive effects o</w:t>
      </w:r>
      <w:r w:rsidR="00081C00" w:rsidRPr="00504D41">
        <w:rPr>
          <w:szCs w:val="24"/>
        </w:rPr>
        <w:t>f</w:t>
      </w:r>
      <w:r w:rsidRPr="00504D41">
        <w:rPr>
          <w:szCs w:val="24"/>
        </w:rPr>
        <w:t xml:space="preserve"> hydrogel-based seed coatings on seedling vigor and growth, particularly under drought relat</w:t>
      </w:r>
      <w:r w:rsidR="00CE6281" w:rsidRPr="00504D41">
        <w:rPr>
          <w:szCs w:val="24"/>
        </w:rPr>
        <w:t>ed conditions</w:t>
      </w:r>
      <w:r w:rsidR="00872344" w:rsidRPr="00504D41">
        <w:rPr>
          <w:szCs w:val="24"/>
        </w:rPr>
        <w:t>.</w:t>
      </w:r>
      <w:r w:rsidR="006D54C2" w:rsidRPr="00504D41">
        <w:rPr>
          <w:noProof/>
          <w:szCs w:val="24"/>
          <w:vertAlign w:val="superscript"/>
        </w:rPr>
        <w:t>11,119</w:t>
      </w:r>
      <w:r w:rsidR="009E1049" w:rsidRPr="00504D41">
        <w:rPr>
          <w:szCs w:val="24"/>
        </w:rPr>
        <w:t xml:space="preserve"> </w:t>
      </w:r>
      <w:r w:rsidRPr="00504D41">
        <w:rPr>
          <w:szCs w:val="24"/>
        </w:rPr>
        <w:t>Su et al</w:t>
      </w:r>
      <w:r w:rsidR="00A95C55" w:rsidRPr="00504D41">
        <w:rPr>
          <w:szCs w:val="24"/>
        </w:rPr>
        <w:t>.</w:t>
      </w:r>
      <w:r w:rsidRPr="00504D41">
        <w:rPr>
          <w:szCs w:val="24"/>
        </w:rPr>
        <w:t xml:space="preserve"> coated </w:t>
      </w:r>
      <w:r w:rsidRPr="00504D41">
        <w:rPr>
          <w:i/>
          <w:szCs w:val="24"/>
        </w:rPr>
        <w:t>Caragana korshinskii</w:t>
      </w:r>
      <w:r w:rsidRPr="00504D41">
        <w:rPr>
          <w:szCs w:val="24"/>
        </w:rPr>
        <w:t xml:space="preserve"> (pea shrub) seeds with five different hydrogel-based coatings. Field trials conducted under arid soil conditions showed a two-fold increase in the seedling survival rates of the coated seeds compared to uncoated control</w:t>
      </w:r>
      <w:r w:rsidR="00A55E87" w:rsidRPr="00504D41">
        <w:rPr>
          <w:szCs w:val="24"/>
        </w:rPr>
        <w:t xml:space="preserve"> </w:t>
      </w:r>
      <w:r w:rsidR="00A55E87" w:rsidRPr="00504D41">
        <w:rPr>
          <w:b/>
          <w:bCs/>
          <w:szCs w:val="24"/>
        </w:rPr>
        <w:t xml:space="preserve">(Figure </w:t>
      </w:r>
      <w:r w:rsidR="00611ED6" w:rsidRPr="00504D41">
        <w:rPr>
          <w:b/>
          <w:bCs/>
          <w:szCs w:val="24"/>
        </w:rPr>
        <w:t>9</w:t>
      </w:r>
      <w:r w:rsidR="00A55E87" w:rsidRPr="00504D41">
        <w:rPr>
          <w:b/>
          <w:bCs/>
          <w:szCs w:val="24"/>
        </w:rPr>
        <w:t>a)</w:t>
      </w:r>
      <w:r w:rsidR="00A55E87" w:rsidRPr="00504D41">
        <w:rPr>
          <w:szCs w:val="24"/>
        </w:rPr>
        <w:t>.</w:t>
      </w:r>
      <w:r w:rsidR="00552D69" w:rsidRPr="00504D41">
        <w:rPr>
          <w:noProof/>
          <w:szCs w:val="24"/>
          <w:vertAlign w:val="superscript"/>
        </w:rPr>
        <w:t>11</w:t>
      </w:r>
      <w:r w:rsidR="00A55E87" w:rsidRPr="00504D41">
        <w:rPr>
          <w:szCs w:val="24"/>
        </w:rPr>
        <w:t xml:space="preserve"> </w:t>
      </w:r>
      <w:r w:rsidRPr="00504D41">
        <w:rPr>
          <w:szCs w:val="24"/>
        </w:rPr>
        <w:t>Pačuta et al</w:t>
      </w:r>
      <w:r w:rsidR="00A95C55" w:rsidRPr="00504D41">
        <w:rPr>
          <w:szCs w:val="24"/>
        </w:rPr>
        <w:t>.</w:t>
      </w:r>
      <w:r w:rsidRPr="00504D41">
        <w:rPr>
          <w:szCs w:val="24"/>
        </w:rPr>
        <w:t xml:space="preserve"> monitored the growth of sugarbeet seeds coated with a commercial seed treatment hydrogel-based agent aquaholder reporting</w:t>
      </w:r>
      <w:r w:rsidR="00111998" w:rsidRPr="00504D41">
        <w:rPr>
          <w:szCs w:val="24"/>
        </w:rPr>
        <w:t xml:space="preserve"> </w:t>
      </w:r>
      <w:r w:rsidRPr="00504D41">
        <w:rPr>
          <w:szCs w:val="24"/>
        </w:rPr>
        <w:t>significant beneficial effects on the seedling growth as observed through various growth markers like the leaf index area, root and white sugar yields, especially in the early growth phase</w:t>
      </w:r>
      <w:r w:rsidR="00A55E87" w:rsidRPr="00504D41">
        <w:rPr>
          <w:szCs w:val="24"/>
        </w:rPr>
        <w:t>.</w:t>
      </w:r>
      <w:r w:rsidR="006D54C2" w:rsidRPr="00504D41">
        <w:rPr>
          <w:noProof/>
          <w:szCs w:val="24"/>
          <w:vertAlign w:val="superscript"/>
        </w:rPr>
        <w:t>120</w:t>
      </w:r>
      <w:r w:rsidRPr="00504D41">
        <w:rPr>
          <w:szCs w:val="24"/>
        </w:rPr>
        <w:t xml:space="preserve"> However, details of the chemical composition of aquaholder and its biodegradability were missing, which makes it difficult to comment on the overall sustainability of the approach. Pathak et al</w:t>
      </w:r>
      <w:r w:rsidR="00A95C55" w:rsidRPr="00504D41">
        <w:rPr>
          <w:szCs w:val="24"/>
        </w:rPr>
        <w:t>.</w:t>
      </w:r>
      <w:r w:rsidRPr="00504D41">
        <w:rPr>
          <w:szCs w:val="24"/>
        </w:rPr>
        <w:t xml:space="preserve"> coated corn seeds with a modified starch-based hydrogel and conducted growth assays of the coated seeds in </w:t>
      </w:r>
      <w:r w:rsidR="00A95C55" w:rsidRPr="00504D41">
        <w:rPr>
          <w:szCs w:val="24"/>
        </w:rPr>
        <w:t xml:space="preserve">the </w:t>
      </w:r>
      <w:r w:rsidRPr="00504D41">
        <w:rPr>
          <w:szCs w:val="24"/>
        </w:rPr>
        <w:t>soil at diff</w:t>
      </w:r>
      <w:r w:rsidR="00CE6281" w:rsidRPr="00504D41">
        <w:rPr>
          <w:szCs w:val="24"/>
        </w:rPr>
        <w:t xml:space="preserve">erent water </w:t>
      </w:r>
      <w:r w:rsidR="00CE6281" w:rsidRPr="00504D41">
        <w:rPr>
          <w:szCs w:val="24"/>
        </w:rPr>
        <w:lastRenderedPageBreak/>
        <w:t>availability levels</w:t>
      </w:r>
      <w:r w:rsidR="00A55E87" w:rsidRPr="00504D41">
        <w:rPr>
          <w:szCs w:val="24"/>
        </w:rPr>
        <w:t>.</w:t>
      </w:r>
      <w:r w:rsidR="006D54C2" w:rsidRPr="00504D41">
        <w:rPr>
          <w:noProof/>
          <w:szCs w:val="24"/>
          <w:vertAlign w:val="superscript"/>
        </w:rPr>
        <w:t>119</w:t>
      </w:r>
      <w:r w:rsidRPr="00504D41">
        <w:rPr>
          <w:szCs w:val="24"/>
        </w:rPr>
        <w:t xml:space="preserve"> At moderate water stress in the soil, seedling emergence rate was much higher in coated seeds as compared to uncoated seeds, whereas at low and high water levels, no significant effect on germination was observed. The authors proposed that at </w:t>
      </w:r>
      <w:r w:rsidR="00A95C55" w:rsidRPr="00504D41">
        <w:rPr>
          <w:szCs w:val="24"/>
        </w:rPr>
        <w:t xml:space="preserve">a </w:t>
      </w:r>
      <w:r w:rsidRPr="00504D41">
        <w:rPr>
          <w:szCs w:val="24"/>
        </w:rPr>
        <w:t xml:space="preserve">high moisture level, the extra water stored by the hydrogel would be redundant and at </w:t>
      </w:r>
      <w:r w:rsidR="00A95C55" w:rsidRPr="00504D41">
        <w:rPr>
          <w:szCs w:val="24"/>
        </w:rPr>
        <w:t xml:space="preserve">a </w:t>
      </w:r>
      <w:r w:rsidRPr="00504D41">
        <w:rPr>
          <w:szCs w:val="24"/>
        </w:rPr>
        <w:t>low water level, even though the hydrogel would absorb water, this water would be lost to the dry soil before the plant can take it up.</w:t>
      </w:r>
      <w:r w:rsidR="00A55E87" w:rsidRPr="00504D41">
        <w:rPr>
          <w:szCs w:val="24"/>
        </w:rPr>
        <w:t xml:space="preserve"> </w:t>
      </w:r>
      <w:r w:rsidRPr="00504D41">
        <w:rPr>
          <w:szCs w:val="24"/>
        </w:rPr>
        <w:t>Therefore</w:t>
      </w:r>
      <w:r w:rsidR="004B16FC" w:rsidRPr="00504D41">
        <w:rPr>
          <w:szCs w:val="24"/>
        </w:rPr>
        <w:t>,</w:t>
      </w:r>
      <w:r w:rsidRPr="00504D41">
        <w:rPr>
          <w:szCs w:val="24"/>
        </w:rPr>
        <w:t xml:space="preserve"> the presence of the hydrogel coating would be most beneficial at intermediate water levels where the hydrogels would absorb water and provide it at a steady rate to the growing seedling</w:t>
      </w:r>
      <w:r w:rsidR="00C416B6" w:rsidRPr="00504D41">
        <w:rPr>
          <w:szCs w:val="24"/>
        </w:rPr>
        <w:t xml:space="preserve"> (Figure </w:t>
      </w:r>
      <w:r w:rsidR="00611ED6" w:rsidRPr="00504D41">
        <w:rPr>
          <w:szCs w:val="24"/>
        </w:rPr>
        <w:t>9</w:t>
      </w:r>
      <w:r w:rsidR="00C416B6" w:rsidRPr="00504D41">
        <w:rPr>
          <w:szCs w:val="24"/>
        </w:rPr>
        <w:t>b)</w:t>
      </w:r>
      <w:r w:rsidRPr="00504D41">
        <w:rPr>
          <w:szCs w:val="24"/>
        </w:rPr>
        <w:t>. The widely varying nature of reports warrants further research to gain an in-depth perspective on the utility of hydrogel-based seed coatings and shed light on the</w:t>
      </w:r>
      <w:r w:rsidR="0041410D" w:rsidRPr="00504D41">
        <w:rPr>
          <w:szCs w:val="24"/>
        </w:rPr>
        <w:t>ir</w:t>
      </w:r>
      <w:r w:rsidRPr="00504D41">
        <w:rPr>
          <w:szCs w:val="24"/>
        </w:rPr>
        <w:t xml:space="preserve"> overall sustainability. Published literature suggests that rather than a holistic approach on the use of a similar hydrogel for coating seeds of different plants, successful utilization of these materials will require a case to case basis retrofitting taking into account the nature of the crop, soil and environmental factors.</w:t>
      </w:r>
    </w:p>
    <w:p w14:paraId="576F9668" w14:textId="77777777" w:rsidR="00F05BBF" w:rsidRPr="00504D41" w:rsidRDefault="000057B3" w:rsidP="0016445D">
      <w:pPr>
        <w:keepNext/>
        <w:spacing w:line="360" w:lineRule="auto"/>
        <w:rPr>
          <w:szCs w:val="24"/>
        </w:rPr>
      </w:pPr>
      <w:r w:rsidRPr="00504D41">
        <w:rPr>
          <w:noProof/>
        </w:rPr>
        <w:pict w14:anchorId="01FC304A">
          <v:shape id="Picture 22" o:spid="_x0000_i1034" type="#_x0000_t75" alt="Chart, bar chart&#10;&#10;Description automatically generated" style="width:451.25pt;height:200.95pt;visibility:visible">
            <v:imagedata r:id="rId21" o:title="Chart, bar chart&#10;&#10;Description automatically generated" cropbottom="26380f"/>
          </v:shape>
        </w:pict>
      </w:r>
    </w:p>
    <w:p w14:paraId="6EE9E7A0" w14:textId="77777777" w:rsidR="001E0F4A" w:rsidRPr="00504D41" w:rsidRDefault="00F05BBF" w:rsidP="0016445D">
      <w:pPr>
        <w:pStyle w:val="Caption"/>
        <w:spacing w:line="360" w:lineRule="auto"/>
        <w:jc w:val="both"/>
        <w:rPr>
          <w:i w:val="0"/>
          <w:iCs w:val="0"/>
          <w:color w:val="auto"/>
          <w:sz w:val="24"/>
          <w:szCs w:val="24"/>
        </w:rPr>
      </w:pPr>
      <w:r w:rsidRPr="00504D41">
        <w:rPr>
          <w:b/>
          <w:bCs/>
          <w:i w:val="0"/>
          <w:iCs w:val="0"/>
          <w:color w:val="auto"/>
          <w:sz w:val="24"/>
          <w:szCs w:val="24"/>
        </w:rPr>
        <w:t xml:space="preserve">Figure </w:t>
      </w:r>
      <w:r w:rsidRPr="00504D41">
        <w:rPr>
          <w:b/>
          <w:bCs/>
          <w:i w:val="0"/>
          <w:iCs w:val="0"/>
          <w:color w:val="auto"/>
          <w:sz w:val="24"/>
          <w:szCs w:val="24"/>
        </w:rPr>
        <w:fldChar w:fldCharType="begin"/>
      </w:r>
      <w:r w:rsidRPr="00504D41">
        <w:rPr>
          <w:b/>
          <w:bCs/>
          <w:i w:val="0"/>
          <w:iCs w:val="0"/>
          <w:color w:val="auto"/>
          <w:sz w:val="24"/>
          <w:szCs w:val="24"/>
        </w:rPr>
        <w:instrText xml:space="preserve"> SEQ Figure \* ARABIC </w:instrText>
      </w:r>
      <w:r w:rsidRPr="00504D41">
        <w:rPr>
          <w:b/>
          <w:bCs/>
          <w:i w:val="0"/>
          <w:iCs w:val="0"/>
          <w:color w:val="auto"/>
          <w:sz w:val="24"/>
          <w:szCs w:val="24"/>
        </w:rPr>
        <w:fldChar w:fldCharType="separate"/>
      </w:r>
      <w:r w:rsidR="003D0A6B" w:rsidRPr="00504D41">
        <w:rPr>
          <w:b/>
          <w:bCs/>
          <w:i w:val="0"/>
          <w:iCs w:val="0"/>
          <w:noProof/>
          <w:color w:val="auto"/>
          <w:sz w:val="24"/>
          <w:szCs w:val="24"/>
        </w:rPr>
        <w:t>9</w:t>
      </w:r>
      <w:r w:rsidRPr="00504D41">
        <w:rPr>
          <w:b/>
          <w:bCs/>
          <w:i w:val="0"/>
          <w:iCs w:val="0"/>
          <w:color w:val="auto"/>
          <w:sz w:val="24"/>
          <w:szCs w:val="24"/>
        </w:rPr>
        <w:fldChar w:fldCharType="end"/>
      </w:r>
      <w:r w:rsidR="00AB5CCF" w:rsidRPr="00504D41">
        <w:rPr>
          <w:i w:val="0"/>
          <w:iCs w:val="0"/>
          <w:color w:val="auto"/>
          <w:sz w:val="24"/>
          <w:szCs w:val="24"/>
        </w:rPr>
        <w:t>.</w:t>
      </w:r>
      <w:r w:rsidR="00DF06ED" w:rsidRPr="00504D41">
        <w:rPr>
          <w:i w:val="0"/>
          <w:iCs w:val="0"/>
          <w:color w:val="auto"/>
          <w:sz w:val="24"/>
          <w:szCs w:val="24"/>
        </w:rPr>
        <w:t xml:space="preserve"> </w:t>
      </w:r>
      <w:r w:rsidR="00C24B52" w:rsidRPr="00504D41">
        <w:rPr>
          <w:i w:val="0"/>
          <w:iCs w:val="0"/>
          <w:color w:val="auto"/>
          <w:sz w:val="24"/>
          <w:szCs w:val="24"/>
        </w:rPr>
        <w:t xml:space="preserve">(a) Results from germination tests of super absorbent polymer (SAP) coated </w:t>
      </w:r>
      <w:r w:rsidR="00C24B52" w:rsidRPr="00504D41">
        <w:rPr>
          <w:color w:val="auto"/>
          <w:sz w:val="24"/>
          <w:szCs w:val="24"/>
        </w:rPr>
        <w:t>Caragana korshinkii</w:t>
      </w:r>
      <w:r w:rsidR="00C24B52" w:rsidRPr="00504D41">
        <w:rPr>
          <w:i w:val="0"/>
          <w:iCs w:val="0"/>
          <w:color w:val="auto"/>
          <w:sz w:val="24"/>
          <w:szCs w:val="24"/>
        </w:rPr>
        <w:t xml:space="preserve"> seeds. Treatments tested included (1)A = polyacrylamide, (2) B = sodium polyacrylate, (3) C = Balite efficient polyagent (SAP with denatured PVA as the active constituent), (4) D = Hankesho aquasorb (acrylamide and potassium acrylate copolymer as active constituents), (5) E = Zhengyuan aquasorb (acrylamide and sodium acrylate copolymer as active constituents). CK1 = uncoated seeds, and CK2 = seeds coated with clay and talcum served as controls. All SAP coated seeds showed significantly higher (P &lt; 0.05) germination % (after 3 </w:t>
      </w:r>
      <w:r w:rsidR="00C24B52" w:rsidRPr="00504D41">
        <w:rPr>
          <w:i w:val="0"/>
          <w:iCs w:val="0"/>
          <w:color w:val="auto"/>
          <w:sz w:val="24"/>
          <w:szCs w:val="24"/>
        </w:rPr>
        <w:lastRenderedPageBreak/>
        <w:t xml:space="preserve">days), germination energy % (seeds germinated after 7 days), germination index, and vigor index compared to CK1 and CK2 control samples. Figure adapted </w:t>
      </w:r>
      <w:r w:rsidR="00C9685F" w:rsidRPr="00504D41">
        <w:rPr>
          <w:i w:val="0"/>
          <w:iCs w:val="0"/>
          <w:color w:val="auto"/>
          <w:sz w:val="24"/>
          <w:szCs w:val="24"/>
        </w:rPr>
        <w:t>with permission</w:t>
      </w:r>
      <w:r w:rsidR="000F160F" w:rsidRPr="00504D41">
        <w:rPr>
          <w:i w:val="0"/>
          <w:iCs w:val="0"/>
          <w:color w:val="auto"/>
          <w:sz w:val="24"/>
          <w:szCs w:val="24"/>
        </w:rPr>
        <w:t>.</w:t>
      </w:r>
      <w:r w:rsidR="00552D69" w:rsidRPr="00504D41">
        <w:rPr>
          <w:i w:val="0"/>
          <w:iCs w:val="0"/>
          <w:noProof/>
          <w:color w:val="auto"/>
          <w:sz w:val="24"/>
          <w:szCs w:val="24"/>
          <w:vertAlign w:val="superscript"/>
        </w:rPr>
        <w:t>11</w:t>
      </w:r>
      <w:r w:rsidR="00C9685F" w:rsidRPr="00504D41">
        <w:rPr>
          <w:i w:val="0"/>
          <w:iCs w:val="0"/>
          <w:color w:val="auto"/>
          <w:sz w:val="24"/>
          <w:szCs w:val="24"/>
        </w:rPr>
        <w:t xml:space="preserve"> </w:t>
      </w:r>
      <w:r w:rsidR="00C24B52" w:rsidRPr="00504D41">
        <w:rPr>
          <w:i w:val="0"/>
          <w:iCs w:val="0"/>
          <w:color w:val="auto"/>
          <w:sz w:val="24"/>
          <w:szCs w:val="24"/>
        </w:rPr>
        <w:t>Copyright Springer 2017.</w:t>
      </w:r>
      <w:r w:rsidR="00C9685F" w:rsidRPr="00504D41">
        <w:rPr>
          <w:i w:val="0"/>
          <w:iCs w:val="0"/>
          <w:color w:val="auto"/>
          <w:sz w:val="24"/>
          <w:szCs w:val="24"/>
        </w:rPr>
        <w:t xml:space="preserve"> </w:t>
      </w:r>
      <w:r w:rsidR="00C24B52" w:rsidRPr="00504D41">
        <w:rPr>
          <w:i w:val="0"/>
          <w:iCs w:val="0"/>
          <w:color w:val="auto"/>
          <w:sz w:val="24"/>
          <w:szCs w:val="24"/>
        </w:rPr>
        <w:t xml:space="preserve">(b) Bar graph showing </w:t>
      </w:r>
      <w:r w:rsidR="00A95C55" w:rsidRPr="00504D41">
        <w:rPr>
          <w:i w:val="0"/>
          <w:iCs w:val="0"/>
          <w:color w:val="auto"/>
          <w:sz w:val="24"/>
          <w:szCs w:val="24"/>
        </w:rPr>
        <w:t xml:space="preserve">the </w:t>
      </w:r>
      <w:r w:rsidR="00C24B52" w:rsidRPr="00504D41">
        <w:rPr>
          <w:i w:val="0"/>
          <w:iCs w:val="0"/>
          <w:color w:val="auto"/>
          <w:sz w:val="24"/>
          <w:szCs w:val="24"/>
        </w:rPr>
        <w:t xml:space="preserve">effect of Modified Starch (MS) hydrogel coatings on emergence rates of corn plates at different Field Capacity (FC) levels (water availability levels in </w:t>
      </w:r>
      <w:r w:rsidR="00A95C55" w:rsidRPr="00504D41">
        <w:rPr>
          <w:i w:val="0"/>
          <w:iCs w:val="0"/>
          <w:color w:val="auto"/>
          <w:sz w:val="24"/>
          <w:szCs w:val="24"/>
        </w:rPr>
        <w:t xml:space="preserve">the </w:t>
      </w:r>
      <w:r w:rsidR="00C24B52" w:rsidRPr="00504D41">
        <w:rPr>
          <w:i w:val="0"/>
          <w:iCs w:val="0"/>
          <w:color w:val="auto"/>
          <w:sz w:val="24"/>
          <w:szCs w:val="24"/>
        </w:rPr>
        <w:t xml:space="preserve">soil which were varied through controlling soil water irrigation supply). </w:t>
      </w:r>
      <w:r w:rsidR="00A95C55" w:rsidRPr="00504D41">
        <w:rPr>
          <w:i w:val="0"/>
          <w:iCs w:val="0"/>
          <w:color w:val="auto"/>
          <w:sz w:val="24"/>
          <w:szCs w:val="24"/>
        </w:rPr>
        <w:t xml:space="preserve">The emergence </w:t>
      </w:r>
      <w:r w:rsidR="00C24B52" w:rsidRPr="00504D41">
        <w:rPr>
          <w:i w:val="0"/>
          <w:iCs w:val="0"/>
          <w:color w:val="auto"/>
          <w:sz w:val="24"/>
          <w:szCs w:val="24"/>
        </w:rPr>
        <w:t xml:space="preserve">rate was estimated through calculating </w:t>
      </w:r>
      <w:r w:rsidR="00A95C55" w:rsidRPr="00504D41">
        <w:rPr>
          <w:i w:val="0"/>
          <w:iCs w:val="0"/>
          <w:color w:val="auto"/>
          <w:sz w:val="24"/>
          <w:szCs w:val="24"/>
        </w:rPr>
        <w:t xml:space="preserve">the </w:t>
      </w:r>
      <w:r w:rsidR="00C24B52" w:rsidRPr="00504D41">
        <w:rPr>
          <w:i w:val="0"/>
          <w:iCs w:val="0"/>
          <w:color w:val="auto"/>
          <w:sz w:val="24"/>
          <w:szCs w:val="24"/>
        </w:rPr>
        <w:t xml:space="preserve">time to median emergence (MGT). 0% MS represents uncoated controls. As shown, emergence rate was significantly lower (P &lt; 0.05) at 77% FC for 2.6 and 4.2% MS coatings, depicting faster emergence. Adapted </w:t>
      </w:r>
      <w:r w:rsidR="00C9685F" w:rsidRPr="00504D41">
        <w:rPr>
          <w:i w:val="0"/>
          <w:iCs w:val="0"/>
          <w:color w:val="auto"/>
          <w:sz w:val="24"/>
          <w:szCs w:val="24"/>
        </w:rPr>
        <w:t>with permission</w:t>
      </w:r>
      <w:r w:rsidR="00DD212E" w:rsidRPr="00504D41">
        <w:rPr>
          <w:i w:val="0"/>
          <w:iCs w:val="0"/>
          <w:color w:val="auto"/>
          <w:sz w:val="24"/>
          <w:szCs w:val="24"/>
        </w:rPr>
        <w:t>.</w:t>
      </w:r>
      <w:r w:rsidR="006D54C2" w:rsidRPr="00504D41">
        <w:rPr>
          <w:i w:val="0"/>
          <w:iCs w:val="0"/>
          <w:noProof/>
          <w:color w:val="auto"/>
          <w:sz w:val="24"/>
          <w:szCs w:val="24"/>
          <w:vertAlign w:val="superscript"/>
        </w:rPr>
        <w:t>119</w:t>
      </w:r>
      <w:r w:rsidR="00C24B52" w:rsidRPr="00504D41">
        <w:rPr>
          <w:i w:val="0"/>
          <w:iCs w:val="0"/>
          <w:color w:val="auto"/>
          <w:sz w:val="24"/>
          <w:szCs w:val="24"/>
        </w:rPr>
        <w:t xml:space="preserve"> Copyright Wiley 2020</w:t>
      </w:r>
      <w:r w:rsidR="00831185" w:rsidRPr="00504D41">
        <w:rPr>
          <w:i w:val="0"/>
          <w:iCs w:val="0"/>
          <w:color w:val="auto"/>
          <w:sz w:val="24"/>
          <w:szCs w:val="24"/>
        </w:rPr>
        <w:t>.</w:t>
      </w:r>
    </w:p>
    <w:p w14:paraId="1E67C8C8" w14:textId="77777777" w:rsidR="009F43D7" w:rsidRPr="00504D41" w:rsidRDefault="00991587" w:rsidP="00991587">
      <w:pPr>
        <w:spacing w:line="360" w:lineRule="auto"/>
        <w:jc w:val="both"/>
      </w:pPr>
      <w:r w:rsidRPr="00504D41">
        <w:rPr>
          <w:szCs w:val="24"/>
        </w:rPr>
        <w:t xml:space="preserve">From an environmental and health perspective, toxic unreacted monomers and cross-linkers, lack of biodegradability and residual solvents may hinder wide-scale agriculture usage of hydrogels. </w:t>
      </w:r>
      <w:r w:rsidR="00A95C55" w:rsidRPr="00504D41">
        <w:rPr>
          <w:szCs w:val="24"/>
        </w:rPr>
        <w:t xml:space="preserve">The use </w:t>
      </w:r>
      <w:r w:rsidRPr="00504D41">
        <w:rPr>
          <w:szCs w:val="24"/>
        </w:rPr>
        <w:t>of hydrogels derived from biodegradable and renewable materials like sodium alginate, starch enhance</w:t>
      </w:r>
      <w:r w:rsidR="00A95C55" w:rsidRPr="00504D41">
        <w:rPr>
          <w:szCs w:val="24"/>
        </w:rPr>
        <w:t>s</w:t>
      </w:r>
      <w:r w:rsidRPr="00504D41">
        <w:rPr>
          <w:szCs w:val="24"/>
        </w:rPr>
        <w:t xml:space="preserve"> their environmental appeal. Whereas some</w:t>
      </w:r>
      <w:r w:rsidR="006D54C2" w:rsidRPr="00504D41">
        <w:rPr>
          <w:noProof/>
          <w:szCs w:val="24"/>
          <w:vertAlign w:val="superscript"/>
        </w:rPr>
        <w:t>119</w:t>
      </w:r>
      <w:r w:rsidRPr="00504D41">
        <w:rPr>
          <w:szCs w:val="24"/>
        </w:rPr>
        <w:t xml:space="preserve"> have coupled </w:t>
      </w:r>
      <w:r w:rsidR="00A95C55" w:rsidRPr="00504D41">
        <w:rPr>
          <w:szCs w:val="24"/>
        </w:rPr>
        <w:t xml:space="preserve">the </w:t>
      </w:r>
      <w:r w:rsidRPr="00504D41">
        <w:rPr>
          <w:szCs w:val="24"/>
        </w:rPr>
        <w:t>use of green hydrogels with superior on-field performance, many environmentally friendly hydrogels fail to show positive effects on seed growth.</w:t>
      </w:r>
      <w:r w:rsidR="00466A0E" w:rsidRPr="00504D41">
        <w:rPr>
          <w:szCs w:val="24"/>
        </w:rPr>
        <w:t xml:space="preserve"> </w:t>
      </w:r>
      <w:r w:rsidR="006D54C2" w:rsidRPr="00504D41">
        <w:rPr>
          <w:noProof/>
          <w:szCs w:val="24"/>
          <w:vertAlign w:val="superscript"/>
        </w:rPr>
        <w:t>117</w:t>
      </w:r>
      <w:r w:rsidRPr="00504D41">
        <w:rPr>
          <w:szCs w:val="24"/>
        </w:rPr>
        <w:t xml:space="preserve"> Also, caution needs to be exercised before characterizing a system green or sustainable just based on the end product without assessing the reagents or processing parameters. For instance, </w:t>
      </w:r>
      <w:r w:rsidR="00A95C55" w:rsidRPr="00504D41">
        <w:rPr>
          <w:szCs w:val="24"/>
        </w:rPr>
        <w:t xml:space="preserve">the </w:t>
      </w:r>
      <w:r w:rsidRPr="00504D41">
        <w:rPr>
          <w:szCs w:val="24"/>
        </w:rPr>
        <w:t xml:space="preserve">use of </w:t>
      </w:r>
      <w:r w:rsidR="00A95C55" w:rsidRPr="00504D41">
        <w:rPr>
          <w:szCs w:val="24"/>
        </w:rPr>
        <w:t>starch-</w:t>
      </w:r>
      <w:r w:rsidRPr="00504D41">
        <w:rPr>
          <w:szCs w:val="24"/>
        </w:rPr>
        <w:t xml:space="preserve">based hydrogels over traditional fossil fuel based polymers like </w:t>
      </w:r>
      <w:r w:rsidR="00A95C55" w:rsidRPr="00504D41">
        <w:rPr>
          <w:szCs w:val="24"/>
        </w:rPr>
        <w:t xml:space="preserve">polyacrylamide </w:t>
      </w:r>
      <w:r w:rsidRPr="00504D41">
        <w:rPr>
          <w:szCs w:val="24"/>
        </w:rPr>
        <w:t xml:space="preserve">(PAM) and </w:t>
      </w:r>
      <w:r w:rsidR="00A95C55" w:rsidRPr="00504D41">
        <w:rPr>
          <w:szCs w:val="24"/>
        </w:rPr>
        <w:t xml:space="preserve">sodium polyacrylate </w:t>
      </w:r>
      <w:r w:rsidRPr="00504D41">
        <w:rPr>
          <w:szCs w:val="24"/>
        </w:rPr>
        <w:t xml:space="preserve">appears to be more sustainable on the surface.  However, the chemical footprint of the starch extraction process also needs to be accounted for. Starch can be extracted using either wet or dry milling processes. Wet milling entails multiple filtration and alkaline soaking and thus includes large volumes of water and alkalis in addition to sometimes including harsh chemicals like sodium sulfite, toluene, </w:t>
      </w:r>
      <w:r w:rsidRPr="00504D41">
        <w:rPr>
          <w:color w:val="1C1D1E"/>
          <w:szCs w:val="24"/>
          <w:shd w:val="clear" w:color="auto" w:fill="FFFFFF"/>
        </w:rPr>
        <w:t>sodium bisulfite,</w:t>
      </w:r>
      <w:r w:rsidR="00A95C55" w:rsidRPr="00504D41">
        <w:rPr>
          <w:color w:val="1C1D1E"/>
          <w:szCs w:val="24"/>
          <w:shd w:val="clear" w:color="auto" w:fill="FFFFFF"/>
        </w:rPr>
        <w:t xml:space="preserve"> and</w:t>
      </w:r>
      <w:r w:rsidRPr="00504D41">
        <w:rPr>
          <w:color w:val="1C1D1E"/>
          <w:szCs w:val="24"/>
          <w:shd w:val="clear" w:color="auto" w:fill="FFFFFF"/>
        </w:rPr>
        <w:t xml:space="preserve"> sodium metabisulphite</w:t>
      </w:r>
      <w:r w:rsidRPr="00504D41">
        <w:rPr>
          <w:szCs w:val="24"/>
        </w:rPr>
        <w:t>. Dry milling on the other hand includes grain size reduction proceeded by separation through classification, involving less chemical usage but larger starch fragmentation along with a compromise on the purity level of the starch product.</w:t>
      </w:r>
      <w:r w:rsidR="006D54C2" w:rsidRPr="00504D41">
        <w:rPr>
          <w:noProof/>
          <w:szCs w:val="24"/>
          <w:vertAlign w:val="superscript"/>
        </w:rPr>
        <w:t>121,122</w:t>
      </w:r>
      <w:r w:rsidRPr="00504D41">
        <w:rPr>
          <w:szCs w:val="24"/>
        </w:rPr>
        <w:t xml:space="preserve"> In addition, native starch is typically chemically modified or blended with other thermoplastics to improve mechanical properties</w:t>
      </w:r>
      <w:r w:rsidR="00A95C55" w:rsidRPr="00504D41">
        <w:rPr>
          <w:szCs w:val="24"/>
        </w:rPr>
        <w:t>.</w:t>
      </w:r>
      <w:r w:rsidRPr="00504D41">
        <w:rPr>
          <w:szCs w:val="24"/>
        </w:rPr>
        <w:t xml:space="preserve"> </w:t>
      </w:r>
      <w:r w:rsidR="00A95C55" w:rsidRPr="00504D41">
        <w:rPr>
          <w:szCs w:val="24"/>
        </w:rPr>
        <w:t>T</w:t>
      </w:r>
      <w:r w:rsidRPr="00504D41">
        <w:rPr>
          <w:szCs w:val="24"/>
        </w:rPr>
        <w:t>hese modifications may negatively impact the biodegradability of the blend.</w:t>
      </w:r>
      <w:r w:rsidR="006D54C2" w:rsidRPr="00504D41">
        <w:rPr>
          <w:noProof/>
          <w:szCs w:val="24"/>
          <w:vertAlign w:val="superscript"/>
        </w:rPr>
        <w:t>123</w:t>
      </w:r>
      <w:r w:rsidRPr="00504D41">
        <w:rPr>
          <w:szCs w:val="24"/>
        </w:rPr>
        <w:t xml:space="preserve"> As an example, chemical modification of starch as in the study</w:t>
      </w:r>
      <w:r w:rsidR="006D54C2" w:rsidRPr="00504D41">
        <w:rPr>
          <w:noProof/>
          <w:szCs w:val="24"/>
          <w:vertAlign w:val="superscript"/>
        </w:rPr>
        <w:t>119</w:t>
      </w:r>
      <w:r w:rsidRPr="00504D41">
        <w:rPr>
          <w:szCs w:val="24"/>
        </w:rPr>
        <w:t xml:space="preserve"> by Pathak et al</w:t>
      </w:r>
      <w:r w:rsidR="00A95C55" w:rsidRPr="00504D41">
        <w:rPr>
          <w:szCs w:val="24"/>
        </w:rPr>
        <w:t>.</w:t>
      </w:r>
      <w:r w:rsidRPr="00504D41">
        <w:rPr>
          <w:szCs w:val="24"/>
        </w:rPr>
        <w:t xml:space="preserve"> involved</w:t>
      </w:r>
      <w:r w:rsidR="00A95C55" w:rsidRPr="00504D41">
        <w:rPr>
          <w:szCs w:val="24"/>
        </w:rPr>
        <w:t xml:space="preserve"> the</w:t>
      </w:r>
      <w:r w:rsidRPr="00504D41">
        <w:rPr>
          <w:szCs w:val="24"/>
        </w:rPr>
        <w:t xml:space="preserve"> use of dimethylaminopyridine catalyst and sodium hydroxide and methanol as process solvents, chemicals posing significant safety and environmental concerns. Thus, a careful assessment of the synthesis parameters and benefits </w:t>
      </w:r>
      <w:r w:rsidRPr="00504D41">
        <w:rPr>
          <w:szCs w:val="24"/>
        </w:rPr>
        <w:lastRenderedPageBreak/>
        <w:t>achieved in the field is a prerequisite before advocating the use of hydrogel seed coatings</w:t>
      </w:r>
      <w:r w:rsidR="00A95C55" w:rsidRPr="00504D41">
        <w:rPr>
          <w:szCs w:val="24"/>
        </w:rPr>
        <w:t xml:space="preserve"> in farming</w:t>
      </w:r>
      <w:r w:rsidRPr="00504D41">
        <w:rPr>
          <w:szCs w:val="24"/>
        </w:rPr>
        <w:t>.</w:t>
      </w:r>
    </w:p>
    <w:p w14:paraId="0E8E6A9D" w14:textId="77777777" w:rsidR="00E601DE" w:rsidRPr="00504D41" w:rsidRDefault="00C32872" w:rsidP="005009CE">
      <w:pPr>
        <w:rPr>
          <w:b/>
        </w:rPr>
      </w:pPr>
      <w:bookmarkStart w:id="19" w:name="_Toc80791096"/>
      <w:bookmarkStart w:id="20" w:name="_Toc85537937"/>
      <w:r w:rsidRPr="00504D41">
        <w:rPr>
          <w:b/>
        </w:rPr>
        <w:t>4.5.</w:t>
      </w:r>
      <w:r w:rsidR="002A7D72" w:rsidRPr="00504D41">
        <w:rPr>
          <w:b/>
        </w:rPr>
        <w:t xml:space="preserve"> </w:t>
      </w:r>
      <w:r w:rsidR="00E601DE" w:rsidRPr="00504D41">
        <w:rPr>
          <w:b/>
        </w:rPr>
        <w:t>Nanomaterial based seed coatings</w:t>
      </w:r>
      <w:bookmarkEnd w:id="19"/>
      <w:bookmarkEnd w:id="20"/>
      <w:r w:rsidR="00E601DE" w:rsidRPr="00504D41">
        <w:rPr>
          <w:b/>
        </w:rPr>
        <w:t xml:space="preserve"> </w:t>
      </w:r>
    </w:p>
    <w:p w14:paraId="089CC73B" w14:textId="77777777" w:rsidR="00D10BD3" w:rsidRPr="00504D41" w:rsidRDefault="00E601DE" w:rsidP="00D10BD3">
      <w:pPr>
        <w:spacing w:line="360" w:lineRule="auto"/>
        <w:jc w:val="both"/>
        <w:rPr>
          <w:szCs w:val="24"/>
        </w:rPr>
      </w:pPr>
      <w:r w:rsidRPr="00504D41">
        <w:rPr>
          <w:szCs w:val="24"/>
        </w:rPr>
        <w:t>Recent research in the agriculture sector has witnessed the development of innovative seed coating through integrating nanotechnology principles in seed treatment techniques to achieve unprecedented improvements in crop yields</w:t>
      </w:r>
      <w:r w:rsidR="00C9685F" w:rsidRPr="00504D41">
        <w:rPr>
          <w:szCs w:val="24"/>
        </w:rPr>
        <w:t>.</w:t>
      </w:r>
      <w:r w:rsidR="006D54C2" w:rsidRPr="00504D41">
        <w:rPr>
          <w:noProof/>
          <w:szCs w:val="24"/>
          <w:vertAlign w:val="superscript"/>
        </w:rPr>
        <w:t>61,105,124,125</w:t>
      </w:r>
      <w:r w:rsidRPr="00504D41">
        <w:rPr>
          <w:szCs w:val="24"/>
        </w:rPr>
        <w:t xml:space="preserve"> A recent research area in this regard has been the utilization of metal nanoparticles (NP) for crop protection. Widely investigated as seed priming agents</w:t>
      </w:r>
      <w:r w:rsidR="00C9685F" w:rsidRPr="00504D41">
        <w:rPr>
          <w:szCs w:val="24"/>
        </w:rPr>
        <w:t>,</w:t>
      </w:r>
      <w:r w:rsidR="006D54C2" w:rsidRPr="00504D41">
        <w:rPr>
          <w:noProof/>
          <w:szCs w:val="24"/>
          <w:vertAlign w:val="superscript"/>
        </w:rPr>
        <w:t>126,127</w:t>
      </w:r>
      <w:r w:rsidRPr="00504D41">
        <w:rPr>
          <w:szCs w:val="24"/>
        </w:rPr>
        <w:t xml:space="preserve"> studies have also investigated the integration of metal NPs in seed coatings. Adhikari and coworkers coated maize, soybean, pigeon pea and </w:t>
      </w:r>
      <w:r w:rsidR="00894D22" w:rsidRPr="00504D41">
        <w:rPr>
          <w:szCs w:val="24"/>
        </w:rPr>
        <w:t>okra</w:t>
      </w:r>
      <w:r w:rsidRPr="00504D41">
        <w:rPr>
          <w:szCs w:val="24"/>
        </w:rPr>
        <w:t xml:space="preserve"> seeds with </w:t>
      </w:r>
      <w:r w:rsidR="00765772" w:rsidRPr="00504D41">
        <w:rPr>
          <w:szCs w:val="24"/>
        </w:rPr>
        <w:t>zinc oxide (</w:t>
      </w:r>
      <w:r w:rsidRPr="00504D41">
        <w:rPr>
          <w:szCs w:val="24"/>
        </w:rPr>
        <w:t>ZnO</w:t>
      </w:r>
      <w:r w:rsidR="00765772" w:rsidRPr="00504D41">
        <w:rPr>
          <w:szCs w:val="24"/>
        </w:rPr>
        <w:t>)</w:t>
      </w:r>
      <w:r w:rsidRPr="00504D41">
        <w:rPr>
          <w:szCs w:val="24"/>
        </w:rPr>
        <w:t xml:space="preserve"> NP</w:t>
      </w:r>
      <w:r w:rsidR="00F3455D" w:rsidRPr="00504D41">
        <w:rPr>
          <w:szCs w:val="24"/>
        </w:rPr>
        <w:t xml:space="preserve"> </w:t>
      </w:r>
      <w:r w:rsidRPr="00504D41">
        <w:rPr>
          <w:szCs w:val="24"/>
        </w:rPr>
        <w:t>using Pine oleoresin (POR) as the seed coating agent</w:t>
      </w:r>
      <w:r w:rsidR="00C9685F" w:rsidRPr="00504D41">
        <w:rPr>
          <w:szCs w:val="24"/>
        </w:rPr>
        <w:t>.</w:t>
      </w:r>
      <w:r w:rsidR="006D54C2" w:rsidRPr="00504D41">
        <w:rPr>
          <w:noProof/>
          <w:szCs w:val="24"/>
          <w:vertAlign w:val="superscript"/>
        </w:rPr>
        <w:t>124</w:t>
      </w:r>
      <w:r w:rsidRPr="00504D41">
        <w:rPr>
          <w:szCs w:val="24"/>
        </w:rPr>
        <w:t xml:space="preserve"> </w:t>
      </w:r>
      <w:r w:rsidR="00FE42A9" w:rsidRPr="00504D41">
        <w:rPr>
          <w:szCs w:val="24"/>
        </w:rPr>
        <w:t>Pine oleoresi</w:t>
      </w:r>
      <w:r w:rsidR="008A58A0" w:rsidRPr="00504D41">
        <w:rPr>
          <w:szCs w:val="24"/>
        </w:rPr>
        <w:t xml:space="preserve">n is a complex terpenes mixture extracted from living trees. It </w:t>
      </w:r>
      <w:r w:rsidR="00FA5FBC" w:rsidRPr="00504D41">
        <w:rPr>
          <w:szCs w:val="24"/>
        </w:rPr>
        <w:t xml:space="preserve">can be renewably sourced and </w:t>
      </w:r>
      <w:r w:rsidR="00646770" w:rsidRPr="00504D41">
        <w:rPr>
          <w:szCs w:val="24"/>
        </w:rPr>
        <w:t>represents an eco-friendly option.</w:t>
      </w:r>
      <w:r w:rsidR="00FB6765" w:rsidRPr="00504D41">
        <w:rPr>
          <w:szCs w:val="24"/>
        </w:rPr>
        <w:t xml:space="preserve"> </w:t>
      </w:r>
      <w:r w:rsidRPr="00504D41">
        <w:rPr>
          <w:szCs w:val="24"/>
        </w:rPr>
        <w:t xml:space="preserve">In addition to enhanced germination rate, greenhouse trials showed improved root development in plants grown from </w:t>
      </w:r>
      <w:r w:rsidR="00F1416A" w:rsidRPr="00504D41">
        <w:rPr>
          <w:szCs w:val="24"/>
        </w:rPr>
        <w:t xml:space="preserve">seeds coated with nano </w:t>
      </w:r>
      <w:r w:rsidR="000B5B7A" w:rsidRPr="00504D41">
        <w:rPr>
          <w:szCs w:val="24"/>
        </w:rPr>
        <w:t>Zn</w:t>
      </w:r>
      <w:r w:rsidR="00EC36A4" w:rsidRPr="00504D41">
        <w:rPr>
          <w:szCs w:val="24"/>
        </w:rPr>
        <w:t>O</w:t>
      </w:r>
      <w:r w:rsidR="000B5B7A" w:rsidRPr="00504D41">
        <w:rPr>
          <w:szCs w:val="24"/>
        </w:rPr>
        <w:t xml:space="preserve"> particles</w:t>
      </w:r>
      <w:r w:rsidR="00212797" w:rsidRPr="00504D41">
        <w:rPr>
          <w:szCs w:val="24"/>
        </w:rPr>
        <w:t xml:space="preserve"> </w:t>
      </w:r>
      <w:r w:rsidR="00212797" w:rsidRPr="00504D41">
        <w:rPr>
          <w:b/>
          <w:bCs/>
          <w:szCs w:val="24"/>
        </w:rPr>
        <w:t>(Figure 1</w:t>
      </w:r>
      <w:r w:rsidR="00006FF9" w:rsidRPr="00504D41">
        <w:rPr>
          <w:b/>
          <w:bCs/>
          <w:szCs w:val="24"/>
        </w:rPr>
        <w:t>0</w:t>
      </w:r>
      <w:r w:rsidR="00212797" w:rsidRPr="00504D41">
        <w:rPr>
          <w:b/>
          <w:bCs/>
          <w:szCs w:val="24"/>
        </w:rPr>
        <w:t>a)</w:t>
      </w:r>
      <w:r w:rsidRPr="00504D41">
        <w:rPr>
          <w:szCs w:val="24"/>
        </w:rPr>
        <w:t xml:space="preserve">. The authors attributed this improvement to the growth enhancing characteristics of Zn combined with the sustained Zn release obtained from the POR binding coat, which reduced losses </w:t>
      </w:r>
      <w:r w:rsidR="000D7743" w:rsidRPr="00504D41">
        <w:rPr>
          <w:szCs w:val="24"/>
        </w:rPr>
        <w:t>ensuring</w:t>
      </w:r>
      <w:r w:rsidRPr="00504D41">
        <w:rPr>
          <w:szCs w:val="24"/>
        </w:rPr>
        <w:t xml:space="preserve"> enhanced fertilizer activity from the loaded ZnO NP. </w:t>
      </w:r>
      <w:r w:rsidR="0065121B" w:rsidRPr="00504D41">
        <w:rPr>
          <w:szCs w:val="24"/>
        </w:rPr>
        <w:t xml:space="preserve">The seed coating protocol utilizes ethanol as the dispersion solvent for ZnO </w:t>
      </w:r>
      <w:r w:rsidR="00AA4228" w:rsidRPr="00504D41">
        <w:rPr>
          <w:szCs w:val="24"/>
        </w:rPr>
        <w:t>which can be considered benign as per the GSK solvent rating.</w:t>
      </w:r>
      <w:r w:rsidR="006D54C2" w:rsidRPr="00504D41">
        <w:rPr>
          <w:noProof/>
          <w:shd w:val="clear" w:color="auto" w:fill="FCFCFC"/>
          <w:vertAlign w:val="superscript"/>
        </w:rPr>
        <w:t>109</w:t>
      </w:r>
      <w:r w:rsidR="00AA4228" w:rsidRPr="00504D41">
        <w:rPr>
          <w:szCs w:val="24"/>
        </w:rPr>
        <w:t xml:space="preserve"> </w:t>
      </w:r>
      <w:r w:rsidR="00765772" w:rsidRPr="00504D41">
        <w:rPr>
          <w:szCs w:val="24"/>
        </w:rPr>
        <w:t>While the</w:t>
      </w:r>
      <w:r w:rsidR="00AA4228" w:rsidRPr="00504D41">
        <w:rPr>
          <w:szCs w:val="24"/>
        </w:rPr>
        <w:t xml:space="preserve"> </w:t>
      </w:r>
      <w:r w:rsidR="00F61338" w:rsidRPr="00504D41">
        <w:rPr>
          <w:szCs w:val="24"/>
        </w:rPr>
        <w:t xml:space="preserve">overall technique </w:t>
      </w:r>
      <w:r w:rsidR="00765772" w:rsidRPr="00504D41">
        <w:rPr>
          <w:szCs w:val="24"/>
        </w:rPr>
        <w:t xml:space="preserve">seems </w:t>
      </w:r>
      <w:r w:rsidR="00F61338" w:rsidRPr="00504D41">
        <w:rPr>
          <w:szCs w:val="24"/>
        </w:rPr>
        <w:t>promising</w:t>
      </w:r>
      <w:r w:rsidR="004B3611" w:rsidRPr="00504D41">
        <w:rPr>
          <w:szCs w:val="24"/>
        </w:rPr>
        <w:t xml:space="preserve">, </w:t>
      </w:r>
      <w:r w:rsidR="0021341D" w:rsidRPr="00504D41">
        <w:rPr>
          <w:szCs w:val="24"/>
        </w:rPr>
        <w:t xml:space="preserve">the synthesis process of the ZnO particles will have a significant impact on the </w:t>
      </w:r>
      <w:r w:rsidR="006E3912" w:rsidRPr="00504D41">
        <w:rPr>
          <w:szCs w:val="24"/>
        </w:rPr>
        <w:t xml:space="preserve">overall sustainability of the method. </w:t>
      </w:r>
      <w:r w:rsidRPr="00504D41">
        <w:rPr>
          <w:szCs w:val="24"/>
        </w:rPr>
        <w:t>Zhao et al</w:t>
      </w:r>
      <w:r w:rsidR="00765772" w:rsidRPr="00504D41">
        <w:rPr>
          <w:szCs w:val="24"/>
        </w:rPr>
        <w:t>.</w:t>
      </w:r>
      <w:r w:rsidRPr="00504D41">
        <w:rPr>
          <w:szCs w:val="24"/>
        </w:rPr>
        <w:t xml:space="preserve"> coated tomato seeds with a film coating agent (SC7709) mixed wit</w:t>
      </w:r>
      <w:r w:rsidR="000C6CC3" w:rsidRPr="00504D41">
        <w:rPr>
          <w:szCs w:val="24"/>
        </w:rPr>
        <w:t>h</w:t>
      </w:r>
      <w:r w:rsidR="00C1305B" w:rsidRPr="00504D41">
        <w:rPr>
          <w:szCs w:val="24"/>
        </w:rPr>
        <w:t xml:space="preserve"> </w:t>
      </w:r>
      <w:r w:rsidR="00765772" w:rsidRPr="00504D41">
        <w:rPr>
          <w:szCs w:val="24"/>
        </w:rPr>
        <w:t>copper (</w:t>
      </w:r>
      <w:r w:rsidR="00C1305B" w:rsidRPr="00504D41">
        <w:rPr>
          <w:szCs w:val="24"/>
        </w:rPr>
        <w:t>Cu</w:t>
      </w:r>
      <w:r w:rsidR="00765772" w:rsidRPr="00504D41">
        <w:rPr>
          <w:szCs w:val="24"/>
        </w:rPr>
        <w:t>)</w:t>
      </w:r>
      <w:r w:rsidR="00C1305B" w:rsidRPr="00504D41">
        <w:rPr>
          <w:szCs w:val="24"/>
        </w:rPr>
        <w:t xml:space="preserve">, </w:t>
      </w:r>
      <w:r w:rsidR="00765772" w:rsidRPr="00504D41">
        <w:rPr>
          <w:szCs w:val="24"/>
        </w:rPr>
        <w:t>iron (</w:t>
      </w:r>
      <w:r w:rsidR="00C1305B" w:rsidRPr="00504D41">
        <w:rPr>
          <w:szCs w:val="24"/>
        </w:rPr>
        <w:t>Fe</w:t>
      </w:r>
      <w:r w:rsidR="00765772" w:rsidRPr="00504D41">
        <w:rPr>
          <w:szCs w:val="24"/>
        </w:rPr>
        <w:t>)</w:t>
      </w:r>
      <w:r w:rsidR="00C1305B" w:rsidRPr="00504D41">
        <w:rPr>
          <w:szCs w:val="24"/>
        </w:rPr>
        <w:t xml:space="preserve"> and</w:t>
      </w:r>
      <w:r w:rsidR="00CE6281" w:rsidRPr="00504D41">
        <w:rPr>
          <w:szCs w:val="24"/>
        </w:rPr>
        <w:t xml:space="preserve"> Zn NPs</w:t>
      </w:r>
      <w:r w:rsidR="004A7770" w:rsidRPr="00504D41">
        <w:rPr>
          <w:szCs w:val="24"/>
        </w:rPr>
        <w:t>.</w:t>
      </w:r>
      <w:r w:rsidR="006D54C2" w:rsidRPr="00504D41">
        <w:rPr>
          <w:noProof/>
          <w:szCs w:val="24"/>
          <w:vertAlign w:val="superscript"/>
        </w:rPr>
        <w:t>125</w:t>
      </w:r>
      <w:r w:rsidRPr="00504D41">
        <w:rPr>
          <w:szCs w:val="24"/>
        </w:rPr>
        <w:t xml:space="preserve"> No significant difference in germination rates of the NPs coated seeds was observed compared to untreated controls whereas significant improvements were reported in the internode length (Fe and Zn NPs)</w:t>
      </w:r>
      <w:r w:rsidR="000D7743" w:rsidRPr="00504D41">
        <w:rPr>
          <w:szCs w:val="24"/>
        </w:rPr>
        <w:t xml:space="preserve">, </w:t>
      </w:r>
      <w:r w:rsidRPr="00504D41">
        <w:rPr>
          <w:szCs w:val="24"/>
        </w:rPr>
        <w:t>average tomato weight (Cu and Fe NPs)</w:t>
      </w:r>
      <w:r w:rsidR="000D7743" w:rsidRPr="00504D41">
        <w:rPr>
          <w:szCs w:val="24"/>
        </w:rPr>
        <w:t xml:space="preserve"> </w:t>
      </w:r>
      <w:r w:rsidRPr="00504D41">
        <w:rPr>
          <w:szCs w:val="24"/>
        </w:rPr>
        <w:t>and tomato yield (Cu and Fe NPs)</w:t>
      </w:r>
      <w:r w:rsidR="00C24A2E" w:rsidRPr="00504D41">
        <w:rPr>
          <w:szCs w:val="24"/>
        </w:rPr>
        <w:t xml:space="preserve"> (Figure 1</w:t>
      </w:r>
      <w:r w:rsidR="005231AF" w:rsidRPr="00504D41">
        <w:rPr>
          <w:szCs w:val="24"/>
        </w:rPr>
        <w:t>0</w:t>
      </w:r>
      <w:r w:rsidR="000D7743" w:rsidRPr="00504D41">
        <w:rPr>
          <w:szCs w:val="24"/>
        </w:rPr>
        <w:t xml:space="preserve"> </w:t>
      </w:r>
      <w:r w:rsidR="00C24A2E" w:rsidRPr="00504D41">
        <w:rPr>
          <w:szCs w:val="24"/>
        </w:rPr>
        <w:t>b)</w:t>
      </w:r>
      <w:r w:rsidRPr="00504D41">
        <w:rPr>
          <w:szCs w:val="24"/>
        </w:rPr>
        <w:t>. In addition to showing enhanced growth symptoms</w:t>
      </w:r>
      <w:r w:rsidR="00C24A2E" w:rsidRPr="00504D41">
        <w:rPr>
          <w:szCs w:val="24"/>
        </w:rPr>
        <w:t xml:space="preserve">, </w:t>
      </w:r>
      <w:r w:rsidRPr="00504D41">
        <w:rPr>
          <w:szCs w:val="24"/>
        </w:rPr>
        <w:t>plants grown from metal NP coated seeds also exhibited resistance to infections (</w:t>
      </w:r>
      <w:r w:rsidRPr="00504D41">
        <w:rPr>
          <w:i/>
          <w:iCs/>
          <w:szCs w:val="24"/>
        </w:rPr>
        <w:t>Fusarium</w:t>
      </w:r>
      <w:r w:rsidRPr="00504D41">
        <w:rPr>
          <w:szCs w:val="24"/>
        </w:rPr>
        <w:t xml:space="preserve"> and </w:t>
      </w:r>
      <w:r w:rsidRPr="00504D41">
        <w:rPr>
          <w:i/>
          <w:iCs/>
          <w:szCs w:val="24"/>
        </w:rPr>
        <w:t>bacterial wilt, late blight</w:t>
      </w:r>
      <w:r w:rsidRPr="00504D41">
        <w:rPr>
          <w:szCs w:val="24"/>
        </w:rPr>
        <w:t xml:space="preserve">). Although the environmental risk assessment of metal NPs still needs to be ascertained, the study shows that metal NPs can act as both </w:t>
      </w:r>
      <w:r w:rsidR="00765772" w:rsidRPr="00504D41">
        <w:rPr>
          <w:szCs w:val="24"/>
        </w:rPr>
        <w:t>growth-</w:t>
      </w:r>
      <w:r w:rsidRPr="00504D41">
        <w:rPr>
          <w:szCs w:val="24"/>
        </w:rPr>
        <w:t xml:space="preserve">promoting and anti-pathogenic agents in seed treatments and hold the potential to replace conventional agrochemicals (section </w:t>
      </w:r>
      <w:r w:rsidR="00563378" w:rsidRPr="00504D41">
        <w:rPr>
          <w:szCs w:val="24"/>
        </w:rPr>
        <w:t>3</w:t>
      </w:r>
      <w:r w:rsidRPr="00504D41">
        <w:rPr>
          <w:szCs w:val="24"/>
        </w:rPr>
        <w:t>.2).</w:t>
      </w:r>
      <w:r w:rsidR="001D1818" w:rsidRPr="00504D41">
        <w:rPr>
          <w:szCs w:val="24"/>
        </w:rPr>
        <w:t xml:space="preserve"> The </w:t>
      </w:r>
      <w:r w:rsidR="00CE5C9E" w:rsidRPr="00504D41">
        <w:rPr>
          <w:szCs w:val="24"/>
        </w:rPr>
        <w:t xml:space="preserve">NPs were produced by the flow levitation method </w:t>
      </w:r>
      <w:r w:rsidR="008B57BA" w:rsidRPr="00504D41">
        <w:rPr>
          <w:szCs w:val="24"/>
        </w:rPr>
        <w:t xml:space="preserve">in which </w:t>
      </w:r>
      <w:r w:rsidR="00466A0E" w:rsidRPr="00504D41">
        <w:rPr>
          <w:szCs w:val="24"/>
        </w:rPr>
        <w:t xml:space="preserve">molten metal </w:t>
      </w:r>
      <w:r w:rsidR="001A2325" w:rsidRPr="00504D41">
        <w:rPr>
          <w:szCs w:val="24"/>
        </w:rPr>
        <w:t>suspended in an electromagnetic field</w:t>
      </w:r>
      <w:r w:rsidR="00626B21" w:rsidRPr="00504D41">
        <w:rPr>
          <w:szCs w:val="24"/>
        </w:rPr>
        <w:t xml:space="preserve"> is </w:t>
      </w:r>
      <w:r w:rsidR="00713EAA" w:rsidRPr="00504D41">
        <w:rPr>
          <w:szCs w:val="24"/>
        </w:rPr>
        <w:t xml:space="preserve">condensed </w:t>
      </w:r>
      <w:r w:rsidR="00120694" w:rsidRPr="00504D41">
        <w:rPr>
          <w:szCs w:val="24"/>
        </w:rPr>
        <w:t>into nano-sized particles</w:t>
      </w:r>
      <w:r w:rsidR="00626B21" w:rsidRPr="00504D41">
        <w:rPr>
          <w:szCs w:val="24"/>
        </w:rPr>
        <w:t xml:space="preserve"> through </w:t>
      </w:r>
      <w:r w:rsidR="00713EAA" w:rsidRPr="00504D41">
        <w:rPr>
          <w:szCs w:val="24"/>
        </w:rPr>
        <w:t>tuning the metal temperature and pressure</w:t>
      </w:r>
      <w:r w:rsidR="00120694" w:rsidRPr="00504D41">
        <w:rPr>
          <w:szCs w:val="24"/>
        </w:rPr>
        <w:t xml:space="preserve">. This technique produces </w:t>
      </w:r>
      <w:r w:rsidR="00765772" w:rsidRPr="00504D41">
        <w:rPr>
          <w:szCs w:val="24"/>
        </w:rPr>
        <w:t xml:space="preserve">high purity metal powders via </w:t>
      </w:r>
      <w:r w:rsidR="00120694" w:rsidRPr="00504D41">
        <w:rPr>
          <w:szCs w:val="24"/>
        </w:rPr>
        <w:t>conta</w:t>
      </w:r>
      <w:r w:rsidR="007B7751" w:rsidRPr="00504D41">
        <w:rPr>
          <w:szCs w:val="24"/>
        </w:rPr>
        <w:t xml:space="preserve">iner less </w:t>
      </w:r>
      <w:r w:rsidR="007B7751" w:rsidRPr="00504D41">
        <w:rPr>
          <w:szCs w:val="24"/>
        </w:rPr>
        <w:lastRenderedPageBreak/>
        <w:t xml:space="preserve">metal melting and does not involve </w:t>
      </w:r>
      <w:r w:rsidR="00765772" w:rsidRPr="00504D41">
        <w:rPr>
          <w:szCs w:val="24"/>
        </w:rPr>
        <w:t xml:space="preserve">the </w:t>
      </w:r>
      <w:r w:rsidR="007B7751" w:rsidRPr="00504D41">
        <w:rPr>
          <w:szCs w:val="24"/>
        </w:rPr>
        <w:t xml:space="preserve">use of toxic solvents and is thus </w:t>
      </w:r>
      <w:r w:rsidR="0003278B" w:rsidRPr="00504D41">
        <w:rPr>
          <w:szCs w:val="24"/>
        </w:rPr>
        <w:t>environmentally friendly.</w:t>
      </w:r>
      <w:r w:rsidR="006D54C2" w:rsidRPr="00504D41">
        <w:rPr>
          <w:noProof/>
          <w:szCs w:val="24"/>
          <w:vertAlign w:val="superscript"/>
        </w:rPr>
        <w:t>128,129</w:t>
      </w:r>
      <w:r w:rsidR="0003278B" w:rsidRPr="00504D41">
        <w:rPr>
          <w:szCs w:val="24"/>
        </w:rPr>
        <w:t xml:space="preserve"> However, the high</w:t>
      </w:r>
      <w:r w:rsidR="00765772" w:rsidRPr="00504D41">
        <w:rPr>
          <w:szCs w:val="24"/>
        </w:rPr>
        <w:t xml:space="preserve"> costs associated with the</w:t>
      </w:r>
      <w:r w:rsidR="0003278B" w:rsidRPr="00504D41">
        <w:rPr>
          <w:szCs w:val="24"/>
        </w:rPr>
        <w:t xml:space="preserve"> equipment </w:t>
      </w:r>
      <w:r w:rsidR="008E500F" w:rsidRPr="00504D41">
        <w:rPr>
          <w:szCs w:val="24"/>
        </w:rPr>
        <w:t xml:space="preserve">and energy </w:t>
      </w:r>
      <w:r w:rsidR="00765772" w:rsidRPr="00504D41">
        <w:rPr>
          <w:szCs w:val="24"/>
        </w:rPr>
        <w:t xml:space="preserve">consumption </w:t>
      </w:r>
      <w:r w:rsidR="0003278B" w:rsidRPr="00504D41">
        <w:rPr>
          <w:szCs w:val="24"/>
        </w:rPr>
        <w:t xml:space="preserve">might be a deterrent </w:t>
      </w:r>
      <w:r w:rsidR="00E53983" w:rsidRPr="00504D41">
        <w:rPr>
          <w:szCs w:val="24"/>
        </w:rPr>
        <w:t>for</w:t>
      </w:r>
      <w:r w:rsidR="0003278B" w:rsidRPr="00504D41">
        <w:rPr>
          <w:szCs w:val="24"/>
        </w:rPr>
        <w:t xml:space="preserve"> agricultural </w:t>
      </w:r>
      <w:r w:rsidR="00E53983" w:rsidRPr="00504D41">
        <w:rPr>
          <w:szCs w:val="24"/>
        </w:rPr>
        <w:t>applications</w:t>
      </w:r>
      <w:r w:rsidR="004F273A" w:rsidRPr="00504D41">
        <w:rPr>
          <w:szCs w:val="24"/>
        </w:rPr>
        <w:t xml:space="preserve"> </w:t>
      </w:r>
      <w:r w:rsidR="00765772" w:rsidRPr="00504D41">
        <w:rPr>
          <w:szCs w:val="24"/>
        </w:rPr>
        <w:t>for both</w:t>
      </w:r>
      <w:r w:rsidR="004F273A" w:rsidRPr="00504D41">
        <w:rPr>
          <w:szCs w:val="24"/>
        </w:rPr>
        <w:t xml:space="preserve"> </w:t>
      </w:r>
      <w:r w:rsidR="00765772" w:rsidRPr="00504D41">
        <w:rPr>
          <w:szCs w:val="24"/>
        </w:rPr>
        <w:t>resource deficient</w:t>
      </w:r>
      <w:r w:rsidR="004F273A" w:rsidRPr="00504D41">
        <w:rPr>
          <w:szCs w:val="24"/>
        </w:rPr>
        <w:t xml:space="preserve"> regions</w:t>
      </w:r>
      <w:r w:rsidR="00765772" w:rsidRPr="00504D41">
        <w:rPr>
          <w:szCs w:val="24"/>
        </w:rPr>
        <w:t xml:space="preserve"> and also for mechanized farming in developed countries</w:t>
      </w:r>
      <w:r w:rsidR="00E53983" w:rsidRPr="00504D41">
        <w:rPr>
          <w:szCs w:val="24"/>
        </w:rPr>
        <w:t xml:space="preserve">. </w:t>
      </w:r>
      <w:r w:rsidRPr="00504D41">
        <w:rPr>
          <w:szCs w:val="24"/>
        </w:rPr>
        <w:t>Recently, Abeywardana and coworkers have demonstrated the development and use of novel Z</w:t>
      </w:r>
      <w:r w:rsidR="00D20AA0" w:rsidRPr="00504D41">
        <w:rPr>
          <w:szCs w:val="24"/>
        </w:rPr>
        <w:t>inc</w:t>
      </w:r>
      <w:r w:rsidRPr="00504D41">
        <w:rPr>
          <w:szCs w:val="24"/>
        </w:rPr>
        <w:t>-doped hydroxyapatite (HA)/urea nanohybrid materials for coating seeds to achieve seed based crop protection</w:t>
      </w:r>
      <w:r w:rsidR="004A7770" w:rsidRPr="00504D41">
        <w:rPr>
          <w:szCs w:val="24"/>
        </w:rPr>
        <w:t>.</w:t>
      </w:r>
      <w:r w:rsidR="006D54C2" w:rsidRPr="00504D41">
        <w:rPr>
          <w:noProof/>
          <w:szCs w:val="24"/>
          <w:shd w:val="clear" w:color="auto" w:fill="FFFFFF"/>
          <w:vertAlign w:val="superscript"/>
        </w:rPr>
        <w:t>130</w:t>
      </w:r>
      <w:r w:rsidRPr="00504D41">
        <w:rPr>
          <w:szCs w:val="24"/>
        </w:rPr>
        <w:t xml:space="preserve"> </w:t>
      </w:r>
      <w:r w:rsidR="00765772" w:rsidRPr="00504D41">
        <w:rPr>
          <w:szCs w:val="24"/>
        </w:rPr>
        <w:t>The seed coatings were synthesized with sodium alginate, CMC and calcium chloride while t</w:t>
      </w:r>
      <w:r w:rsidR="007A7689" w:rsidRPr="00504D41">
        <w:rPr>
          <w:szCs w:val="24"/>
        </w:rPr>
        <w:t xml:space="preserve">he hybrids were produced through dropwise addition of </w:t>
      </w:r>
      <w:r w:rsidR="00DC050C" w:rsidRPr="00504D41">
        <w:rPr>
          <w:szCs w:val="24"/>
        </w:rPr>
        <w:t xml:space="preserve">phosphoric acid into a suspension of urea and calcium hydroxide. </w:t>
      </w:r>
      <w:r w:rsidRPr="00504D41">
        <w:rPr>
          <w:szCs w:val="24"/>
        </w:rPr>
        <w:t xml:space="preserve">Loading of </w:t>
      </w:r>
      <w:r w:rsidR="00765772" w:rsidRPr="00504D41">
        <w:rPr>
          <w:szCs w:val="24"/>
        </w:rPr>
        <w:t xml:space="preserve">Zn </w:t>
      </w:r>
      <w:r w:rsidRPr="00504D41">
        <w:rPr>
          <w:szCs w:val="24"/>
        </w:rPr>
        <w:t xml:space="preserve">and urea within the </w:t>
      </w:r>
      <w:r w:rsidR="005143A8" w:rsidRPr="00504D41">
        <w:rPr>
          <w:szCs w:val="24"/>
        </w:rPr>
        <w:t>hybrids</w:t>
      </w:r>
      <w:r w:rsidRPr="00504D41">
        <w:rPr>
          <w:szCs w:val="24"/>
        </w:rPr>
        <w:t xml:space="preserve"> enabled sustained delivery </w:t>
      </w:r>
      <w:r w:rsidR="00D20AA0" w:rsidRPr="00504D41">
        <w:rPr>
          <w:szCs w:val="24"/>
        </w:rPr>
        <w:t xml:space="preserve">of </w:t>
      </w:r>
      <w:r w:rsidR="00765772" w:rsidRPr="00504D41">
        <w:rPr>
          <w:szCs w:val="24"/>
        </w:rPr>
        <w:t xml:space="preserve">Zn </w:t>
      </w:r>
      <w:r w:rsidRPr="00504D41">
        <w:rPr>
          <w:szCs w:val="24"/>
        </w:rPr>
        <w:t>and N</w:t>
      </w:r>
      <w:r w:rsidR="00D20AA0" w:rsidRPr="00504D41">
        <w:rPr>
          <w:szCs w:val="24"/>
        </w:rPr>
        <w:t>itrogen</w:t>
      </w:r>
      <w:r w:rsidRPr="00504D41">
        <w:rPr>
          <w:szCs w:val="24"/>
        </w:rPr>
        <w:t xml:space="preserve"> whereas the HA NPs served as P</w:t>
      </w:r>
      <w:r w:rsidR="00253E38" w:rsidRPr="00504D41">
        <w:rPr>
          <w:szCs w:val="24"/>
        </w:rPr>
        <w:t>ho</w:t>
      </w:r>
      <w:r w:rsidR="00112E3E" w:rsidRPr="00504D41">
        <w:rPr>
          <w:szCs w:val="24"/>
        </w:rPr>
        <w:t>sphorus</w:t>
      </w:r>
      <w:r w:rsidRPr="00504D41">
        <w:rPr>
          <w:szCs w:val="24"/>
        </w:rPr>
        <w:t xml:space="preserve"> source</w:t>
      </w:r>
      <w:r w:rsidR="00765772" w:rsidRPr="00504D41">
        <w:rPr>
          <w:szCs w:val="24"/>
        </w:rPr>
        <w:t xml:space="preserve">- </w:t>
      </w:r>
      <w:r w:rsidRPr="00504D41">
        <w:rPr>
          <w:szCs w:val="24"/>
        </w:rPr>
        <w:t>a macronutrient required during early growth</w:t>
      </w:r>
      <w:r w:rsidR="00765772" w:rsidRPr="00504D41">
        <w:rPr>
          <w:szCs w:val="24"/>
        </w:rPr>
        <w:t xml:space="preserve"> period</w:t>
      </w:r>
      <w:r w:rsidRPr="00504D41">
        <w:rPr>
          <w:szCs w:val="24"/>
        </w:rPr>
        <w:t>. Seedling growth assays on maize seeds showed significant improvements in germination rates</w:t>
      </w:r>
      <w:r w:rsidR="005174BF" w:rsidRPr="00504D41">
        <w:rPr>
          <w:szCs w:val="24"/>
        </w:rPr>
        <w:t xml:space="preserve"> (Figure 1</w:t>
      </w:r>
      <w:r w:rsidR="005231AF" w:rsidRPr="00504D41">
        <w:rPr>
          <w:szCs w:val="24"/>
        </w:rPr>
        <w:t>0</w:t>
      </w:r>
      <w:r w:rsidR="000D7743" w:rsidRPr="00504D41">
        <w:rPr>
          <w:szCs w:val="24"/>
        </w:rPr>
        <w:t>c</w:t>
      </w:r>
      <w:r w:rsidR="005174BF" w:rsidRPr="00504D41">
        <w:rPr>
          <w:szCs w:val="24"/>
        </w:rPr>
        <w:t>)</w:t>
      </w:r>
      <w:r w:rsidRPr="00504D41">
        <w:rPr>
          <w:szCs w:val="24"/>
        </w:rPr>
        <w:t>, plant height</w:t>
      </w:r>
      <w:r w:rsidR="005D3E9B" w:rsidRPr="00504D41">
        <w:rPr>
          <w:szCs w:val="24"/>
        </w:rPr>
        <w:t xml:space="preserve"> </w:t>
      </w:r>
      <w:r w:rsidRPr="00504D41">
        <w:rPr>
          <w:szCs w:val="24"/>
        </w:rPr>
        <w:t>and dry weight</w:t>
      </w:r>
      <w:r w:rsidR="005D3E9B" w:rsidRPr="00504D41">
        <w:rPr>
          <w:szCs w:val="24"/>
        </w:rPr>
        <w:t xml:space="preserve"> (Figure 1</w:t>
      </w:r>
      <w:r w:rsidR="005231AF" w:rsidRPr="00504D41">
        <w:rPr>
          <w:szCs w:val="24"/>
        </w:rPr>
        <w:t>0</w:t>
      </w:r>
      <w:r w:rsidR="000D7743" w:rsidRPr="00504D41">
        <w:rPr>
          <w:szCs w:val="24"/>
        </w:rPr>
        <w:t>d</w:t>
      </w:r>
      <w:r w:rsidR="005D3E9B" w:rsidRPr="00504D41">
        <w:rPr>
          <w:szCs w:val="24"/>
        </w:rPr>
        <w:t xml:space="preserve">) </w:t>
      </w:r>
      <w:r w:rsidRPr="00504D41">
        <w:rPr>
          <w:szCs w:val="24"/>
        </w:rPr>
        <w:t xml:space="preserve">with the proposed </w:t>
      </w:r>
      <w:r w:rsidR="00765772" w:rsidRPr="00504D41">
        <w:rPr>
          <w:szCs w:val="24"/>
        </w:rPr>
        <w:t>Zn</w:t>
      </w:r>
      <w:r w:rsidRPr="00504D41">
        <w:rPr>
          <w:szCs w:val="24"/>
        </w:rPr>
        <w:t>-HA/urea coating compared to HA only, Z</w:t>
      </w:r>
      <w:r w:rsidR="00ED53E5" w:rsidRPr="00504D41">
        <w:rPr>
          <w:szCs w:val="24"/>
        </w:rPr>
        <w:t>i</w:t>
      </w:r>
      <w:r w:rsidRPr="00504D41">
        <w:rPr>
          <w:szCs w:val="24"/>
        </w:rPr>
        <w:t>n</w:t>
      </w:r>
      <w:r w:rsidR="00ED53E5" w:rsidRPr="00504D41">
        <w:rPr>
          <w:szCs w:val="24"/>
        </w:rPr>
        <w:t>c</w:t>
      </w:r>
      <w:r w:rsidRPr="00504D41">
        <w:rPr>
          <w:szCs w:val="24"/>
        </w:rPr>
        <w:t xml:space="preserve">-HA and untreated controls, revealing the synergistic effect of </w:t>
      </w:r>
      <w:r w:rsidR="00765772" w:rsidRPr="00504D41">
        <w:rPr>
          <w:szCs w:val="24"/>
        </w:rPr>
        <w:t>Zn</w:t>
      </w:r>
      <w:r w:rsidRPr="00504D41">
        <w:rPr>
          <w:szCs w:val="24"/>
        </w:rPr>
        <w:t>, N</w:t>
      </w:r>
      <w:r w:rsidR="00ED53E5" w:rsidRPr="00504D41">
        <w:rPr>
          <w:szCs w:val="24"/>
        </w:rPr>
        <w:t>itrogen</w:t>
      </w:r>
      <w:r w:rsidRPr="00504D41">
        <w:rPr>
          <w:szCs w:val="24"/>
        </w:rPr>
        <w:t xml:space="preserve"> and P</w:t>
      </w:r>
      <w:r w:rsidR="00ED53E5" w:rsidRPr="00504D41">
        <w:rPr>
          <w:szCs w:val="24"/>
        </w:rPr>
        <w:t>hosphorus</w:t>
      </w:r>
      <w:r w:rsidRPr="00504D41">
        <w:rPr>
          <w:szCs w:val="24"/>
        </w:rPr>
        <w:t xml:space="preserve"> release attained from the hybrid materials in enhancing plant growth. Soil leachate analysis from the coated seeds revealed negligible amounts of N</w:t>
      </w:r>
      <w:r w:rsidR="00ED53E5" w:rsidRPr="00504D41">
        <w:rPr>
          <w:szCs w:val="24"/>
        </w:rPr>
        <w:t>itrogen</w:t>
      </w:r>
      <w:r w:rsidRPr="00504D41">
        <w:rPr>
          <w:szCs w:val="24"/>
        </w:rPr>
        <w:t xml:space="preserve"> and </w:t>
      </w:r>
      <w:r w:rsidR="00765772" w:rsidRPr="00504D41">
        <w:rPr>
          <w:szCs w:val="24"/>
        </w:rPr>
        <w:t xml:space="preserve">Zn </w:t>
      </w:r>
      <w:r w:rsidRPr="00504D41">
        <w:rPr>
          <w:szCs w:val="24"/>
        </w:rPr>
        <w:t>verifying the</w:t>
      </w:r>
      <w:r w:rsidR="00214911" w:rsidRPr="00504D41">
        <w:rPr>
          <w:szCs w:val="24"/>
        </w:rPr>
        <w:t>ir</w:t>
      </w:r>
      <w:r w:rsidRPr="00504D41">
        <w:rPr>
          <w:szCs w:val="24"/>
        </w:rPr>
        <w:t xml:space="preserve"> utilization by the coated seeds. The promising results from the study need to be followed up by field trials to corroborate their superior performance in enhancing plant growth in actual field conditions. </w:t>
      </w:r>
      <w:r w:rsidR="004A7D7F" w:rsidRPr="00504D41">
        <w:rPr>
          <w:szCs w:val="24"/>
        </w:rPr>
        <w:t>However, t</w:t>
      </w:r>
      <w:r w:rsidR="0049559D" w:rsidRPr="00504D41">
        <w:rPr>
          <w:szCs w:val="24"/>
        </w:rPr>
        <w:t xml:space="preserve">he batch scale synthesis process and the use of acid and alkalis during the synthesis necessitates caution </w:t>
      </w:r>
      <w:r w:rsidR="00682065" w:rsidRPr="00504D41">
        <w:rPr>
          <w:szCs w:val="24"/>
        </w:rPr>
        <w:t xml:space="preserve">for ensuring safe handling and preventing </w:t>
      </w:r>
      <w:r w:rsidR="00A94279" w:rsidRPr="00504D41">
        <w:rPr>
          <w:szCs w:val="24"/>
        </w:rPr>
        <w:t xml:space="preserve">emissions and </w:t>
      </w:r>
      <w:r w:rsidR="00682065" w:rsidRPr="00504D41">
        <w:rPr>
          <w:szCs w:val="24"/>
        </w:rPr>
        <w:t xml:space="preserve">any leakage of unreacted chemicals in the finished products. </w:t>
      </w:r>
      <w:r w:rsidR="00D170EE" w:rsidRPr="00504D41">
        <w:rPr>
          <w:szCs w:val="24"/>
        </w:rPr>
        <w:t>The</w:t>
      </w:r>
      <w:r w:rsidR="00FF2542" w:rsidRPr="00504D41">
        <w:rPr>
          <w:szCs w:val="24"/>
        </w:rPr>
        <w:t xml:space="preserve"> </w:t>
      </w:r>
      <w:r w:rsidR="00466A0E" w:rsidRPr="00504D41">
        <w:rPr>
          <w:szCs w:val="24"/>
        </w:rPr>
        <w:t>environmental</w:t>
      </w:r>
      <w:r w:rsidR="00FF2542" w:rsidRPr="00504D41">
        <w:rPr>
          <w:szCs w:val="24"/>
        </w:rPr>
        <w:t xml:space="preserve"> footprint can be improved through adoption of sustainable production methods for </w:t>
      </w:r>
      <w:r w:rsidR="00765772" w:rsidRPr="00504D41">
        <w:rPr>
          <w:szCs w:val="24"/>
        </w:rPr>
        <w:t>HA</w:t>
      </w:r>
      <w:r w:rsidR="001D73A3" w:rsidRPr="00504D41">
        <w:rPr>
          <w:szCs w:val="24"/>
        </w:rPr>
        <w:t>.</w:t>
      </w:r>
      <w:r w:rsidR="006D54C2" w:rsidRPr="00504D41">
        <w:rPr>
          <w:noProof/>
          <w:szCs w:val="24"/>
          <w:vertAlign w:val="superscript"/>
        </w:rPr>
        <w:t>131</w:t>
      </w:r>
      <w:r w:rsidR="001D73A3" w:rsidRPr="00504D41">
        <w:rPr>
          <w:szCs w:val="24"/>
        </w:rPr>
        <w:t xml:space="preserve"> Another concern that needs to be addressed is the biodegradability of the proposed nanohybrid. </w:t>
      </w:r>
      <w:r w:rsidRPr="00504D41">
        <w:rPr>
          <w:szCs w:val="24"/>
        </w:rPr>
        <w:t xml:space="preserve">Thus, it can be concluded that nanotechnology in addition to being widely investigated for various agricultural applications has also permeated the domains of seed treatment with promising results being reported by various researchers. </w:t>
      </w:r>
    </w:p>
    <w:p w14:paraId="0193CCC6" w14:textId="77777777" w:rsidR="00D10BD3" w:rsidRPr="00504D41" w:rsidRDefault="00D10BD3" w:rsidP="00D10BD3">
      <w:pPr>
        <w:spacing w:line="360" w:lineRule="auto"/>
        <w:jc w:val="both"/>
        <w:rPr>
          <w:szCs w:val="24"/>
        </w:rPr>
      </w:pPr>
      <w:r w:rsidRPr="00504D41">
        <w:rPr>
          <w:szCs w:val="24"/>
        </w:rPr>
        <w:t>Sustainability concerns related to agriculture usage of nanoparticles include associated safety concerns</w:t>
      </w:r>
      <w:r w:rsidR="006D54C2" w:rsidRPr="00504D41">
        <w:rPr>
          <w:noProof/>
          <w:szCs w:val="24"/>
          <w:vertAlign w:val="superscript"/>
        </w:rPr>
        <w:t>132</w:t>
      </w:r>
      <w:r w:rsidRPr="00504D41">
        <w:rPr>
          <w:szCs w:val="24"/>
        </w:rPr>
        <w:t xml:space="preserve"> and the operational and environmental hazards encountered during the synthesis process. Typical nanoparticle synthesis involves </w:t>
      </w:r>
      <w:r w:rsidR="00765772" w:rsidRPr="00504D41">
        <w:rPr>
          <w:szCs w:val="24"/>
        </w:rPr>
        <w:t xml:space="preserve">the </w:t>
      </w:r>
      <w:r w:rsidRPr="00504D41">
        <w:rPr>
          <w:szCs w:val="24"/>
        </w:rPr>
        <w:t xml:space="preserve">use of capping and reducing agents and reaction solvents. Capping agents arrest particle growth and agglomeration and are typically </w:t>
      </w:r>
      <w:r w:rsidR="00765772" w:rsidRPr="00504D41">
        <w:rPr>
          <w:szCs w:val="24"/>
        </w:rPr>
        <w:t>long-</w:t>
      </w:r>
      <w:r w:rsidRPr="00504D41">
        <w:rPr>
          <w:szCs w:val="24"/>
        </w:rPr>
        <w:t>chain hydrocarbons with heteroatom functionalities. Typical reducing agents include reactive compounds like formaldehyd</w:t>
      </w:r>
      <w:r w:rsidR="00186A82" w:rsidRPr="00504D41">
        <w:rPr>
          <w:szCs w:val="24"/>
        </w:rPr>
        <w:t>e</w:t>
      </w:r>
      <w:r w:rsidRPr="00504D41">
        <w:rPr>
          <w:szCs w:val="24"/>
        </w:rPr>
        <w:t xml:space="preserve">, hydrazine and sodium borohydride. The chemical </w:t>
      </w:r>
      <w:r w:rsidRPr="00504D41">
        <w:rPr>
          <w:szCs w:val="24"/>
        </w:rPr>
        <w:lastRenderedPageBreak/>
        <w:t xml:space="preserve">toxicities and safety issues associated with both capping and reducing agents present significant challenges in </w:t>
      </w:r>
      <w:r w:rsidR="00765772" w:rsidRPr="00504D41">
        <w:rPr>
          <w:szCs w:val="24"/>
        </w:rPr>
        <w:t xml:space="preserve">the </w:t>
      </w:r>
      <w:r w:rsidRPr="00504D41">
        <w:rPr>
          <w:szCs w:val="24"/>
        </w:rPr>
        <w:t>sustainable scaling-up of nanoparticle synthesis. Transition to green reagents and microbe assisted synthesis of nanoparticles may appease some of the</w:t>
      </w:r>
      <w:r w:rsidR="00765772" w:rsidRPr="00504D41">
        <w:rPr>
          <w:szCs w:val="24"/>
        </w:rPr>
        <w:t>se</w:t>
      </w:r>
      <w:r w:rsidRPr="00504D41">
        <w:rPr>
          <w:szCs w:val="24"/>
        </w:rPr>
        <w:t xml:space="preserve"> concerns. However, more fundamental studies are needed to fully understand the pathways of </w:t>
      </w:r>
      <w:r w:rsidR="00765772" w:rsidRPr="00504D41">
        <w:rPr>
          <w:szCs w:val="24"/>
        </w:rPr>
        <w:t>microbe-</w:t>
      </w:r>
      <w:r w:rsidRPr="00504D41">
        <w:rPr>
          <w:szCs w:val="24"/>
        </w:rPr>
        <w:t>derived nanoparticle synthesis to achieve optimum control over particle size to facilitate their utilization in value added applications.</w:t>
      </w:r>
      <w:r w:rsidR="000E4B24" w:rsidRPr="00504D41">
        <w:rPr>
          <w:szCs w:val="24"/>
        </w:rPr>
        <w:t xml:space="preserve"> </w:t>
      </w:r>
      <w:r w:rsidR="006D54C2" w:rsidRPr="00504D41">
        <w:rPr>
          <w:noProof/>
          <w:szCs w:val="24"/>
          <w:vertAlign w:val="superscript"/>
        </w:rPr>
        <w:t>133</w:t>
      </w:r>
    </w:p>
    <w:p w14:paraId="1E236D19" w14:textId="77777777" w:rsidR="00D22299" w:rsidRPr="00504D41" w:rsidRDefault="000057B3" w:rsidP="0016445D">
      <w:pPr>
        <w:keepNext/>
        <w:spacing w:line="360" w:lineRule="auto"/>
        <w:rPr>
          <w:szCs w:val="24"/>
        </w:rPr>
      </w:pPr>
      <w:r w:rsidRPr="00504D41">
        <w:rPr>
          <w:noProof/>
        </w:rPr>
        <w:pict w14:anchorId="42D54260">
          <v:shape id="Picture 32" o:spid="_x0000_i1035" type="#_x0000_t75" alt="Bar chart&#10;&#10;Description automatically generated with low confidence" style="width:451.25pt;height:351.65pt;visibility:visible">
            <v:imagedata r:id="rId22" o:title="Bar chart&#10;&#10;Description automatically generated with low confidence"/>
          </v:shape>
        </w:pict>
      </w:r>
    </w:p>
    <w:p w14:paraId="501D0F28" w14:textId="77777777" w:rsidR="00957BD6" w:rsidRPr="00504D41" w:rsidRDefault="000A7901" w:rsidP="0016445D">
      <w:pPr>
        <w:spacing w:line="360" w:lineRule="auto"/>
        <w:jc w:val="both"/>
        <w:rPr>
          <w:szCs w:val="24"/>
          <w:shd w:val="clear" w:color="auto" w:fill="FFFFFF"/>
        </w:rPr>
      </w:pPr>
      <w:r w:rsidRPr="00504D41">
        <w:rPr>
          <w:b/>
          <w:bCs/>
          <w:szCs w:val="24"/>
        </w:rPr>
        <w:t xml:space="preserve">Figure </w:t>
      </w:r>
      <w:r w:rsidRPr="00504D41">
        <w:rPr>
          <w:b/>
          <w:bCs/>
          <w:szCs w:val="24"/>
        </w:rPr>
        <w:fldChar w:fldCharType="begin"/>
      </w:r>
      <w:r w:rsidRPr="00504D41">
        <w:rPr>
          <w:b/>
          <w:bCs/>
          <w:szCs w:val="24"/>
        </w:rPr>
        <w:instrText xml:space="preserve"> SEQ Figure \* ARABIC </w:instrText>
      </w:r>
      <w:r w:rsidRPr="00504D41">
        <w:rPr>
          <w:b/>
          <w:bCs/>
          <w:szCs w:val="24"/>
        </w:rPr>
        <w:fldChar w:fldCharType="separate"/>
      </w:r>
      <w:r w:rsidR="003D0A6B" w:rsidRPr="00504D41">
        <w:rPr>
          <w:b/>
          <w:bCs/>
          <w:noProof/>
          <w:szCs w:val="24"/>
        </w:rPr>
        <w:t>10</w:t>
      </w:r>
      <w:r w:rsidRPr="00504D41">
        <w:rPr>
          <w:b/>
          <w:bCs/>
          <w:szCs w:val="24"/>
        </w:rPr>
        <w:fldChar w:fldCharType="end"/>
      </w:r>
      <w:r w:rsidR="00AB5CCF" w:rsidRPr="00504D41">
        <w:rPr>
          <w:szCs w:val="24"/>
        </w:rPr>
        <w:t>.</w:t>
      </w:r>
      <w:r w:rsidRPr="00504D41">
        <w:rPr>
          <w:szCs w:val="24"/>
        </w:rPr>
        <w:t xml:space="preserve"> </w:t>
      </w:r>
      <w:r w:rsidR="008F3551" w:rsidRPr="00504D41">
        <w:rPr>
          <w:szCs w:val="24"/>
          <w:shd w:val="clear" w:color="auto" w:fill="FFFFFF"/>
        </w:rPr>
        <w:t xml:space="preserve">(a) Results from greenhouse trials of ZnO coated maize, soybean, pigeon pea and ladies finger seeds. Treatments tested included 25 and 50 mg of Zn/g seed obtained from nano (&lt;100 nm) and normal (&lt; 3 µm) ZnO powder, whereas uncoated seeds and seeds sown in soil treated with </w:t>
      </w:r>
      <w:r w:rsidR="00765772" w:rsidRPr="00504D41">
        <w:rPr>
          <w:szCs w:val="24"/>
          <w:shd w:val="clear" w:color="auto" w:fill="FFFFFF"/>
        </w:rPr>
        <w:t>zinc sulphate (</w:t>
      </w:r>
      <w:r w:rsidR="008F3551" w:rsidRPr="00504D41">
        <w:rPr>
          <w:szCs w:val="24"/>
          <w:shd w:val="clear" w:color="auto" w:fill="FFFFFF"/>
        </w:rPr>
        <w:t>ZnSO</w:t>
      </w:r>
      <w:r w:rsidR="008F3551" w:rsidRPr="00504D41">
        <w:rPr>
          <w:szCs w:val="24"/>
          <w:shd w:val="clear" w:color="auto" w:fill="FFFFFF"/>
          <w:vertAlign w:val="subscript"/>
        </w:rPr>
        <w:t>4</w:t>
      </w:r>
      <w:r w:rsidR="008F3551" w:rsidRPr="00504D41">
        <w:rPr>
          <w:szCs w:val="24"/>
          <w:shd w:val="clear" w:color="auto" w:fill="FFFFFF"/>
        </w:rPr>
        <w:t>.</w:t>
      </w:r>
      <w:r w:rsidR="00765772" w:rsidRPr="00504D41">
        <w:rPr>
          <w:szCs w:val="24"/>
          <w:shd w:val="clear" w:color="auto" w:fill="FFFFFF"/>
        </w:rPr>
        <w:t>7H</w:t>
      </w:r>
      <w:r w:rsidR="00765772" w:rsidRPr="00504D41">
        <w:rPr>
          <w:szCs w:val="24"/>
          <w:shd w:val="clear" w:color="auto" w:fill="FFFFFF"/>
          <w:vertAlign w:val="subscript"/>
        </w:rPr>
        <w:t>2</w:t>
      </w:r>
      <w:r w:rsidR="00765772" w:rsidRPr="00504D41">
        <w:rPr>
          <w:szCs w:val="24"/>
          <w:shd w:val="clear" w:color="auto" w:fill="FFFFFF"/>
        </w:rPr>
        <w:t>O)</w:t>
      </w:r>
      <w:r w:rsidR="008F3551" w:rsidRPr="00504D41">
        <w:rPr>
          <w:szCs w:val="24"/>
          <w:shd w:val="clear" w:color="auto" w:fill="FFFFFF"/>
        </w:rPr>
        <w:t xml:space="preserve"> were used as controls. For all vegetables, ZnO coating showed higher dry matter weight compared to untreated controls. 50 mg nano Zn/g seed, </w:t>
      </w:r>
      <w:r w:rsidR="005143A8" w:rsidRPr="00504D41">
        <w:rPr>
          <w:szCs w:val="24"/>
          <w:shd w:val="clear" w:color="auto" w:fill="FFFFFF"/>
        </w:rPr>
        <w:t xml:space="preserve">resulted in the highest </w:t>
      </w:r>
      <w:r w:rsidR="008F3551" w:rsidRPr="00504D41">
        <w:rPr>
          <w:szCs w:val="24"/>
          <w:shd w:val="clear" w:color="auto" w:fill="FFFFFF"/>
        </w:rPr>
        <w:t xml:space="preserve">dry shoot weight amongst all the samples and controls. Adapted </w:t>
      </w:r>
      <w:r w:rsidR="00E27839" w:rsidRPr="00504D41">
        <w:rPr>
          <w:szCs w:val="24"/>
          <w:shd w:val="clear" w:color="auto" w:fill="FFFFFF"/>
        </w:rPr>
        <w:t>with permission</w:t>
      </w:r>
      <w:r w:rsidR="00573106" w:rsidRPr="00504D41">
        <w:rPr>
          <w:szCs w:val="24"/>
          <w:shd w:val="clear" w:color="auto" w:fill="FFFFFF"/>
        </w:rPr>
        <w:t>.</w:t>
      </w:r>
      <w:r w:rsidR="006D54C2" w:rsidRPr="00504D41">
        <w:rPr>
          <w:noProof/>
          <w:vertAlign w:val="superscript"/>
        </w:rPr>
        <w:t>124</w:t>
      </w:r>
      <w:r w:rsidR="008F3551" w:rsidRPr="00504D41">
        <w:rPr>
          <w:szCs w:val="24"/>
          <w:shd w:val="clear" w:color="auto" w:fill="FFFFFF"/>
        </w:rPr>
        <w:t xml:space="preserve"> Copyright Taylor &amp; Francis 2016. (b) Results from greenhouse trials of tomato </w:t>
      </w:r>
      <w:r w:rsidR="008F3551" w:rsidRPr="00504D41">
        <w:rPr>
          <w:szCs w:val="24"/>
          <w:shd w:val="clear" w:color="auto" w:fill="FFFFFF"/>
        </w:rPr>
        <w:lastRenderedPageBreak/>
        <w:t>seeds coated with (1) Cu, (2) Fe, (3) Zn nanoparticles incorporated seed coating. NP1 and NP2 refer to lower and higher NP concentration respectively such that for Cu: NP1 = 2x10</w:t>
      </w:r>
      <w:r w:rsidR="008F3551" w:rsidRPr="00504D41">
        <w:rPr>
          <w:szCs w:val="24"/>
          <w:shd w:val="clear" w:color="auto" w:fill="FFFFFF"/>
          <w:vertAlign w:val="superscript"/>
        </w:rPr>
        <w:t>-9</w:t>
      </w:r>
      <w:r w:rsidR="008F3551" w:rsidRPr="00504D41">
        <w:rPr>
          <w:szCs w:val="24"/>
          <w:shd w:val="clear" w:color="auto" w:fill="FFFFFF"/>
        </w:rPr>
        <w:t>mM and NP2 = 2 x 10</w:t>
      </w:r>
      <w:r w:rsidR="008F3551" w:rsidRPr="00504D41">
        <w:rPr>
          <w:szCs w:val="24"/>
          <w:shd w:val="clear" w:color="auto" w:fill="FFFFFF"/>
          <w:vertAlign w:val="superscript"/>
        </w:rPr>
        <w:t>-8</w:t>
      </w:r>
      <w:r w:rsidR="008F3551" w:rsidRPr="00504D41">
        <w:rPr>
          <w:szCs w:val="24"/>
          <w:shd w:val="clear" w:color="auto" w:fill="FFFFFF"/>
        </w:rPr>
        <w:t>mM, Fe: NP1 = 1.18 x 10</w:t>
      </w:r>
      <w:r w:rsidR="008F3551" w:rsidRPr="00504D41">
        <w:rPr>
          <w:szCs w:val="24"/>
          <w:shd w:val="clear" w:color="auto" w:fill="FFFFFF"/>
          <w:vertAlign w:val="superscript"/>
        </w:rPr>
        <w:t>-5</w:t>
      </w:r>
      <w:r w:rsidR="008F3551" w:rsidRPr="00504D41">
        <w:rPr>
          <w:szCs w:val="24"/>
          <w:shd w:val="clear" w:color="auto" w:fill="FFFFFF"/>
        </w:rPr>
        <w:t>mM, NP2 = 1.8 x 10</w:t>
      </w:r>
      <w:r w:rsidR="008F3551" w:rsidRPr="00504D41">
        <w:rPr>
          <w:szCs w:val="24"/>
          <w:shd w:val="clear" w:color="auto" w:fill="FFFFFF"/>
          <w:vertAlign w:val="superscript"/>
        </w:rPr>
        <w:t>-4</w:t>
      </w:r>
      <w:r w:rsidR="008F3551" w:rsidRPr="00504D41">
        <w:rPr>
          <w:szCs w:val="24"/>
          <w:shd w:val="clear" w:color="auto" w:fill="FFFFFF"/>
        </w:rPr>
        <w:t>mM, Zn: NP1 = 4.6 x 10</w:t>
      </w:r>
      <w:r w:rsidR="008F3551" w:rsidRPr="00504D41">
        <w:rPr>
          <w:szCs w:val="24"/>
          <w:shd w:val="clear" w:color="auto" w:fill="FFFFFF"/>
          <w:vertAlign w:val="superscript"/>
        </w:rPr>
        <w:t>-6</w:t>
      </w:r>
      <w:r w:rsidR="008F3551" w:rsidRPr="00504D41">
        <w:rPr>
          <w:szCs w:val="24"/>
          <w:shd w:val="clear" w:color="auto" w:fill="FFFFFF"/>
        </w:rPr>
        <w:t>mM, NP2 = 4.6 x 10</w:t>
      </w:r>
      <w:r w:rsidR="008F3551" w:rsidRPr="00504D41">
        <w:rPr>
          <w:szCs w:val="24"/>
          <w:shd w:val="clear" w:color="auto" w:fill="FFFFFF"/>
          <w:vertAlign w:val="superscript"/>
        </w:rPr>
        <w:t>-5</w:t>
      </w:r>
      <w:r w:rsidR="008F3551" w:rsidRPr="00504D41">
        <w:rPr>
          <w:szCs w:val="24"/>
          <w:shd w:val="clear" w:color="auto" w:fill="FFFFFF"/>
        </w:rPr>
        <w:t xml:space="preserve"> Mm. CK denotes uncoated seeds as controls. Figure adapted from an open access article</w:t>
      </w:r>
      <w:r w:rsidR="003814F8" w:rsidRPr="00504D41">
        <w:rPr>
          <w:szCs w:val="24"/>
          <w:shd w:val="clear" w:color="auto" w:fill="FFFFFF"/>
        </w:rPr>
        <w:t>.</w:t>
      </w:r>
      <w:r w:rsidR="006D54C2" w:rsidRPr="00504D41">
        <w:rPr>
          <w:noProof/>
          <w:vertAlign w:val="superscript"/>
        </w:rPr>
        <w:t>125</w:t>
      </w:r>
      <w:r w:rsidR="008F3551" w:rsidRPr="00504D41">
        <w:rPr>
          <w:szCs w:val="24"/>
          <w:shd w:val="clear" w:color="auto" w:fill="FFFFFF"/>
        </w:rPr>
        <w:t xml:space="preserve"> Cu and Fe NP incorporated seed coating significantly in</w:t>
      </w:r>
      <w:r w:rsidR="00466A0E" w:rsidRPr="00504D41">
        <w:rPr>
          <w:szCs w:val="24"/>
          <w:shd w:val="clear" w:color="auto" w:fill="FFFFFF"/>
        </w:rPr>
        <w:t xml:space="preserve">creased tomato yield per plant </w:t>
      </w:r>
      <w:r w:rsidR="008F3551" w:rsidRPr="00504D41">
        <w:rPr>
          <w:szCs w:val="24"/>
          <w:shd w:val="clear" w:color="auto" w:fill="FFFFFF"/>
        </w:rPr>
        <w:t>(c-d) Germination and pot trial results of maize seeds coated with zinc-doped urea−hydroxyapatite nanohybrid. Similar letters represent statistically similar means (P &gt; 0.05). (e) Image and scatter plot showing enhanced growth of HA-Z</w:t>
      </w:r>
      <w:r w:rsidR="00F11B7B" w:rsidRPr="00504D41">
        <w:rPr>
          <w:szCs w:val="24"/>
          <w:shd w:val="clear" w:color="auto" w:fill="FFFFFF"/>
        </w:rPr>
        <w:t>i</w:t>
      </w:r>
      <w:r w:rsidR="008F3551" w:rsidRPr="00504D41">
        <w:rPr>
          <w:szCs w:val="24"/>
          <w:shd w:val="clear" w:color="auto" w:fill="FFFFFF"/>
        </w:rPr>
        <w:t>n</w:t>
      </w:r>
      <w:r w:rsidR="00F11B7B" w:rsidRPr="00504D41">
        <w:rPr>
          <w:szCs w:val="24"/>
          <w:shd w:val="clear" w:color="auto" w:fill="FFFFFF"/>
        </w:rPr>
        <w:t>c</w:t>
      </w:r>
      <w:r w:rsidR="008F3551" w:rsidRPr="00504D41">
        <w:rPr>
          <w:szCs w:val="24"/>
          <w:shd w:val="clear" w:color="auto" w:fill="FFFFFF"/>
        </w:rPr>
        <w:t>-urea coating compared to controls 14 days after germination. (d) Z</w:t>
      </w:r>
      <w:r w:rsidR="00F11B7B" w:rsidRPr="00504D41">
        <w:rPr>
          <w:szCs w:val="24"/>
          <w:shd w:val="clear" w:color="auto" w:fill="FFFFFF"/>
        </w:rPr>
        <w:t>i</w:t>
      </w:r>
      <w:r w:rsidR="008F3551" w:rsidRPr="00504D41">
        <w:rPr>
          <w:szCs w:val="24"/>
          <w:shd w:val="clear" w:color="auto" w:fill="FFFFFF"/>
        </w:rPr>
        <w:t>n</w:t>
      </w:r>
      <w:r w:rsidR="00F11B7B" w:rsidRPr="00504D41">
        <w:rPr>
          <w:szCs w:val="24"/>
          <w:shd w:val="clear" w:color="auto" w:fill="FFFFFF"/>
        </w:rPr>
        <w:t>c</w:t>
      </w:r>
      <w:r w:rsidR="008F3551" w:rsidRPr="00504D41">
        <w:rPr>
          <w:szCs w:val="24"/>
          <w:shd w:val="clear" w:color="auto" w:fill="FFFFFF"/>
        </w:rPr>
        <w:t>-HA/urea coated seedlings showed significantly higher plant height and dry weight compared to uncoated seeds. Figure adapted with permission</w:t>
      </w:r>
      <w:r w:rsidR="00400647" w:rsidRPr="00504D41">
        <w:rPr>
          <w:szCs w:val="24"/>
          <w:shd w:val="clear" w:color="auto" w:fill="FFFFFF"/>
        </w:rPr>
        <w:t>.</w:t>
      </w:r>
      <w:r w:rsidR="006D54C2" w:rsidRPr="00504D41">
        <w:rPr>
          <w:noProof/>
          <w:vertAlign w:val="superscript"/>
        </w:rPr>
        <w:t>130</w:t>
      </w:r>
      <w:r w:rsidR="003814F8" w:rsidRPr="00504D41">
        <w:rPr>
          <w:szCs w:val="24"/>
          <w:shd w:val="clear" w:color="auto" w:fill="FFFFFF"/>
        </w:rPr>
        <w:t xml:space="preserve"> </w:t>
      </w:r>
      <w:r w:rsidR="008F3551" w:rsidRPr="00504D41">
        <w:rPr>
          <w:szCs w:val="24"/>
          <w:shd w:val="clear" w:color="auto" w:fill="FFFFFF"/>
        </w:rPr>
        <w:t>Copyright 2021 American Chemical Society</w:t>
      </w:r>
      <w:r w:rsidR="00DF2DF6" w:rsidRPr="00504D41">
        <w:rPr>
          <w:szCs w:val="24"/>
          <w:shd w:val="clear" w:color="auto" w:fill="FFFFFF"/>
        </w:rPr>
        <w:t xml:space="preserve">. </w:t>
      </w:r>
    </w:p>
    <w:p w14:paraId="05DB43EB" w14:textId="77777777" w:rsidR="00765772" w:rsidRPr="00504D41" w:rsidRDefault="00765772" w:rsidP="005009CE">
      <w:pPr>
        <w:rPr>
          <w:b/>
        </w:rPr>
      </w:pPr>
      <w:bookmarkStart w:id="21" w:name="_Toc80791097"/>
      <w:bookmarkStart w:id="22" w:name="_Toc85537938"/>
    </w:p>
    <w:p w14:paraId="47C94A04" w14:textId="77777777" w:rsidR="00EA445F" w:rsidRPr="00504D41" w:rsidRDefault="00C32872" w:rsidP="005009CE">
      <w:pPr>
        <w:rPr>
          <w:b/>
        </w:rPr>
      </w:pPr>
      <w:r w:rsidRPr="00504D41">
        <w:rPr>
          <w:b/>
        </w:rPr>
        <w:t>4.6.</w:t>
      </w:r>
      <w:r w:rsidR="002A7D72" w:rsidRPr="00504D41">
        <w:rPr>
          <w:b/>
        </w:rPr>
        <w:t xml:space="preserve"> </w:t>
      </w:r>
      <w:r w:rsidR="00EA445F" w:rsidRPr="00504D41">
        <w:rPr>
          <w:b/>
        </w:rPr>
        <w:t>Multilayered seed coatings</w:t>
      </w:r>
      <w:bookmarkEnd w:id="21"/>
      <w:bookmarkEnd w:id="22"/>
    </w:p>
    <w:p w14:paraId="10294569" w14:textId="77777777" w:rsidR="00F373E5" w:rsidRPr="00504D41" w:rsidRDefault="00EA445F" w:rsidP="0016445D">
      <w:pPr>
        <w:spacing w:line="360" w:lineRule="auto"/>
        <w:jc w:val="both"/>
      </w:pPr>
      <w:r w:rsidRPr="00504D41">
        <w:rPr>
          <w:szCs w:val="24"/>
        </w:rPr>
        <w:t>The variability and complex nature of required seed treatments</w:t>
      </w:r>
      <w:r w:rsidR="002011B6" w:rsidRPr="00504D41">
        <w:rPr>
          <w:szCs w:val="24"/>
        </w:rPr>
        <w:t xml:space="preserve"> </w:t>
      </w:r>
      <w:r w:rsidRPr="00504D41">
        <w:rPr>
          <w:szCs w:val="24"/>
        </w:rPr>
        <w:t>ha</w:t>
      </w:r>
      <w:r w:rsidR="000F5A35" w:rsidRPr="00504D41">
        <w:rPr>
          <w:szCs w:val="24"/>
        </w:rPr>
        <w:t>ve</w:t>
      </w:r>
      <w:r w:rsidRPr="00504D41">
        <w:rPr>
          <w:szCs w:val="24"/>
        </w:rPr>
        <w:t xml:space="preserve"> motivated the design of multilayered customized seed coatings to cater to various biotic and abiotic stresses hindering plant growth. In an early patent</w:t>
      </w:r>
      <w:r w:rsidR="00802222" w:rsidRPr="00504D41">
        <w:rPr>
          <w:szCs w:val="24"/>
        </w:rPr>
        <w:t>,</w:t>
      </w:r>
      <w:r w:rsidR="006D54C2" w:rsidRPr="00504D41">
        <w:rPr>
          <w:noProof/>
          <w:szCs w:val="24"/>
          <w:vertAlign w:val="superscript"/>
        </w:rPr>
        <w:t>134</w:t>
      </w:r>
      <w:r w:rsidRPr="00504D41">
        <w:rPr>
          <w:szCs w:val="24"/>
        </w:rPr>
        <w:t xml:space="preserve"> Lynch disclosed the design of a bi-layer seed coating consisting of an internal polymer coating enclosed within an external augmentation coating layer. Whereas the internal polymer coating would protect the seeds from environmental and osmotic damage, the secondary coat would be incorporated with requisite AI that would wash away from the polymer layer and provide a local concentration of the AI around the seed. The patent mentioned the use of cellulose acetate phthalate for the synthesis of the inner coat, which owing to its strength yet simultaneous gas permeability, would be ideal for the application. For the secondary augmentation layer, any suitable cellulose derivative or polymers like PVA, copolyvidone are mentioned as examples. Although promising, specific examples of plants or crops that can potentially benefit from the proposed dual coating would have further strengthened the claims of the inven</w:t>
      </w:r>
      <w:r w:rsidR="00CE6281" w:rsidRPr="00504D41">
        <w:rPr>
          <w:szCs w:val="24"/>
        </w:rPr>
        <w:t>tion.</w:t>
      </w:r>
      <w:r w:rsidR="00B77827" w:rsidRPr="00504D41">
        <w:rPr>
          <w:szCs w:val="24"/>
        </w:rPr>
        <w:t xml:space="preserve"> </w:t>
      </w:r>
      <w:r w:rsidR="00F373E5" w:rsidRPr="00504D41">
        <w:t xml:space="preserve">In an innovative </w:t>
      </w:r>
      <w:r w:rsidR="000F5A35" w:rsidRPr="00504D41">
        <w:t>nature-</w:t>
      </w:r>
      <w:r w:rsidR="00F373E5" w:rsidRPr="00504D41">
        <w:t>inspired approach Halter et al</w:t>
      </w:r>
      <w:r w:rsidR="006D54C2" w:rsidRPr="00504D41">
        <w:rPr>
          <w:noProof/>
          <w:vertAlign w:val="superscript"/>
        </w:rPr>
        <w:t>135</w:t>
      </w:r>
      <w:r w:rsidR="00F373E5" w:rsidRPr="00504D41">
        <w:t xml:space="preserve"> proposed cyanogenic seed protection through coating seeds with cyanogenic precursors and enzymes separated via biodegradable polymer layers. </w:t>
      </w:r>
      <w:r w:rsidR="000F5A35" w:rsidRPr="00504D41">
        <w:t xml:space="preserve">Cyanogenic is an internal defense mechanism through which plants can resist pest infestations by producing hydrogen cyanide which acts as a toxin against the pest. </w:t>
      </w:r>
      <w:r w:rsidR="00F373E5" w:rsidRPr="00504D41">
        <w:t>As proof of concept, wheat seeds were coated with layers of cyanogenic precursor mandelonitrile and enzyme hydroxynitrile lyase separated via</w:t>
      </w:r>
      <w:r w:rsidR="009E1049" w:rsidRPr="00504D41">
        <w:t xml:space="preserve"> </w:t>
      </w:r>
      <w:r w:rsidR="00F373E5" w:rsidRPr="00504D41">
        <w:t xml:space="preserve">polylactic </w:t>
      </w:r>
      <w:r w:rsidR="00F373E5" w:rsidRPr="00504D41">
        <w:lastRenderedPageBreak/>
        <w:t xml:space="preserve">acid layers. Upon attack by a herbivore, the separating layers would rupture leading to contact between the precursor and enzyme resulting in </w:t>
      </w:r>
      <w:r w:rsidR="000F5A35" w:rsidRPr="00504D41">
        <w:t>hydrogen cyanid</w:t>
      </w:r>
      <w:r w:rsidR="00E80474" w:rsidRPr="00504D41">
        <w:t>e</w:t>
      </w:r>
      <w:r w:rsidR="000F5A35" w:rsidRPr="00504D41">
        <w:t xml:space="preserve"> </w:t>
      </w:r>
      <w:r w:rsidR="00F373E5" w:rsidRPr="00504D41">
        <w:t xml:space="preserve">production. Although promising, germination trials showed reduced germination in coated wheat seeds compared to untreated controls. In a follow-up </w:t>
      </w:r>
      <w:r w:rsidR="000F5A35" w:rsidRPr="00504D41">
        <w:t>article</w:t>
      </w:r>
      <w:r w:rsidR="006D54C2" w:rsidRPr="00504D41">
        <w:rPr>
          <w:noProof/>
          <w:vertAlign w:val="superscript"/>
        </w:rPr>
        <w:t>136</w:t>
      </w:r>
      <w:r w:rsidR="000F5A35" w:rsidRPr="00504D41">
        <w:t xml:space="preserve"> </w:t>
      </w:r>
      <w:r w:rsidR="00F373E5" w:rsidRPr="00504D41">
        <w:t xml:space="preserve">by the same group, a modified cyanogenic multilayered seed coating was proposed consisting of amygdalin as the precursor and β-glucosidase as the enzyme separated by the </w:t>
      </w:r>
      <w:r w:rsidR="00984948" w:rsidRPr="00504D41">
        <w:t>polylactic acid layers. G</w:t>
      </w:r>
      <w:r w:rsidR="00F373E5" w:rsidRPr="00504D41">
        <w:t xml:space="preserve">ermination trials of coated wheat seeds showed germination rates similar to untreated controls, </w:t>
      </w:r>
      <w:r w:rsidR="00984948" w:rsidRPr="00504D41">
        <w:t xml:space="preserve">while </w:t>
      </w:r>
      <w:r w:rsidR="00F373E5" w:rsidRPr="00504D41">
        <w:t xml:space="preserve">field trials demonstrated reduced infestation rates against common pests including </w:t>
      </w:r>
      <w:r w:rsidR="00F373E5" w:rsidRPr="00504D41">
        <w:rPr>
          <w:i/>
          <w:iCs/>
        </w:rPr>
        <w:t xml:space="preserve">T. molitor, R. dominica, </w:t>
      </w:r>
      <w:r w:rsidR="00F373E5" w:rsidRPr="00504D41">
        <w:t>and</w:t>
      </w:r>
      <w:r w:rsidR="00F373E5" w:rsidRPr="00504D41">
        <w:rPr>
          <w:i/>
          <w:iCs/>
        </w:rPr>
        <w:t xml:space="preserve"> P. interpunctella</w:t>
      </w:r>
      <w:r w:rsidR="00F373E5" w:rsidRPr="00504D41">
        <w:t>. Although some negative impacts like reduced seedling leaves, and reduced germination w</w:t>
      </w:r>
      <w:r w:rsidR="000F5A35" w:rsidRPr="00504D41">
        <w:t>ere</w:t>
      </w:r>
      <w:r w:rsidR="00F373E5" w:rsidRPr="00504D41">
        <w:t xml:space="preserve"> observed in field experiments, the proposed coatings offer an ingenious method to control pest infestations without </w:t>
      </w:r>
      <w:r w:rsidR="000F5A35" w:rsidRPr="00504D41">
        <w:t xml:space="preserve">the </w:t>
      </w:r>
      <w:r w:rsidR="00F373E5" w:rsidRPr="00504D41">
        <w:t>use of conventional agrochemicals.</w:t>
      </w:r>
    </w:p>
    <w:p w14:paraId="1A588B56" w14:textId="77777777" w:rsidR="00EF2B73" w:rsidRPr="00504D41" w:rsidRDefault="00CE6281" w:rsidP="00EF2B73">
      <w:pPr>
        <w:spacing w:line="360" w:lineRule="auto"/>
        <w:jc w:val="both"/>
        <w:rPr>
          <w:sz w:val="22"/>
        </w:rPr>
      </w:pPr>
      <w:r w:rsidRPr="00504D41">
        <w:rPr>
          <w:szCs w:val="24"/>
        </w:rPr>
        <w:t>A recent pioneering study</w:t>
      </w:r>
      <w:r w:rsidR="006D54C2" w:rsidRPr="00504D41">
        <w:rPr>
          <w:noProof/>
          <w:szCs w:val="24"/>
          <w:vertAlign w:val="superscript"/>
        </w:rPr>
        <w:t>61</w:t>
      </w:r>
      <w:r w:rsidR="00EA445F" w:rsidRPr="00504D41">
        <w:rPr>
          <w:szCs w:val="24"/>
        </w:rPr>
        <w:t xml:space="preserve"> has demonstrated the use of programmable seed coatings.</w:t>
      </w:r>
      <w:r w:rsidR="009E1049" w:rsidRPr="00504D41">
        <w:rPr>
          <w:szCs w:val="24"/>
        </w:rPr>
        <w:t xml:space="preserve"> </w:t>
      </w:r>
      <w:r w:rsidR="00EA445F" w:rsidRPr="00504D41">
        <w:rPr>
          <w:szCs w:val="24"/>
        </w:rPr>
        <w:t>The</w:t>
      </w:r>
      <w:r w:rsidR="0026653A" w:rsidRPr="00504D41">
        <w:rPr>
          <w:szCs w:val="24"/>
        </w:rPr>
        <w:t xml:space="preserve"> proposed</w:t>
      </w:r>
      <w:r w:rsidR="00EA445F" w:rsidRPr="00504D41">
        <w:rPr>
          <w:szCs w:val="24"/>
        </w:rPr>
        <w:t xml:space="preserve"> coatings consisted of an inner layer consisting of a mixture of silk fibroin and trehalose incorporated with growth-promoting rhizobacteria and an outer layer of pectin/carboxymethylcellulose</w:t>
      </w:r>
      <w:r w:rsidR="001019DE" w:rsidRPr="00504D41">
        <w:rPr>
          <w:szCs w:val="24"/>
        </w:rPr>
        <w:t xml:space="preserve"> (CMC)</w:t>
      </w:r>
      <w:r w:rsidR="00EA445F" w:rsidRPr="00504D41">
        <w:rPr>
          <w:szCs w:val="24"/>
        </w:rPr>
        <w:t xml:space="preserve"> hydrogel, which would provide a suitable growth medium for the rhizobia as well as a water jacket for the seed in arid soils</w:t>
      </w:r>
      <w:r w:rsidR="00AA19AF" w:rsidRPr="00504D41">
        <w:rPr>
          <w:szCs w:val="24"/>
        </w:rPr>
        <w:t xml:space="preserve"> </w:t>
      </w:r>
      <w:r w:rsidR="00AA19AF" w:rsidRPr="00504D41">
        <w:rPr>
          <w:b/>
          <w:bCs/>
          <w:szCs w:val="24"/>
        </w:rPr>
        <w:t>(Figure 1</w:t>
      </w:r>
      <w:r w:rsidR="00FA07E9" w:rsidRPr="00504D41">
        <w:rPr>
          <w:b/>
          <w:bCs/>
          <w:szCs w:val="24"/>
        </w:rPr>
        <w:t>1</w:t>
      </w:r>
      <w:r w:rsidR="00AA19AF" w:rsidRPr="00504D41">
        <w:rPr>
          <w:b/>
          <w:bCs/>
          <w:szCs w:val="24"/>
        </w:rPr>
        <w:t>a)</w:t>
      </w:r>
      <w:r w:rsidR="00EA445F" w:rsidRPr="00504D41">
        <w:rPr>
          <w:szCs w:val="24"/>
        </w:rPr>
        <w:t>.</w:t>
      </w:r>
      <w:r w:rsidR="00AF4CEE" w:rsidRPr="00504D41">
        <w:rPr>
          <w:szCs w:val="24"/>
        </w:rPr>
        <w:t xml:space="preserve"> The </w:t>
      </w:r>
      <w:r w:rsidR="001D4C8A" w:rsidRPr="00504D41">
        <w:rPr>
          <w:szCs w:val="24"/>
        </w:rPr>
        <w:t xml:space="preserve">pectin/CMC gels were prepared by </w:t>
      </w:r>
      <w:r w:rsidR="000F5A35" w:rsidRPr="00504D41">
        <w:rPr>
          <w:szCs w:val="24"/>
        </w:rPr>
        <w:t xml:space="preserve">the </w:t>
      </w:r>
      <w:r w:rsidR="00FB0B35" w:rsidRPr="00504D41">
        <w:rPr>
          <w:szCs w:val="24"/>
        </w:rPr>
        <w:t>addition of CaCl</w:t>
      </w:r>
      <w:r w:rsidR="00FB0B35" w:rsidRPr="00504D41">
        <w:rPr>
          <w:szCs w:val="24"/>
          <w:vertAlign w:val="subscript"/>
        </w:rPr>
        <w:t>2</w:t>
      </w:r>
      <w:r w:rsidR="00FB0B35" w:rsidRPr="00504D41">
        <w:rPr>
          <w:szCs w:val="24"/>
        </w:rPr>
        <w:t xml:space="preserve"> crosslinker to a pectin/CMC mixture followed</w:t>
      </w:r>
      <w:r w:rsidR="00D256A2" w:rsidRPr="00504D41">
        <w:rPr>
          <w:szCs w:val="24"/>
        </w:rPr>
        <w:t xml:space="preserve"> by addition of NaOH to </w:t>
      </w:r>
      <w:r w:rsidR="009611FF" w:rsidRPr="00504D41">
        <w:rPr>
          <w:szCs w:val="24"/>
        </w:rPr>
        <w:t xml:space="preserve">increase pH </w:t>
      </w:r>
      <w:r w:rsidR="000F5A35" w:rsidRPr="00504D41">
        <w:rPr>
          <w:szCs w:val="24"/>
        </w:rPr>
        <w:t>leading to</w:t>
      </w:r>
      <w:r w:rsidR="009611FF" w:rsidRPr="00504D41">
        <w:rPr>
          <w:szCs w:val="24"/>
        </w:rPr>
        <w:t xml:space="preserve"> gelation</w:t>
      </w:r>
      <w:r w:rsidR="008B766A" w:rsidRPr="00504D41">
        <w:rPr>
          <w:szCs w:val="24"/>
        </w:rPr>
        <w:t>. The silk fibroin/t</w:t>
      </w:r>
      <w:r w:rsidR="0031284F" w:rsidRPr="00504D41">
        <w:rPr>
          <w:szCs w:val="24"/>
        </w:rPr>
        <w:t>rehalose inoculated films were drop</w:t>
      </w:r>
      <w:r w:rsidR="000F5A35" w:rsidRPr="00504D41">
        <w:rPr>
          <w:szCs w:val="24"/>
        </w:rPr>
        <w:t xml:space="preserve"> </w:t>
      </w:r>
      <w:r w:rsidR="0031284F" w:rsidRPr="00504D41">
        <w:rPr>
          <w:szCs w:val="24"/>
        </w:rPr>
        <w:t>casted from an aq</w:t>
      </w:r>
      <w:r w:rsidR="000F5A35" w:rsidRPr="00504D41">
        <w:rPr>
          <w:szCs w:val="24"/>
        </w:rPr>
        <w:t>u</w:t>
      </w:r>
      <w:r w:rsidR="0031284F" w:rsidRPr="00504D41">
        <w:rPr>
          <w:szCs w:val="24"/>
        </w:rPr>
        <w:t xml:space="preserve">eous solution. </w:t>
      </w:r>
      <w:r w:rsidR="00EA445F" w:rsidRPr="00504D41">
        <w:rPr>
          <w:szCs w:val="24"/>
        </w:rPr>
        <w:t>Field trials conducted on bean</w:t>
      </w:r>
      <w:r w:rsidR="001019DE" w:rsidRPr="00504D41">
        <w:rPr>
          <w:szCs w:val="24"/>
        </w:rPr>
        <w:t xml:space="preserve"> (</w:t>
      </w:r>
      <w:r w:rsidR="001019DE" w:rsidRPr="00504D41">
        <w:rPr>
          <w:i/>
          <w:iCs/>
          <w:szCs w:val="24"/>
        </w:rPr>
        <w:t>P. vulgaris</w:t>
      </w:r>
      <w:r w:rsidR="0043090E" w:rsidRPr="00504D41">
        <w:rPr>
          <w:szCs w:val="24"/>
        </w:rPr>
        <w:t>)</w:t>
      </w:r>
      <w:r w:rsidR="00EA445F" w:rsidRPr="00504D41">
        <w:rPr>
          <w:szCs w:val="24"/>
        </w:rPr>
        <w:t xml:space="preserve"> seeds under water stress conditions showed significantly enhanced plant health with the dual seed coatings compared to uncoated and single layer coated seeds (Figure </w:t>
      </w:r>
      <w:r w:rsidR="00603378" w:rsidRPr="00504D41">
        <w:rPr>
          <w:szCs w:val="24"/>
        </w:rPr>
        <w:t>1</w:t>
      </w:r>
      <w:r w:rsidR="000743BD" w:rsidRPr="00504D41">
        <w:rPr>
          <w:szCs w:val="24"/>
        </w:rPr>
        <w:t>1</w:t>
      </w:r>
      <w:r w:rsidR="00603378" w:rsidRPr="00504D41">
        <w:rPr>
          <w:szCs w:val="24"/>
        </w:rPr>
        <w:t>b, c</w:t>
      </w:r>
      <w:r w:rsidR="00EA445F" w:rsidRPr="00504D41">
        <w:rPr>
          <w:szCs w:val="24"/>
        </w:rPr>
        <w:t xml:space="preserve">). The study is a stepping stone for </w:t>
      </w:r>
      <w:r w:rsidR="000F5A35" w:rsidRPr="00504D41">
        <w:rPr>
          <w:szCs w:val="24"/>
        </w:rPr>
        <w:t xml:space="preserve">the </w:t>
      </w:r>
      <w:r w:rsidR="00EA445F" w:rsidRPr="00504D41">
        <w:rPr>
          <w:szCs w:val="24"/>
        </w:rPr>
        <w:t>design of specialized seed coatings for countering specific crop and soil related requirements.</w:t>
      </w:r>
      <w:r w:rsidR="001B05DD" w:rsidRPr="00504D41">
        <w:rPr>
          <w:szCs w:val="24"/>
        </w:rPr>
        <w:t xml:space="preserve"> However, the batch scale</w:t>
      </w:r>
      <w:r w:rsidR="00747298" w:rsidRPr="00504D41">
        <w:rPr>
          <w:szCs w:val="24"/>
        </w:rPr>
        <w:t xml:space="preserve"> and</w:t>
      </w:r>
      <w:r w:rsidR="001B05DD" w:rsidRPr="00504D41">
        <w:rPr>
          <w:szCs w:val="24"/>
        </w:rPr>
        <w:t xml:space="preserve"> </w:t>
      </w:r>
      <w:r w:rsidR="00211B82" w:rsidRPr="00504D41">
        <w:rPr>
          <w:szCs w:val="24"/>
        </w:rPr>
        <w:t>time co</w:t>
      </w:r>
      <w:r w:rsidR="00247A1F" w:rsidRPr="00504D41">
        <w:rPr>
          <w:szCs w:val="24"/>
        </w:rPr>
        <w:t>n</w:t>
      </w:r>
      <w:r w:rsidR="00211B82" w:rsidRPr="00504D41">
        <w:rPr>
          <w:szCs w:val="24"/>
        </w:rPr>
        <w:t xml:space="preserve">suming </w:t>
      </w:r>
      <w:r w:rsidR="000F5A35" w:rsidRPr="00504D41">
        <w:rPr>
          <w:szCs w:val="24"/>
        </w:rPr>
        <w:t>approach</w:t>
      </w:r>
      <w:r w:rsidR="00211B82" w:rsidRPr="00504D41">
        <w:rPr>
          <w:szCs w:val="24"/>
        </w:rPr>
        <w:t xml:space="preserve">, </w:t>
      </w:r>
      <w:r w:rsidR="000F5A35" w:rsidRPr="00504D41">
        <w:rPr>
          <w:szCs w:val="24"/>
        </w:rPr>
        <w:t xml:space="preserve">and use of </w:t>
      </w:r>
      <w:r w:rsidR="00211B82" w:rsidRPr="00504D41">
        <w:rPr>
          <w:szCs w:val="24"/>
        </w:rPr>
        <w:t xml:space="preserve">crosslinker and alkali </w:t>
      </w:r>
      <w:r w:rsidR="000F5A35" w:rsidRPr="00504D41">
        <w:rPr>
          <w:szCs w:val="24"/>
        </w:rPr>
        <w:t xml:space="preserve">in the synthesis </w:t>
      </w:r>
      <w:r w:rsidR="00247A1F" w:rsidRPr="00504D41">
        <w:rPr>
          <w:szCs w:val="24"/>
        </w:rPr>
        <w:t xml:space="preserve"> require optimization from </w:t>
      </w:r>
      <w:r w:rsidR="00466A0E" w:rsidRPr="00504D41">
        <w:rPr>
          <w:szCs w:val="24"/>
        </w:rPr>
        <w:t xml:space="preserve">a </w:t>
      </w:r>
      <w:r w:rsidR="00747298" w:rsidRPr="00504D41">
        <w:rPr>
          <w:szCs w:val="24"/>
        </w:rPr>
        <w:t xml:space="preserve">sustainability and economic </w:t>
      </w:r>
      <w:r w:rsidR="00466A0E" w:rsidRPr="00504D41">
        <w:rPr>
          <w:szCs w:val="24"/>
        </w:rPr>
        <w:t>perspective</w:t>
      </w:r>
      <w:r w:rsidR="00747298" w:rsidRPr="00504D41">
        <w:rPr>
          <w:szCs w:val="24"/>
        </w:rPr>
        <w:t xml:space="preserve">. </w:t>
      </w:r>
      <w:r w:rsidR="000F5A35" w:rsidRPr="00504D41">
        <w:rPr>
          <w:szCs w:val="24"/>
        </w:rPr>
        <w:t xml:space="preserve">In addition, </w:t>
      </w:r>
      <w:r w:rsidR="000F5A35" w:rsidRPr="00504D41">
        <w:rPr>
          <w:rStyle w:val="Hyperlink"/>
          <w:color w:val="auto"/>
          <w:u w:val="none"/>
        </w:rPr>
        <w:t>w</w:t>
      </w:r>
      <w:r w:rsidR="00EF2B73" w:rsidRPr="00504D41">
        <w:rPr>
          <w:rStyle w:val="Hyperlink"/>
          <w:color w:val="auto"/>
          <w:u w:val="none"/>
        </w:rPr>
        <w:t xml:space="preserve">hile </w:t>
      </w:r>
      <w:r w:rsidR="000F5A35" w:rsidRPr="00504D41">
        <w:rPr>
          <w:rStyle w:val="Hyperlink"/>
          <w:color w:val="auto"/>
          <w:u w:val="none"/>
        </w:rPr>
        <w:t xml:space="preserve">silk fibroin </w:t>
      </w:r>
      <w:r w:rsidR="00EF2B73" w:rsidRPr="00504D41">
        <w:rPr>
          <w:rStyle w:val="Hyperlink"/>
          <w:color w:val="auto"/>
          <w:u w:val="none"/>
        </w:rPr>
        <w:t>is biodegradable, its extraction strategy might not necessarily be green</w:t>
      </w:r>
      <w:r w:rsidR="000F5A35" w:rsidRPr="00504D41">
        <w:rPr>
          <w:rStyle w:val="Hyperlink"/>
          <w:color w:val="auto"/>
          <w:u w:val="none"/>
        </w:rPr>
        <w:t xml:space="preserve"> which raises concerns in terms of sustainability</w:t>
      </w:r>
      <w:r w:rsidR="00EF2B73" w:rsidRPr="00504D41">
        <w:rPr>
          <w:rStyle w:val="Hyperlink"/>
          <w:color w:val="auto"/>
          <w:u w:val="none"/>
        </w:rPr>
        <w:t xml:space="preserve">. Extraction typically involves degumming of silk worm cocoons to remove sericin and extract fibroin. While various degumming techniques are documented, the most common method involves treatment with sodium carbonate in an energy and water intensive extraction cycle. Following degumming, the extracted fibers are dissolved in an aqueous solution before being processed into the desired physical form. Here also, multiple dissolution techniques can be employed but the most common </w:t>
      </w:r>
      <w:r w:rsidR="00EF2B73" w:rsidRPr="00504D41">
        <w:rPr>
          <w:rStyle w:val="Hyperlink"/>
          <w:color w:val="auto"/>
          <w:u w:val="none"/>
        </w:rPr>
        <w:lastRenderedPageBreak/>
        <w:t xml:space="preserve">one involves </w:t>
      </w:r>
      <w:r w:rsidR="000F5A35" w:rsidRPr="00504D41">
        <w:rPr>
          <w:rStyle w:val="Hyperlink"/>
          <w:color w:val="auto"/>
          <w:u w:val="none"/>
        </w:rPr>
        <w:t xml:space="preserve">the </w:t>
      </w:r>
      <w:r w:rsidR="00EF2B73" w:rsidRPr="00504D41">
        <w:rPr>
          <w:rStyle w:val="Hyperlink"/>
          <w:color w:val="auto"/>
          <w:u w:val="none"/>
        </w:rPr>
        <w:t xml:space="preserve">use of </w:t>
      </w:r>
      <w:r w:rsidR="000F5A35" w:rsidRPr="00504D41">
        <w:rPr>
          <w:rStyle w:val="Hyperlink"/>
          <w:color w:val="auto"/>
          <w:u w:val="none"/>
        </w:rPr>
        <w:t xml:space="preserve">environmentally toxic lithium </w:t>
      </w:r>
      <w:r w:rsidR="00EF2B73" w:rsidRPr="00504D41">
        <w:rPr>
          <w:rStyle w:val="Hyperlink"/>
          <w:color w:val="auto"/>
          <w:u w:val="none"/>
        </w:rPr>
        <w:t xml:space="preserve">bromide. </w:t>
      </w:r>
      <w:r w:rsidR="000F5A35" w:rsidRPr="00504D41">
        <w:rPr>
          <w:rStyle w:val="Hyperlink"/>
          <w:color w:val="auto"/>
          <w:u w:val="none"/>
        </w:rPr>
        <w:t>That aspect together with</w:t>
      </w:r>
      <w:r w:rsidR="00EF2B73" w:rsidRPr="00504D41">
        <w:rPr>
          <w:rStyle w:val="Hyperlink"/>
          <w:color w:val="auto"/>
          <w:u w:val="none"/>
        </w:rPr>
        <w:t xml:space="preserve"> high energy and water usage makes this process far from green.</w:t>
      </w:r>
      <w:r w:rsidR="006D54C2" w:rsidRPr="00504D41">
        <w:rPr>
          <w:rStyle w:val="Hyperlink"/>
          <w:noProof/>
          <w:color w:val="auto"/>
          <w:u w:val="none"/>
          <w:vertAlign w:val="superscript"/>
        </w:rPr>
        <w:t>137</w:t>
      </w:r>
      <w:r w:rsidR="00EF2B73" w:rsidRPr="00504D41">
        <w:rPr>
          <w:rStyle w:val="Hyperlink"/>
          <w:color w:val="auto"/>
          <w:u w:val="none"/>
        </w:rPr>
        <w:t xml:space="preserve"> DeBari et al</w:t>
      </w:r>
      <w:r w:rsidR="000F5A35" w:rsidRPr="00504D41">
        <w:rPr>
          <w:rStyle w:val="Hyperlink"/>
          <w:color w:val="auto"/>
          <w:u w:val="none"/>
        </w:rPr>
        <w:t>.</w:t>
      </w:r>
      <w:r w:rsidR="006D54C2" w:rsidRPr="00504D41">
        <w:rPr>
          <w:rStyle w:val="Hyperlink"/>
          <w:noProof/>
          <w:color w:val="auto"/>
          <w:u w:val="none"/>
          <w:vertAlign w:val="superscript"/>
        </w:rPr>
        <w:t>19</w:t>
      </w:r>
      <w:r w:rsidR="00EF2B73" w:rsidRPr="00504D41">
        <w:rPr>
          <w:rStyle w:val="Hyperlink"/>
          <w:color w:val="auto"/>
          <w:u w:val="none"/>
        </w:rPr>
        <w:t xml:space="preserve"> in their recent review on silk fibroin have highlighted various green extraction techniques. Thus, to achieve sustainable usage of silk fibroin based seed coatings, a shift towards sustainable extraction strategies</w:t>
      </w:r>
      <w:r w:rsidR="00784B40" w:rsidRPr="00504D41">
        <w:rPr>
          <w:rStyle w:val="Hyperlink"/>
          <w:color w:val="auto"/>
          <w:u w:val="none"/>
        </w:rPr>
        <w:t xml:space="preserve"> is required</w:t>
      </w:r>
      <w:r w:rsidR="00EF2B73" w:rsidRPr="00504D41">
        <w:rPr>
          <w:rStyle w:val="Hyperlink"/>
          <w:color w:val="auto"/>
          <w:u w:val="none"/>
        </w:rPr>
        <w:t>.</w:t>
      </w:r>
    </w:p>
    <w:p w14:paraId="51E632F0" w14:textId="77777777" w:rsidR="00EA445F" w:rsidRPr="00504D41" w:rsidRDefault="00EA445F" w:rsidP="0016445D">
      <w:pPr>
        <w:tabs>
          <w:tab w:val="left" w:pos="0"/>
        </w:tabs>
        <w:spacing w:line="360" w:lineRule="auto"/>
        <w:jc w:val="both"/>
        <w:rPr>
          <w:szCs w:val="24"/>
        </w:rPr>
      </w:pPr>
      <w:r w:rsidRPr="00504D41">
        <w:rPr>
          <w:szCs w:val="24"/>
        </w:rPr>
        <w:t xml:space="preserve"> </w:t>
      </w:r>
      <w:r w:rsidR="00993254" w:rsidRPr="00504D41">
        <w:rPr>
          <w:szCs w:val="24"/>
        </w:rPr>
        <w:t>In another recent study</w:t>
      </w:r>
      <w:r w:rsidRPr="00504D41">
        <w:rPr>
          <w:szCs w:val="24"/>
        </w:rPr>
        <w:t>,</w:t>
      </w:r>
      <w:r w:rsidR="009E1049" w:rsidRPr="00504D41">
        <w:rPr>
          <w:szCs w:val="24"/>
        </w:rPr>
        <w:t xml:space="preserve"> </w:t>
      </w:r>
      <w:r w:rsidRPr="00504D41">
        <w:rPr>
          <w:szCs w:val="24"/>
        </w:rPr>
        <w:t xml:space="preserve">Agake et al reported a double coating seed treatment to enhance early growth in </w:t>
      </w:r>
      <w:r w:rsidR="000F5A35" w:rsidRPr="00504D41">
        <w:rPr>
          <w:szCs w:val="24"/>
        </w:rPr>
        <w:t>direct-</w:t>
      </w:r>
      <w:r w:rsidRPr="00504D41">
        <w:rPr>
          <w:szCs w:val="24"/>
        </w:rPr>
        <w:t>seeded rice cultivation</w:t>
      </w:r>
      <w:r w:rsidR="00DC4B37" w:rsidRPr="00504D41">
        <w:rPr>
          <w:szCs w:val="24"/>
        </w:rPr>
        <w:t>.</w:t>
      </w:r>
      <w:r w:rsidR="006D54C2" w:rsidRPr="00504D41">
        <w:rPr>
          <w:noProof/>
          <w:szCs w:val="24"/>
          <w:vertAlign w:val="superscript"/>
        </w:rPr>
        <w:t>60</w:t>
      </w:r>
      <w:r w:rsidRPr="00504D41">
        <w:rPr>
          <w:szCs w:val="24"/>
        </w:rPr>
        <w:t xml:space="preserve"> The seeds were first coated with a PVA layer inoculated with a biofertilizer following which a second layer consisting of commercial coating materials was applied. Materials investigated for the </w:t>
      </w:r>
      <w:r w:rsidR="00984948" w:rsidRPr="00504D41">
        <w:rPr>
          <w:szCs w:val="24"/>
        </w:rPr>
        <w:t xml:space="preserve">secondary layer included </w:t>
      </w:r>
      <w:r w:rsidRPr="00504D41">
        <w:rPr>
          <w:szCs w:val="24"/>
        </w:rPr>
        <w:t>CALPER (calcium peroxide)</w:t>
      </w:r>
      <w:r w:rsidR="00984948" w:rsidRPr="00504D41">
        <w:rPr>
          <w:szCs w:val="24"/>
        </w:rPr>
        <w:t xml:space="preserve">, </w:t>
      </w:r>
      <w:r w:rsidRPr="00504D41">
        <w:rPr>
          <w:szCs w:val="24"/>
        </w:rPr>
        <w:t>Benmoly (98% ferric oxide + 1.</w:t>
      </w:r>
      <w:r w:rsidR="00984948" w:rsidRPr="00504D41">
        <w:rPr>
          <w:szCs w:val="24"/>
        </w:rPr>
        <w:t xml:space="preserve">5% molybdenum trioxide) and </w:t>
      </w:r>
      <w:r w:rsidRPr="00504D41">
        <w:rPr>
          <w:szCs w:val="24"/>
        </w:rPr>
        <w:t xml:space="preserve">iron powder. The synergistic action of the optimized double seed coating containing the biofertilizer rhizobacteria was most pronounced with the Benmoly outer layer (Figure </w:t>
      </w:r>
      <w:r w:rsidR="00B5409F" w:rsidRPr="00504D41">
        <w:rPr>
          <w:szCs w:val="24"/>
        </w:rPr>
        <w:t>1</w:t>
      </w:r>
      <w:r w:rsidR="00993254" w:rsidRPr="00504D41">
        <w:rPr>
          <w:szCs w:val="24"/>
        </w:rPr>
        <w:t>1</w:t>
      </w:r>
      <w:r w:rsidR="00B5409F" w:rsidRPr="00504D41">
        <w:rPr>
          <w:szCs w:val="24"/>
        </w:rPr>
        <w:t>d</w:t>
      </w:r>
      <w:r w:rsidRPr="00504D41">
        <w:rPr>
          <w:szCs w:val="24"/>
        </w:rPr>
        <w:t xml:space="preserve">). Rather than the development of new coating material from scratch, the study investigates the optimization of existing commercial seed coating materials for seed inoculation with PGPM and thus offers a practical and immediate solution for the development of PGPM compatible seed coats. </w:t>
      </w:r>
      <w:r w:rsidR="00996D4B" w:rsidRPr="00504D41">
        <w:rPr>
          <w:szCs w:val="24"/>
        </w:rPr>
        <w:t>Also</w:t>
      </w:r>
      <w:r w:rsidR="000F5A35" w:rsidRPr="00504D41">
        <w:rPr>
          <w:szCs w:val="24"/>
        </w:rPr>
        <w:t>,</w:t>
      </w:r>
      <w:r w:rsidR="00996D4B" w:rsidRPr="00504D41">
        <w:rPr>
          <w:szCs w:val="24"/>
        </w:rPr>
        <w:t xml:space="preserve"> </w:t>
      </w:r>
      <w:r w:rsidR="006E61CE" w:rsidRPr="00504D41">
        <w:rPr>
          <w:szCs w:val="24"/>
        </w:rPr>
        <w:t xml:space="preserve">PVA </w:t>
      </w:r>
      <w:r w:rsidR="00F17DE7" w:rsidRPr="00504D41">
        <w:rPr>
          <w:szCs w:val="24"/>
        </w:rPr>
        <w:t xml:space="preserve">although derived majorly from non-renewable fossil fuel resources, is </w:t>
      </w:r>
      <w:r w:rsidR="002F0BC0" w:rsidRPr="00504D41">
        <w:rPr>
          <w:szCs w:val="24"/>
        </w:rPr>
        <w:t xml:space="preserve">biodegradable, </w:t>
      </w:r>
      <w:r w:rsidR="00F17DE7" w:rsidRPr="00504D41">
        <w:rPr>
          <w:szCs w:val="24"/>
        </w:rPr>
        <w:t xml:space="preserve">approved by FDA as an indirect food contact and </w:t>
      </w:r>
      <w:r w:rsidR="008D3FF2" w:rsidRPr="00504D41">
        <w:rPr>
          <w:szCs w:val="24"/>
        </w:rPr>
        <w:t>is exempted from having a</w:t>
      </w:r>
      <w:r w:rsidR="002F0BC0" w:rsidRPr="00504D41">
        <w:rPr>
          <w:szCs w:val="24"/>
        </w:rPr>
        <w:t xml:space="preserve"> tolerance limit in pesticides as per CFR 40, part 180.</w:t>
      </w:r>
      <w:r w:rsidR="006D54C2" w:rsidRPr="00504D41">
        <w:rPr>
          <w:noProof/>
          <w:szCs w:val="24"/>
          <w:vertAlign w:val="superscript"/>
        </w:rPr>
        <w:t>138</w:t>
      </w:r>
      <w:r w:rsidR="002F0BC0" w:rsidRPr="00504D41">
        <w:rPr>
          <w:szCs w:val="24"/>
        </w:rPr>
        <w:t xml:space="preserve"> </w:t>
      </w:r>
      <w:r w:rsidRPr="00504D41">
        <w:rPr>
          <w:szCs w:val="24"/>
        </w:rPr>
        <w:t>As such, this work</w:t>
      </w:r>
      <w:r w:rsidR="009874B7" w:rsidRPr="00504D41">
        <w:rPr>
          <w:szCs w:val="24"/>
        </w:rPr>
        <w:t xml:space="preserve"> </w:t>
      </w:r>
      <w:r w:rsidRPr="00504D41">
        <w:rPr>
          <w:szCs w:val="24"/>
        </w:rPr>
        <w:t>can serve as a role model for further studies on the subject.</w:t>
      </w:r>
      <w:r w:rsidR="00805A60" w:rsidRPr="00504D41">
        <w:rPr>
          <w:szCs w:val="24"/>
        </w:rPr>
        <w:t xml:space="preserve"> </w:t>
      </w:r>
    </w:p>
    <w:p w14:paraId="073D1315" w14:textId="77777777" w:rsidR="00EA445F" w:rsidRPr="00504D41" w:rsidRDefault="00EA445F" w:rsidP="0016445D">
      <w:pPr>
        <w:tabs>
          <w:tab w:val="left" w:pos="0"/>
        </w:tabs>
        <w:spacing w:line="360" w:lineRule="auto"/>
        <w:jc w:val="both"/>
        <w:rPr>
          <w:szCs w:val="24"/>
        </w:rPr>
      </w:pPr>
      <w:r w:rsidRPr="00504D41">
        <w:rPr>
          <w:szCs w:val="24"/>
        </w:rPr>
        <w:t xml:space="preserve">Design of multiple seed coatings from different materials to offer synergistic crop protection appears to offer a unique and customizable solution across various crops and field conditions. However, the complicated synthesis mechanism seems to be a drawback that can hinder large-scale adoption of this approach. Thus, future research needs to focus on simplifying the </w:t>
      </w:r>
      <w:r w:rsidR="000F5A35" w:rsidRPr="00504D41">
        <w:rPr>
          <w:szCs w:val="24"/>
        </w:rPr>
        <w:t xml:space="preserve">synthesis and </w:t>
      </w:r>
      <w:r w:rsidRPr="00504D41">
        <w:rPr>
          <w:szCs w:val="24"/>
        </w:rPr>
        <w:t>seed coat</w:t>
      </w:r>
      <w:r w:rsidR="009C7D6F" w:rsidRPr="00504D41">
        <w:rPr>
          <w:szCs w:val="24"/>
        </w:rPr>
        <w:t>ing</w:t>
      </w:r>
      <w:r w:rsidRPr="00504D41">
        <w:rPr>
          <w:szCs w:val="24"/>
        </w:rPr>
        <w:t xml:space="preserve"> steps and lower production costs to enable easy adoption across agriculture systems.</w:t>
      </w:r>
    </w:p>
    <w:p w14:paraId="4D11C3B3" w14:textId="77777777" w:rsidR="00DB54DB" w:rsidRPr="00504D41" w:rsidRDefault="000057B3" w:rsidP="0016445D">
      <w:pPr>
        <w:keepNext/>
        <w:spacing w:line="360" w:lineRule="auto"/>
        <w:rPr>
          <w:szCs w:val="24"/>
        </w:rPr>
      </w:pPr>
      <w:r w:rsidRPr="00504D41">
        <w:rPr>
          <w:noProof/>
        </w:rPr>
        <w:lastRenderedPageBreak/>
        <w:pict w14:anchorId="0A603F43">
          <v:shape id="Picture 33" o:spid="_x0000_i1036" type="#_x0000_t75" alt="A picture containing graphical user interface&#10;&#10;Description automatically generated" style="width:451.25pt;height:485.6pt;visibility:visible">
            <v:imagedata r:id="rId23" o:title="A picture containing graphical user interface&#10;&#10;Description automatically generated"/>
          </v:shape>
        </w:pict>
      </w:r>
    </w:p>
    <w:p w14:paraId="3D8D9746" w14:textId="77777777" w:rsidR="00EC1943" w:rsidRPr="00504D41" w:rsidRDefault="00DB54DB" w:rsidP="0016445D">
      <w:pPr>
        <w:spacing w:line="360" w:lineRule="auto"/>
        <w:jc w:val="both"/>
        <w:rPr>
          <w:szCs w:val="24"/>
        </w:rPr>
      </w:pPr>
      <w:r w:rsidRPr="00504D41">
        <w:rPr>
          <w:b/>
          <w:bCs/>
          <w:szCs w:val="24"/>
        </w:rPr>
        <w:t xml:space="preserve">Figure </w:t>
      </w:r>
      <w:r w:rsidRPr="00504D41">
        <w:rPr>
          <w:b/>
          <w:bCs/>
          <w:szCs w:val="24"/>
        </w:rPr>
        <w:fldChar w:fldCharType="begin"/>
      </w:r>
      <w:r w:rsidRPr="00504D41">
        <w:rPr>
          <w:b/>
          <w:bCs/>
          <w:szCs w:val="24"/>
        </w:rPr>
        <w:instrText xml:space="preserve"> SEQ Figure \* ARABIC </w:instrText>
      </w:r>
      <w:r w:rsidRPr="00504D41">
        <w:rPr>
          <w:b/>
          <w:bCs/>
          <w:szCs w:val="24"/>
        </w:rPr>
        <w:fldChar w:fldCharType="separate"/>
      </w:r>
      <w:r w:rsidR="003D0A6B" w:rsidRPr="00504D41">
        <w:rPr>
          <w:b/>
          <w:bCs/>
          <w:noProof/>
          <w:szCs w:val="24"/>
        </w:rPr>
        <w:t>11</w:t>
      </w:r>
      <w:r w:rsidRPr="00504D41">
        <w:rPr>
          <w:b/>
          <w:bCs/>
          <w:szCs w:val="24"/>
        </w:rPr>
        <w:fldChar w:fldCharType="end"/>
      </w:r>
      <w:r w:rsidR="00AB5CCF" w:rsidRPr="00504D41">
        <w:rPr>
          <w:szCs w:val="24"/>
        </w:rPr>
        <w:t>.</w:t>
      </w:r>
      <w:r w:rsidRPr="00504D41">
        <w:rPr>
          <w:szCs w:val="24"/>
        </w:rPr>
        <w:t xml:space="preserve"> </w:t>
      </w:r>
      <w:r w:rsidR="00B61837" w:rsidRPr="00504D41">
        <w:rPr>
          <w:szCs w:val="24"/>
        </w:rPr>
        <w:t xml:space="preserve">(a) Schematic and digital images showing fabrication of programmable double layered seed coatings. </w:t>
      </w:r>
      <w:r w:rsidR="00B61837" w:rsidRPr="00504D41">
        <w:rPr>
          <w:i/>
          <w:iCs/>
          <w:szCs w:val="24"/>
        </w:rPr>
        <w:t>P. vulgaris</w:t>
      </w:r>
      <w:r w:rsidR="00B61837" w:rsidRPr="00504D41">
        <w:rPr>
          <w:szCs w:val="24"/>
        </w:rPr>
        <w:t xml:space="preserve"> seeds are dip coated with layer 1 consisting of silk/trehalose inoculated with rhizobacteria </w:t>
      </w:r>
      <w:r w:rsidR="00B61837" w:rsidRPr="00504D41">
        <w:rPr>
          <w:i/>
          <w:iCs/>
          <w:szCs w:val="24"/>
        </w:rPr>
        <w:t>R. tropici CIAT 899</w:t>
      </w:r>
      <w:r w:rsidR="00B61837" w:rsidRPr="00504D41">
        <w:rPr>
          <w:szCs w:val="24"/>
        </w:rPr>
        <w:t xml:space="preserve">. Layer 2 consisting of pectin/CMC can be either dip coated or sprayed on top of Layer 1. Upon watering, Layer 2 can swell into a hydrogel and hydrate Layer 1, providing an appropriate release and growth environment for the inoculated rhizobacteria. (b) Digital images showing </w:t>
      </w:r>
      <w:r w:rsidR="000F5A35" w:rsidRPr="00504D41">
        <w:rPr>
          <w:szCs w:val="24"/>
        </w:rPr>
        <w:t xml:space="preserve">the </w:t>
      </w:r>
      <w:r w:rsidR="00B61837" w:rsidRPr="00504D41">
        <w:rPr>
          <w:szCs w:val="24"/>
        </w:rPr>
        <w:t xml:space="preserve">difference in 6-week growth of </w:t>
      </w:r>
      <w:r w:rsidR="00B61837" w:rsidRPr="00504D41">
        <w:rPr>
          <w:i/>
          <w:iCs/>
          <w:szCs w:val="24"/>
        </w:rPr>
        <w:t>P. vulgaris</w:t>
      </w:r>
      <w:r w:rsidR="00B61837" w:rsidRPr="00504D41">
        <w:rPr>
          <w:szCs w:val="24"/>
        </w:rPr>
        <w:t xml:space="preserve"> in water stress conditions from uncoated and double layered coated seeds. (c) Scatter plots showing </w:t>
      </w:r>
      <w:r w:rsidR="00B61837" w:rsidRPr="00504D41">
        <w:rPr>
          <w:szCs w:val="24"/>
        </w:rPr>
        <w:lastRenderedPageBreak/>
        <w:t xml:space="preserve">results of greenhouse trials of coated </w:t>
      </w:r>
      <w:r w:rsidR="00B61837" w:rsidRPr="00504D41">
        <w:rPr>
          <w:i/>
          <w:iCs/>
          <w:szCs w:val="24"/>
        </w:rPr>
        <w:t>P. vulgaris</w:t>
      </w:r>
      <w:r w:rsidR="00B61837" w:rsidRPr="00504D41">
        <w:rPr>
          <w:szCs w:val="24"/>
        </w:rPr>
        <w:t xml:space="preserve"> seeds between (1) uncoated control (C), (2) seeds coated with only Layer 1 (L1), (3) bi-layer coated seeds (L2).  Seeds were grown in sandy soils prone to drought stress. Altered watering conditions were used to vary water stress from -10 kPa to -20kPa replicating mild to severe water stress conditions. Significant increase in root length, lower total phenolic compounds (plants release phenolic compounds to combat water deficit, therefore low phenolic compounds would imply lower water deficit) and higher stomatal conductance by bilayer coated seeds signify the potential of the coating to enhance seed growth in </w:t>
      </w:r>
      <w:r w:rsidR="000F5A35" w:rsidRPr="00504D41">
        <w:rPr>
          <w:szCs w:val="24"/>
        </w:rPr>
        <w:t>drought-</w:t>
      </w:r>
      <w:r w:rsidR="00B61837" w:rsidRPr="00504D41">
        <w:rPr>
          <w:szCs w:val="24"/>
        </w:rPr>
        <w:t xml:space="preserve">prone soils. Figure a-c adapted </w:t>
      </w:r>
      <w:r w:rsidR="00DC4B37" w:rsidRPr="00504D41">
        <w:rPr>
          <w:szCs w:val="24"/>
        </w:rPr>
        <w:t>with permission</w:t>
      </w:r>
      <w:r w:rsidR="003A041E" w:rsidRPr="00504D41">
        <w:rPr>
          <w:szCs w:val="24"/>
        </w:rPr>
        <w:t>.</w:t>
      </w:r>
      <w:r w:rsidR="006D54C2" w:rsidRPr="00504D41">
        <w:rPr>
          <w:noProof/>
          <w:vertAlign w:val="superscript"/>
        </w:rPr>
        <w:t>61</w:t>
      </w:r>
      <w:r w:rsidR="00B61837" w:rsidRPr="00504D41">
        <w:rPr>
          <w:szCs w:val="24"/>
        </w:rPr>
        <w:t xml:space="preserve"> Copyright Springer Nature 2021 (d) Graph showing </w:t>
      </w:r>
      <w:r w:rsidR="000F5A35" w:rsidRPr="00504D41">
        <w:rPr>
          <w:szCs w:val="24"/>
        </w:rPr>
        <w:t xml:space="preserve">the </w:t>
      </w:r>
      <w:r w:rsidR="00B61837" w:rsidRPr="00504D41">
        <w:rPr>
          <w:szCs w:val="24"/>
        </w:rPr>
        <w:t xml:space="preserve">effect of bilayer coating consisting of biofertilizer/PVA + commercial seed coating on growth of rice seeds. The bars represent </w:t>
      </w:r>
      <w:r w:rsidR="000F5A35" w:rsidRPr="00504D41">
        <w:rPr>
          <w:szCs w:val="24"/>
        </w:rPr>
        <w:t xml:space="preserve">the </w:t>
      </w:r>
      <w:r w:rsidR="00B61837" w:rsidRPr="00504D41">
        <w:rPr>
          <w:szCs w:val="24"/>
        </w:rPr>
        <w:t xml:space="preserve">ratio of growth parameters attained with proposed double layer to values observed with single commercial coating layer. Benmoly double coating significantly increased growth as per Tukey’s test (P ≤ 0.05). Figure adapted </w:t>
      </w:r>
      <w:r w:rsidR="00BE167D" w:rsidRPr="00504D41">
        <w:rPr>
          <w:szCs w:val="24"/>
        </w:rPr>
        <w:t>with permission</w:t>
      </w:r>
      <w:r w:rsidR="002E6A30" w:rsidRPr="00504D41">
        <w:rPr>
          <w:szCs w:val="24"/>
        </w:rPr>
        <w:t>.</w:t>
      </w:r>
      <w:r w:rsidR="006D54C2" w:rsidRPr="00504D41">
        <w:rPr>
          <w:noProof/>
          <w:vertAlign w:val="superscript"/>
        </w:rPr>
        <w:t>60</w:t>
      </w:r>
      <w:r w:rsidR="00BE167D" w:rsidRPr="00504D41">
        <w:rPr>
          <w:szCs w:val="24"/>
        </w:rPr>
        <w:t xml:space="preserve"> </w:t>
      </w:r>
      <w:r w:rsidR="00B61837" w:rsidRPr="00504D41">
        <w:rPr>
          <w:szCs w:val="24"/>
        </w:rPr>
        <w:t>Copyright Wiley 2021</w:t>
      </w:r>
      <w:r w:rsidR="00EC1943" w:rsidRPr="00504D41">
        <w:rPr>
          <w:szCs w:val="24"/>
        </w:rPr>
        <w:t xml:space="preserve">. </w:t>
      </w:r>
    </w:p>
    <w:p w14:paraId="7BF12BD2" w14:textId="77777777" w:rsidR="002B0DAB" w:rsidRPr="00504D41" w:rsidRDefault="00C32872" w:rsidP="00A30A2A">
      <w:pPr>
        <w:spacing w:line="360" w:lineRule="auto"/>
        <w:rPr>
          <w:b/>
          <w:szCs w:val="24"/>
        </w:rPr>
      </w:pPr>
      <w:r w:rsidRPr="00504D41">
        <w:rPr>
          <w:b/>
          <w:szCs w:val="24"/>
        </w:rPr>
        <w:t xml:space="preserve">5. </w:t>
      </w:r>
      <w:r w:rsidR="002B0DAB" w:rsidRPr="00504D41">
        <w:rPr>
          <w:b/>
          <w:szCs w:val="24"/>
        </w:rPr>
        <w:t>Transitioning towards a circular agro</w:t>
      </w:r>
      <w:r w:rsidR="00465445" w:rsidRPr="00504D41">
        <w:rPr>
          <w:b/>
          <w:szCs w:val="24"/>
        </w:rPr>
        <w:t>-</w:t>
      </w:r>
      <w:r w:rsidR="00E57F56" w:rsidRPr="00504D41">
        <w:rPr>
          <w:b/>
          <w:szCs w:val="24"/>
        </w:rPr>
        <w:t>industrial economy</w:t>
      </w:r>
    </w:p>
    <w:p w14:paraId="6E2B1DDC" w14:textId="77777777" w:rsidR="002B0DAB" w:rsidRPr="00504D41" w:rsidRDefault="002B0DAB" w:rsidP="00A30A2A">
      <w:pPr>
        <w:tabs>
          <w:tab w:val="left" w:pos="0"/>
        </w:tabs>
        <w:spacing w:line="360" w:lineRule="auto"/>
        <w:jc w:val="both"/>
        <w:rPr>
          <w:szCs w:val="24"/>
        </w:rPr>
      </w:pPr>
      <w:r w:rsidRPr="00504D41">
        <w:rPr>
          <w:szCs w:val="24"/>
        </w:rPr>
        <w:t xml:space="preserve">The need to provide sufficient and quality food to an exponentially increasing global population with minimal damage to the environment calls for a more sustainable approach for seed treatment. Furthermore, environmental concerns related to rising carbon footprints because of the use of petroleum-based synthetic polymers or chemically processed bio-based materials as seed coats have further increased the need for more sustainable solutions to establish </w:t>
      </w:r>
      <w:r w:rsidR="00F51662" w:rsidRPr="00504D41">
        <w:rPr>
          <w:szCs w:val="24"/>
        </w:rPr>
        <w:t>green</w:t>
      </w:r>
      <w:r w:rsidRPr="00504D41">
        <w:rPr>
          <w:szCs w:val="24"/>
        </w:rPr>
        <w:t xml:space="preserve"> seed treatment technologies that can help in carbon sequestration and recycling of wastes.</w:t>
      </w:r>
    </w:p>
    <w:p w14:paraId="07256375" w14:textId="77777777" w:rsidR="002B0DAB" w:rsidRPr="00504D41" w:rsidRDefault="002B0DAB" w:rsidP="00A30A2A">
      <w:pPr>
        <w:spacing w:line="360" w:lineRule="auto"/>
        <w:jc w:val="both"/>
        <w:rPr>
          <w:szCs w:val="24"/>
        </w:rPr>
      </w:pPr>
      <w:r w:rsidRPr="00504D41">
        <w:rPr>
          <w:szCs w:val="24"/>
        </w:rPr>
        <w:t>To achieve a circular agriculture economy</w:t>
      </w:r>
      <w:r w:rsidR="0091749A" w:rsidRPr="00504D41">
        <w:rPr>
          <w:szCs w:val="24"/>
        </w:rPr>
        <w:t>,</w:t>
      </w:r>
      <w:r w:rsidRPr="00504D41">
        <w:rPr>
          <w:szCs w:val="24"/>
        </w:rPr>
        <w:t xml:space="preserve"> it is critical to efficiently utilize waste streams in value added applications. </w:t>
      </w:r>
      <w:r w:rsidR="0091749A" w:rsidRPr="00504D41">
        <w:rPr>
          <w:szCs w:val="24"/>
        </w:rPr>
        <w:t>Recently t</w:t>
      </w:r>
      <w:r w:rsidRPr="00504D41">
        <w:rPr>
          <w:szCs w:val="24"/>
        </w:rPr>
        <w:t>here has been significant pro</w:t>
      </w:r>
      <w:r w:rsidR="0091749A" w:rsidRPr="00504D41">
        <w:rPr>
          <w:szCs w:val="24"/>
        </w:rPr>
        <w:t>gr</w:t>
      </w:r>
      <w:r w:rsidRPr="00504D41">
        <w:rPr>
          <w:szCs w:val="24"/>
        </w:rPr>
        <w:t xml:space="preserve">ess in this regard particularly with work being done on </w:t>
      </w:r>
      <w:r w:rsidR="00DF614A" w:rsidRPr="00504D41">
        <w:rPr>
          <w:szCs w:val="24"/>
        </w:rPr>
        <w:t>multiple fronts</w:t>
      </w:r>
      <w:r w:rsidRPr="00504D41">
        <w:rPr>
          <w:szCs w:val="24"/>
        </w:rPr>
        <w:t>. In the proceeding sub-sections we discuss major breakthroughs pertaining to lignocellulosic</w:t>
      </w:r>
      <w:r w:rsidR="00DF614A" w:rsidRPr="00504D41">
        <w:rPr>
          <w:szCs w:val="24"/>
        </w:rPr>
        <w:t xml:space="preserve">, </w:t>
      </w:r>
      <w:r w:rsidRPr="00504D41">
        <w:rPr>
          <w:szCs w:val="24"/>
        </w:rPr>
        <w:t>biochar</w:t>
      </w:r>
      <w:r w:rsidR="00DF614A" w:rsidRPr="00504D41">
        <w:rPr>
          <w:szCs w:val="24"/>
        </w:rPr>
        <w:t xml:space="preserve"> and </w:t>
      </w:r>
      <w:r w:rsidR="001425F2" w:rsidRPr="00504D41">
        <w:rPr>
          <w:szCs w:val="24"/>
        </w:rPr>
        <w:t>biomass derived</w:t>
      </w:r>
      <w:r w:rsidRPr="00504D41">
        <w:rPr>
          <w:szCs w:val="24"/>
        </w:rPr>
        <w:t xml:space="preserve"> seed treatments discussing their progress with a focus on the sustainability of the approach.</w:t>
      </w:r>
    </w:p>
    <w:p w14:paraId="40652D96" w14:textId="77777777" w:rsidR="002B0DAB" w:rsidRPr="00504D41" w:rsidRDefault="00C32872" w:rsidP="00A30A2A">
      <w:pPr>
        <w:spacing w:line="360" w:lineRule="auto"/>
        <w:rPr>
          <w:b/>
          <w:szCs w:val="24"/>
        </w:rPr>
      </w:pPr>
      <w:r w:rsidRPr="00504D41">
        <w:rPr>
          <w:b/>
          <w:szCs w:val="24"/>
        </w:rPr>
        <w:t>5.1</w:t>
      </w:r>
      <w:r w:rsidR="002B0DAB" w:rsidRPr="00504D41">
        <w:rPr>
          <w:b/>
          <w:szCs w:val="24"/>
        </w:rPr>
        <w:t xml:space="preserve">. Biochar </w:t>
      </w:r>
    </w:p>
    <w:p w14:paraId="0492A22C" w14:textId="77777777" w:rsidR="002B0DAB" w:rsidRPr="00504D41" w:rsidRDefault="002B0DAB" w:rsidP="00A30A2A">
      <w:pPr>
        <w:tabs>
          <w:tab w:val="left" w:pos="0"/>
        </w:tabs>
        <w:spacing w:line="360" w:lineRule="auto"/>
        <w:jc w:val="both"/>
        <w:rPr>
          <w:szCs w:val="24"/>
        </w:rPr>
      </w:pPr>
      <w:r w:rsidRPr="00504D41">
        <w:rPr>
          <w:szCs w:val="24"/>
        </w:rPr>
        <w:t>A recent exciting advancement in seed treatment technology is the use of biochar-based seed coatings. Biochar is a porous carbon-rich solid material produced from pyrolysis of biomass under reduced oxygen conditions (</w:t>
      </w:r>
      <w:r w:rsidRPr="00504D41">
        <w:rPr>
          <w:b/>
          <w:bCs/>
          <w:szCs w:val="24"/>
        </w:rPr>
        <w:t xml:space="preserve">Figure </w:t>
      </w:r>
      <w:r w:rsidR="009C4B2E" w:rsidRPr="00504D41">
        <w:rPr>
          <w:b/>
          <w:bCs/>
          <w:szCs w:val="24"/>
        </w:rPr>
        <w:t>12</w:t>
      </w:r>
      <w:r w:rsidRPr="00504D41">
        <w:rPr>
          <w:b/>
          <w:bCs/>
          <w:szCs w:val="24"/>
        </w:rPr>
        <w:t>a</w:t>
      </w:r>
      <w:r w:rsidRPr="00504D41">
        <w:rPr>
          <w:szCs w:val="24"/>
        </w:rPr>
        <w:t xml:space="preserve">). Depending on the feedstock and the pyrolysis </w:t>
      </w:r>
      <w:r w:rsidRPr="00504D41">
        <w:rPr>
          <w:szCs w:val="24"/>
        </w:rPr>
        <w:lastRenderedPageBreak/>
        <w:t xml:space="preserve">conditions, biochars can have widely differing chemical and physical properties (Figure </w:t>
      </w:r>
      <w:r w:rsidR="00091B24" w:rsidRPr="00504D41">
        <w:rPr>
          <w:szCs w:val="24"/>
        </w:rPr>
        <w:t>12</w:t>
      </w:r>
      <w:r w:rsidRPr="00504D41">
        <w:rPr>
          <w:szCs w:val="24"/>
        </w:rPr>
        <w:t>c-f).</w:t>
      </w:r>
      <w:r w:rsidR="006D54C2" w:rsidRPr="00504D41">
        <w:rPr>
          <w:noProof/>
          <w:szCs w:val="24"/>
          <w:vertAlign w:val="superscript"/>
        </w:rPr>
        <w:t>139</w:t>
      </w:r>
      <w:r w:rsidRPr="00504D41">
        <w:rPr>
          <w:szCs w:val="24"/>
        </w:rPr>
        <w:t xml:space="preserve"> The organic portion of biochar is mainly composed of carbon, while the inorganic components can contain minerals such as </w:t>
      </w:r>
      <w:r w:rsidR="00876CCC" w:rsidRPr="00504D41">
        <w:rPr>
          <w:szCs w:val="24"/>
        </w:rPr>
        <w:t>calcium</w:t>
      </w:r>
      <w:r w:rsidRPr="00504D41">
        <w:rPr>
          <w:szCs w:val="24"/>
        </w:rPr>
        <w:t xml:space="preserve">, </w:t>
      </w:r>
      <w:r w:rsidR="00876CCC" w:rsidRPr="00504D41">
        <w:rPr>
          <w:szCs w:val="24"/>
        </w:rPr>
        <w:t>pota</w:t>
      </w:r>
      <w:r w:rsidR="00466A0E" w:rsidRPr="00504D41">
        <w:rPr>
          <w:szCs w:val="24"/>
        </w:rPr>
        <w:t>s</w:t>
      </w:r>
      <w:r w:rsidR="00876CCC" w:rsidRPr="00504D41">
        <w:rPr>
          <w:szCs w:val="24"/>
        </w:rPr>
        <w:t>sium</w:t>
      </w:r>
      <w:r w:rsidRPr="00504D41">
        <w:rPr>
          <w:szCs w:val="24"/>
        </w:rPr>
        <w:t xml:space="preserve">, </w:t>
      </w:r>
      <w:r w:rsidR="00876CCC" w:rsidRPr="00504D41">
        <w:rPr>
          <w:szCs w:val="24"/>
        </w:rPr>
        <w:t xml:space="preserve">magnesium </w:t>
      </w:r>
      <w:r w:rsidRPr="00504D41">
        <w:rPr>
          <w:szCs w:val="24"/>
        </w:rPr>
        <w:t>and inorganic carbonates. These are multifunctional materials and have found uses in various environmental (carbon sequestration, waste-water treatment) and agricultural applications (soil remediation, hydroponics).</w:t>
      </w:r>
      <w:r w:rsidR="006D54C2" w:rsidRPr="00504D41">
        <w:rPr>
          <w:noProof/>
          <w:szCs w:val="24"/>
          <w:vertAlign w:val="superscript"/>
        </w:rPr>
        <w:t>140–142</w:t>
      </w:r>
      <w:r w:rsidRPr="00504D41">
        <w:rPr>
          <w:szCs w:val="24"/>
        </w:rPr>
        <w:t xml:space="preserve"> Widely researched as soil remediation agents,</w:t>
      </w:r>
      <w:r w:rsidR="006D54C2" w:rsidRPr="00504D41">
        <w:rPr>
          <w:noProof/>
          <w:szCs w:val="24"/>
          <w:vertAlign w:val="superscript"/>
        </w:rPr>
        <w:t>143</w:t>
      </w:r>
      <w:r w:rsidRPr="00504D41">
        <w:rPr>
          <w:szCs w:val="24"/>
        </w:rPr>
        <w:t xml:space="preserve"> some recent reports</w:t>
      </w:r>
      <w:r w:rsidR="006D54C2" w:rsidRPr="00504D41">
        <w:rPr>
          <w:noProof/>
          <w:szCs w:val="24"/>
          <w:vertAlign w:val="superscript"/>
        </w:rPr>
        <w:t>55,56,144,145</w:t>
      </w:r>
      <w:r w:rsidRPr="00504D41">
        <w:rPr>
          <w:szCs w:val="24"/>
        </w:rPr>
        <w:t xml:space="preserve">  have suggested the utilization of bioc</w:t>
      </w:r>
      <w:r w:rsidR="00776D1E" w:rsidRPr="00504D41">
        <w:rPr>
          <w:szCs w:val="24"/>
        </w:rPr>
        <w:t xml:space="preserve">hars as seed coating materials. </w:t>
      </w:r>
      <w:r w:rsidRPr="00504D41">
        <w:rPr>
          <w:szCs w:val="24"/>
        </w:rPr>
        <w:t>An early patent on the subject,</w:t>
      </w:r>
      <w:r w:rsidR="006D54C2" w:rsidRPr="00504D41">
        <w:rPr>
          <w:noProof/>
          <w:szCs w:val="24"/>
          <w:vertAlign w:val="superscript"/>
        </w:rPr>
        <w:t>144</w:t>
      </w:r>
      <w:r w:rsidRPr="00504D41">
        <w:rPr>
          <w:szCs w:val="24"/>
        </w:rPr>
        <w:t xml:space="preserve"> has disclosed a method to coat seeds with biochar, emphasizing the need to first treat (Figure </w:t>
      </w:r>
      <w:r w:rsidR="00F71E7F" w:rsidRPr="00504D41">
        <w:rPr>
          <w:szCs w:val="24"/>
        </w:rPr>
        <w:t>12</w:t>
      </w:r>
      <w:r w:rsidRPr="00504D41">
        <w:rPr>
          <w:szCs w:val="24"/>
        </w:rPr>
        <w:t xml:space="preserve">b) the biochar in order to (1) enhance the desirous properties like water and nutrient retention, (2) purge harmful impurities contained with the material pores, (3) remove variations in properties due to derivation from different feedstocks, and (4) load suitable AI or PGPM on the biochar particles. The seed coating method included mixing the seeds with starch or a suitable binder solution in a rotary tumbler and then adding the biochar material to the seed/binder mix to achieve the </w:t>
      </w:r>
      <w:r w:rsidR="00776D1E" w:rsidRPr="00504D41">
        <w:rPr>
          <w:szCs w:val="24"/>
        </w:rPr>
        <w:t xml:space="preserve">desired seed coating thickness. </w:t>
      </w:r>
      <w:r w:rsidRPr="00504D41">
        <w:rPr>
          <w:szCs w:val="24"/>
        </w:rPr>
        <w:t>Another later study</w:t>
      </w:r>
      <w:r w:rsidR="006D54C2" w:rsidRPr="00504D41">
        <w:rPr>
          <w:noProof/>
          <w:szCs w:val="24"/>
          <w:vertAlign w:val="superscript"/>
        </w:rPr>
        <w:t>145</w:t>
      </w:r>
      <w:r w:rsidR="00F71E7F" w:rsidRPr="00504D41">
        <w:rPr>
          <w:szCs w:val="24"/>
        </w:rPr>
        <w:t xml:space="preserve"> </w:t>
      </w:r>
      <w:r w:rsidRPr="00504D41">
        <w:rPr>
          <w:szCs w:val="24"/>
        </w:rPr>
        <w:t xml:space="preserve">on biochar-based seed coatings was conducted by Williams and coworkers, who analyzed the effect of biochar-based seed coatings on the growth of native plants. Depending on the plant species, the coating either inhibited germination or had no </w:t>
      </w:r>
      <w:r w:rsidR="00876CCC" w:rsidRPr="00504D41">
        <w:rPr>
          <w:szCs w:val="24"/>
        </w:rPr>
        <w:t xml:space="preserve">noticeable </w:t>
      </w:r>
      <w:r w:rsidRPr="00504D41">
        <w:rPr>
          <w:szCs w:val="24"/>
        </w:rPr>
        <w:t xml:space="preserve">effect signifying that biochar alone may not serve as a suitable coating material. However, positive results have </w:t>
      </w:r>
      <w:r w:rsidR="00876CCC" w:rsidRPr="00504D41">
        <w:rPr>
          <w:szCs w:val="24"/>
        </w:rPr>
        <w:t xml:space="preserve">also </w:t>
      </w:r>
      <w:r w:rsidRPr="00504D41">
        <w:rPr>
          <w:szCs w:val="24"/>
        </w:rPr>
        <w:t xml:space="preserve">been reported when biochar based seed coatings are used in combination with PGPM. Glodowska et al. examined the efficacy of biochar as a carrier for </w:t>
      </w:r>
      <w:r w:rsidRPr="00504D41">
        <w:rPr>
          <w:i/>
          <w:iCs/>
          <w:szCs w:val="24"/>
        </w:rPr>
        <w:t>P. libanensis</w:t>
      </w:r>
      <w:r w:rsidRPr="00504D41">
        <w:rPr>
          <w:szCs w:val="24"/>
        </w:rPr>
        <w:t xml:space="preserve">, a </w:t>
      </w:r>
      <w:r w:rsidR="00876CCC" w:rsidRPr="00504D41">
        <w:rPr>
          <w:szCs w:val="24"/>
        </w:rPr>
        <w:t xml:space="preserve">phosphorus </w:t>
      </w:r>
      <w:r w:rsidRPr="00504D41">
        <w:rPr>
          <w:szCs w:val="24"/>
        </w:rPr>
        <w:t>solubilizing bacteria, to create inoculated seed coatings.</w:t>
      </w:r>
      <w:r w:rsidR="006D54C2" w:rsidRPr="00504D41">
        <w:rPr>
          <w:noProof/>
          <w:szCs w:val="24"/>
          <w:vertAlign w:val="superscript"/>
        </w:rPr>
        <w:t>55</w:t>
      </w:r>
      <w:r w:rsidRPr="00504D41">
        <w:rPr>
          <w:szCs w:val="24"/>
        </w:rPr>
        <w:t xml:space="preserve"> Corn seeds coated with inoculated biochar </w:t>
      </w:r>
      <w:r w:rsidR="00876CCC" w:rsidRPr="00504D41">
        <w:rPr>
          <w:szCs w:val="24"/>
        </w:rPr>
        <w:t xml:space="preserve">were </w:t>
      </w:r>
      <w:r w:rsidRPr="00504D41">
        <w:rPr>
          <w:szCs w:val="24"/>
        </w:rPr>
        <w:t xml:space="preserve">sown in soil treated with soluble and insoluble </w:t>
      </w:r>
      <w:r w:rsidR="00876CCC" w:rsidRPr="00504D41">
        <w:rPr>
          <w:szCs w:val="24"/>
        </w:rPr>
        <w:t xml:space="preserve">phosphorus </w:t>
      </w:r>
      <w:r w:rsidRPr="00504D41">
        <w:rPr>
          <w:szCs w:val="24"/>
        </w:rPr>
        <w:t xml:space="preserve">in order to identify (1) the ability of the inoculated microbes to solubilize inorganic </w:t>
      </w:r>
      <w:r w:rsidR="00876CCC" w:rsidRPr="00504D41">
        <w:rPr>
          <w:szCs w:val="24"/>
        </w:rPr>
        <w:t xml:space="preserve">phosphorus </w:t>
      </w:r>
      <w:r w:rsidRPr="00504D41">
        <w:rPr>
          <w:szCs w:val="24"/>
        </w:rPr>
        <w:t xml:space="preserve">making it available for plant uptake, and (2) viability of biochar as the carrier material.  Greenhouse trials conducted on corn seeds showed improved seedling growth when soluble </w:t>
      </w:r>
      <w:r w:rsidR="00876CCC" w:rsidRPr="00504D41">
        <w:rPr>
          <w:szCs w:val="24"/>
        </w:rPr>
        <w:t xml:space="preserve">phosphorus </w:t>
      </w:r>
      <w:r w:rsidRPr="00504D41">
        <w:rPr>
          <w:szCs w:val="24"/>
        </w:rPr>
        <w:t xml:space="preserve">(Hoagland solution) was applied (Figure </w:t>
      </w:r>
      <w:r w:rsidR="00CA24AD" w:rsidRPr="00504D41">
        <w:rPr>
          <w:szCs w:val="24"/>
        </w:rPr>
        <w:t>12</w:t>
      </w:r>
      <w:r w:rsidRPr="00504D41">
        <w:rPr>
          <w:szCs w:val="24"/>
        </w:rPr>
        <w:t xml:space="preserve">h) but no significant improvement as compared to controls was observed when insoluble phosphate source (tricalcium phosphate) was applied (Figure </w:t>
      </w:r>
      <w:r w:rsidR="0058632B" w:rsidRPr="00504D41">
        <w:rPr>
          <w:szCs w:val="24"/>
        </w:rPr>
        <w:t>12</w:t>
      </w:r>
      <w:r w:rsidRPr="00504D41">
        <w:rPr>
          <w:szCs w:val="24"/>
        </w:rPr>
        <w:t xml:space="preserve">i). The authors hypothesize that the water retention characteristics of the biochar maybe a more significant factor in the observed enhanced plant growth as compared to the </w:t>
      </w:r>
      <w:r w:rsidR="00876CCC" w:rsidRPr="00504D41">
        <w:rPr>
          <w:szCs w:val="24"/>
        </w:rPr>
        <w:t>p</w:t>
      </w:r>
      <w:r w:rsidRPr="00504D41">
        <w:rPr>
          <w:szCs w:val="24"/>
        </w:rPr>
        <w:t>hosphorus solubilization effect from the inoculated bacteria.</w:t>
      </w:r>
      <w:r w:rsidR="0058632B" w:rsidRPr="00504D41">
        <w:rPr>
          <w:szCs w:val="24"/>
        </w:rPr>
        <w:t xml:space="preserve"> In a subsequent report, </w:t>
      </w:r>
      <w:r w:rsidRPr="00504D41">
        <w:rPr>
          <w:szCs w:val="24"/>
        </w:rPr>
        <w:t xml:space="preserve">Tripti et al. investigated the potential of bioformulations containing mixtures of biochar derived from agriculture waste and flyash (a byproduct of coal </w:t>
      </w:r>
      <w:r w:rsidRPr="00504D41">
        <w:rPr>
          <w:szCs w:val="24"/>
        </w:rPr>
        <w:lastRenderedPageBreak/>
        <w:t>burning process) containing Plant Growth Promoting (PGP) rhizobacteria to coat tomato seeds.</w:t>
      </w:r>
      <w:r w:rsidR="006D54C2" w:rsidRPr="00504D41">
        <w:rPr>
          <w:noProof/>
          <w:szCs w:val="24"/>
          <w:vertAlign w:val="superscript"/>
        </w:rPr>
        <w:t>56</w:t>
      </w:r>
      <w:r w:rsidRPr="00504D41">
        <w:rPr>
          <w:szCs w:val="24"/>
        </w:rPr>
        <w:t xml:space="preserve"> Biochar-based formulations showed retention of viable numbers of bacterial cells up to 180 days of storage, while seed germination trials showed a significant increase in the germination of coated seeds compared to uncoated controls. Biometric growth parameters assessed through pot trials also showed a significant increase as a result of the seed treatment (Figure </w:t>
      </w:r>
      <w:r w:rsidR="00577610" w:rsidRPr="00504D41">
        <w:rPr>
          <w:szCs w:val="24"/>
        </w:rPr>
        <w:t>12</w:t>
      </w:r>
      <w:r w:rsidRPr="00504D41">
        <w:rPr>
          <w:szCs w:val="24"/>
        </w:rPr>
        <w:t xml:space="preserve">g). While the promising results of the study indicate the efficacy of biochar as carrier material for PGPM with no inhibiting effects observed on seed germination and growth, the incorporation of biochar use in seed treatment techniques also offers an innovative solution for the reuse of organic (industrial and agriculture) waste which would otherwise be a source of environmental pollution. However, due to the conflicting results obtained by various researchers caution has to be taken while using biochar-based seed coatings. </w:t>
      </w:r>
    </w:p>
    <w:p w14:paraId="08641AD3" w14:textId="77777777" w:rsidR="00876CCC" w:rsidRPr="00504D41" w:rsidRDefault="002B0DAB" w:rsidP="00A30A2A">
      <w:pPr>
        <w:spacing w:line="360" w:lineRule="auto"/>
        <w:jc w:val="both"/>
        <w:rPr>
          <w:szCs w:val="24"/>
          <w:shd w:val="clear" w:color="auto" w:fill="FCFCFC"/>
        </w:rPr>
      </w:pPr>
      <w:r w:rsidRPr="00504D41">
        <w:rPr>
          <w:szCs w:val="24"/>
          <w:shd w:val="clear" w:color="auto" w:fill="FCFCFC"/>
        </w:rPr>
        <w:t>To evaluate biochar use from a sustainability point of view, LCA studies have been conducted. A comparison across different LCA studies is complicated by the variation in biochar source, system boundaries, pyrolysis technique and choice of different functional unit</w:t>
      </w:r>
      <w:r w:rsidR="00876CCC" w:rsidRPr="00504D41">
        <w:rPr>
          <w:szCs w:val="24"/>
          <w:shd w:val="clear" w:color="auto" w:fill="FCFCFC"/>
        </w:rPr>
        <w:t>s</w:t>
      </w:r>
      <w:r w:rsidRPr="00504D41">
        <w:rPr>
          <w:szCs w:val="24"/>
          <w:shd w:val="clear" w:color="auto" w:fill="FCFCFC"/>
        </w:rPr>
        <w:t xml:space="preserve"> (mass of feedstock, product, or unit land, household). Matuštík et al</w:t>
      </w:r>
      <w:r w:rsidR="00876CCC" w:rsidRPr="00504D41">
        <w:rPr>
          <w:szCs w:val="24"/>
          <w:shd w:val="clear" w:color="auto" w:fill="FCFCFC"/>
        </w:rPr>
        <w:t>.</w:t>
      </w:r>
      <w:r w:rsidR="006D54C2" w:rsidRPr="00504D41">
        <w:rPr>
          <w:noProof/>
          <w:szCs w:val="24"/>
          <w:shd w:val="clear" w:color="auto" w:fill="FCFCFC"/>
          <w:vertAlign w:val="superscript"/>
        </w:rPr>
        <w:t>146</w:t>
      </w:r>
      <w:r w:rsidRPr="00504D41">
        <w:rPr>
          <w:szCs w:val="24"/>
          <w:shd w:val="clear" w:color="auto" w:fill="FCFCFC"/>
        </w:rPr>
        <w:t xml:space="preserve"> reviewed 27 studies on the subject considering the variability of the LCA baseline assumptions. Their results indicate a mostly negative </w:t>
      </w:r>
      <w:r w:rsidR="00564D87" w:rsidRPr="00504D41">
        <w:rPr>
          <w:rFonts w:eastAsia="Times New Roman"/>
          <w:szCs w:val="24"/>
        </w:rPr>
        <w:t>Global Warming Potential</w:t>
      </w:r>
      <w:r w:rsidRPr="00504D41">
        <w:rPr>
          <w:szCs w:val="24"/>
          <w:shd w:val="clear" w:color="auto" w:fill="FCFCFC"/>
        </w:rPr>
        <w:t xml:space="preserve"> </w:t>
      </w:r>
      <w:r w:rsidR="00116BDB" w:rsidRPr="00504D41">
        <w:rPr>
          <w:szCs w:val="24"/>
          <w:shd w:val="clear" w:color="auto" w:fill="FCFCFC"/>
        </w:rPr>
        <w:t xml:space="preserve">(GWP) </w:t>
      </w:r>
      <w:r w:rsidRPr="00504D41">
        <w:rPr>
          <w:szCs w:val="24"/>
          <w:shd w:val="clear" w:color="auto" w:fill="FCFCFC"/>
        </w:rPr>
        <w:t xml:space="preserve">and thus an obvious benefit for the environment. The pyrolysis and feedstock processing step is generally the primary source of </w:t>
      </w:r>
      <w:r w:rsidR="00116BDB" w:rsidRPr="00504D41">
        <w:rPr>
          <w:szCs w:val="24"/>
          <w:shd w:val="clear" w:color="auto" w:fill="FCFCFC"/>
        </w:rPr>
        <w:t>Green House Gases (</w:t>
      </w:r>
      <w:r w:rsidRPr="00504D41">
        <w:rPr>
          <w:szCs w:val="24"/>
          <w:shd w:val="clear" w:color="auto" w:fill="FCFCFC"/>
        </w:rPr>
        <w:t>GHG</w:t>
      </w:r>
      <w:r w:rsidR="00116BDB" w:rsidRPr="00504D41">
        <w:rPr>
          <w:szCs w:val="24"/>
          <w:shd w:val="clear" w:color="auto" w:fill="FCFCFC"/>
        </w:rPr>
        <w:t>)</w:t>
      </w:r>
      <w:r w:rsidRPr="00504D41">
        <w:rPr>
          <w:szCs w:val="24"/>
          <w:shd w:val="clear" w:color="auto" w:fill="FCFCFC"/>
        </w:rPr>
        <w:t xml:space="preserve"> which can be offset by the utilization of the pyrolysis co-products for energy production and the inherently CO</w:t>
      </w:r>
      <w:r w:rsidRPr="00504D41">
        <w:rPr>
          <w:szCs w:val="24"/>
          <w:shd w:val="clear" w:color="auto" w:fill="FCFCFC"/>
          <w:vertAlign w:val="subscript"/>
        </w:rPr>
        <w:t>2</w:t>
      </w:r>
      <w:r w:rsidRPr="00504D41">
        <w:rPr>
          <w:szCs w:val="24"/>
          <w:shd w:val="clear" w:color="auto" w:fill="FCFCFC"/>
        </w:rPr>
        <w:t xml:space="preserve"> sequestration characteristics of biochar. Regarding the raw material source, waste biomass generally appears as a favored choice since the production process can be excluded from the biochar production scheme. However, these benefits can be offset by the environmental implications of the material treatment steps since waste materials will have higher contaminant levels. </w:t>
      </w:r>
    </w:p>
    <w:p w14:paraId="0365C3E8" w14:textId="77777777" w:rsidR="00876CCC" w:rsidRPr="00504D41" w:rsidRDefault="002B0DAB" w:rsidP="0071282A">
      <w:pPr>
        <w:spacing w:line="360" w:lineRule="auto"/>
        <w:jc w:val="both"/>
        <w:rPr>
          <w:szCs w:val="24"/>
        </w:rPr>
      </w:pPr>
      <w:r w:rsidRPr="00504D41">
        <w:rPr>
          <w:szCs w:val="24"/>
          <w:shd w:val="clear" w:color="auto" w:fill="FCFCFC"/>
        </w:rPr>
        <w:t>Tisserant et al</w:t>
      </w:r>
      <w:r w:rsidR="006D54C2" w:rsidRPr="00504D41">
        <w:rPr>
          <w:noProof/>
          <w:szCs w:val="24"/>
          <w:shd w:val="clear" w:color="auto" w:fill="FCFCFC"/>
          <w:vertAlign w:val="superscript"/>
        </w:rPr>
        <w:t>147</w:t>
      </w:r>
      <w:r w:rsidRPr="00504D41">
        <w:rPr>
          <w:szCs w:val="24"/>
          <w:shd w:val="clear" w:color="auto" w:fill="FCFCFC"/>
        </w:rPr>
        <w:t xml:space="preserve"> in their review have provided a different perspective on the sustainability of biochar noting its use can have significant advantages for </w:t>
      </w:r>
      <w:r w:rsidR="00876CCC" w:rsidRPr="00504D41">
        <w:rPr>
          <w:szCs w:val="24"/>
          <w:shd w:val="clear" w:color="auto" w:fill="FCFCFC"/>
        </w:rPr>
        <w:t>smallholder farmers</w:t>
      </w:r>
      <w:r w:rsidRPr="00504D41">
        <w:rPr>
          <w:szCs w:val="24"/>
          <w:shd w:val="clear" w:color="auto" w:fill="FCFCFC"/>
        </w:rPr>
        <w:t xml:space="preserve"> in the tropics. The soil conditioning properties of biochar in these regions can potentially help curb </w:t>
      </w:r>
      <w:r w:rsidR="00876CCC" w:rsidRPr="00504D41">
        <w:rPr>
          <w:szCs w:val="24"/>
          <w:shd w:val="clear" w:color="auto" w:fill="FCFCFC"/>
        </w:rPr>
        <w:t>agriculture-</w:t>
      </w:r>
      <w:r w:rsidRPr="00504D41">
        <w:rPr>
          <w:szCs w:val="24"/>
          <w:shd w:val="clear" w:color="auto" w:fill="FCFCFC"/>
        </w:rPr>
        <w:t xml:space="preserve">induced deforestation and thus provide social, and economic benefits in addition to the environmental advantages. All in all existing literature maintains a generally favorable outlook on the use of biochar on multiple levels. However, to attain the maximum benefits significant </w:t>
      </w:r>
      <w:r w:rsidRPr="00504D41">
        <w:rPr>
          <w:szCs w:val="24"/>
          <w:shd w:val="clear" w:color="auto" w:fill="FCFCFC"/>
        </w:rPr>
        <w:lastRenderedPageBreak/>
        <w:t>infrastructure development is inevitable to utilize the pyrolysis co-products during biochar generation</w:t>
      </w:r>
      <w:r w:rsidR="0071282A" w:rsidRPr="00504D41">
        <w:rPr>
          <w:szCs w:val="24"/>
          <w:shd w:val="clear" w:color="auto" w:fill="FCFCFC"/>
        </w:rPr>
        <w:t>, s</w:t>
      </w:r>
      <w:r w:rsidRPr="00504D41">
        <w:rPr>
          <w:szCs w:val="24"/>
          <w:shd w:val="clear" w:color="auto" w:fill="FCFCFC"/>
        </w:rPr>
        <w:t xml:space="preserve">ince the environmental effects of the pyrolysis step can be offset by the utilization of the co-products for energy generation. Moreover, </w:t>
      </w:r>
      <w:r w:rsidR="00375CB2" w:rsidRPr="00504D41">
        <w:rPr>
          <w:szCs w:val="24"/>
        </w:rPr>
        <w:t>p</w:t>
      </w:r>
      <w:r w:rsidRPr="00504D41">
        <w:rPr>
          <w:szCs w:val="24"/>
        </w:rPr>
        <w:t>ast studies</w:t>
      </w:r>
      <w:r w:rsidR="006D54C2" w:rsidRPr="00504D41">
        <w:rPr>
          <w:noProof/>
          <w:szCs w:val="24"/>
          <w:vertAlign w:val="superscript"/>
        </w:rPr>
        <w:t>148</w:t>
      </w:r>
      <w:r w:rsidRPr="00504D41">
        <w:rPr>
          <w:szCs w:val="24"/>
        </w:rPr>
        <w:t xml:space="preserve"> have raised concerns </w:t>
      </w:r>
      <w:r w:rsidR="00876CCC" w:rsidRPr="00504D41">
        <w:rPr>
          <w:szCs w:val="24"/>
        </w:rPr>
        <w:t xml:space="preserve">about </w:t>
      </w:r>
      <w:r w:rsidRPr="00504D41">
        <w:rPr>
          <w:szCs w:val="24"/>
        </w:rPr>
        <w:t>the toxic substances present in biochars including carcinogenic polycyclic hydrocarbons, heavy metals and harmful free radicals. Zhang et al</w:t>
      </w:r>
      <w:r w:rsidR="00876CCC" w:rsidRPr="00504D41">
        <w:rPr>
          <w:szCs w:val="24"/>
        </w:rPr>
        <w:t>.</w:t>
      </w:r>
      <w:r w:rsidRPr="00504D41">
        <w:rPr>
          <w:szCs w:val="24"/>
        </w:rPr>
        <w:t xml:space="preserve"> investigated the effect of biochar nanoparticles on seedling growth, reporting that biochar nanoparticle toxicity risk was related to the nature of the feedstock.</w:t>
      </w:r>
      <w:r w:rsidR="006D54C2" w:rsidRPr="00504D41">
        <w:rPr>
          <w:noProof/>
          <w:szCs w:val="24"/>
          <w:vertAlign w:val="superscript"/>
        </w:rPr>
        <w:t>148</w:t>
      </w:r>
      <w:r w:rsidR="00A9416E" w:rsidRPr="00504D41">
        <w:rPr>
          <w:szCs w:val="24"/>
        </w:rPr>
        <w:t xml:space="preserve"> </w:t>
      </w:r>
      <w:r w:rsidRPr="00504D41">
        <w:rPr>
          <w:szCs w:val="24"/>
        </w:rPr>
        <w:t>Thus, it can be surmised that use of biochar seed coatings is still in its nascent stage, and further research needs to be conducted to re-affirm their utility with a focus on pre-treatment to remove harmful substances present. Furthermore, environmental risk assessment studies need to be performed prior to any recommendations for their wide-scale usage can be made</w:t>
      </w:r>
      <w:r w:rsidR="00876CCC" w:rsidRPr="00504D41">
        <w:rPr>
          <w:szCs w:val="24"/>
        </w:rPr>
        <w:t>.</w:t>
      </w:r>
    </w:p>
    <w:p w14:paraId="7219580C" w14:textId="77777777" w:rsidR="002B0DAB" w:rsidRPr="00504D41" w:rsidRDefault="002B0DAB" w:rsidP="00A30A2A">
      <w:pPr>
        <w:tabs>
          <w:tab w:val="left" w:pos="0"/>
        </w:tabs>
        <w:spacing w:line="360" w:lineRule="auto"/>
        <w:jc w:val="both"/>
        <w:rPr>
          <w:szCs w:val="24"/>
        </w:rPr>
      </w:pPr>
      <w:r w:rsidRPr="00504D41">
        <w:rPr>
          <w:szCs w:val="24"/>
        </w:rPr>
        <w:lastRenderedPageBreak/>
        <w:t xml:space="preserve"> </w:t>
      </w:r>
      <w:r w:rsidR="000057B3" w:rsidRPr="00504D41">
        <w:rPr>
          <w:noProof/>
          <w:szCs w:val="24"/>
        </w:rPr>
        <w:pict w14:anchorId="2967A46A">
          <v:shape id="Picture 4" o:spid="_x0000_i1037" type="#_x0000_t75" alt="Diagram&#10;&#10;Description automatically generated with medium confidence" style="width:451.25pt;height:436.2pt;visibility:visible">
            <v:imagedata r:id="rId24" o:title="Diagram&#10;&#10;Description automatically generated with medium confidence"/>
          </v:shape>
        </w:pict>
      </w:r>
    </w:p>
    <w:p w14:paraId="5153AA1C" w14:textId="77777777" w:rsidR="00876CCC" w:rsidRPr="00504D41" w:rsidRDefault="002B0DAB" w:rsidP="000220C7">
      <w:pPr>
        <w:spacing w:line="360" w:lineRule="auto"/>
        <w:jc w:val="both"/>
        <w:rPr>
          <w:szCs w:val="24"/>
        </w:rPr>
      </w:pPr>
      <w:r w:rsidRPr="00504D41">
        <w:rPr>
          <w:b/>
          <w:bCs/>
          <w:szCs w:val="24"/>
        </w:rPr>
        <w:t xml:space="preserve">Figure </w:t>
      </w:r>
      <w:r w:rsidRPr="00504D41">
        <w:rPr>
          <w:b/>
          <w:bCs/>
          <w:szCs w:val="24"/>
        </w:rPr>
        <w:fldChar w:fldCharType="begin"/>
      </w:r>
      <w:r w:rsidRPr="00504D41">
        <w:rPr>
          <w:b/>
          <w:bCs/>
          <w:szCs w:val="24"/>
        </w:rPr>
        <w:instrText xml:space="preserve"> SEQ Figure \* ARABIC </w:instrText>
      </w:r>
      <w:r w:rsidRPr="00504D41">
        <w:rPr>
          <w:b/>
          <w:bCs/>
          <w:szCs w:val="24"/>
        </w:rPr>
        <w:fldChar w:fldCharType="separate"/>
      </w:r>
      <w:r w:rsidR="003D0A6B" w:rsidRPr="00504D41">
        <w:rPr>
          <w:b/>
          <w:bCs/>
          <w:noProof/>
          <w:szCs w:val="24"/>
        </w:rPr>
        <w:t>12</w:t>
      </w:r>
      <w:r w:rsidRPr="00504D41">
        <w:rPr>
          <w:b/>
          <w:bCs/>
          <w:noProof/>
          <w:szCs w:val="24"/>
        </w:rPr>
        <w:fldChar w:fldCharType="end"/>
      </w:r>
      <w:r w:rsidRPr="00504D41">
        <w:rPr>
          <w:szCs w:val="24"/>
        </w:rPr>
        <w:t>. Biochar can be derived from pyrolysis of biomass derived from various precursors. Figure adapted and modified from an open source article reference.</w:t>
      </w:r>
      <w:r w:rsidR="006D54C2" w:rsidRPr="00504D41">
        <w:rPr>
          <w:noProof/>
          <w:szCs w:val="24"/>
          <w:vertAlign w:val="superscript"/>
        </w:rPr>
        <w:t>149</w:t>
      </w:r>
      <w:r w:rsidRPr="00504D41">
        <w:rPr>
          <w:szCs w:val="24"/>
        </w:rPr>
        <w:t xml:space="preserve"> (b) Schematic showing one possible </w:t>
      </w:r>
      <w:r w:rsidR="00876CCC" w:rsidRPr="00504D41">
        <w:rPr>
          <w:szCs w:val="24"/>
        </w:rPr>
        <w:t xml:space="preserve">design </w:t>
      </w:r>
      <w:r w:rsidRPr="00504D41">
        <w:rPr>
          <w:szCs w:val="24"/>
        </w:rPr>
        <w:t>of biochar pre-treatment steps. The raw biochar is washed with either only water or with acid/alkaline/surfactant treated water to clean pores and adjust characteristics like pore volume, VOC content and pH. The excess liquid from the treated biochar is removed through vacuum exfiltration and moisture levels are adjusted through centrifugation. The washed and moisture adjusted biochar can be bagged or further treated. Figure adapted and modified from reference.</w:t>
      </w:r>
      <w:r w:rsidR="006D54C2" w:rsidRPr="00504D41">
        <w:rPr>
          <w:noProof/>
          <w:szCs w:val="24"/>
          <w:vertAlign w:val="superscript"/>
        </w:rPr>
        <w:t>144</w:t>
      </w:r>
      <w:r w:rsidRPr="00504D41">
        <w:rPr>
          <w:szCs w:val="24"/>
        </w:rPr>
        <w:t xml:space="preserve"> (c) Digital images of weed biomasses and derived biochar produced at pyrolysis temperature of 600⁰C. Figure adapted with permission.</w:t>
      </w:r>
      <w:r w:rsidR="006D54C2" w:rsidRPr="00504D41">
        <w:rPr>
          <w:noProof/>
          <w:szCs w:val="24"/>
          <w:vertAlign w:val="superscript"/>
        </w:rPr>
        <w:t>143</w:t>
      </w:r>
      <w:r w:rsidRPr="00504D41">
        <w:rPr>
          <w:szCs w:val="24"/>
        </w:rPr>
        <w:t xml:space="preserve"> Copyright Elsevier 2020. </w:t>
      </w:r>
      <w:r w:rsidRPr="00504D41">
        <w:rPr>
          <w:szCs w:val="24"/>
        </w:rPr>
        <w:lastRenderedPageBreak/>
        <w:t>SEM images of biochar derived from (d) pine, (e) birch and (f) coconut shells. (d-f) adapted from reference.</w:t>
      </w:r>
      <w:r w:rsidR="006D54C2" w:rsidRPr="00504D41">
        <w:rPr>
          <w:noProof/>
          <w:szCs w:val="24"/>
          <w:vertAlign w:val="superscript"/>
        </w:rPr>
        <w:t>144</w:t>
      </w:r>
      <w:r w:rsidRPr="00504D41">
        <w:rPr>
          <w:szCs w:val="24"/>
        </w:rPr>
        <w:t xml:space="preserve"> (g) Bar graph summarizing results from pot trials of PGP rhizobacteria inoculated bioformulation tomato seed coatings. Figure adapted and modified with permission.</w:t>
      </w:r>
      <w:r w:rsidR="006D54C2" w:rsidRPr="00504D41">
        <w:rPr>
          <w:noProof/>
          <w:szCs w:val="24"/>
          <w:vertAlign w:val="superscript"/>
        </w:rPr>
        <w:t>56</w:t>
      </w:r>
      <w:r w:rsidRPr="00504D41">
        <w:rPr>
          <w:szCs w:val="24"/>
        </w:rPr>
        <w:t xml:space="preserve"> Copyright Elsevier 2017. Treatments tested included: (1) Control - Soil without bioformulation, (2) L2 + FA = Soil + Flyash based bioformulation of </w:t>
      </w:r>
      <w:r w:rsidRPr="00504D41">
        <w:rPr>
          <w:i/>
          <w:iCs/>
          <w:szCs w:val="24"/>
        </w:rPr>
        <w:t>Burkholderia sp.</w:t>
      </w:r>
      <w:r w:rsidRPr="00504D41">
        <w:rPr>
          <w:szCs w:val="24"/>
        </w:rPr>
        <w:t xml:space="preserve"> L2, (3) L2 + BC = Soil + Biochar based bioformulation of </w:t>
      </w:r>
      <w:r w:rsidRPr="00504D41">
        <w:rPr>
          <w:i/>
          <w:iCs/>
          <w:szCs w:val="24"/>
        </w:rPr>
        <w:t>Burkholderia sp. L2</w:t>
      </w:r>
      <w:r w:rsidRPr="00504D41">
        <w:rPr>
          <w:szCs w:val="24"/>
        </w:rPr>
        <w:t xml:space="preserve">, (4) L2 + FA + BC =  Soil + Flyash and biochar (1:1) based bioformulation of </w:t>
      </w:r>
      <w:r w:rsidRPr="00504D41">
        <w:rPr>
          <w:i/>
          <w:iCs/>
          <w:szCs w:val="24"/>
        </w:rPr>
        <w:t>Burkholderia sp. L2</w:t>
      </w:r>
      <w:r w:rsidRPr="00504D41">
        <w:rPr>
          <w:szCs w:val="24"/>
        </w:rPr>
        <w:t xml:space="preserve">, (5) A30 + FA = Soil+  Flyash based bioformulation of </w:t>
      </w:r>
      <w:r w:rsidRPr="00504D41">
        <w:rPr>
          <w:i/>
          <w:iCs/>
          <w:szCs w:val="24"/>
        </w:rPr>
        <w:t>Bacillus sp. A30</w:t>
      </w:r>
      <w:r w:rsidRPr="00504D41">
        <w:rPr>
          <w:szCs w:val="24"/>
        </w:rPr>
        <w:t xml:space="preserve">, (6) A30 + BC = Soil + Biochar based bioformulation of </w:t>
      </w:r>
      <w:r w:rsidRPr="00504D41">
        <w:rPr>
          <w:i/>
          <w:iCs/>
          <w:szCs w:val="24"/>
        </w:rPr>
        <w:t>Bacillus sp.A30</w:t>
      </w:r>
      <w:r w:rsidRPr="00504D41">
        <w:rPr>
          <w:szCs w:val="24"/>
        </w:rPr>
        <w:t xml:space="preserve">, (7) A30 + FA + BC = Soil + Flyash and biochar (1:1) based bioformulation of </w:t>
      </w:r>
      <w:r w:rsidRPr="00504D41">
        <w:rPr>
          <w:i/>
          <w:iCs/>
          <w:szCs w:val="24"/>
        </w:rPr>
        <w:t>Bacillus sp. A30</w:t>
      </w:r>
      <w:r w:rsidRPr="00504D41">
        <w:rPr>
          <w:szCs w:val="24"/>
        </w:rPr>
        <w:t xml:space="preserve">. All 6 treatments demonstrated significantly higher fruit weight and yield compared to untreated controls. (h-i) Results from greenhouse trials of </w:t>
      </w:r>
      <w:r w:rsidR="00876CCC" w:rsidRPr="00504D41">
        <w:rPr>
          <w:szCs w:val="24"/>
        </w:rPr>
        <w:t xml:space="preserve">phosphorus </w:t>
      </w:r>
      <w:r w:rsidRPr="00504D41">
        <w:rPr>
          <w:szCs w:val="24"/>
        </w:rPr>
        <w:t xml:space="preserve">solubilizing bacteria </w:t>
      </w:r>
      <w:r w:rsidRPr="00504D41">
        <w:rPr>
          <w:i/>
          <w:iCs/>
          <w:szCs w:val="24"/>
          <w:shd w:val="clear" w:color="auto" w:fill="FCFCFC"/>
        </w:rPr>
        <w:t>P. libanensis</w:t>
      </w:r>
      <w:r w:rsidRPr="00504D41">
        <w:rPr>
          <w:szCs w:val="24"/>
        </w:rPr>
        <w:t xml:space="preserve"> inoculated biochar coated corn seeds. Plant growth was assessed for controls and treatments in presence of (h) Hoagland solution - soluble </w:t>
      </w:r>
      <w:r w:rsidR="00876CCC" w:rsidRPr="00504D41">
        <w:rPr>
          <w:szCs w:val="24"/>
        </w:rPr>
        <w:t xml:space="preserve">phosphorus </w:t>
      </w:r>
      <w:r w:rsidRPr="00504D41">
        <w:rPr>
          <w:szCs w:val="24"/>
        </w:rPr>
        <w:t>and (i) Hoagland solution + tricalcum phosphate. Plant fresh weight and height were significantly increased only for biochar based coating in presence of soluble</w:t>
      </w:r>
      <w:r w:rsidR="00876CCC" w:rsidRPr="00504D41">
        <w:rPr>
          <w:szCs w:val="24"/>
        </w:rPr>
        <w:t xml:space="preserve"> p</w:t>
      </w:r>
      <w:r w:rsidRPr="00504D41">
        <w:rPr>
          <w:szCs w:val="24"/>
        </w:rPr>
        <w:t xml:space="preserve">hosphorus indicating that </w:t>
      </w:r>
      <w:r w:rsidR="00876CCC" w:rsidRPr="00504D41">
        <w:rPr>
          <w:szCs w:val="24"/>
        </w:rPr>
        <w:t>p</w:t>
      </w:r>
      <w:r w:rsidRPr="00504D41">
        <w:rPr>
          <w:szCs w:val="24"/>
        </w:rPr>
        <w:t>hosphorus solubilization effect of the inoculated bacteria may not be a significant source of promoting plant growth. Data replotted from open source article.</w:t>
      </w:r>
      <w:r w:rsidR="006D54C2" w:rsidRPr="00504D41">
        <w:rPr>
          <w:noProof/>
          <w:szCs w:val="24"/>
          <w:vertAlign w:val="superscript"/>
        </w:rPr>
        <w:t>55</w:t>
      </w:r>
    </w:p>
    <w:p w14:paraId="11B1E7CA" w14:textId="77777777" w:rsidR="002B0DAB" w:rsidRPr="00504D41" w:rsidRDefault="00C32872" w:rsidP="00A30A2A">
      <w:pPr>
        <w:spacing w:line="360" w:lineRule="auto"/>
        <w:rPr>
          <w:b/>
          <w:bCs/>
          <w:szCs w:val="24"/>
          <w:shd w:val="clear" w:color="auto" w:fill="FFFFFF"/>
        </w:rPr>
      </w:pPr>
      <w:r w:rsidRPr="00504D41">
        <w:rPr>
          <w:b/>
          <w:bCs/>
          <w:szCs w:val="24"/>
          <w:shd w:val="clear" w:color="auto" w:fill="FFFFFF"/>
        </w:rPr>
        <w:t>5.2</w:t>
      </w:r>
      <w:r w:rsidR="002B0DAB" w:rsidRPr="00504D41">
        <w:rPr>
          <w:b/>
          <w:bCs/>
          <w:szCs w:val="24"/>
          <w:shd w:val="clear" w:color="auto" w:fill="FFFFFF"/>
        </w:rPr>
        <w:t>. Lignocellulosics matrixes as Wrap and Plant – a unique and sustainable alternative to existing seed treatment methodologies</w:t>
      </w:r>
    </w:p>
    <w:p w14:paraId="7115EE45" w14:textId="77777777" w:rsidR="00876CCC" w:rsidRPr="00504D41" w:rsidRDefault="002B0DAB" w:rsidP="00A30A2A">
      <w:pPr>
        <w:tabs>
          <w:tab w:val="left" w:pos="0"/>
        </w:tabs>
        <w:spacing w:line="360" w:lineRule="auto"/>
        <w:jc w:val="both"/>
        <w:rPr>
          <w:szCs w:val="24"/>
        </w:rPr>
      </w:pPr>
      <w:r w:rsidRPr="00504D41">
        <w:rPr>
          <w:szCs w:val="24"/>
        </w:rPr>
        <w:t xml:space="preserve">Lignocellulosics are plant-derived 3-D polymer composites comprising </w:t>
      </w:r>
      <w:r w:rsidR="000220C7" w:rsidRPr="00504D41">
        <w:rPr>
          <w:szCs w:val="24"/>
        </w:rPr>
        <w:t xml:space="preserve">of </w:t>
      </w:r>
      <w:r w:rsidRPr="00504D41">
        <w:rPr>
          <w:szCs w:val="24"/>
        </w:rPr>
        <w:t>lignin (10-25%), cellulose (35-50%) and hemicellulose (20-35%).</w:t>
      </w:r>
      <w:r w:rsidR="006D54C2" w:rsidRPr="00504D41">
        <w:rPr>
          <w:noProof/>
          <w:szCs w:val="24"/>
          <w:vertAlign w:val="superscript"/>
        </w:rPr>
        <w:t>150</w:t>
      </w:r>
      <w:r w:rsidRPr="00504D41">
        <w:rPr>
          <w:szCs w:val="24"/>
        </w:rPr>
        <w:t xml:space="preserve"> Mainly produced as agriculture and industrial wastes, these are either mostly burnt or used as animal fodder. Recently, the recycling of these materials has been explored through their usage in diverse applications</w:t>
      </w:r>
      <w:r w:rsidR="006D54C2" w:rsidRPr="00504D41">
        <w:rPr>
          <w:noProof/>
          <w:szCs w:val="24"/>
          <w:vertAlign w:val="superscript"/>
        </w:rPr>
        <w:t>151</w:t>
      </w:r>
      <w:r w:rsidRPr="00504D41">
        <w:rPr>
          <w:szCs w:val="24"/>
        </w:rPr>
        <w:t xml:space="preserve"> including synthesis of bioplastics,</w:t>
      </w:r>
      <w:r w:rsidR="006D54C2" w:rsidRPr="00504D41">
        <w:rPr>
          <w:noProof/>
          <w:szCs w:val="24"/>
          <w:vertAlign w:val="superscript"/>
        </w:rPr>
        <w:t>152</w:t>
      </w:r>
      <w:r w:rsidRPr="00504D41">
        <w:rPr>
          <w:szCs w:val="24"/>
        </w:rPr>
        <w:t xml:space="preserve"> and specialty chemicals,</w:t>
      </w:r>
      <w:r w:rsidR="006D54C2" w:rsidRPr="00504D41">
        <w:rPr>
          <w:noProof/>
          <w:szCs w:val="24"/>
          <w:vertAlign w:val="superscript"/>
        </w:rPr>
        <w:t>153,154</w:t>
      </w:r>
      <w:r w:rsidRPr="00504D41">
        <w:rPr>
          <w:szCs w:val="24"/>
        </w:rPr>
        <w:t xml:space="preserve"> dye-removal for industrial waste water treatment,</w:t>
      </w:r>
      <w:r w:rsidR="006D54C2" w:rsidRPr="00504D41">
        <w:rPr>
          <w:noProof/>
          <w:szCs w:val="24"/>
          <w:vertAlign w:val="superscript"/>
        </w:rPr>
        <w:t>155</w:t>
      </w:r>
      <w:r w:rsidRPr="00504D41">
        <w:rPr>
          <w:szCs w:val="24"/>
        </w:rPr>
        <w:t xml:space="preserve"> and as biocide carriers.</w:t>
      </w:r>
      <w:r w:rsidR="006D54C2" w:rsidRPr="00504D41">
        <w:rPr>
          <w:noProof/>
          <w:szCs w:val="24"/>
          <w:vertAlign w:val="superscript"/>
        </w:rPr>
        <w:t>156</w:t>
      </w:r>
      <w:r w:rsidRPr="00504D41">
        <w:rPr>
          <w:szCs w:val="24"/>
        </w:rPr>
        <w:t xml:space="preserve"> A unique application of lignocellulosic matrixes is their use in seed coatings. In a pioneering study, Cao and coworkers reported the use of plant-derived biodegradable </w:t>
      </w:r>
      <w:r w:rsidR="00876CCC" w:rsidRPr="00504D41">
        <w:rPr>
          <w:szCs w:val="24"/>
        </w:rPr>
        <w:t xml:space="preserve">controlled release </w:t>
      </w:r>
      <w:r w:rsidRPr="00504D41">
        <w:rPr>
          <w:szCs w:val="24"/>
        </w:rPr>
        <w:t>matrix that can be used as seed wraps.</w:t>
      </w:r>
      <w:r w:rsidR="006D54C2" w:rsidRPr="00504D41">
        <w:rPr>
          <w:noProof/>
          <w:szCs w:val="24"/>
          <w:vertAlign w:val="superscript"/>
        </w:rPr>
        <w:t>157</w:t>
      </w:r>
      <w:r w:rsidRPr="00504D41">
        <w:rPr>
          <w:szCs w:val="24"/>
        </w:rPr>
        <w:t xml:space="preserve"> These matrices were loaded with abamectin, a model nematicide with limited soil mobility. They termed the approach as “wrap and plant.” The efficacy of the matrixes synthesized from abaca, banana, softwood and hardwood fibers was tested </w:t>
      </w:r>
      <w:r w:rsidR="00876CCC" w:rsidRPr="00504D41">
        <w:rPr>
          <w:szCs w:val="24"/>
        </w:rPr>
        <w:t xml:space="preserve">by </w:t>
      </w:r>
      <w:r w:rsidRPr="00504D41">
        <w:rPr>
          <w:szCs w:val="24"/>
        </w:rPr>
        <w:t xml:space="preserve">planting tomato seedlings wrapped by the matrixes. Banana fiber </w:t>
      </w:r>
      <w:r w:rsidRPr="00504D41">
        <w:rPr>
          <w:szCs w:val="24"/>
        </w:rPr>
        <w:lastRenderedPageBreak/>
        <w:t xml:space="preserve">matrix gave the most promising results, which the authors have attributed to the sustained release of abamectin from </w:t>
      </w:r>
      <w:r w:rsidR="00876CCC" w:rsidRPr="00504D41">
        <w:rPr>
          <w:szCs w:val="24"/>
        </w:rPr>
        <w:t xml:space="preserve">the </w:t>
      </w:r>
      <w:r w:rsidRPr="00504D41">
        <w:rPr>
          <w:szCs w:val="24"/>
        </w:rPr>
        <w:t xml:space="preserve">banana fiber matrix compared to the burst release observed from the other matrices </w:t>
      </w:r>
      <w:r w:rsidRPr="00504D41">
        <w:rPr>
          <w:b/>
          <w:bCs/>
          <w:szCs w:val="24"/>
        </w:rPr>
        <w:t>(Figure 13a)</w:t>
      </w:r>
      <w:r w:rsidRPr="00504D41">
        <w:rPr>
          <w:szCs w:val="24"/>
        </w:rPr>
        <w:t xml:space="preserve">. </w:t>
      </w:r>
    </w:p>
    <w:p w14:paraId="7162CE9D" w14:textId="77777777" w:rsidR="002B0DAB" w:rsidRPr="00504D41" w:rsidRDefault="002B0DAB" w:rsidP="00A30A2A">
      <w:pPr>
        <w:tabs>
          <w:tab w:val="left" w:pos="0"/>
        </w:tabs>
        <w:spacing w:line="360" w:lineRule="auto"/>
        <w:jc w:val="both"/>
        <w:rPr>
          <w:szCs w:val="24"/>
        </w:rPr>
      </w:pPr>
      <w:r w:rsidRPr="00504D41">
        <w:rPr>
          <w:szCs w:val="24"/>
        </w:rPr>
        <w:t>In a follow-up paper</w:t>
      </w:r>
      <w:r w:rsidR="006D54C2" w:rsidRPr="00504D41">
        <w:rPr>
          <w:noProof/>
          <w:szCs w:val="24"/>
          <w:vertAlign w:val="superscript"/>
        </w:rPr>
        <w:t>150</w:t>
      </w:r>
      <w:r w:rsidRPr="00504D41">
        <w:rPr>
          <w:szCs w:val="24"/>
        </w:rPr>
        <w:t xml:space="preserve"> from the same group, the effect of processing conditions on the morphology of the matrixes and release profile of abamectin from the banana fiber-based matrices </w:t>
      </w:r>
      <w:r w:rsidR="00876CCC" w:rsidRPr="00504D41">
        <w:rPr>
          <w:szCs w:val="24"/>
        </w:rPr>
        <w:t xml:space="preserve">were </w:t>
      </w:r>
      <w:r w:rsidRPr="00504D41">
        <w:rPr>
          <w:szCs w:val="24"/>
        </w:rPr>
        <w:t>analyzed. Utilizing banana harvest waste, they developed matrixes at different refining (mechanical beating) levels of the fiber pulp (Figure 13 b-f). Variation in the release of the loaded cargo showed a morphology dependent release from banana fiber matrices. In contrast, the controls (non-banana fiber matrices) showed a release rate dependent on the lignin content, with high lignin showing a slower release rate and low lignin content matrixes showing faster release rates for both hydrophobic and hydrophilic loaded cargoes (Figure 13g). This straightforward approach has the potential to significantly improve agriculture practices in resource deficient regions like sub-Saharan Africa where</w:t>
      </w:r>
      <w:r w:rsidR="00876CCC" w:rsidRPr="00504D41">
        <w:rPr>
          <w:szCs w:val="24"/>
        </w:rPr>
        <w:t xml:space="preserve"> smallholder</w:t>
      </w:r>
      <w:r w:rsidRPr="00504D41">
        <w:rPr>
          <w:szCs w:val="24"/>
        </w:rPr>
        <w:t xml:space="preserve"> farmers cannot afford expensive seed treatment technologies. The simplicity and cost-effectiveness combined with the absence of any specialty chemicals or complicated processing steps makes this approach easy for smallholder farmers to adopt, achieving higher crop yields without compromising the soil quality. Furthermore, the wrapping matrixes are biodegradable which can facilitate carbon sequestration. </w:t>
      </w:r>
      <w:r w:rsidR="00876CCC" w:rsidRPr="00504D41">
        <w:rPr>
          <w:szCs w:val="24"/>
        </w:rPr>
        <w:t xml:space="preserve">The ease </w:t>
      </w:r>
      <w:r w:rsidRPr="00504D41">
        <w:rPr>
          <w:szCs w:val="24"/>
        </w:rPr>
        <w:t>of designing the W&amp;P matrixes into different sizes and shapes provides the flexibility to easily tailor these matrixes for a wide variety of seeds, seed pieces or seedlings.</w:t>
      </w:r>
      <w:r w:rsidR="00E82A7D" w:rsidRPr="00504D41">
        <w:rPr>
          <w:szCs w:val="24"/>
        </w:rPr>
        <w:t xml:space="preserve"> Field trials conducted in sub-Saharan Africa on yam and potato crops show enhanced crop health and effective control over plant parasitic nematodes (PPN) populations</w:t>
      </w:r>
      <w:r w:rsidR="00876CCC" w:rsidRPr="00504D41">
        <w:rPr>
          <w:szCs w:val="24"/>
        </w:rPr>
        <w:t>.</w:t>
      </w:r>
      <w:r w:rsidR="006D54C2" w:rsidRPr="00504D41">
        <w:rPr>
          <w:noProof/>
          <w:szCs w:val="24"/>
          <w:vertAlign w:val="superscript"/>
        </w:rPr>
        <w:t>158</w:t>
      </w:r>
      <w:r w:rsidR="009B6012" w:rsidRPr="00504D41">
        <w:rPr>
          <w:szCs w:val="24"/>
          <w:vertAlign w:val="superscript"/>
        </w:rPr>
        <w:t>,</w:t>
      </w:r>
      <w:r w:rsidR="006D54C2" w:rsidRPr="00504D41">
        <w:rPr>
          <w:noProof/>
          <w:szCs w:val="24"/>
          <w:vertAlign w:val="superscript"/>
        </w:rPr>
        <w:t>159</w:t>
      </w:r>
      <w:r w:rsidR="00876CCC" w:rsidRPr="00504D41">
        <w:rPr>
          <w:szCs w:val="24"/>
        </w:rPr>
        <w:t xml:space="preserve"> More interestingly, during the potato field trails in Kenya, it was observed that even without a nematicide, banana-paper matrix substantially reduced potato cyst nematodes (PCN) field inoculum and increased potato yield.</w:t>
      </w:r>
      <w:r w:rsidR="00876CCC" w:rsidRPr="00504D41">
        <w:rPr>
          <w:szCs w:val="24"/>
          <w:vertAlign w:val="superscript"/>
        </w:rPr>
        <w:t xml:space="preserve">156 </w:t>
      </w:r>
      <w:r w:rsidR="00876CCC" w:rsidRPr="00504D41">
        <w:rPr>
          <w:szCs w:val="24"/>
        </w:rPr>
        <w:t>Further research reported the amazing role played by banana paper to disrupt parasite-host chemical signaling by absorbing PCN hatching chemicals. This novel attribute together with effective control of PPN population and improved yield and quality of crops via sustained release of the ultra-low dose of AI from a matrix developed from agricultural wastes holds a promise for the future of precision agriculture. In addition, a recently published investigation of the acceptance of ‘wrap and plant’ technology in terms of social and economic impacts  is supporting evidence for the efficiency and impact of this approach.</w:t>
      </w:r>
      <w:r w:rsidR="006D54C2" w:rsidRPr="00504D41">
        <w:rPr>
          <w:noProof/>
          <w:szCs w:val="24"/>
          <w:vertAlign w:val="superscript"/>
        </w:rPr>
        <w:t>160</w:t>
      </w:r>
      <w:r w:rsidR="00876CCC" w:rsidRPr="00504D41">
        <w:rPr>
          <w:szCs w:val="24"/>
        </w:rPr>
        <w:t xml:space="preserve"> While smallholder farmers can easily adopt this unique approach owing to the availability of working </w:t>
      </w:r>
      <w:r w:rsidR="00876CCC" w:rsidRPr="00504D41">
        <w:rPr>
          <w:szCs w:val="24"/>
        </w:rPr>
        <w:lastRenderedPageBreak/>
        <w:t>hands to wrap the seed/seed pieces for a small farm, implementation of the ‘wrap and plant’ approach for mechanized farming will require significant modifications in terms of design and implementation.</w:t>
      </w:r>
    </w:p>
    <w:p w14:paraId="769D5F7B" w14:textId="77777777" w:rsidR="002B0DAB" w:rsidRPr="00504D41" w:rsidRDefault="002B0DAB" w:rsidP="00A30A2A">
      <w:pPr>
        <w:keepNext/>
        <w:tabs>
          <w:tab w:val="left" w:pos="0"/>
        </w:tabs>
        <w:spacing w:line="360" w:lineRule="auto"/>
        <w:rPr>
          <w:szCs w:val="24"/>
        </w:rPr>
      </w:pPr>
    </w:p>
    <w:p w14:paraId="0E64FB08" w14:textId="77777777" w:rsidR="002B0DAB" w:rsidRPr="00504D41" w:rsidRDefault="000057B3" w:rsidP="00A30A2A">
      <w:pPr>
        <w:keepNext/>
        <w:tabs>
          <w:tab w:val="left" w:pos="0"/>
        </w:tabs>
        <w:spacing w:line="360" w:lineRule="auto"/>
        <w:rPr>
          <w:szCs w:val="24"/>
        </w:rPr>
      </w:pPr>
      <w:r w:rsidRPr="00504D41">
        <w:rPr>
          <w:noProof/>
          <w:szCs w:val="24"/>
        </w:rPr>
        <w:pict w14:anchorId="081B3D65">
          <v:shape id="Picture 5" o:spid="_x0000_i1038" type="#_x0000_t75" alt="A picture containing graphical user interface&#10;&#10;Description automatically generated" style="width:451.25pt;height:267.9pt;visibility:visible">
            <v:imagedata r:id="rId25" o:title="A picture containing graphical user interface&#10;&#10;Description automatically generated"/>
          </v:shape>
        </w:pict>
      </w:r>
    </w:p>
    <w:p w14:paraId="52FF136F" w14:textId="77777777" w:rsidR="002B0DAB" w:rsidRPr="00504D41" w:rsidRDefault="002B0DAB" w:rsidP="00C40CFB">
      <w:pPr>
        <w:spacing w:line="360" w:lineRule="auto"/>
        <w:jc w:val="both"/>
        <w:rPr>
          <w:szCs w:val="24"/>
        </w:rPr>
      </w:pPr>
      <w:r w:rsidRPr="00504D41">
        <w:rPr>
          <w:b/>
          <w:bCs/>
          <w:szCs w:val="24"/>
        </w:rPr>
        <w:t xml:space="preserve">Figure </w:t>
      </w:r>
      <w:r w:rsidRPr="00504D41">
        <w:rPr>
          <w:b/>
          <w:bCs/>
          <w:szCs w:val="24"/>
        </w:rPr>
        <w:fldChar w:fldCharType="begin"/>
      </w:r>
      <w:r w:rsidRPr="00504D41">
        <w:rPr>
          <w:b/>
          <w:bCs/>
          <w:szCs w:val="24"/>
        </w:rPr>
        <w:instrText xml:space="preserve"> SEQ Figure \* ARABIC </w:instrText>
      </w:r>
      <w:r w:rsidRPr="00504D41">
        <w:rPr>
          <w:b/>
          <w:bCs/>
          <w:szCs w:val="24"/>
        </w:rPr>
        <w:fldChar w:fldCharType="separate"/>
      </w:r>
      <w:r w:rsidR="003D0A6B" w:rsidRPr="00504D41">
        <w:rPr>
          <w:b/>
          <w:bCs/>
          <w:noProof/>
          <w:szCs w:val="24"/>
        </w:rPr>
        <w:t>13</w:t>
      </w:r>
      <w:r w:rsidRPr="00504D41">
        <w:rPr>
          <w:b/>
          <w:bCs/>
          <w:szCs w:val="24"/>
        </w:rPr>
        <w:fldChar w:fldCharType="end"/>
      </w:r>
      <w:r w:rsidRPr="00504D41">
        <w:rPr>
          <w:b/>
          <w:bCs/>
          <w:szCs w:val="24"/>
        </w:rPr>
        <w:t>.</w:t>
      </w:r>
      <w:r w:rsidRPr="00504D41">
        <w:rPr>
          <w:rFonts w:eastAsia="Times New Roman"/>
          <w:kern w:val="24"/>
          <w:szCs w:val="24"/>
        </w:rPr>
        <w:t xml:space="preserve"> </w:t>
      </w:r>
      <w:r w:rsidRPr="00504D41">
        <w:rPr>
          <w:szCs w:val="24"/>
        </w:rPr>
        <w:t xml:space="preserve">Wrap and Plant technology as an alternative to conventional seed coatings. (a) Results from in-vitro assays depicting mortality of </w:t>
      </w:r>
      <w:r w:rsidRPr="00504D41">
        <w:rPr>
          <w:i/>
          <w:iCs/>
          <w:szCs w:val="24"/>
        </w:rPr>
        <w:t>C. elegans</w:t>
      </w:r>
      <w:r w:rsidRPr="00504D41">
        <w:rPr>
          <w:szCs w:val="24"/>
        </w:rPr>
        <w:t xml:space="preserve"> nematodes through time and cycle dependent release from abamectin loaded lignocellulosic matrices made from abaca, banana, softwood, and softwood-hardwood fibers. Abamectin loaded abaca matrix shows high mortality within the first hour/cycle whereas banana matrix shows lower but stable action against the nematodes over the assay duration (time/cycle). The stable action of banana fiber can be attributed to sustained release of abamectin from the loaded matrix compared to the burst release from abaca matrixes. Figure adapted with permission.</w:t>
      </w:r>
      <w:r w:rsidR="006D54C2" w:rsidRPr="00504D41">
        <w:rPr>
          <w:noProof/>
          <w:szCs w:val="24"/>
          <w:vertAlign w:val="superscript"/>
        </w:rPr>
        <w:t>157</w:t>
      </w:r>
      <w:r w:rsidRPr="00504D41">
        <w:rPr>
          <w:szCs w:val="24"/>
        </w:rPr>
        <w:t xml:space="preserve"> Copyright Springer Nature 2016. (b) Schematic depicting utilization of banana harvest waste to synthesize matrixes that can be used to wrap seeds achieving seed based crop protection. (c) Digital image depicting effect of refining time from 0 to 30 minutes on the appearance of banana fiber matrixes.  (d-e) SEM images of the fibrillar structure in banana fiber matrix. (f) Scatter plot showing </w:t>
      </w:r>
      <w:r w:rsidR="00876CCC" w:rsidRPr="00504D41">
        <w:rPr>
          <w:szCs w:val="24"/>
        </w:rPr>
        <w:t xml:space="preserve">the </w:t>
      </w:r>
      <w:r w:rsidRPr="00504D41">
        <w:rPr>
          <w:szCs w:val="24"/>
        </w:rPr>
        <w:t xml:space="preserve">effect of refining time on strength (burst and tear index) of banana fiber sheets. (g) Abamectin release profile from P1 = </w:t>
      </w:r>
      <w:r w:rsidRPr="00504D41">
        <w:rPr>
          <w:szCs w:val="24"/>
        </w:rPr>
        <w:lastRenderedPageBreak/>
        <w:t>liner paper, P2, P3, P4 = banana fiber with lignin contents of 11.96, 10.25, 7.2 % respectively, and P5 = copy paper. Whereas non-banana fiber matrixes P1 and P5 exhibit slow and fast abamectin release respectively, all banana fiber matrixes P2, P3, P4 show similar release profiles. Figures (b-g) adapted with permission.</w:t>
      </w:r>
      <w:r w:rsidR="006D54C2" w:rsidRPr="00504D41">
        <w:rPr>
          <w:noProof/>
          <w:szCs w:val="24"/>
          <w:vertAlign w:val="superscript"/>
        </w:rPr>
        <w:t>150</w:t>
      </w:r>
      <w:r w:rsidRPr="00504D41">
        <w:rPr>
          <w:szCs w:val="24"/>
        </w:rPr>
        <w:t xml:space="preserve"> Copyright 2020 American Chemical Society.</w:t>
      </w:r>
    </w:p>
    <w:p w14:paraId="1E9965A3" w14:textId="77777777" w:rsidR="00876CCC" w:rsidRPr="00504D41" w:rsidRDefault="00876CCC" w:rsidP="00C40CFB">
      <w:pPr>
        <w:spacing w:line="360" w:lineRule="auto"/>
        <w:jc w:val="both"/>
        <w:rPr>
          <w:szCs w:val="24"/>
        </w:rPr>
      </w:pPr>
    </w:p>
    <w:p w14:paraId="7DDCEFA9" w14:textId="77777777" w:rsidR="008429F9" w:rsidRPr="00504D41" w:rsidRDefault="00C32872" w:rsidP="008429F9">
      <w:pPr>
        <w:spacing w:line="360" w:lineRule="auto"/>
        <w:jc w:val="both"/>
        <w:rPr>
          <w:b/>
          <w:szCs w:val="24"/>
        </w:rPr>
      </w:pPr>
      <w:r w:rsidRPr="00504D41">
        <w:rPr>
          <w:b/>
          <w:szCs w:val="24"/>
        </w:rPr>
        <w:t xml:space="preserve">5.3. </w:t>
      </w:r>
      <w:r w:rsidR="008E24BA" w:rsidRPr="00504D41">
        <w:rPr>
          <w:b/>
          <w:szCs w:val="24"/>
        </w:rPr>
        <w:t>Natural AI</w:t>
      </w:r>
      <w:r w:rsidR="006A5265" w:rsidRPr="00504D41">
        <w:rPr>
          <w:b/>
          <w:szCs w:val="24"/>
        </w:rPr>
        <w:t xml:space="preserve"> based seed coatings</w:t>
      </w:r>
    </w:p>
    <w:p w14:paraId="1FE3113F" w14:textId="77777777" w:rsidR="001C0E26" w:rsidRPr="00504D41" w:rsidRDefault="001C0E26" w:rsidP="001C0E26">
      <w:pPr>
        <w:spacing w:line="360" w:lineRule="auto"/>
        <w:jc w:val="both"/>
        <w:rPr>
          <w:szCs w:val="24"/>
        </w:rPr>
      </w:pPr>
      <w:r w:rsidRPr="00504D41">
        <w:rPr>
          <w:szCs w:val="24"/>
        </w:rPr>
        <w:t>A recent emerging area in seed coating research has been the incorporation of natural AI as a</w:t>
      </w:r>
      <w:r w:rsidR="00466A0E" w:rsidRPr="00504D41">
        <w:rPr>
          <w:szCs w:val="24"/>
        </w:rPr>
        <w:t>n</w:t>
      </w:r>
      <w:r w:rsidRPr="00504D41">
        <w:rPr>
          <w:szCs w:val="24"/>
        </w:rPr>
        <w:t xml:space="preserve"> environmentally friendly alternate over synthetic AI. One particular class of </w:t>
      </w:r>
      <w:r w:rsidR="00876CCC" w:rsidRPr="00504D41">
        <w:rPr>
          <w:szCs w:val="24"/>
        </w:rPr>
        <w:t>biomass-</w:t>
      </w:r>
      <w:r w:rsidRPr="00504D41">
        <w:rPr>
          <w:szCs w:val="24"/>
        </w:rPr>
        <w:t>derived natural AI</w:t>
      </w:r>
      <w:r w:rsidR="00876CCC" w:rsidRPr="00504D41">
        <w:rPr>
          <w:szCs w:val="24"/>
        </w:rPr>
        <w:t>s</w:t>
      </w:r>
      <w:r w:rsidRPr="00504D41">
        <w:rPr>
          <w:szCs w:val="24"/>
        </w:rPr>
        <w:t xml:space="preserve"> </w:t>
      </w:r>
      <w:r w:rsidR="00876CCC" w:rsidRPr="00504D41">
        <w:rPr>
          <w:szCs w:val="24"/>
        </w:rPr>
        <w:t xml:space="preserve">is </w:t>
      </w:r>
      <w:r w:rsidRPr="00504D41">
        <w:rPr>
          <w:szCs w:val="24"/>
        </w:rPr>
        <w:t xml:space="preserve">protein hydrolysates (PHs) as biostimulants. PHs are defined as a mixture of amino acids, oligo and polypeptides derived from partial hydrolysis of protein sources. They have been identified </w:t>
      </w:r>
      <w:r w:rsidR="00876CCC" w:rsidRPr="00504D41">
        <w:rPr>
          <w:szCs w:val="24"/>
        </w:rPr>
        <w:t xml:space="preserve">to provide </w:t>
      </w:r>
      <w:r w:rsidRPr="00504D41">
        <w:rPr>
          <w:szCs w:val="24"/>
        </w:rPr>
        <w:t>key benefits to promote plant growth through enhancing soil microbial and enzymatic activity, promoting micronutrient uptake, and increasing phytochemicals in fruits.</w:t>
      </w:r>
      <w:r w:rsidR="006D54C2" w:rsidRPr="00504D41">
        <w:rPr>
          <w:noProof/>
          <w:szCs w:val="24"/>
          <w:vertAlign w:val="superscript"/>
        </w:rPr>
        <w:t>161</w:t>
      </w:r>
      <w:r w:rsidRPr="00504D41">
        <w:rPr>
          <w:szCs w:val="24"/>
        </w:rPr>
        <w:t xml:space="preserve"> Another key benefit of using PHs is that they can be derived from animal and plant biomass thus </w:t>
      </w:r>
      <w:r w:rsidR="00876CCC" w:rsidRPr="00504D41">
        <w:rPr>
          <w:szCs w:val="24"/>
        </w:rPr>
        <w:t xml:space="preserve">promising </w:t>
      </w:r>
      <w:r w:rsidRPr="00504D41">
        <w:rPr>
          <w:szCs w:val="24"/>
        </w:rPr>
        <w:t xml:space="preserve">a sustainable raw material source as well as providing a suitable </w:t>
      </w:r>
      <w:r w:rsidR="00876CCC" w:rsidRPr="00504D41">
        <w:rPr>
          <w:szCs w:val="24"/>
        </w:rPr>
        <w:t xml:space="preserve">recycling </w:t>
      </w:r>
      <w:r w:rsidRPr="00504D41">
        <w:rPr>
          <w:szCs w:val="24"/>
        </w:rPr>
        <w:t>solution for biological waste. While these have been largely investigated as foliar treatments</w:t>
      </w:r>
      <w:r w:rsidR="00876CCC" w:rsidRPr="00504D41">
        <w:rPr>
          <w:szCs w:val="24"/>
        </w:rPr>
        <w:t>,</w:t>
      </w:r>
      <w:r w:rsidR="006D54C2" w:rsidRPr="00504D41">
        <w:rPr>
          <w:noProof/>
          <w:szCs w:val="24"/>
          <w:vertAlign w:val="superscript"/>
        </w:rPr>
        <w:t>162</w:t>
      </w:r>
      <w:r w:rsidR="00CD2CE5" w:rsidRPr="00504D41">
        <w:rPr>
          <w:szCs w:val="24"/>
          <w:vertAlign w:val="superscript"/>
        </w:rPr>
        <w:t>,</w:t>
      </w:r>
      <w:r w:rsidR="006D54C2" w:rsidRPr="00504D41">
        <w:rPr>
          <w:noProof/>
          <w:szCs w:val="24"/>
          <w:vertAlign w:val="superscript"/>
        </w:rPr>
        <w:t>163</w:t>
      </w:r>
      <w:r w:rsidRPr="00504D41">
        <w:rPr>
          <w:szCs w:val="24"/>
        </w:rPr>
        <w:t xml:space="preserve"> their use in seed coatings promises targeted delivery and lower drift losses. In a relevant work</w:t>
      </w:r>
      <w:r w:rsidR="00876CCC" w:rsidRPr="00504D41">
        <w:rPr>
          <w:szCs w:val="24"/>
        </w:rPr>
        <w:t>,</w:t>
      </w:r>
      <w:r w:rsidRPr="00504D41">
        <w:rPr>
          <w:szCs w:val="24"/>
        </w:rPr>
        <w:t xml:space="preserve"> Amirkhani et al</w:t>
      </w:r>
      <w:r w:rsidR="006D54C2" w:rsidRPr="00504D41">
        <w:rPr>
          <w:noProof/>
          <w:szCs w:val="24"/>
          <w:vertAlign w:val="superscript"/>
        </w:rPr>
        <w:t>164</w:t>
      </w:r>
      <w:r w:rsidRPr="00504D41">
        <w:rPr>
          <w:szCs w:val="24"/>
        </w:rPr>
        <w:t xml:space="preserve"> analyzed </w:t>
      </w:r>
      <w:r w:rsidR="00876CCC" w:rsidRPr="00504D41">
        <w:rPr>
          <w:szCs w:val="24"/>
        </w:rPr>
        <w:t xml:space="preserve">the </w:t>
      </w:r>
      <w:r w:rsidRPr="00504D41">
        <w:rPr>
          <w:szCs w:val="24"/>
        </w:rPr>
        <w:t>effect of coating</w:t>
      </w:r>
      <w:r w:rsidR="00876CCC" w:rsidRPr="00504D41">
        <w:rPr>
          <w:szCs w:val="24"/>
        </w:rPr>
        <w:t>s</w:t>
      </w:r>
      <w:r w:rsidRPr="00504D41">
        <w:rPr>
          <w:szCs w:val="24"/>
        </w:rPr>
        <w:t xml:space="preserve"> synthesized from a mixture of soy flour, cellulose fiber and </w:t>
      </w:r>
      <w:r w:rsidRPr="00504D41">
        <w:rPr>
          <w:color w:val="000000"/>
          <w:szCs w:val="24"/>
          <w:shd w:val="clear" w:color="auto" w:fill="FFFFFF"/>
        </w:rPr>
        <w:t xml:space="preserve">diatomaceous earth on broccoli seeds. While coated seeds displayed delayed germination, greenhouse trials showed significant improvements in plant height, dry and fresh biomass, leaf area and total </w:t>
      </w:r>
      <w:r w:rsidR="00876CCC" w:rsidRPr="00504D41">
        <w:rPr>
          <w:color w:val="000000"/>
          <w:szCs w:val="24"/>
          <w:shd w:val="clear" w:color="auto" w:fill="FFFFFF"/>
        </w:rPr>
        <w:t xml:space="preserve">nitrogen </w:t>
      </w:r>
      <w:r w:rsidRPr="00504D41">
        <w:rPr>
          <w:color w:val="000000"/>
          <w:szCs w:val="24"/>
          <w:shd w:val="clear" w:color="auto" w:fill="FFFFFF"/>
        </w:rPr>
        <w:t>content.</w:t>
      </w:r>
      <w:r w:rsidRPr="00504D41">
        <w:rPr>
          <w:szCs w:val="24"/>
        </w:rPr>
        <w:t xml:space="preserve"> </w:t>
      </w:r>
      <w:r w:rsidR="00503E11" w:rsidRPr="00504D41">
        <w:rPr>
          <w:szCs w:val="24"/>
        </w:rPr>
        <w:t>Similarly</w:t>
      </w:r>
      <w:r w:rsidR="00876CCC" w:rsidRPr="00504D41">
        <w:rPr>
          <w:szCs w:val="24"/>
        </w:rPr>
        <w:t>,</w:t>
      </w:r>
      <w:r w:rsidR="00503E11" w:rsidRPr="00504D41">
        <w:rPr>
          <w:szCs w:val="24"/>
        </w:rPr>
        <w:t xml:space="preserve"> </w:t>
      </w:r>
      <w:r w:rsidRPr="00504D41">
        <w:rPr>
          <w:szCs w:val="24"/>
        </w:rPr>
        <w:t>a recent patent</w:t>
      </w:r>
      <w:r w:rsidR="006D54C2" w:rsidRPr="00504D41">
        <w:rPr>
          <w:noProof/>
          <w:szCs w:val="24"/>
          <w:vertAlign w:val="superscript"/>
        </w:rPr>
        <w:t>165</w:t>
      </w:r>
      <w:r w:rsidRPr="00504D41">
        <w:rPr>
          <w:szCs w:val="24"/>
        </w:rPr>
        <w:t xml:space="preserve"> has disclosed </w:t>
      </w:r>
      <w:r w:rsidR="00876CCC" w:rsidRPr="00504D41">
        <w:rPr>
          <w:szCs w:val="24"/>
        </w:rPr>
        <w:t xml:space="preserve">the </w:t>
      </w:r>
      <w:r w:rsidRPr="00504D41">
        <w:rPr>
          <w:szCs w:val="24"/>
        </w:rPr>
        <w:t xml:space="preserve">use of soy PHs for use as adhesive for attaching fungal spores to vegetable seeds. The adhesion capacity quantified through measuring the adherence of fluorescent microspheres (substitutes for spores) on seeds after vigorous washing through </w:t>
      </w:r>
      <w:r w:rsidRPr="00504D41">
        <w:rPr>
          <w:color w:val="333333"/>
          <w:szCs w:val="24"/>
          <w:shd w:val="clear" w:color="auto" w:fill="FFFFFF"/>
        </w:rPr>
        <w:t xml:space="preserve">fluorescence </w:t>
      </w:r>
      <w:r w:rsidRPr="00504D41">
        <w:rPr>
          <w:szCs w:val="24"/>
        </w:rPr>
        <w:t xml:space="preserve">microscopy was significantly higher in the samples compared to controls using just sterile water as the adhesive. Similar improvements with </w:t>
      </w:r>
      <w:r w:rsidR="00876CCC" w:rsidRPr="00504D41">
        <w:rPr>
          <w:szCs w:val="24"/>
        </w:rPr>
        <w:t>animal-</w:t>
      </w:r>
      <w:r w:rsidRPr="00504D41">
        <w:rPr>
          <w:szCs w:val="24"/>
        </w:rPr>
        <w:t>sourced proteins have also been reported. Wilson et al</w:t>
      </w:r>
      <w:r w:rsidR="00876CCC" w:rsidRPr="00504D41">
        <w:rPr>
          <w:szCs w:val="24"/>
        </w:rPr>
        <w:t>.</w:t>
      </w:r>
      <w:r w:rsidR="006D54C2" w:rsidRPr="00504D41">
        <w:rPr>
          <w:noProof/>
          <w:szCs w:val="24"/>
          <w:vertAlign w:val="superscript"/>
        </w:rPr>
        <w:t>166</w:t>
      </w:r>
      <w:r w:rsidRPr="00504D41">
        <w:rPr>
          <w:szCs w:val="24"/>
        </w:rPr>
        <w:t xml:space="preserve"> investigated </w:t>
      </w:r>
      <w:r w:rsidR="00876CCC" w:rsidRPr="00504D41">
        <w:rPr>
          <w:szCs w:val="24"/>
        </w:rPr>
        <w:t xml:space="preserve">the </w:t>
      </w:r>
      <w:r w:rsidRPr="00504D41">
        <w:rPr>
          <w:szCs w:val="24"/>
        </w:rPr>
        <w:t xml:space="preserve">effect of gelatin capsules on </w:t>
      </w:r>
      <w:r w:rsidR="00876CCC" w:rsidRPr="00504D41">
        <w:rPr>
          <w:szCs w:val="24"/>
        </w:rPr>
        <w:t xml:space="preserve">the </w:t>
      </w:r>
      <w:r w:rsidRPr="00504D41">
        <w:rPr>
          <w:szCs w:val="24"/>
        </w:rPr>
        <w:t xml:space="preserve">growth of cucumber seeds </w:t>
      </w:r>
      <w:r w:rsidR="00876CCC" w:rsidRPr="00504D41">
        <w:rPr>
          <w:szCs w:val="24"/>
        </w:rPr>
        <w:t xml:space="preserve">by </w:t>
      </w:r>
      <w:r w:rsidRPr="00504D41">
        <w:rPr>
          <w:szCs w:val="24"/>
        </w:rPr>
        <w:t>placing the capsules adjacent to the seeds in pots</w:t>
      </w:r>
      <w:r w:rsidR="00876CCC" w:rsidRPr="00504D41">
        <w:rPr>
          <w:szCs w:val="24"/>
        </w:rPr>
        <w:t>. They</w:t>
      </w:r>
      <w:r w:rsidRPr="00504D41">
        <w:rPr>
          <w:szCs w:val="24"/>
        </w:rPr>
        <w:t xml:space="preserve"> </w:t>
      </w:r>
      <w:r w:rsidR="00876CCC" w:rsidRPr="00504D41">
        <w:rPr>
          <w:szCs w:val="24"/>
        </w:rPr>
        <w:t xml:space="preserve">reported </w:t>
      </w:r>
      <w:r w:rsidRPr="00504D41">
        <w:rPr>
          <w:szCs w:val="24"/>
        </w:rPr>
        <w:t>enhanced growth parameters of the seedlings over a 14 days interval. More recently, Lawinska et al</w:t>
      </w:r>
      <w:r w:rsidR="006D54C2" w:rsidRPr="00504D41">
        <w:rPr>
          <w:noProof/>
          <w:szCs w:val="24"/>
          <w:vertAlign w:val="superscript"/>
        </w:rPr>
        <w:t>167</w:t>
      </w:r>
      <w:r w:rsidRPr="00504D41">
        <w:rPr>
          <w:szCs w:val="24"/>
        </w:rPr>
        <w:t xml:space="preserve"> explored </w:t>
      </w:r>
      <w:r w:rsidR="00876CCC" w:rsidRPr="00504D41">
        <w:rPr>
          <w:szCs w:val="24"/>
        </w:rPr>
        <w:t xml:space="preserve">the </w:t>
      </w:r>
      <w:r w:rsidRPr="00504D41">
        <w:rPr>
          <w:szCs w:val="24"/>
        </w:rPr>
        <w:t xml:space="preserve">use of collagen hydrolysate derived from tanning waste as coatings from legume seeds. The coating consisted of an internal layer of fungicides covered </w:t>
      </w:r>
      <w:r w:rsidRPr="00504D41">
        <w:rPr>
          <w:szCs w:val="24"/>
        </w:rPr>
        <w:lastRenderedPageBreak/>
        <w:t xml:space="preserve">by the collagen hydrolysate enclosed in outer mineral layer. Growth assays conducted in soil for 29 days under drought conditions showed enhanced seedling </w:t>
      </w:r>
      <w:r w:rsidR="00CD2CE5" w:rsidRPr="00504D41">
        <w:rPr>
          <w:szCs w:val="24"/>
        </w:rPr>
        <w:t>growth</w:t>
      </w:r>
      <w:r w:rsidRPr="00504D41">
        <w:rPr>
          <w:szCs w:val="24"/>
        </w:rPr>
        <w:t xml:space="preserve"> compared to controls. </w:t>
      </w:r>
    </w:p>
    <w:p w14:paraId="65195242" w14:textId="77777777" w:rsidR="001C0E26" w:rsidRPr="00504D41" w:rsidRDefault="001C0E26" w:rsidP="001C0E26">
      <w:pPr>
        <w:spacing w:line="360" w:lineRule="auto"/>
        <w:jc w:val="both"/>
        <w:rPr>
          <w:szCs w:val="24"/>
        </w:rPr>
      </w:pPr>
      <w:r w:rsidRPr="00504D41">
        <w:rPr>
          <w:szCs w:val="24"/>
        </w:rPr>
        <w:t xml:space="preserve">Waste biomass can serve as </w:t>
      </w:r>
      <w:r w:rsidR="00876CCC" w:rsidRPr="00504D41">
        <w:rPr>
          <w:szCs w:val="24"/>
        </w:rPr>
        <w:t xml:space="preserve">an </w:t>
      </w:r>
      <w:r w:rsidRPr="00504D41">
        <w:rPr>
          <w:szCs w:val="24"/>
        </w:rPr>
        <w:t>ample raw material source for PHs synthesis</w:t>
      </w:r>
      <w:r w:rsidR="00876CCC" w:rsidRPr="00504D41">
        <w:rPr>
          <w:szCs w:val="24"/>
        </w:rPr>
        <w:t>,</w:t>
      </w:r>
      <w:r w:rsidRPr="00504D41">
        <w:rPr>
          <w:szCs w:val="24"/>
        </w:rPr>
        <w:t xml:space="preserve"> however the impact of the synthesis process needs to be categorized for evaluating their overall sustainability. Currently chemical hydrolysis of leather waste account</w:t>
      </w:r>
      <w:r w:rsidR="00876CCC" w:rsidRPr="00504D41">
        <w:rPr>
          <w:szCs w:val="24"/>
        </w:rPr>
        <w:t>s</w:t>
      </w:r>
      <w:r w:rsidRPr="00504D41">
        <w:rPr>
          <w:szCs w:val="24"/>
        </w:rPr>
        <w:t xml:space="preserve"> for 90% market share of PHs biostimulants while enzymatic conversion of plant biomass accounts for the remainder. Conventional hydrolysis entails </w:t>
      </w:r>
      <w:r w:rsidR="00876CCC" w:rsidRPr="00504D41">
        <w:rPr>
          <w:szCs w:val="24"/>
        </w:rPr>
        <w:t xml:space="preserve">the </w:t>
      </w:r>
      <w:r w:rsidRPr="00504D41">
        <w:rPr>
          <w:szCs w:val="24"/>
        </w:rPr>
        <w:t xml:space="preserve">use of strong acids and high temperatures while enzymatic conversion proceeds through </w:t>
      </w:r>
      <w:r w:rsidR="00876CCC" w:rsidRPr="00504D41">
        <w:rPr>
          <w:szCs w:val="24"/>
        </w:rPr>
        <w:t xml:space="preserve">the </w:t>
      </w:r>
      <w:r w:rsidRPr="00504D41">
        <w:rPr>
          <w:szCs w:val="24"/>
        </w:rPr>
        <w:t>use of enzymes under milder temperatures. Colantoni et al</w:t>
      </w:r>
      <w:r w:rsidR="006D54C2" w:rsidRPr="00504D41">
        <w:rPr>
          <w:noProof/>
          <w:szCs w:val="24"/>
          <w:vertAlign w:val="superscript"/>
        </w:rPr>
        <w:t>168</w:t>
      </w:r>
      <w:r w:rsidRPr="00504D41">
        <w:rPr>
          <w:szCs w:val="24"/>
        </w:rPr>
        <w:t xml:space="preserve"> conduced an LCA  of PH derived from leather wastes and lupine seeds providing a comparative analysis of the overall impact of the two synthesis routes. The CO</w:t>
      </w:r>
      <w:r w:rsidRPr="00504D41">
        <w:rPr>
          <w:szCs w:val="24"/>
          <w:vertAlign w:val="subscript"/>
        </w:rPr>
        <w:t>2</w:t>
      </w:r>
      <w:r w:rsidRPr="00504D41">
        <w:rPr>
          <w:szCs w:val="24"/>
        </w:rPr>
        <w:t xml:space="preserve"> eq emissions were reported to be much lower with enzymatic hydrolysis at 743.2 C</w:t>
      </w:r>
      <w:r w:rsidR="00876CCC" w:rsidRPr="00504D41">
        <w:rPr>
          <w:szCs w:val="24"/>
        </w:rPr>
        <w:t>O</w:t>
      </w:r>
      <w:r w:rsidRPr="00504D41">
        <w:rPr>
          <w:szCs w:val="24"/>
          <w:vertAlign w:val="subscript"/>
        </w:rPr>
        <w:t>2</w:t>
      </w:r>
      <w:r w:rsidRPr="00504D41">
        <w:rPr>
          <w:szCs w:val="24"/>
        </w:rPr>
        <w:t xml:space="preserve"> eq g compared to 1532.2 CO</w:t>
      </w:r>
      <w:r w:rsidRPr="00504D41">
        <w:rPr>
          <w:szCs w:val="24"/>
          <w:vertAlign w:val="subscript"/>
        </w:rPr>
        <w:t>2</w:t>
      </w:r>
      <w:r w:rsidR="00876CCC" w:rsidRPr="00504D41">
        <w:rPr>
          <w:szCs w:val="24"/>
          <w:vertAlign w:val="subscript"/>
        </w:rPr>
        <w:t xml:space="preserve"> </w:t>
      </w:r>
      <w:r w:rsidRPr="00504D41">
        <w:rPr>
          <w:szCs w:val="24"/>
        </w:rPr>
        <w:t xml:space="preserve">eq g in case of chemical hydrolysis of leather waste. Similarly, the fossil energy and utilization values were also significantly lower. Overall </w:t>
      </w:r>
      <w:r w:rsidR="00876CCC" w:rsidRPr="00504D41">
        <w:rPr>
          <w:szCs w:val="24"/>
        </w:rPr>
        <w:t xml:space="preserve">the </w:t>
      </w:r>
      <w:r w:rsidRPr="00504D41">
        <w:rPr>
          <w:szCs w:val="24"/>
        </w:rPr>
        <w:t xml:space="preserve">use of biomass derived PHs as natural biostimulants is a promising alternative to reduce dependence on synthetic fertilizer for achieving higher plant yields. More research in this regard, particularly for seed coating applications is needed to further </w:t>
      </w:r>
      <w:r w:rsidR="00017492" w:rsidRPr="00504D41">
        <w:rPr>
          <w:szCs w:val="24"/>
        </w:rPr>
        <w:t>validate</w:t>
      </w:r>
      <w:r w:rsidRPr="00504D41">
        <w:rPr>
          <w:szCs w:val="24"/>
        </w:rPr>
        <w:t xml:space="preserve"> their utility.</w:t>
      </w:r>
    </w:p>
    <w:p w14:paraId="1775ACE8" w14:textId="77777777" w:rsidR="001C0E26" w:rsidRPr="00504D41" w:rsidRDefault="001C0E26" w:rsidP="001C0E26">
      <w:pPr>
        <w:spacing w:line="360" w:lineRule="auto"/>
        <w:jc w:val="both"/>
        <w:rPr>
          <w:szCs w:val="24"/>
        </w:rPr>
      </w:pPr>
      <w:r w:rsidRPr="00504D41">
        <w:rPr>
          <w:szCs w:val="24"/>
        </w:rPr>
        <w:t xml:space="preserve">Researchers have also analyzed </w:t>
      </w:r>
      <w:r w:rsidR="00876CCC" w:rsidRPr="00504D41">
        <w:rPr>
          <w:szCs w:val="24"/>
        </w:rPr>
        <w:t xml:space="preserve">the </w:t>
      </w:r>
      <w:r w:rsidRPr="00504D41">
        <w:rPr>
          <w:szCs w:val="24"/>
        </w:rPr>
        <w:t xml:space="preserve">use of plant oils as natural AI. </w:t>
      </w:r>
      <w:r w:rsidRPr="00504D41">
        <w:rPr>
          <w:noProof/>
          <w:szCs w:val="24"/>
        </w:rPr>
        <w:t>De Castro e Silva</w:t>
      </w:r>
      <w:r w:rsidRPr="00504D41">
        <w:rPr>
          <w:szCs w:val="24"/>
        </w:rPr>
        <w:t xml:space="preserve">  </w:t>
      </w:r>
      <w:r w:rsidR="00876CCC" w:rsidRPr="00504D41">
        <w:rPr>
          <w:szCs w:val="24"/>
        </w:rPr>
        <w:t>e</w:t>
      </w:r>
      <w:r w:rsidRPr="00504D41">
        <w:rPr>
          <w:szCs w:val="24"/>
        </w:rPr>
        <w:t>t al</w:t>
      </w:r>
      <w:r w:rsidR="00876CCC" w:rsidRPr="00504D41">
        <w:rPr>
          <w:szCs w:val="24"/>
        </w:rPr>
        <w:t>.</w:t>
      </w:r>
      <w:r w:rsidR="006D54C2" w:rsidRPr="00504D41">
        <w:rPr>
          <w:noProof/>
          <w:szCs w:val="24"/>
          <w:vertAlign w:val="superscript"/>
        </w:rPr>
        <w:t>169</w:t>
      </w:r>
      <w:r w:rsidRPr="00504D41">
        <w:rPr>
          <w:szCs w:val="24"/>
        </w:rPr>
        <w:t xml:space="preserve"> have proposed </w:t>
      </w:r>
      <w:r w:rsidR="00876CCC" w:rsidRPr="00504D41">
        <w:rPr>
          <w:szCs w:val="24"/>
        </w:rPr>
        <w:t xml:space="preserve">the </w:t>
      </w:r>
      <w:r w:rsidRPr="00504D41">
        <w:rPr>
          <w:szCs w:val="24"/>
        </w:rPr>
        <w:t>use of neem (</w:t>
      </w:r>
      <w:r w:rsidRPr="00504D41">
        <w:rPr>
          <w:i/>
          <w:iCs/>
          <w:szCs w:val="24"/>
        </w:rPr>
        <w:t>Azadirachta indica</w:t>
      </w:r>
      <w:r w:rsidRPr="00504D41">
        <w:rPr>
          <w:szCs w:val="24"/>
        </w:rPr>
        <w:t>) oil/pectin nanocomposites as soybean seed coatings recommending effective utilization of the antifungal properties of neem as a biopesticide against common soybean pathogens. Their results demonstrated positive effects of the treatment on shoot and seedling length</w:t>
      </w:r>
      <w:r w:rsidR="00876CCC" w:rsidRPr="00504D41">
        <w:rPr>
          <w:szCs w:val="24"/>
        </w:rPr>
        <w:t>. H</w:t>
      </w:r>
      <w:r w:rsidRPr="00504D41">
        <w:rPr>
          <w:szCs w:val="24"/>
        </w:rPr>
        <w:t xml:space="preserve">owever tests evaluating seedling germination in presence of fungal pathogens would have further validated treatment efficacy. Similarly, </w:t>
      </w:r>
      <w:r w:rsidRPr="00504D41">
        <w:rPr>
          <w:noProof/>
          <w:szCs w:val="24"/>
        </w:rPr>
        <w:t>Ben-Jabeur</w:t>
      </w:r>
      <w:r w:rsidRPr="00504D41">
        <w:rPr>
          <w:szCs w:val="24"/>
        </w:rPr>
        <w:t xml:space="preserve"> and coworkers</w:t>
      </w:r>
      <w:r w:rsidR="006D54C2" w:rsidRPr="00504D41">
        <w:rPr>
          <w:noProof/>
          <w:szCs w:val="24"/>
          <w:vertAlign w:val="superscript"/>
        </w:rPr>
        <w:t>170</w:t>
      </w:r>
      <w:r w:rsidRPr="00504D41">
        <w:rPr>
          <w:szCs w:val="24"/>
        </w:rPr>
        <w:t xml:space="preserve"> have explored the potential of thyme essential oil as wheat seed coatings to fight biotic and abiotic stresses. Field trials of wheat seeds coated with a commercial seed coating product Agicote Rouge mixed with thyme oil over two crop seasons in semi-arid soils were conducted under severe and moderate water stress conditions. Their results demonstrated the positive impacts of thyme oil on straw yield under severe water stress conditions and on g</w:t>
      </w:r>
      <w:r w:rsidR="00C93FB8" w:rsidRPr="00504D41">
        <w:rPr>
          <w:szCs w:val="24"/>
        </w:rPr>
        <w:t>r</w:t>
      </w:r>
      <w:r w:rsidRPr="00504D41">
        <w:rPr>
          <w:szCs w:val="24"/>
        </w:rPr>
        <w:t>ain yield under less severe water stress. Thus plant derived oils show significant potential as natural A</w:t>
      </w:r>
      <w:r w:rsidR="00876CCC" w:rsidRPr="00504D41">
        <w:rPr>
          <w:szCs w:val="24"/>
        </w:rPr>
        <w:t>I</w:t>
      </w:r>
      <w:r w:rsidRPr="00504D41">
        <w:rPr>
          <w:szCs w:val="24"/>
        </w:rPr>
        <w:t>s</w:t>
      </w:r>
      <w:r w:rsidR="00E51CAD" w:rsidRPr="00504D41">
        <w:rPr>
          <w:szCs w:val="24"/>
        </w:rPr>
        <w:t>,</w:t>
      </w:r>
      <w:r w:rsidRPr="00504D41">
        <w:rPr>
          <w:szCs w:val="24"/>
        </w:rPr>
        <w:t xml:space="preserve"> however their sustainable use presents some concerns. A recent report</w:t>
      </w:r>
      <w:r w:rsidR="006D54C2" w:rsidRPr="00504D41">
        <w:rPr>
          <w:noProof/>
          <w:szCs w:val="24"/>
          <w:vertAlign w:val="superscript"/>
        </w:rPr>
        <w:t>171</w:t>
      </w:r>
      <w:r w:rsidRPr="00504D41">
        <w:rPr>
          <w:szCs w:val="24"/>
        </w:rPr>
        <w:t xml:space="preserve"> assessed greenhouse gas emissions from vegetable (palm, soybean, rapeseed, sunflower) </w:t>
      </w:r>
      <w:r w:rsidR="00876CCC" w:rsidRPr="00504D41">
        <w:rPr>
          <w:szCs w:val="24"/>
        </w:rPr>
        <w:t xml:space="preserve">during </w:t>
      </w:r>
      <w:r w:rsidRPr="00504D41">
        <w:rPr>
          <w:szCs w:val="24"/>
        </w:rPr>
        <w:t xml:space="preserve">oil </w:t>
      </w:r>
      <w:r w:rsidRPr="00504D41">
        <w:rPr>
          <w:szCs w:val="24"/>
        </w:rPr>
        <w:lastRenderedPageBreak/>
        <w:t>production through analysis of published LCA data reporting a median value of 3.81 kg CO</w:t>
      </w:r>
      <w:r w:rsidRPr="00504D41">
        <w:rPr>
          <w:szCs w:val="24"/>
          <w:vertAlign w:val="subscript"/>
        </w:rPr>
        <w:t>2</w:t>
      </w:r>
      <w:r w:rsidR="00876CCC" w:rsidRPr="00504D41">
        <w:rPr>
          <w:szCs w:val="24"/>
          <w:vertAlign w:val="subscript"/>
        </w:rPr>
        <w:t xml:space="preserve"> </w:t>
      </w:r>
      <w:r w:rsidRPr="00504D41">
        <w:rPr>
          <w:szCs w:val="24"/>
        </w:rPr>
        <w:t>e per kg of refined oil. Although these values refer to food product oils, similar values have been reported for neem and thyme plant oils. Kumar et al</w:t>
      </w:r>
      <w:r w:rsidR="006D54C2" w:rsidRPr="00504D41">
        <w:rPr>
          <w:noProof/>
          <w:szCs w:val="24"/>
          <w:vertAlign w:val="superscript"/>
        </w:rPr>
        <w:t>172</w:t>
      </w:r>
      <w:r w:rsidRPr="00504D41">
        <w:rPr>
          <w:szCs w:val="24"/>
        </w:rPr>
        <w:t xml:space="preserve"> conducted LCA analysis to gauge </w:t>
      </w:r>
      <w:r w:rsidR="00876CCC" w:rsidRPr="00504D41">
        <w:rPr>
          <w:szCs w:val="24"/>
        </w:rPr>
        <w:t xml:space="preserve">the </w:t>
      </w:r>
      <w:r w:rsidRPr="00504D41">
        <w:rPr>
          <w:szCs w:val="24"/>
        </w:rPr>
        <w:t>environmental impacts of biodiesel derived from various vegetable oils in India reporting a total energy equivalent value of 6.508 MJ/kg of biodiesel for the plant cultivation and oil extraction systems. Similarly, results of an LCA</w:t>
      </w:r>
      <w:r w:rsidR="006D54C2" w:rsidRPr="00504D41">
        <w:rPr>
          <w:noProof/>
          <w:szCs w:val="24"/>
          <w:vertAlign w:val="superscript"/>
        </w:rPr>
        <w:t>173</w:t>
      </w:r>
      <w:r w:rsidRPr="00504D41">
        <w:rPr>
          <w:szCs w:val="24"/>
        </w:rPr>
        <w:t xml:space="preserve"> conducted to gauge impacts of medicinal plants in Italy report a GWP of 18.22 kg CO</w:t>
      </w:r>
      <w:r w:rsidRPr="00504D41">
        <w:rPr>
          <w:szCs w:val="24"/>
          <w:vertAlign w:val="subscript"/>
        </w:rPr>
        <w:t>2</w:t>
      </w:r>
      <w:r w:rsidR="00876CCC" w:rsidRPr="00504D41">
        <w:rPr>
          <w:szCs w:val="24"/>
          <w:vertAlign w:val="subscript"/>
        </w:rPr>
        <w:t xml:space="preserve"> </w:t>
      </w:r>
      <w:r w:rsidRPr="00504D41">
        <w:rPr>
          <w:szCs w:val="24"/>
        </w:rPr>
        <w:t>e per kg of dried plant product. Although the</w:t>
      </w:r>
      <w:r w:rsidR="00876CCC" w:rsidRPr="00504D41">
        <w:rPr>
          <w:szCs w:val="24"/>
        </w:rPr>
        <w:t>se</w:t>
      </w:r>
      <w:r w:rsidRPr="00504D41">
        <w:rPr>
          <w:szCs w:val="24"/>
        </w:rPr>
        <w:t xml:space="preserve"> LCA results mention different impact assessment indicators, they provide an estimate of the energy/global warming impact of the plant cultivation. Oil extraction occurs further downstream from cultivation and is so bound to have a higher energy footprint. Thus, to achieve sustainable utilization of plant oils as natural AI we will have to identify a sweet spot between the lowest environmental impact during production and the benefits achieved through cut </w:t>
      </w:r>
      <w:r w:rsidR="00C146DC" w:rsidRPr="00504D41">
        <w:rPr>
          <w:szCs w:val="24"/>
        </w:rPr>
        <w:t xml:space="preserve">down </w:t>
      </w:r>
      <w:r w:rsidRPr="00504D41">
        <w:rPr>
          <w:szCs w:val="24"/>
        </w:rPr>
        <w:t>of synthetic agrochemical intake due to their usage.</w:t>
      </w:r>
    </w:p>
    <w:p w14:paraId="18770E96" w14:textId="77777777" w:rsidR="006B163D" w:rsidRPr="00504D41" w:rsidRDefault="00C32872" w:rsidP="006B163D">
      <w:pPr>
        <w:spacing w:line="360" w:lineRule="auto"/>
        <w:jc w:val="both"/>
        <w:rPr>
          <w:b/>
          <w:bCs/>
        </w:rPr>
      </w:pPr>
      <w:r w:rsidRPr="00504D41">
        <w:rPr>
          <w:b/>
          <w:bCs/>
        </w:rPr>
        <w:t xml:space="preserve">6. </w:t>
      </w:r>
      <w:r w:rsidR="006B163D" w:rsidRPr="00504D41">
        <w:rPr>
          <w:b/>
          <w:bCs/>
        </w:rPr>
        <w:t>Comparing performance across different coating materials</w:t>
      </w:r>
    </w:p>
    <w:p w14:paraId="2A773CDA" w14:textId="77777777" w:rsidR="006B163D" w:rsidRPr="00504D41" w:rsidRDefault="006B163D" w:rsidP="006B163D">
      <w:pPr>
        <w:spacing w:line="360" w:lineRule="auto"/>
        <w:jc w:val="both"/>
      </w:pPr>
      <w:r w:rsidRPr="00504D41">
        <w:t xml:space="preserve">A comprehensive evaluation of the environmental consequences of any new seed coating material demands a risk assessment of the coating material as well as the effects of the change in agriculture practices. Table 4 shows </w:t>
      </w:r>
      <w:r w:rsidR="00876CCC" w:rsidRPr="00504D41">
        <w:t xml:space="preserve">a </w:t>
      </w:r>
      <w:r w:rsidRPr="00504D41">
        <w:t xml:space="preserve">comparison across different coatings proposed in the previous sections in terms of the </w:t>
      </w:r>
      <w:r w:rsidR="000A57FB" w:rsidRPr="00504D41">
        <w:t>yield</w:t>
      </w:r>
      <w:r w:rsidRPr="00504D41">
        <w:t xml:space="preserve"> benefits gained through their use and their performance from a green chemistry perspective including raw material source, industrial and environmental footprint</w:t>
      </w:r>
      <w:r w:rsidR="00876CCC" w:rsidRPr="00504D41">
        <w:t>s</w:t>
      </w:r>
      <w:r w:rsidRPr="00504D41">
        <w:t xml:space="preserve"> and regulatory complian</w:t>
      </w:r>
      <w:r w:rsidR="00E866E5" w:rsidRPr="00504D41">
        <w:t>ces.</w:t>
      </w:r>
    </w:p>
    <w:p w14:paraId="3B663F0D" w14:textId="77777777" w:rsidR="006B163D" w:rsidRPr="00504D41" w:rsidRDefault="006B163D" w:rsidP="006B163D">
      <w:pPr>
        <w:spacing w:line="360" w:lineRule="auto"/>
        <w:jc w:val="both"/>
      </w:pPr>
      <w:r w:rsidRPr="00504D41">
        <w:t xml:space="preserve">Polysaccharides offer a clear advantage in terms of renewable raw material, biodegradability and adherence to regulatory compliances. Alginate, guar gum and starch are GRAS specified by FDA for use in certain food applications whereas chitosan is an accepted pesticidal AI. Furthermore, alginate, chitosan and guar gum all are exempted from adhering to a maximum tolerance limit in pesticides as per </w:t>
      </w:r>
      <w:r w:rsidR="005B5CE6" w:rsidRPr="00504D41">
        <w:t xml:space="preserve">40 </w:t>
      </w:r>
      <w:r w:rsidRPr="00504D41">
        <w:t>CFR 40,</w:t>
      </w:r>
      <w:r w:rsidR="005B5CE6" w:rsidRPr="00504D41">
        <w:t xml:space="preserve"> </w:t>
      </w:r>
      <w:r w:rsidR="001D1C6C" w:rsidRPr="00504D41">
        <w:t>part</w:t>
      </w:r>
      <w:r w:rsidR="00876CCC" w:rsidRPr="00504D41">
        <w:t xml:space="preserve"> </w:t>
      </w:r>
      <w:r w:rsidRPr="00504D41">
        <w:t xml:space="preserve">180. However, their current chemical extraction methods have a high chemical footprint requiring large amounts of water, energy and </w:t>
      </w:r>
      <w:r w:rsidR="00876CCC" w:rsidRPr="00504D41">
        <w:t xml:space="preserve">use of </w:t>
      </w:r>
      <w:r w:rsidRPr="00504D41">
        <w:t xml:space="preserve">acids/alkalis. Future research needs to focus on environmentally friendly extraction techniques coupling benign synthesis with high crop yields. Moving on to nanofibrous seed coatings, both synthetic and bio-based polymers have been reported in this regard. Whereas biobased polymers like CA are preferred due to their renewability, a major limitation is the use </w:t>
      </w:r>
      <w:r w:rsidRPr="00504D41">
        <w:lastRenderedPageBreak/>
        <w:t xml:space="preserve">of toxic solvents like DMAc </w:t>
      </w:r>
      <w:r w:rsidR="00876CCC" w:rsidRPr="00504D41">
        <w:t>to prepare an</w:t>
      </w:r>
      <w:r w:rsidRPr="00504D41">
        <w:t xml:space="preserve"> electrospin</w:t>
      </w:r>
      <w:r w:rsidR="00876CCC" w:rsidRPr="00504D41">
        <w:t>nable solution</w:t>
      </w:r>
      <w:r w:rsidRPr="00504D41">
        <w:t xml:space="preserve">. An alternative is the use of </w:t>
      </w:r>
      <w:r w:rsidR="00876CCC" w:rsidRPr="00504D41">
        <w:t xml:space="preserve">water soluble </w:t>
      </w:r>
      <w:r w:rsidRPr="00504D41">
        <w:t xml:space="preserve">polymers </w:t>
      </w:r>
      <w:r w:rsidR="00876CCC" w:rsidRPr="00504D41">
        <w:t xml:space="preserve">such as </w:t>
      </w:r>
      <w:r w:rsidRPr="00504D41">
        <w:t xml:space="preserve">PVA and PEO. </w:t>
      </w:r>
      <w:r w:rsidR="00876CCC" w:rsidRPr="00504D41">
        <w:t>D</w:t>
      </w:r>
      <w:r w:rsidRPr="00504D41">
        <w:t>espite their biodegradability</w:t>
      </w:r>
      <w:r w:rsidR="00876CCC" w:rsidRPr="00504D41">
        <w:t>, these polymers</w:t>
      </w:r>
      <w:r w:rsidRPr="00504D41">
        <w:t xml:space="preserve"> are majorly derived from fossil fuel sources and are thus non-renewable. Thus, there are associated limitations with both bio-derived and synthetic electrospinnable polymers that need to be resolved. The next research breakthrough discussed is the use of hydrogels for coating seeds. Hydrogels will definitely be of greater consequence in coming years for enabling agriculture in arid soils due to </w:t>
      </w:r>
      <w:r w:rsidR="00876CCC" w:rsidRPr="00504D41">
        <w:t xml:space="preserve">the </w:t>
      </w:r>
      <w:r w:rsidRPr="00504D41">
        <w:t xml:space="preserve">increasing burden on global water resources. Whereas fossil </w:t>
      </w:r>
      <w:r w:rsidR="00876CCC" w:rsidRPr="00504D41">
        <w:t>fuel-</w:t>
      </w:r>
      <w:r w:rsidRPr="00504D41">
        <w:t xml:space="preserve">derived hydrogels like PAM, and </w:t>
      </w:r>
      <w:r w:rsidR="00876CCC" w:rsidRPr="00504D41">
        <w:t>s</w:t>
      </w:r>
      <w:r w:rsidRPr="00504D41">
        <w:t xml:space="preserve">odium acrylate have been investigated as seed coatings, </w:t>
      </w:r>
      <w:r w:rsidR="00876CCC" w:rsidRPr="00504D41">
        <w:t xml:space="preserve">the </w:t>
      </w:r>
      <w:r w:rsidRPr="00504D41">
        <w:t>use of sustainably sourced materials like starch and alginate appear</w:t>
      </w:r>
      <w:r w:rsidR="00876CCC" w:rsidRPr="00504D41">
        <w:t>s</w:t>
      </w:r>
      <w:r w:rsidRPr="00504D41">
        <w:t xml:space="preserve"> as </w:t>
      </w:r>
      <w:r w:rsidR="00876CCC" w:rsidRPr="00504D41">
        <w:t xml:space="preserve">a </w:t>
      </w:r>
      <w:r w:rsidRPr="00504D41">
        <w:t xml:space="preserve">better choice provided the chemical footprint of their extraction processes is optimized. Next, we have highlighted nanoparticle incorporated seed coatings to reduce synthetic fertilizer inputs. Although research in this area has shown promising results with enhanced seed germination and growth at low dosage volumes, there are question marks regarding the </w:t>
      </w:r>
      <w:r w:rsidR="00C56953" w:rsidRPr="00504D41">
        <w:t xml:space="preserve">long </w:t>
      </w:r>
      <w:r w:rsidRPr="00504D41">
        <w:t xml:space="preserve">term effects of nanoparticle usage on the ecosystem. Thus, research is required both at academic levels and by regulatory bodies to provide clear answers in this regard. Finally, we have shed light on the use of </w:t>
      </w:r>
      <w:r w:rsidR="00876CCC" w:rsidRPr="00504D41">
        <w:t>biomass-</w:t>
      </w:r>
      <w:r w:rsidRPr="00504D41">
        <w:t xml:space="preserve">derived seed treatment techniques in order to close the loop for achieving a circular agriculture economy. Research in this area is at a very introductory stage and there is </w:t>
      </w:r>
      <w:r w:rsidR="00876CCC" w:rsidRPr="00504D41">
        <w:t xml:space="preserve">a </w:t>
      </w:r>
      <w:r w:rsidRPr="00504D41">
        <w:t>lack of regulatory compliance and concerns like non-uniform source material and energy extensive treatment processes. Despite these limitations, researchers have shown the multifaceted huge potential of these materials/techniques Lignocellulosic seed wraps</w:t>
      </w:r>
      <w:r w:rsidR="00876CCC" w:rsidRPr="00504D41">
        <w:t>, for instance,</w:t>
      </w:r>
      <w:r w:rsidRPr="00504D41">
        <w:t xml:space="preserve"> have not only shown superior on-field performance, their thrift and ease of use facilitates their usage in resource deficient areas where farmers cannot afford expensive seed coating treatments.</w:t>
      </w:r>
    </w:p>
    <w:p w14:paraId="5C8DB6FA" w14:textId="77777777" w:rsidR="00C8552B" w:rsidRPr="00504D41" w:rsidRDefault="00C8552B" w:rsidP="00823848">
      <w:pPr>
        <w:pStyle w:val="Caption"/>
        <w:keepNext/>
        <w:jc w:val="both"/>
        <w:rPr>
          <w:b/>
          <w:bCs/>
          <w:i w:val="0"/>
          <w:iCs w:val="0"/>
          <w:color w:val="auto"/>
          <w:sz w:val="24"/>
          <w:szCs w:val="24"/>
        </w:rPr>
      </w:pPr>
      <w:r w:rsidRPr="00504D41">
        <w:rPr>
          <w:b/>
          <w:bCs/>
          <w:i w:val="0"/>
          <w:iCs w:val="0"/>
          <w:color w:val="auto"/>
          <w:sz w:val="24"/>
          <w:szCs w:val="24"/>
        </w:rPr>
        <w:t xml:space="preserve">Table </w:t>
      </w:r>
      <w:r w:rsidRPr="00504D41">
        <w:rPr>
          <w:b/>
          <w:bCs/>
          <w:i w:val="0"/>
          <w:iCs w:val="0"/>
          <w:color w:val="auto"/>
          <w:sz w:val="24"/>
          <w:szCs w:val="24"/>
        </w:rPr>
        <w:fldChar w:fldCharType="begin"/>
      </w:r>
      <w:r w:rsidRPr="00504D41">
        <w:rPr>
          <w:b/>
          <w:bCs/>
          <w:i w:val="0"/>
          <w:iCs w:val="0"/>
          <w:color w:val="auto"/>
          <w:sz w:val="24"/>
          <w:szCs w:val="24"/>
        </w:rPr>
        <w:instrText xml:space="preserve"> SEQ Table \* ARABIC </w:instrText>
      </w:r>
      <w:r w:rsidRPr="00504D41">
        <w:rPr>
          <w:b/>
          <w:bCs/>
          <w:i w:val="0"/>
          <w:iCs w:val="0"/>
          <w:color w:val="auto"/>
          <w:sz w:val="24"/>
          <w:szCs w:val="24"/>
        </w:rPr>
        <w:fldChar w:fldCharType="separate"/>
      </w:r>
      <w:r w:rsidR="003D0A6B" w:rsidRPr="00504D41">
        <w:rPr>
          <w:b/>
          <w:bCs/>
          <w:i w:val="0"/>
          <w:iCs w:val="0"/>
          <w:noProof/>
          <w:color w:val="auto"/>
          <w:sz w:val="24"/>
          <w:szCs w:val="24"/>
        </w:rPr>
        <w:t>4</w:t>
      </w:r>
      <w:r w:rsidRPr="00504D41">
        <w:rPr>
          <w:b/>
          <w:bCs/>
          <w:i w:val="0"/>
          <w:iCs w:val="0"/>
          <w:color w:val="auto"/>
          <w:sz w:val="24"/>
          <w:szCs w:val="24"/>
        </w:rPr>
        <w:fldChar w:fldCharType="end"/>
      </w:r>
      <w:r w:rsidR="00970E91" w:rsidRPr="00504D41">
        <w:rPr>
          <w:b/>
          <w:bCs/>
          <w:i w:val="0"/>
          <w:iCs w:val="0"/>
          <w:color w:val="auto"/>
          <w:sz w:val="24"/>
          <w:szCs w:val="24"/>
        </w:rPr>
        <w:t xml:space="preserve">. </w:t>
      </w:r>
      <w:r w:rsidR="008F6CF3" w:rsidRPr="00504D41">
        <w:rPr>
          <w:b/>
          <w:bCs/>
          <w:i w:val="0"/>
          <w:iCs w:val="0"/>
          <w:color w:val="auto"/>
          <w:sz w:val="24"/>
          <w:szCs w:val="24"/>
        </w:rPr>
        <w:t xml:space="preserve">Comparison of seed coating materials on basis of their raw material source, </w:t>
      </w:r>
      <w:r w:rsidR="00024227" w:rsidRPr="00504D41">
        <w:rPr>
          <w:b/>
          <w:bCs/>
          <w:i w:val="0"/>
          <w:iCs w:val="0"/>
          <w:color w:val="auto"/>
          <w:sz w:val="24"/>
          <w:szCs w:val="24"/>
        </w:rPr>
        <w:t xml:space="preserve">industrial and energy footprint, regulatory compliance status and progress observed </w:t>
      </w:r>
      <w:r w:rsidR="00823848" w:rsidRPr="00504D41">
        <w:rPr>
          <w:b/>
          <w:bCs/>
          <w:i w:val="0"/>
          <w:iCs w:val="0"/>
          <w:color w:val="auto"/>
          <w:sz w:val="24"/>
          <w:szCs w:val="24"/>
        </w:rPr>
        <w:t>as seed coatings.</w:t>
      </w:r>
    </w:p>
    <w:tbl>
      <w:tblPr>
        <w:tblW w:w="4955" w:type="pct"/>
        <w:jc w:val="center"/>
        <w:tblLayout w:type="fixed"/>
        <w:tblLook w:val="04A0" w:firstRow="1" w:lastRow="0" w:firstColumn="1" w:lastColumn="0" w:noHBand="0" w:noVBand="1"/>
      </w:tblPr>
      <w:tblGrid>
        <w:gridCol w:w="411"/>
        <w:gridCol w:w="1521"/>
        <w:gridCol w:w="1025"/>
        <w:gridCol w:w="1093"/>
        <w:gridCol w:w="1294"/>
        <w:gridCol w:w="1281"/>
        <w:gridCol w:w="11"/>
        <w:gridCol w:w="1460"/>
        <w:gridCol w:w="11"/>
        <w:gridCol w:w="1372"/>
        <w:gridCol w:w="11"/>
      </w:tblGrid>
      <w:tr w:rsidR="006A2649" w:rsidRPr="00504D41" w14:paraId="028DD5BD" w14:textId="77777777" w:rsidTr="00C56953">
        <w:trPr>
          <w:trHeight w:val="510"/>
          <w:jc w:val="center"/>
        </w:trPr>
        <w:tc>
          <w:tcPr>
            <w:tcW w:w="1017"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B18C2E" w14:textId="77777777" w:rsidR="006B163D" w:rsidRPr="00504D41" w:rsidRDefault="006B163D" w:rsidP="00652513">
            <w:pPr>
              <w:spacing w:after="0" w:line="240" w:lineRule="auto"/>
              <w:jc w:val="center"/>
              <w:rPr>
                <w:rFonts w:ascii="Arial" w:eastAsia="Times New Roman" w:hAnsi="Arial" w:cs="Arial"/>
                <w:color w:val="000000"/>
                <w:sz w:val="20"/>
                <w:szCs w:val="20"/>
              </w:rPr>
            </w:pPr>
            <w:r w:rsidRPr="00504D41">
              <w:rPr>
                <w:rFonts w:ascii="Arial" w:eastAsia="Times New Roman" w:hAnsi="Arial" w:cs="Arial"/>
                <w:color w:val="000000"/>
                <w:sz w:val="20"/>
                <w:szCs w:val="20"/>
              </w:rPr>
              <w:t>Material</w:t>
            </w:r>
          </w:p>
        </w:tc>
        <w:tc>
          <w:tcPr>
            <w:tcW w:w="540" w:type="pct"/>
            <w:tcBorders>
              <w:top w:val="single" w:sz="4" w:space="0" w:color="auto"/>
              <w:left w:val="nil"/>
              <w:bottom w:val="single" w:sz="4" w:space="0" w:color="auto"/>
              <w:right w:val="single" w:sz="4" w:space="0" w:color="auto"/>
            </w:tcBorders>
            <w:shd w:val="clear" w:color="auto" w:fill="auto"/>
            <w:vAlign w:val="center"/>
            <w:hideMark/>
          </w:tcPr>
          <w:p w14:paraId="0D5BA81E" w14:textId="77777777" w:rsidR="006B163D" w:rsidRPr="00504D41" w:rsidRDefault="006B163D" w:rsidP="00E437C7">
            <w:pPr>
              <w:spacing w:after="0" w:line="240" w:lineRule="auto"/>
              <w:ind w:left="-29" w:right="-90"/>
              <w:rPr>
                <w:rFonts w:ascii="Arial" w:eastAsia="Times New Roman" w:hAnsi="Arial" w:cs="Arial"/>
                <w:color w:val="000000"/>
                <w:sz w:val="20"/>
                <w:szCs w:val="20"/>
              </w:rPr>
            </w:pPr>
            <w:r w:rsidRPr="00504D41">
              <w:rPr>
                <w:rFonts w:ascii="Arial" w:eastAsia="Times New Roman" w:hAnsi="Arial" w:cs="Arial"/>
                <w:color w:val="000000"/>
                <w:sz w:val="20"/>
                <w:szCs w:val="20"/>
              </w:rPr>
              <w:t>Raw material source</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104D2D7D" w14:textId="77777777" w:rsidR="006B163D" w:rsidRPr="00504D41" w:rsidRDefault="006B163D" w:rsidP="00E437C7">
            <w:pPr>
              <w:spacing w:after="0" w:line="240" w:lineRule="auto"/>
              <w:ind w:left="-29" w:right="-25"/>
              <w:rPr>
                <w:rFonts w:ascii="Arial" w:eastAsia="Times New Roman" w:hAnsi="Arial" w:cs="Arial"/>
                <w:color w:val="000000"/>
                <w:sz w:val="20"/>
                <w:szCs w:val="20"/>
              </w:rPr>
            </w:pPr>
            <w:r w:rsidRPr="00504D41">
              <w:rPr>
                <w:rFonts w:ascii="Arial" w:eastAsia="Times New Roman" w:hAnsi="Arial" w:cs="Arial"/>
                <w:color w:val="000000"/>
                <w:sz w:val="20"/>
                <w:szCs w:val="20"/>
              </w:rPr>
              <w:t>Industrial footprint</w:t>
            </w:r>
            <w:r w:rsidR="006A2649" w:rsidRPr="00504D41">
              <w:rPr>
                <w:rFonts w:ascii="Arial" w:eastAsia="Times New Roman" w:hAnsi="Arial" w:cs="Arial"/>
                <w:color w:val="000000"/>
                <w:sz w:val="20"/>
                <w:szCs w:val="20"/>
              </w:rPr>
              <w:t>s</w:t>
            </w:r>
          </w:p>
        </w:tc>
        <w:tc>
          <w:tcPr>
            <w:tcW w:w="682" w:type="pct"/>
            <w:tcBorders>
              <w:top w:val="single" w:sz="4" w:space="0" w:color="auto"/>
              <w:left w:val="nil"/>
              <w:bottom w:val="single" w:sz="4" w:space="0" w:color="auto"/>
              <w:right w:val="single" w:sz="4" w:space="0" w:color="auto"/>
            </w:tcBorders>
            <w:shd w:val="clear" w:color="auto" w:fill="auto"/>
            <w:vAlign w:val="center"/>
            <w:hideMark/>
          </w:tcPr>
          <w:p w14:paraId="7BD6DCCA" w14:textId="77777777" w:rsidR="006B163D" w:rsidRPr="00504D41" w:rsidRDefault="006B163D" w:rsidP="00E437C7">
            <w:pPr>
              <w:spacing w:after="0" w:line="240" w:lineRule="auto"/>
              <w:ind w:left="-104" w:right="-195"/>
              <w:rPr>
                <w:rFonts w:ascii="Arial" w:eastAsia="Times New Roman" w:hAnsi="Arial" w:cs="Arial"/>
                <w:color w:val="000000"/>
                <w:sz w:val="20"/>
                <w:szCs w:val="20"/>
              </w:rPr>
            </w:pPr>
            <w:r w:rsidRPr="00504D41">
              <w:rPr>
                <w:rFonts w:ascii="Arial" w:eastAsia="Times New Roman" w:hAnsi="Arial" w:cs="Arial"/>
                <w:color w:val="000000"/>
                <w:sz w:val="20"/>
                <w:szCs w:val="20"/>
              </w:rPr>
              <w:t>Energy consumption</w:t>
            </w:r>
          </w:p>
        </w:tc>
        <w:tc>
          <w:tcPr>
            <w:tcW w:w="681" w:type="pct"/>
            <w:gridSpan w:val="2"/>
            <w:tcBorders>
              <w:top w:val="single" w:sz="4" w:space="0" w:color="auto"/>
              <w:left w:val="nil"/>
              <w:bottom w:val="single" w:sz="4" w:space="0" w:color="auto"/>
              <w:right w:val="single" w:sz="4" w:space="0" w:color="auto"/>
            </w:tcBorders>
            <w:shd w:val="clear" w:color="auto" w:fill="auto"/>
            <w:vAlign w:val="center"/>
            <w:hideMark/>
          </w:tcPr>
          <w:p w14:paraId="7CE11D0D" w14:textId="77777777" w:rsidR="006B163D" w:rsidRPr="00504D41" w:rsidRDefault="006B163D" w:rsidP="00E437C7">
            <w:pPr>
              <w:spacing w:after="0" w:line="240" w:lineRule="auto"/>
              <w:ind w:left="-104" w:right="-105"/>
              <w:rPr>
                <w:rFonts w:ascii="Arial" w:eastAsia="Times New Roman" w:hAnsi="Arial" w:cs="Arial"/>
                <w:color w:val="000000"/>
                <w:sz w:val="20"/>
                <w:szCs w:val="20"/>
              </w:rPr>
            </w:pPr>
            <w:r w:rsidRPr="00504D41">
              <w:rPr>
                <w:rFonts w:ascii="Arial" w:eastAsia="Times New Roman" w:hAnsi="Arial" w:cs="Arial"/>
                <w:color w:val="000000"/>
                <w:sz w:val="20"/>
                <w:szCs w:val="20"/>
              </w:rPr>
              <w:t>Regulatory compliance/ Active list status</w:t>
            </w:r>
            <w:r w:rsidR="0033143B" w:rsidRPr="00504D41">
              <w:rPr>
                <w:rFonts w:ascii="Arial" w:eastAsia="Times New Roman" w:hAnsi="Arial" w:cs="Arial"/>
                <w:color w:val="000000"/>
                <w:sz w:val="20"/>
                <w:szCs w:val="20"/>
                <w:vertAlign w:val="superscript"/>
              </w:rPr>
              <w:t>a</w:t>
            </w:r>
          </w:p>
        </w:tc>
        <w:tc>
          <w:tcPr>
            <w:tcW w:w="775" w:type="pct"/>
            <w:gridSpan w:val="2"/>
            <w:tcBorders>
              <w:top w:val="single" w:sz="4" w:space="0" w:color="auto"/>
              <w:left w:val="nil"/>
              <w:bottom w:val="single" w:sz="4" w:space="0" w:color="auto"/>
              <w:right w:val="single" w:sz="4" w:space="0" w:color="auto"/>
            </w:tcBorders>
            <w:shd w:val="clear" w:color="auto" w:fill="auto"/>
            <w:vAlign w:val="center"/>
            <w:hideMark/>
          </w:tcPr>
          <w:p w14:paraId="63247CAC" w14:textId="77777777" w:rsidR="006B163D" w:rsidRPr="00504D41" w:rsidRDefault="006B163D" w:rsidP="006A2649">
            <w:pPr>
              <w:spacing w:after="0" w:line="240" w:lineRule="auto"/>
              <w:ind w:left="-104" w:right="-105"/>
              <w:rPr>
                <w:rFonts w:ascii="Arial" w:eastAsia="Times New Roman" w:hAnsi="Arial" w:cs="Arial"/>
                <w:color w:val="000000"/>
                <w:sz w:val="20"/>
                <w:szCs w:val="20"/>
              </w:rPr>
            </w:pPr>
            <w:r w:rsidRPr="00504D41">
              <w:rPr>
                <w:rFonts w:ascii="Arial" w:eastAsia="Times New Roman" w:hAnsi="Arial" w:cs="Arial"/>
                <w:color w:val="000000"/>
                <w:sz w:val="20"/>
                <w:szCs w:val="20"/>
              </w:rPr>
              <w:t>Environmental fate</w:t>
            </w:r>
          </w:p>
        </w:tc>
        <w:tc>
          <w:tcPr>
            <w:tcW w:w="729" w:type="pct"/>
            <w:gridSpan w:val="2"/>
            <w:tcBorders>
              <w:top w:val="single" w:sz="4" w:space="0" w:color="auto"/>
              <w:left w:val="nil"/>
              <w:bottom w:val="single" w:sz="4" w:space="0" w:color="auto"/>
              <w:right w:val="single" w:sz="4" w:space="0" w:color="auto"/>
            </w:tcBorders>
            <w:shd w:val="clear" w:color="auto" w:fill="auto"/>
            <w:vAlign w:val="center"/>
            <w:hideMark/>
          </w:tcPr>
          <w:p w14:paraId="09CFC38E" w14:textId="77777777" w:rsidR="006B163D" w:rsidRPr="00504D41" w:rsidRDefault="006B163D" w:rsidP="00E437C7">
            <w:pPr>
              <w:spacing w:after="0" w:line="240" w:lineRule="auto"/>
              <w:ind w:left="-104" w:right="-104"/>
              <w:rPr>
                <w:rFonts w:ascii="Arial" w:eastAsia="Times New Roman" w:hAnsi="Arial" w:cs="Arial"/>
                <w:color w:val="000000"/>
                <w:sz w:val="20"/>
                <w:szCs w:val="20"/>
              </w:rPr>
            </w:pPr>
            <w:r w:rsidRPr="00504D41">
              <w:rPr>
                <w:rFonts w:ascii="Arial" w:eastAsia="Times New Roman" w:hAnsi="Arial" w:cs="Arial"/>
                <w:color w:val="000000"/>
                <w:sz w:val="20"/>
                <w:szCs w:val="20"/>
              </w:rPr>
              <w:t>Performance as seed coating</w:t>
            </w:r>
          </w:p>
        </w:tc>
      </w:tr>
      <w:tr w:rsidR="00E866E5" w:rsidRPr="00504D41" w14:paraId="267398DC" w14:textId="77777777" w:rsidTr="00C56953">
        <w:trPr>
          <w:trHeight w:val="510"/>
          <w:jc w:val="center"/>
        </w:trPr>
        <w:tc>
          <w:tcPr>
            <w:tcW w:w="1017"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64D5B26" w14:textId="77777777" w:rsidR="00E866E5" w:rsidRPr="00504D41" w:rsidRDefault="00E866E5" w:rsidP="00652513">
            <w:pPr>
              <w:spacing w:after="0" w:line="240" w:lineRule="auto"/>
              <w:jc w:val="center"/>
              <w:rPr>
                <w:rFonts w:ascii="Arial" w:eastAsia="Times New Roman" w:hAnsi="Arial" w:cs="Arial"/>
                <w:color w:val="000000"/>
                <w:sz w:val="20"/>
                <w:szCs w:val="20"/>
              </w:rPr>
            </w:pPr>
            <w:r w:rsidRPr="00504D41">
              <w:rPr>
                <w:rFonts w:ascii="Arial" w:eastAsia="Times New Roman" w:hAnsi="Arial" w:cs="Arial"/>
                <w:color w:val="000000"/>
                <w:sz w:val="20"/>
                <w:szCs w:val="20"/>
              </w:rPr>
              <w:t>Green chemistry principle</w:t>
            </w:r>
          </w:p>
        </w:tc>
        <w:tc>
          <w:tcPr>
            <w:tcW w:w="540" w:type="pct"/>
            <w:tcBorders>
              <w:top w:val="single" w:sz="4" w:space="0" w:color="auto"/>
              <w:left w:val="nil"/>
              <w:bottom w:val="single" w:sz="4" w:space="0" w:color="auto"/>
              <w:right w:val="single" w:sz="4" w:space="0" w:color="auto"/>
            </w:tcBorders>
            <w:shd w:val="clear" w:color="auto" w:fill="auto"/>
            <w:vAlign w:val="center"/>
          </w:tcPr>
          <w:p w14:paraId="30AE9015" w14:textId="77777777" w:rsidR="00E866E5" w:rsidRPr="00504D41" w:rsidRDefault="00E866E5" w:rsidP="00E437C7">
            <w:pPr>
              <w:spacing w:after="0" w:line="240" w:lineRule="auto"/>
              <w:ind w:left="-29" w:right="-90"/>
              <w:rPr>
                <w:rFonts w:ascii="Arial" w:eastAsia="Times New Roman" w:hAnsi="Arial" w:cs="Arial"/>
                <w:color w:val="000000"/>
                <w:sz w:val="20"/>
                <w:szCs w:val="20"/>
              </w:rPr>
            </w:pPr>
            <w:r w:rsidRPr="00504D41">
              <w:rPr>
                <w:rFonts w:ascii="Arial" w:eastAsia="Times New Roman" w:hAnsi="Arial" w:cs="Arial"/>
                <w:color w:val="000000"/>
                <w:sz w:val="20"/>
                <w:szCs w:val="20"/>
              </w:rPr>
              <w:t>7- Feedstock renewability</w:t>
            </w:r>
          </w:p>
        </w:tc>
        <w:tc>
          <w:tcPr>
            <w:tcW w:w="576" w:type="pct"/>
            <w:tcBorders>
              <w:top w:val="single" w:sz="4" w:space="0" w:color="auto"/>
              <w:left w:val="nil"/>
              <w:bottom w:val="single" w:sz="4" w:space="0" w:color="auto"/>
              <w:right w:val="single" w:sz="4" w:space="0" w:color="auto"/>
            </w:tcBorders>
            <w:shd w:val="clear" w:color="auto" w:fill="auto"/>
            <w:vAlign w:val="center"/>
          </w:tcPr>
          <w:p w14:paraId="33DA46DA" w14:textId="77777777" w:rsidR="00E866E5" w:rsidRPr="00504D41" w:rsidRDefault="00E866E5" w:rsidP="00E866E5">
            <w:pPr>
              <w:spacing w:after="0" w:line="240" w:lineRule="auto"/>
              <w:ind w:left="-29" w:right="-25"/>
              <w:rPr>
                <w:rFonts w:ascii="Arial" w:eastAsia="Times New Roman" w:hAnsi="Arial" w:cs="Arial"/>
                <w:color w:val="000000"/>
                <w:sz w:val="20"/>
                <w:szCs w:val="20"/>
              </w:rPr>
            </w:pPr>
            <w:r w:rsidRPr="00504D41">
              <w:rPr>
                <w:rFonts w:ascii="Arial" w:eastAsia="Times New Roman" w:hAnsi="Arial" w:cs="Arial"/>
                <w:color w:val="000000"/>
                <w:sz w:val="20"/>
                <w:szCs w:val="20"/>
              </w:rPr>
              <w:t xml:space="preserve">4, 5 – Design and usage of safer chemicals and </w:t>
            </w:r>
            <w:r w:rsidRPr="00504D41">
              <w:rPr>
                <w:rFonts w:ascii="Arial" w:eastAsia="Times New Roman" w:hAnsi="Arial" w:cs="Arial"/>
                <w:color w:val="000000"/>
                <w:sz w:val="20"/>
                <w:szCs w:val="20"/>
              </w:rPr>
              <w:lastRenderedPageBreak/>
              <w:t>solvents</w:t>
            </w:r>
          </w:p>
        </w:tc>
        <w:tc>
          <w:tcPr>
            <w:tcW w:w="682" w:type="pct"/>
            <w:tcBorders>
              <w:top w:val="single" w:sz="4" w:space="0" w:color="auto"/>
              <w:left w:val="nil"/>
              <w:bottom w:val="single" w:sz="4" w:space="0" w:color="auto"/>
              <w:right w:val="single" w:sz="4" w:space="0" w:color="auto"/>
            </w:tcBorders>
            <w:shd w:val="clear" w:color="auto" w:fill="auto"/>
            <w:vAlign w:val="center"/>
          </w:tcPr>
          <w:p w14:paraId="57DCEF23" w14:textId="77777777" w:rsidR="00E866E5" w:rsidRPr="00504D41" w:rsidRDefault="00E866E5" w:rsidP="00E437C7">
            <w:pPr>
              <w:spacing w:after="0" w:line="240" w:lineRule="auto"/>
              <w:ind w:left="-104" w:right="-195"/>
              <w:rPr>
                <w:rFonts w:ascii="Arial" w:eastAsia="Times New Roman" w:hAnsi="Arial" w:cs="Arial"/>
                <w:color w:val="000000"/>
                <w:sz w:val="20"/>
                <w:szCs w:val="20"/>
              </w:rPr>
            </w:pPr>
            <w:r w:rsidRPr="00504D41">
              <w:rPr>
                <w:rFonts w:ascii="Arial" w:eastAsia="Times New Roman" w:hAnsi="Arial" w:cs="Arial"/>
                <w:color w:val="000000"/>
                <w:sz w:val="20"/>
                <w:szCs w:val="20"/>
              </w:rPr>
              <w:lastRenderedPageBreak/>
              <w:t>6 – Energy utilization</w:t>
            </w:r>
          </w:p>
        </w:tc>
        <w:tc>
          <w:tcPr>
            <w:tcW w:w="681" w:type="pct"/>
            <w:gridSpan w:val="2"/>
            <w:tcBorders>
              <w:top w:val="single" w:sz="4" w:space="0" w:color="auto"/>
              <w:left w:val="nil"/>
              <w:bottom w:val="single" w:sz="4" w:space="0" w:color="auto"/>
              <w:right w:val="single" w:sz="4" w:space="0" w:color="auto"/>
            </w:tcBorders>
            <w:shd w:val="clear" w:color="auto" w:fill="auto"/>
            <w:vAlign w:val="center"/>
          </w:tcPr>
          <w:p w14:paraId="51CEF8AA" w14:textId="77777777" w:rsidR="00E866E5" w:rsidRPr="00504D41" w:rsidRDefault="00E866E5" w:rsidP="00E437C7">
            <w:pPr>
              <w:spacing w:after="0" w:line="240" w:lineRule="auto"/>
              <w:ind w:left="-104" w:right="-105"/>
              <w:rPr>
                <w:rFonts w:ascii="Arial" w:eastAsia="Times New Roman" w:hAnsi="Arial" w:cs="Arial"/>
                <w:color w:val="000000"/>
                <w:sz w:val="20"/>
                <w:szCs w:val="20"/>
              </w:rPr>
            </w:pPr>
            <w:r w:rsidRPr="00504D41">
              <w:rPr>
                <w:rFonts w:ascii="Arial" w:eastAsia="Times New Roman" w:hAnsi="Arial" w:cs="Arial"/>
                <w:color w:val="000000"/>
                <w:sz w:val="20"/>
                <w:szCs w:val="20"/>
              </w:rPr>
              <w:t>4 – Safer chemical design</w:t>
            </w:r>
          </w:p>
        </w:tc>
        <w:tc>
          <w:tcPr>
            <w:tcW w:w="775" w:type="pct"/>
            <w:gridSpan w:val="2"/>
            <w:tcBorders>
              <w:top w:val="single" w:sz="4" w:space="0" w:color="auto"/>
              <w:left w:val="nil"/>
              <w:bottom w:val="single" w:sz="4" w:space="0" w:color="auto"/>
              <w:right w:val="single" w:sz="4" w:space="0" w:color="auto"/>
            </w:tcBorders>
            <w:shd w:val="clear" w:color="auto" w:fill="auto"/>
            <w:vAlign w:val="center"/>
          </w:tcPr>
          <w:p w14:paraId="0C2681A1" w14:textId="77777777" w:rsidR="00E866E5" w:rsidRPr="00504D41" w:rsidRDefault="00E866E5" w:rsidP="006A2649">
            <w:pPr>
              <w:spacing w:after="0" w:line="240" w:lineRule="auto"/>
              <w:ind w:left="-104" w:right="-105"/>
              <w:rPr>
                <w:rFonts w:ascii="Arial" w:eastAsia="Times New Roman" w:hAnsi="Arial" w:cs="Arial"/>
                <w:color w:val="000000"/>
                <w:sz w:val="20"/>
                <w:szCs w:val="20"/>
              </w:rPr>
            </w:pPr>
            <w:r w:rsidRPr="00504D41">
              <w:rPr>
                <w:rFonts w:ascii="Arial" w:eastAsia="Times New Roman" w:hAnsi="Arial" w:cs="Arial"/>
                <w:color w:val="000000"/>
                <w:sz w:val="20"/>
                <w:szCs w:val="20"/>
              </w:rPr>
              <w:t>10 – Material degradation</w:t>
            </w:r>
          </w:p>
        </w:tc>
        <w:tc>
          <w:tcPr>
            <w:tcW w:w="729" w:type="pct"/>
            <w:gridSpan w:val="2"/>
            <w:tcBorders>
              <w:top w:val="single" w:sz="4" w:space="0" w:color="auto"/>
              <w:left w:val="nil"/>
              <w:bottom w:val="single" w:sz="4" w:space="0" w:color="auto"/>
              <w:right w:val="single" w:sz="4" w:space="0" w:color="auto"/>
            </w:tcBorders>
            <w:shd w:val="clear" w:color="auto" w:fill="auto"/>
            <w:vAlign w:val="center"/>
          </w:tcPr>
          <w:p w14:paraId="3C47B83C" w14:textId="77777777" w:rsidR="00E866E5" w:rsidRPr="00504D41" w:rsidRDefault="00E866E5" w:rsidP="00E437C7">
            <w:pPr>
              <w:spacing w:after="0" w:line="240" w:lineRule="auto"/>
              <w:ind w:left="-104" w:right="-104"/>
              <w:rPr>
                <w:rFonts w:ascii="Arial" w:eastAsia="Times New Roman" w:hAnsi="Arial" w:cs="Arial"/>
                <w:color w:val="000000"/>
                <w:sz w:val="20"/>
                <w:szCs w:val="20"/>
              </w:rPr>
            </w:pPr>
          </w:p>
        </w:tc>
      </w:tr>
      <w:tr w:rsidR="006A2649" w:rsidRPr="00504D41" w14:paraId="27C2E61D" w14:textId="77777777" w:rsidTr="00C56953">
        <w:trPr>
          <w:gridAfter w:val="1"/>
          <w:wAfter w:w="6" w:type="pct"/>
          <w:trHeight w:val="1103"/>
          <w:jc w:val="center"/>
        </w:trPr>
        <w:tc>
          <w:tcPr>
            <w:tcW w:w="216" w:type="pct"/>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14:paraId="3BBBF934" w14:textId="77777777" w:rsidR="006B163D" w:rsidRPr="00504D41" w:rsidRDefault="006B163D" w:rsidP="00652513">
            <w:pPr>
              <w:spacing w:after="0" w:line="240" w:lineRule="auto"/>
              <w:jc w:val="center"/>
              <w:rPr>
                <w:rFonts w:ascii="Arial" w:eastAsia="Times New Roman" w:hAnsi="Arial" w:cs="Arial"/>
                <w:color w:val="000000"/>
                <w:sz w:val="20"/>
                <w:szCs w:val="20"/>
              </w:rPr>
            </w:pPr>
            <w:r w:rsidRPr="00504D41">
              <w:rPr>
                <w:rFonts w:ascii="Arial" w:eastAsia="Times New Roman" w:hAnsi="Arial" w:cs="Arial"/>
                <w:color w:val="000000"/>
                <w:sz w:val="20"/>
                <w:szCs w:val="20"/>
              </w:rPr>
              <w:lastRenderedPageBreak/>
              <w:t>Polysaccharides</w:t>
            </w:r>
          </w:p>
        </w:tc>
        <w:tc>
          <w:tcPr>
            <w:tcW w:w="801" w:type="pct"/>
            <w:tcBorders>
              <w:top w:val="nil"/>
              <w:left w:val="nil"/>
              <w:bottom w:val="single" w:sz="4" w:space="0" w:color="auto"/>
              <w:right w:val="single" w:sz="4" w:space="0" w:color="auto"/>
            </w:tcBorders>
            <w:shd w:val="clear" w:color="auto" w:fill="auto"/>
            <w:vAlign w:val="center"/>
            <w:hideMark/>
          </w:tcPr>
          <w:p w14:paraId="35540C18" w14:textId="77777777" w:rsidR="006B163D" w:rsidRPr="00504D41" w:rsidRDefault="006B163D" w:rsidP="00A917CD">
            <w:pPr>
              <w:spacing w:after="0" w:line="240" w:lineRule="auto"/>
              <w:ind w:left="-59" w:right="-105"/>
              <w:rPr>
                <w:rFonts w:ascii="Arial" w:eastAsia="Times New Roman" w:hAnsi="Arial" w:cs="Arial"/>
                <w:color w:val="000000"/>
                <w:sz w:val="20"/>
                <w:szCs w:val="20"/>
              </w:rPr>
            </w:pPr>
            <w:r w:rsidRPr="00504D41">
              <w:rPr>
                <w:rFonts w:ascii="Arial" w:eastAsia="Times New Roman" w:hAnsi="Arial" w:cs="Arial"/>
                <w:color w:val="000000"/>
                <w:sz w:val="20"/>
                <w:szCs w:val="20"/>
              </w:rPr>
              <w:t>Alginate</w:t>
            </w:r>
          </w:p>
        </w:tc>
        <w:tc>
          <w:tcPr>
            <w:tcW w:w="540" w:type="pct"/>
            <w:tcBorders>
              <w:top w:val="nil"/>
              <w:left w:val="nil"/>
              <w:bottom w:val="single" w:sz="4" w:space="0" w:color="auto"/>
              <w:right w:val="single" w:sz="4" w:space="0" w:color="auto"/>
            </w:tcBorders>
            <w:shd w:val="clear" w:color="auto" w:fill="auto"/>
            <w:vAlign w:val="center"/>
            <w:hideMark/>
          </w:tcPr>
          <w:p w14:paraId="7460C424" w14:textId="77777777" w:rsidR="006B163D" w:rsidRPr="00504D41" w:rsidRDefault="006B163D" w:rsidP="00A917CD">
            <w:pPr>
              <w:spacing w:after="0" w:line="240" w:lineRule="auto"/>
              <w:ind w:left="-104" w:right="-90"/>
              <w:rPr>
                <w:rFonts w:ascii="Arial" w:eastAsia="Times New Roman" w:hAnsi="Arial" w:cs="Arial"/>
                <w:color w:val="000000"/>
                <w:sz w:val="20"/>
                <w:szCs w:val="20"/>
              </w:rPr>
            </w:pPr>
            <w:r w:rsidRPr="00504D41">
              <w:rPr>
                <w:rFonts w:ascii="Arial" w:eastAsia="Times New Roman" w:hAnsi="Arial" w:cs="Arial"/>
                <w:color w:val="000000"/>
                <w:sz w:val="20"/>
                <w:szCs w:val="20"/>
              </w:rPr>
              <w:t>Brown seaweed</w:t>
            </w:r>
          </w:p>
        </w:tc>
        <w:tc>
          <w:tcPr>
            <w:tcW w:w="576" w:type="pct"/>
            <w:tcBorders>
              <w:top w:val="nil"/>
              <w:left w:val="nil"/>
              <w:bottom w:val="single" w:sz="4" w:space="0" w:color="auto"/>
              <w:right w:val="single" w:sz="4" w:space="0" w:color="auto"/>
            </w:tcBorders>
            <w:shd w:val="clear" w:color="auto" w:fill="auto"/>
            <w:vAlign w:val="center"/>
            <w:hideMark/>
          </w:tcPr>
          <w:p w14:paraId="3F518799" w14:textId="77777777" w:rsidR="006B163D" w:rsidRPr="00504D41" w:rsidRDefault="006B163D" w:rsidP="00A917CD">
            <w:pPr>
              <w:spacing w:after="0" w:line="240" w:lineRule="auto"/>
              <w:ind w:left="-29" w:right="-105"/>
              <w:rPr>
                <w:rFonts w:ascii="Arial" w:eastAsia="Times New Roman" w:hAnsi="Arial" w:cs="Arial"/>
                <w:color w:val="000000"/>
                <w:sz w:val="20"/>
                <w:szCs w:val="20"/>
              </w:rPr>
            </w:pPr>
            <w:r w:rsidRPr="00504D41">
              <w:rPr>
                <w:rFonts w:ascii="Arial" w:eastAsia="Times New Roman" w:hAnsi="Arial" w:cs="Arial"/>
                <w:color w:val="000000"/>
                <w:sz w:val="20"/>
                <w:szCs w:val="20"/>
              </w:rPr>
              <w:t xml:space="preserve">Chemical extractions involve utilization of acids/alkalis and toxic chemicals. </w:t>
            </w:r>
          </w:p>
        </w:tc>
        <w:tc>
          <w:tcPr>
            <w:tcW w:w="682" w:type="pct"/>
            <w:tcBorders>
              <w:top w:val="nil"/>
              <w:left w:val="nil"/>
              <w:bottom w:val="single" w:sz="4" w:space="0" w:color="auto"/>
              <w:right w:val="single" w:sz="4" w:space="0" w:color="auto"/>
            </w:tcBorders>
            <w:shd w:val="clear" w:color="auto" w:fill="auto"/>
            <w:vAlign w:val="center"/>
            <w:hideMark/>
          </w:tcPr>
          <w:p w14:paraId="35CBCF6D" w14:textId="77777777" w:rsidR="006B163D" w:rsidRPr="00504D41" w:rsidRDefault="006B163D" w:rsidP="00A917CD">
            <w:pPr>
              <w:spacing w:after="0" w:line="240" w:lineRule="auto"/>
              <w:ind w:right="-105"/>
              <w:rPr>
                <w:rFonts w:ascii="Arial" w:eastAsia="Times New Roman" w:hAnsi="Arial" w:cs="Arial"/>
                <w:color w:val="000000"/>
                <w:sz w:val="20"/>
                <w:szCs w:val="20"/>
              </w:rPr>
            </w:pPr>
            <w:r w:rsidRPr="00504D41">
              <w:rPr>
                <w:rFonts w:ascii="Arial" w:eastAsia="Times New Roman" w:hAnsi="Arial" w:cs="Arial"/>
                <w:color w:val="000000"/>
                <w:sz w:val="20"/>
                <w:szCs w:val="20"/>
              </w:rPr>
              <w:t xml:space="preserve">Water and </w:t>
            </w:r>
            <w:r w:rsidR="00876CCC" w:rsidRPr="00504D41">
              <w:rPr>
                <w:rFonts w:ascii="Arial" w:eastAsia="Times New Roman" w:hAnsi="Arial" w:cs="Arial"/>
                <w:color w:val="000000"/>
                <w:sz w:val="20"/>
                <w:szCs w:val="20"/>
              </w:rPr>
              <w:t>energy-</w:t>
            </w:r>
            <w:r w:rsidRPr="00504D41">
              <w:rPr>
                <w:rFonts w:ascii="Arial" w:eastAsia="Times New Roman" w:hAnsi="Arial" w:cs="Arial"/>
                <w:color w:val="000000"/>
                <w:sz w:val="20"/>
                <w:szCs w:val="20"/>
              </w:rPr>
              <w:t>intensive</w:t>
            </w:r>
          </w:p>
        </w:tc>
        <w:tc>
          <w:tcPr>
            <w:tcW w:w="675" w:type="pct"/>
            <w:tcBorders>
              <w:top w:val="nil"/>
              <w:left w:val="nil"/>
              <w:bottom w:val="single" w:sz="4" w:space="0" w:color="auto"/>
              <w:right w:val="single" w:sz="4" w:space="0" w:color="auto"/>
            </w:tcBorders>
            <w:shd w:val="clear" w:color="auto" w:fill="auto"/>
            <w:vAlign w:val="center"/>
            <w:hideMark/>
          </w:tcPr>
          <w:p w14:paraId="66E15014" w14:textId="77777777" w:rsidR="006B163D" w:rsidRPr="00504D41" w:rsidRDefault="00876CCC" w:rsidP="00A917CD">
            <w:pPr>
              <w:spacing w:after="0" w:line="240" w:lineRule="auto"/>
              <w:ind w:left="-104" w:right="-115"/>
              <w:rPr>
                <w:rFonts w:ascii="Arial" w:eastAsia="Times New Roman" w:hAnsi="Arial" w:cs="Arial"/>
                <w:color w:val="000000"/>
                <w:sz w:val="20"/>
                <w:szCs w:val="20"/>
              </w:rPr>
            </w:pPr>
            <w:r w:rsidRPr="00504D41">
              <w:rPr>
                <w:rFonts w:ascii="Arial" w:eastAsia="Times New Roman" w:hAnsi="Arial" w:cs="Arial"/>
                <w:color w:val="000000"/>
                <w:sz w:val="20"/>
                <w:szCs w:val="20"/>
              </w:rPr>
              <w:t>c</w:t>
            </w:r>
            <w:r w:rsidR="006B163D" w:rsidRPr="00504D41">
              <w:rPr>
                <w:rFonts w:ascii="Arial" w:eastAsia="Times New Roman" w:hAnsi="Arial" w:cs="Arial"/>
                <w:color w:val="000000"/>
                <w:sz w:val="20"/>
                <w:szCs w:val="20"/>
              </w:rPr>
              <w:t xml:space="preserve">alcium, </w:t>
            </w:r>
            <w:r w:rsidRPr="00504D41">
              <w:rPr>
                <w:rFonts w:ascii="Arial" w:eastAsia="Times New Roman" w:hAnsi="Arial" w:cs="Arial"/>
                <w:color w:val="000000"/>
                <w:sz w:val="20"/>
                <w:szCs w:val="20"/>
              </w:rPr>
              <w:t>s</w:t>
            </w:r>
            <w:r w:rsidR="006B163D" w:rsidRPr="00504D41">
              <w:rPr>
                <w:rFonts w:ascii="Arial" w:eastAsia="Times New Roman" w:hAnsi="Arial" w:cs="Arial"/>
                <w:color w:val="000000"/>
                <w:sz w:val="20"/>
                <w:szCs w:val="20"/>
              </w:rPr>
              <w:t xml:space="preserve">odium, </w:t>
            </w:r>
            <w:r w:rsidRPr="00504D41">
              <w:rPr>
                <w:rFonts w:ascii="Arial" w:eastAsia="Times New Roman" w:hAnsi="Arial" w:cs="Arial"/>
                <w:color w:val="000000"/>
                <w:sz w:val="20"/>
                <w:szCs w:val="20"/>
              </w:rPr>
              <w:t>p</w:t>
            </w:r>
            <w:r w:rsidR="006B163D" w:rsidRPr="00504D41">
              <w:rPr>
                <w:rFonts w:ascii="Arial" w:eastAsia="Times New Roman" w:hAnsi="Arial" w:cs="Arial"/>
                <w:color w:val="000000"/>
                <w:sz w:val="20"/>
                <w:szCs w:val="20"/>
              </w:rPr>
              <w:t>ostassium alginate GRAS FDA as food additives in some categories.</w:t>
            </w:r>
            <w:r w:rsidR="006B163D" w:rsidRPr="00504D41">
              <w:rPr>
                <w:rFonts w:ascii="Arial" w:eastAsia="Times New Roman" w:hAnsi="Arial" w:cs="Arial"/>
                <w:color w:val="000000"/>
                <w:sz w:val="20"/>
                <w:szCs w:val="20"/>
              </w:rPr>
              <w:br/>
              <w:t xml:space="preserve">Sodium alginate </w:t>
            </w:r>
            <w:r w:rsidR="001A197D" w:rsidRPr="00504D41">
              <w:rPr>
                <w:rFonts w:ascii="Arial" w:eastAsia="Times New Roman" w:hAnsi="Arial" w:cs="Arial"/>
                <w:color w:val="000000"/>
                <w:sz w:val="20"/>
                <w:szCs w:val="20"/>
              </w:rPr>
              <w:t>-</w:t>
            </w:r>
            <w:r w:rsidR="006E7596" w:rsidRPr="00504D41">
              <w:rPr>
                <w:rFonts w:ascii="Arial" w:eastAsia="Times New Roman" w:hAnsi="Arial" w:cs="Arial"/>
                <w:color w:val="000000"/>
                <w:sz w:val="20"/>
                <w:szCs w:val="20"/>
              </w:rPr>
              <w:t xml:space="preserve">40 </w:t>
            </w:r>
            <w:r w:rsidR="006B163D" w:rsidRPr="00504D41">
              <w:rPr>
                <w:rFonts w:ascii="Arial" w:eastAsia="Times New Roman" w:hAnsi="Arial" w:cs="Arial"/>
                <w:color w:val="000000"/>
                <w:sz w:val="20"/>
                <w:szCs w:val="20"/>
              </w:rPr>
              <w:t>CFR</w:t>
            </w:r>
            <w:r w:rsidR="001A197D" w:rsidRPr="00504D41">
              <w:rPr>
                <w:rFonts w:ascii="Arial" w:eastAsia="Times New Roman" w:hAnsi="Arial" w:cs="Arial"/>
                <w:color w:val="000000"/>
                <w:sz w:val="20"/>
                <w:szCs w:val="20"/>
              </w:rPr>
              <w:t xml:space="preserve"> </w:t>
            </w:r>
            <w:r w:rsidR="006B163D" w:rsidRPr="00504D41">
              <w:rPr>
                <w:rFonts w:ascii="Arial" w:eastAsia="Times New Roman" w:hAnsi="Arial" w:cs="Arial"/>
                <w:color w:val="000000"/>
                <w:sz w:val="20"/>
                <w:szCs w:val="20"/>
              </w:rPr>
              <w:t>180 - pesticide tolerance exemption</w:t>
            </w:r>
            <w:r w:rsidR="00BD3C9D" w:rsidRPr="00504D41">
              <w:rPr>
                <w:rFonts w:ascii="Arial" w:eastAsia="Times New Roman" w:hAnsi="Arial" w:cs="Arial"/>
                <w:color w:val="000000"/>
                <w:sz w:val="20"/>
                <w:szCs w:val="20"/>
              </w:rPr>
              <w:t>, Approved under 40 CFR 152.25 as an inert in exempted minimum risk pesticides</w:t>
            </w:r>
          </w:p>
        </w:tc>
        <w:tc>
          <w:tcPr>
            <w:tcW w:w="775" w:type="pct"/>
            <w:gridSpan w:val="2"/>
            <w:tcBorders>
              <w:top w:val="nil"/>
              <w:left w:val="nil"/>
              <w:bottom w:val="single" w:sz="4" w:space="0" w:color="auto"/>
              <w:right w:val="single" w:sz="4" w:space="0" w:color="auto"/>
            </w:tcBorders>
            <w:shd w:val="clear" w:color="auto" w:fill="auto"/>
            <w:vAlign w:val="center"/>
            <w:hideMark/>
          </w:tcPr>
          <w:p w14:paraId="6CC9F40B" w14:textId="77777777" w:rsidR="006B163D" w:rsidRPr="00504D41" w:rsidRDefault="006B163D" w:rsidP="00A917CD">
            <w:pPr>
              <w:spacing w:after="0" w:line="240" w:lineRule="auto"/>
              <w:ind w:left="-104" w:right="-120"/>
              <w:rPr>
                <w:rFonts w:ascii="Arial" w:eastAsia="Times New Roman" w:hAnsi="Arial" w:cs="Arial"/>
                <w:color w:val="000000"/>
                <w:sz w:val="20"/>
                <w:szCs w:val="20"/>
              </w:rPr>
            </w:pPr>
            <w:r w:rsidRPr="00504D41">
              <w:rPr>
                <w:rFonts w:ascii="Arial" w:eastAsia="Times New Roman" w:hAnsi="Arial" w:cs="Arial"/>
                <w:color w:val="000000"/>
                <w:sz w:val="20"/>
                <w:szCs w:val="20"/>
              </w:rPr>
              <w:t>Biodegradable</w:t>
            </w:r>
          </w:p>
        </w:tc>
        <w:tc>
          <w:tcPr>
            <w:tcW w:w="729" w:type="pct"/>
            <w:gridSpan w:val="2"/>
            <w:tcBorders>
              <w:top w:val="nil"/>
              <w:left w:val="nil"/>
              <w:bottom w:val="single" w:sz="4" w:space="0" w:color="auto"/>
              <w:right w:val="single" w:sz="4" w:space="0" w:color="auto"/>
            </w:tcBorders>
            <w:shd w:val="clear" w:color="auto" w:fill="auto"/>
            <w:vAlign w:val="center"/>
            <w:hideMark/>
          </w:tcPr>
          <w:p w14:paraId="1AA42F9A" w14:textId="77777777" w:rsidR="006B163D" w:rsidRPr="00504D41" w:rsidRDefault="006B163D" w:rsidP="006D54C2">
            <w:pPr>
              <w:spacing w:after="0" w:line="240" w:lineRule="auto"/>
              <w:ind w:left="-104" w:hanging="4"/>
              <w:rPr>
                <w:rFonts w:ascii="Arial" w:eastAsia="Times New Roman" w:hAnsi="Arial" w:cs="Arial"/>
                <w:color w:val="000000"/>
                <w:sz w:val="20"/>
                <w:szCs w:val="20"/>
              </w:rPr>
            </w:pPr>
            <w:r w:rsidRPr="00504D41">
              <w:rPr>
                <w:rFonts w:ascii="Arial" w:eastAsia="Times New Roman" w:hAnsi="Arial" w:cs="Arial"/>
                <w:color w:val="000000"/>
                <w:sz w:val="20"/>
                <w:szCs w:val="20"/>
              </w:rPr>
              <w:t>Suitable carrier material for PGPM</w:t>
            </w:r>
            <w:r w:rsidR="006D54C2" w:rsidRPr="00504D41">
              <w:rPr>
                <w:noProof/>
                <w:szCs w:val="24"/>
                <w:vertAlign w:val="superscript"/>
              </w:rPr>
              <w:t>53</w:t>
            </w:r>
            <w:r w:rsidRPr="00504D41">
              <w:rPr>
                <w:rFonts w:ascii="Arial" w:eastAsia="Times New Roman" w:hAnsi="Arial" w:cs="Arial"/>
                <w:color w:val="000000"/>
                <w:sz w:val="20"/>
                <w:szCs w:val="20"/>
              </w:rPr>
              <w:t xml:space="preserve"> and NPK fertilizer, performance verified through pot trials.</w:t>
            </w:r>
          </w:p>
        </w:tc>
      </w:tr>
      <w:tr w:rsidR="006A2649" w:rsidRPr="00504D41" w14:paraId="5E9F5599" w14:textId="77777777" w:rsidTr="00C56953">
        <w:trPr>
          <w:gridAfter w:val="1"/>
          <w:wAfter w:w="6" w:type="pct"/>
          <w:trHeight w:val="1103"/>
          <w:jc w:val="center"/>
        </w:trPr>
        <w:tc>
          <w:tcPr>
            <w:tcW w:w="216" w:type="pct"/>
            <w:vMerge/>
            <w:tcBorders>
              <w:top w:val="nil"/>
              <w:left w:val="single" w:sz="4" w:space="0" w:color="auto"/>
              <w:bottom w:val="single" w:sz="4" w:space="0" w:color="auto"/>
              <w:right w:val="single" w:sz="4" w:space="0" w:color="auto"/>
            </w:tcBorders>
            <w:vAlign w:val="center"/>
            <w:hideMark/>
          </w:tcPr>
          <w:p w14:paraId="7B029EBA" w14:textId="77777777" w:rsidR="006B163D" w:rsidRPr="00504D41" w:rsidRDefault="006B163D" w:rsidP="00652513">
            <w:pPr>
              <w:spacing w:after="0" w:line="240" w:lineRule="auto"/>
              <w:rPr>
                <w:rFonts w:ascii="Arial" w:eastAsia="Times New Roman" w:hAnsi="Arial" w:cs="Arial"/>
                <w:color w:val="000000"/>
                <w:sz w:val="20"/>
                <w:szCs w:val="20"/>
              </w:rPr>
            </w:pPr>
          </w:p>
        </w:tc>
        <w:tc>
          <w:tcPr>
            <w:tcW w:w="801" w:type="pct"/>
            <w:tcBorders>
              <w:top w:val="nil"/>
              <w:left w:val="nil"/>
              <w:bottom w:val="single" w:sz="4" w:space="0" w:color="auto"/>
              <w:right w:val="single" w:sz="4" w:space="0" w:color="auto"/>
            </w:tcBorders>
            <w:shd w:val="clear" w:color="auto" w:fill="auto"/>
            <w:vAlign w:val="center"/>
            <w:hideMark/>
          </w:tcPr>
          <w:p w14:paraId="2E904E9E" w14:textId="77777777" w:rsidR="006B163D" w:rsidRPr="00504D41" w:rsidRDefault="006B163D" w:rsidP="00A2534A">
            <w:pPr>
              <w:spacing w:after="0" w:line="240" w:lineRule="auto"/>
              <w:ind w:right="-105"/>
              <w:rPr>
                <w:rFonts w:ascii="Arial" w:eastAsia="Times New Roman" w:hAnsi="Arial" w:cs="Arial"/>
                <w:color w:val="000000"/>
                <w:sz w:val="20"/>
                <w:szCs w:val="20"/>
              </w:rPr>
            </w:pPr>
            <w:r w:rsidRPr="00504D41">
              <w:rPr>
                <w:rFonts w:ascii="Arial" w:eastAsia="Times New Roman" w:hAnsi="Arial" w:cs="Arial"/>
                <w:color w:val="000000"/>
                <w:sz w:val="20"/>
                <w:szCs w:val="20"/>
              </w:rPr>
              <w:t>Chitosan</w:t>
            </w:r>
          </w:p>
        </w:tc>
        <w:tc>
          <w:tcPr>
            <w:tcW w:w="540" w:type="pct"/>
            <w:tcBorders>
              <w:top w:val="nil"/>
              <w:left w:val="nil"/>
              <w:bottom w:val="single" w:sz="4" w:space="0" w:color="auto"/>
              <w:right w:val="single" w:sz="4" w:space="0" w:color="auto"/>
            </w:tcBorders>
            <w:shd w:val="clear" w:color="auto" w:fill="auto"/>
            <w:vAlign w:val="center"/>
            <w:hideMark/>
          </w:tcPr>
          <w:p w14:paraId="7124BF6A" w14:textId="77777777" w:rsidR="006B163D" w:rsidRPr="00504D41" w:rsidRDefault="006B163D" w:rsidP="00A2534A">
            <w:pPr>
              <w:spacing w:after="0" w:line="240" w:lineRule="auto"/>
              <w:ind w:left="-104" w:right="-90"/>
              <w:rPr>
                <w:rFonts w:ascii="Arial" w:eastAsia="Times New Roman" w:hAnsi="Arial" w:cs="Arial"/>
                <w:color w:val="000000"/>
                <w:sz w:val="20"/>
                <w:szCs w:val="20"/>
              </w:rPr>
            </w:pPr>
            <w:r w:rsidRPr="00504D41">
              <w:rPr>
                <w:rFonts w:ascii="Arial" w:eastAsia="Times New Roman" w:hAnsi="Arial" w:cs="Arial"/>
                <w:color w:val="000000"/>
                <w:sz w:val="20"/>
                <w:szCs w:val="20"/>
              </w:rPr>
              <w:t xml:space="preserve">crustacean, </w:t>
            </w:r>
            <w:r w:rsidR="006A2649" w:rsidRPr="00504D41">
              <w:rPr>
                <w:rFonts w:ascii="Arial" w:eastAsia="Times New Roman" w:hAnsi="Arial" w:cs="Arial"/>
                <w:color w:val="000000"/>
                <w:sz w:val="20"/>
                <w:szCs w:val="20"/>
              </w:rPr>
              <w:t>nematodes</w:t>
            </w:r>
            <w:r w:rsidRPr="00504D41">
              <w:rPr>
                <w:rFonts w:ascii="Arial" w:eastAsia="Times New Roman" w:hAnsi="Arial" w:cs="Arial"/>
                <w:color w:val="000000"/>
                <w:sz w:val="20"/>
                <w:szCs w:val="20"/>
              </w:rPr>
              <w:t>, insects</w:t>
            </w:r>
          </w:p>
        </w:tc>
        <w:tc>
          <w:tcPr>
            <w:tcW w:w="576" w:type="pct"/>
            <w:tcBorders>
              <w:top w:val="nil"/>
              <w:left w:val="nil"/>
              <w:bottom w:val="single" w:sz="4" w:space="0" w:color="auto"/>
              <w:right w:val="single" w:sz="4" w:space="0" w:color="auto"/>
            </w:tcBorders>
            <w:shd w:val="clear" w:color="auto" w:fill="auto"/>
            <w:vAlign w:val="center"/>
            <w:hideMark/>
          </w:tcPr>
          <w:p w14:paraId="29D0324E" w14:textId="77777777" w:rsidR="006B163D" w:rsidRPr="00504D41" w:rsidRDefault="006B163D" w:rsidP="00A2534A">
            <w:pPr>
              <w:spacing w:after="0" w:line="240" w:lineRule="auto"/>
              <w:ind w:left="-29" w:right="-105"/>
              <w:rPr>
                <w:rFonts w:ascii="Arial" w:eastAsia="Times New Roman" w:hAnsi="Arial" w:cs="Arial"/>
                <w:color w:val="000000"/>
                <w:sz w:val="20"/>
                <w:szCs w:val="20"/>
              </w:rPr>
            </w:pPr>
            <w:r w:rsidRPr="00504D41">
              <w:rPr>
                <w:rFonts w:ascii="Arial" w:eastAsia="Times New Roman" w:hAnsi="Arial" w:cs="Arial"/>
                <w:color w:val="000000"/>
                <w:sz w:val="20"/>
                <w:szCs w:val="20"/>
              </w:rPr>
              <w:t>Chemical extraction involves harsh chemicals, acid and alkalis and elevated temperatures. Deacetylation step utilizes 40-50% concentrated NaOH.</w:t>
            </w:r>
          </w:p>
        </w:tc>
        <w:tc>
          <w:tcPr>
            <w:tcW w:w="682" w:type="pct"/>
            <w:tcBorders>
              <w:top w:val="nil"/>
              <w:left w:val="nil"/>
              <w:bottom w:val="single" w:sz="4" w:space="0" w:color="auto"/>
              <w:right w:val="single" w:sz="4" w:space="0" w:color="auto"/>
            </w:tcBorders>
            <w:shd w:val="clear" w:color="auto" w:fill="auto"/>
            <w:vAlign w:val="center"/>
            <w:hideMark/>
          </w:tcPr>
          <w:p w14:paraId="3326AA49" w14:textId="77777777" w:rsidR="006B163D" w:rsidRPr="00504D41" w:rsidRDefault="006B163D" w:rsidP="00A2534A">
            <w:pPr>
              <w:spacing w:after="0" w:line="240" w:lineRule="auto"/>
              <w:ind w:right="-105"/>
              <w:rPr>
                <w:rFonts w:ascii="Arial" w:eastAsia="Times New Roman" w:hAnsi="Arial" w:cs="Arial"/>
                <w:color w:val="000000"/>
                <w:sz w:val="20"/>
                <w:szCs w:val="20"/>
              </w:rPr>
            </w:pPr>
            <w:r w:rsidRPr="00504D41">
              <w:rPr>
                <w:rFonts w:ascii="Arial" w:eastAsia="Times New Roman" w:hAnsi="Arial" w:cs="Arial"/>
                <w:color w:val="000000"/>
                <w:sz w:val="20"/>
                <w:szCs w:val="20"/>
              </w:rPr>
              <w:t>Water and energy intensive</w:t>
            </w:r>
          </w:p>
        </w:tc>
        <w:tc>
          <w:tcPr>
            <w:tcW w:w="675" w:type="pct"/>
            <w:tcBorders>
              <w:top w:val="nil"/>
              <w:left w:val="nil"/>
              <w:bottom w:val="single" w:sz="4" w:space="0" w:color="auto"/>
              <w:right w:val="single" w:sz="4" w:space="0" w:color="auto"/>
            </w:tcBorders>
            <w:shd w:val="clear" w:color="auto" w:fill="auto"/>
            <w:vAlign w:val="center"/>
            <w:hideMark/>
          </w:tcPr>
          <w:p w14:paraId="6D5F8517" w14:textId="77777777" w:rsidR="006B163D" w:rsidRPr="00504D41" w:rsidRDefault="006B163D" w:rsidP="00A2534A">
            <w:pPr>
              <w:spacing w:after="0" w:line="240" w:lineRule="auto"/>
              <w:ind w:left="-104" w:right="-115"/>
              <w:rPr>
                <w:rFonts w:ascii="Arial" w:eastAsia="Times New Roman" w:hAnsi="Arial" w:cs="Arial"/>
                <w:color w:val="000000"/>
                <w:sz w:val="20"/>
                <w:szCs w:val="20"/>
              </w:rPr>
            </w:pPr>
            <w:r w:rsidRPr="00504D41">
              <w:rPr>
                <w:rFonts w:ascii="Arial" w:eastAsia="Times New Roman" w:hAnsi="Arial" w:cs="Arial"/>
                <w:color w:val="000000"/>
                <w:sz w:val="20"/>
                <w:szCs w:val="20"/>
              </w:rPr>
              <w:t>Pesticides - Active Ingredients EPA-USA</w:t>
            </w:r>
            <w:r w:rsidRPr="00504D41">
              <w:rPr>
                <w:rFonts w:ascii="Arial" w:eastAsia="Times New Roman" w:hAnsi="Arial" w:cs="Arial"/>
                <w:color w:val="000000"/>
                <w:sz w:val="20"/>
                <w:szCs w:val="20"/>
              </w:rPr>
              <w:br/>
            </w:r>
            <w:r w:rsidR="001A197D" w:rsidRPr="00504D41">
              <w:rPr>
                <w:rFonts w:ascii="Arial" w:eastAsia="Times New Roman" w:hAnsi="Arial" w:cs="Arial"/>
                <w:color w:val="000000"/>
                <w:sz w:val="20"/>
                <w:szCs w:val="20"/>
              </w:rPr>
              <w:t>40 CFR 180 - pesticide tolerance exemption</w:t>
            </w:r>
          </w:p>
        </w:tc>
        <w:tc>
          <w:tcPr>
            <w:tcW w:w="775" w:type="pct"/>
            <w:gridSpan w:val="2"/>
            <w:tcBorders>
              <w:top w:val="nil"/>
              <w:left w:val="nil"/>
              <w:bottom w:val="single" w:sz="4" w:space="0" w:color="auto"/>
              <w:right w:val="single" w:sz="4" w:space="0" w:color="auto"/>
            </w:tcBorders>
            <w:shd w:val="clear" w:color="auto" w:fill="auto"/>
            <w:vAlign w:val="center"/>
            <w:hideMark/>
          </w:tcPr>
          <w:p w14:paraId="0481A3A4" w14:textId="77777777" w:rsidR="006B163D" w:rsidRPr="00504D41" w:rsidRDefault="006B163D" w:rsidP="00A2534A">
            <w:pPr>
              <w:spacing w:after="0" w:line="240" w:lineRule="auto"/>
              <w:ind w:left="-104" w:right="-120"/>
              <w:rPr>
                <w:rFonts w:ascii="Arial" w:eastAsia="Times New Roman" w:hAnsi="Arial" w:cs="Arial"/>
                <w:color w:val="000000"/>
                <w:sz w:val="20"/>
                <w:szCs w:val="20"/>
              </w:rPr>
            </w:pPr>
            <w:r w:rsidRPr="00504D41">
              <w:rPr>
                <w:rFonts w:ascii="Arial" w:eastAsia="Times New Roman" w:hAnsi="Arial" w:cs="Arial"/>
                <w:color w:val="000000"/>
                <w:sz w:val="20"/>
                <w:szCs w:val="20"/>
              </w:rPr>
              <w:t>Biodegradable</w:t>
            </w:r>
          </w:p>
        </w:tc>
        <w:tc>
          <w:tcPr>
            <w:tcW w:w="729" w:type="pct"/>
            <w:gridSpan w:val="2"/>
            <w:tcBorders>
              <w:top w:val="nil"/>
              <w:left w:val="nil"/>
              <w:bottom w:val="single" w:sz="4" w:space="0" w:color="auto"/>
              <w:right w:val="single" w:sz="4" w:space="0" w:color="auto"/>
            </w:tcBorders>
            <w:shd w:val="clear" w:color="auto" w:fill="auto"/>
            <w:vAlign w:val="center"/>
            <w:hideMark/>
          </w:tcPr>
          <w:p w14:paraId="7C6F8DC9" w14:textId="77777777" w:rsidR="006B163D" w:rsidRPr="00504D41" w:rsidRDefault="006B163D" w:rsidP="006D54C2">
            <w:pPr>
              <w:spacing w:after="0" w:line="240" w:lineRule="auto"/>
              <w:ind w:left="-104" w:right="-104" w:hanging="4"/>
              <w:rPr>
                <w:rFonts w:ascii="Arial" w:eastAsia="Times New Roman" w:hAnsi="Arial" w:cs="Arial"/>
                <w:color w:val="000000"/>
                <w:sz w:val="20"/>
                <w:szCs w:val="20"/>
              </w:rPr>
            </w:pPr>
            <w:r w:rsidRPr="00504D41">
              <w:rPr>
                <w:rFonts w:ascii="Arial" w:eastAsia="Times New Roman" w:hAnsi="Arial" w:cs="Arial"/>
                <w:color w:val="000000"/>
                <w:sz w:val="20"/>
                <w:szCs w:val="20"/>
              </w:rPr>
              <w:t>Demonstrated performance as antifungal agent</w:t>
            </w:r>
            <w:r w:rsidR="00521C89" w:rsidRPr="00504D41">
              <w:rPr>
                <w:rFonts w:ascii="Arial" w:eastAsia="Times New Roman" w:hAnsi="Arial" w:cs="Arial"/>
                <w:color w:val="000000"/>
                <w:sz w:val="20"/>
                <w:szCs w:val="20"/>
              </w:rPr>
              <w:t>.</w:t>
            </w:r>
            <w:r w:rsidR="006D54C2" w:rsidRPr="00504D41">
              <w:rPr>
                <w:noProof/>
                <w:szCs w:val="24"/>
                <w:vertAlign w:val="superscript"/>
              </w:rPr>
              <w:t>81</w:t>
            </w:r>
            <w:r w:rsidRPr="00504D41">
              <w:rPr>
                <w:szCs w:val="24"/>
                <w:vertAlign w:val="superscript"/>
              </w:rPr>
              <w:t>,</w:t>
            </w:r>
            <w:r w:rsidRPr="00504D41">
              <w:rPr>
                <w:szCs w:val="24"/>
              </w:rPr>
              <w:t xml:space="preserve"> </w:t>
            </w:r>
            <w:r w:rsidR="006D54C2" w:rsidRPr="00504D41">
              <w:rPr>
                <w:noProof/>
                <w:szCs w:val="24"/>
                <w:vertAlign w:val="superscript"/>
              </w:rPr>
              <w:t>82</w:t>
            </w:r>
            <w:r w:rsidRPr="00504D41">
              <w:rPr>
                <w:rFonts w:ascii="Arial" w:eastAsia="Times New Roman" w:hAnsi="Arial" w:cs="Arial"/>
                <w:color w:val="000000"/>
                <w:sz w:val="20"/>
                <w:szCs w:val="20"/>
              </w:rPr>
              <w:t xml:space="preserve"> </w:t>
            </w:r>
            <w:r w:rsidR="00521C89" w:rsidRPr="00504D41">
              <w:rPr>
                <w:rFonts w:ascii="Arial" w:eastAsia="Times New Roman" w:hAnsi="Arial" w:cs="Arial"/>
                <w:color w:val="000000"/>
                <w:sz w:val="20"/>
                <w:szCs w:val="20"/>
              </w:rPr>
              <w:t>P</w:t>
            </w:r>
            <w:r w:rsidRPr="00504D41">
              <w:rPr>
                <w:rFonts w:ascii="Arial" w:eastAsia="Times New Roman" w:hAnsi="Arial" w:cs="Arial"/>
                <w:color w:val="000000"/>
                <w:sz w:val="20"/>
                <w:szCs w:val="20"/>
              </w:rPr>
              <w:t>erformance verified through pot trials.</w:t>
            </w:r>
          </w:p>
        </w:tc>
      </w:tr>
      <w:tr w:rsidR="006A2649" w:rsidRPr="00504D41" w14:paraId="3D744BDE" w14:textId="77777777" w:rsidTr="00C56953">
        <w:trPr>
          <w:gridAfter w:val="1"/>
          <w:wAfter w:w="6" w:type="pct"/>
          <w:trHeight w:val="1103"/>
          <w:jc w:val="center"/>
        </w:trPr>
        <w:tc>
          <w:tcPr>
            <w:tcW w:w="216" w:type="pct"/>
            <w:vMerge/>
            <w:tcBorders>
              <w:top w:val="nil"/>
              <w:left w:val="single" w:sz="4" w:space="0" w:color="auto"/>
              <w:bottom w:val="single" w:sz="4" w:space="0" w:color="auto"/>
              <w:right w:val="single" w:sz="4" w:space="0" w:color="auto"/>
            </w:tcBorders>
            <w:vAlign w:val="center"/>
            <w:hideMark/>
          </w:tcPr>
          <w:p w14:paraId="21A3B8E8" w14:textId="77777777" w:rsidR="006B163D" w:rsidRPr="00504D41" w:rsidRDefault="006B163D" w:rsidP="00652513">
            <w:pPr>
              <w:spacing w:after="0" w:line="240" w:lineRule="auto"/>
              <w:rPr>
                <w:rFonts w:ascii="Arial" w:eastAsia="Times New Roman" w:hAnsi="Arial" w:cs="Arial"/>
                <w:color w:val="000000"/>
                <w:sz w:val="20"/>
                <w:szCs w:val="20"/>
              </w:rPr>
            </w:pPr>
          </w:p>
        </w:tc>
        <w:tc>
          <w:tcPr>
            <w:tcW w:w="801" w:type="pct"/>
            <w:tcBorders>
              <w:top w:val="nil"/>
              <w:left w:val="nil"/>
              <w:bottom w:val="single" w:sz="4" w:space="0" w:color="auto"/>
              <w:right w:val="single" w:sz="4" w:space="0" w:color="auto"/>
            </w:tcBorders>
            <w:shd w:val="clear" w:color="auto" w:fill="auto"/>
            <w:vAlign w:val="center"/>
            <w:hideMark/>
          </w:tcPr>
          <w:p w14:paraId="20F96C75" w14:textId="77777777" w:rsidR="006B163D" w:rsidRPr="00504D41" w:rsidRDefault="006B163D" w:rsidP="00A2534A">
            <w:pPr>
              <w:spacing w:after="0" w:line="240" w:lineRule="auto"/>
              <w:ind w:right="-105"/>
              <w:rPr>
                <w:rFonts w:ascii="Arial" w:eastAsia="Times New Roman" w:hAnsi="Arial" w:cs="Arial"/>
                <w:color w:val="000000"/>
                <w:sz w:val="20"/>
                <w:szCs w:val="20"/>
              </w:rPr>
            </w:pPr>
            <w:r w:rsidRPr="00504D41">
              <w:rPr>
                <w:rFonts w:ascii="Arial" w:eastAsia="Times New Roman" w:hAnsi="Arial" w:cs="Arial"/>
                <w:color w:val="000000"/>
                <w:sz w:val="20"/>
                <w:szCs w:val="20"/>
              </w:rPr>
              <w:t>Guar gum</w:t>
            </w:r>
          </w:p>
        </w:tc>
        <w:tc>
          <w:tcPr>
            <w:tcW w:w="540" w:type="pct"/>
            <w:tcBorders>
              <w:top w:val="nil"/>
              <w:left w:val="nil"/>
              <w:bottom w:val="single" w:sz="4" w:space="0" w:color="auto"/>
              <w:right w:val="single" w:sz="4" w:space="0" w:color="auto"/>
            </w:tcBorders>
            <w:shd w:val="clear" w:color="auto" w:fill="auto"/>
            <w:vAlign w:val="center"/>
            <w:hideMark/>
          </w:tcPr>
          <w:p w14:paraId="1BC2859E" w14:textId="77777777" w:rsidR="006B163D" w:rsidRPr="00504D41" w:rsidRDefault="006B163D" w:rsidP="00645D90">
            <w:pPr>
              <w:spacing w:after="0" w:line="240" w:lineRule="auto"/>
              <w:ind w:left="-104" w:right="-90"/>
              <w:rPr>
                <w:rFonts w:ascii="Arial" w:eastAsia="Times New Roman" w:hAnsi="Arial" w:cs="Arial"/>
                <w:color w:val="000000"/>
                <w:sz w:val="20"/>
                <w:szCs w:val="20"/>
              </w:rPr>
            </w:pPr>
            <w:r w:rsidRPr="00504D41">
              <w:rPr>
                <w:rFonts w:ascii="Arial" w:eastAsia="Times New Roman" w:hAnsi="Arial" w:cs="Arial"/>
                <w:color w:val="000000"/>
                <w:sz w:val="20"/>
                <w:szCs w:val="20"/>
              </w:rPr>
              <w:t>C. tetragonoloba plant</w:t>
            </w:r>
          </w:p>
        </w:tc>
        <w:tc>
          <w:tcPr>
            <w:tcW w:w="576" w:type="pct"/>
            <w:tcBorders>
              <w:top w:val="nil"/>
              <w:left w:val="nil"/>
              <w:bottom w:val="single" w:sz="4" w:space="0" w:color="auto"/>
              <w:right w:val="single" w:sz="4" w:space="0" w:color="auto"/>
            </w:tcBorders>
            <w:shd w:val="clear" w:color="auto" w:fill="auto"/>
            <w:vAlign w:val="center"/>
            <w:hideMark/>
          </w:tcPr>
          <w:p w14:paraId="108CD252" w14:textId="77777777" w:rsidR="006B163D" w:rsidRPr="00504D41" w:rsidRDefault="006B163D" w:rsidP="00645D90">
            <w:pPr>
              <w:spacing w:after="0" w:line="240" w:lineRule="auto"/>
              <w:ind w:left="-29" w:right="-105"/>
              <w:rPr>
                <w:rFonts w:ascii="Arial" w:eastAsia="Times New Roman" w:hAnsi="Arial" w:cs="Arial"/>
                <w:color w:val="000000"/>
                <w:sz w:val="20"/>
                <w:szCs w:val="20"/>
              </w:rPr>
            </w:pPr>
            <w:r w:rsidRPr="00504D41">
              <w:rPr>
                <w:rFonts w:ascii="Arial" w:eastAsia="Times New Roman" w:hAnsi="Arial" w:cs="Arial"/>
                <w:color w:val="000000"/>
                <w:sz w:val="20"/>
                <w:szCs w:val="20"/>
              </w:rPr>
              <w:t>Extracted from guar seeds. Water and ethanol typically used during extraction. Acids typically used for separating seed hulls.</w:t>
            </w:r>
          </w:p>
        </w:tc>
        <w:tc>
          <w:tcPr>
            <w:tcW w:w="682" w:type="pct"/>
            <w:tcBorders>
              <w:top w:val="nil"/>
              <w:left w:val="nil"/>
              <w:bottom w:val="single" w:sz="4" w:space="0" w:color="auto"/>
              <w:right w:val="single" w:sz="4" w:space="0" w:color="auto"/>
            </w:tcBorders>
            <w:shd w:val="clear" w:color="auto" w:fill="auto"/>
            <w:vAlign w:val="center"/>
            <w:hideMark/>
          </w:tcPr>
          <w:p w14:paraId="056D580D" w14:textId="77777777" w:rsidR="006B163D" w:rsidRPr="00504D41" w:rsidRDefault="006B163D" w:rsidP="00645D90">
            <w:pPr>
              <w:spacing w:after="0" w:line="240" w:lineRule="auto"/>
              <w:ind w:right="-105"/>
              <w:rPr>
                <w:rFonts w:ascii="Arial" w:eastAsia="Times New Roman" w:hAnsi="Arial" w:cs="Arial"/>
                <w:color w:val="000000"/>
                <w:sz w:val="20"/>
                <w:szCs w:val="20"/>
              </w:rPr>
            </w:pPr>
            <w:r w:rsidRPr="00504D41">
              <w:rPr>
                <w:rFonts w:ascii="Arial" w:eastAsia="Times New Roman" w:hAnsi="Arial" w:cs="Arial"/>
                <w:color w:val="000000"/>
                <w:sz w:val="20"/>
                <w:szCs w:val="20"/>
              </w:rPr>
              <w:t>Water intensive.</w:t>
            </w:r>
          </w:p>
        </w:tc>
        <w:tc>
          <w:tcPr>
            <w:tcW w:w="675" w:type="pct"/>
            <w:tcBorders>
              <w:top w:val="nil"/>
              <w:left w:val="nil"/>
              <w:bottom w:val="single" w:sz="4" w:space="0" w:color="auto"/>
              <w:right w:val="single" w:sz="4" w:space="0" w:color="auto"/>
            </w:tcBorders>
            <w:shd w:val="clear" w:color="auto" w:fill="auto"/>
            <w:vAlign w:val="center"/>
            <w:hideMark/>
          </w:tcPr>
          <w:p w14:paraId="4ED7B068" w14:textId="77777777" w:rsidR="006B163D" w:rsidRPr="00504D41" w:rsidRDefault="006B163D" w:rsidP="00645D90">
            <w:pPr>
              <w:spacing w:after="0" w:line="240" w:lineRule="auto"/>
              <w:ind w:left="-104" w:right="-115"/>
              <w:rPr>
                <w:rFonts w:ascii="Arial" w:eastAsia="Times New Roman" w:hAnsi="Arial" w:cs="Arial"/>
                <w:color w:val="000000"/>
                <w:sz w:val="20"/>
                <w:szCs w:val="20"/>
              </w:rPr>
            </w:pPr>
            <w:r w:rsidRPr="00504D41">
              <w:rPr>
                <w:rFonts w:ascii="Arial" w:eastAsia="Times New Roman" w:hAnsi="Arial" w:cs="Arial"/>
                <w:color w:val="000000"/>
                <w:sz w:val="20"/>
                <w:szCs w:val="20"/>
              </w:rPr>
              <w:t>GRAS, FDA</w:t>
            </w:r>
            <w:r w:rsidRPr="00504D41">
              <w:rPr>
                <w:rFonts w:ascii="Arial" w:eastAsia="Times New Roman" w:hAnsi="Arial" w:cs="Arial"/>
                <w:color w:val="000000"/>
                <w:sz w:val="20"/>
                <w:szCs w:val="20"/>
              </w:rPr>
              <w:br/>
            </w:r>
            <w:r w:rsidR="001A197D" w:rsidRPr="00504D41">
              <w:rPr>
                <w:rFonts w:ascii="Arial" w:eastAsia="Times New Roman" w:hAnsi="Arial" w:cs="Arial"/>
                <w:color w:val="000000"/>
                <w:sz w:val="20"/>
                <w:szCs w:val="20"/>
              </w:rPr>
              <w:t>40 CFR 180 - pesticide tolerance exemption,</w:t>
            </w:r>
            <w:r w:rsidRPr="00504D41">
              <w:rPr>
                <w:rFonts w:ascii="Arial" w:eastAsia="Times New Roman" w:hAnsi="Arial" w:cs="Arial"/>
                <w:color w:val="000000"/>
                <w:sz w:val="20"/>
                <w:szCs w:val="20"/>
              </w:rPr>
              <w:br/>
            </w:r>
            <w:r w:rsidR="00932F14" w:rsidRPr="00504D41">
              <w:rPr>
                <w:rFonts w:ascii="Arial" w:eastAsia="Times New Roman" w:hAnsi="Arial" w:cs="Arial"/>
                <w:color w:val="000000"/>
                <w:sz w:val="20"/>
                <w:szCs w:val="20"/>
              </w:rPr>
              <w:t>Approved under 40 CFR 152.25 as an inert in exempted minimum risk pesticides</w:t>
            </w:r>
          </w:p>
        </w:tc>
        <w:tc>
          <w:tcPr>
            <w:tcW w:w="775" w:type="pct"/>
            <w:gridSpan w:val="2"/>
            <w:tcBorders>
              <w:top w:val="nil"/>
              <w:left w:val="nil"/>
              <w:bottom w:val="single" w:sz="4" w:space="0" w:color="auto"/>
              <w:right w:val="single" w:sz="4" w:space="0" w:color="auto"/>
            </w:tcBorders>
            <w:shd w:val="clear" w:color="auto" w:fill="auto"/>
            <w:vAlign w:val="center"/>
            <w:hideMark/>
          </w:tcPr>
          <w:p w14:paraId="43975CC6" w14:textId="77777777" w:rsidR="006B163D" w:rsidRPr="00504D41" w:rsidRDefault="006B163D" w:rsidP="00645D90">
            <w:pPr>
              <w:spacing w:after="0" w:line="240" w:lineRule="auto"/>
              <w:ind w:left="-104" w:right="-120"/>
              <w:rPr>
                <w:rFonts w:ascii="Arial" w:eastAsia="Times New Roman" w:hAnsi="Arial" w:cs="Arial"/>
                <w:color w:val="000000"/>
                <w:sz w:val="20"/>
                <w:szCs w:val="20"/>
              </w:rPr>
            </w:pPr>
            <w:r w:rsidRPr="00504D41">
              <w:rPr>
                <w:rFonts w:ascii="Arial" w:eastAsia="Times New Roman" w:hAnsi="Arial" w:cs="Arial"/>
                <w:color w:val="000000"/>
                <w:sz w:val="20"/>
                <w:szCs w:val="20"/>
              </w:rPr>
              <w:t>Biodegradable</w:t>
            </w:r>
          </w:p>
        </w:tc>
        <w:tc>
          <w:tcPr>
            <w:tcW w:w="729" w:type="pct"/>
            <w:gridSpan w:val="2"/>
            <w:tcBorders>
              <w:top w:val="nil"/>
              <w:left w:val="nil"/>
              <w:bottom w:val="single" w:sz="4" w:space="0" w:color="auto"/>
              <w:right w:val="single" w:sz="4" w:space="0" w:color="auto"/>
            </w:tcBorders>
            <w:shd w:val="clear" w:color="auto" w:fill="auto"/>
            <w:vAlign w:val="center"/>
            <w:hideMark/>
          </w:tcPr>
          <w:p w14:paraId="20CEED5A" w14:textId="77777777" w:rsidR="006B163D" w:rsidRPr="00504D41" w:rsidRDefault="006B163D" w:rsidP="006D54C2">
            <w:pPr>
              <w:spacing w:after="0" w:line="240" w:lineRule="auto"/>
              <w:ind w:left="-104" w:hanging="4"/>
              <w:rPr>
                <w:rFonts w:ascii="Arial" w:eastAsia="Times New Roman" w:hAnsi="Arial" w:cs="Arial"/>
                <w:color w:val="000000"/>
                <w:sz w:val="20"/>
                <w:szCs w:val="20"/>
              </w:rPr>
            </w:pPr>
            <w:r w:rsidRPr="00504D41">
              <w:rPr>
                <w:rFonts w:ascii="Arial" w:eastAsia="Times New Roman" w:hAnsi="Arial" w:cs="Arial"/>
                <w:color w:val="000000"/>
                <w:sz w:val="20"/>
                <w:szCs w:val="20"/>
              </w:rPr>
              <w:t>Discussed as a suitable coating material in patent literature</w:t>
            </w:r>
            <w:r w:rsidR="006D54C2" w:rsidRPr="00504D41">
              <w:rPr>
                <w:noProof/>
                <w:szCs w:val="24"/>
                <w:vertAlign w:val="superscript"/>
              </w:rPr>
              <w:t>94</w:t>
            </w:r>
            <w:r w:rsidRPr="00504D41">
              <w:rPr>
                <w:szCs w:val="24"/>
              </w:rPr>
              <w:t xml:space="preserve">, </w:t>
            </w:r>
            <w:r w:rsidR="006D54C2" w:rsidRPr="00504D41">
              <w:rPr>
                <w:noProof/>
                <w:szCs w:val="24"/>
                <w:vertAlign w:val="superscript"/>
              </w:rPr>
              <w:t>95</w:t>
            </w:r>
          </w:p>
        </w:tc>
      </w:tr>
      <w:tr w:rsidR="006A2649" w:rsidRPr="00504D41" w14:paraId="1824F05A" w14:textId="77777777" w:rsidTr="006A2649">
        <w:trPr>
          <w:gridAfter w:val="1"/>
          <w:wAfter w:w="6" w:type="pct"/>
          <w:trHeight w:val="1103"/>
          <w:jc w:val="center"/>
        </w:trPr>
        <w:tc>
          <w:tcPr>
            <w:tcW w:w="1017" w:type="pct"/>
            <w:gridSpan w:val="2"/>
            <w:tcBorders>
              <w:top w:val="nil"/>
              <w:left w:val="single" w:sz="4" w:space="0" w:color="auto"/>
              <w:bottom w:val="single" w:sz="4" w:space="0" w:color="auto"/>
              <w:right w:val="single" w:sz="4" w:space="0" w:color="auto"/>
            </w:tcBorders>
            <w:vAlign w:val="center"/>
          </w:tcPr>
          <w:p w14:paraId="318F6A00" w14:textId="77777777" w:rsidR="00521C89" w:rsidRPr="00504D41" w:rsidRDefault="00521C89" w:rsidP="00645D90">
            <w:pPr>
              <w:spacing w:after="0" w:line="240" w:lineRule="auto"/>
              <w:ind w:right="-105"/>
              <w:rPr>
                <w:rFonts w:ascii="Arial" w:eastAsia="Times New Roman" w:hAnsi="Arial" w:cs="Arial"/>
                <w:color w:val="000000"/>
                <w:sz w:val="20"/>
                <w:szCs w:val="20"/>
              </w:rPr>
            </w:pPr>
            <w:r w:rsidRPr="00504D41">
              <w:rPr>
                <w:rFonts w:ascii="Arial" w:eastAsia="Times New Roman" w:hAnsi="Arial" w:cs="Arial"/>
                <w:color w:val="000000"/>
                <w:sz w:val="20"/>
                <w:szCs w:val="20"/>
              </w:rPr>
              <w:lastRenderedPageBreak/>
              <w:t>Silk fibroin</w:t>
            </w:r>
          </w:p>
        </w:tc>
        <w:tc>
          <w:tcPr>
            <w:tcW w:w="540" w:type="pct"/>
            <w:tcBorders>
              <w:top w:val="nil"/>
              <w:left w:val="nil"/>
              <w:bottom w:val="single" w:sz="4" w:space="0" w:color="auto"/>
              <w:right w:val="single" w:sz="4" w:space="0" w:color="auto"/>
            </w:tcBorders>
            <w:shd w:val="clear" w:color="auto" w:fill="auto"/>
            <w:vAlign w:val="center"/>
          </w:tcPr>
          <w:p w14:paraId="65E2607C" w14:textId="77777777" w:rsidR="00521C89" w:rsidRPr="00504D41" w:rsidRDefault="00521C89" w:rsidP="00645D90">
            <w:pPr>
              <w:spacing w:after="0" w:line="240" w:lineRule="auto"/>
              <w:ind w:left="-104" w:right="-90"/>
              <w:rPr>
                <w:rFonts w:ascii="Arial" w:eastAsia="Times New Roman" w:hAnsi="Arial" w:cs="Arial"/>
                <w:color w:val="000000"/>
                <w:sz w:val="20"/>
                <w:szCs w:val="20"/>
              </w:rPr>
            </w:pPr>
          </w:p>
          <w:p w14:paraId="389C50C3" w14:textId="77777777" w:rsidR="00521C89" w:rsidRPr="00504D41" w:rsidRDefault="00521C89" w:rsidP="00645D90">
            <w:pPr>
              <w:spacing w:after="0" w:line="240" w:lineRule="auto"/>
              <w:ind w:left="-104" w:right="-90"/>
              <w:rPr>
                <w:rFonts w:ascii="Arial" w:eastAsia="Times New Roman" w:hAnsi="Arial" w:cs="Arial"/>
                <w:color w:val="000000"/>
                <w:sz w:val="20"/>
                <w:szCs w:val="20"/>
              </w:rPr>
            </w:pPr>
            <w:r w:rsidRPr="00504D41">
              <w:rPr>
                <w:rStyle w:val="Hyperlink"/>
                <w:rFonts w:ascii="Arial" w:hAnsi="Arial" w:cs="Arial"/>
                <w:color w:val="auto"/>
                <w:sz w:val="20"/>
                <w:szCs w:val="20"/>
                <w:u w:val="none"/>
              </w:rPr>
              <w:t xml:space="preserve">Silkworm </w:t>
            </w:r>
            <w:r w:rsidRPr="00504D41">
              <w:rPr>
                <w:rStyle w:val="Hyperlink"/>
                <w:rFonts w:ascii="Arial" w:hAnsi="Arial" w:cs="Arial"/>
                <w:i/>
                <w:iCs/>
                <w:color w:val="auto"/>
                <w:sz w:val="20"/>
                <w:szCs w:val="20"/>
                <w:u w:val="none"/>
              </w:rPr>
              <w:t>(Bombyx mori)</w:t>
            </w:r>
          </w:p>
        </w:tc>
        <w:tc>
          <w:tcPr>
            <w:tcW w:w="576" w:type="pct"/>
            <w:tcBorders>
              <w:top w:val="nil"/>
              <w:left w:val="nil"/>
              <w:bottom w:val="single" w:sz="4" w:space="0" w:color="auto"/>
              <w:right w:val="single" w:sz="4" w:space="0" w:color="auto"/>
            </w:tcBorders>
            <w:shd w:val="clear" w:color="auto" w:fill="auto"/>
            <w:vAlign w:val="center"/>
          </w:tcPr>
          <w:p w14:paraId="5FD308E7" w14:textId="77777777" w:rsidR="00521C89" w:rsidRPr="00504D41" w:rsidRDefault="00521C89" w:rsidP="00645D90">
            <w:pPr>
              <w:spacing w:after="0" w:line="240" w:lineRule="auto"/>
              <w:ind w:left="-29" w:right="-105"/>
              <w:rPr>
                <w:rFonts w:ascii="Arial" w:eastAsia="Times New Roman" w:hAnsi="Arial" w:cs="Arial"/>
                <w:color w:val="000000"/>
                <w:sz w:val="20"/>
                <w:szCs w:val="20"/>
              </w:rPr>
            </w:pPr>
            <w:r w:rsidRPr="00504D41">
              <w:rPr>
                <w:rFonts w:ascii="Arial" w:eastAsia="Times New Roman" w:hAnsi="Arial" w:cs="Arial"/>
                <w:color w:val="000000"/>
                <w:sz w:val="20"/>
                <w:szCs w:val="20"/>
              </w:rPr>
              <w:t xml:space="preserve">Typical extraction involves use of sodium carbonate and lithium bromide </w:t>
            </w:r>
          </w:p>
        </w:tc>
        <w:tc>
          <w:tcPr>
            <w:tcW w:w="682" w:type="pct"/>
            <w:tcBorders>
              <w:top w:val="nil"/>
              <w:left w:val="nil"/>
              <w:bottom w:val="single" w:sz="4" w:space="0" w:color="auto"/>
              <w:right w:val="single" w:sz="4" w:space="0" w:color="auto"/>
            </w:tcBorders>
            <w:shd w:val="clear" w:color="auto" w:fill="auto"/>
            <w:vAlign w:val="center"/>
          </w:tcPr>
          <w:p w14:paraId="3E096B5F" w14:textId="77777777" w:rsidR="00521C89" w:rsidRPr="00504D41" w:rsidRDefault="00521C89" w:rsidP="00645D90">
            <w:pPr>
              <w:spacing w:after="0" w:line="240" w:lineRule="auto"/>
              <w:ind w:right="-105"/>
              <w:rPr>
                <w:rFonts w:ascii="Arial" w:eastAsia="Times New Roman" w:hAnsi="Arial" w:cs="Arial"/>
                <w:color w:val="000000"/>
                <w:sz w:val="20"/>
                <w:szCs w:val="20"/>
              </w:rPr>
            </w:pPr>
            <w:r w:rsidRPr="00504D41">
              <w:rPr>
                <w:rFonts w:ascii="Arial" w:eastAsia="Times New Roman" w:hAnsi="Arial" w:cs="Arial"/>
                <w:color w:val="000000"/>
                <w:sz w:val="20"/>
                <w:szCs w:val="20"/>
              </w:rPr>
              <w:t>Water and energy intensive</w:t>
            </w:r>
          </w:p>
        </w:tc>
        <w:tc>
          <w:tcPr>
            <w:tcW w:w="675" w:type="pct"/>
            <w:tcBorders>
              <w:top w:val="nil"/>
              <w:left w:val="nil"/>
              <w:bottom w:val="single" w:sz="4" w:space="0" w:color="auto"/>
              <w:right w:val="single" w:sz="4" w:space="0" w:color="auto"/>
            </w:tcBorders>
            <w:shd w:val="clear" w:color="auto" w:fill="auto"/>
            <w:vAlign w:val="center"/>
          </w:tcPr>
          <w:p w14:paraId="0A68F31B" w14:textId="77777777" w:rsidR="00521C89" w:rsidRPr="00504D41" w:rsidRDefault="00521C89" w:rsidP="00645D90">
            <w:pPr>
              <w:spacing w:after="0" w:line="240" w:lineRule="auto"/>
              <w:ind w:left="-104" w:right="-115"/>
              <w:jc w:val="center"/>
              <w:rPr>
                <w:rFonts w:ascii="Arial" w:eastAsia="Times New Roman" w:hAnsi="Arial" w:cs="Arial"/>
                <w:color w:val="000000"/>
                <w:sz w:val="20"/>
                <w:szCs w:val="20"/>
              </w:rPr>
            </w:pPr>
            <w:r w:rsidRPr="00504D41">
              <w:rPr>
                <w:rFonts w:ascii="Arial" w:eastAsia="Times New Roman" w:hAnsi="Arial" w:cs="Arial"/>
                <w:color w:val="000000"/>
                <w:sz w:val="20"/>
                <w:szCs w:val="20"/>
              </w:rPr>
              <w:t>NA</w:t>
            </w:r>
          </w:p>
        </w:tc>
        <w:tc>
          <w:tcPr>
            <w:tcW w:w="775" w:type="pct"/>
            <w:gridSpan w:val="2"/>
            <w:tcBorders>
              <w:top w:val="nil"/>
              <w:left w:val="nil"/>
              <w:bottom w:val="single" w:sz="4" w:space="0" w:color="auto"/>
              <w:right w:val="single" w:sz="4" w:space="0" w:color="auto"/>
            </w:tcBorders>
            <w:shd w:val="clear" w:color="auto" w:fill="auto"/>
            <w:vAlign w:val="center"/>
          </w:tcPr>
          <w:p w14:paraId="7743133E" w14:textId="77777777" w:rsidR="00521C89" w:rsidRPr="00504D41" w:rsidRDefault="00521C89" w:rsidP="00645D90">
            <w:pPr>
              <w:spacing w:after="0" w:line="240" w:lineRule="auto"/>
              <w:ind w:left="-104" w:right="-120"/>
              <w:rPr>
                <w:rFonts w:ascii="Arial" w:eastAsia="Times New Roman" w:hAnsi="Arial" w:cs="Arial"/>
                <w:color w:val="000000"/>
                <w:sz w:val="20"/>
                <w:szCs w:val="20"/>
              </w:rPr>
            </w:pPr>
            <w:r w:rsidRPr="00504D41">
              <w:rPr>
                <w:rFonts w:ascii="Arial" w:eastAsia="Times New Roman" w:hAnsi="Arial" w:cs="Arial"/>
                <w:color w:val="000000"/>
                <w:sz w:val="20"/>
                <w:szCs w:val="20"/>
              </w:rPr>
              <w:t>Biodegradable</w:t>
            </w:r>
          </w:p>
        </w:tc>
        <w:tc>
          <w:tcPr>
            <w:tcW w:w="729" w:type="pct"/>
            <w:gridSpan w:val="2"/>
            <w:tcBorders>
              <w:top w:val="nil"/>
              <w:left w:val="nil"/>
              <w:bottom w:val="single" w:sz="4" w:space="0" w:color="auto"/>
              <w:right w:val="single" w:sz="4" w:space="0" w:color="auto"/>
            </w:tcBorders>
            <w:shd w:val="clear" w:color="auto" w:fill="auto"/>
            <w:vAlign w:val="center"/>
          </w:tcPr>
          <w:p w14:paraId="634639D1" w14:textId="77777777" w:rsidR="00521C89" w:rsidRPr="00504D41" w:rsidRDefault="00521C89" w:rsidP="00645D90">
            <w:pPr>
              <w:spacing w:after="0" w:line="240" w:lineRule="auto"/>
              <w:ind w:left="-104" w:hanging="4"/>
              <w:rPr>
                <w:rFonts w:ascii="Arial" w:eastAsia="Times New Roman" w:hAnsi="Arial" w:cs="Arial"/>
                <w:color w:val="000000"/>
                <w:sz w:val="20"/>
                <w:szCs w:val="20"/>
              </w:rPr>
            </w:pPr>
            <w:r w:rsidRPr="00504D41">
              <w:rPr>
                <w:rFonts w:ascii="Arial" w:eastAsia="Times New Roman" w:hAnsi="Arial" w:cs="Arial"/>
                <w:color w:val="000000"/>
                <w:sz w:val="20"/>
                <w:szCs w:val="20"/>
              </w:rPr>
              <w:t>Used as PGPM inoculant carrier in multilayered seed coatings. Performance verified through field trials at water stress conditions.</w:t>
            </w:r>
          </w:p>
        </w:tc>
      </w:tr>
      <w:tr w:rsidR="006A2649" w:rsidRPr="00504D41" w14:paraId="5F969756" w14:textId="77777777" w:rsidTr="00645D90">
        <w:trPr>
          <w:gridAfter w:val="1"/>
          <w:wAfter w:w="6" w:type="pct"/>
          <w:trHeight w:val="1103"/>
          <w:jc w:val="center"/>
        </w:trPr>
        <w:tc>
          <w:tcPr>
            <w:tcW w:w="216" w:type="pct"/>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14:paraId="5C2575F9" w14:textId="77777777" w:rsidR="006B163D" w:rsidRPr="00504D41" w:rsidRDefault="006B163D" w:rsidP="00652513">
            <w:pPr>
              <w:spacing w:after="0" w:line="240" w:lineRule="auto"/>
              <w:jc w:val="center"/>
              <w:rPr>
                <w:rFonts w:ascii="Arial" w:eastAsia="Times New Roman" w:hAnsi="Arial" w:cs="Arial"/>
                <w:color w:val="000000"/>
                <w:sz w:val="20"/>
                <w:szCs w:val="20"/>
              </w:rPr>
            </w:pPr>
            <w:r w:rsidRPr="00504D41">
              <w:rPr>
                <w:rFonts w:ascii="Arial" w:eastAsia="Times New Roman" w:hAnsi="Arial" w:cs="Arial"/>
                <w:color w:val="000000"/>
                <w:sz w:val="20"/>
                <w:szCs w:val="20"/>
              </w:rPr>
              <w:t>Nanofibers</w:t>
            </w:r>
          </w:p>
        </w:tc>
        <w:tc>
          <w:tcPr>
            <w:tcW w:w="801" w:type="pct"/>
            <w:tcBorders>
              <w:top w:val="nil"/>
              <w:left w:val="nil"/>
              <w:bottom w:val="single" w:sz="4" w:space="0" w:color="auto"/>
              <w:right w:val="single" w:sz="4" w:space="0" w:color="auto"/>
            </w:tcBorders>
            <w:shd w:val="clear" w:color="auto" w:fill="auto"/>
            <w:noWrap/>
            <w:vAlign w:val="center"/>
            <w:hideMark/>
          </w:tcPr>
          <w:p w14:paraId="242BC406" w14:textId="77777777" w:rsidR="006B163D" w:rsidRPr="00504D41" w:rsidRDefault="006B163D" w:rsidP="00645D90">
            <w:pPr>
              <w:spacing w:after="0" w:line="240" w:lineRule="auto"/>
              <w:ind w:right="-105"/>
              <w:rPr>
                <w:rFonts w:ascii="Arial" w:eastAsia="Times New Roman" w:hAnsi="Arial" w:cs="Arial"/>
                <w:color w:val="000000"/>
                <w:sz w:val="20"/>
                <w:szCs w:val="20"/>
              </w:rPr>
            </w:pPr>
            <w:r w:rsidRPr="00504D41">
              <w:rPr>
                <w:rFonts w:ascii="Arial" w:eastAsia="Times New Roman" w:hAnsi="Arial" w:cs="Arial"/>
                <w:color w:val="000000"/>
                <w:sz w:val="20"/>
                <w:szCs w:val="20"/>
              </w:rPr>
              <w:t>PVA</w:t>
            </w:r>
          </w:p>
        </w:tc>
        <w:tc>
          <w:tcPr>
            <w:tcW w:w="540" w:type="pct"/>
            <w:tcBorders>
              <w:top w:val="nil"/>
              <w:left w:val="nil"/>
              <w:bottom w:val="single" w:sz="4" w:space="0" w:color="auto"/>
              <w:right w:val="single" w:sz="4" w:space="0" w:color="auto"/>
            </w:tcBorders>
            <w:shd w:val="clear" w:color="000000" w:fill="FFFFFF"/>
            <w:vAlign w:val="center"/>
            <w:hideMark/>
          </w:tcPr>
          <w:p w14:paraId="3E0BE99B" w14:textId="77777777" w:rsidR="006B163D" w:rsidRPr="00504D41" w:rsidRDefault="006B163D" w:rsidP="00645D90">
            <w:pPr>
              <w:spacing w:after="0" w:line="240" w:lineRule="auto"/>
              <w:ind w:left="-104" w:right="-90"/>
              <w:rPr>
                <w:rFonts w:ascii="Arial" w:eastAsia="Times New Roman" w:hAnsi="Arial" w:cs="Arial"/>
                <w:color w:val="000000"/>
                <w:sz w:val="20"/>
                <w:szCs w:val="20"/>
              </w:rPr>
            </w:pPr>
            <w:r w:rsidRPr="00504D41">
              <w:rPr>
                <w:rFonts w:ascii="Arial" w:eastAsia="Times New Roman" w:hAnsi="Arial" w:cs="Arial"/>
                <w:color w:val="000000"/>
                <w:sz w:val="20"/>
                <w:szCs w:val="20"/>
              </w:rPr>
              <w:t>Fossil fuel</w:t>
            </w:r>
          </w:p>
        </w:tc>
        <w:tc>
          <w:tcPr>
            <w:tcW w:w="576" w:type="pct"/>
            <w:tcBorders>
              <w:top w:val="nil"/>
              <w:left w:val="nil"/>
              <w:bottom w:val="single" w:sz="4" w:space="0" w:color="auto"/>
              <w:right w:val="single" w:sz="4" w:space="0" w:color="auto"/>
            </w:tcBorders>
            <w:shd w:val="clear" w:color="000000" w:fill="FFFFFF"/>
            <w:vAlign w:val="center"/>
            <w:hideMark/>
          </w:tcPr>
          <w:p w14:paraId="6A0DA776" w14:textId="77777777" w:rsidR="006B163D" w:rsidRPr="00504D41" w:rsidRDefault="006B163D" w:rsidP="00645D90">
            <w:pPr>
              <w:spacing w:after="0" w:line="240" w:lineRule="auto"/>
              <w:ind w:left="-29" w:right="-105"/>
              <w:rPr>
                <w:rFonts w:ascii="Arial" w:eastAsia="Times New Roman" w:hAnsi="Arial" w:cs="Arial"/>
                <w:color w:val="000000"/>
                <w:sz w:val="20"/>
                <w:szCs w:val="20"/>
              </w:rPr>
            </w:pPr>
            <w:r w:rsidRPr="00504D41">
              <w:rPr>
                <w:rFonts w:ascii="Arial" w:eastAsia="Times New Roman" w:hAnsi="Arial" w:cs="Arial"/>
                <w:color w:val="000000"/>
                <w:sz w:val="20"/>
                <w:szCs w:val="20"/>
              </w:rPr>
              <w:t>Water used as electrospinning solvent</w:t>
            </w:r>
          </w:p>
        </w:tc>
        <w:tc>
          <w:tcPr>
            <w:tcW w:w="682" w:type="pct"/>
            <w:vMerge w:val="restart"/>
            <w:tcBorders>
              <w:top w:val="nil"/>
              <w:left w:val="single" w:sz="4" w:space="0" w:color="auto"/>
              <w:bottom w:val="single" w:sz="4" w:space="0" w:color="auto"/>
              <w:right w:val="single" w:sz="4" w:space="0" w:color="auto"/>
            </w:tcBorders>
            <w:shd w:val="clear" w:color="000000" w:fill="FFFFFF"/>
            <w:vAlign w:val="center"/>
            <w:hideMark/>
          </w:tcPr>
          <w:p w14:paraId="28DE5700" w14:textId="77777777" w:rsidR="006B163D" w:rsidRPr="00504D41" w:rsidRDefault="006B163D" w:rsidP="009644E3">
            <w:pPr>
              <w:spacing w:after="0" w:line="240" w:lineRule="auto"/>
              <w:ind w:right="-105"/>
              <w:rPr>
                <w:rFonts w:ascii="Arial" w:eastAsia="Times New Roman" w:hAnsi="Arial" w:cs="Arial"/>
                <w:color w:val="000000"/>
                <w:sz w:val="20"/>
                <w:szCs w:val="20"/>
              </w:rPr>
            </w:pPr>
            <w:r w:rsidRPr="00504D41">
              <w:rPr>
                <w:rFonts w:ascii="Arial" w:eastAsia="Times New Roman" w:hAnsi="Arial" w:cs="Arial"/>
                <w:color w:val="000000"/>
                <w:sz w:val="20"/>
                <w:szCs w:val="20"/>
              </w:rPr>
              <w:t>Energy intensive due to high voltage source required</w:t>
            </w:r>
          </w:p>
        </w:tc>
        <w:tc>
          <w:tcPr>
            <w:tcW w:w="675" w:type="pct"/>
            <w:tcBorders>
              <w:top w:val="nil"/>
              <w:left w:val="nil"/>
              <w:bottom w:val="single" w:sz="4" w:space="0" w:color="auto"/>
              <w:right w:val="single" w:sz="4" w:space="0" w:color="auto"/>
            </w:tcBorders>
            <w:shd w:val="clear" w:color="auto" w:fill="auto"/>
            <w:vAlign w:val="center"/>
            <w:hideMark/>
          </w:tcPr>
          <w:p w14:paraId="74BC5B83" w14:textId="77777777" w:rsidR="006B163D" w:rsidRPr="00504D41" w:rsidRDefault="001A197D" w:rsidP="009644E3">
            <w:pPr>
              <w:spacing w:after="0" w:line="240" w:lineRule="auto"/>
              <w:ind w:left="-104" w:right="-115"/>
              <w:rPr>
                <w:rFonts w:ascii="Arial" w:eastAsia="Times New Roman" w:hAnsi="Arial" w:cs="Arial"/>
                <w:color w:val="000000"/>
                <w:sz w:val="20"/>
                <w:szCs w:val="20"/>
              </w:rPr>
            </w:pPr>
            <w:r w:rsidRPr="00504D41">
              <w:rPr>
                <w:rFonts w:ascii="Arial" w:eastAsia="Times New Roman" w:hAnsi="Arial" w:cs="Arial"/>
                <w:color w:val="000000"/>
                <w:sz w:val="20"/>
                <w:szCs w:val="20"/>
              </w:rPr>
              <w:t>40 CFR 180 - pesticide tolerance exemption</w:t>
            </w:r>
          </w:p>
        </w:tc>
        <w:tc>
          <w:tcPr>
            <w:tcW w:w="775" w:type="pct"/>
            <w:gridSpan w:val="2"/>
            <w:tcBorders>
              <w:top w:val="nil"/>
              <w:left w:val="nil"/>
              <w:bottom w:val="single" w:sz="4" w:space="0" w:color="auto"/>
              <w:right w:val="single" w:sz="4" w:space="0" w:color="auto"/>
            </w:tcBorders>
            <w:shd w:val="clear" w:color="auto" w:fill="auto"/>
            <w:vAlign w:val="center"/>
            <w:hideMark/>
          </w:tcPr>
          <w:p w14:paraId="790F997C" w14:textId="77777777" w:rsidR="006B163D" w:rsidRPr="00504D41" w:rsidRDefault="006B163D" w:rsidP="009644E3">
            <w:pPr>
              <w:spacing w:after="0" w:line="240" w:lineRule="auto"/>
              <w:ind w:left="-104" w:right="-120"/>
              <w:rPr>
                <w:rFonts w:ascii="Arial" w:eastAsia="Times New Roman" w:hAnsi="Arial" w:cs="Arial"/>
                <w:color w:val="000000"/>
                <w:sz w:val="20"/>
                <w:szCs w:val="20"/>
              </w:rPr>
            </w:pPr>
            <w:r w:rsidRPr="00504D41">
              <w:rPr>
                <w:rFonts w:ascii="Arial" w:eastAsia="Times New Roman" w:hAnsi="Arial" w:cs="Arial"/>
                <w:color w:val="000000"/>
                <w:sz w:val="20"/>
                <w:szCs w:val="20"/>
              </w:rPr>
              <w:t>Biodegradable</w:t>
            </w:r>
          </w:p>
        </w:tc>
        <w:tc>
          <w:tcPr>
            <w:tcW w:w="729" w:type="pct"/>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668035A3" w14:textId="77777777" w:rsidR="006B163D" w:rsidRPr="00504D41" w:rsidRDefault="006B163D" w:rsidP="006D54C2">
            <w:pPr>
              <w:spacing w:after="0" w:line="240" w:lineRule="auto"/>
              <w:ind w:left="-104" w:hanging="4"/>
              <w:rPr>
                <w:rFonts w:ascii="Arial" w:eastAsia="Times New Roman" w:hAnsi="Arial" w:cs="Arial"/>
                <w:color w:val="000000"/>
                <w:sz w:val="20"/>
                <w:szCs w:val="20"/>
              </w:rPr>
            </w:pPr>
            <w:r w:rsidRPr="00504D41">
              <w:rPr>
                <w:rFonts w:ascii="Arial" w:eastAsia="Times New Roman" w:hAnsi="Arial" w:cs="Arial"/>
                <w:color w:val="000000"/>
                <w:sz w:val="20"/>
                <w:szCs w:val="20"/>
              </w:rPr>
              <w:t>Used as a carrier for PGPM</w:t>
            </w:r>
            <w:r w:rsidR="006D54C2" w:rsidRPr="00504D41">
              <w:rPr>
                <w:noProof/>
                <w:szCs w:val="24"/>
                <w:shd w:val="clear" w:color="auto" w:fill="FFFFFF"/>
                <w:vertAlign w:val="superscript"/>
              </w:rPr>
              <w:t>101</w:t>
            </w:r>
            <w:r w:rsidRPr="00504D41">
              <w:rPr>
                <w:rFonts w:ascii="Arial" w:eastAsia="Times New Roman" w:hAnsi="Arial" w:cs="Arial"/>
                <w:color w:val="000000"/>
                <w:sz w:val="20"/>
                <w:szCs w:val="20"/>
              </w:rPr>
              <w:t>,</w:t>
            </w:r>
            <w:r w:rsidRPr="00504D41">
              <w:rPr>
                <w:szCs w:val="24"/>
                <w:shd w:val="clear" w:color="auto" w:fill="FFFFFF"/>
              </w:rPr>
              <w:t xml:space="preserve"> </w:t>
            </w:r>
            <w:r w:rsidR="006D54C2" w:rsidRPr="00504D41">
              <w:rPr>
                <w:noProof/>
                <w:szCs w:val="24"/>
                <w:shd w:val="clear" w:color="auto" w:fill="FFFFFF"/>
                <w:vertAlign w:val="superscript"/>
              </w:rPr>
              <w:t>57</w:t>
            </w:r>
            <w:r w:rsidRPr="00504D41">
              <w:rPr>
                <w:szCs w:val="24"/>
                <w:shd w:val="clear" w:color="auto" w:fill="FFFFFF"/>
              </w:rPr>
              <w:t>,</w:t>
            </w:r>
            <w:r w:rsidR="006D54C2" w:rsidRPr="00504D41">
              <w:rPr>
                <w:noProof/>
                <w:szCs w:val="24"/>
                <w:shd w:val="clear" w:color="auto" w:fill="FFFFFF"/>
                <w:vertAlign w:val="superscript"/>
              </w:rPr>
              <w:t>58</w:t>
            </w:r>
            <w:r w:rsidRPr="00504D41">
              <w:rPr>
                <w:rFonts w:ascii="Arial" w:eastAsia="Times New Roman" w:hAnsi="Arial" w:cs="Arial"/>
                <w:color w:val="000000"/>
                <w:sz w:val="20"/>
                <w:szCs w:val="20"/>
              </w:rPr>
              <w:t xml:space="preserve"> fertilizer</w:t>
            </w:r>
            <w:r w:rsidR="006D54C2" w:rsidRPr="00504D41">
              <w:rPr>
                <w:noProof/>
                <w:szCs w:val="24"/>
                <w:vertAlign w:val="superscript"/>
              </w:rPr>
              <w:t>103</w:t>
            </w:r>
            <w:r w:rsidRPr="00504D41">
              <w:rPr>
                <w:szCs w:val="24"/>
              </w:rPr>
              <w:t>,</w:t>
            </w:r>
            <w:r w:rsidRPr="00504D41">
              <w:rPr>
                <w:szCs w:val="24"/>
                <w:shd w:val="clear" w:color="auto" w:fill="FFFFFF"/>
              </w:rPr>
              <w:t xml:space="preserve"> </w:t>
            </w:r>
            <w:r w:rsidR="006D54C2" w:rsidRPr="00504D41">
              <w:rPr>
                <w:noProof/>
                <w:szCs w:val="24"/>
                <w:shd w:val="clear" w:color="auto" w:fill="FFFFFF"/>
                <w:vertAlign w:val="superscript"/>
              </w:rPr>
              <w:t>104</w:t>
            </w:r>
            <w:r w:rsidRPr="00504D41">
              <w:rPr>
                <w:rFonts w:ascii="Arial" w:eastAsia="Times New Roman" w:hAnsi="Arial" w:cs="Arial"/>
                <w:color w:val="000000"/>
                <w:sz w:val="20"/>
                <w:szCs w:val="20"/>
              </w:rPr>
              <w:t xml:space="preserve"> and fungicide</w:t>
            </w:r>
            <w:r w:rsidR="006D54C2" w:rsidRPr="00504D41">
              <w:rPr>
                <w:noProof/>
                <w:szCs w:val="24"/>
                <w:vertAlign w:val="superscript"/>
              </w:rPr>
              <w:t>102</w:t>
            </w:r>
            <w:r w:rsidRPr="00504D41">
              <w:rPr>
                <w:szCs w:val="24"/>
              </w:rPr>
              <w:t>,</w:t>
            </w:r>
            <w:r w:rsidRPr="00504D41">
              <w:rPr>
                <w:szCs w:val="24"/>
                <w:shd w:val="clear" w:color="auto" w:fill="FFFFFF"/>
              </w:rPr>
              <w:t xml:space="preserve"> </w:t>
            </w:r>
            <w:r w:rsidR="006D54C2" w:rsidRPr="00504D41">
              <w:rPr>
                <w:noProof/>
                <w:szCs w:val="24"/>
                <w:shd w:val="clear" w:color="auto" w:fill="FFFFFF"/>
                <w:vertAlign w:val="superscript"/>
              </w:rPr>
              <w:t>106</w:t>
            </w:r>
            <w:r w:rsidRPr="00504D41">
              <w:rPr>
                <w:rFonts w:ascii="Arial" w:eastAsia="Times New Roman" w:hAnsi="Arial" w:cs="Arial"/>
                <w:color w:val="000000"/>
                <w:sz w:val="20"/>
                <w:szCs w:val="20"/>
              </w:rPr>
              <w:t xml:space="preserve"> to achieve targeted delivery. Performance verified through greenhouse and germination trials.</w:t>
            </w:r>
          </w:p>
        </w:tc>
      </w:tr>
      <w:tr w:rsidR="006A2649" w:rsidRPr="00504D41" w14:paraId="4FA8047F" w14:textId="77777777" w:rsidTr="00645D90">
        <w:trPr>
          <w:gridAfter w:val="1"/>
          <w:wAfter w:w="6" w:type="pct"/>
          <w:trHeight w:val="1103"/>
          <w:jc w:val="center"/>
        </w:trPr>
        <w:tc>
          <w:tcPr>
            <w:tcW w:w="216" w:type="pct"/>
            <w:vMerge/>
            <w:tcBorders>
              <w:top w:val="nil"/>
              <w:left w:val="single" w:sz="4" w:space="0" w:color="auto"/>
              <w:bottom w:val="single" w:sz="4" w:space="0" w:color="auto"/>
              <w:right w:val="single" w:sz="4" w:space="0" w:color="auto"/>
            </w:tcBorders>
            <w:vAlign w:val="center"/>
            <w:hideMark/>
          </w:tcPr>
          <w:p w14:paraId="2F38B860" w14:textId="77777777" w:rsidR="006B163D" w:rsidRPr="00504D41" w:rsidRDefault="006B163D" w:rsidP="00652513">
            <w:pPr>
              <w:spacing w:after="0" w:line="240" w:lineRule="auto"/>
              <w:rPr>
                <w:rFonts w:ascii="Arial" w:eastAsia="Times New Roman" w:hAnsi="Arial" w:cs="Arial"/>
                <w:color w:val="000000"/>
                <w:sz w:val="20"/>
                <w:szCs w:val="20"/>
              </w:rPr>
            </w:pPr>
          </w:p>
        </w:tc>
        <w:tc>
          <w:tcPr>
            <w:tcW w:w="801" w:type="pct"/>
            <w:tcBorders>
              <w:top w:val="nil"/>
              <w:left w:val="nil"/>
              <w:bottom w:val="single" w:sz="4" w:space="0" w:color="auto"/>
              <w:right w:val="single" w:sz="4" w:space="0" w:color="auto"/>
            </w:tcBorders>
            <w:shd w:val="clear" w:color="auto" w:fill="auto"/>
            <w:noWrap/>
            <w:vAlign w:val="center"/>
            <w:hideMark/>
          </w:tcPr>
          <w:p w14:paraId="2E061790" w14:textId="77777777" w:rsidR="006B163D" w:rsidRPr="00504D41" w:rsidRDefault="006B163D" w:rsidP="006D60EC">
            <w:pPr>
              <w:spacing w:after="0" w:line="240" w:lineRule="auto"/>
              <w:ind w:right="-105"/>
              <w:rPr>
                <w:rFonts w:ascii="Arial" w:eastAsia="Times New Roman" w:hAnsi="Arial" w:cs="Arial"/>
                <w:color w:val="000000"/>
                <w:sz w:val="20"/>
                <w:szCs w:val="20"/>
              </w:rPr>
            </w:pPr>
            <w:r w:rsidRPr="00504D41">
              <w:rPr>
                <w:rFonts w:ascii="Arial" w:eastAsia="Times New Roman" w:hAnsi="Arial" w:cs="Arial"/>
                <w:color w:val="000000"/>
                <w:sz w:val="20"/>
                <w:szCs w:val="20"/>
              </w:rPr>
              <w:t>Ethyl cellulose</w:t>
            </w:r>
          </w:p>
        </w:tc>
        <w:tc>
          <w:tcPr>
            <w:tcW w:w="540" w:type="pct"/>
            <w:tcBorders>
              <w:top w:val="nil"/>
              <w:left w:val="nil"/>
              <w:bottom w:val="single" w:sz="4" w:space="0" w:color="auto"/>
              <w:right w:val="single" w:sz="4" w:space="0" w:color="auto"/>
            </w:tcBorders>
            <w:shd w:val="clear" w:color="000000" w:fill="FFFFFF"/>
            <w:vAlign w:val="center"/>
            <w:hideMark/>
          </w:tcPr>
          <w:p w14:paraId="3AC2BD3D" w14:textId="77777777" w:rsidR="006B163D" w:rsidRPr="00504D41" w:rsidRDefault="006B163D" w:rsidP="003845F0">
            <w:pPr>
              <w:spacing w:after="0" w:line="240" w:lineRule="auto"/>
              <w:ind w:left="-104" w:right="-90"/>
              <w:rPr>
                <w:rFonts w:ascii="Arial" w:eastAsia="Times New Roman" w:hAnsi="Arial" w:cs="Arial"/>
                <w:color w:val="000000"/>
                <w:sz w:val="20"/>
                <w:szCs w:val="20"/>
              </w:rPr>
            </w:pPr>
            <w:r w:rsidRPr="00504D41">
              <w:rPr>
                <w:rFonts w:ascii="Arial" w:eastAsia="Times New Roman" w:hAnsi="Arial" w:cs="Arial"/>
                <w:color w:val="000000"/>
                <w:sz w:val="20"/>
                <w:szCs w:val="20"/>
              </w:rPr>
              <w:t>Plants</w:t>
            </w:r>
          </w:p>
        </w:tc>
        <w:tc>
          <w:tcPr>
            <w:tcW w:w="576" w:type="pct"/>
            <w:tcBorders>
              <w:top w:val="nil"/>
              <w:left w:val="nil"/>
              <w:bottom w:val="single" w:sz="4" w:space="0" w:color="auto"/>
              <w:right w:val="single" w:sz="4" w:space="0" w:color="auto"/>
            </w:tcBorders>
            <w:shd w:val="clear" w:color="000000" w:fill="FFFFFF"/>
            <w:vAlign w:val="center"/>
            <w:hideMark/>
          </w:tcPr>
          <w:p w14:paraId="5BE2A367" w14:textId="77777777" w:rsidR="006B163D" w:rsidRPr="00504D41" w:rsidRDefault="006B163D" w:rsidP="003845F0">
            <w:pPr>
              <w:spacing w:after="0" w:line="240" w:lineRule="auto"/>
              <w:ind w:left="-29" w:right="-105"/>
              <w:rPr>
                <w:rFonts w:ascii="Arial" w:eastAsia="Times New Roman" w:hAnsi="Arial" w:cs="Arial"/>
                <w:color w:val="000000"/>
                <w:sz w:val="20"/>
                <w:szCs w:val="20"/>
              </w:rPr>
            </w:pPr>
            <w:r w:rsidRPr="00504D41">
              <w:rPr>
                <w:rFonts w:ascii="Arial" w:eastAsia="Times New Roman" w:hAnsi="Arial" w:cs="Arial"/>
                <w:color w:val="000000"/>
                <w:sz w:val="20"/>
                <w:szCs w:val="20"/>
              </w:rPr>
              <w:t>toxic electrospinning solvents dichloromethane,</w:t>
            </w:r>
            <w:r w:rsidRPr="00504D41">
              <w:rPr>
                <w:rFonts w:ascii="Arial" w:eastAsia="Times New Roman" w:hAnsi="Arial" w:cs="Arial"/>
                <w:color w:val="000000"/>
                <w:sz w:val="20"/>
                <w:szCs w:val="20"/>
              </w:rPr>
              <w:br/>
              <w:t xml:space="preserve">ethanol, N,N-dimethyl formamide </w:t>
            </w:r>
          </w:p>
        </w:tc>
        <w:tc>
          <w:tcPr>
            <w:tcW w:w="682" w:type="pct"/>
            <w:vMerge/>
            <w:tcBorders>
              <w:top w:val="nil"/>
              <w:left w:val="single" w:sz="4" w:space="0" w:color="auto"/>
              <w:bottom w:val="single" w:sz="4" w:space="0" w:color="auto"/>
              <w:right w:val="single" w:sz="4" w:space="0" w:color="auto"/>
            </w:tcBorders>
            <w:vAlign w:val="center"/>
            <w:hideMark/>
          </w:tcPr>
          <w:p w14:paraId="20A382E2" w14:textId="77777777" w:rsidR="006B163D" w:rsidRPr="00504D41" w:rsidRDefault="006B163D" w:rsidP="003845F0">
            <w:pPr>
              <w:spacing w:after="0" w:line="240" w:lineRule="auto"/>
              <w:ind w:right="-105"/>
              <w:rPr>
                <w:rFonts w:ascii="Arial" w:eastAsia="Times New Roman" w:hAnsi="Arial" w:cs="Arial"/>
                <w:color w:val="000000"/>
                <w:sz w:val="20"/>
                <w:szCs w:val="20"/>
              </w:rPr>
            </w:pPr>
          </w:p>
        </w:tc>
        <w:tc>
          <w:tcPr>
            <w:tcW w:w="675" w:type="pct"/>
            <w:tcBorders>
              <w:top w:val="nil"/>
              <w:left w:val="nil"/>
              <w:bottom w:val="single" w:sz="4" w:space="0" w:color="auto"/>
              <w:right w:val="single" w:sz="4" w:space="0" w:color="auto"/>
            </w:tcBorders>
            <w:shd w:val="clear" w:color="000000" w:fill="FFFFFF"/>
            <w:vAlign w:val="center"/>
            <w:hideMark/>
          </w:tcPr>
          <w:p w14:paraId="3BE0D11F" w14:textId="77777777" w:rsidR="006B163D" w:rsidRPr="00504D41" w:rsidRDefault="006B163D" w:rsidP="003845F0">
            <w:pPr>
              <w:spacing w:after="0" w:line="240" w:lineRule="auto"/>
              <w:ind w:left="-104" w:right="-115"/>
              <w:rPr>
                <w:rFonts w:ascii="Arial" w:eastAsia="Times New Roman" w:hAnsi="Arial" w:cs="Arial"/>
                <w:color w:val="000000"/>
                <w:sz w:val="20"/>
                <w:szCs w:val="20"/>
              </w:rPr>
            </w:pPr>
            <w:r w:rsidRPr="00504D41">
              <w:rPr>
                <w:rFonts w:ascii="Arial" w:eastAsia="Times New Roman" w:hAnsi="Arial" w:cs="Arial"/>
                <w:color w:val="000000"/>
                <w:sz w:val="20"/>
                <w:szCs w:val="20"/>
              </w:rPr>
              <w:t>GRAS in animal feed</w:t>
            </w:r>
            <w:r w:rsidRPr="00504D41">
              <w:rPr>
                <w:rFonts w:ascii="Arial" w:eastAsia="Times New Roman" w:hAnsi="Arial" w:cs="Arial"/>
                <w:color w:val="000000"/>
                <w:sz w:val="20"/>
                <w:szCs w:val="20"/>
              </w:rPr>
              <w:br/>
              <w:t>2020 CDR Full Exempt</w:t>
            </w:r>
          </w:p>
        </w:tc>
        <w:tc>
          <w:tcPr>
            <w:tcW w:w="775" w:type="pct"/>
            <w:gridSpan w:val="2"/>
            <w:tcBorders>
              <w:top w:val="nil"/>
              <w:left w:val="nil"/>
              <w:bottom w:val="single" w:sz="4" w:space="0" w:color="auto"/>
              <w:right w:val="single" w:sz="4" w:space="0" w:color="auto"/>
            </w:tcBorders>
            <w:shd w:val="clear" w:color="auto" w:fill="auto"/>
            <w:vAlign w:val="center"/>
            <w:hideMark/>
          </w:tcPr>
          <w:p w14:paraId="3AC374DE" w14:textId="77777777" w:rsidR="006B163D" w:rsidRPr="00504D41" w:rsidRDefault="006B163D" w:rsidP="003845F0">
            <w:pPr>
              <w:spacing w:after="0" w:line="240" w:lineRule="auto"/>
              <w:ind w:left="-104" w:right="-120"/>
              <w:rPr>
                <w:rFonts w:ascii="Arial" w:eastAsia="Times New Roman" w:hAnsi="Arial" w:cs="Arial"/>
                <w:color w:val="000000"/>
                <w:sz w:val="20"/>
                <w:szCs w:val="20"/>
              </w:rPr>
            </w:pPr>
            <w:r w:rsidRPr="00504D41">
              <w:rPr>
                <w:rFonts w:ascii="Arial" w:eastAsia="Times New Roman" w:hAnsi="Arial" w:cs="Arial"/>
                <w:color w:val="000000"/>
                <w:sz w:val="20"/>
                <w:szCs w:val="20"/>
              </w:rPr>
              <w:t>Biodegradable</w:t>
            </w:r>
          </w:p>
        </w:tc>
        <w:tc>
          <w:tcPr>
            <w:tcW w:w="729" w:type="pct"/>
            <w:gridSpan w:val="2"/>
            <w:vMerge/>
            <w:tcBorders>
              <w:top w:val="nil"/>
              <w:left w:val="single" w:sz="4" w:space="0" w:color="auto"/>
              <w:bottom w:val="single" w:sz="4" w:space="0" w:color="auto"/>
              <w:right w:val="single" w:sz="4" w:space="0" w:color="auto"/>
            </w:tcBorders>
            <w:vAlign w:val="center"/>
            <w:hideMark/>
          </w:tcPr>
          <w:p w14:paraId="776743FC" w14:textId="77777777" w:rsidR="006B163D" w:rsidRPr="00504D41" w:rsidRDefault="006B163D" w:rsidP="003845F0">
            <w:pPr>
              <w:spacing w:after="0" w:line="240" w:lineRule="auto"/>
              <w:ind w:left="-104" w:hanging="4"/>
              <w:rPr>
                <w:rFonts w:ascii="Arial" w:eastAsia="Times New Roman" w:hAnsi="Arial" w:cs="Arial"/>
                <w:color w:val="000000"/>
                <w:sz w:val="20"/>
                <w:szCs w:val="20"/>
              </w:rPr>
            </w:pPr>
          </w:p>
        </w:tc>
      </w:tr>
      <w:tr w:rsidR="006A2649" w:rsidRPr="00504D41" w14:paraId="66387722" w14:textId="77777777" w:rsidTr="00645D90">
        <w:trPr>
          <w:gridAfter w:val="1"/>
          <w:wAfter w:w="6" w:type="pct"/>
          <w:trHeight w:val="1103"/>
          <w:jc w:val="center"/>
        </w:trPr>
        <w:tc>
          <w:tcPr>
            <w:tcW w:w="216" w:type="pct"/>
            <w:vMerge/>
            <w:tcBorders>
              <w:top w:val="nil"/>
              <w:left w:val="single" w:sz="4" w:space="0" w:color="auto"/>
              <w:bottom w:val="single" w:sz="4" w:space="0" w:color="auto"/>
              <w:right w:val="single" w:sz="4" w:space="0" w:color="auto"/>
            </w:tcBorders>
            <w:vAlign w:val="center"/>
            <w:hideMark/>
          </w:tcPr>
          <w:p w14:paraId="7BC14FFA" w14:textId="77777777" w:rsidR="006B163D" w:rsidRPr="00504D41" w:rsidRDefault="006B163D" w:rsidP="00652513">
            <w:pPr>
              <w:spacing w:after="0" w:line="240" w:lineRule="auto"/>
              <w:rPr>
                <w:rFonts w:ascii="Arial" w:eastAsia="Times New Roman" w:hAnsi="Arial" w:cs="Arial"/>
                <w:color w:val="000000"/>
                <w:sz w:val="20"/>
                <w:szCs w:val="20"/>
              </w:rPr>
            </w:pPr>
          </w:p>
        </w:tc>
        <w:tc>
          <w:tcPr>
            <w:tcW w:w="801" w:type="pct"/>
            <w:tcBorders>
              <w:top w:val="nil"/>
              <w:left w:val="nil"/>
              <w:bottom w:val="single" w:sz="4" w:space="0" w:color="auto"/>
              <w:right w:val="single" w:sz="4" w:space="0" w:color="auto"/>
            </w:tcBorders>
            <w:shd w:val="clear" w:color="auto" w:fill="auto"/>
            <w:noWrap/>
            <w:vAlign w:val="center"/>
            <w:hideMark/>
          </w:tcPr>
          <w:p w14:paraId="422633D7" w14:textId="77777777" w:rsidR="006B163D" w:rsidRPr="00504D41" w:rsidRDefault="006B163D" w:rsidP="003845F0">
            <w:pPr>
              <w:spacing w:after="0" w:line="240" w:lineRule="auto"/>
              <w:ind w:right="-105"/>
              <w:rPr>
                <w:rFonts w:ascii="Arial" w:eastAsia="Times New Roman" w:hAnsi="Arial" w:cs="Arial"/>
                <w:color w:val="000000"/>
                <w:sz w:val="20"/>
                <w:szCs w:val="20"/>
              </w:rPr>
            </w:pPr>
            <w:r w:rsidRPr="00504D41">
              <w:rPr>
                <w:rFonts w:ascii="Arial" w:eastAsia="Times New Roman" w:hAnsi="Arial" w:cs="Arial"/>
                <w:color w:val="000000"/>
                <w:sz w:val="20"/>
                <w:szCs w:val="20"/>
              </w:rPr>
              <w:t>PVP</w:t>
            </w:r>
          </w:p>
        </w:tc>
        <w:tc>
          <w:tcPr>
            <w:tcW w:w="540" w:type="pct"/>
            <w:tcBorders>
              <w:top w:val="nil"/>
              <w:left w:val="nil"/>
              <w:bottom w:val="single" w:sz="4" w:space="0" w:color="auto"/>
              <w:right w:val="single" w:sz="4" w:space="0" w:color="auto"/>
            </w:tcBorders>
            <w:shd w:val="clear" w:color="000000" w:fill="FFFFFF"/>
            <w:vAlign w:val="center"/>
            <w:hideMark/>
          </w:tcPr>
          <w:p w14:paraId="4E9F890F" w14:textId="77777777" w:rsidR="006B163D" w:rsidRPr="00504D41" w:rsidRDefault="006B163D" w:rsidP="003542C3">
            <w:pPr>
              <w:spacing w:after="0" w:line="240" w:lineRule="auto"/>
              <w:ind w:left="-104" w:right="-90"/>
              <w:rPr>
                <w:rFonts w:ascii="Arial" w:eastAsia="Times New Roman" w:hAnsi="Arial" w:cs="Arial"/>
                <w:color w:val="000000"/>
                <w:sz w:val="20"/>
                <w:szCs w:val="20"/>
              </w:rPr>
            </w:pPr>
            <w:r w:rsidRPr="00504D41">
              <w:rPr>
                <w:rFonts w:ascii="Arial" w:eastAsia="Times New Roman" w:hAnsi="Arial" w:cs="Arial"/>
                <w:color w:val="000000"/>
                <w:sz w:val="20"/>
                <w:szCs w:val="20"/>
              </w:rPr>
              <w:t>Fossil fuel</w:t>
            </w:r>
          </w:p>
        </w:tc>
        <w:tc>
          <w:tcPr>
            <w:tcW w:w="576" w:type="pct"/>
            <w:tcBorders>
              <w:top w:val="nil"/>
              <w:left w:val="nil"/>
              <w:bottom w:val="single" w:sz="4" w:space="0" w:color="auto"/>
              <w:right w:val="single" w:sz="4" w:space="0" w:color="auto"/>
            </w:tcBorders>
            <w:shd w:val="clear" w:color="000000" w:fill="FFFFFF"/>
            <w:vAlign w:val="center"/>
            <w:hideMark/>
          </w:tcPr>
          <w:p w14:paraId="5959E900" w14:textId="77777777" w:rsidR="006B163D" w:rsidRPr="00504D41" w:rsidRDefault="006B163D" w:rsidP="001940BD">
            <w:pPr>
              <w:spacing w:after="0" w:line="240" w:lineRule="auto"/>
              <w:ind w:left="-29" w:right="-105"/>
              <w:rPr>
                <w:rFonts w:ascii="Arial" w:eastAsia="Times New Roman" w:hAnsi="Arial" w:cs="Arial"/>
                <w:color w:val="000000"/>
                <w:sz w:val="20"/>
                <w:szCs w:val="20"/>
              </w:rPr>
            </w:pPr>
            <w:r w:rsidRPr="00504D41">
              <w:rPr>
                <w:rFonts w:ascii="Arial" w:eastAsia="Times New Roman" w:hAnsi="Arial" w:cs="Arial"/>
                <w:color w:val="000000"/>
                <w:sz w:val="20"/>
                <w:szCs w:val="20"/>
              </w:rPr>
              <w:t> chloroform/ethanol</w:t>
            </w:r>
            <w:r w:rsidR="009F6B0A" w:rsidRPr="00504D41">
              <w:rPr>
                <w:rFonts w:ascii="Arial" w:eastAsia="Times New Roman" w:hAnsi="Arial" w:cs="Arial"/>
                <w:color w:val="000000"/>
                <w:sz w:val="20"/>
                <w:szCs w:val="20"/>
              </w:rPr>
              <w:t xml:space="preserve"> </w:t>
            </w:r>
          </w:p>
        </w:tc>
        <w:tc>
          <w:tcPr>
            <w:tcW w:w="682" w:type="pct"/>
            <w:vMerge/>
            <w:tcBorders>
              <w:top w:val="nil"/>
              <w:left w:val="single" w:sz="4" w:space="0" w:color="auto"/>
              <w:bottom w:val="single" w:sz="4" w:space="0" w:color="auto"/>
              <w:right w:val="single" w:sz="4" w:space="0" w:color="auto"/>
            </w:tcBorders>
            <w:vAlign w:val="center"/>
            <w:hideMark/>
          </w:tcPr>
          <w:p w14:paraId="694C9C0F" w14:textId="77777777" w:rsidR="006B163D" w:rsidRPr="00504D41" w:rsidRDefault="006B163D" w:rsidP="00C47F5D">
            <w:pPr>
              <w:spacing w:after="0" w:line="240" w:lineRule="auto"/>
              <w:ind w:right="-105"/>
              <w:rPr>
                <w:rFonts w:ascii="Arial" w:eastAsia="Times New Roman" w:hAnsi="Arial" w:cs="Arial"/>
                <w:color w:val="000000"/>
                <w:sz w:val="20"/>
                <w:szCs w:val="20"/>
              </w:rPr>
            </w:pPr>
          </w:p>
        </w:tc>
        <w:tc>
          <w:tcPr>
            <w:tcW w:w="675" w:type="pct"/>
            <w:tcBorders>
              <w:top w:val="nil"/>
              <w:left w:val="nil"/>
              <w:bottom w:val="single" w:sz="4" w:space="0" w:color="auto"/>
              <w:right w:val="single" w:sz="4" w:space="0" w:color="auto"/>
            </w:tcBorders>
            <w:shd w:val="clear" w:color="auto" w:fill="auto"/>
            <w:vAlign w:val="center"/>
            <w:hideMark/>
          </w:tcPr>
          <w:p w14:paraId="3B0BDD57" w14:textId="77777777" w:rsidR="006B163D" w:rsidRPr="00504D41" w:rsidRDefault="006B163D" w:rsidP="00C47F5D">
            <w:pPr>
              <w:spacing w:after="0" w:line="240" w:lineRule="auto"/>
              <w:ind w:left="-104" w:right="-115"/>
              <w:rPr>
                <w:rFonts w:ascii="Arial" w:eastAsia="Times New Roman" w:hAnsi="Arial" w:cs="Arial"/>
                <w:color w:val="000000"/>
                <w:sz w:val="20"/>
                <w:szCs w:val="20"/>
              </w:rPr>
            </w:pPr>
            <w:r w:rsidRPr="00504D41">
              <w:rPr>
                <w:rFonts w:ascii="Arial" w:eastAsia="Times New Roman" w:hAnsi="Arial" w:cs="Arial"/>
                <w:color w:val="000000"/>
                <w:sz w:val="20"/>
                <w:szCs w:val="20"/>
              </w:rPr>
              <w:t>Pesticides - Active Ingredients EPA-USA</w:t>
            </w:r>
            <w:r w:rsidR="004D25E1" w:rsidRPr="00504D41">
              <w:rPr>
                <w:rFonts w:ascii="Arial" w:eastAsia="Times New Roman" w:hAnsi="Arial" w:cs="Arial"/>
                <w:color w:val="000000"/>
                <w:sz w:val="20"/>
                <w:szCs w:val="20"/>
              </w:rPr>
              <w:t>,</w:t>
            </w:r>
            <w:r w:rsidRPr="00504D41">
              <w:rPr>
                <w:rFonts w:ascii="Arial" w:eastAsia="Times New Roman" w:hAnsi="Arial" w:cs="Arial"/>
                <w:color w:val="000000"/>
                <w:sz w:val="20"/>
                <w:szCs w:val="20"/>
              </w:rPr>
              <w:br/>
            </w:r>
            <w:r w:rsidR="004D25E1" w:rsidRPr="00504D41">
              <w:rPr>
                <w:rFonts w:ascii="Arial" w:eastAsia="Times New Roman" w:hAnsi="Arial" w:cs="Arial"/>
                <w:color w:val="000000"/>
                <w:sz w:val="20"/>
                <w:szCs w:val="20"/>
              </w:rPr>
              <w:t>40 CFR 180 - pesticide tolerance exemption,</w:t>
            </w:r>
            <w:r w:rsidRPr="00504D41">
              <w:rPr>
                <w:rFonts w:ascii="Arial" w:eastAsia="Times New Roman" w:hAnsi="Arial" w:cs="Arial"/>
                <w:color w:val="000000"/>
                <w:sz w:val="20"/>
                <w:szCs w:val="20"/>
              </w:rPr>
              <w:br/>
              <w:t>2020 CDR Full Exempt</w:t>
            </w:r>
            <w:r w:rsidR="008B5559" w:rsidRPr="00504D41">
              <w:rPr>
                <w:rFonts w:ascii="Arial" w:eastAsia="Times New Roman" w:hAnsi="Arial" w:cs="Arial"/>
                <w:color w:val="000000"/>
                <w:sz w:val="20"/>
                <w:szCs w:val="20"/>
              </w:rPr>
              <w:t>, 2020 CDR Full Exempt</w:t>
            </w:r>
          </w:p>
        </w:tc>
        <w:tc>
          <w:tcPr>
            <w:tcW w:w="775" w:type="pct"/>
            <w:gridSpan w:val="2"/>
            <w:tcBorders>
              <w:top w:val="nil"/>
              <w:left w:val="nil"/>
              <w:bottom w:val="single" w:sz="4" w:space="0" w:color="auto"/>
              <w:right w:val="single" w:sz="4" w:space="0" w:color="auto"/>
            </w:tcBorders>
            <w:shd w:val="clear" w:color="000000" w:fill="FFFFFF"/>
            <w:vAlign w:val="center"/>
            <w:hideMark/>
          </w:tcPr>
          <w:p w14:paraId="5137300A" w14:textId="77777777" w:rsidR="006B163D" w:rsidRPr="00504D41" w:rsidRDefault="006B163D" w:rsidP="00C47F5D">
            <w:pPr>
              <w:spacing w:after="0" w:line="240" w:lineRule="auto"/>
              <w:ind w:left="-104" w:right="-120"/>
              <w:rPr>
                <w:rFonts w:ascii="Arial" w:eastAsia="Times New Roman" w:hAnsi="Arial" w:cs="Arial"/>
                <w:color w:val="000000"/>
                <w:sz w:val="20"/>
                <w:szCs w:val="20"/>
              </w:rPr>
            </w:pPr>
            <w:r w:rsidRPr="00504D41">
              <w:rPr>
                <w:rFonts w:ascii="Arial" w:eastAsia="Times New Roman" w:hAnsi="Arial" w:cs="Arial"/>
                <w:color w:val="000000"/>
                <w:sz w:val="20"/>
                <w:szCs w:val="20"/>
              </w:rPr>
              <w:t>Non-biodegradable</w:t>
            </w:r>
          </w:p>
        </w:tc>
        <w:tc>
          <w:tcPr>
            <w:tcW w:w="729" w:type="pct"/>
            <w:gridSpan w:val="2"/>
            <w:vMerge/>
            <w:tcBorders>
              <w:top w:val="nil"/>
              <w:left w:val="single" w:sz="4" w:space="0" w:color="auto"/>
              <w:bottom w:val="single" w:sz="4" w:space="0" w:color="auto"/>
              <w:right w:val="single" w:sz="4" w:space="0" w:color="auto"/>
            </w:tcBorders>
            <w:vAlign w:val="center"/>
            <w:hideMark/>
          </w:tcPr>
          <w:p w14:paraId="4D3ADCE1" w14:textId="77777777" w:rsidR="006B163D" w:rsidRPr="00504D41" w:rsidRDefault="006B163D" w:rsidP="00C47F5D">
            <w:pPr>
              <w:spacing w:after="0" w:line="240" w:lineRule="auto"/>
              <w:ind w:left="-104" w:hanging="4"/>
              <w:rPr>
                <w:rFonts w:ascii="Arial" w:eastAsia="Times New Roman" w:hAnsi="Arial" w:cs="Arial"/>
                <w:color w:val="000000"/>
                <w:sz w:val="20"/>
                <w:szCs w:val="20"/>
              </w:rPr>
            </w:pPr>
          </w:p>
        </w:tc>
      </w:tr>
      <w:tr w:rsidR="006A2649" w:rsidRPr="00504D41" w14:paraId="19A541E3" w14:textId="77777777" w:rsidTr="00645D90">
        <w:trPr>
          <w:gridAfter w:val="1"/>
          <w:wAfter w:w="6" w:type="pct"/>
          <w:trHeight w:val="1103"/>
          <w:jc w:val="center"/>
        </w:trPr>
        <w:tc>
          <w:tcPr>
            <w:tcW w:w="216" w:type="pct"/>
            <w:vMerge/>
            <w:tcBorders>
              <w:top w:val="nil"/>
              <w:left w:val="single" w:sz="4" w:space="0" w:color="auto"/>
              <w:bottom w:val="single" w:sz="4" w:space="0" w:color="auto"/>
              <w:right w:val="single" w:sz="4" w:space="0" w:color="auto"/>
            </w:tcBorders>
            <w:vAlign w:val="center"/>
            <w:hideMark/>
          </w:tcPr>
          <w:p w14:paraId="1F3F3390" w14:textId="77777777" w:rsidR="006B163D" w:rsidRPr="00504D41" w:rsidRDefault="006B163D" w:rsidP="00652513">
            <w:pPr>
              <w:spacing w:after="0" w:line="240" w:lineRule="auto"/>
              <w:rPr>
                <w:rFonts w:ascii="Arial" w:eastAsia="Times New Roman" w:hAnsi="Arial" w:cs="Arial"/>
                <w:color w:val="000000"/>
                <w:sz w:val="20"/>
                <w:szCs w:val="20"/>
              </w:rPr>
            </w:pPr>
          </w:p>
        </w:tc>
        <w:tc>
          <w:tcPr>
            <w:tcW w:w="801" w:type="pct"/>
            <w:tcBorders>
              <w:top w:val="nil"/>
              <w:left w:val="nil"/>
              <w:bottom w:val="single" w:sz="4" w:space="0" w:color="auto"/>
              <w:right w:val="single" w:sz="4" w:space="0" w:color="auto"/>
            </w:tcBorders>
            <w:shd w:val="clear" w:color="auto" w:fill="auto"/>
            <w:noWrap/>
            <w:vAlign w:val="center"/>
            <w:hideMark/>
          </w:tcPr>
          <w:p w14:paraId="56A9D77B" w14:textId="77777777" w:rsidR="006B163D" w:rsidRPr="00504D41" w:rsidRDefault="006B163D" w:rsidP="00443EBF">
            <w:pPr>
              <w:spacing w:after="0" w:line="240" w:lineRule="auto"/>
              <w:ind w:right="-105"/>
              <w:rPr>
                <w:rFonts w:ascii="Arial" w:eastAsia="Times New Roman" w:hAnsi="Arial" w:cs="Arial"/>
                <w:color w:val="000000"/>
                <w:sz w:val="20"/>
                <w:szCs w:val="20"/>
              </w:rPr>
            </w:pPr>
            <w:r w:rsidRPr="00504D41">
              <w:rPr>
                <w:rFonts w:ascii="Arial" w:eastAsia="Times New Roman" w:hAnsi="Arial" w:cs="Arial"/>
                <w:color w:val="000000"/>
                <w:sz w:val="20"/>
                <w:szCs w:val="20"/>
              </w:rPr>
              <w:t>CA</w:t>
            </w:r>
          </w:p>
        </w:tc>
        <w:tc>
          <w:tcPr>
            <w:tcW w:w="540" w:type="pct"/>
            <w:tcBorders>
              <w:top w:val="nil"/>
              <w:left w:val="nil"/>
              <w:bottom w:val="single" w:sz="4" w:space="0" w:color="auto"/>
              <w:right w:val="single" w:sz="4" w:space="0" w:color="auto"/>
            </w:tcBorders>
            <w:shd w:val="clear" w:color="000000" w:fill="FFFFFF"/>
            <w:vAlign w:val="center"/>
            <w:hideMark/>
          </w:tcPr>
          <w:p w14:paraId="4CBC5E0D" w14:textId="77777777" w:rsidR="006B163D" w:rsidRPr="00504D41" w:rsidRDefault="006B163D" w:rsidP="00443EBF">
            <w:pPr>
              <w:spacing w:after="0" w:line="240" w:lineRule="auto"/>
              <w:ind w:left="-104" w:right="-90"/>
              <w:rPr>
                <w:rFonts w:ascii="Arial" w:eastAsia="Times New Roman" w:hAnsi="Arial" w:cs="Arial"/>
                <w:color w:val="000000"/>
                <w:sz w:val="20"/>
                <w:szCs w:val="20"/>
              </w:rPr>
            </w:pPr>
            <w:r w:rsidRPr="00504D41">
              <w:rPr>
                <w:rFonts w:ascii="Arial" w:eastAsia="Times New Roman" w:hAnsi="Arial" w:cs="Arial"/>
                <w:color w:val="000000"/>
                <w:sz w:val="20"/>
                <w:szCs w:val="20"/>
              </w:rPr>
              <w:t>Plant biomass</w:t>
            </w:r>
          </w:p>
        </w:tc>
        <w:tc>
          <w:tcPr>
            <w:tcW w:w="576" w:type="pct"/>
            <w:tcBorders>
              <w:top w:val="nil"/>
              <w:left w:val="nil"/>
              <w:bottom w:val="single" w:sz="4" w:space="0" w:color="auto"/>
              <w:right w:val="single" w:sz="4" w:space="0" w:color="auto"/>
            </w:tcBorders>
            <w:shd w:val="clear" w:color="000000" w:fill="FFFFFF"/>
            <w:vAlign w:val="center"/>
            <w:hideMark/>
          </w:tcPr>
          <w:p w14:paraId="717106CA" w14:textId="77777777" w:rsidR="006B163D" w:rsidRPr="00504D41" w:rsidRDefault="006B163D" w:rsidP="00443EBF">
            <w:pPr>
              <w:spacing w:after="0" w:line="240" w:lineRule="auto"/>
              <w:ind w:left="-29" w:right="-105"/>
              <w:rPr>
                <w:rFonts w:ascii="Arial" w:eastAsia="Times New Roman" w:hAnsi="Arial" w:cs="Arial"/>
                <w:color w:val="000000"/>
                <w:sz w:val="20"/>
                <w:szCs w:val="20"/>
              </w:rPr>
            </w:pPr>
            <w:r w:rsidRPr="00504D41">
              <w:rPr>
                <w:rFonts w:ascii="Arial" w:eastAsia="Times New Roman" w:hAnsi="Arial" w:cs="Arial"/>
                <w:color w:val="000000"/>
                <w:sz w:val="20"/>
                <w:szCs w:val="20"/>
              </w:rPr>
              <w:t>Has been electrospun with harsh solvents like dimethyl acetamide (DMAc) and milder options like acetone, acetic acid</w:t>
            </w:r>
          </w:p>
        </w:tc>
        <w:tc>
          <w:tcPr>
            <w:tcW w:w="682" w:type="pct"/>
            <w:vMerge/>
            <w:tcBorders>
              <w:top w:val="nil"/>
              <w:left w:val="single" w:sz="4" w:space="0" w:color="auto"/>
              <w:bottom w:val="single" w:sz="4" w:space="0" w:color="auto"/>
              <w:right w:val="single" w:sz="4" w:space="0" w:color="auto"/>
            </w:tcBorders>
            <w:vAlign w:val="center"/>
            <w:hideMark/>
          </w:tcPr>
          <w:p w14:paraId="181E6D12" w14:textId="77777777" w:rsidR="006B163D" w:rsidRPr="00504D41" w:rsidRDefault="006B163D" w:rsidP="00443EBF">
            <w:pPr>
              <w:spacing w:after="0" w:line="240" w:lineRule="auto"/>
              <w:ind w:right="-105"/>
              <w:rPr>
                <w:rFonts w:ascii="Arial" w:eastAsia="Times New Roman" w:hAnsi="Arial" w:cs="Arial"/>
                <w:color w:val="000000"/>
                <w:sz w:val="20"/>
                <w:szCs w:val="20"/>
              </w:rPr>
            </w:pPr>
          </w:p>
        </w:tc>
        <w:tc>
          <w:tcPr>
            <w:tcW w:w="675" w:type="pct"/>
            <w:tcBorders>
              <w:top w:val="nil"/>
              <w:left w:val="nil"/>
              <w:bottom w:val="single" w:sz="4" w:space="0" w:color="auto"/>
              <w:right w:val="single" w:sz="4" w:space="0" w:color="auto"/>
            </w:tcBorders>
            <w:shd w:val="clear" w:color="000000" w:fill="FFFFFF"/>
            <w:vAlign w:val="center"/>
            <w:hideMark/>
          </w:tcPr>
          <w:p w14:paraId="624AFE6A" w14:textId="77777777" w:rsidR="009B4B19" w:rsidRPr="00504D41" w:rsidRDefault="009B4B19" w:rsidP="00443EBF">
            <w:pPr>
              <w:spacing w:after="0" w:line="240" w:lineRule="auto"/>
              <w:ind w:left="-104" w:right="-115"/>
              <w:rPr>
                <w:rFonts w:ascii="Arial" w:eastAsia="Times New Roman" w:hAnsi="Arial" w:cs="Arial"/>
                <w:color w:val="000000"/>
                <w:sz w:val="20"/>
                <w:szCs w:val="20"/>
              </w:rPr>
            </w:pPr>
            <w:r w:rsidRPr="00504D41">
              <w:rPr>
                <w:rFonts w:ascii="Arial" w:eastAsia="Times New Roman" w:hAnsi="Arial" w:cs="Arial"/>
                <w:color w:val="000000"/>
                <w:sz w:val="20"/>
                <w:szCs w:val="20"/>
              </w:rPr>
              <w:t>Approved under 40 CFR 152.25 as an inert in exempted minimum risk pesticides</w:t>
            </w:r>
            <w:r w:rsidR="004D25E1" w:rsidRPr="00504D41">
              <w:rPr>
                <w:rFonts w:ascii="Arial" w:eastAsia="Times New Roman" w:hAnsi="Arial" w:cs="Arial"/>
                <w:color w:val="000000"/>
                <w:sz w:val="20"/>
                <w:szCs w:val="20"/>
              </w:rPr>
              <w:t>,</w:t>
            </w:r>
          </w:p>
          <w:p w14:paraId="720F0F28" w14:textId="77777777" w:rsidR="006B163D" w:rsidRPr="00504D41" w:rsidRDefault="004D25E1" w:rsidP="00443EBF">
            <w:pPr>
              <w:spacing w:after="0" w:line="240" w:lineRule="auto"/>
              <w:ind w:left="-104" w:right="-115"/>
              <w:rPr>
                <w:rFonts w:ascii="Arial" w:eastAsia="Times New Roman" w:hAnsi="Arial" w:cs="Arial"/>
                <w:color w:val="000000"/>
                <w:sz w:val="20"/>
                <w:szCs w:val="20"/>
              </w:rPr>
            </w:pPr>
            <w:r w:rsidRPr="00504D41">
              <w:rPr>
                <w:rFonts w:ascii="Arial" w:eastAsia="Times New Roman" w:hAnsi="Arial" w:cs="Arial"/>
                <w:color w:val="000000"/>
                <w:sz w:val="20"/>
                <w:szCs w:val="20"/>
              </w:rPr>
              <w:t>40 CFR 180 - pesticide tolerance exemption</w:t>
            </w:r>
          </w:p>
        </w:tc>
        <w:tc>
          <w:tcPr>
            <w:tcW w:w="775" w:type="pct"/>
            <w:gridSpan w:val="2"/>
            <w:tcBorders>
              <w:top w:val="nil"/>
              <w:left w:val="nil"/>
              <w:bottom w:val="single" w:sz="4" w:space="0" w:color="auto"/>
              <w:right w:val="single" w:sz="4" w:space="0" w:color="auto"/>
            </w:tcBorders>
            <w:shd w:val="clear" w:color="000000" w:fill="FFFFFF"/>
            <w:vAlign w:val="center"/>
            <w:hideMark/>
          </w:tcPr>
          <w:p w14:paraId="46C56BE4" w14:textId="77777777" w:rsidR="006B163D" w:rsidRPr="00504D41" w:rsidRDefault="006B163D" w:rsidP="00443EBF">
            <w:pPr>
              <w:spacing w:after="0" w:line="240" w:lineRule="auto"/>
              <w:ind w:left="-104" w:right="-120"/>
              <w:rPr>
                <w:rFonts w:ascii="Arial" w:eastAsia="Times New Roman" w:hAnsi="Arial" w:cs="Arial"/>
                <w:color w:val="000000"/>
                <w:sz w:val="20"/>
                <w:szCs w:val="20"/>
              </w:rPr>
            </w:pPr>
            <w:r w:rsidRPr="00504D41">
              <w:rPr>
                <w:rFonts w:ascii="Arial" w:eastAsia="Times New Roman" w:hAnsi="Arial" w:cs="Arial"/>
                <w:color w:val="000000"/>
                <w:sz w:val="20"/>
                <w:szCs w:val="20"/>
              </w:rPr>
              <w:t>Biodegradable</w:t>
            </w:r>
          </w:p>
        </w:tc>
        <w:tc>
          <w:tcPr>
            <w:tcW w:w="729" w:type="pct"/>
            <w:gridSpan w:val="2"/>
            <w:vMerge/>
            <w:tcBorders>
              <w:top w:val="nil"/>
              <w:left w:val="single" w:sz="4" w:space="0" w:color="auto"/>
              <w:bottom w:val="single" w:sz="4" w:space="0" w:color="auto"/>
              <w:right w:val="single" w:sz="4" w:space="0" w:color="auto"/>
            </w:tcBorders>
            <w:vAlign w:val="center"/>
            <w:hideMark/>
          </w:tcPr>
          <w:p w14:paraId="1EC8D522" w14:textId="77777777" w:rsidR="006B163D" w:rsidRPr="00504D41" w:rsidRDefault="006B163D" w:rsidP="00443EBF">
            <w:pPr>
              <w:spacing w:after="0" w:line="240" w:lineRule="auto"/>
              <w:ind w:left="-104" w:hanging="4"/>
              <w:rPr>
                <w:rFonts w:ascii="Arial" w:eastAsia="Times New Roman" w:hAnsi="Arial" w:cs="Arial"/>
                <w:color w:val="000000"/>
                <w:sz w:val="20"/>
                <w:szCs w:val="20"/>
              </w:rPr>
            </w:pPr>
          </w:p>
        </w:tc>
      </w:tr>
      <w:tr w:rsidR="006A2649" w:rsidRPr="00504D41" w14:paraId="58EC0A17" w14:textId="77777777" w:rsidTr="00645D90">
        <w:trPr>
          <w:gridAfter w:val="1"/>
          <w:wAfter w:w="6" w:type="pct"/>
          <w:trHeight w:val="1103"/>
          <w:jc w:val="center"/>
        </w:trPr>
        <w:tc>
          <w:tcPr>
            <w:tcW w:w="216" w:type="pct"/>
            <w:vMerge/>
            <w:tcBorders>
              <w:top w:val="nil"/>
              <w:left w:val="single" w:sz="4" w:space="0" w:color="auto"/>
              <w:bottom w:val="single" w:sz="4" w:space="0" w:color="auto"/>
              <w:right w:val="single" w:sz="4" w:space="0" w:color="auto"/>
            </w:tcBorders>
            <w:vAlign w:val="center"/>
            <w:hideMark/>
          </w:tcPr>
          <w:p w14:paraId="73DD4E58" w14:textId="77777777" w:rsidR="006B163D" w:rsidRPr="00504D41" w:rsidRDefault="006B163D" w:rsidP="00652513">
            <w:pPr>
              <w:spacing w:after="0" w:line="240" w:lineRule="auto"/>
              <w:rPr>
                <w:rFonts w:ascii="Arial" w:eastAsia="Times New Roman" w:hAnsi="Arial" w:cs="Arial"/>
                <w:color w:val="000000"/>
                <w:sz w:val="20"/>
                <w:szCs w:val="20"/>
              </w:rPr>
            </w:pPr>
          </w:p>
        </w:tc>
        <w:tc>
          <w:tcPr>
            <w:tcW w:w="801" w:type="pct"/>
            <w:tcBorders>
              <w:top w:val="nil"/>
              <w:left w:val="nil"/>
              <w:bottom w:val="single" w:sz="4" w:space="0" w:color="auto"/>
              <w:right w:val="single" w:sz="4" w:space="0" w:color="auto"/>
            </w:tcBorders>
            <w:shd w:val="clear" w:color="auto" w:fill="auto"/>
            <w:noWrap/>
            <w:vAlign w:val="center"/>
            <w:hideMark/>
          </w:tcPr>
          <w:p w14:paraId="0C137E9B" w14:textId="77777777" w:rsidR="006B163D" w:rsidRPr="00504D41" w:rsidRDefault="006B163D" w:rsidP="00097004">
            <w:pPr>
              <w:spacing w:after="0" w:line="240" w:lineRule="auto"/>
              <w:ind w:right="-105"/>
              <w:rPr>
                <w:rFonts w:ascii="Arial" w:eastAsia="Times New Roman" w:hAnsi="Arial" w:cs="Arial"/>
                <w:color w:val="000000"/>
                <w:sz w:val="20"/>
                <w:szCs w:val="20"/>
              </w:rPr>
            </w:pPr>
            <w:r w:rsidRPr="00504D41">
              <w:rPr>
                <w:rFonts w:ascii="Arial" w:eastAsia="Times New Roman" w:hAnsi="Arial" w:cs="Arial"/>
                <w:color w:val="000000"/>
                <w:sz w:val="20"/>
                <w:szCs w:val="20"/>
              </w:rPr>
              <w:t>PEO</w:t>
            </w:r>
          </w:p>
        </w:tc>
        <w:tc>
          <w:tcPr>
            <w:tcW w:w="540" w:type="pct"/>
            <w:tcBorders>
              <w:top w:val="nil"/>
              <w:left w:val="nil"/>
              <w:bottom w:val="single" w:sz="4" w:space="0" w:color="auto"/>
              <w:right w:val="single" w:sz="4" w:space="0" w:color="auto"/>
            </w:tcBorders>
            <w:shd w:val="clear" w:color="000000" w:fill="FFFFFF"/>
            <w:vAlign w:val="center"/>
            <w:hideMark/>
          </w:tcPr>
          <w:p w14:paraId="62ECC4DE" w14:textId="77777777" w:rsidR="006B163D" w:rsidRPr="00504D41" w:rsidRDefault="006B163D" w:rsidP="00097004">
            <w:pPr>
              <w:spacing w:after="0" w:line="240" w:lineRule="auto"/>
              <w:ind w:left="-104" w:right="-90"/>
              <w:rPr>
                <w:rFonts w:ascii="Arial" w:eastAsia="Times New Roman" w:hAnsi="Arial" w:cs="Arial"/>
                <w:color w:val="000000"/>
                <w:sz w:val="20"/>
                <w:szCs w:val="20"/>
              </w:rPr>
            </w:pPr>
            <w:r w:rsidRPr="00504D41">
              <w:rPr>
                <w:rFonts w:ascii="Arial" w:eastAsia="Times New Roman" w:hAnsi="Arial" w:cs="Arial"/>
                <w:color w:val="000000"/>
                <w:sz w:val="20"/>
                <w:szCs w:val="20"/>
              </w:rPr>
              <w:t>Fossil fuel</w:t>
            </w:r>
          </w:p>
        </w:tc>
        <w:tc>
          <w:tcPr>
            <w:tcW w:w="576" w:type="pct"/>
            <w:tcBorders>
              <w:top w:val="nil"/>
              <w:left w:val="nil"/>
              <w:bottom w:val="single" w:sz="4" w:space="0" w:color="auto"/>
              <w:right w:val="single" w:sz="4" w:space="0" w:color="auto"/>
            </w:tcBorders>
            <w:shd w:val="clear" w:color="000000" w:fill="FFFFFF"/>
            <w:vAlign w:val="center"/>
            <w:hideMark/>
          </w:tcPr>
          <w:p w14:paraId="30495A35" w14:textId="77777777" w:rsidR="006B163D" w:rsidRPr="00504D41" w:rsidRDefault="006B163D" w:rsidP="00097004">
            <w:pPr>
              <w:spacing w:after="0" w:line="240" w:lineRule="auto"/>
              <w:ind w:left="-29" w:right="-105"/>
              <w:rPr>
                <w:rFonts w:ascii="Arial" w:eastAsia="Times New Roman" w:hAnsi="Arial" w:cs="Arial"/>
                <w:color w:val="000000"/>
                <w:sz w:val="20"/>
                <w:szCs w:val="20"/>
              </w:rPr>
            </w:pPr>
            <w:r w:rsidRPr="00504D41">
              <w:rPr>
                <w:rFonts w:ascii="Arial" w:eastAsia="Times New Roman" w:hAnsi="Arial" w:cs="Arial"/>
                <w:color w:val="000000"/>
                <w:sz w:val="20"/>
                <w:szCs w:val="20"/>
              </w:rPr>
              <w:t>Water used as electrospinning solvent</w:t>
            </w:r>
          </w:p>
        </w:tc>
        <w:tc>
          <w:tcPr>
            <w:tcW w:w="682" w:type="pct"/>
            <w:vMerge/>
            <w:tcBorders>
              <w:top w:val="nil"/>
              <w:left w:val="single" w:sz="4" w:space="0" w:color="auto"/>
              <w:bottom w:val="single" w:sz="4" w:space="0" w:color="auto"/>
              <w:right w:val="single" w:sz="4" w:space="0" w:color="auto"/>
            </w:tcBorders>
            <w:vAlign w:val="center"/>
            <w:hideMark/>
          </w:tcPr>
          <w:p w14:paraId="091669C4" w14:textId="77777777" w:rsidR="006B163D" w:rsidRPr="00504D41" w:rsidRDefault="006B163D" w:rsidP="00097004">
            <w:pPr>
              <w:spacing w:after="0" w:line="240" w:lineRule="auto"/>
              <w:ind w:right="-105"/>
              <w:rPr>
                <w:rFonts w:ascii="Arial" w:eastAsia="Times New Roman" w:hAnsi="Arial" w:cs="Arial"/>
                <w:color w:val="000000"/>
                <w:sz w:val="20"/>
                <w:szCs w:val="20"/>
              </w:rPr>
            </w:pPr>
          </w:p>
        </w:tc>
        <w:tc>
          <w:tcPr>
            <w:tcW w:w="675" w:type="pct"/>
            <w:tcBorders>
              <w:top w:val="nil"/>
              <w:left w:val="nil"/>
              <w:bottom w:val="single" w:sz="4" w:space="0" w:color="auto"/>
              <w:right w:val="single" w:sz="4" w:space="0" w:color="auto"/>
            </w:tcBorders>
            <w:shd w:val="clear" w:color="auto" w:fill="auto"/>
            <w:vAlign w:val="center"/>
            <w:hideMark/>
          </w:tcPr>
          <w:p w14:paraId="3BE434C2" w14:textId="77777777" w:rsidR="006B163D" w:rsidRPr="00504D41" w:rsidRDefault="006B163D" w:rsidP="00097004">
            <w:pPr>
              <w:spacing w:after="0" w:line="240" w:lineRule="auto"/>
              <w:ind w:left="-104" w:right="-115"/>
              <w:rPr>
                <w:rFonts w:ascii="Arial" w:eastAsia="Times New Roman" w:hAnsi="Arial" w:cs="Arial"/>
                <w:color w:val="000000"/>
                <w:sz w:val="20"/>
                <w:szCs w:val="20"/>
              </w:rPr>
            </w:pPr>
            <w:r w:rsidRPr="00504D41">
              <w:rPr>
                <w:rFonts w:ascii="Arial" w:eastAsia="Times New Roman" w:hAnsi="Arial" w:cs="Arial"/>
                <w:color w:val="000000"/>
                <w:sz w:val="20"/>
                <w:szCs w:val="20"/>
              </w:rPr>
              <w:t>Pesticides - Active Ingredients EPA-USA</w:t>
            </w:r>
            <w:r w:rsidR="004D25E1" w:rsidRPr="00504D41">
              <w:rPr>
                <w:rFonts w:ascii="Arial" w:eastAsia="Times New Roman" w:hAnsi="Arial" w:cs="Arial"/>
                <w:color w:val="000000"/>
                <w:sz w:val="20"/>
                <w:szCs w:val="20"/>
              </w:rPr>
              <w:t>,</w:t>
            </w:r>
            <w:r w:rsidRPr="00504D41">
              <w:rPr>
                <w:rFonts w:ascii="Arial" w:eastAsia="Times New Roman" w:hAnsi="Arial" w:cs="Arial"/>
                <w:color w:val="000000"/>
                <w:sz w:val="20"/>
                <w:szCs w:val="20"/>
              </w:rPr>
              <w:br/>
            </w:r>
            <w:r w:rsidR="004D25E1" w:rsidRPr="00504D41">
              <w:rPr>
                <w:rFonts w:ascii="Arial" w:eastAsia="Times New Roman" w:hAnsi="Arial" w:cs="Arial"/>
                <w:color w:val="000000"/>
                <w:sz w:val="20"/>
                <w:szCs w:val="20"/>
              </w:rPr>
              <w:t>40 CFR 180 - pesticide tolerance exemption</w:t>
            </w:r>
          </w:p>
        </w:tc>
        <w:tc>
          <w:tcPr>
            <w:tcW w:w="775" w:type="pct"/>
            <w:gridSpan w:val="2"/>
            <w:tcBorders>
              <w:top w:val="nil"/>
              <w:left w:val="nil"/>
              <w:bottom w:val="single" w:sz="4" w:space="0" w:color="auto"/>
              <w:right w:val="single" w:sz="4" w:space="0" w:color="auto"/>
            </w:tcBorders>
            <w:shd w:val="clear" w:color="000000" w:fill="FFFFFF"/>
            <w:vAlign w:val="center"/>
            <w:hideMark/>
          </w:tcPr>
          <w:p w14:paraId="3CC8C4ED" w14:textId="77777777" w:rsidR="006B163D" w:rsidRPr="00504D41" w:rsidRDefault="006B163D" w:rsidP="00097004">
            <w:pPr>
              <w:spacing w:after="0" w:line="240" w:lineRule="auto"/>
              <w:ind w:left="-104" w:right="-120"/>
              <w:rPr>
                <w:rFonts w:ascii="Arial" w:eastAsia="Times New Roman" w:hAnsi="Arial" w:cs="Arial"/>
                <w:color w:val="000000"/>
                <w:sz w:val="20"/>
                <w:szCs w:val="20"/>
              </w:rPr>
            </w:pPr>
            <w:r w:rsidRPr="00504D41">
              <w:rPr>
                <w:rFonts w:ascii="Arial" w:eastAsia="Times New Roman" w:hAnsi="Arial" w:cs="Arial"/>
                <w:color w:val="000000"/>
                <w:sz w:val="20"/>
                <w:szCs w:val="20"/>
              </w:rPr>
              <w:t>Biodegradable upto Mw 20,000Da</w:t>
            </w:r>
          </w:p>
        </w:tc>
        <w:tc>
          <w:tcPr>
            <w:tcW w:w="729" w:type="pct"/>
            <w:gridSpan w:val="2"/>
            <w:vMerge/>
            <w:tcBorders>
              <w:top w:val="nil"/>
              <w:left w:val="single" w:sz="4" w:space="0" w:color="auto"/>
              <w:bottom w:val="single" w:sz="4" w:space="0" w:color="auto"/>
              <w:right w:val="single" w:sz="4" w:space="0" w:color="auto"/>
            </w:tcBorders>
            <w:vAlign w:val="center"/>
            <w:hideMark/>
          </w:tcPr>
          <w:p w14:paraId="7D3798C0" w14:textId="77777777" w:rsidR="006B163D" w:rsidRPr="00504D41" w:rsidRDefault="006B163D" w:rsidP="00097004">
            <w:pPr>
              <w:spacing w:after="0" w:line="240" w:lineRule="auto"/>
              <w:ind w:left="-104" w:hanging="4"/>
              <w:rPr>
                <w:rFonts w:ascii="Arial" w:eastAsia="Times New Roman" w:hAnsi="Arial" w:cs="Arial"/>
                <w:color w:val="000000"/>
                <w:sz w:val="20"/>
                <w:szCs w:val="20"/>
              </w:rPr>
            </w:pPr>
          </w:p>
        </w:tc>
      </w:tr>
      <w:tr w:rsidR="006A2649" w:rsidRPr="00504D41" w14:paraId="395ECFD6" w14:textId="77777777" w:rsidTr="00645D90">
        <w:trPr>
          <w:gridAfter w:val="1"/>
          <w:wAfter w:w="6" w:type="pct"/>
          <w:trHeight w:val="1103"/>
          <w:jc w:val="center"/>
        </w:trPr>
        <w:tc>
          <w:tcPr>
            <w:tcW w:w="216" w:type="pct"/>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14:paraId="724BF66F" w14:textId="77777777" w:rsidR="006B163D" w:rsidRPr="00504D41" w:rsidRDefault="006B163D" w:rsidP="00652513">
            <w:pPr>
              <w:spacing w:after="0" w:line="240" w:lineRule="auto"/>
              <w:jc w:val="center"/>
              <w:rPr>
                <w:rFonts w:ascii="Arial" w:eastAsia="Times New Roman" w:hAnsi="Arial" w:cs="Arial"/>
                <w:color w:val="000000"/>
                <w:sz w:val="20"/>
                <w:szCs w:val="20"/>
              </w:rPr>
            </w:pPr>
            <w:r w:rsidRPr="00504D41">
              <w:rPr>
                <w:rFonts w:ascii="Arial" w:eastAsia="Times New Roman" w:hAnsi="Arial" w:cs="Arial"/>
                <w:color w:val="000000"/>
                <w:sz w:val="20"/>
                <w:szCs w:val="20"/>
              </w:rPr>
              <w:t>Hydrogels</w:t>
            </w:r>
          </w:p>
        </w:tc>
        <w:tc>
          <w:tcPr>
            <w:tcW w:w="801" w:type="pct"/>
            <w:tcBorders>
              <w:top w:val="nil"/>
              <w:left w:val="nil"/>
              <w:bottom w:val="single" w:sz="4" w:space="0" w:color="auto"/>
              <w:right w:val="single" w:sz="4" w:space="0" w:color="auto"/>
            </w:tcBorders>
            <w:shd w:val="clear" w:color="auto" w:fill="auto"/>
            <w:vAlign w:val="center"/>
            <w:hideMark/>
          </w:tcPr>
          <w:p w14:paraId="6739F79C" w14:textId="77777777" w:rsidR="006B163D" w:rsidRPr="00504D41" w:rsidRDefault="006B163D" w:rsidP="00224E3D">
            <w:pPr>
              <w:spacing w:after="0" w:line="240" w:lineRule="auto"/>
              <w:ind w:right="-105"/>
              <w:rPr>
                <w:rFonts w:ascii="Arial" w:eastAsia="Times New Roman" w:hAnsi="Arial" w:cs="Arial"/>
                <w:color w:val="000000"/>
                <w:sz w:val="20"/>
                <w:szCs w:val="20"/>
              </w:rPr>
            </w:pPr>
            <w:r w:rsidRPr="00504D41">
              <w:rPr>
                <w:rFonts w:ascii="Arial" w:eastAsia="Times New Roman" w:hAnsi="Arial" w:cs="Arial"/>
                <w:color w:val="000000"/>
                <w:sz w:val="20"/>
                <w:szCs w:val="20"/>
              </w:rPr>
              <w:t>PAM</w:t>
            </w:r>
          </w:p>
        </w:tc>
        <w:tc>
          <w:tcPr>
            <w:tcW w:w="540" w:type="pct"/>
            <w:tcBorders>
              <w:top w:val="nil"/>
              <w:left w:val="nil"/>
              <w:bottom w:val="single" w:sz="4" w:space="0" w:color="auto"/>
              <w:right w:val="single" w:sz="4" w:space="0" w:color="auto"/>
            </w:tcBorders>
            <w:shd w:val="clear" w:color="auto" w:fill="auto"/>
            <w:vAlign w:val="center"/>
            <w:hideMark/>
          </w:tcPr>
          <w:p w14:paraId="35DCFC1B" w14:textId="77777777" w:rsidR="006B163D" w:rsidRPr="00504D41" w:rsidRDefault="006B163D" w:rsidP="00224E3D">
            <w:pPr>
              <w:spacing w:after="0" w:line="240" w:lineRule="auto"/>
              <w:ind w:left="-104" w:right="-90"/>
              <w:rPr>
                <w:rFonts w:ascii="Arial" w:eastAsia="Times New Roman" w:hAnsi="Arial" w:cs="Arial"/>
                <w:color w:val="000000"/>
                <w:sz w:val="20"/>
                <w:szCs w:val="20"/>
              </w:rPr>
            </w:pPr>
            <w:r w:rsidRPr="00504D41">
              <w:rPr>
                <w:rFonts w:ascii="Arial" w:eastAsia="Times New Roman" w:hAnsi="Arial" w:cs="Arial"/>
                <w:color w:val="000000"/>
                <w:sz w:val="20"/>
                <w:szCs w:val="20"/>
              </w:rPr>
              <w:t>Fossil fuel</w:t>
            </w:r>
          </w:p>
        </w:tc>
        <w:tc>
          <w:tcPr>
            <w:tcW w:w="576" w:type="pct"/>
            <w:vMerge w:val="restart"/>
            <w:tcBorders>
              <w:top w:val="nil"/>
              <w:left w:val="single" w:sz="4" w:space="0" w:color="auto"/>
              <w:bottom w:val="single" w:sz="4" w:space="0" w:color="auto"/>
              <w:right w:val="single" w:sz="4" w:space="0" w:color="auto"/>
            </w:tcBorders>
            <w:shd w:val="clear" w:color="000000" w:fill="FFFFFF"/>
            <w:vAlign w:val="center"/>
            <w:hideMark/>
          </w:tcPr>
          <w:p w14:paraId="79C068E1" w14:textId="77777777" w:rsidR="006B163D" w:rsidRPr="00504D41" w:rsidRDefault="006B163D" w:rsidP="00FC5319">
            <w:pPr>
              <w:spacing w:after="0" w:line="240" w:lineRule="auto"/>
              <w:ind w:left="-29" w:right="-105"/>
              <w:rPr>
                <w:rFonts w:ascii="Arial" w:eastAsia="Times New Roman" w:hAnsi="Arial" w:cs="Arial"/>
                <w:color w:val="000000"/>
                <w:sz w:val="20"/>
                <w:szCs w:val="20"/>
              </w:rPr>
            </w:pPr>
            <w:r w:rsidRPr="00504D41">
              <w:rPr>
                <w:rFonts w:ascii="Arial" w:eastAsia="Times New Roman" w:hAnsi="Arial" w:cs="Arial"/>
                <w:color w:val="000000"/>
                <w:sz w:val="20"/>
                <w:szCs w:val="20"/>
              </w:rPr>
              <w:t>Produced by polymerization of monomers which may entail use of organic solvents, intitiators and catalylsts.</w:t>
            </w:r>
          </w:p>
        </w:tc>
        <w:tc>
          <w:tcPr>
            <w:tcW w:w="682" w:type="pct"/>
            <w:vMerge w:val="restart"/>
            <w:tcBorders>
              <w:top w:val="nil"/>
              <w:left w:val="single" w:sz="4" w:space="0" w:color="auto"/>
              <w:bottom w:val="single" w:sz="4" w:space="0" w:color="auto"/>
              <w:right w:val="single" w:sz="4" w:space="0" w:color="auto"/>
            </w:tcBorders>
            <w:shd w:val="clear" w:color="000000" w:fill="FFFFFF"/>
            <w:vAlign w:val="center"/>
            <w:hideMark/>
          </w:tcPr>
          <w:p w14:paraId="65846E1B" w14:textId="77777777" w:rsidR="006B163D" w:rsidRPr="00504D41" w:rsidRDefault="00876CCC" w:rsidP="00FC5319">
            <w:pPr>
              <w:spacing w:after="0" w:line="240" w:lineRule="auto"/>
              <w:ind w:right="-105"/>
              <w:rPr>
                <w:rFonts w:ascii="Arial" w:eastAsia="Times New Roman" w:hAnsi="Arial" w:cs="Arial"/>
                <w:color w:val="000000"/>
                <w:sz w:val="20"/>
                <w:szCs w:val="20"/>
              </w:rPr>
            </w:pPr>
            <w:r w:rsidRPr="00504D41">
              <w:rPr>
                <w:rFonts w:ascii="Arial" w:eastAsia="Times New Roman" w:hAnsi="Arial" w:cs="Arial"/>
                <w:color w:val="000000"/>
                <w:sz w:val="20"/>
                <w:szCs w:val="20"/>
              </w:rPr>
              <w:t>Energy-</w:t>
            </w:r>
            <w:r w:rsidR="006B163D" w:rsidRPr="00504D41">
              <w:rPr>
                <w:rFonts w:ascii="Arial" w:eastAsia="Times New Roman" w:hAnsi="Arial" w:cs="Arial"/>
                <w:color w:val="000000"/>
                <w:sz w:val="20"/>
                <w:szCs w:val="20"/>
              </w:rPr>
              <w:t>intensive</w:t>
            </w:r>
          </w:p>
        </w:tc>
        <w:tc>
          <w:tcPr>
            <w:tcW w:w="675" w:type="pct"/>
            <w:tcBorders>
              <w:top w:val="nil"/>
              <w:left w:val="nil"/>
              <w:bottom w:val="single" w:sz="4" w:space="0" w:color="auto"/>
              <w:right w:val="single" w:sz="4" w:space="0" w:color="auto"/>
            </w:tcBorders>
            <w:shd w:val="clear" w:color="auto" w:fill="auto"/>
            <w:noWrap/>
            <w:vAlign w:val="center"/>
            <w:hideMark/>
          </w:tcPr>
          <w:p w14:paraId="2480F114" w14:textId="77777777" w:rsidR="006B163D" w:rsidRPr="00504D41" w:rsidRDefault="006B163D" w:rsidP="00FC5319">
            <w:pPr>
              <w:spacing w:after="0" w:line="240" w:lineRule="auto"/>
              <w:rPr>
                <w:rFonts w:ascii="Tahoma" w:eastAsia="Times New Roman" w:hAnsi="Tahoma" w:cs="Tahoma"/>
                <w:color w:val="000000"/>
                <w:sz w:val="20"/>
                <w:szCs w:val="20"/>
              </w:rPr>
            </w:pPr>
            <w:r w:rsidRPr="00504D41">
              <w:rPr>
                <w:rFonts w:ascii="Tahoma" w:eastAsia="Times New Roman" w:hAnsi="Tahoma" w:cs="Tahoma"/>
                <w:color w:val="000000"/>
                <w:sz w:val="20"/>
                <w:szCs w:val="20"/>
              </w:rPr>
              <w:t>2020 CDR Full Exempt</w:t>
            </w:r>
          </w:p>
        </w:tc>
        <w:tc>
          <w:tcPr>
            <w:tcW w:w="775" w:type="pct"/>
            <w:gridSpan w:val="2"/>
            <w:tcBorders>
              <w:top w:val="nil"/>
              <w:left w:val="nil"/>
              <w:bottom w:val="single" w:sz="4" w:space="0" w:color="auto"/>
              <w:right w:val="single" w:sz="4" w:space="0" w:color="auto"/>
            </w:tcBorders>
            <w:shd w:val="clear" w:color="auto" w:fill="auto"/>
            <w:vAlign w:val="center"/>
            <w:hideMark/>
          </w:tcPr>
          <w:p w14:paraId="01AD5BFE" w14:textId="77777777" w:rsidR="006B163D" w:rsidRPr="00504D41" w:rsidRDefault="006B163D" w:rsidP="00C31816">
            <w:pPr>
              <w:spacing w:after="0" w:line="240" w:lineRule="auto"/>
              <w:ind w:left="-104" w:right="-120"/>
              <w:rPr>
                <w:rFonts w:ascii="Arial" w:eastAsia="Times New Roman" w:hAnsi="Arial" w:cs="Arial"/>
                <w:color w:val="000000"/>
                <w:sz w:val="20"/>
                <w:szCs w:val="20"/>
              </w:rPr>
            </w:pPr>
            <w:r w:rsidRPr="00504D41">
              <w:rPr>
                <w:rFonts w:ascii="Arial" w:eastAsia="Times New Roman" w:hAnsi="Arial" w:cs="Arial"/>
                <w:color w:val="000000"/>
                <w:sz w:val="20"/>
                <w:szCs w:val="20"/>
              </w:rPr>
              <w:t>Biodegradable</w:t>
            </w:r>
          </w:p>
        </w:tc>
        <w:tc>
          <w:tcPr>
            <w:tcW w:w="729" w:type="pct"/>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72AEDCF0" w14:textId="77777777" w:rsidR="006B163D" w:rsidRPr="00504D41" w:rsidRDefault="006B163D" w:rsidP="006D54C2">
            <w:pPr>
              <w:spacing w:after="0" w:line="240" w:lineRule="auto"/>
              <w:ind w:left="-104" w:hanging="4"/>
              <w:rPr>
                <w:rFonts w:ascii="Arial" w:eastAsia="Times New Roman" w:hAnsi="Arial" w:cs="Arial"/>
                <w:color w:val="000000"/>
                <w:sz w:val="20"/>
                <w:szCs w:val="20"/>
              </w:rPr>
            </w:pPr>
            <w:r w:rsidRPr="00504D41">
              <w:rPr>
                <w:rFonts w:ascii="Arial" w:eastAsia="Times New Roman" w:hAnsi="Arial" w:cs="Arial"/>
                <w:color w:val="000000"/>
                <w:sz w:val="20"/>
                <w:szCs w:val="20"/>
              </w:rPr>
              <w:t>Used to enhance water retention around seeds under water stress conditions.</w:t>
            </w:r>
            <w:r w:rsidRPr="00504D41">
              <w:rPr>
                <w:szCs w:val="24"/>
              </w:rPr>
              <w:t xml:space="preserve"> </w:t>
            </w:r>
            <w:r w:rsidR="006D54C2" w:rsidRPr="00504D41">
              <w:rPr>
                <w:noProof/>
                <w:szCs w:val="24"/>
                <w:vertAlign w:val="superscript"/>
              </w:rPr>
              <w:t>11,119</w:t>
            </w:r>
            <w:r w:rsidRPr="00504D41">
              <w:rPr>
                <w:rFonts w:ascii="Arial" w:eastAsia="Times New Roman" w:hAnsi="Arial" w:cs="Arial"/>
                <w:color w:val="000000"/>
                <w:sz w:val="20"/>
                <w:szCs w:val="20"/>
              </w:rPr>
              <w:t xml:space="preserve"> Growth studies in soil conducted to verify performance.</w:t>
            </w:r>
          </w:p>
        </w:tc>
      </w:tr>
      <w:tr w:rsidR="006A2649" w:rsidRPr="00504D41" w14:paraId="51F3EC67" w14:textId="77777777" w:rsidTr="00645D90">
        <w:trPr>
          <w:gridAfter w:val="1"/>
          <w:wAfter w:w="6" w:type="pct"/>
          <w:trHeight w:val="1103"/>
          <w:jc w:val="center"/>
        </w:trPr>
        <w:tc>
          <w:tcPr>
            <w:tcW w:w="216" w:type="pct"/>
            <w:vMerge/>
            <w:tcBorders>
              <w:top w:val="nil"/>
              <w:left w:val="single" w:sz="4" w:space="0" w:color="auto"/>
              <w:bottom w:val="single" w:sz="4" w:space="0" w:color="auto"/>
              <w:right w:val="single" w:sz="4" w:space="0" w:color="auto"/>
            </w:tcBorders>
            <w:vAlign w:val="center"/>
            <w:hideMark/>
          </w:tcPr>
          <w:p w14:paraId="05581DD6" w14:textId="77777777" w:rsidR="006B163D" w:rsidRPr="00504D41" w:rsidRDefault="006B163D" w:rsidP="00652513">
            <w:pPr>
              <w:spacing w:after="0" w:line="240" w:lineRule="auto"/>
              <w:rPr>
                <w:rFonts w:ascii="Arial" w:eastAsia="Times New Roman" w:hAnsi="Arial" w:cs="Arial"/>
                <w:color w:val="000000"/>
                <w:sz w:val="20"/>
                <w:szCs w:val="20"/>
              </w:rPr>
            </w:pPr>
          </w:p>
        </w:tc>
        <w:tc>
          <w:tcPr>
            <w:tcW w:w="801" w:type="pct"/>
            <w:tcBorders>
              <w:top w:val="nil"/>
              <w:left w:val="nil"/>
              <w:bottom w:val="single" w:sz="4" w:space="0" w:color="auto"/>
              <w:right w:val="single" w:sz="4" w:space="0" w:color="auto"/>
            </w:tcBorders>
            <w:shd w:val="clear" w:color="auto" w:fill="auto"/>
            <w:vAlign w:val="center"/>
            <w:hideMark/>
          </w:tcPr>
          <w:p w14:paraId="207D4D19" w14:textId="77777777" w:rsidR="006B163D" w:rsidRPr="00504D41" w:rsidRDefault="006B163D" w:rsidP="00C31816">
            <w:pPr>
              <w:spacing w:after="0" w:line="240" w:lineRule="auto"/>
              <w:ind w:right="-105"/>
              <w:rPr>
                <w:rFonts w:ascii="Arial" w:eastAsia="Times New Roman" w:hAnsi="Arial" w:cs="Arial"/>
                <w:color w:val="000000"/>
                <w:sz w:val="20"/>
                <w:szCs w:val="20"/>
              </w:rPr>
            </w:pPr>
            <w:r w:rsidRPr="00504D41">
              <w:rPr>
                <w:rFonts w:ascii="Arial" w:eastAsia="Times New Roman" w:hAnsi="Arial" w:cs="Arial"/>
                <w:color w:val="000000"/>
                <w:sz w:val="20"/>
                <w:szCs w:val="20"/>
              </w:rPr>
              <w:t>Sodium Polyacrylate</w:t>
            </w:r>
          </w:p>
        </w:tc>
        <w:tc>
          <w:tcPr>
            <w:tcW w:w="540" w:type="pct"/>
            <w:tcBorders>
              <w:top w:val="nil"/>
              <w:left w:val="nil"/>
              <w:bottom w:val="single" w:sz="4" w:space="0" w:color="auto"/>
              <w:right w:val="single" w:sz="4" w:space="0" w:color="auto"/>
            </w:tcBorders>
            <w:shd w:val="clear" w:color="auto" w:fill="auto"/>
            <w:vAlign w:val="center"/>
            <w:hideMark/>
          </w:tcPr>
          <w:p w14:paraId="02036DF6" w14:textId="77777777" w:rsidR="006B163D" w:rsidRPr="00504D41" w:rsidRDefault="006B163D" w:rsidP="00C31816">
            <w:pPr>
              <w:spacing w:after="0" w:line="240" w:lineRule="auto"/>
              <w:ind w:left="-104" w:right="-90"/>
              <w:rPr>
                <w:rFonts w:ascii="Arial" w:eastAsia="Times New Roman" w:hAnsi="Arial" w:cs="Arial"/>
                <w:color w:val="000000"/>
                <w:sz w:val="20"/>
                <w:szCs w:val="20"/>
              </w:rPr>
            </w:pPr>
            <w:r w:rsidRPr="00504D41">
              <w:rPr>
                <w:rFonts w:ascii="Arial" w:eastAsia="Times New Roman" w:hAnsi="Arial" w:cs="Arial"/>
                <w:color w:val="000000"/>
                <w:sz w:val="20"/>
                <w:szCs w:val="20"/>
              </w:rPr>
              <w:t>Fossil fuel</w:t>
            </w:r>
          </w:p>
        </w:tc>
        <w:tc>
          <w:tcPr>
            <w:tcW w:w="576" w:type="pct"/>
            <w:vMerge/>
            <w:tcBorders>
              <w:top w:val="nil"/>
              <w:left w:val="single" w:sz="4" w:space="0" w:color="auto"/>
              <w:bottom w:val="single" w:sz="4" w:space="0" w:color="auto"/>
              <w:right w:val="single" w:sz="4" w:space="0" w:color="auto"/>
            </w:tcBorders>
            <w:vAlign w:val="center"/>
            <w:hideMark/>
          </w:tcPr>
          <w:p w14:paraId="589E1A7B" w14:textId="77777777" w:rsidR="006B163D" w:rsidRPr="00504D41" w:rsidRDefault="006B163D" w:rsidP="00D126F0">
            <w:pPr>
              <w:spacing w:after="0" w:line="240" w:lineRule="auto"/>
              <w:ind w:left="-29" w:right="-105"/>
              <w:rPr>
                <w:rFonts w:ascii="Arial" w:eastAsia="Times New Roman" w:hAnsi="Arial" w:cs="Arial"/>
                <w:color w:val="000000"/>
                <w:sz w:val="20"/>
                <w:szCs w:val="20"/>
              </w:rPr>
            </w:pPr>
          </w:p>
        </w:tc>
        <w:tc>
          <w:tcPr>
            <w:tcW w:w="682" w:type="pct"/>
            <w:vMerge/>
            <w:tcBorders>
              <w:top w:val="nil"/>
              <w:left w:val="single" w:sz="4" w:space="0" w:color="auto"/>
              <w:bottom w:val="single" w:sz="4" w:space="0" w:color="auto"/>
              <w:right w:val="single" w:sz="4" w:space="0" w:color="auto"/>
            </w:tcBorders>
            <w:vAlign w:val="center"/>
            <w:hideMark/>
          </w:tcPr>
          <w:p w14:paraId="446ACFA8" w14:textId="77777777" w:rsidR="006B163D" w:rsidRPr="00504D41" w:rsidRDefault="006B163D" w:rsidP="00D126F0">
            <w:pPr>
              <w:spacing w:after="0" w:line="240" w:lineRule="auto"/>
              <w:ind w:right="-105"/>
              <w:rPr>
                <w:rFonts w:ascii="Arial" w:eastAsia="Times New Roman" w:hAnsi="Arial" w:cs="Arial"/>
                <w:color w:val="000000"/>
                <w:sz w:val="20"/>
                <w:szCs w:val="20"/>
              </w:rPr>
            </w:pPr>
          </w:p>
        </w:tc>
        <w:tc>
          <w:tcPr>
            <w:tcW w:w="675" w:type="pct"/>
            <w:tcBorders>
              <w:top w:val="nil"/>
              <w:left w:val="nil"/>
              <w:bottom w:val="single" w:sz="4" w:space="0" w:color="auto"/>
              <w:right w:val="single" w:sz="4" w:space="0" w:color="auto"/>
            </w:tcBorders>
            <w:shd w:val="clear" w:color="auto" w:fill="auto"/>
            <w:vAlign w:val="center"/>
            <w:hideMark/>
          </w:tcPr>
          <w:p w14:paraId="50AD2AE2" w14:textId="77777777" w:rsidR="006B163D" w:rsidRPr="00504D41" w:rsidRDefault="006B163D" w:rsidP="00D126F0">
            <w:pPr>
              <w:spacing w:after="0" w:line="240" w:lineRule="auto"/>
              <w:ind w:left="-104" w:right="-115"/>
              <w:rPr>
                <w:rFonts w:ascii="Tahoma" w:eastAsia="Times New Roman" w:hAnsi="Tahoma" w:cs="Tahoma"/>
                <w:color w:val="000000"/>
                <w:sz w:val="20"/>
                <w:szCs w:val="20"/>
              </w:rPr>
            </w:pPr>
            <w:r w:rsidRPr="00504D41">
              <w:rPr>
                <w:rFonts w:ascii="Tahoma" w:eastAsia="Times New Roman" w:hAnsi="Tahoma" w:cs="Tahoma"/>
                <w:color w:val="000000"/>
                <w:sz w:val="20"/>
                <w:szCs w:val="20"/>
              </w:rPr>
              <w:t>2020 CDR Full Exempt</w:t>
            </w:r>
            <w:r w:rsidRPr="00504D41">
              <w:rPr>
                <w:rFonts w:ascii="Tahoma" w:eastAsia="Times New Roman" w:hAnsi="Tahoma" w:cs="Tahoma"/>
                <w:color w:val="000000"/>
                <w:sz w:val="20"/>
                <w:szCs w:val="20"/>
              </w:rPr>
              <w:br/>
              <w:t>Pesticides - Active Ingredients EPA-USA</w:t>
            </w:r>
          </w:p>
        </w:tc>
        <w:tc>
          <w:tcPr>
            <w:tcW w:w="775" w:type="pct"/>
            <w:gridSpan w:val="2"/>
            <w:tcBorders>
              <w:top w:val="nil"/>
              <w:left w:val="nil"/>
              <w:bottom w:val="single" w:sz="4" w:space="0" w:color="auto"/>
              <w:right w:val="single" w:sz="4" w:space="0" w:color="auto"/>
            </w:tcBorders>
            <w:shd w:val="clear" w:color="auto" w:fill="auto"/>
            <w:vAlign w:val="center"/>
            <w:hideMark/>
          </w:tcPr>
          <w:p w14:paraId="1E530B8D" w14:textId="77777777" w:rsidR="006B163D" w:rsidRPr="00504D41" w:rsidRDefault="006B163D" w:rsidP="00D126F0">
            <w:pPr>
              <w:spacing w:after="0" w:line="240" w:lineRule="auto"/>
              <w:ind w:left="-104" w:right="-120"/>
              <w:rPr>
                <w:rFonts w:ascii="Arial" w:eastAsia="Times New Roman" w:hAnsi="Arial" w:cs="Arial"/>
                <w:color w:val="000000"/>
                <w:sz w:val="20"/>
                <w:szCs w:val="20"/>
              </w:rPr>
            </w:pPr>
            <w:r w:rsidRPr="00504D41">
              <w:rPr>
                <w:rFonts w:ascii="Arial" w:eastAsia="Times New Roman" w:hAnsi="Arial" w:cs="Arial"/>
                <w:color w:val="000000"/>
                <w:sz w:val="20"/>
                <w:szCs w:val="20"/>
              </w:rPr>
              <w:t>Landfill</w:t>
            </w:r>
          </w:p>
        </w:tc>
        <w:tc>
          <w:tcPr>
            <w:tcW w:w="729" w:type="pct"/>
            <w:gridSpan w:val="2"/>
            <w:vMerge/>
            <w:tcBorders>
              <w:top w:val="nil"/>
              <w:left w:val="single" w:sz="4" w:space="0" w:color="auto"/>
              <w:bottom w:val="single" w:sz="4" w:space="0" w:color="auto"/>
              <w:right w:val="single" w:sz="4" w:space="0" w:color="auto"/>
            </w:tcBorders>
            <w:vAlign w:val="center"/>
            <w:hideMark/>
          </w:tcPr>
          <w:p w14:paraId="72EEE5D4" w14:textId="77777777" w:rsidR="006B163D" w:rsidRPr="00504D41" w:rsidRDefault="006B163D" w:rsidP="00D126F0">
            <w:pPr>
              <w:spacing w:after="0" w:line="240" w:lineRule="auto"/>
              <w:ind w:left="-104" w:hanging="4"/>
              <w:rPr>
                <w:rFonts w:ascii="Arial" w:eastAsia="Times New Roman" w:hAnsi="Arial" w:cs="Arial"/>
                <w:color w:val="000000"/>
                <w:sz w:val="20"/>
                <w:szCs w:val="20"/>
              </w:rPr>
            </w:pPr>
          </w:p>
        </w:tc>
      </w:tr>
      <w:tr w:rsidR="006A2649" w:rsidRPr="00504D41" w14:paraId="6CAF3BAF" w14:textId="77777777" w:rsidTr="00645D90">
        <w:trPr>
          <w:gridAfter w:val="1"/>
          <w:wAfter w:w="6" w:type="pct"/>
          <w:trHeight w:val="1103"/>
          <w:jc w:val="center"/>
        </w:trPr>
        <w:tc>
          <w:tcPr>
            <w:tcW w:w="216" w:type="pct"/>
            <w:vMerge/>
            <w:tcBorders>
              <w:top w:val="nil"/>
              <w:left w:val="single" w:sz="4" w:space="0" w:color="auto"/>
              <w:bottom w:val="single" w:sz="4" w:space="0" w:color="auto"/>
              <w:right w:val="single" w:sz="4" w:space="0" w:color="auto"/>
            </w:tcBorders>
            <w:vAlign w:val="center"/>
            <w:hideMark/>
          </w:tcPr>
          <w:p w14:paraId="15C104F6" w14:textId="77777777" w:rsidR="006B163D" w:rsidRPr="00504D41" w:rsidRDefault="006B163D" w:rsidP="00652513">
            <w:pPr>
              <w:spacing w:after="0" w:line="240" w:lineRule="auto"/>
              <w:rPr>
                <w:rFonts w:ascii="Arial" w:eastAsia="Times New Roman" w:hAnsi="Arial" w:cs="Arial"/>
                <w:color w:val="000000"/>
                <w:sz w:val="20"/>
                <w:szCs w:val="20"/>
              </w:rPr>
            </w:pPr>
          </w:p>
        </w:tc>
        <w:tc>
          <w:tcPr>
            <w:tcW w:w="801" w:type="pct"/>
            <w:tcBorders>
              <w:top w:val="nil"/>
              <w:left w:val="nil"/>
              <w:bottom w:val="single" w:sz="4" w:space="0" w:color="auto"/>
              <w:right w:val="single" w:sz="4" w:space="0" w:color="auto"/>
            </w:tcBorders>
            <w:shd w:val="clear" w:color="auto" w:fill="auto"/>
            <w:vAlign w:val="center"/>
            <w:hideMark/>
          </w:tcPr>
          <w:p w14:paraId="28E8072B" w14:textId="77777777" w:rsidR="006B163D" w:rsidRPr="00504D41" w:rsidRDefault="006B163D" w:rsidP="00D126F0">
            <w:pPr>
              <w:spacing w:after="0" w:line="240" w:lineRule="auto"/>
              <w:ind w:right="-105"/>
              <w:rPr>
                <w:rFonts w:ascii="Arial" w:eastAsia="Times New Roman" w:hAnsi="Arial" w:cs="Arial"/>
                <w:color w:val="000000"/>
                <w:sz w:val="20"/>
                <w:szCs w:val="20"/>
              </w:rPr>
            </w:pPr>
            <w:r w:rsidRPr="00504D41">
              <w:rPr>
                <w:rFonts w:ascii="Arial" w:eastAsia="Times New Roman" w:hAnsi="Arial" w:cs="Arial"/>
                <w:color w:val="000000"/>
                <w:sz w:val="20"/>
                <w:szCs w:val="20"/>
              </w:rPr>
              <w:t>Starch</w:t>
            </w:r>
          </w:p>
        </w:tc>
        <w:tc>
          <w:tcPr>
            <w:tcW w:w="540" w:type="pct"/>
            <w:tcBorders>
              <w:top w:val="nil"/>
              <w:left w:val="nil"/>
              <w:bottom w:val="single" w:sz="4" w:space="0" w:color="auto"/>
              <w:right w:val="single" w:sz="4" w:space="0" w:color="auto"/>
            </w:tcBorders>
            <w:shd w:val="clear" w:color="auto" w:fill="auto"/>
            <w:vAlign w:val="center"/>
            <w:hideMark/>
          </w:tcPr>
          <w:p w14:paraId="6867C021" w14:textId="77777777" w:rsidR="006B163D" w:rsidRPr="00504D41" w:rsidRDefault="006B163D" w:rsidP="00D126F0">
            <w:pPr>
              <w:spacing w:after="0" w:line="240" w:lineRule="auto"/>
              <w:ind w:left="-104" w:right="-90"/>
              <w:rPr>
                <w:rFonts w:ascii="Arial" w:eastAsia="Times New Roman" w:hAnsi="Arial" w:cs="Arial"/>
                <w:color w:val="000000"/>
                <w:sz w:val="20"/>
                <w:szCs w:val="20"/>
              </w:rPr>
            </w:pPr>
            <w:r w:rsidRPr="00504D41">
              <w:rPr>
                <w:rFonts w:ascii="Arial" w:eastAsia="Times New Roman" w:hAnsi="Arial" w:cs="Arial"/>
                <w:color w:val="000000"/>
                <w:sz w:val="20"/>
                <w:szCs w:val="20"/>
              </w:rPr>
              <w:t>Plant source</w:t>
            </w:r>
          </w:p>
        </w:tc>
        <w:tc>
          <w:tcPr>
            <w:tcW w:w="576" w:type="pct"/>
            <w:tcBorders>
              <w:top w:val="nil"/>
              <w:left w:val="nil"/>
              <w:bottom w:val="single" w:sz="4" w:space="0" w:color="auto"/>
              <w:right w:val="single" w:sz="4" w:space="0" w:color="auto"/>
            </w:tcBorders>
            <w:shd w:val="clear" w:color="auto" w:fill="auto"/>
            <w:vAlign w:val="center"/>
            <w:hideMark/>
          </w:tcPr>
          <w:p w14:paraId="6F42A513" w14:textId="77777777" w:rsidR="006B163D" w:rsidRPr="00504D41" w:rsidRDefault="006B163D" w:rsidP="00D126F0">
            <w:pPr>
              <w:spacing w:after="0" w:line="240" w:lineRule="auto"/>
              <w:ind w:left="-29" w:right="-105"/>
              <w:rPr>
                <w:rFonts w:ascii="Arial" w:eastAsia="Times New Roman" w:hAnsi="Arial" w:cs="Arial"/>
                <w:color w:val="000000"/>
                <w:sz w:val="20"/>
                <w:szCs w:val="20"/>
              </w:rPr>
            </w:pPr>
            <w:r w:rsidRPr="00504D41">
              <w:rPr>
                <w:rFonts w:ascii="Arial" w:eastAsia="Times New Roman" w:hAnsi="Arial" w:cs="Arial"/>
                <w:color w:val="000000"/>
                <w:sz w:val="20"/>
                <w:szCs w:val="20"/>
              </w:rPr>
              <w:t xml:space="preserve">Wet milling extraction processes involve harsh chemicals and repeated water and alkaline washes. </w:t>
            </w:r>
          </w:p>
        </w:tc>
        <w:tc>
          <w:tcPr>
            <w:tcW w:w="682" w:type="pct"/>
            <w:tcBorders>
              <w:top w:val="nil"/>
              <w:left w:val="nil"/>
              <w:bottom w:val="single" w:sz="4" w:space="0" w:color="auto"/>
              <w:right w:val="single" w:sz="4" w:space="0" w:color="auto"/>
            </w:tcBorders>
            <w:shd w:val="clear" w:color="auto" w:fill="auto"/>
            <w:vAlign w:val="center"/>
            <w:hideMark/>
          </w:tcPr>
          <w:p w14:paraId="6AC3CA1A" w14:textId="77777777" w:rsidR="006B163D" w:rsidRPr="00504D41" w:rsidRDefault="006B163D" w:rsidP="00D126F0">
            <w:pPr>
              <w:spacing w:after="0" w:line="240" w:lineRule="auto"/>
              <w:ind w:right="-105"/>
              <w:rPr>
                <w:rFonts w:ascii="Arial" w:eastAsia="Times New Roman" w:hAnsi="Arial" w:cs="Arial"/>
                <w:color w:val="000000"/>
                <w:sz w:val="20"/>
                <w:szCs w:val="20"/>
              </w:rPr>
            </w:pPr>
            <w:r w:rsidRPr="00504D41">
              <w:rPr>
                <w:rFonts w:ascii="Arial" w:eastAsia="Times New Roman" w:hAnsi="Arial" w:cs="Arial"/>
                <w:color w:val="000000"/>
                <w:sz w:val="20"/>
                <w:szCs w:val="20"/>
              </w:rPr>
              <w:t xml:space="preserve">Water and </w:t>
            </w:r>
            <w:r w:rsidR="00876CCC" w:rsidRPr="00504D41">
              <w:rPr>
                <w:rFonts w:ascii="Arial" w:eastAsia="Times New Roman" w:hAnsi="Arial" w:cs="Arial"/>
                <w:color w:val="000000"/>
                <w:sz w:val="20"/>
                <w:szCs w:val="20"/>
              </w:rPr>
              <w:t>energy-</w:t>
            </w:r>
            <w:r w:rsidRPr="00504D41">
              <w:rPr>
                <w:rFonts w:ascii="Arial" w:eastAsia="Times New Roman" w:hAnsi="Arial" w:cs="Arial"/>
                <w:color w:val="000000"/>
                <w:sz w:val="20"/>
                <w:szCs w:val="20"/>
              </w:rPr>
              <w:t>intensive</w:t>
            </w:r>
          </w:p>
        </w:tc>
        <w:tc>
          <w:tcPr>
            <w:tcW w:w="675" w:type="pct"/>
            <w:tcBorders>
              <w:top w:val="nil"/>
              <w:left w:val="nil"/>
              <w:bottom w:val="single" w:sz="4" w:space="0" w:color="auto"/>
              <w:right w:val="single" w:sz="4" w:space="0" w:color="auto"/>
            </w:tcBorders>
            <w:shd w:val="clear" w:color="auto" w:fill="auto"/>
            <w:vAlign w:val="center"/>
            <w:hideMark/>
          </w:tcPr>
          <w:p w14:paraId="742D3F8D" w14:textId="77777777" w:rsidR="006B163D" w:rsidRPr="00504D41" w:rsidRDefault="006B163D" w:rsidP="00D126F0">
            <w:pPr>
              <w:spacing w:after="0" w:line="240" w:lineRule="auto"/>
              <w:ind w:left="-104" w:right="-115"/>
              <w:rPr>
                <w:rFonts w:ascii="Arial" w:eastAsia="Times New Roman" w:hAnsi="Arial" w:cs="Arial"/>
                <w:color w:val="000000"/>
                <w:sz w:val="20"/>
                <w:szCs w:val="20"/>
              </w:rPr>
            </w:pPr>
            <w:r w:rsidRPr="00504D41">
              <w:rPr>
                <w:rFonts w:ascii="Arial" w:eastAsia="Times New Roman" w:hAnsi="Arial" w:cs="Arial"/>
                <w:color w:val="000000"/>
                <w:sz w:val="20"/>
                <w:szCs w:val="20"/>
              </w:rPr>
              <w:t>Unmodified starch GRAS in certain food appilications.</w:t>
            </w:r>
            <w:r w:rsidRPr="00504D41">
              <w:rPr>
                <w:rFonts w:ascii="Arial" w:eastAsia="Times New Roman" w:hAnsi="Arial" w:cs="Arial"/>
                <w:color w:val="000000"/>
                <w:sz w:val="20"/>
                <w:szCs w:val="20"/>
              </w:rPr>
              <w:br/>
              <w:t>2020 CDR Full Exempt</w:t>
            </w:r>
          </w:p>
        </w:tc>
        <w:tc>
          <w:tcPr>
            <w:tcW w:w="775" w:type="pct"/>
            <w:gridSpan w:val="2"/>
            <w:tcBorders>
              <w:top w:val="nil"/>
              <w:left w:val="nil"/>
              <w:bottom w:val="single" w:sz="4" w:space="0" w:color="auto"/>
              <w:right w:val="single" w:sz="4" w:space="0" w:color="auto"/>
            </w:tcBorders>
            <w:shd w:val="clear" w:color="auto" w:fill="auto"/>
            <w:vAlign w:val="center"/>
            <w:hideMark/>
          </w:tcPr>
          <w:p w14:paraId="06EC0AF3" w14:textId="77777777" w:rsidR="006B163D" w:rsidRPr="00504D41" w:rsidRDefault="006B163D" w:rsidP="00D126F0">
            <w:pPr>
              <w:spacing w:after="0" w:line="240" w:lineRule="auto"/>
              <w:ind w:left="-104" w:right="-120"/>
              <w:rPr>
                <w:rFonts w:ascii="Arial" w:eastAsia="Times New Roman" w:hAnsi="Arial" w:cs="Arial"/>
                <w:color w:val="000000"/>
                <w:sz w:val="20"/>
                <w:szCs w:val="20"/>
              </w:rPr>
            </w:pPr>
            <w:r w:rsidRPr="00504D41">
              <w:rPr>
                <w:rFonts w:ascii="Arial" w:eastAsia="Times New Roman" w:hAnsi="Arial" w:cs="Arial"/>
                <w:color w:val="000000"/>
                <w:sz w:val="20"/>
                <w:szCs w:val="20"/>
              </w:rPr>
              <w:t>Biodegradable</w:t>
            </w:r>
          </w:p>
        </w:tc>
        <w:tc>
          <w:tcPr>
            <w:tcW w:w="729" w:type="pct"/>
            <w:gridSpan w:val="2"/>
            <w:vMerge/>
            <w:tcBorders>
              <w:top w:val="nil"/>
              <w:left w:val="single" w:sz="4" w:space="0" w:color="auto"/>
              <w:bottom w:val="single" w:sz="4" w:space="0" w:color="auto"/>
              <w:right w:val="single" w:sz="4" w:space="0" w:color="auto"/>
            </w:tcBorders>
            <w:vAlign w:val="center"/>
            <w:hideMark/>
          </w:tcPr>
          <w:p w14:paraId="286CB02B" w14:textId="77777777" w:rsidR="006B163D" w:rsidRPr="00504D41" w:rsidRDefault="006B163D" w:rsidP="00D126F0">
            <w:pPr>
              <w:spacing w:after="0" w:line="240" w:lineRule="auto"/>
              <w:ind w:left="-104" w:hanging="4"/>
              <w:rPr>
                <w:rFonts w:ascii="Arial" w:eastAsia="Times New Roman" w:hAnsi="Arial" w:cs="Arial"/>
                <w:color w:val="000000"/>
                <w:sz w:val="20"/>
                <w:szCs w:val="20"/>
              </w:rPr>
            </w:pPr>
          </w:p>
        </w:tc>
      </w:tr>
      <w:tr w:rsidR="006A2649" w:rsidRPr="00504D41" w14:paraId="6D73DDDB" w14:textId="77777777" w:rsidTr="006A2649">
        <w:trPr>
          <w:gridAfter w:val="1"/>
          <w:wAfter w:w="6" w:type="pct"/>
          <w:trHeight w:val="1395"/>
          <w:jc w:val="center"/>
        </w:trPr>
        <w:tc>
          <w:tcPr>
            <w:tcW w:w="1017" w:type="pct"/>
            <w:gridSpan w:val="2"/>
            <w:tcBorders>
              <w:top w:val="nil"/>
              <w:left w:val="single" w:sz="4" w:space="0" w:color="auto"/>
              <w:bottom w:val="single" w:sz="4" w:space="0" w:color="auto"/>
              <w:right w:val="single" w:sz="4" w:space="0" w:color="auto"/>
            </w:tcBorders>
            <w:shd w:val="clear" w:color="auto" w:fill="auto"/>
            <w:noWrap/>
            <w:vAlign w:val="center"/>
            <w:hideMark/>
          </w:tcPr>
          <w:p w14:paraId="19918F27" w14:textId="77777777" w:rsidR="00C223AE" w:rsidRPr="00504D41" w:rsidRDefault="00C223AE" w:rsidP="00D126F0">
            <w:pPr>
              <w:spacing w:after="0" w:line="240" w:lineRule="auto"/>
              <w:ind w:right="-105"/>
              <w:rPr>
                <w:rFonts w:ascii="Arial" w:eastAsia="Times New Roman" w:hAnsi="Arial" w:cs="Arial"/>
                <w:color w:val="000000"/>
                <w:sz w:val="20"/>
                <w:szCs w:val="20"/>
              </w:rPr>
            </w:pPr>
            <w:r w:rsidRPr="00504D41">
              <w:rPr>
                <w:rFonts w:ascii="Arial" w:eastAsia="Times New Roman" w:hAnsi="Arial" w:cs="Arial"/>
                <w:color w:val="000000"/>
                <w:sz w:val="20"/>
                <w:szCs w:val="20"/>
              </w:rPr>
              <w:t>Nanoparticles</w:t>
            </w:r>
          </w:p>
          <w:p w14:paraId="002D9846" w14:textId="77777777" w:rsidR="00C223AE" w:rsidRPr="00504D41" w:rsidRDefault="00C223AE" w:rsidP="00D126F0">
            <w:pPr>
              <w:spacing w:after="0" w:line="240" w:lineRule="auto"/>
              <w:ind w:right="-105"/>
              <w:rPr>
                <w:rFonts w:ascii="Arial" w:eastAsia="Times New Roman" w:hAnsi="Arial" w:cs="Arial"/>
                <w:color w:val="000000"/>
                <w:sz w:val="20"/>
                <w:szCs w:val="20"/>
              </w:rPr>
            </w:pPr>
            <w:r w:rsidRPr="00504D41">
              <w:rPr>
                <w:rFonts w:ascii="Arial" w:eastAsia="Times New Roman" w:hAnsi="Arial" w:cs="Arial"/>
                <w:color w:val="000000"/>
                <w:sz w:val="20"/>
                <w:szCs w:val="20"/>
              </w:rPr>
              <w:t> </w:t>
            </w:r>
          </w:p>
        </w:tc>
        <w:tc>
          <w:tcPr>
            <w:tcW w:w="540" w:type="pct"/>
            <w:tcBorders>
              <w:top w:val="nil"/>
              <w:left w:val="nil"/>
              <w:bottom w:val="single" w:sz="4" w:space="0" w:color="auto"/>
              <w:right w:val="single" w:sz="4" w:space="0" w:color="auto"/>
            </w:tcBorders>
            <w:shd w:val="clear" w:color="auto" w:fill="auto"/>
            <w:vAlign w:val="center"/>
            <w:hideMark/>
          </w:tcPr>
          <w:p w14:paraId="70376562" w14:textId="77777777" w:rsidR="00C223AE" w:rsidRPr="00504D41" w:rsidRDefault="00C223AE" w:rsidP="00D126F0">
            <w:pPr>
              <w:spacing w:after="0" w:line="240" w:lineRule="auto"/>
              <w:ind w:left="-104" w:right="-90"/>
              <w:rPr>
                <w:rFonts w:ascii="Arial" w:eastAsia="Times New Roman" w:hAnsi="Arial" w:cs="Arial"/>
                <w:color w:val="000000"/>
                <w:sz w:val="20"/>
                <w:szCs w:val="20"/>
              </w:rPr>
            </w:pPr>
            <w:r w:rsidRPr="00504D41">
              <w:rPr>
                <w:rFonts w:ascii="Arial" w:eastAsia="Times New Roman" w:hAnsi="Arial" w:cs="Arial"/>
                <w:color w:val="000000"/>
                <w:sz w:val="20"/>
                <w:szCs w:val="20"/>
              </w:rPr>
              <w:t>Ores</w:t>
            </w:r>
          </w:p>
        </w:tc>
        <w:tc>
          <w:tcPr>
            <w:tcW w:w="576" w:type="pct"/>
            <w:tcBorders>
              <w:top w:val="nil"/>
              <w:left w:val="nil"/>
              <w:bottom w:val="single" w:sz="4" w:space="0" w:color="auto"/>
              <w:right w:val="single" w:sz="4" w:space="0" w:color="auto"/>
            </w:tcBorders>
            <w:shd w:val="clear" w:color="auto" w:fill="auto"/>
            <w:vAlign w:val="center"/>
            <w:hideMark/>
          </w:tcPr>
          <w:p w14:paraId="18394409" w14:textId="77777777" w:rsidR="00C223AE" w:rsidRPr="00504D41" w:rsidRDefault="00C223AE" w:rsidP="00D126F0">
            <w:pPr>
              <w:spacing w:after="0" w:line="240" w:lineRule="auto"/>
              <w:ind w:left="-29" w:right="-105"/>
              <w:rPr>
                <w:rFonts w:ascii="Arial" w:eastAsia="Times New Roman" w:hAnsi="Arial" w:cs="Arial"/>
                <w:color w:val="000000"/>
                <w:sz w:val="20"/>
                <w:szCs w:val="20"/>
              </w:rPr>
            </w:pPr>
            <w:r w:rsidRPr="00504D41">
              <w:rPr>
                <w:rFonts w:ascii="Arial" w:eastAsia="Times New Roman" w:hAnsi="Arial" w:cs="Arial"/>
                <w:color w:val="000000"/>
                <w:sz w:val="20"/>
                <w:szCs w:val="20"/>
              </w:rPr>
              <w:t>Conventional capping, reducing agents and solvents pose significant safety and toxicity hazards.</w:t>
            </w:r>
          </w:p>
        </w:tc>
        <w:tc>
          <w:tcPr>
            <w:tcW w:w="682" w:type="pct"/>
            <w:tcBorders>
              <w:top w:val="nil"/>
              <w:left w:val="nil"/>
              <w:bottom w:val="single" w:sz="4" w:space="0" w:color="auto"/>
              <w:right w:val="single" w:sz="4" w:space="0" w:color="auto"/>
            </w:tcBorders>
            <w:shd w:val="clear" w:color="auto" w:fill="auto"/>
            <w:vAlign w:val="center"/>
            <w:hideMark/>
          </w:tcPr>
          <w:p w14:paraId="67F3D0A1" w14:textId="77777777" w:rsidR="00C223AE" w:rsidRPr="00504D41" w:rsidRDefault="00876CCC" w:rsidP="00D126F0">
            <w:pPr>
              <w:spacing w:after="0" w:line="240" w:lineRule="auto"/>
              <w:ind w:right="-105"/>
              <w:rPr>
                <w:rFonts w:ascii="Arial" w:eastAsia="Times New Roman" w:hAnsi="Arial" w:cs="Arial"/>
                <w:color w:val="000000"/>
                <w:sz w:val="20"/>
                <w:szCs w:val="20"/>
              </w:rPr>
            </w:pPr>
            <w:r w:rsidRPr="00504D41">
              <w:rPr>
                <w:rFonts w:ascii="Arial" w:eastAsia="Times New Roman" w:hAnsi="Arial" w:cs="Arial"/>
                <w:color w:val="000000"/>
                <w:sz w:val="20"/>
                <w:szCs w:val="20"/>
              </w:rPr>
              <w:t>Energy-</w:t>
            </w:r>
            <w:r w:rsidR="00C223AE" w:rsidRPr="00504D41">
              <w:rPr>
                <w:rFonts w:ascii="Arial" w:eastAsia="Times New Roman" w:hAnsi="Arial" w:cs="Arial"/>
                <w:color w:val="000000"/>
                <w:sz w:val="20"/>
                <w:szCs w:val="20"/>
              </w:rPr>
              <w:t>intensive</w:t>
            </w:r>
          </w:p>
        </w:tc>
        <w:tc>
          <w:tcPr>
            <w:tcW w:w="675" w:type="pct"/>
            <w:tcBorders>
              <w:top w:val="nil"/>
              <w:left w:val="nil"/>
              <w:bottom w:val="single" w:sz="4" w:space="0" w:color="auto"/>
              <w:right w:val="single" w:sz="4" w:space="0" w:color="auto"/>
            </w:tcBorders>
            <w:shd w:val="clear" w:color="auto" w:fill="auto"/>
            <w:vAlign w:val="center"/>
            <w:hideMark/>
          </w:tcPr>
          <w:p w14:paraId="0F9795A5" w14:textId="77777777" w:rsidR="00C223AE" w:rsidRPr="00504D41" w:rsidRDefault="00C223AE" w:rsidP="00D126F0">
            <w:pPr>
              <w:spacing w:after="0" w:line="240" w:lineRule="auto"/>
              <w:ind w:left="-104" w:right="-115"/>
              <w:rPr>
                <w:rFonts w:ascii="Arial" w:eastAsia="Times New Roman" w:hAnsi="Arial" w:cs="Arial"/>
                <w:color w:val="000000"/>
                <w:sz w:val="20"/>
                <w:szCs w:val="20"/>
              </w:rPr>
            </w:pPr>
            <w:r w:rsidRPr="00504D41">
              <w:rPr>
                <w:rFonts w:ascii="Arial" w:eastAsia="Times New Roman" w:hAnsi="Arial" w:cs="Arial"/>
                <w:color w:val="000000"/>
                <w:sz w:val="20"/>
                <w:szCs w:val="20"/>
              </w:rPr>
              <w:t>If used as pesticide, subject to e Federal Insecticide,</w:t>
            </w:r>
            <w:r w:rsidRPr="00504D41">
              <w:rPr>
                <w:rFonts w:ascii="Arial" w:eastAsia="Times New Roman" w:hAnsi="Arial" w:cs="Arial"/>
                <w:color w:val="000000"/>
                <w:sz w:val="20"/>
                <w:szCs w:val="20"/>
              </w:rPr>
              <w:br/>
              <w:t>Fungicide, and Rodenticide Act (FIFRA</w:t>
            </w:r>
            <w:r w:rsidRPr="00504D41">
              <w:rPr>
                <w:rFonts w:ascii="Arial" w:eastAsia="Times New Roman" w:hAnsi="Arial" w:cs="Arial"/>
                <w:color w:val="000000"/>
                <w:sz w:val="20"/>
                <w:szCs w:val="20"/>
              </w:rPr>
              <w:br/>
              <w:t>section 2(u) and 3(a)).</w:t>
            </w:r>
            <w:r w:rsidRPr="00504D41">
              <w:rPr>
                <w:rFonts w:ascii="Arial" w:eastAsia="Times New Roman" w:hAnsi="Arial" w:cs="Arial"/>
                <w:color w:val="000000"/>
                <w:sz w:val="20"/>
                <w:szCs w:val="20"/>
              </w:rPr>
              <w:br/>
              <w:t>If present as residue in animal feed or food, tolerance limit needs to be designated as per the Federal</w:t>
            </w:r>
            <w:r w:rsidRPr="00504D41">
              <w:rPr>
                <w:rFonts w:ascii="Arial" w:eastAsia="Times New Roman" w:hAnsi="Arial" w:cs="Arial"/>
                <w:color w:val="000000"/>
                <w:sz w:val="20"/>
                <w:szCs w:val="20"/>
              </w:rPr>
              <w:br/>
              <w:t>Food, Drug and Cosmetic Act (FFDCA)</w:t>
            </w:r>
          </w:p>
        </w:tc>
        <w:tc>
          <w:tcPr>
            <w:tcW w:w="775" w:type="pct"/>
            <w:gridSpan w:val="2"/>
            <w:tcBorders>
              <w:top w:val="nil"/>
              <w:left w:val="nil"/>
              <w:bottom w:val="single" w:sz="4" w:space="0" w:color="auto"/>
              <w:right w:val="single" w:sz="4" w:space="0" w:color="auto"/>
            </w:tcBorders>
            <w:shd w:val="clear" w:color="000000" w:fill="FFFFFF"/>
            <w:vAlign w:val="center"/>
            <w:hideMark/>
          </w:tcPr>
          <w:p w14:paraId="455496A9" w14:textId="77777777" w:rsidR="00C223AE" w:rsidRPr="00504D41" w:rsidRDefault="00C223AE" w:rsidP="00D126F0">
            <w:pPr>
              <w:spacing w:after="0" w:line="240" w:lineRule="auto"/>
              <w:ind w:left="-104" w:right="-120"/>
              <w:rPr>
                <w:rFonts w:ascii="Arial" w:eastAsia="Times New Roman" w:hAnsi="Arial" w:cs="Arial"/>
                <w:color w:val="000000"/>
                <w:sz w:val="20"/>
                <w:szCs w:val="20"/>
              </w:rPr>
            </w:pPr>
            <w:r w:rsidRPr="00504D41">
              <w:rPr>
                <w:rFonts w:ascii="Arial" w:eastAsia="Times New Roman" w:hAnsi="Arial" w:cs="Arial"/>
                <w:color w:val="000000"/>
                <w:sz w:val="20"/>
                <w:szCs w:val="20"/>
              </w:rPr>
              <w:t>Unknown</w:t>
            </w:r>
          </w:p>
        </w:tc>
        <w:tc>
          <w:tcPr>
            <w:tcW w:w="729" w:type="pct"/>
            <w:gridSpan w:val="2"/>
            <w:tcBorders>
              <w:top w:val="nil"/>
              <w:left w:val="nil"/>
              <w:bottom w:val="single" w:sz="4" w:space="0" w:color="auto"/>
              <w:right w:val="single" w:sz="4" w:space="0" w:color="auto"/>
            </w:tcBorders>
            <w:shd w:val="clear" w:color="000000" w:fill="FFFFFF"/>
            <w:vAlign w:val="center"/>
            <w:hideMark/>
          </w:tcPr>
          <w:p w14:paraId="5924A251" w14:textId="77777777" w:rsidR="00C223AE" w:rsidRPr="00504D41" w:rsidRDefault="00C223AE" w:rsidP="006D54C2">
            <w:pPr>
              <w:spacing w:after="0" w:line="240" w:lineRule="auto"/>
              <w:ind w:left="-104" w:hanging="4"/>
              <w:rPr>
                <w:rFonts w:ascii="Arial" w:eastAsia="Times New Roman" w:hAnsi="Arial" w:cs="Arial"/>
                <w:color w:val="000000"/>
                <w:sz w:val="20"/>
                <w:szCs w:val="20"/>
              </w:rPr>
            </w:pPr>
            <w:r w:rsidRPr="00504D41">
              <w:rPr>
                <w:rFonts w:ascii="Arial" w:eastAsia="Times New Roman" w:hAnsi="Arial" w:cs="Arial"/>
                <w:color w:val="000000"/>
                <w:sz w:val="20"/>
                <w:szCs w:val="20"/>
              </w:rPr>
              <w:t>Used as a doping material as a to achieve enhanced fertilizer activity.</w:t>
            </w:r>
            <w:r w:rsidRPr="00504D41">
              <w:rPr>
                <w:szCs w:val="24"/>
              </w:rPr>
              <w:t xml:space="preserve"> </w:t>
            </w:r>
            <w:r w:rsidR="006D54C2" w:rsidRPr="00504D41">
              <w:rPr>
                <w:noProof/>
                <w:szCs w:val="24"/>
                <w:vertAlign w:val="superscript"/>
              </w:rPr>
              <w:t>124</w:t>
            </w:r>
            <w:r w:rsidRPr="00504D41">
              <w:rPr>
                <w:szCs w:val="24"/>
              </w:rPr>
              <w:t xml:space="preserve">, </w:t>
            </w:r>
            <w:r w:rsidR="006D54C2" w:rsidRPr="00504D41">
              <w:rPr>
                <w:noProof/>
                <w:szCs w:val="24"/>
                <w:vertAlign w:val="superscript"/>
              </w:rPr>
              <w:t>125</w:t>
            </w:r>
            <w:r w:rsidRPr="00504D41">
              <w:rPr>
                <w:szCs w:val="24"/>
              </w:rPr>
              <w:t>,</w:t>
            </w:r>
            <w:r w:rsidRPr="00504D41">
              <w:rPr>
                <w:szCs w:val="24"/>
                <w:shd w:val="clear" w:color="auto" w:fill="FFFFFF"/>
              </w:rPr>
              <w:t xml:space="preserve"> </w:t>
            </w:r>
            <w:r w:rsidR="006D54C2" w:rsidRPr="00504D41">
              <w:rPr>
                <w:noProof/>
                <w:szCs w:val="24"/>
                <w:shd w:val="clear" w:color="auto" w:fill="FFFFFF"/>
                <w:vertAlign w:val="superscript"/>
              </w:rPr>
              <w:t>130</w:t>
            </w:r>
            <w:r w:rsidRPr="00504D41">
              <w:rPr>
                <w:rFonts w:ascii="Arial" w:eastAsia="Times New Roman" w:hAnsi="Arial" w:cs="Arial"/>
                <w:color w:val="000000"/>
                <w:sz w:val="20"/>
                <w:szCs w:val="20"/>
              </w:rPr>
              <w:t xml:space="preserve"> Performance verified through pot trials.</w:t>
            </w:r>
          </w:p>
        </w:tc>
      </w:tr>
      <w:tr w:rsidR="006A2649" w:rsidRPr="00504D41" w14:paraId="281874A3" w14:textId="77777777" w:rsidTr="00C56953">
        <w:trPr>
          <w:gridAfter w:val="1"/>
          <w:wAfter w:w="6" w:type="pct"/>
          <w:trHeight w:val="1335"/>
          <w:jc w:val="center"/>
        </w:trPr>
        <w:tc>
          <w:tcPr>
            <w:tcW w:w="216" w:type="pct"/>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14:paraId="111311FF" w14:textId="77777777" w:rsidR="006B163D" w:rsidRPr="00504D41" w:rsidRDefault="006B163D" w:rsidP="00652513">
            <w:pPr>
              <w:spacing w:after="0" w:line="240" w:lineRule="auto"/>
              <w:jc w:val="center"/>
              <w:rPr>
                <w:rFonts w:ascii="Arial" w:eastAsia="Times New Roman" w:hAnsi="Arial" w:cs="Arial"/>
                <w:color w:val="000000"/>
                <w:sz w:val="20"/>
                <w:szCs w:val="20"/>
              </w:rPr>
            </w:pPr>
            <w:r w:rsidRPr="00504D41">
              <w:rPr>
                <w:rFonts w:ascii="Arial" w:eastAsia="Times New Roman" w:hAnsi="Arial" w:cs="Arial"/>
                <w:color w:val="000000"/>
                <w:sz w:val="20"/>
                <w:szCs w:val="20"/>
              </w:rPr>
              <w:lastRenderedPageBreak/>
              <w:t>Biomass</w:t>
            </w:r>
          </w:p>
        </w:tc>
        <w:tc>
          <w:tcPr>
            <w:tcW w:w="801" w:type="pct"/>
            <w:tcBorders>
              <w:top w:val="nil"/>
              <w:left w:val="nil"/>
              <w:bottom w:val="single" w:sz="4" w:space="0" w:color="auto"/>
              <w:right w:val="single" w:sz="4" w:space="0" w:color="auto"/>
            </w:tcBorders>
            <w:shd w:val="clear" w:color="auto" w:fill="auto"/>
            <w:vAlign w:val="center"/>
            <w:hideMark/>
          </w:tcPr>
          <w:p w14:paraId="23A62BCB" w14:textId="77777777" w:rsidR="006B163D" w:rsidRPr="00504D41" w:rsidRDefault="006B163D" w:rsidP="0035745E">
            <w:pPr>
              <w:spacing w:after="0" w:line="240" w:lineRule="auto"/>
              <w:ind w:right="-105"/>
              <w:rPr>
                <w:rFonts w:ascii="Arial" w:eastAsia="Times New Roman" w:hAnsi="Arial" w:cs="Arial"/>
                <w:color w:val="000000"/>
                <w:sz w:val="20"/>
                <w:szCs w:val="20"/>
              </w:rPr>
            </w:pPr>
            <w:r w:rsidRPr="00504D41">
              <w:rPr>
                <w:rFonts w:ascii="Arial" w:eastAsia="Times New Roman" w:hAnsi="Arial" w:cs="Arial"/>
                <w:color w:val="000000"/>
                <w:sz w:val="20"/>
                <w:szCs w:val="20"/>
              </w:rPr>
              <w:t>Biochar</w:t>
            </w:r>
          </w:p>
        </w:tc>
        <w:tc>
          <w:tcPr>
            <w:tcW w:w="540" w:type="pct"/>
            <w:vMerge w:val="restart"/>
            <w:tcBorders>
              <w:top w:val="nil"/>
              <w:left w:val="single" w:sz="4" w:space="0" w:color="auto"/>
              <w:bottom w:val="single" w:sz="4" w:space="0" w:color="auto"/>
              <w:right w:val="single" w:sz="4" w:space="0" w:color="auto"/>
            </w:tcBorders>
            <w:shd w:val="clear" w:color="auto" w:fill="auto"/>
            <w:vAlign w:val="center"/>
            <w:hideMark/>
          </w:tcPr>
          <w:p w14:paraId="38EAE184" w14:textId="77777777" w:rsidR="006B163D" w:rsidRPr="00504D41" w:rsidRDefault="006B163D" w:rsidP="0035745E">
            <w:pPr>
              <w:spacing w:after="0" w:line="240" w:lineRule="auto"/>
              <w:ind w:left="-104" w:right="-90"/>
              <w:rPr>
                <w:rFonts w:ascii="Arial" w:eastAsia="Times New Roman" w:hAnsi="Arial" w:cs="Arial"/>
                <w:color w:val="000000"/>
                <w:sz w:val="20"/>
                <w:szCs w:val="20"/>
              </w:rPr>
            </w:pPr>
            <w:r w:rsidRPr="00504D41">
              <w:rPr>
                <w:rFonts w:ascii="Arial" w:eastAsia="Times New Roman" w:hAnsi="Arial" w:cs="Arial"/>
                <w:color w:val="000000"/>
                <w:sz w:val="20"/>
                <w:szCs w:val="20"/>
              </w:rPr>
              <w:t>Agriculture and industrial biomass waste</w:t>
            </w:r>
          </w:p>
        </w:tc>
        <w:tc>
          <w:tcPr>
            <w:tcW w:w="576" w:type="pct"/>
            <w:tcBorders>
              <w:top w:val="nil"/>
              <w:left w:val="nil"/>
              <w:bottom w:val="single" w:sz="4" w:space="0" w:color="auto"/>
              <w:right w:val="single" w:sz="4" w:space="0" w:color="auto"/>
            </w:tcBorders>
            <w:shd w:val="clear" w:color="auto" w:fill="auto"/>
            <w:vAlign w:val="center"/>
            <w:hideMark/>
          </w:tcPr>
          <w:p w14:paraId="25DA4578" w14:textId="77777777" w:rsidR="006B163D" w:rsidRPr="00504D41" w:rsidRDefault="006B163D" w:rsidP="0035745E">
            <w:pPr>
              <w:spacing w:after="0" w:line="240" w:lineRule="auto"/>
              <w:ind w:left="-29" w:right="-105"/>
              <w:rPr>
                <w:rFonts w:ascii="Arial" w:eastAsia="Times New Roman" w:hAnsi="Arial" w:cs="Arial"/>
                <w:color w:val="000000"/>
                <w:sz w:val="20"/>
                <w:szCs w:val="20"/>
              </w:rPr>
            </w:pPr>
            <w:r w:rsidRPr="00504D41">
              <w:rPr>
                <w:rFonts w:ascii="Arial" w:eastAsia="Times New Roman" w:hAnsi="Arial" w:cs="Arial"/>
                <w:color w:val="000000"/>
                <w:sz w:val="20"/>
                <w:szCs w:val="20"/>
              </w:rPr>
              <w:t>High temperatures required during pyrolitic conversion of biomass</w:t>
            </w:r>
          </w:p>
        </w:tc>
        <w:tc>
          <w:tcPr>
            <w:tcW w:w="682" w:type="pct"/>
            <w:tcBorders>
              <w:top w:val="nil"/>
              <w:left w:val="nil"/>
              <w:bottom w:val="single" w:sz="4" w:space="0" w:color="auto"/>
              <w:right w:val="single" w:sz="4" w:space="0" w:color="auto"/>
            </w:tcBorders>
            <w:shd w:val="clear" w:color="000000" w:fill="FFFFFF"/>
            <w:vAlign w:val="center"/>
            <w:hideMark/>
          </w:tcPr>
          <w:p w14:paraId="41A7CF21" w14:textId="77777777" w:rsidR="006B163D" w:rsidRPr="00504D41" w:rsidRDefault="006B163D" w:rsidP="00CD7C70">
            <w:pPr>
              <w:spacing w:after="0" w:line="240" w:lineRule="auto"/>
              <w:ind w:right="-105"/>
              <w:rPr>
                <w:rFonts w:ascii="Arial" w:eastAsia="Times New Roman" w:hAnsi="Arial" w:cs="Arial"/>
                <w:color w:val="000000"/>
                <w:sz w:val="20"/>
                <w:szCs w:val="20"/>
              </w:rPr>
            </w:pPr>
            <w:r w:rsidRPr="00504D41">
              <w:rPr>
                <w:rFonts w:ascii="Arial" w:eastAsia="Times New Roman" w:hAnsi="Arial" w:cs="Arial"/>
                <w:color w:val="000000"/>
                <w:sz w:val="20"/>
                <w:szCs w:val="20"/>
              </w:rPr>
              <w:t xml:space="preserve">Energy and </w:t>
            </w:r>
            <w:r w:rsidR="00876CCC" w:rsidRPr="00504D41">
              <w:rPr>
                <w:rFonts w:ascii="Arial" w:eastAsia="Times New Roman" w:hAnsi="Arial" w:cs="Arial"/>
                <w:color w:val="000000"/>
                <w:sz w:val="20"/>
                <w:szCs w:val="20"/>
              </w:rPr>
              <w:t>water-</w:t>
            </w:r>
            <w:r w:rsidRPr="00504D41">
              <w:rPr>
                <w:rFonts w:ascii="Arial" w:eastAsia="Times New Roman" w:hAnsi="Arial" w:cs="Arial"/>
                <w:color w:val="000000"/>
                <w:sz w:val="20"/>
                <w:szCs w:val="20"/>
              </w:rPr>
              <w:t>intensive</w:t>
            </w:r>
          </w:p>
        </w:tc>
        <w:tc>
          <w:tcPr>
            <w:tcW w:w="675" w:type="pct"/>
            <w:tcBorders>
              <w:top w:val="nil"/>
              <w:left w:val="nil"/>
              <w:bottom w:val="single" w:sz="4" w:space="0" w:color="auto"/>
              <w:right w:val="single" w:sz="4" w:space="0" w:color="auto"/>
            </w:tcBorders>
            <w:shd w:val="clear" w:color="000000" w:fill="FFFFFF"/>
            <w:vAlign w:val="center"/>
            <w:hideMark/>
          </w:tcPr>
          <w:p w14:paraId="5DC20A37" w14:textId="77777777" w:rsidR="006B163D" w:rsidRPr="00504D41" w:rsidRDefault="006B163D" w:rsidP="0035745E">
            <w:pPr>
              <w:spacing w:after="0" w:line="240" w:lineRule="auto"/>
              <w:ind w:left="-104" w:right="-115"/>
              <w:jc w:val="center"/>
              <w:rPr>
                <w:rFonts w:ascii="Arial" w:eastAsia="Times New Roman" w:hAnsi="Arial" w:cs="Arial"/>
                <w:color w:val="000000"/>
                <w:sz w:val="20"/>
                <w:szCs w:val="20"/>
              </w:rPr>
            </w:pPr>
            <w:r w:rsidRPr="00504D41">
              <w:rPr>
                <w:rFonts w:ascii="Arial" w:eastAsia="Times New Roman" w:hAnsi="Arial" w:cs="Arial"/>
                <w:color w:val="000000"/>
                <w:sz w:val="20"/>
                <w:szCs w:val="20"/>
              </w:rPr>
              <w:t>NA</w:t>
            </w:r>
          </w:p>
        </w:tc>
        <w:tc>
          <w:tcPr>
            <w:tcW w:w="775" w:type="pct"/>
            <w:gridSpan w:val="2"/>
            <w:tcBorders>
              <w:top w:val="nil"/>
              <w:left w:val="nil"/>
              <w:bottom w:val="single" w:sz="4" w:space="0" w:color="auto"/>
              <w:right w:val="single" w:sz="4" w:space="0" w:color="auto"/>
            </w:tcBorders>
            <w:shd w:val="clear" w:color="000000" w:fill="FFFFFF"/>
            <w:vAlign w:val="center"/>
            <w:hideMark/>
          </w:tcPr>
          <w:p w14:paraId="780EC907" w14:textId="77777777" w:rsidR="006B163D" w:rsidRPr="00504D41" w:rsidRDefault="006B163D" w:rsidP="0035745E">
            <w:pPr>
              <w:spacing w:after="0" w:line="240" w:lineRule="auto"/>
              <w:ind w:left="-104" w:right="-120"/>
              <w:jc w:val="center"/>
              <w:rPr>
                <w:rFonts w:ascii="Arial" w:eastAsia="Times New Roman" w:hAnsi="Arial" w:cs="Arial"/>
                <w:color w:val="000000"/>
                <w:sz w:val="20"/>
                <w:szCs w:val="20"/>
              </w:rPr>
            </w:pPr>
            <w:r w:rsidRPr="00504D41">
              <w:rPr>
                <w:rFonts w:ascii="Arial" w:eastAsia="Times New Roman" w:hAnsi="Arial" w:cs="Arial"/>
                <w:color w:val="000000"/>
                <w:sz w:val="20"/>
                <w:szCs w:val="20"/>
              </w:rPr>
              <w:t>NA</w:t>
            </w:r>
          </w:p>
        </w:tc>
        <w:tc>
          <w:tcPr>
            <w:tcW w:w="729" w:type="pct"/>
            <w:gridSpan w:val="2"/>
            <w:tcBorders>
              <w:top w:val="nil"/>
              <w:left w:val="nil"/>
              <w:bottom w:val="single" w:sz="4" w:space="0" w:color="auto"/>
              <w:right w:val="single" w:sz="4" w:space="0" w:color="auto"/>
            </w:tcBorders>
            <w:shd w:val="clear" w:color="000000" w:fill="FFFFFF"/>
            <w:vAlign w:val="center"/>
            <w:hideMark/>
          </w:tcPr>
          <w:p w14:paraId="6A4304B5" w14:textId="77777777" w:rsidR="006B163D" w:rsidRPr="00504D41" w:rsidRDefault="006B163D" w:rsidP="006D54C2">
            <w:pPr>
              <w:spacing w:after="0" w:line="240" w:lineRule="auto"/>
              <w:ind w:left="-104" w:hanging="4"/>
              <w:rPr>
                <w:rFonts w:ascii="Arial" w:eastAsia="Times New Roman" w:hAnsi="Arial" w:cs="Arial"/>
                <w:color w:val="000000"/>
                <w:sz w:val="20"/>
                <w:szCs w:val="20"/>
              </w:rPr>
            </w:pPr>
            <w:r w:rsidRPr="00504D41">
              <w:rPr>
                <w:rFonts w:ascii="Arial" w:eastAsia="Times New Roman" w:hAnsi="Arial" w:cs="Arial"/>
                <w:color w:val="000000"/>
                <w:sz w:val="20"/>
                <w:szCs w:val="20"/>
              </w:rPr>
              <w:t>Used as a carrier material for PGPM inoculated seed coatings as well as to enhance seed water retention.</w:t>
            </w:r>
            <w:r w:rsidRPr="00504D41">
              <w:rPr>
                <w:szCs w:val="24"/>
              </w:rPr>
              <w:t xml:space="preserve"> </w:t>
            </w:r>
            <w:r w:rsidR="006D54C2" w:rsidRPr="00504D41">
              <w:rPr>
                <w:noProof/>
                <w:szCs w:val="24"/>
                <w:vertAlign w:val="superscript"/>
              </w:rPr>
              <w:t>55</w:t>
            </w:r>
            <w:r w:rsidRPr="00504D41">
              <w:rPr>
                <w:rFonts w:ascii="Arial" w:eastAsia="Times New Roman" w:hAnsi="Arial" w:cs="Arial"/>
                <w:color w:val="000000"/>
                <w:sz w:val="20"/>
                <w:szCs w:val="20"/>
              </w:rPr>
              <w:t xml:space="preserve"> Performance validated through greenhouse trials.</w:t>
            </w:r>
          </w:p>
        </w:tc>
      </w:tr>
      <w:tr w:rsidR="006A2649" w:rsidRPr="00504D41" w14:paraId="2D5B2C96" w14:textId="77777777" w:rsidTr="00C56953">
        <w:trPr>
          <w:gridAfter w:val="1"/>
          <w:wAfter w:w="6" w:type="pct"/>
          <w:trHeight w:val="1320"/>
          <w:jc w:val="center"/>
        </w:trPr>
        <w:tc>
          <w:tcPr>
            <w:tcW w:w="216" w:type="pct"/>
            <w:vMerge/>
            <w:tcBorders>
              <w:top w:val="nil"/>
              <w:left w:val="single" w:sz="4" w:space="0" w:color="auto"/>
              <w:bottom w:val="single" w:sz="4" w:space="0" w:color="auto"/>
              <w:right w:val="single" w:sz="4" w:space="0" w:color="auto"/>
            </w:tcBorders>
            <w:vAlign w:val="center"/>
            <w:hideMark/>
          </w:tcPr>
          <w:p w14:paraId="4D3F65BC" w14:textId="77777777" w:rsidR="006B163D" w:rsidRPr="00504D41" w:rsidRDefault="006B163D" w:rsidP="00652513">
            <w:pPr>
              <w:spacing w:after="0" w:line="240" w:lineRule="auto"/>
              <w:rPr>
                <w:rFonts w:ascii="Arial" w:eastAsia="Times New Roman" w:hAnsi="Arial" w:cs="Arial"/>
                <w:color w:val="000000"/>
                <w:sz w:val="20"/>
                <w:szCs w:val="20"/>
              </w:rPr>
            </w:pPr>
          </w:p>
        </w:tc>
        <w:tc>
          <w:tcPr>
            <w:tcW w:w="801" w:type="pct"/>
            <w:tcBorders>
              <w:top w:val="nil"/>
              <w:left w:val="nil"/>
              <w:bottom w:val="single" w:sz="4" w:space="0" w:color="auto"/>
              <w:right w:val="single" w:sz="4" w:space="0" w:color="auto"/>
            </w:tcBorders>
            <w:shd w:val="clear" w:color="auto" w:fill="auto"/>
            <w:vAlign w:val="center"/>
            <w:hideMark/>
          </w:tcPr>
          <w:p w14:paraId="142EB2F1" w14:textId="77777777" w:rsidR="006B163D" w:rsidRPr="00504D41" w:rsidRDefault="006B163D" w:rsidP="0035745E">
            <w:pPr>
              <w:spacing w:after="0" w:line="240" w:lineRule="auto"/>
              <w:ind w:left="-59" w:right="-105"/>
              <w:rPr>
                <w:rFonts w:ascii="Arial" w:eastAsia="Times New Roman" w:hAnsi="Arial" w:cs="Arial"/>
                <w:color w:val="000000"/>
                <w:sz w:val="20"/>
                <w:szCs w:val="20"/>
              </w:rPr>
            </w:pPr>
            <w:r w:rsidRPr="00504D41">
              <w:rPr>
                <w:rFonts w:ascii="Arial" w:eastAsia="Times New Roman" w:hAnsi="Arial" w:cs="Arial"/>
                <w:color w:val="000000"/>
                <w:sz w:val="20"/>
                <w:szCs w:val="20"/>
              </w:rPr>
              <w:t>Lignocellulosics</w:t>
            </w:r>
          </w:p>
        </w:tc>
        <w:tc>
          <w:tcPr>
            <w:tcW w:w="540" w:type="pct"/>
            <w:vMerge/>
            <w:tcBorders>
              <w:top w:val="nil"/>
              <w:left w:val="single" w:sz="4" w:space="0" w:color="auto"/>
              <w:bottom w:val="single" w:sz="4" w:space="0" w:color="auto"/>
              <w:right w:val="single" w:sz="4" w:space="0" w:color="auto"/>
            </w:tcBorders>
            <w:vAlign w:val="center"/>
            <w:hideMark/>
          </w:tcPr>
          <w:p w14:paraId="5E9392A1" w14:textId="77777777" w:rsidR="006B163D" w:rsidRPr="00504D41" w:rsidRDefault="006B163D" w:rsidP="00652513">
            <w:pPr>
              <w:spacing w:after="0" w:line="240" w:lineRule="auto"/>
              <w:rPr>
                <w:rFonts w:ascii="Arial" w:eastAsia="Times New Roman" w:hAnsi="Arial" w:cs="Arial"/>
                <w:color w:val="000000"/>
                <w:sz w:val="20"/>
                <w:szCs w:val="20"/>
              </w:rPr>
            </w:pPr>
          </w:p>
        </w:tc>
        <w:tc>
          <w:tcPr>
            <w:tcW w:w="576" w:type="pct"/>
            <w:tcBorders>
              <w:top w:val="nil"/>
              <w:left w:val="nil"/>
              <w:bottom w:val="single" w:sz="4" w:space="0" w:color="auto"/>
              <w:right w:val="single" w:sz="4" w:space="0" w:color="auto"/>
            </w:tcBorders>
            <w:shd w:val="clear" w:color="000000" w:fill="FFFFFF"/>
            <w:vAlign w:val="center"/>
            <w:hideMark/>
          </w:tcPr>
          <w:p w14:paraId="5E6D047A" w14:textId="77777777" w:rsidR="006B163D" w:rsidRPr="00504D41" w:rsidRDefault="006A2649" w:rsidP="00C56953">
            <w:pPr>
              <w:spacing w:after="0" w:line="240" w:lineRule="auto"/>
              <w:ind w:left="-29" w:right="-105"/>
              <w:rPr>
                <w:rFonts w:ascii="Arial" w:eastAsia="Times New Roman" w:hAnsi="Arial" w:cs="Arial"/>
                <w:color w:val="000000"/>
                <w:sz w:val="20"/>
                <w:szCs w:val="20"/>
              </w:rPr>
            </w:pPr>
            <w:r w:rsidRPr="00504D41">
              <w:rPr>
                <w:rFonts w:ascii="Arial" w:eastAsia="Times New Roman" w:hAnsi="Arial" w:cs="Arial"/>
                <w:color w:val="000000"/>
                <w:sz w:val="20"/>
                <w:szCs w:val="20"/>
              </w:rPr>
              <w:t>Handsheets are prepared by dewatering aqueous slurry of chopped banana fibers</w:t>
            </w:r>
          </w:p>
        </w:tc>
        <w:tc>
          <w:tcPr>
            <w:tcW w:w="682" w:type="pct"/>
            <w:tcBorders>
              <w:top w:val="nil"/>
              <w:left w:val="nil"/>
              <w:bottom w:val="single" w:sz="4" w:space="0" w:color="auto"/>
              <w:right w:val="single" w:sz="4" w:space="0" w:color="auto"/>
            </w:tcBorders>
            <w:shd w:val="clear" w:color="000000" w:fill="FFFFFF"/>
            <w:vAlign w:val="center"/>
            <w:hideMark/>
          </w:tcPr>
          <w:p w14:paraId="17519BEE" w14:textId="77777777" w:rsidR="006B163D" w:rsidRPr="00504D41" w:rsidRDefault="006B163D" w:rsidP="0035745E">
            <w:pPr>
              <w:spacing w:after="0" w:line="240" w:lineRule="auto"/>
              <w:ind w:right="-105"/>
              <w:rPr>
                <w:rFonts w:ascii="Arial" w:eastAsia="Times New Roman" w:hAnsi="Arial" w:cs="Arial"/>
                <w:color w:val="000000"/>
                <w:sz w:val="20"/>
                <w:szCs w:val="20"/>
              </w:rPr>
            </w:pPr>
            <w:r w:rsidRPr="00504D41">
              <w:rPr>
                <w:rFonts w:ascii="Arial" w:eastAsia="Times New Roman" w:hAnsi="Arial" w:cs="Arial"/>
                <w:color w:val="000000"/>
                <w:sz w:val="20"/>
                <w:szCs w:val="20"/>
              </w:rPr>
              <w:t>Water</w:t>
            </w:r>
            <w:r w:rsidR="00876CCC" w:rsidRPr="00504D41">
              <w:rPr>
                <w:rFonts w:ascii="Arial" w:eastAsia="Times New Roman" w:hAnsi="Arial" w:cs="Arial"/>
                <w:color w:val="000000"/>
                <w:sz w:val="20"/>
                <w:szCs w:val="20"/>
              </w:rPr>
              <w:t>-</w:t>
            </w:r>
            <w:r w:rsidRPr="00504D41">
              <w:rPr>
                <w:rFonts w:ascii="Arial" w:eastAsia="Times New Roman" w:hAnsi="Arial" w:cs="Arial"/>
                <w:color w:val="000000"/>
                <w:sz w:val="20"/>
                <w:szCs w:val="20"/>
              </w:rPr>
              <w:t>intensive.</w:t>
            </w:r>
          </w:p>
        </w:tc>
        <w:tc>
          <w:tcPr>
            <w:tcW w:w="675" w:type="pct"/>
            <w:tcBorders>
              <w:top w:val="nil"/>
              <w:left w:val="nil"/>
              <w:bottom w:val="single" w:sz="4" w:space="0" w:color="auto"/>
              <w:right w:val="single" w:sz="4" w:space="0" w:color="auto"/>
            </w:tcBorders>
            <w:shd w:val="clear" w:color="000000" w:fill="FFFFFF"/>
            <w:vAlign w:val="center"/>
            <w:hideMark/>
          </w:tcPr>
          <w:p w14:paraId="30D7CA9C" w14:textId="77777777" w:rsidR="006B163D" w:rsidRPr="00504D41" w:rsidRDefault="006B163D" w:rsidP="00D12C4B">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2020 CDR Full Exempt</w:t>
            </w:r>
          </w:p>
        </w:tc>
        <w:tc>
          <w:tcPr>
            <w:tcW w:w="775" w:type="pct"/>
            <w:gridSpan w:val="2"/>
            <w:tcBorders>
              <w:top w:val="nil"/>
              <w:left w:val="nil"/>
              <w:bottom w:val="single" w:sz="4" w:space="0" w:color="auto"/>
              <w:right w:val="single" w:sz="4" w:space="0" w:color="auto"/>
            </w:tcBorders>
            <w:shd w:val="clear" w:color="000000" w:fill="FFFFFF"/>
            <w:vAlign w:val="center"/>
            <w:hideMark/>
          </w:tcPr>
          <w:p w14:paraId="618491A5" w14:textId="77777777" w:rsidR="006B163D" w:rsidRPr="00504D41" w:rsidRDefault="006B163D" w:rsidP="0035745E">
            <w:pPr>
              <w:spacing w:after="0" w:line="240" w:lineRule="auto"/>
              <w:ind w:left="-104" w:right="-120"/>
              <w:rPr>
                <w:rFonts w:ascii="Arial" w:eastAsia="Times New Roman" w:hAnsi="Arial" w:cs="Arial"/>
                <w:color w:val="000000"/>
                <w:sz w:val="20"/>
                <w:szCs w:val="20"/>
              </w:rPr>
            </w:pPr>
            <w:r w:rsidRPr="00504D41">
              <w:rPr>
                <w:rFonts w:ascii="Arial" w:eastAsia="Times New Roman" w:hAnsi="Arial" w:cs="Arial"/>
                <w:color w:val="000000"/>
                <w:sz w:val="20"/>
                <w:szCs w:val="20"/>
              </w:rPr>
              <w:t>Biodegradable</w:t>
            </w:r>
          </w:p>
        </w:tc>
        <w:tc>
          <w:tcPr>
            <w:tcW w:w="729" w:type="pct"/>
            <w:gridSpan w:val="2"/>
            <w:tcBorders>
              <w:top w:val="nil"/>
              <w:left w:val="nil"/>
              <w:bottom w:val="single" w:sz="4" w:space="0" w:color="auto"/>
              <w:right w:val="single" w:sz="4" w:space="0" w:color="auto"/>
            </w:tcBorders>
            <w:shd w:val="clear" w:color="000000" w:fill="FFFFFF"/>
            <w:vAlign w:val="center"/>
            <w:hideMark/>
          </w:tcPr>
          <w:p w14:paraId="35D45204" w14:textId="77777777" w:rsidR="006B163D" w:rsidRPr="00504D41" w:rsidRDefault="006B163D" w:rsidP="006D54C2">
            <w:pPr>
              <w:spacing w:after="0" w:line="240" w:lineRule="auto"/>
              <w:ind w:left="-104" w:hanging="4"/>
              <w:rPr>
                <w:rFonts w:ascii="Arial" w:eastAsia="Times New Roman" w:hAnsi="Arial" w:cs="Arial"/>
                <w:color w:val="000000"/>
                <w:sz w:val="20"/>
                <w:szCs w:val="20"/>
              </w:rPr>
            </w:pPr>
            <w:r w:rsidRPr="00504D41">
              <w:rPr>
                <w:rFonts w:ascii="Arial" w:eastAsia="Times New Roman" w:hAnsi="Arial" w:cs="Arial"/>
                <w:color w:val="000000"/>
                <w:sz w:val="20"/>
                <w:szCs w:val="20"/>
              </w:rPr>
              <w:t>Used as seed wraps prior to planting.</w:t>
            </w:r>
            <w:r w:rsidRPr="00504D41">
              <w:rPr>
                <w:szCs w:val="24"/>
              </w:rPr>
              <w:t xml:space="preserve"> </w:t>
            </w:r>
            <w:r w:rsidR="006D54C2" w:rsidRPr="00504D41">
              <w:rPr>
                <w:noProof/>
                <w:szCs w:val="24"/>
                <w:vertAlign w:val="superscript"/>
              </w:rPr>
              <w:t>150</w:t>
            </w:r>
            <w:r w:rsidRPr="00504D41">
              <w:rPr>
                <w:szCs w:val="24"/>
              </w:rPr>
              <w:t xml:space="preserve">, </w:t>
            </w:r>
            <w:r w:rsidR="006D54C2" w:rsidRPr="00504D41">
              <w:rPr>
                <w:noProof/>
                <w:szCs w:val="24"/>
                <w:vertAlign w:val="superscript"/>
              </w:rPr>
              <w:t>158</w:t>
            </w:r>
            <w:r w:rsidRPr="00504D41">
              <w:rPr>
                <w:rFonts w:ascii="Arial" w:eastAsia="Times New Roman" w:hAnsi="Arial" w:cs="Arial"/>
                <w:color w:val="000000"/>
                <w:sz w:val="20"/>
                <w:szCs w:val="20"/>
              </w:rPr>
              <w:t xml:space="preserve"> Performance verified through field trials.</w:t>
            </w:r>
          </w:p>
        </w:tc>
      </w:tr>
    </w:tbl>
    <w:p w14:paraId="1DCA34C3" w14:textId="77777777" w:rsidR="00876CCC" w:rsidRPr="00504D41" w:rsidRDefault="0033143B" w:rsidP="00A30A2A">
      <w:pPr>
        <w:spacing w:line="360" w:lineRule="auto"/>
        <w:jc w:val="both"/>
      </w:pPr>
      <w:r w:rsidRPr="00504D41">
        <w:rPr>
          <w:vertAlign w:val="superscript"/>
        </w:rPr>
        <w:t>a</w:t>
      </w:r>
      <w:r w:rsidR="00C41677" w:rsidRPr="00504D41">
        <w:t xml:space="preserve">Pesticide tolerance exemption as per </w:t>
      </w:r>
      <w:r w:rsidR="002C2753" w:rsidRPr="00504D41">
        <w:t>Code of Federal Regulations (</w:t>
      </w:r>
      <w:r w:rsidR="00C41677" w:rsidRPr="00504D41">
        <w:t>CFR</w:t>
      </w:r>
      <w:r w:rsidR="002C2753" w:rsidRPr="00504D41">
        <w:t>)</w:t>
      </w:r>
      <w:r w:rsidR="00C41677" w:rsidRPr="00504D41">
        <w:t xml:space="preserve"> 40, part 180 implies that the material is deemed safe enough </w:t>
      </w:r>
      <w:r w:rsidR="0075547C" w:rsidRPr="00504D41">
        <w:t xml:space="preserve">such </w:t>
      </w:r>
      <w:r w:rsidR="00C41677" w:rsidRPr="00504D41">
        <w:t>that establishme</w:t>
      </w:r>
      <w:r w:rsidR="0075547C" w:rsidRPr="00504D41">
        <w:t>n</w:t>
      </w:r>
      <w:r w:rsidR="00C41677" w:rsidRPr="00504D41">
        <w:t xml:space="preserve">t of maximum tolerance limits is not required for the </w:t>
      </w:r>
      <w:r w:rsidR="00876CCC" w:rsidRPr="00504D41">
        <w:t>end-</w:t>
      </w:r>
      <w:r w:rsidR="00C41677" w:rsidRPr="00504D41">
        <w:t>use described in the exemption.</w:t>
      </w:r>
      <w:r w:rsidRPr="00504D41">
        <w:t xml:space="preserve"> </w:t>
      </w:r>
      <w:r w:rsidR="00EE6AAC" w:rsidRPr="00504D41">
        <w:t>Chemical Data Reporting (</w:t>
      </w:r>
      <w:r w:rsidR="001A4C38" w:rsidRPr="00504D41">
        <w:t>CDR</w:t>
      </w:r>
      <w:r w:rsidR="00EE6AAC" w:rsidRPr="00504D41">
        <w:t>)</w:t>
      </w:r>
      <w:r w:rsidR="001A4C38" w:rsidRPr="00504D41">
        <w:t xml:space="preserve"> exempt </w:t>
      </w:r>
      <w:r w:rsidR="00020F1E" w:rsidRPr="00504D41">
        <w:t xml:space="preserve">implies the material is exempt from reporting </w:t>
      </w:r>
      <w:r w:rsidR="00EE6AAC" w:rsidRPr="00504D41">
        <w:t xml:space="preserve">as per the </w:t>
      </w:r>
      <w:r w:rsidR="00BA79D1" w:rsidRPr="00504D41">
        <w:t>Toxic Substances Control Act (TSCA)</w:t>
      </w:r>
      <w:r w:rsidRPr="00504D41">
        <w:t xml:space="preserve">. </w:t>
      </w:r>
      <w:r w:rsidR="002C2753" w:rsidRPr="00504D41">
        <w:t>G</w:t>
      </w:r>
      <w:r w:rsidR="00307074" w:rsidRPr="00504D41">
        <w:t xml:space="preserve">RAS stands for Generally Regarded as Safe by </w:t>
      </w:r>
      <w:r w:rsidR="00135F94" w:rsidRPr="00504D41">
        <w:t>US Food and Drug Administration (FDA)</w:t>
      </w:r>
      <w:r w:rsidR="001516B2" w:rsidRPr="00504D41">
        <w:t xml:space="preserve">. Data extracted from EPA </w:t>
      </w:r>
      <w:r w:rsidR="004A3E18" w:rsidRPr="00504D41">
        <w:t>Substance Registry Services.</w:t>
      </w:r>
      <w:r w:rsidR="006D54C2" w:rsidRPr="00504D41">
        <w:rPr>
          <w:noProof/>
          <w:vertAlign w:val="superscript"/>
        </w:rPr>
        <w:t>174</w:t>
      </w:r>
    </w:p>
    <w:p w14:paraId="7156CE24" w14:textId="77777777" w:rsidR="00876CCC" w:rsidRPr="00504D41" w:rsidRDefault="006B163D" w:rsidP="00A30A2A">
      <w:pPr>
        <w:spacing w:line="360" w:lineRule="auto"/>
        <w:jc w:val="both"/>
      </w:pPr>
      <w:r w:rsidRPr="00504D41">
        <w:t>The final question to be addressed is the long-term effect on crop yields due to the adoption of a new seed coating/treatment.</w:t>
      </w:r>
      <w:r w:rsidR="00465A0E" w:rsidRPr="00504D41">
        <w:t xml:space="preserve"> LCA studies</w:t>
      </w:r>
      <w:r w:rsidRPr="00504D41">
        <w:t xml:space="preserve"> offer a suitable choice to classify the sustainability of any new material/practice. However, comparison across different LCA is complicated due to variations in </w:t>
      </w:r>
      <w:r w:rsidR="00876CCC" w:rsidRPr="00504D41">
        <w:t xml:space="preserve">the </w:t>
      </w:r>
      <w:r w:rsidRPr="00504D41">
        <w:t xml:space="preserve">selection of functional units, process boundaries and conditions. These challenges are even more diverse across agriculture systems due to the inherent existing diversity </w:t>
      </w:r>
      <w:r w:rsidR="00876CCC" w:rsidRPr="00504D41">
        <w:t xml:space="preserve">and </w:t>
      </w:r>
      <w:r w:rsidRPr="00504D41">
        <w:t xml:space="preserve">nature of these changes like variations in </w:t>
      </w:r>
      <w:r w:rsidR="003252F7" w:rsidRPr="00504D41">
        <w:t xml:space="preserve">climatic conditions, </w:t>
      </w:r>
      <w:r w:rsidRPr="00504D41">
        <w:t>agrochemical inputs, watering rates and effects on biotic and abiotic stresses. This necessitates some form of LCA framework to consistently characterize the effects of the suggested change in order to make preemptive decisions on their suitability. This need for improved methodology guidelines for conducting risk assessments across agriculture systems has been highlighted by many researchers.</w:t>
      </w:r>
      <w:r w:rsidR="006D54C2" w:rsidRPr="00504D41">
        <w:rPr>
          <w:noProof/>
          <w:vertAlign w:val="superscript"/>
        </w:rPr>
        <w:t>175,176</w:t>
      </w:r>
      <w:r w:rsidRPr="00504D41">
        <w:t xml:space="preserve"> Recently Kløverpris et al</w:t>
      </w:r>
      <w:r w:rsidR="00876CCC" w:rsidRPr="00504D41">
        <w:t>.</w:t>
      </w:r>
      <w:r w:rsidR="006D54C2" w:rsidRPr="00504D41">
        <w:rPr>
          <w:noProof/>
          <w:vertAlign w:val="superscript"/>
        </w:rPr>
        <w:t>178</w:t>
      </w:r>
      <w:r w:rsidRPr="00504D41">
        <w:t xml:space="preserve"> proposed a method to evaluate impacts resulting from a shift in agriculture </w:t>
      </w:r>
      <w:r w:rsidRPr="00504D41">
        <w:lastRenderedPageBreak/>
        <w:t xml:space="preserve">practice through expanding the effects of the shift (upstream, downstream, field and yield changes) elsewhere in order to quantify the resultant environmental impacts. Furthermore, they proposed </w:t>
      </w:r>
      <w:r w:rsidR="00876CCC" w:rsidRPr="00504D41">
        <w:t xml:space="preserve">the </w:t>
      </w:r>
      <w:r w:rsidRPr="00504D41">
        <w:t>use of geochemical modeling to quantify emission changes due to the shift in practice. These proposed LCA techniques can be a significant aid in the search for sustainable and efficacious seed coating materials allowing a way to simultaneously gauge environmental and yield based performances.</w:t>
      </w:r>
    </w:p>
    <w:p w14:paraId="2A2F28DA" w14:textId="77777777" w:rsidR="00334E5F" w:rsidRPr="00504D41" w:rsidRDefault="00C32872" w:rsidP="000C252F">
      <w:pPr>
        <w:rPr>
          <w:b/>
          <w:bCs/>
        </w:rPr>
      </w:pPr>
      <w:bookmarkStart w:id="23" w:name="_Toc85537940"/>
      <w:r w:rsidRPr="00504D41">
        <w:rPr>
          <w:b/>
          <w:bCs/>
        </w:rPr>
        <w:t>7</w:t>
      </w:r>
      <w:r w:rsidR="000C252F" w:rsidRPr="00504D41">
        <w:rPr>
          <w:b/>
          <w:bCs/>
        </w:rPr>
        <w:t>.</w:t>
      </w:r>
      <w:r w:rsidR="002A7D72" w:rsidRPr="00504D41">
        <w:rPr>
          <w:b/>
          <w:bCs/>
        </w:rPr>
        <w:t xml:space="preserve"> </w:t>
      </w:r>
      <w:r w:rsidR="00334E5F" w:rsidRPr="00504D41">
        <w:rPr>
          <w:b/>
          <w:bCs/>
        </w:rPr>
        <w:t>Future trends</w:t>
      </w:r>
      <w:bookmarkEnd w:id="23"/>
    </w:p>
    <w:p w14:paraId="6E3EEAB7" w14:textId="77777777" w:rsidR="00334E5F" w:rsidRPr="00504D41" w:rsidRDefault="00334E5F" w:rsidP="0016445D">
      <w:pPr>
        <w:tabs>
          <w:tab w:val="left" w:pos="0"/>
        </w:tabs>
        <w:spacing w:line="360" w:lineRule="auto"/>
        <w:jc w:val="both"/>
        <w:rPr>
          <w:szCs w:val="24"/>
        </w:rPr>
      </w:pPr>
      <w:r w:rsidRPr="00504D41">
        <w:rPr>
          <w:szCs w:val="24"/>
        </w:rPr>
        <w:t>The last decade has been wrought with increased academic and industrial research on the development of environmentally friendly seed treatments with sufficient efficacy to achieve the desired level of crop protection with</w:t>
      </w:r>
      <w:r w:rsidR="00DC5495" w:rsidRPr="00504D41">
        <w:rPr>
          <w:szCs w:val="24"/>
        </w:rPr>
        <w:t xml:space="preserve"> </w:t>
      </w:r>
      <w:r w:rsidRPr="00504D41">
        <w:rPr>
          <w:szCs w:val="24"/>
        </w:rPr>
        <w:t xml:space="preserve">minimal </w:t>
      </w:r>
      <w:r w:rsidR="00DC5495" w:rsidRPr="00504D41">
        <w:rPr>
          <w:szCs w:val="24"/>
        </w:rPr>
        <w:t xml:space="preserve">environmental </w:t>
      </w:r>
      <w:r w:rsidRPr="00504D41">
        <w:rPr>
          <w:szCs w:val="24"/>
        </w:rPr>
        <w:t xml:space="preserve">damage. The multidisciplinary nature of the research has brought together material scientists, </w:t>
      </w:r>
      <w:r w:rsidR="00320291" w:rsidRPr="00504D41">
        <w:rPr>
          <w:szCs w:val="24"/>
        </w:rPr>
        <w:t>agronomists</w:t>
      </w:r>
      <w:r w:rsidR="005E65C6" w:rsidRPr="00504D41">
        <w:rPr>
          <w:szCs w:val="24"/>
        </w:rPr>
        <w:t xml:space="preserve">, </w:t>
      </w:r>
      <w:r w:rsidRPr="00504D41">
        <w:rPr>
          <w:szCs w:val="24"/>
        </w:rPr>
        <w:t xml:space="preserve">and plant pathologists in increased collaborations toward the design of custom-made seed coatings as per the nature of the crop and the pest treatment required. The use of biodegradable and biocompatible polymer coatings has been the key focus of many recent publications. In general, the trend has been the investigation of a polysaccharide-based seed coating developed in a laboratory scale apparatus with a handful of studies looking at greenhouse and field data on the performance of the proposed coatings. </w:t>
      </w:r>
    </w:p>
    <w:p w14:paraId="7EBF5F2B" w14:textId="77777777" w:rsidR="00271C25" w:rsidRPr="00504D41" w:rsidRDefault="00271C25" w:rsidP="0016445D">
      <w:pPr>
        <w:tabs>
          <w:tab w:val="left" w:pos="0"/>
        </w:tabs>
        <w:spacing w:line="360" w:lineRule="auto"/>
        <w:jc w:val="both"/>
        <w:rPr>
          <w:szCs w:val="24"/>
        </w:rPr>
      </w:pPr>
      <w:r w:rsidRPr="00504D41">
        <w:rPr>
          <w:szCs w:val="24"/>
        </w:rPr>
        <w:t>A paradigm shift in existing industrial practices has also been observed to accommodate the increasing focus on sustainability by both consumers and regulatory bodies.</w:t>
      </w:r>
      <w:r w:rsidR="006F58BB" w:rsidRPr="00504D41">
        <w:rPr>
          <w:szCs w:val="24"/>
        </w:rPr>
        <w:t xml:space="preserve"> I</w:t>
      </w:r>
      <w:r w:rsidRPr="00504D41">
        <w:rPr>
          <w:szCs w:val="24"/>
        </w:rPr>
        <w:t>ndustrial seed coating giants like BASF</w:t>
      </w:r>
      <w:r w:rsidR="006D54C2" w:rsidRPr="00504D41">
        <w:rPr>
          <w:noProof/>
          <w:szCs w:val="24"/>
          <w:vertAlign w:val="superscript"/>
        </w:rPr>
        <w:t>177</w:t>
      </w:r>
      <w:r w:rsidRPr="00504D41">
        <w:rPr>
          <w:szCs w:val="24"/>
        </w:rPr>
        <w:t>, Syngenta</w:t>
      </w:r>
      <w:r w:rsidR="006D54C2" w:rsidRPr="00504D41">
        <w:rPr>
          <w:noProof/>
          <w:szCs w:val="24"/>
          <w:vertAlign w:val="superscript"/>
        </w:rPr>
        <w:t>178</w:t>
      </w:r>
      <w:r w:rsidRPr="00504D41">
        <w:rPr>
          <w:szCs w:val="24"/>
        </w:rPr>
        <w:t xml:space="preserve">, </w:t>
      </w:r>
      <w:r w:rsidR="00876CCC" w:rsidRPr="00504D41">
        <w:rPr>
          <w:szCs w:val="24"/>
        </w:rPr>
        <w:t xml:space="preserve">and </w:t>
      </w:r>
      <w:r w:rsidRPr="00504D41">
        <w:rPr>
          <w:szCs w:val="24"/>
        </w:rPr>
        <w:t>Corteva</w:t>
      </w:r>
      <w:r w:rsidR="006D54C2" w:rsidRPr="00504D41">
        <w:rPr>
          <w:noProof/>
          <w:szCs w:val="24"/>
          <w:vertAlign w:val="superscript"/>
        </w:rPr>
        <w:t>179</w:t>
      </w:r>
      <w:r w:rsidRPr="00504D41">
        <w:rPr>
          <w:szCs w:val="24"/>
        </w:rPr>
        <w:t xml:space="preserve"> </w:t>
      </w:r>
      <w:r w:rsidR="00B85417" w:rsidRPr="00504D41">
        <w:rPr>
          <w:szCs w:val="24"/>
        </w:rPr>
        <w:t>have set sustainability goals as part of their commitment</w:t>
      </w:r>
      <w:r w:rsidR="006F58BB" w:rsidRPr="00504D41">
        <w:rPr>
          <w:szCs w:val="24"/>
        </w:rPr>
        <w:t>. Also, there has been a rise in seed coating start-ups that are bringing in innovative sustainable seed coating solutions and thus diminishing the gap between academic research and on-field implementation.</w:t>
      </w:r>
      <w:r w:rsidR="0075254B" w:rsidRPr="00504D41">
        <w:rPr>
          <w:szCs w:val="24"/>
        </w:rPr>
        <w:t xml:space="preserve"> Table 5 summarizes information on recently established companies providing seed coating products and services. While the exact composition of the available commercial products is proprietary information but companies are offering microplastic free and biological solutions reflecting their increasing importance.</w:t>
      </w:r>
    </w:p>
    <w:p w14:paraId="0EB2FC05" w14:textId="77777777" w:rsidR="00C8552B" w:rsidRPr="00504D41" w:rsidRDefault="00C8552B" w:rsidP="00C8552B">
      <w:pPr>
        <w:pStyle w:val="Caption"/>
        <w:keepNext/>
        <w:rPr>
          <w:b/>
          <w:bCs/>
          <w:i w:val="0"/>
          <w:iCs w:val="0"/>
          <w:color w:val="auto"/>
          <w:sz w:val="24"/>
          <w:szCs w:val="24"/>
        </w:rPr>
      </w:pPr>
      <w:r w:rsidRPr="00504D41">
        <w:rPr>
          <w:b/>
          <w:bCs/>
          <w:i w:val="0"/>
          <w:iCs w:val="0"/>
          <w:color w:val="auto"/>
          <w:sz w:val="24"/>
          <w:szCs w:val="24"/>
        </w:rPr>
        <w:t xml:space="preserve">Table </w:t>
      </w:r>
      <w:r w:rsidRPr="00504D41">
        <w:rPr>
          <w:b/>
          <w:bCs/>
          <w:i w:val="0"/>
          <w:iCs w:val="0"/>
          <w:color w:val="auto"/>
          <w:sz w:val="24"/>
          <w:szCs w:val="24"/>
        </w:rPr>
        <w:fldChar w:fldCharType="begin"/>
      </w:r>
      <w:r w:rsidRPr="00504D41">
        <w:rPr>
          <w:b/>
          <w:bCs/>
          <w:i w:val="0"/>
          <w:iCs w:val="0"/>
          <w:color w:val="auto"/>
          <w:sz w:val="24"/>
          <w:szCs w:val="24"/>
        </w:rPr>
        <w:instrText xml:space="preserve"> SEQ Table \* ARABIC </w:instrText>
      </w:r>
      <w:r w:rsidRPr="00504D41">
        <w:rPr>
          <w:b/>
          <w:bCs/>
          <w:i w:val="0"/>
          <w:iCs w:val="0"/>
          <w:color w:val="auto"/>
          <w:sz w:val="24"/>
          <w:szCs w:val="24"/>
        </w:rPr>
        <w:fldChar w:fldCharType="separate"/>
      </w:r>
      <w:r w:rsidR="003D0A6B" w:rsidRPr="00504D41">
        <w:rPr>
          <w:b/>
          <w:bCs/>
          <w:i w:val="0"/>
          <w:iCs w:val="0"/>
          <w:noProof/>
          <w:color w:val="auto"/>
          <w:sz w:val="24"/>
          <w:szCs w:val="24"/>
        </w:rPr>
        <w:t>5</w:t>
      </w:r>
      <w:r w:rsidRPr="00504D41">
        <w:rPr>
          <w:b/>
          <w:bCs/>
          <w:i w:val="0"/>
          <w:iCs w:val="0"/>
          <w:color w:val="auto"/>
          <w:sz w:val="24"/>
          <w:szCs w:val="24"/>
        </w:rPr>
        <w:fldChar w:fldCharType="end"/>
      </w:r>
      <w:r w:rsidR="002B19BE" w:rsidRPr="00504D41">
        <w:rPr>
          <w:b/>
          <w:bCs/>
          <w:i w:val="0"/>
          <w:iCs w:val="0"/>
          <w:color w:val="auto"/>
          <w:sz w:val="24"/>
          <w:szCs w:val="24"/>
        </w:rPr>
        <w:t>.</w:t>
      </w:r>
      <w:r w:rsidR="00354378" w:rsidRPr="00504D41">
        <w:rPr>
          <w:b/>
          <w:bCs/>
          <w:i w:val="0"/>
          <w:iCs w:val="0"/>
          <w:color w:val="auto"/>
          <w:sz w:val="24"/>
          <w:szCs w:val="24"/>
        </w:rPr>
        <w:t xml:space="preserve"> Some</w:t>
      </w:r>
      <w:r w:rsidR="002B19BE" w:rsidRPr="00504D41">
        <w:rPr>
          <w:b/>
          <w:bCs/>
          <w:i w:val="0"/>
          <w:iCs w:val="0"/>
          <w:color w:val="auto"/>
          <w:sz w:val="24"/>
          <w:szCs w:val="24"/>
        </w:rPr>
        <w:t xml:space="preserve"> </w:t>
      </w:r>
      <w:r w:rsidR="00354378" w:rsidRPr="00504D41">
        <w:rPr>
          <w:b/>
          <w:bCs/>
          <w:i w:val="0"/>
          <w:iCs w:val="0"/>
          <w:color w:val="auto"/>
          <w:sz w:val="24"/>
          <w:szCs w:val="24"/>
        </w:rPr>
        <w:t>r</w:t>
      </w:r>
      <w:r w:rsidR="002B19BE" w:rsidRPr="00504D41">
        <w:rPr>
          <w:b/>
          <w:bCs/>
          <w:i w:val="0"/>
          <w:iCs w:val="0"/>
          <w:color w:val="auto"/>
          <w:sz w:val="24"/>
          <w:szCs w:val="24"/>
        </w:rPr>
        <w:t>ecent seed coating industrial ventures</w:t>
      </w:r>
    </w:p>
    <w:tbl>
      <w:tblPr>
        <w:tblW w:w="5000" w:type="pct"/>
        <w:tblLook w:val="04A0" w:firstRow="1" w:lastRow="0" w:firstColumn="1" w:lastColumn="0" w:noHBand="0" w:noVBand="1"/>
      </w:tblPr>
      <w:tblGrid>
        <w:gridCol w:w="2114"/>
        <w:gridCol w:w="1475"/>
        <w:gridCol w:w="2568"/>
        <w:gridCol w:w="3419"/>
      </w:tblGrid>
      <w:tr w:rsidR="0075254B" w:rsidRPr="00504D41" w14:paraId="0C377EBC" w14:textId="77777777" w:rsidTr="00652513">
        <w:trPr>
          <w:trHeight w:val="510"/>
        </w:trPr>
        <w:tc>
          <w:tcPr>
            <w:tcW w:w="11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7B07FD" w14:textId="77777777" w:rsidR="0075254B" w:rsidRPr="00504D41" w:rsidRDefault="0075254B" w:rsidP="00652513">
            <w:pPr>
              <w:spacing w:after="0" w:line="240" w:lineRule="auto"/>
              <w:jc w:val="center"/>
              <w:rPr>
                <w:rFonts w:ascii="Arial" w:eastAsia="Times New Roman" w:hAnsi="Arial" w:cs="Arial"/>
                <w:color w:val="000000"/>
                <w:sz w:val="20"/>
                <w:szCs w:val="20"/>
              </w:rPr>
            </w:pPr>
            <w:r w:rsidRPr="00504D41">
              <w:rPr>
                <w:rFonts w:ascii="Arial" w:eastAsia="Times New Roman" w:hAnsi="Arial" w:cs="Arial"/>
                <w:color w:val="000000"/>
                <w:sz w:val="20"/>
                <w:szCs w:val="20"/>
              </w:rPr>
              <w:t>Company</w:t>
            </w:r>
          </w:p>
        </w:tc>
        <w:tc>
          <w:tcPr>
            <w:tcW w:w="770" w:type="pct"/>
            <w:tcBorders>
              <w:top w:val="single" w:sz="4" w:space="0" w:color="auto"/>
              <w:left w:val="nil"/>
              <w:bottom w:val="single" w:sz="4" w:space="0" w:color="auto"/>
              <w:right w:val="single" w:sz="4" w:space="0" w:color="auto"/>
            </w:tcBorders>
            <w:shd w:val="clear" w:color="auto" w:fill="auto"/>
            <w:vAlign w:val="center"/>
            <w:hideMark/>
          </w:tcPr>
          <w:p w14:paraId="21EE22EB" w14:textId="77777777" w:rsidR="0075254B" w:rsidRPr="00504D41" w:rsidRDefault="0075254B" w:rsidP="00652513">
            <w:pPr>
              <w:spacing w:after="0" w:line="240" w:lineRule="auto"/>
              <w:jc w:val="center"/>
              <w:rPr>
                <w:rFonts w:ascii="Arial" w:eastAsia="Times New Roman" w:hAnsi="Arial" w:cs="Arial"/>
                <w:color w:val="000000"/>
                <w:sz w:val="20"/>
                <w:szCs w:val="20"/>
              </w:rPr>
            </w:pPr>
            <w:r w:rsidRPr="00504D41">
              <w:rPr>
                <w:rFonts w:ascii="Arial" w:eastAsia="Times New Roman" w:hAnsi="Arial" w:cs="Arial"/>
                <w:color w:val="000000"/>
                <w:sz w:val="20"/>
                <w:szCs w:val="20"/>
              </w:rPr>
              <w:t>Year of establishment</w:t>
            </w:r>
          </w:p>
        </w:tc>
        <w:tc>
          <w:tcPr>
            <w:tcW w:w="1341" w:type="pct"/>
            <w:tcBorders>
              <w:top w:val="single" w:sz="4" w:space="0" w:color="auto"/>
              <w:left w:val="nil"/>
              <w:bottom w:val="single" w:sz="4" w:space="0" w:color="auto"/>
              <w:right w:val="single" w:sz="4" w:space="0" w:color="auto"/>
            </w:tcBorders>
            <w:shd w:val="clear" w:color="auto" w:fill="auto"/>
            <w:vAlign w:val="center"/>
            <w:hideMark/>
          </w:tcPr>
          <w:p w14:paraId="47BE5914" w14:textId="77777777" w:rsidR="0075254B" w:rsidRPr="00504D41" w:rsidRDefault="0075254B" w:rsidP="00652513">
            <w:pPr>
              <w:spacing w:after="0" w:line="240" w:lineRule="auto"/>
              <w:jc w:val="center"/>
              <w:rPr>
                <w:rFonts w:ascii="Arial" w:eastAsia="Times New Roman" w:hAnsi="Arial" w:cs="Arial"/>
                <w:color w:val="000000"/>
                <w:sz w:val="20"/>
                <w:szCs w:val="20"/>
              </w:rPr>
            </w:pPr>
            <w:r w:rsidRPr="00504D41">
              <w:rPr>
                <w:rFonts w:ascii="Arial" w:eastAsia="Times New Roman" w:hAnsi="Arial" w:cs="Arial"/>
                <w:color w:val="000000"/>
                <w:sz w:val="20"/>
                <w:szCs w:val="20"/>
              </w:rPr>
              <w:t>Location</w:t>
            </w:r>
          </w:p>
        </w:tc>
        <w:tc>
          <w:tcPr>
            <w:tcW w:w="1785" w:type="pct"/>
            <w:tcBorders>
              <w:top w:val="single" w:sz="4" w:space="0" w:color="auto"/>
              <w:left w:val="nil"/>
              <w:bottom w:val="single" w:sz="4" w:space="0" w:color="auto"/>
              <w:right w:val="single" w:sz="4" w:space="0" w:color="auto"/>
            </w:tcBorders>
            <w:shd w:val="clear" w:color="auto" w:fill="auto"/>
            <w:vAlign w:val="center"/>
            <w:hideMark/>
          </w:tcPr>
          <w:p w14:paraId="6C6C2795" w14:textId="77777777" w:rsidR="0075254B" w:rsidRPr="00504D41" w:rsidRDefault="0075254B" w:rsidP="00652513">
            <w:pPr>
              <w:spacing w:after="0" w:line="240" w:lineRule="auto"/>
              <w:jc w:val="center"/>
              <w:rPr>
                <w:rFonts w:ascii="Arial" w:eastAsia="Times New Roman" w:hAnsi="Arial" w:cs="Arial"/>
                <w:color w:val="000000"/>
                <w:sz w:val="20"/>
                <w:szCs w:val="20"/>
              </w:rPr>
            </w:pPr>
            <w:r w:rsidRPr="00504D41">
              <w:rPr>
                <w:rFonts w:ascii="Arial" w:eastAsia="Times New Roman" w:hAnsi="Arial" w:cs="Arial"/>
                <w:color w:val="000000"/>
                <w:sz w:val="20"/>
                <w:szCs w:val="20"/>
              </w:rPr>
              <w:t>Seed coating product/service</w:t>
            </w:r>
          </w:p>
        </w:tc>
      </w:tr>
      <w:tr w:rsidR="0075254B" w:rsidRPr="00504D41" w14:paraId="527402D0" w14:textId="77777777" w:rsidTr="00652513">
        <w:trPr>
          <w:trHeight w:val="480"/>
        </w:trPr>
        <w:tc>
          <w:tcPr>
            <w:tcW w:w="1104" w:type="pct"/>
            <w:tcBorders>
              <w:top w:val="nil"/>
              <w:left w:val="single" w:sz="4" w:space="0" w:color="auto"/>
              <w:bottom w:val="single" w:sz="4" w:space="0" w:color="auto"/>
              <w:right w:val="single" w:sz="4" w:space="0" w:color="auto"/>
            </w:tcBorders>
            <w:shd w:val="clear" w:color="auto" w:fill="auto"/>
            <w:vAlign w:val="center"/>
            <w:hideMark/>
          </w:tcPr>
          <w:p w14:paraId="4805B2A9" w14:textId="77777777" w:rsidR="0075254B" w:rsidRPr="00504D41" w:rsidRDefault="0075254B" w:rsidP="006D54C2">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SilviBio</w:t>
            </w:r>
            <w:r w:rsidR="006D54C2" w:rsidRPr="00504D41">
              <w:rPr>
                <w:rFonts w:ascii="Arial" w:eastAsia="Times New Roman" w:hAnsi="Arial" w:cs="Arial"/>
                <w:noProof/>
                <w:color w:val="000000"/>
                <w:sz w:val="20"/>
                <w:szCs w:val="20"/>
                <w:vertAlign w:val="superscript"/>
              </w:rPr>
              <w:t>180</w:t>
            </w:r>
          </w:p>
        </w:tc>
        <w:tc>
          <w:tcPr>
            <w:tcW w:w="770" w:type="pct"/>
            <w:tcBorders>
              <w:top w:val="nil"/>
              <w:left w:val="nil"/>
              <w:bottom w:val="single" w:sz="4" w:space="0" w:color="auto"/>
              <w:right w:val="single" w:sz="4" w:space="0" w:color="auto"/>
            </w:tcBorders>
            <w:shd w:val="clear" w:color="auto" w:fill="auto"/>
            <w:vAlign w:val="center"/>
            <w:hideMark/>
          </w:tcPr>
          <w:p w14:paraId="1DA3D85C" w14:textId="77777777" w:rsidR="0075254B" w:rsidRPr="00504D41" w:rsidRDefault="0075254B" w:rsidP="00652513">
            <w:pPr>
              <w:spacing w:after="0" w:line="240" w:lineRule="auto"/>
              <w:jc w:val="center"/>
              <w:rPr>
                <w:rFonts w:ascii="Arial" w:eastAsia="Times New Roman" w:hAnsi="Arial" w:cs="Arial"/>
                <w:color w:val="000000"/>
                <w:sz w:val="20"/>
                <w:szCs w:val="20"/>
              </w:rPr>
            </w:pPr>
            <w:r w:rsidRPr="00504D41">
              <w:rPr>
                <w:rFonts w:ascii="Arial" w:eastAsia="Times New Roman" w:hAnsi="Arial" w:cs="Arial"/>
                <w:color w:val="000000"/>
                <w:sz w:val="20"/>
                <w:szCs w:val="20"/>
              </w:rPr>
              <w:t>2019</w:t>
            </w:r>
          </w:p>
        </w:tc>
        <w:tc>
          <w:tcPr>
            <w:tcW w:w="1341" w:type="pct"/>
            <w:tcBorders>
              <w:top w:val="nil"/>
              <w:left w:val="nil"/>
              <w:bottom w:val="single" w:sz="4" w:space="0" w:color="auto"/>
              <w:right w:val="single" w:sz="4" w:space="0" w:color="auto"/>
            </w:tcBorders>
            <w:shd w:val="clear" w:color="auto" w:fill="auto"/>
            <w:vAlign w:val="center"/>
            <w:hideMark/>
          </w:tcPr>
          <w:p w14:paraId="31B00888" w14:textId="77777777" w:rsidR="0075254B" w:rsidRPr="00504D41" w:rsidRDefault="0075254B" w:rsidP="00652513">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Scotland, UK</w:t>
            </w:r>
          </w:p>
        </w:tc>
        <w:tc>
          <w:tcPr>
            <w:tcW w:w="1785" w:type="pct"/>
            <w:tcBorders>
              <w:top w:val="nil"/>
              <w:left w:val="nil"/>
              <w:bottom w:val="single" w:sz="4" w:space="0" w:color="auto"/>
              <w:right w:val="single" w:sz="4" w:space="0" w:color="auto"/>
            </w:tcBorders>
            <w:shd w:val="clear" w:color="auto" w:fill="auto"/>
            <w:vAlign w:val="center"/>
            <w:hideMark/>
          </w:tcPr>
          <w:p w14:paraId="49440B58" w14:textId="77777777" w:rsidR="0075254B" w:rsidRPr="00504D41" w:rsidRDefault="0075254B" w:rsidP="00652513">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Biobased seed treatment coatings and additives</w:t>
            </w:r>
          </w:p>
        </w:tc>
      </w:tr>
      <w:tr w:rsidR="0075254B" w:rsidRPr="00504D41" w14:paraId="54FD3820" w14:textId="77777777" w:rsidTr="00652513">
        <w:trPr>
          <w:trHeight w:val="720"/>
        </w:trPr>
        <w:tc>
          <w:tcPr>
            <w:tcW w:w="1104" w:type="pct"/>
            <w:tcBorders>
              <w:top w:val="nil"/>
              <w:left w:val="single" w:sz="4" w:space="0" w:color="auto"/>
              <w:bottom w:val="single" w:sz="4" w:space="0" w:color="auto"/>
              <w:right w:val="single" w:sz="4" w:space="0" w:color="auto"/>
            </w:tcBorders>
            <w:shd w:val="clear" w:color="auto" w:fill="auto"/>
            <w:vAlign w:val="center"/>
            <w:hideMark/>
          </w:tcPr>
          <w:p w14:paraId="479CC938" w14:textId="77777777" w:rsidR="0075254B" w:rsidRPr="00504D41" w:rsidRDefault="0075254B" w:rsidP="006D54C2">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lastRenderedPageBreak/>
              <w:t>Agrynex</w:t>
            </w:r>
            <w:r w:rsidR="006D54C2" w:rsidRPr="00504D41">
              <w:rPr>
                <w:rFonts w:ascii="Arial" w:eastAsia="Times New Roman" w:hAnsi="Arial" w:cs="Arial"/>
                <w:noProof/>
                <w:color w:val="000000"/>
                <w:sz w:val="20"/>
                <w:szCs w:val="20"/>
                <w:vertAlign w:val="superscript"/>
              </w:rPr>
              <w:t>181</w:t>
            </w:r>
          </w:p>
        </w:tc>
        <w:tc>
          <w:tcPr>
            <w:tcW w:w="770" w:type="pct"/>
            <w:tcBorders>
              <w:top w:val="nil"/>
              <w:left w:val="nil"/>
              <w:bottom w:val="single" w:sz="4" w:space="0" w:color="auto"/>
              <w:right w:val="single" w:sz="4" w:space="0" w:color="auto"/>
            </w:tcBorders>
            <w:shd w:val="clear" w:color="auto" w:fill="auto"/>
            <w:vAlign w:val="center"/>
            <w:hideMark/>
          </w:tcPr>
          <w:p w14:paraId="64E03325" w14:textId="77777777" w:rsidR="0075254B" w:rsidRPr="00504D41" w:rsidRDefault="0075254B" w:rsidP="00652513">
            <w:pPr>
              <w:spacing w:after="0" w:line="240" w:lineRule="auto"/>
              <w:jc w:val="center"/>
              <w:rPr>
                <w:rFonts w:ascii="Arial" w:eastAsia="Times New Roman" w:hAnsi="Arial" w:cs="Arial"/>
                <w:color w:val="000000"/>
                <w:sz w:val="20"/>
                <w:szCs w:val="20"/>
              </w:rPr>
            </w:pPr>
            <w:r w:rsidRPr="00504D41">
              <w:rPr>
                <w:rFonts w:ascii="Arial" w:eastAsia="Times New Roman" w:hAnsi="Arial" w:cs="Arial"/>
                <w:color w:val="000000"/>
                <w:sz w:val="20"/>
                <w:szCs w:val="20"/>
              </w:rPr>
              <w:t>2015</w:t>
            </w:r>
          </w:p>
        </w:tc>
        <w:tc>
          <w:tcPr>
            <w:tcW w:w="1341" w:type="pct"/>
            <w:tcBorders>
              <w:top w:val="nil"/>
              <w:left w:val="nil"/>
              <w:bottom w:val="single" w:sz="4" w:space="0" w:color="auto"/>
              <w:right w:val="single" w:sz="4" w:space="0" w:color="auto"/>
            </w:tcBorders>
            <w:shd w:val="clear" w:color="auto" w:fill="auto"/>
            <w:vAlign w:val="center"/>
            <w:hideMark/>
          </w:tcPr>
          <w:p w14:paraId="08170F6D" w14:textId="77777777" w:rsidR="0075254B" w:rsidRPr="00504D41" w:rsidRDefault="0075254B" w:rsidP="00652513">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USA</w:t>
            </w:r>
          </w:p>
        </w:tc>
        <w:tc>
          <w:tcPr>
            <w:tcW w:w="1785" w:type="pct"/>
            <w:tcBorders>
              <w:top w:val="nil"/>
              <w:left w:val="nil"/>
              <w:bottom w:val="single" w:sz="4" w:space="0" w:color="auto"/>
              <w:right w:val="single" w:sz="4" w:space="0" w:color="auto"/>
            </w:tcBorders>
            <w:shd w:val="clear" w:color="auto" w:fill="auto"/>
            <w:vAlign w:val="center"/>
            <w:hideMark/>
          </w:tcPr>
          <w:p w14:paraId="77B77B2C" w14:textId="77777777" w:rsidR="0075254B" w:rsidRPr="00504D41" w:rsidRDefault="0075254B" w:rsidP="00876CCC">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 xml:space="preserve">Enzyme based seed coating </w:t>
            </w:r>
            <w:r w:rsidR="00876CCC" w:rsidRPr="00504D41">
              <w:rPr>
                <w:rFonts w:ascii="Arial" w:eastAsia="Times New Roman" w:hAnsi="Arial" w:cs="Arial"/>
                <w:color w:val="000000"/>
                <w:sz w:val="20"/>
                <w:szCs w:val="20"/>
              </w:rPr>
              <w:t xml:space="preserve">offers </w:t>
            </w:r>
            <w:r w:rsidRPr="00504D41">
              <w:rPr>
                <w:rFonts w:ascii="Arial" w:eastAsia="Times New Roman" w:hAnsi="Arial" w:cs="Arial"/>
                <w:color w:val="000000"/>
                <w:sz w:val="20"/>
                <w:szCs w:val="20"/>
              </w:rPr>
              <w:t>one-stop protection against multiple pathogens</w:t>
            </w:r>
          </w:p>
        </w:tc>
      </w:tr>
      <w:tr w:rsidR="0075254B" w:rsidRPr="00504D41" w14:paraId="53B542FC" w14:textId="77777777" w:rsidTr="00652513">
        <w:trPr>
          <w:trHeight w:val="480"/>
        </w:trPr>
        <w:tc>
          <w:tcPr>
            <w:tcW w:w="1104" w:type="pct"/>
            <w:tcBorders>
              <w:top w:val="nil"/>
              <w:left w:val="single" w:sz="4" w:space="0" w:color="auto"/>
              <w:bottom w:val="single" w:sz="4" w:space="0" w:color="auto"/>
              <w:right w:val="single" w:sz="4" w:space="0" w:color="auto"/>
            </w:tcBorders>
            <w:shd w:val="clear" w:color="auto" w:fill="auto"/>
            <w:vAlign w:val="center"/>
            <w:hideMark/>
          </w:tcPr>
          <w:p w14:paraId="115F0842" w14:textId="77777777" w:rsidR="0075254B" w:rsidRPr="00504D41" w:rsidRDefault="0075254B" w:rsidP="006D54C2">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Ad Terram</w:t>
            </w:r>
            <w:r w:rsidR="006D54C2" w:rsidRPr="00504D41">
              <w:rPr>
                <w:rFonts w:ascii="Arial" w:eastAsia="Times New Roman" w:hAnsi="Arial" w:cs="Arial"/>
                <w:noProof/>
                <w:color w:val="000000"/>
                <w:sz w:val="20"/>
                <w:szCs w:val="20"/>
                <w:vertAlign w:val="superscript"/>
              </w:rPr>
              <w:t>182</w:t>
            </w:r>
          </w:p>
        </w:tc>
        <w:tc>
          <w:tcPr>
            <w:tcW w:w="770" w:type="pct"/>
            <w:tcBorders>
              <w:top w:val="nil"/>
              <w:left w:val="nil"/>
              <w:bottom w:val="single" w:sz="4" w:space="0" w:color="auto"/>
              <w:right w:val="single" w:sz="4" w:space="0" w:color="auto"/>
            </w:tcBorders>
            <w:shd w:val="clear" w:color="auto" w:fill="auto"/>
            <w:vAlign w:val="center"/>
            <w:hideMark/>
          </w:tcPr>
          <w:p w14:paraId="05CC7D49" w14:textId="77777777" w:rsidR="0075254B" w:rsidRPr="00504D41" w:rsidRDefault="0075254B" w:rsidP="00652513">
            <w:pPr>
              <w:spacing w:after="0" w:line="240" w:lineRule="auto"/>
              <w:jc w:val="center"/>
              <w:rPr>
                <w:rFonts w:ascii="Arial" w:eastAsia="Times New Roman" w:hAnsi="Arial" w:cs="Arial"/>
                <w:color w:val="000000"/>
                <w:sz w:val="20"/>
                <w:szCs w:val="20"/>
              </w:rPr>
            </w:pPr>
            <w:r w:rsidRPr="00504D41">
              <w:rPr>
                <w:rFonts w:ascii="Arial" w:eastAsia="Times New Roman" w:hAnsi="Arial" w:cs="Arial"/>
                <w:color w:val="000000"/>
                <w:sz w:val="20"/>
                <w:szCs w:val="20"/>
              </w:rPr>
              <w:t>2014</w:t>
            </w:r>
          </w:p>
        </w:tc>
        <w:tc>
          <w:tcPr>
            <w:tcW w:w="1341" w:type="pct"/>
            <w:tcBorders>
              <w:top w:val="nil"/>
              <w:left w:val="nil"/>
              <w:bottom w:val="single" w:sz="4" w:space="0" w:color="auto"/>
              <w:right w:val="single" w:sz="4" w:space="0" w:color="auto"/>
            </w:tcBorders>
            <w:shd w:val="clear" w:color="auto" w:fill="auto"/>
            <w:vAlign w:val="center"/>
            <w:hideMark/>
          </w:tcPr>
          <w:p w14:paraId="10EEFA91" w14:textId="77777777" w:rsidR="0075254B" w:rsidRPr="00504D41" w:rsidRDefault="0075254B" w:rsidP="00652513">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Netherlands</w:t>
            </w:r>
          </w:p>
        </w:tc>
        <w:tc>
          <w:tcPr>
            <w:tcW w:w="1785" w:type="pct"/>
            <w:tcBorders>
              <w:top w:val="nil"/>
              <w:left w:val="nil"/>
              <w:bottom w:val="single" w:sz="4" w:space="0" w:color="auto"/>
              <w:right w:val="single" w:sz="4" w:space="0" w:color="auto"/>
            </w:tcBorders>
            <w:shd w:val="clear" w:color="auto" w:fill="auto"/>
            <w:vAlign w:val="center"/>
            <w:hideMark/>
          </w:tcPr>
          <w:p w14:paraId="3B0F4420" w14:textId="77777777" w:rsidR="0075254B" w:rsidRPr="00504D41" w:rsidRDefault="0075254B" w:rsidP="00652513">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Microplastic</w:t>
            </w:r>
            <w:r w:rsidR="00876CCC" w:rsidRPr="00504D41">
              <w:rPr>
                <w:rFonts w:ascii="Arial" w:eastAsia="Times New Roman" w:hAnsi="Arial" w:cs="Arial"/>
                <w:color w:val="000000"/>
                <w:sz w:val="20"/>
                <w:szCs w:val="20"/>
              </w:rPr>
              <w:t>-</w:t>
            </w:r>
            <w:r w:rsidRPr="00504D41">
              <w:rPr>
                <w:rFonts w:ascii="Arial" w:eastAsia="Times New Roman" w:hAnsi="Arial" w:cs="Arial"/>
                <w:color w:val="000000"/>
                <w:sz w:val="20"/>
                <w:szCs w:val="20"/>
              </w:rPr>
              <w:t xml:space="preserve">free biodegradable seed coatings </w:t>
            </w:r>
          </w:p>
        </w:tc>
      </w:tr>
      <w:tr w:rsidR="0075254B" w:rsidRPr="00504D41" w14:paraId="26452E22" w14:textId="77777777" w:rsidTr="00652513">
        <w:trPr>
          <w:trHeight w:val="480"/>
        </w:trPr>
        <w:tc>
          <w:tcPr>
            <w:tcW w:w="1104" w:type="pct"/>
            <w:tcBorders>
              <w:top w:val="nil"/>
              <w:left w:val="single" w:sz="4" w:space="0" w:color="auto"/>
              <w:bottom w:val="single" w:sz="4" w:space="0" w:color="auto"/>
              <w:right w:val="single" w:sz="4" w:space="0" w:color="auto"/>
            </w:tcBorders>
            <w:shd w:val="clear" w:color="auto" w:fill="auto"/>
            <w:vAlign w:val="center"/>
            <w:hideMark/>
          </w:tcPr>
          <w:p w14:paraId="6BD7A2B3" w14:textId="77777777" w:rsidR="0075254B" w:rsidRPr="00504D41" w:rsidRDefault="0075254B" w:rsidP="006D54C2">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Indigo Ag</w:t>
            </w:r>
            <w:r w:rsidR="006D54C2" w:rsidRPr="00504D41">
              <w:rPr>
                <w:rFonts w:ascii="Arial" w:eastAsia="Times New Roman" w:hAnsi="Arial" w:cs="Arial"/>
                <w:noProof/>
                <w:color w:val="000000"/>
                <w:sz w:val="20"/>
                <w:szCs w:val="20"/>
                <w:vertAlign w:val="superscript"/>
              </w:rPr>
              <w:t>183</w:t>
            </w:r>
          </w:p>
        </w:tc>
        <w:tc>
          <w:tcPr>
            <w:tcW w:w="770" w:type="pct"/>
            <w:tcBorders>
              <w:top w:val="nil"/>
              <w:left w:val="nil"/>
              <w:bottom w:val="single" w:sz="4" w:space="0" w:color="auto"/>
              <w:right w:val="single" w:sz="4" w:space="0" w:color="auto"/>
            </w:tcBorders>
            <w:shd w:val="clear" w:color="auto" w:fill="auto"/>
            <w:vAlign w:val="center"/>
            <w:hideMark/>
          </w:tcPr>
          <w:p w14:paraId="4A898F1C" w14:textId="77777777" w:rsidR="0075254B" w:rsidRPr="00504D41" w:rsidRDefault="0075254B" w:rsidP="00652513">
            <w:pPr>
              <w:spacing w:after="0" w:line="240" w:lineRule="auto"/>
              <w:jc w:val="center"/>
              <w:rPr>
                <w:rFonts w:ascii="Arial" w:eastAsia="Times New Roman" w:hAnsi="Arial" w:cs="Arial"/>
                <w:color w:val="000000"/>
                <w:sz w:val="20"/>
                <w:szCs w:val="20"/>
              </w:rPr>
            </w:pPr>
            <w:r w:rsidRPr="00504D41">
              <w:rPr>
                <w:rFonts w:ascii="Arial" w:eastAsia="Times New Roman" w:hAnsi="Arial" w:cs="Arial"/>
                <w:color w:val="000000"/>
                <w:sz w:val="20"/>
                <w:szCs w:val="20"/>
              </w:rPr>
              <w:t>2013</w:t>
            </w:r>
          </w:p>
        </w:tc>
        <w:tc>
          <w:tcPr>
            <w:tcW w:w="1341" w:type="pct"/>
            <w:tcBorders>
              <w:top w:val="nil"/>
              <w:left w:val="nil"/>
              <w:bottom w:val="single" w:sz="4" w:space="0" w:color="auto"/>
              <w:right w:val="single" w:sz="4" w:space="0" w:color="auto"/>
            </w:tcBorders>
            <w:shd w:val="clear" w:color="auto" w:fill="auto"/>
            <w:vAlign w:val="center"/>
            <w:hideMark/>
          </w:tcPr>
          <w:p w14:paraId="1A43F62C" w14:textId="77777777" w:rsidR="0075254B" w:rsidRPr="00504D41" w:rsidRDefault="0075254B" w:rsidP="00652513">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Massachusetts, USA</w:t>
            </w:r>
          </w:p>
        </w:tc>
        <w:tc>
          <w:tcPr>
            <w:tcW w:w="1785" w:type="pct"/>
            <w:tcBorders>
              <w:top w:val="nil"/>
              <w:left w:val="nil"/>
              <w:bottom w:val="single" w:sz="4" w:space="0" w:color="auto"/>
              <w:right w:val="single" w:sz="4" w:space="0" w:color="auto"/>
            </w:tcBorders>
            <w:shd w:val="clear" w:color="auto" w:fill="auto"/>
            <w:vAlign w:val="center"/>
            <w:hideMark/>
          </w:tcPr>
          <w:p w14:paraId="3C47B706" w14:textId="77777777" w:rsidR="0075254B" w:rsidRPr="00504D41" w:rsidRDefault="00876CCC" w:rsidP="00876CCC">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PGPM-</w:t>
            </w:r>
            <w:r w:rsidR="0075254B" w:rsidRPr="00504D41">
              <w:rPr>
                <w:rFonts w:ascii="Arial" w:eastAsia="Times New Roman" w:hAnsi="Arial" w:cs="Arial"/>
                <w:color w:val="000000"/>
                <w:sz w:val="20"/>
                <w:szCs w:val="20"/>
              </w:rPr>
              <w:t>based s</w:t>
            </w:r>
            <w:r w:rsidR="00A9416E" w:rsidRPr="00504D41">
              <w:rPr>
                <w:rFonts w:ascii="Arial" w:eastAsia="Times New Roman" w:hAnsi="Arial" w:cs="Arial"/>
                <w:color w:val="000000"/>
                <w:sz w:val="20"/>
                <w:szCs w:val="20"/>
              </w:rPr>
              <w:t>eed coating powders and slurries</w:t>
            </w:r>
          </w:p>
        </w:tc>
      </w:tr>
      <w:tr w:rsidR="0075254B" w:rsidRPr="00504D41" w14:paraId="607C50B9" w14:textId="77777777" w:rsidTr="00652513">
        <w:trPr>
          <w:trHeight w:val="960"/>
        </w:trPr>
        <w:tc>
          <w:tcPr>
            <w:tcW w:w="1104" w:type="pct"/>
            <w:tcBorders>
              <w:top w:val="nil"/>
              <w:left w:val="single" w:sz="4" w:space="0" w:color="auto"/>
              <w:bottom w:val="single" w:sz="4" w:space="0" w:color="auto"/>
              <w:right w:val="single" w:sz="4" w:space="0" w:color="auto"/>
            </w:tcBorders>
            <w:shd w:val="clear" w:color="auto" w:fill="auto"/>
            <w:vAlign w:val="center"/>
            <w:hideMark/>
          </w:tcPr>
          <w:p w14:paraId="470796BB" w14:textId="77777777" w:rsidR="0075254B" w:rsidRPr="00504D41" w:rsidRDefault="0075254B" w:rsidP="006D54C2">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Green and Seed Corp.</w:t>
            </w:r>
            <w:r w:rsidR="006D54C2" w:rsidRPr="00504D41">
              <w:rPr>
                <w:rFonts w:ascii="Arial" w:eastAsia="Times New Roman" w:hAnsi="Arial" w:cs="Arial"/>
                <w:noProof/>
                <w:color w:val="000000"/>
                <w:sz w:val="20"/>
                <w:szCs w:val="20"/>
                <w:vertAlign w:val="superscript"/>
              </w:rPr>
              <w:t>184</w:t>
            </w:r>
            <w:r w:rsidR="00360D23" w:rsidRPr="00504D41">
              <w:rPr>
                <w:rFonts w:ascii="Arial" w:eastAsia="Times New Roman" w:hAnsi="Arial" w:cs="Arial"/>
                <w:color w:val="000000"/>
                <w:sz w:val="20"/>
                <w:szCs w:val="20"/>
              </w:rPr>
              <w:t xml:space="preserve"> </w:t>
            </w:r>
          </w:p>
        </w:tc>
        <w:tc>
          <w:tcPr>
            <w:tcW w:w="770" w:type="pct"/>
            <w:tcBorders>
              <w:top w:val="nil"/>
              <w:left w:val="nil"/>
              <w:bottom w:val="single" w:sz="4" w:space="0" w:color="auto"/>
              <w:right w:val="single" w:sz="4" w:space="0" w:color="auto"/>
            </w:tcBorders>
            <w:shd w:val="clear" w:color="auto" w:fill="auto"/>
            <w:vAlign w:val="center"/>
            <w:hideMark/>
          </w:tcPr>
          <w:p w14:paraId="092E6F9C" w14:textId="77777777" w:rsidR="0075254B" w:rsidRPr="00504D41" w:rsidRDefault="0075254B" w:rsidP="00652513">
            <w:pPr>
              <w:spacing w:after="0" w:line="240" w:lineRule="auto"/>
              <w:jc w:val="center"/>
              <w:rPr>
                <w:rFonts w:ascii="Arial" w:eastAsia="Times New Roman" w:hAnsi="Arial" w:cs="Arial"/>
                <w:color w:val="000000"/>
                <w:sz w:val="20"/>
                <w:szCs w:val="20"/>
              </w:rPr>
            </w:pPr>
            <w:r w:rsidRPr="00504D41">
              <w:rPr>
                <w:rFonts w:ascii="Arial" w:eastAsia="Times New Roman" w:hAnsi="Arial" w:cs="Arial"/>
                <w:color w:val="000000"/>
                <w:sz w:val="20"/>
                <w:szCs w:val="20"/>
              </w:rPr>
              <w:t>2013</w:t>
            </w:r>
          </w:p>
        </w:tc>
        <w:tc>
          <w:tcPr>
            <w:tcW w:w="1341" w:type="pct"/>
            <w:tcBorders>
              <w:top w:val="nil"/>
              <w:left w:val="nil"/>
              <w:bottom w:val="single" w:sz="4" w:space="0" w:color="auto"/>
              <w:right w:val="single" w:sz="4" w:space="0" w:color="auto"/>
            </w:tcBorders>
            <w:shd w:val="clear" w:color="auto" w:fill="auto"/>
            <w:vAlign w:val="center"/>
            <w:hideMark/>
          </w:tcPr>
          <w:p w14:paraId="557C67D2" w14:textId="77777777" w:rsidR="0075254B" w:rsidRPr="00504D41" w:rsidRDefault="0075254B" w:rsidP="00652513">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Republic of Korea</w:t>
            </w:r>
          </w:p>
        </w:tc>
        <w:tc>
          <w:tcPr>
            <w:tcW w:w="1785" w:type="pct"/>
            <w:tcBorders>
              <w:top w:val="nil"/>
              <w:left w:val="nil"/>
              <w:bottom w:val="single" w:sz="4" w:space="0" w:color="auto"/>
              <w:right w:val="single" w:sz="4" w:space="0" w:color="auto"/>
            </w:tcBorders>
            <w:shd w:val="clear" w:color="auto" w:fill="auto"/>
            <w:vAlign w:val="center"/>
            <w:hideMark/>
          </w:tcPr>
          <w:p w14:paraId="20A7CD51" w14:textId="77777777" w:rsidR="0075254B" w:rsidRPr="00504D41" w:rsidRDefault="0075254B" w:rsidP="00652513">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 xml:space="preserve">Biodegradable seed films composed of </w:t>
            </w:r>
            <w:r w:rsidR="00876CCC" w:rsidRPr="00504D41">
              <w:rPr>
                <w:rFonts w:ascii="Arial" w:eastAsia="Times New Roman" w:hAnsi="Arial" w:cs="Arial"/>
                <w:color w:val="000000"/>
                <w:sz w:val="20"/>
                <w:szCs w:val="20"/>
              </w:rPr>
              <w:t>p</w:t>
            </w:r>
            <w:r w:rsidRPr="00504D41">
              <w:rPr>
                <w:rFonts w:ascii="Arial" w:eastAsia="Times New Roman" w:hAnsi="Arial" w:cs="Arial"/>
                <w:color w:val="000000"/>
                <w:sz w:val="20"/>
                <w:szCs w:val="20"/>
              </w:rPr>
              <w:t xml:space="preserve">olylactic acid and </w:t>
            </w:r>
            <w:r w:rsidR="00876CCC" w:rsidRPr="00504D41">
              <w:rPr>
                <w:rFonts w:ascii="Arial" w:eastAsia="Times New Roman" w:hAnsi="Arial" w:cs="Arial"/>
                <w:color w:val="000000"/>
                <w:sz w:val="20"/>
                <w:szCs w:val="20"/>
              </w:rPr>
              <w:t>p</w:t>
            </w:r>
            <w:r w:rsidRPr="00504D41">
              <w:rPr>
                <w:rFonts w:ascii="Arial" w:eastAsia="Times New Roman" w:hAnsi="Arial" w:cs="Arial"/>
                <w:color w:val="000000"/>
                <w:sz w:val="20"/>
                <w:szCs w:val="20"/>
              </w:rPr>
              <w:t>olybutylene adipate terephthalate to enable rice cultivation without flooding</w:t>
            </w:r>
          </w:p>
        </w:tc>
      </w:tr>
      <w:tr w:rsidR="0075254B" w:rsidRPr="00504D41" w14:paraId="0D8671D6" w14:textId="77777777" w:rsidTr="00652513">
        <w:trPr>
          <w:trHeight w:val="480"/>
        </w:trPr>
        <w:tc>
          <w:tcPr>
            <w:tcW w:w="1104" w:type="pct"/>
            <w:tcBorders>
              <w:top w:val="nil"/>
              <w:left w:val="single" w:sz="4" w:space="0" w:color="auto"/>
              <w:bottom w:val="single" w:sz="4" w:space="0" w:color="auto"/>
              <w:right w:val="single" w:sz="4" w:space="0" w:color="auto"/>
            </w:tcBorders>
            <w:shd w:val="clear" w:color="auto" w:fill="auto"/>
            <w:vAlign w:val="center"/>
            <w:hideMark/>
          </w:tcPr>
          <w:p w14:paraId="1C31C12B" w14:textId="77777777" w:rsidR="0075254B" w:rsidRPr="00504D41" w:rsidRDefault="0075254B" w:rsidP="006D54C2">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 Summit Seed Coatings</w:t>
            </w:r>
            <w:r w:rsidR="006D54C2" w:rsidRPr="00504D41">
              <w:rPr>
                <w:rFonts w:ascii="Arial" w:eastAsia="Times New Roman" w:hAnsi="Arial" w:cs="Arial"/>
                <w:noProof/>
                <w:color w:val="000000"/>
                <w:sz w:val="20"/>
                <w:szCs w:val="20"/>
                <w:vertAlign w:val="superscript"/>
              </w:rPr>
              <w:t>185</w:t>
            </w:r>
          </w:p>
        </w:tc>
        <w:tc>
          <w:tcPr>
            <w:tcW w:w="770" w:type="pct"/>
            <w:tcBorders>
              <w:top w:val="nil"/>
              <w:left w:val="nil"/>
              <w:bottom w:val="single" w:sz="4" w:space="0" w:color="auto"/>
              <w:right w:val="single" w:sz="4" w:space="0" w:color="auto"/>
            </w:tcBorders>
            <w:shd w:val="clear" w:color="auto" w:fill="auto"/>
            <w:vAlign w:val="center"/>
            <w:hideMark/>
          </w:tcPr>
          <w:p w14:paraId="3BCC610B" w14:textId="77777777" w:rsidR="0075254B" w:rsidRPr="00504D41" w:rsidRDefault="0075254B" w:rsidP="00652513">
            <w:pPr>
              <w:spacing w:after="0" w:line="240" w:lineRule="auto"/>
              <w:jc w:val="center"/>
              <w:rPr>
                <w:rFonts w:ascii="Arial" w:eastAsia="Times New Roman" w:hAnsi="Arial" w:cs="Arial"/>
                <w:color w:val="000000"/>
                <w:sz w:val="20"/>
                <w:szCs w:val="20"/>
              </w:rPr>
            </w:pPr>
            <w:r w:rsidRPr="00504D41">
              <w:rPr>
                <w:rFonts w:ascii="Arial" w:eastAsia="Times New Roman" w:hAnsi="Arial" w:cs="Arial"/>
                <w:color w:val="000000"/>
                <w:sz w:val="20"/>
                <w:szCs w:val="20"/>
              </w:rPr>
              <w:t>2002</w:t>
            </w:r>
          </w:p>
        </w:tc>
        <w:tc>
          <w:tcPr>
            <w:tcW w:w="1341" w:type="pct"/>
            <w:tcBorders>
              <w:top w:val="nil"/>
              <w:left w:val="nil"/>
              <w:bottom w:val="single" w:sz="4" w:space="0" w:color="auto"/>
              <w:right w:val="single" w:sz="4" w:space="0" w:color="auto"/>
            </w:tcBorders>
            <w:shd w:val="clear" w:color="auto" w:fill="auto"/>
            <w:vAlign w:val="center"/>
            <w:hideMark/>
          </w:tcPr>
          <w:p w14:paraId="2AB3B558" w14:textId="77777777" w:rsidR="0075254B" w:rsidRPr="00504D41" w:rsidRDefault="0075254B" w:rsidP="00652513">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Idaho, Indiana USA</w:t>
            </w:r>
          </w:p>
        </w:tc>
        <w:tc>
          <w:tcPr>
            <w:tcW w:w="1785" w:type="pct"/>
            <w:tcBorders>
              <w:top w:val="nil"/>
              <w:left w:val="nil"/>
              <w:bottom w:val="single" w:sz="4" w:space="0" w:color="auto"/>
              <w:right w:val="single" w:sz="4" w:space="0" w:color="auto"/>
            </w:tcBorders>
            <w:shd w:val="clear" w:color="auto" w:fill="auto"/>
            <w:vAlign w:val="center"/>
            <w:hideMark/>
          </w:tcPr>
          <w:p w14:paraId="4B40BC59" w14:textId="77777777" w:rsidR="0075254B" w:rsidRPr="00504D41" w:rsidRDefault="0075254B" w:rsidP="00652513">
            <w:pPr>
              <w:spacing w:after="0" w:line="240" w:lineRule="auto"/>
              <w:rPr>
                <w:rFonts w:ascii="Arial" w:eastAsia="Times New Roman" w:hAnsi="Arial" w:cs="Arial"/>
                <w:color w:val="000000"/>
                <w:sz w:val="20"/>
                <w:szCs w:val="20"/>
              </w:rPr>
            </w:pPr>
            <w:r w:rsidRPr="00504D41">
              <w:rPr>
                <w:rFonts w:ascii="Arial" w:eastAsia="Times New Roman" w:hAnsi="Arial" w:cs="Arial"/>
                <w:color w:val="000000"/>
                <w:sz w:val="20"/>
                <w:szCs w:val="20"/>
              </w:rPr>
              <w:t xml:space="preserve">Multiple seed coating solutions including fungicide, inoculant, </w:t>
            </w:r>
            <w:r w:rsidR="00876CCC" w:rsidRPr="00504D41">
              <w:rPr>
                <w:rFonts w:ascii="Arial" w:eastAsia="Times New Roman" w:hAnsi="Arial" w:cs="Arial"/>
                <w:color w:val="000000"/>
                <w:sz w:val="20"/>
                <w:szCs w:val="20"/>
              </w:rPr>
              <w:t xml:space="preserve">and </w:t>
            </w:r>
            <w:r w:rsidRPr="00504D41">
              <w:rPr>
                <w:rFonts w:ascii="Arial" w:eastAsia="Times New Roman" w:hAnsi="Arial" w:cs="Arial"/>
                <w:color w:val="000000"/>
                <w:sz w:val="20"/>
                <w:szCs w:val="20"/>
              </w:rPr>
              <w:t>hydrogel coatings.</w:t>
            </w:r>
          </w:p>
        </w:tc>
      </w:tr>
    </w:tbl>
    <w:p w14:paraId="79C9C780" w14:textId="77777777" w:rsidR="0075254B" w:rsidRPr="00504D41" w:rsidRDefault="0075254B" w:rsidP="0016445D">
      <w:pPr>
        <w:tabs>
          <w:tab w:val="left" w:pos="0"/>
        </w:tabs>
        <w:spacing w:line="360" w:lineRule="auto"/>
        <w:jc w:val="both"/>
        <w:rPr>
          <w:szCs w:val="24"/>
        </w:rPr>
      </w:pPr>
    </w:p>
    <w:p w14:paraId="4CF77282" w14:textId="77777777" w:rsidR="00EF29D1" w:rsidRPr="00504D41" w:rsidRDefault="00EF29D1" w:rsidP="0016445D">
      <w:pPr>
        <w:tabs>
          <w:tab w:val="left" w:pos="0"/>
        </w:tabs>
        <w:spacing w:line="360" w:lineRule="auto"/>
        <w:jc w:val="both"/>
        <w:rPr>
          <w:szCs w:val="24"/>
        </w:rPr>
      </w:pPr>
      <w:r w:rsidRPr="00504D41">
        <w:rPr>
          <w:szCs w:val="24"/>
        </w:rPr>
        <w:t>Some key trends that future researchers on the subject should strive to focus on include:</w:t>
      </w:r>
    </w:p>
    <w:p w14:paraId="4BF0CC8D" w14:textId="77777777" w:rsidR="00EF29D1" w:rsidRPr="00504D41" w:rsidRDefault="00EF29D1" w:rsidP="0016445D">
      <w:pPr>
        <w:pStyle w:val="ListParagraph"/>
        <w:numPr>
          <w:ilvl w:val="0"/>
          <w:numId w:val="6"/>
        </w:numPr>
        <w:tabs>
          <w:tab w:val="left" w:pos="0"/>
        </w:tabs>
        <w:spacing w:line="360" w:lineRule="auto"/>
        <w:jc w:val="both"/>
        <w:rPr>
          <w:szCs w:val="24"/>
        </w:rPr>
      </w:pPr>
      <w:r w:rsidRPr="00504D41">
        <w:rPr>
          <w:szCs w:val="24"/>
        </w:rPr>
        <w:t>Increased field trial investigations</w:t>
      </w:r>
      <w:r w:rsidR="0016314F" w:rsidRPr="00504D41">
        <w:rPr>
          <w:szCs w:val="24"/>
        </w:rPr>
        <w:t>:</w:t>
      </w:r>
      <w:r w:rsidRPr="00504D41">
        <w:rPr>
          <w:szCs w:val="24"/>
        </w:rPr>
        <w:t xml:space="preserve"> to validate the performance of many newly designed hybrid polymeric seed coatings. </w:t>
      </w:r>
    </w:p>
    <w:p w14:paraId="6FE42991" w14:textId="77777777" w:rsidR="00EF29D1" w:rsidRPr="00504D41" w:rsidRDefault="00EF29D1" w:rsidP="0016445D">
      <w:pPr>
        <w:pStyle w:val="ListParagraph"/>
        <w:numPr>
          <w:ilvl w:val="0"/>
          <w:numId w:val="6"/>
        </w:numPr>
        <w:tabs>
          <w:tab w:val="left" w:pos="0"/>
        </w:tabs>
        <w:spacing w:line="360" w:lineRule="auto"/>
        <w:jc w:val="both"/>
        <w:rPr>
          <w:szCs w:val="24"/>
        </w:rPr>
      </w:pPr>
      <w:r w:rsidRPr="00504D41">
        <w:rPr>
          <w:szCs w:val="24"/>
        </w:rPr>
        <w:t>Commercialization</w:t>
      </w:r>
      <w:r w:rsidR="0016314F" w:rsidRPr="00504D41">
        <w:rPr>
          <w:szCs w:val="24"/>
        </w:rPr>
        <w:t xml:space="preserve">: </w:t>
      </w:r>
      <w:r w:rsidRPr="00504D41">
        <w:rPr>
          <w:szCs w:val="24"/>
        </w:rPr>
        <w:t xml:space="preserve">to give insights into whether the </w:t>
      </w:r>
      <w:r w:rsidR="00876CCC" w:rsidRPr="00504D41">
        <w:rPr>
          <w:szCs w:val="24"/>
        </w:rPr>
        <w:t xml:space="preserve">proposed </w:t>
      </w:r>
      <w:r w:rsidRPr="00504D41">
        <w:rPr>
          <w:szCs w:val="24"/>
        </w:rPr>
        <w:t>seed treatments</w:t>
      </w:r>
      <w:r w:rsidR="00375FF9" w:rsidRPr="00504D41">
        <w:rPr>
          <w:szCs w:val="24"/>
        </w:rPr>
        <w:t xml:space="preserve"> </w:t>
      </w:r>
      <w:r w:rsidRPr="00504D41">
        <w:rPr>
          <w:szCs w:val="24"/>
        </w:rPr>
        <w:t xml:space="preserve">proposed are viable to be used on a large scale basis or not. A cost/benefit analysis along with the overall impact of the proposed seed treatment on the </w:t>
      </w:r>
      <w:r w:rsidR="00E941DA" w:rsidRPr="00504D41">
        <w:rPr>
          <w:szCs w:val="24"/>
        </w:rPr>
        <w:t xml:space="preserve">soil rhizosphere </w:t>
      </w:r>
      <w:r w:rsidRPr="00504D41">
        <w:rPr>
          <w:szCs w:val="24"/>
        </w:rPr>
        <w:t>will provide a more comprehensive analysis of the viability of the technique.</w:t>
      </w:r>
    </w:p>
    <w:p w14:paraId="1F1B928B" w14:textId="77777777" w:rsidR="00C770D3" w:rsidRPr="00504D41" w:rsidRDefault="00EF29D1" w:rsidP="00C770D3">
      <w:pPr>
        <w:pStyle w:val="ListParagraph"/>
        <w:numPr>
          <w:ilvl w:val="0"/>
          <w:numId w:val="6"/>
        </w:numPr>
        <w:tabs>
          <w:tab w:val="left" w:pos="0"/>
        </w:tabs>
        <w:spacing w:line="360" w:lineRule="auto"/>
        <w:jc w:val="both"/>
        <w:rPr>
          <w:szCs w:val="24"/>
        </w:rPr>
      </w:pPr>
      <w:r w:rsidRPr="00504D41">
        <w:rPr>
          <w:szCs w:val="24"/>
        </w:rPr>
        <w:t>Although the risks associated with the release of pesticide-laden seed dust from coated seeds are well documented,</w:t>
      </w:r>
      <w:r w:rsidR="0023711A" w:rsidRPr="00504D41">
        <w:rPr>
          <w:szCs w:val="24"/>
        </w:rPr>
        <w:t xml:space="preserve"> to our knowledge</w:t>
      </w:r>
      <w:r w:rsidRPr="00504D41">
        <w:rPr>
          <w:szCs w:val="24"/>
        </w:rPr>
        <w:t xml:space="preserve"> very few studies</w:t>
      </w:r>
      <w:r w:rsidR="006D54C2" w:rsidRPr="00504D41">
        <w:rPr>
          <w:noProof/>
          <w:szCs w:val="24"/>
          <w:vertAlign w:val="superscript"/>
        </w:rPr>
        <w:t>32</w:t>
      </w:r>
      <w:r w:rsidR="00EC4544" w:rsidRPr="00504D41">
        <w:rPr>
          <w:szCs w:val="24"/>
        </w:rPr>
        <w:t>,</w:t>
      </w:r>
      <w:r w:rsidR="006D54C2" w:rsidRPr="00504D41">
        <w:rPr>
          <w:noProof/>
          <w:szCs w:val="24"/>
          <w:vertAlign w:val="superscript"/>
        </w:rPr>
        <w:t>95</w:t>
      </w:r>
      <w:r w:rsidR="00EC4544" w:rsidRPr="00504D41">
        <w:rPr>
          <w:szCs w:val="24"/>
        </w:rPr>
        <w:t xml:space="preserve"> </w:t>
      </w:r>
      <w:r w:rsidRPr="00504D41">
        <w:rPr>
          <w:szCs w:val="24"/>
        </w:rPr>
        <w:t>on the design of novel seed coatings have discussed or reported the drift risk factor associated with the proposed coating.</w:t>
      </w:r>
      <w:r w:rsidR="004020A8" w:rsidRPr="00504D41">
        <w:rPr>
          <w:szCs w:val="24"/>
        </w:rPr>
        <w:t xml:space="preserve"> </w:t>
      </w:r>
      <w:r w:rsidRPr="00504D41">
        <w:rPr>
          <w:szCs w:val="24"/>
        </w:rPr>
        <w:t xml:space="preserve">Thus, in addition to seed germination and material stability </w:t>
      </w:r>
      <w:r w:rsidR="005C11E4" w:rsidRPr="00504D41">
        <w:rPr>
          <w:szCs w:val="24"/>
        </w:rPr>
        <w:t>analysis</w:t>
      </w:r>
      <w:r w:rsidRPr="00504D41">
        <w:rPr>
          <w:szCs w:val="24"/>
        </w:rPr>
        <w:t>, the associated dust drift factor</w:t>
      </w:r>
      <w:r w:rsidR="005C11E4" w:rsidRPr="00504D41">
        <w:rPr>
          <w:szCs w:val="24"/>
        </w:rPr>
        <w:t>s</w:t>
      </w:r>
      <w:r w:rsidRPr="00504D41">
        <w:rPr>
          <w:szCs w:val="24"/>
        </w:rPr>
        <w:t xml:space="preserve"> should also be </w:t>
      </w:r>
      <w:r w:rsidR="005C11E4" w:rsidRPr="00504D41">
        <w:rPr>
          <w:szCs w:val="24"/>
        </w:rPr>
        <w:t>investigated</w:t>
      </w:r>
      <w:r w:rsidRPr="00504D41">
        <w:rPr>
          <w:szCs w:val="24"/>
        </w:rPr>
        <w:t>.</w:t>
      </w:r>
    </w:p>
    <w:p w14:paraId="7FD1A380" w14:textId="77777777" w:rsidR="00226B9B" w:rsidRPr="00504D41" w:rsidRDefault="00226B9B" w:rsidP="00A30A2A">
      <w:pPr>
        <w:pStyle w:val="ListParagraph"/>
        <w:numPr>
          <w:ilvl w:val="0"/>
          <w:numId w:val="6"/>
        </w:numPr>
        <w:tabs>
          <w:tab w:val="left" w:pos="0"/>
        </w:tabs>
        <w:spacing w:line="360" w:lineRule="auto"/>
        <w:jc w:val="both"/>
        <w:rPr>
          <w:szCs w:val="24"/>
        </w:rPr>
      </w:pPr>
      <w:r w:rsidRPr="00504D41">
        <w:t xml:space="preserve">Shelf life stability and safety is another crucial aspect of any proposed seed coating material that needs to be thoroughly investigated. While some aspect of </w:t>
      </w:r>
      <w:r w:rsidR="00876CCC" w:rsidRPr="00504D41">
        <w:t>long-</w:t>
      </w:r>
      <w:r w:rsidRPr="00504D41">
        <w:t>term storage viability has been reported for microbe inoculated seed coatings</w:t>
      </w:r>
      <w:r w:rsidR="00C8552B" w:rsidRPr="00504D41">
        <w:t xml:space="preserve"> (Table 2)</w:t>
      </w:r>
      <w:r w:rsidRPr="00504D41">
        <w:t xml:space="preserve"> generally with reference to the microbe survival count in the coated seed or inoculate over a perio</w:t>
      </w:r>
      <w:r w:rsidR="00934819" w:rsidRPr="00504D41">
        <w:t>d of time, there is little</w:t>
      </w:r>
      <w:r w:rsidR="00041822" w:rsidRPr="00504D41">
        <w:t xml:space="preserve"> </w:t>
      </w:r>
      <w:r w:rsidRPr="00504D41">
        <w:t xml:space="preserve">work </w:t>
      </w:r>
      <w:r w:rsidR="00041822" w:rsidRPr="00504D41">
        <w:t xml:space="preserve">done </w:t>
      </w:r>
      <w:r w:rsidRPr="00504D41">
        <w:t xml:space="preserve">on </w:t>
      </w:r>
      <w:r w:rsidR="00041822" w:rsidRPr="00504D41">
        <w:t xml:space="preserve">investigating </w:t>
      </w:r>
      <w:r w:rsidRPr="00504D41">
        <w:t xml:space="preserve">the chemical stability of proposed coatings. Such an analysis is vital for newly proposed biodegradable materials, as in addition to the known additives, monomers, </w:t>
      </w:r>
      <w:r w:rsidR="00876CCC" w:rsidRPr="00504D41">
        <w:t xml:space="preserve">and </w:t>
      </w:r>
      <w:r w:rsidRPr="00504D41">
        <w:t>stabilizers in conventional plastics,</w:t>
      </w:r>
      <w:r w:rsidR="0011017C" w:rsidRPr="00504D41">
        <w:t xml:space="preserve"> </w:t>
      </w:r>
      <w:r w:rsidRPr="00504D41">
        <w:t xml:space="preserve">they may </w:t>
      </w:r>
      <w:r w:rsidR="0011017C" w:rsidRPr="00504D41">
        <w:t xml:space="preserve">also </w:t>
      </w:r>
      <w:r w:rsidRPr="00504D41">
        <w:t>contain lower molecular weight intermediates released over time due to partial degradation.</w:t>
      </w:r>
      <w:r w:rsidR="006D54C2" w:rsidRPr="00504D41">
        <w:rPr>
          <w:noProof/>
          <w:vertAlign w:val="superscript"/>
        </w:rPr>
        <w:t>186</w:t>
      </w:r>
      <w:r w:rsidRPr="00504D41">
        <w:t xml:space="preserve"> The characterization of the biosafety and exposure limits of these </w:t>
      </w:r>
      <w:r w:rsidRPr="00504D41">
        <w:lastRenderedPageBreak/>
        <w:t xml:space="preserve">intermediates is needed before any newly proposed seed coating material is </w:t>
      </w:r>
      <w:r w:rsidR="00876CCC" w:rsidRPr="00504D41">
        <w:t>short-</w:t>
      </w:r>
      <w:r w:rsidRPr="00504D41">
        <w:t xml:space="preserve">listed for further use. </w:t>
      </w:r>
    </w:p>
    <w:p w14:paraId="287A70DE" w14:textId="77777777" w:rsidR="00EF29D1" w:rsidRPr="00504D41" w:rsidRDefault="00EF29D1" w:rsidP="0016445D">
      <w:pPr>
        <w:pStyle w:val="ListParagraph"/>
        <w:numPr>
          <w:ilvl w:val="0"/>
          <w:numId w:val="6"/>
        </w:numPr>
        <w:tabs>
          <w:tab w:val="left" w:pos="0"/>
        </w:tabs>
        <w:spacing w:line="360" w:lineRule="auto"/>
        <w:jc w:val="both"/>
        <w:rPr>
          <w:szCs w:val="24"/>
        </w:rPr>
      </w:pPr>
      <w:r w:rsidRPr="00504D41">
        <w:rPr>
          <w:szCs w:val="24"/>
        </w:rPr>
        <w:t xml:space="preserve">The use of </w:t>
      </w:r>
      <w:r w:rsidR="001A3887" w:rsidRPr="00504D41">
        <w:rPr>
          <w:szCs w:val="24"/>
        </w:rPr>
        <w:t xml:space="preserve">bioplastics </w:t>
      </w:r>
      <w:r w:rsidRPr="00504D41">
        <w:rPr>
          <w:szCs w:val="24"/>
        </w:rPr>
        <w:t>derived from biopolymers for seed coatings may appear to be a promising solution to the ongoing MP pollution debate, however</w:t>
      </w:r>
      <w:r w:rsidR="001A3887" w:rsidRPr="00504D41">
        <w:rPr>
          <w:szCs w:val="24"/>
        </w:rPr>
        <w:t>,</w:t>
      </w:r>
      <w:r w:rsidRPr="00504D41">
        <w:rPr>
          <w:szCs w:val="24"/>
        </w:rPr>
        <w:t xml:space="preserve"> their usage is not without limitations. Concerns related to the </w:t>
      </w:r>
      <w:r w:rsidR="00876CCC" w:rsidRPr="00504D41">
        <w:rPr>
          <w:szCs w:val="24"/>
        </w:rPr>
        <w:t>long-</w:t>
      </w:r>
      <w:r w:rsidRPr="00504D41">
        <w:rPr>
          <w:szCs w:val="24"/>
        </w:rPr>
        <w:t xml:space="preserve">term use of bioplastics include (1) high production costs, (2) concerns </w:t>
      </w:r>
      <w:r w:rsidR="001A3887" w:rsidRPr="00504D41">
        <w:rPr>
          <w:szCs w:val="24"/>
        </w:rPr>
        <w:t xml:space="preserve">about </w:t>
      </w:r>
      <w:r w:rsidRPr="00504D41">
        <w:rPr>
          <w:szCs w:val="24"/>
        </w:rPr>
        <w:t xml:space="preserve">increased global warming due to higher </w:t>
      </w:r>
      <w:r w:rsidR="00876CCC" w:rsidRPr="00504D41">
        <w:rPr>
          <w:szCs w:val="24"/>
        </w:rPr>
        <w:t>degradation-</w:t>
      </w:r>
      <w:r w:rsidRPr="00504D41">
        <w:rPr>
          <w:szCs w:val="24"/>
        </w:rPr>
        <w:t>induced release of CO</w:t>
      </w:r>
      <w:r w:rsidRPr="00504D41">
        <w:rPr>
          <w:szCs w:val="24"/>
          <w:vertAlign w:val="subscript"/>
        </w:rPr>
        <w:t>2</w:t>
      </w:r>
      <w:r w:rsidRPr="00504D41">
        <w:rPr>
          <w:szCs w:val="24"/>
        </w:rPr>
        <w:t xml:space="preserve"> and methane gas </w:t>
      </w:r>
      <w:r w:rsidRPr="00504D41">
        <w:rPr>
          <w:b/>
          <w:bCs/>
          <w:szCs w:val="24"/>
        </w:rPr>
        <w:t>(</w:t>
      </w:r>
      <w:r w:rsidR="00A21A38" w:rsidRPr="00504D41">
        <w:rPr>
          <w:b/>
          <w:bCs/>
          <w:szCs w:val="24"/>
        </w:rPr>
        <w:t>F</w:t>
      </w:r>
      <w:r w:rsidRPr="00504D41">
        <w:rPr>
          <w:b/>
          <w:bCs/>
          <w:szCs w:val="24"/>
        </w:rPr>
        <w:t xml:space="preserve">igure </w:t>
      </w:r>
      <w:r w:rsidR="007A2845" w:rsidRPr="00504D41">
        <w:rPr>
          <w:b/>
          <w:bCs/>
          <w:szCs w:val="24"/>
        </w:rPr>
        <w:t>1</w:t>
      </w:r>
      <w:r w:rsidR="00901207" w:rsidRPr="00504D41">
        <w:rPr>
          <w:b/>
          <w:bCs/>
          <w:szCs w:val="24"/>
        </w:rPr>
        <w:t>4</w:t>
      </w:r>
      <w:r w:rsidR="00525E65" w:rsidRPr="00504D41">
        <w:rPr>
          <w:b/>
          <w:bCs/>
          <w:szCs w:val="24"/>
        </w:rPr>
        <w:t>a</w:t>
      </w:r>
      <w:r w:rsidRPr="00504D41">
        <w:rPr>
          <w:b/>
          <w:bCs/>
          <w:szCs w:val="24"/>
        </w:rPr>
        <w:t>)</w:t>
      </w:r>
      <w:r w:rsidRPr="00504D41">
        <w:rPr>
          <w:szCs w:val="24"/>
        </w:rPr>
        <w:t>, (2) slow degradation rates,</w:t>
      </w:r>
      <w:r w:rsidR="00901207" w:rsidRPr="00504D41">
        <w:rPr>
          <w:szCs w:val="24"/>
        </w:rPr>
        <w:t xml:space="preserve"> and</w:t>
      </w:r>
      <w:r w:rsidR="007169E4" w:rsidRPr="00504D41">
        <w:rPr>
          <w:szCs w:val="24"/>
        </w:rPr>
        <w:t xml:space="preserve"> </w:t>
      </w:r>
      <w:r w:rsidRPr="00504D41">
        <w:rPr>
          <w:szCs w:val="24"/>
        </w:rPr>
        <w:t>(3) utilization of agriculture land for catering to plant-derived biopolymer demand instead of food cultivation, which in turn will increase agriculture demand</w:t>
      </w:r>
      <w:r w:rsidR="00C17263" w:rsidRPr="00504D41">
        <w:rPr>
          <w:szCs w:val="24"/>
        </w:rPr>
        <w:t>.</w:t>
      </w:r>
      <w:r w:rsidR="006D54C2" w:rsidRPr="00504D41">
        <w:rPr>
          <w:noProof/>
          <w:szCs w:val="24"/>
          <w:vertAlign w:val="superscript"/>
        </w:rPr>
        <w:t>187</w:t>
      </w:r>
      <w:r w:rsidRPr="00504D41">
        <w:rPr>
          <w:szCs w:val="24"/>
        </w:rPr>
        <w:t xml:space="preserve"> Figure </w:t>
      </w:r>
      <w:r w:rsidR="00324A7D" w:rsidRPr="00504D41">
        <w:rPr>
          <w:szCs w:val="24"/>
        </w:rPr>
        <w:t>1</w:t>
      </w:r>
      <w:r w:rsidR="00901207" w:rsidRPr="00504D41">
        <w:rPr>
          <w:szCs w:val="24"/>
        </w:rPr>
        <w:t>4</w:t>
      </w:r>
      <w:r w:rsidRPr="00504D41">
        <w:rPr>
          <w:szCs w:val="24"/>
        </w:rPr>
        <w:t xml:space="preserve"> shows data on energy usage and greenhouse gas emissions resulting from the production of bio-based plastics compared to conventional plastics. </w:t>
      </w:r>
      <w:r w:rsidR="00595178" w:rsidRPr="00504D41">
        <w:rPr>
          <w:szCs w:val="24"/>
        </w:rPr>
        <w:t xml:space="preserve">LCA studies can play </w:t>
      </w:r>
      <w:r w:rsidR="00DF1060" w:rsidRPr="00504D41">
        <w:rPr>
          <w:szCs w:val="24"/>
        </w:rPr>
        <w:t>a crucial role in identifying</w:t>
      </w:r>
      <w:r w:rsidRPr="00504D41">
        <w:rPr>
          <w:szCs w:val="24"/>
        </w:rPr>
        <w:t xml:space="preserve"> whether the use of the proposed bio-derived materials offers any significant benefit over existing materials. Depending on the outcomes of the study, prudent decisions can be made on material suitability</w:t>
      </w:r>
      <w:r w:rsidR="009B1056" w:rsidRPr="00504D41">
        <w:rPr>
          <w:szCs w:val="24"/>
        </w:rPr>
        <w:t>.</w:t>
      </w:r>
      <w:r w:rsidR="006D54C2" w:rsidRPr="00504D41">
        <w:rPr>
          <w:noProof/>
          <w:szCs w:val="24"/>
          <w:vertAlign w:val="superscript"/>
        </w:rPr>
        <w:t>188</w:t>
      </w:r>
      <w:r w:rsidRPr="00504D41">
        <w:rPr>
          <w:szCs w:val="24"/>
        </w:rPr>
        <w:t xml:space="preserve"> </w:t>
      </w:r>
    </w:p>
    <w:p w14:paraId="7C48C8CA" w14:textId="77777777" w:rsidR="00EF29D1" w:rsidRPr="00504D41" w:rsidRDefault="00EF29D1" w:rsidP="0016445D">
      <w:pPr>
        <w:keepNext/>
        <w:tabs>
          <w:tab w:val="left" w:pos="0"/>
        </w:tabs>
        <w:spacing w:line="360" w:lineRule="auto"/>
        <w:rPr>
          <w:szCs w:val="24"/>
        </w:rPr>
      </w:pPr>
    </w:p>
    <w:p w14:paraId="0F4BECEA" w14:textId="77777777" w:rsidR="008B4F13" w:rsidRPr="00504D41" w:rsidRDefault="000057B3" w:rsidP="0016445D">
      <w:pPr>
        <w:keepNext/>
        <w:tabs>
          <w:tab w:val="left" w:pos="0"/>
        </w:tabs>
        <w:spacing w:line="360" w:lineRule="auto"/>
        <w:rPr>
          <w:szCs w:val="24"/>
        </w:rPr>
      </w:pPr>
      <w:r w:rsidRPr="00504D41">
        <w:rPr>
          <w:noProof/>
        </w:rPr>
        <w:pict w14:anchorId="180EF8BA">
          <v:shape id="Picture 35" o:spid="_x0000_i1039" type="#_x0000_t75" alt="Chart, bar chart&#10;&#10;Description automatically generated" style="width:451.25pt;height:167.45pt;visibility:visible">
            <v:imagedata r:id="rId26" o:title="Chart, bar chart&#10;&#10;Description automatically generated"/>
          </v:shape>
        </w:pict>
      </w:r>
    </w:p>
    <w:p w14:paraId="6ECC867A" w14:textId="77777777" w:rsidR="00673B82" w:rsidRPr="00504D41" w:rsidRDefault="00EF29D1" w:rsidP="0016445D">
      <w:pPr>
        <w:pStyle w:val="Caption"/>
        <w:spacing w:line="360" w:lineRule="auto"/>
        <w:jc w:val="both"/>
        <w:rPr>
          <w:i w:val="0"/>
          <w:iCs w:val="0"/>
          <w:color w:val="auto"/>
          <w:sz w:val="24"/>
          <w:szCs w:val="24"/>
          <w:u w:val="single"/>
        </w:rPr>
      </w:pPr>
      <w:r w:rsidRPr="00504D41">
        <w:rPr>
          <w:b/>
          <w:bCs/>
          <w:i w:val="0"/>
          <w:iCs w:val="0"/>
          <w:color w:val="auto"/>
          <w:sz w:val="24"/>
          <w:szCs w:val="24"/>
        </w:rPr>
        <w:t xml:space="preserve">Figure </w:t>
      </w:r>
      <w:r w:rsidRPr="00504D41">
        <w:rPr>
          <w:b/>
          <w:bCs/>
          <w:i w:val="0"/>
          <w:iCs w:val="0"/>
          <w:color w:val="auto"/>
          <w:sz w:val="24"/>
          <w:szCs w:val="24"/>
        </w:rPr>
        <w:fldChar w:fldCharType="begin"/>
      </w:r>
      <w:r w:rsidRPr="00504D41">
        <w:rPr>
          <w:b/>
          <w:bCs/>
          <w:i w:val="0"/>
          <w:iCs w:val="0"/>
          <w:color w:val="auto"/>
          <w:sz w:val="24"/>
          <w:szCs w:val="24"/>
        </w:rPr>
        <w:instrText xml:space="preserve"> SEQ Figure \* ARABIC </w:instrText>
      </w:r>
      <w:r w:rsidRPr="00504D41">
        <w:rPr>
          <w:b/>
          <w:bCs/>
          <w:i w:val="0"/>
          <w:iCs w:val="0"/>
          <w:color w:val="auto"/>
          <w:sz w:val="24"/>
          <w:szCs w:val="24"/>
        </w:rPr>
        <w:fldChar w:fldCharType="separate"/>
      </w:r>
      <w:r w:rsidR="003D0A6B" w:rsidRPr="00504D41">
        <w:rPr>
          <w:b/>
          <w:bCs/>
          <w:i w:val="0"/>
          <w:iCs w:val="0"/>
          <w:noProof/>
          <w:color w:val="auto"/>
          <w:sz w:val="24"/>
          <w:szCs w:val="24"/>
        </w:rPr>
        <w:t>14</w:t>
      </w:r>
      <w:r w:rsidRPr="00504D41">
        <w:rPr>
          <w:b/>
          <w:bCs/>
          <w:i w:val="0"/>
          <w:iCs w:val="0"/>
          <w:color w:val="auto"/>
          <w:sz w:val="24"/>
          <w:szCs w:val="24"/>
        </w:rPr>
        <w:fldChar w:fldCharType="end"/>
      </w:r>
      <w:r w:rsidR="00A21A38" w:rsidRPr="00504D41">
        <w:rPr>
          <w:b/>
          <w:bCs/>
          <w:i w:val="0"/>
          <w:iCs w:val="0"/>
          <w:color w:val="auto"/>
          <w:sz w:val="24"/>
          <w:szCs w:val="24"/>
        </w:rPr>
        <w:t>.</w:t>
      </w:r>
      <w:r w:rsidRPr="00504D41">
        <w:rPr>
          <w:i w:val="0"/>
          <w:iCs w:val="0"/>
          <w:color w:val="auto"/>
          <w:sz w:val="24"/>
          <w:szCs w:val="24"/>
        </w:rPr>
        <w:t xml:space="preserve"> </w:t>
      </w:r>
      <w:r w:rsidR="00815EE1" w:rsidRPr="00504D41">
        <w:rPr>
          <w:i w:val="0"/>
          <w:iCs w:val="0"/>
          <w:color w:val="auto"/>
          <w:sz w:val="24"/>
          <w:szCs w:val="24"/>
        </w:rPr>
        <w:t>Comparison of (a) Greenhouse gas emissions (b) Nonrenewable energy use (NREU) during biopolymer production compared to conventional plastics. Adapted</w:t>
      </w:r>
      <w:r w:rsidR="009B1056" w:rsidRPr="00504D41">
        <w:rPr>
          <w:i w:val="0"/>
          <w:iCs w:val="0"/>
          <w:color w:val="auto"/>
          <w:sz w:val="24"/>
          <w:szCs w:val="24"/>
        </w:rPr>
        <w:t xml:space="preserve"> with permission</w:t>
      </w:r>
      <w:r w:rsidR="00F01F4D" w:rsidRPr="00504D41">
        <w:rPr>
          <w:i w:val="0"/>
          <w:iCs w:val="0"/>
          <w:color w:val="auto"/>
          <w:sz w:val="24"/>
          <w:szCs w:val="24"/>
        </w:rPr>
        <w:t>.</w:t>
      </w:r>
      <w:r w:rsidR="006D54C2" w:rsidRPr="00504D41">
        <w:rPr>
          <w:i w:val="0"/>
          <w:iCs w:val="0"/>
          <w:noProof/>
          <w:color w:val="auto"/>
          <w:sz w:val="24"/>
          <w:szCs w:val="24"/>
          <w:vertAlign w:val="superscript"/>
        </w:rPr>
        <w:t>188</w:t>
      </w:r>
      <w:r w:rsidR="00815EE1" w:rsidRPr="00504D41">
        <w:rPr>
          <w:i w:val="0"/>
          <w:iCs w:val="0"/>
          <w:color w:val="auto"/>
          <w:sz w:val="24"/>
          <w:szCs w:val="24"/>
        </w:rPr>
        <w:t xml:space="preserve"> Copyright Elsevier 2016. Acronyms in x-axis denote polylactide (PLA), polyhydroxyalkanoates (PHAs), polycaprolactone (PCL), polyethylene (PE), low-density polyethylene (LDPE), high-density polyethylene (HDPE), polypropylene (PP), polyethylene terephthalate (PET), polystyrene (PS), Acrylonitrile butadiene styrene (ABS), Polyamide 6,6 (PA 66)</w:t>
      </w:r>
      <w:r w:rsidR="00776220" w:rsidRPr="00504D41">
        <w:rPr>
          <w:i w:val="0"/>
          <w:iCs w:val="0"/>
          <w:color w:val="auto"/>
          <w:sz w:val="24"/>
          <w:szCs w:val="24"/>
        </w:rPr>
        <w:t>.</w:t>
      </w:r>
      <w:r w:rsidR="00A253A8" w:rsidRPr="00504D41">
        <w:rPr>
          <w:szCs w:val="24"/>
        </w:rPr>
        <w:t xml:space="preserve"> </w:t>
      </w:r>
    </w:p>
    <w:p w14:paraId="374FDC60" w14:textId="77777777" w:rsidR="00876CCC" w:rsidRPr="00504D41" w:rsidRDefault="00876CCC" w:rsidP="00B24B01">
      <w:pPr>
        <w:rPr>
          <w:b/>
          <w:bCs/>
          <w:szCs w:val="24"/>
        </w:rPr>
      </w:pPr>
    </w:p>
    <w:p w14:paraId="0DC611A4" w14:textId="77777777" w:rsidR="00B24B01" w:rsidRPr="00504D41" w:rsidRDefault="00B24B01" w:rsidP="00B24B01">
      <w:pPr>
        <w:rPr>
          <w:b/>
          <w:bCs/>
          <w:szCs w:val="24"/>
        </w:rPr>
      </w:pPr>
      <w:r w:rsidRPr="00504D41">
        <w:rPr>
          <w:b/>
          <w:bCs/>
          <w:szCs w:val="24"/>
        </w:rPr>
        <w:t>Acknowledgments</w:t>
      </w:r>
    </w:p>
    <w:p w14:paraId="029F6DFD" w14:textId="77777777" w:rsidR="00086B90" w:rsidRPr="00504D41" w:rsidRDefault="00B24B01" w:rsidP="00B24B01">
      <w:pPr>
        <w:spacing w:line="480" w:lineRule="auto"/>
        <w:jc w:val="both"/>
        <w:rPr>
          <w:szCs w:val="24"/>
        </w:rPr>
      </w:pPr>
      <w:r w:rsidRPr="00504D41">
        <w:rPr>
          <w:bCs/>
          <w:szCs w:val="24"/>
        </w:rPr>
        <w:t>The authors would like to thank the Bil</w:t>
      </w:r>
      <w:r w:rsidR="00466A0E" w:rsidRPr="00504D41">
        <w:rPr>
          <w:bCs/>
          <w:szCs w:val="24"/>
        </w:rPr>
        <w:t xml:space="preserve">l and Melinda Gates Foundation </w:t>
      </w:r>
      <w:r w:rsidRPr="00504D41">
        <w:t xml:space="preserve">[OPP1196989] for supporting this work. </w:t>
      </w:r>
      <w:r w:rsidRPr="00504D41">
        <w:rPr>
          <w:bCs/>
          <w:szCs w:val="24"/>
        </w:rPr>
        <w:t xml:space="preserve">The authors also acknowledge the Kenan Institute of Engineering, Technology and Science (KIETS) at NC State for supporting this work. </w:t>
      </w:r>
    </w:p>
    <w:p w14:paraId="394B393C" w14:textId="77777777" w:rsidR="00086B90" w:rsidRPr="00504D41" w:rsidRDefault="00086B90" w:rsidP="007F4257">
      <w:pPr>
        <w:rPr>
          <w:szCs w:val="24"/>
        </w:rPr>
      </w:pPr>
      <w:r w:rsidRPr="00504D41">
        <w:rPr>
          <w:szCs w:val="24"/>
        </w:rPr>
        <w:br w:type="page"/>
      </w:r>
    </w:p>
    <w:p w14:paraId="15DF80BA" w14:textId="77777777" w:rsidR="00086B90" w:rsidRPr="00504D41" w:rsidRDefault="00086B90" w:rsidP="007F4257">
      <w:pPr>
        <w:rPr>
          <w:szCs w:val="24"/>
        </w:rPr>
      </w:pPr>
      <w:r w:rsidRPr="00504D41">
        <w:rPr>
          <w:szCs w:val="24"/>
        </w:rPr>
        <w:t>REFERENCES</w:t>
      </w:r>
    </w:p>
    <w:p w14:paraId="3A5A2674"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w:t>
      </w:r>
      <w:r w:rsidRPr="00504D41">
        <w:rPr>
          <w:noProof/>
          <w:szCs w:val="24"/>
        </w:rPr>
        <w:tab/>
        <w:t xml:space="preserve">I. Rocha, Y. Ma, P. Souza-Alonso, M. Vosátka, H. Freitas and R. S. Oliveira, </w:t>
      </w:r>
      <w:r w:rsidRPr="00504D41">
        <w:rPr>
          <w:i/>
          <w:iCs/>
          <w:noProof/>
          <w:szCs w:val="24"/>
        </w:rPr>
        <w:t>Front. Plant Sci.</w:t>
      </w:r>
      <w:r w:rsidRPr="00504D41">
        <w:rPr>
          <w:noProof/>
          <w:szCs w:val="24"/>
        </w:rPr>
        <w:t xml:space="preserve">, 2019, </w:t>
      </w:r>
      <w:r w:rsidRPr="00504D41">
        <w:rPr>
          <w:b/>
          <w:bCs/>
          <w:noProof/>
          <w:szCs w:val="24"/>
        </w:rPr>
        <w:t>10</w:t>
      </w:r>
      <w:r w:rsidRPr="00504D41">
        <w:rPr>
          <w:noProof/>
          <w:szCs w:val="24"/>
        </w:rPr>
        <w:t>, 1357.</w:t>
      </w:r>
    </w:p>
    <w:p w14:paraId="2F82038A"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2</w:t>
      </w:r>
      <w:r w:rsidRPr="00504D41">
        <w:rPr>
          <w:noProof/>
          <w:szCs w:val="24"/>
        </w:rPr>
        <w:tab/>
        <w:t xml:space="preserve">K. Vanangamudi, </w:t>
      </w:r>
      <w:r w:rsidRPr="00504D41">
        <w:rPr>
          <w:i/>
          <w:iCs/>
          <w:noProof/>
          <w:szCs w:val="24"/>
        </w:rPr>
        <w:t>Seed hardening, pelleting and coating : principles and practices</w:t>
      </w:r>
      <w:r w:rsidRPr="00504D41">
        <w:rPr>
          <w:noProof/>
          <w:szCs w:val="24"/>
        </w:rPr>
        <w:t>, Satish Serial Pub, Delhi, 2006.</w:t>
      </w:r>
    </w:p>
    <w:p w14:paraId="29CE7EFB"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3</w:t>
      </w:r>
      <w:r w:rsidRPr="00504D41">
        <w:rPr>
          <w:noProof/>
          <w:szCs w:val="24"/>
        </w:rPr>
        <w:tab/>
        <w:t xml:space="preserve">F. E. Porter and J. M. Scott, in </w:t>
      </w:r>
      <w:r w:rsidRPr="00504D41">
        <w:rPr>
          <w:i/>
          <w:iCs/>
          <w:noProof/>
          <w:szCs w:val="24"/>
        </w:rPr>
        <w:t>Proceedings of the Short Course for Seedsmen</w:t>
      </w:r>
      <w:r w:rsidRPr="00504D41">
        <w:rPr>
          <w:noProof/>
          <w:szCs w:val="24"/>
        </w:rPr>
        <w:t>, Mississippi State : Seed Technology Laboratory, Mississippi State University., Mississippi, 1979.</w:t>
      </w:r>
    </w:p>
    <w:p w14:paraId="71EA1F59" w14:textId="1DF06BEC"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4</w:t>
      </w:r>
      <w:r w:rsidRPr="00504D41">
        <w:rPr>
          <w:noProof/>
          <w:szCs w:val="24"/>
        </w:rPr>
        <w:tab/>
        <w:t xml:space="preserve">I. M. Phillips Mcdougall, </w:t>
      </w:r>
      <w:r w:rsidR="00C03C7A" w:rsidRPr="00504D41">
        <w:t>ANALYSIS ON SALES AND PROFITABILITY WITHIN THE SEED SECTOR</w:t>
      </w:r>
      <w:r w:rsidR="00C03C7A" w:rsidRPr="00504D41">
        <w:rPr>
          <w:i/>
          <w:iCs/>
          <w:noProof/>
          <w:szCs w:val="24"/>
        </w:rPr>
        <w:t xml:space="preserve">: </w:t>
      </w:r>
      <w:r w:rsidR="00C03C7A" w:rsidRPr="00504D41">
        <w:t>INDEPENDENT REPORT BY IHS MARKIT (PHILLIPS MCDOUGALL) FOR THE CO-CHAIRS OF THE AD-HOC OPEN-ENDED WORKING GROUP TO ENHANCE THE FUNCTIONING OF THE MULTILATERAL SYSTEM OF FAO’S INTERNATIONAL TREATY ON PLANT GENETIC RESOURCES FOR FOOD AND AGRICULTURE</w:t>
      </w:r>
      <w:r w:rsidRPr="00504D41">
        <w:rPr>
          <w:noProof/>
          <w:szCs w:val="24"/>
        </w:rPr>
        <w:t>, 2019.</w:t>
      </w:r>
    </w:p>
    <w:p w14:paraId="3DC19411"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5</w:t>
      </w:r>
      <w:r w:rsidRPr="00504D41">
        <w:rPr>
          <w:noProof/>
          <w:szCs w:val="24"/>
        </w:rPr>
        <w:tab/>
        <w:t>FAO, FAOSTAT, http://www.fao.org/faostat/en/#data/RP/metadata, (accessed 2 October 2021).</w:t>
      </w:r>
    </w:p>
    <w:p w14:paraId="465A1808"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6</w:t>
      </w:r>
      <w:r w:rsidRPr="00504D41">
        <w:rPr>
          <w:noProof/>
          <w:szCs w:val="24"/>
        </w:rPr>
        <w:tab/>
        <w:t>ISF, Seed statistics, https://www.worldseed.org/resources/seed-statistics/, (accessed 2 October 2021).</w:t>
      </w:r>
    </w:p>
    <w:p w14:paraId="0958CC2B"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7</w:t>
      </w:r>
      <w:r w:rsidRPr="00504D41">
        <w:rPr>
          <w:noProof/>
          <w:szCs w:val="24"/>
        </w:rPr>
        <w:tab/>
        <w:t xml:space="preserve">R. W. Gesch, D. W. Archer and K. Spokas, </w:t>
      </w:r>
      <w:r w:rsidRPr="00504D41">
        <w:rPr>
          <w:i/>
          <w:iCs/>
          <w:noProof/>
          <w:szCs w:val="24"/>
        </w:rPr>
        <w:t>F. Crop. Res.</w:t>
      </w:r>
      <w:r w:rsidRPr="00504D41">
        <w:rPr>
          <w:noProof/>
          <w:szCs w:val="24"/>
        </w:rPr>
        <w:t xml:space="preserve">, 2012, </w:t>
      </w:r>
      <w:r w:rsidRPr="00504D41">
        <w:rPr>
          <w:b/>
          <w:bCs/>
          <w:noProof/>
          <w:szCs w:val="24"/>
        </w:rPr>
        <w:t>125</w:t>
      </w:r>
      <w:r w:rsidRPr="00504D41">
        <w:rPr>
          <w:noProof/>
          <w:szCs w:val="24"/>
        </w:rPr>
        <w:t>, 109–116.</w:t>
      </w:r>
    </w:p>
    <w:p w14:paraId="2E9D3842"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8</w:t>
      </w:r>
      <w:r w:rsidRPr="00504D41">
        <w:rPr>
          <w:noProof/>
          <w:szCs w:val="24"/>
        </w:rPr>
        <w:tab/>
        <w:t xml:space="preserve">G. Kaufman, </w:t>
      </w:r>
      <w:r w:rsidRPr="00504D41">
        <w:rPr>
          <w:i/>
          <w:iCs/>
          <w:noProof/>
          <w:szCs w:val="24"/>
        </w:rPr>
        <w:t>HortTechnology horttech</w:t>
      </w:r>
      <w:r w:rsidRPr="00504D41">
        <w:rPr>
          <w:noProof/>
          <w:szCs w:val="24"/>
        </w:rPr>
        <w:t xml:space="preserve">, 1991, </w:t>
      </w:r>
      <w:r w:rsidRPr="00504D41">
        <w:rPr>
          <w:b/>
          <w:bCs/>
          <w:noProof/>
          <w:szCs w:val="24"/>
        </w:rPr>
        <w:t>1</w:t>
      </w:r>
      <w:r w:rsidRPr="00504D41">
        <w:rPr>
          <w:noProof/>
          <w:szCs w:val="24"/>
        </w:rPr>
        <w:t>, 98–102.</w:t>
      </w:r>
    </w:p>
    <w:p w14:paraId="6083FD03"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9</w:t>
      </w:r>
      <w:r w:rsidRPr="00504D41">
        <w:rPr>
          <w:noProof/>
          <w:szCs w:val="24"/>
        </w:rPr>
        <w:tab/>
        <w:t xml:space="preserve">I. R. J. Legro, in </w:t>
      </w:r>
      <w:r w:rsidRPr="00504D41">
        <w:rPr>
          <w:i/>
          <w:iCs/>
          <w:noProof/>
          <w:szCs w:val="24"/>
        </w:rPr>
        <w:t>Challenges and Opportunities for Organic Agriculture and the Seed Industry</w:t>
      </w:r>
      <w:r w:rsidRPr="00504D41">
        <w:rPr>
          <w:noProof/>
          <w:szCs w:val="24"/>
        </w:rPr>
        <w:t>, ed. A. Martinez, International Federation of OrganicAgricultureMovements, Bonn, Germany, 2004, p. 109.</w:t>
      </w:r>
    </w:p>
    <w:p w14:paraId="428E4F68"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10</w:t>
      </w:r>
      <w:r w:rsidRPr="00504D41">
        <w:rPr>
          <w:noProof/>
          <w:szCs w:val="24"/>
        </w:rPr>
        <w:tab/>
        <w:t xml:space="preserve">S. Pedrini, D. J. Merritt, J. Stevens and K. Dixon, </w:t>
      </w:r>
      <w:r w:rsidRPr="00504D41">
        <w:rPr>
          <w:i/>
          <w:iCs/>
          <w:noProof/>
          <w:szCs w:val="24"/>
        </w:rPr>
        <w:t>Trends Plant Sci.</w:t>
      </w:r>
      <w:r w:rsidRPr="00504D41">
        <w:rPr>
          <w:noProof/>
          <w:szCs w:val="24"/>
        </w:rPr>
        <w:t xml:space="preserve">, 2017, </w:t>
      </w:r>
      <w:r w:rsidRPr="00504D41">
        <w:rPr>
          <w:b/>
          <w:bCs/>
          <w:noProof/>
          <w:szCs w:val="24"/>
        </w:rPr>
        <w:t>22</w:t>
      </w:r>
      <w:r w:rsidRPr="00504D41">
        <w:rPr>
          <w:noProof/>
          <w:szCs w:val="24"/>
        </w:rPr>
        <w:t>, 106–116.</w:t>
      </w:r>
    </w:p>
    <w:p w14:paraId="68891129"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11</w:t>
      </w:r>
      <w:r w:rsidRPr="00504D41">
        <w:rPr>
          <w:noProof/>
          <w:szCs w:val="24"/>
        </w:rPr>
        <w:tab/>
        <w:t xml:space="preserve">L.-Q. Su, J.-G. Li, H. Xue and X.-F. Wang, </w:t>
      </w:r>
      <w:r w:rsidRPr="00504D41">
        <w:rPr>
          <w:i/>
          <w:iCs/>
          <w:noProof/>
          <w:szCs w:val="24"/>
        </w:rPr>
        <w:t>J. Zhejiang Univ. Sci. B</w:t>
      </w:r>
      <w:r w:rsidRPr="00504D41">
        <w:rPr>
          <w:noProof/>
          <w:szCs w:val="24"/>
        </w:rPr>
        <w:t xml:space="preserve">, 2017, </w:t>
      </w:r>
      <w:r w:rsidRPr="00504D41">
        <w:rPr>
          <w:b/>
          <w:bCs/>
          <w:noProof/>
          <w:szCs w:val="24"/>
        </w:rPr>
        <w:t>18</w:t>
      </w:r>
      <w:r w:rsidRPr="00504D41">
        <w:rPr>
          <w:noProof/>
          <w:szCs w:val="24"/>
        </w:rPr>
        <w:t>, 696–706.</w:t>
      </w:r>
    </w:p>
    <w:p w14:paraId="6D643D90"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12</w:t>
      </w:r>
      <w:r w:rsidRPr="00504D41">
        <w:rPr>
          <w:noProof/>
          <w:szCs w:val="24"/>
        </w:rPr>
        <w:tab/>
        <w:t xml:space="preserve">CropLife Foundation, </w:t>
      </w:r>
      <w:r w:rsidRPr="00504D41">
        <w:rPr>
          <w:i/>
          <w:iCs/>
          <w:noProof/>
          <w:szCs w:val="24"/>
        </w:rPr>
        <w:t>The Role of Seed Treatment in Modern U.S. Crop Production</w:t>
      </w:r>
      <w:r w:rsidRPr="00504D41">
        <w:rPr>
          <w:noProof/>
          <w:szCs w:val="24"/>
        </w:rPr>
        <w:t>, 2013.</w:t>
      </w:r>
    </w:p>
    <w:p w14:paraId="399ABE31"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13</w:t>
      </w:r>
      <w:r w:rsidRPr="00504D41">
        <w:rPr>
          <w:noProof/>
          <w:szCs w:val="24"/>
        </w:rPr>
        <w:tab/>
        <w:t xml:space="preserve">H. Sun, Y. Cao, D. Kim and B. Marelli, </w:t>
      </w:r>
      <w:r w:rsidRPr="00504D41">
        <w:rPr>
          <w:i/>
          <w:iCs/>
          <w:noProof/>
          <w:szCs w:val="24"/>
        </w:rPr>
        <w:t>Adv. Funct. Mater.</w:t>
      </w:r>
      <w:r w:rsidRPr="00504D41">
        <w:rPr>
          <w:noProof/>
          <w:szCs w:val="24"/>
        </w:rPr>
        <w:t xml:space="preserve">, 2022, </w:t>
      </w:r>
      <w:r w:rsidRPr="00504D41">
        <w:rPr>
          <w:b/>
          <w:bCs/>
          <w:noProof/>
          <w:szCs w:val="24"/>
        </w:rPr>
        <w:t>n/a</w:t>
      </w:r>
      <w:r w:rsidRPr="00504D41">
        <w:rPr>
          <w:noProof/>
          <w:szCs w:val="24"/>
        </w:rPr>
        <w:t>, 2201930.</w:t>
      </w:r>
    </w:p>
    <w:p w14:paraId="007F2177"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14</w:t>
      </w:r>
      <w:r w:rsidRPr="00504D41">
        <w:rPr>
          <w:noProof/>
          <w:szCs w:val="24"/>
        </w:rPr>
        <w:tab/>
        <w:t xml:space="preserve">E. Kavusi, B. Shahi Khalaf Ansar, Z. Dehghanian, B. Asgari Lajayer, K. Nobaharan, Y. Ma and B. R. Glick, </w:t>
      </w:r>
      <w:r w:rsidRPr="00504D41">
        <w:rPr>
          <w:i/>
          <w:iCs/>
          <w:noProof/>
          <w:szCs w:val="24"/>
        </w:rPr>
        <w:t>J. Plant Growth Regul.</w:t>
      </w:r>
      <w:r w:rsidRPr="00504D41">
        <w:rPr>
          <w:noProof/>
          <w:szCs w:val="24"/>
        </w:rPr>
        <w:t>, , DOI:10.1007/s00344-022-10597-2.</w:t>
      </w:r>
    </w:p>
    <w:p w14:paraId="28338688"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15</w:t>
      </w:r>
      <w:r w:rsidRPr="00504D41">
        <w:rPr>
          <w:noProof/>
          <w:szCs w:val="24"/>
        </w:rPr>
        <w:tab/>
        <w:t xml:space="preserve">H. C. Erythropel, J. B. Zimmerman, T. M. de Winter, L. Petitjean, F. Melnikov, C. H. Lam, A. W. Lounsbury, K. E. Mellor, N. Z. Janković, Q. Tu, L. N. Pincus, M. M. Falinski, W. Shi, P. Coish, D. L. Plata and P. T. Anastas, </w:t>
      </w:r>
      <w:r w:rsidRPr="00504D41">
        <w:rPr>
          <w:i/>
          <w:iCs/>
          <w:noProof/>
          <w:szCs w:val="24"/>
        </w:rPr>
        <w:t>Green Chem.</w:t>
      </w:r>
      <w:r w:rsidRPr="00504D41">
        <w:rPr>
          <w:noProof/>
          <w:szCs w:val="24"/>
        </w:rPr>
        <w:t xml:space="preserve">, 2018, </w:t>
      </w:r>
      <w:r w:rsidRPr="00504D41">
        <w:rPr>
          <w:b/>
          <w:bCs/>
          <w:noProof/>
          <w:szCs w:val="24"/>
        </w:rPr>
        <w:t>20</w:t>
      </w:r>
      <w:r w:rsidRPr="00504D41">
        <w:rPr>
          <w:noProof/>
          <w:szCs w:val="24"/>
        </w:rPr>
        <w:t>, 1929–1961.</w:t>
      </w:r>
    </w:p>
    <w:p w14:paraId="5BBCE101"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16</w:t>
      </w:r>
      <w:r w:rsidRPr="00504D41">
        <w:rPr>
          <w:noProof/>
          <w:szCs w:val="24"/>
        </w:rPr>
        <w:tab/>
        <w:t xml:space="preserve">M. Ashraf and M. R. Foolad, in </w:t>
      </w:r>
      <w:r w:rsidRPr="00504D41">
        <w:rPr>
          <w:i/>
          <w:iCs/>
          <w:noProof/>
          <w:szCs w:val="24"/>
        </w:rPr>
        <w:t>Advances in Agronomy, Volume 88</w:t>
      </w:r>
      <w:r w:rsidRPr="00504D41">
        <w:rPr>
          <w:noProof/>
          <w:szCs w:val="24"/>
        </w:rPr>
        <w:t>, ed. D. L. Sparks, Elsevier Science, Netherlands, 2005, p. 257.</w:t>
      </w:r>
    </w:p>
    <w:p w14:paraId="7810C148"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17</w:t>
      </w:r>
      <w:r w:rsidRPr="00504D41">
        <w:rPr>
          <w:noProof/>
          <w:szCs w:val="24"/>
        </w:rPr>
        <w:tab/>
        <w:t xml:space="preserve">A. G. Taylor, P. S. Allen, M. A. Bennett, K. J. Bradford, J. S. Burris and M. K. Misra, </w:t>
      </w:r>
      <w:r w:rsidRPr="00504D41">
        <w:rPr>
          <w:i/>
          <w:iCs/>
          <w:noProof/>
          <w:szCs w:val="24"/>
        </w:rPr>
        <w:lastRenderedPageBreak/>
        <w:t>Seed Sci. Res.</w:t>
      </w:r>
      <w:r w:rsidRPr="00504D41">
        <w:rPr>
          <w:noProof/>
          <w:szCs w:val="24"/>
        </w:rPr>
        <w:t xml:space="preserve">, 1998, </w:t>
      </w:r>
      <w:r w:rsidRPr="00504D41">
        <w:rPr>
          <w:b/>
          <w:bCs/>
          <w:noProof/>
          <w:szCs w:val="24"/>
        </w:rPr>
        <w:t>8</w:t>
      </w:r>
      <w:r w:rsidRPr="00504D41">
        <w:rPr>
          <w:noProof/>
          <w:szCs w:val="24"/>
        </w:rPr>
        <w:t>, 245–256.</w:t>
      </w:r>
    </w:p>
    <w:p w14:paraId="35D3EE7A"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18</w:t>
      </w:r>
      <w:r w:rsidRPr="00504D41">
        <w:rPr>
          <w:noProof/>
          <w:szCs w:val="24"/>
        </w:rPr>
        <w:tab/>
        <w:t xml:space="preserve">G. R. and S. P. Komala NT, Basava arya BR, Sumalatha GM, </w:t>
      </w:r>
      <w:r w:rsidRPr="00504D41">
        <w:rPr>
          <w:i/>
          <w:iCs/>
          <w:noProof/>
          <w:szCs w:val="24"/>
        </w:rPr>
        <w:t>J Pharmacogn Phytochem</w:t>
      </w:r>
      <w:r w:rsidRPr="00504D41">
        <w:rPr>
          <w:noProof/>
          <w:szCs w:val="24"/>
        </w:rPr>
        <w:t xml:space="preserve">, 2018, </w:t>
      </w:r>
      <w:r w:rsidRPr="00504D41">
        <w:rPr>
          <w:b/>
          <w:bCs/>
          <w:noProof/>
          <w:szCs w:val="24"/>
        </w:rPr>
        <w:t>7</w:t>
      </w:r>
      <w:r w:rsidRPr="00504D41">
        <w:rPr>
          <w:noProof/>
          <w:szCs w:val="24"/>
        </w:rPr>
        <w:t>, 3124–3128.</w:t>
      </w:r>
    </w:p>
    <w:p w14:paraId="1E7099F6"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19</w:t>
      </w:r>
      <w:r w:rsidRPr="00504D41">
        <w:rPr>
          <w:noProof/>
          <w:szCs w:val="24"/>
        </w:rPr>
        <w:tab/>
        <w:t xml:space="preserve">E. Hartley, L. Greg Gemell and D. F. Herridge, </w:t>
      </w:r>
      <w:r w:rsidRPr="00504D41">
        <w:rPr>
          <w:i/>
          <w:iCs/>
          <w:noProof/>
          <w:szCs w:val="24"/>
        </w:rPr>
        <w:t>Soil Biol. Biochem.</w:t>
      </w:r>
      <w:r w:rsidRPr="00504D41">
        <w:rPr>
          <w:noProof/>
          <w:szCs w:val="24"/>
        </w:rPr>
        <w:t xml:space="preserve">, 2004, </w:t>
      </w:r>
      <w:r w:rsidRPr="00504D41">
        <w:rPr>
          <w:b/>
          <w:bCs/>
          <w:noProof/>
          <w:szCs w:val="24"/>
        </w:rPr>
        <w:t>36</w:t>
      </w:r>
      <w:r w:rsidRPr="00504D41">
        <w:rPr>
          <w:noProof/>
          <w:szCs w:val="24"/>
        </w:rPr>
        <w:t>, 1289–1294.</w:t>
      </w:r>
    </w:p>
    <w:p w14:paraId="60CF2B76"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20</w:t>
      </w:r>
      <w:r w:rsidRPr="00504D41">
        <w:rPr>
          <w:noProof/>
          <w:szCs w:val="24"/>
        </w:rPr>
        <w:tab/>
        <w:t xml:space="preserve">B. Shaharoona, M. Naveed, M. Arshad and Z. A. Zahir, </w:t>
      </w:r>
      <w:r w:rsidRPr="00504D41">
        <w:rPr>
          <w:i/>
          <w:iCs/>
          <w:noProof/>
          <w:szCs w:val="24"/>
        </w:rPr>
        <w:t>Appl. Microbiol. Biotechnol.</w:t>
      </w:r>
      <w:r w:rsidRPr="00504D41">
        <w:rPr>
          <w:noProof/>
          <w:szCs w:val="24"/>
        </w:rPr>
        <w:t xml:space="preserve">, 2008, </w:t>
      </w:r>
      <w:r w:rsidRPr="00504D41">
        <w:rPr>
          <w:b/>
          <w:bCs/>
          <w:noProof/>
          <w:szCs w:val="24"/>
        </w:rPr>
        <w:t>79</w:t>
      </w:r>
      <w:r w:rsidRPr="00504D41">
        <w:rPr>
          <w:noProof/>
          <w:szCs w:val="24"/>
        </w:rPr>
        <w:t>, 147–155.</w:t>
      </w:r>
    </w:p>
    <w:p w14:paraId="06C33772"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21</w:t>
      </w:r>
      <w:r w:rsidRPr="00504D41">
        <w:rPr>
          <w:noProof/>
          <w:szCs w:val="24"/>
        </w:rPr>
        <w:tab/>
        <w:t xml:space="preserve">E. F. Durner, </w:t>
      </w:r>
      <w:r w:rsidRPr="00504D41">
        <w:rPr>
          <w:i/>
          <w:iCs/>
          <w:noProof/>
          <w:szCs w:val="24"/>
        </w:rPr>
        <w:t>Principles of Horticultural Physiology</w:t>
      </w:r>
      <w:r w:rsidRPr="00504D41">
        <w:rPr>
          <w:noProof/>
          <w:szCs w:val="24"/>
        </w:rPr>
        <w:t>, CABI, UK, 2013.</w:t>
      </w:r>
    </w:p>
    <w:p w14:paraId="0A32C145"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22</w:t>
      </w:r>
      <w:r w:rsidRPr="00504D41">
        <w:rPr>
          <w:noProof/>
          <w:szCs w:val="24"/>
        </w:rPr>
        <w:tab/>
        <w:t xml:space="preserve">A. G. Taylor, in </w:t>
      </w:r>
      <w:r w:rsidRPr="00504D41">
        <w:rPr>
          <w:i/>
          <w:iCs/>
          <w:noProof/>
          <w:szCs w:val="24"/>
        </w:rPr>
        <w:t>The Physiology of Vegetable Crops</w:t>
      </w:r>
      <w:r w:rsidRPr="00504D41">
        <w:rPr>
          <w:noProof/>
          <w:szCs w:val="24"/>
        </w:rPr>
        <w:t>, eds. H. C. Wien and H. Stützel, CABI, 2nd edn., 2020, p. 23.</w:t>
      </w:r>
    </w:p>
    <w:p w14:paraId="582D3806"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23</w:t>
      </w:r>
      <w:r w:rsidRPr="00504D41">
        <w:rPr>
          <w:noProof/>
          <w:szCs w:val="24"/>
        </w:rPr>
        <w:tab/>
        <w:t xml:space="preserve">L. O. Copeland and M. F. McDonald, </w:t>
      </w:r>
      <w:r w:rsidRPr="00504D41">
        <w:rPr>
          <w:i/>
          <w:iCs/>
          <w:noProof/>
          <w:szCs w:val="24"/>
        </w:rPr>
        <w:t>Principles of Seed Science and Technology</w:t>
      </w:r>
      <w:r w:rsidRPr="00504D41">
        <w:rPr>
          <w:noProof/>
          <w:szCs w:val="24"/>
        </w:rPr>
        <w:t>, Springer, US, 4th edn., 2012.</w:t>
      </w:r>
    </w:p>
    <w:p w14:paraId="59CB34B7"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24</w:t>
      </w:r>
      <w:r w:rsidRPr="00504D41">
        <w:rPr>
          <w:noProof/>
          <w:szCs w:val="24"/>
        </w:rPr>
        <w:tab/>
        <w:t xml:space="preserve">P. Halmer, in </w:t>
      </w:r>
      <w:r w:rsidRPr="00504D41">
        <w:rPr>
          <w:i/>
          <w:iCs/>
          <w:noProof/>
          <w:szCs w:val="24"/>
        </w:rPr>
        <w:t>Handbook of seed physiology : applications to agriculture</w:t>
      </w:r>
      <w:r w:rsidRPr="00504D41">
        <w:rPr>
          <w:noProof/>
          <w:szCs w:val="24"/>
        </w:rPr>
        <w:t>, eds. R. L. Benech-Arnold and R. A. Sanchez, New York : Food Products Press : Haworth Reference Press, New York, USA, 2004, p. 129.</w:t>
      </w:r>
    </w:p>
    <w:p w14:paraId="63B237F4"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25</w:t>
      </w:r>
      <w:r w:rsidRPr="00504D41">
        <w:rPr>
          <w:noProof/>
          <w:szCs w:val="24"/>
        </w:rPr>
        <w:tab/>
        <w:t xml:space="preserve">P. Halmer, in </w:t>
      </w:r>
      <w:r w:rsidRPr="00504D41">
        <w:rPr>
          <w:i/>
          <w:iCs/>
          <w:noProof/>
          <w:szCs w:val="24"/>
        </w:rPr>
        <w:t>Seed technology and its biological basis</w:t>
      </w:r>
      <w:r w:rsidRPr="00504D41">
        <w:rPr>
          <w:noProof/>
          <w:szCs w:val="24"/>
        </w:rPr>
        <w:t>, eds. M. Black and J. D. Bewley, Sheffield, England : Sheffield Academic Press ; Boca Raton, FL : CRC Press., 2000, pp. 274–283.</w:t>
      </w:r>
    </w:p>
    <w:p w14:paraId="471985EC"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26</w:t>
      </w:r>
      <w:r w:rsidRPr="00504D41">
        <w:rPr>
          <w:noProof/>
          <w:szCs w:val="24"/>
        </w:rPr>
        <w:tab/>
        <w:t xml:space="preserve">B. Gregg and G. Billups, </w:t>
      </w:r>
      <w:r w:rsidRPr="00504D41">
        <w:rPr>
          <w:i/>
          <w:iCs/>
          <w:noProof/>
          <w:szCs w:val="24"/>
        </w:rPr>
        <w:t>Seed Conditioning, Volume 2: Technology--Parts A \&amp; B</w:t>
      </w:r>
      <w:r w:rsidRPr="00504D41">
        <w:rPr>
          <w:noProof/>
          <w:szCs w:val="24"/>
        </w:rPr>
        <w:t>, CRC Press, 2016.</w:t>
      </w:r>
    </w:p>
    <w:p w14:paraId="3933995C"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27</w:t>
      </w:r>
      <w:r w:rsidRPr="00504D41">
        <w:rPr>
          <w:noProof/>
          <w:szCs w:val="24"/>
        </w:rPr>
        <w:tab/>
        <w:t xml:space="preserve">S. Pedrini, A. Balestrazzi, M. D. Madsen, K. Bhalsing, S. P. Hardegree, K. W. Dixon and O. A. Kildisheva, </w:t>
      </w:r>
      <w:r w:rsidRPr="00504D41">
        <w:rPr>
          <w:i/>
          <w:iCs/>
          <w:noProof/>
          <w:szCs w:val="24"/>
        </w:rPr>
        <w:t>Restor. Ecol.</w:t>
      </w:r>
      <w:r w:rsidRPr="00504D41">
        <w:rPr>
          <w:noProof/>
          <w:szCs w:val="24"/>
        </w:rPr>
        <w:t xml:space="preserve">, 2020, </w:t>
      </w:r>
      <w:r w:rsidRPr="00504D41">
        <w:rPr>
          <w:b/>
          <w:bCs/>
          <w:noProof/>
          <w:szCs w:val="24"/>
        </w:rPr>
        <w:t>28</w:t>
      </w:r>
      <w:r w:rsidRPr="00504D41">
        <w:rPr>
          <w:noProof/>
          <w:szCs w:val="24"/>
        </w:rPr>
        <w:t>, S266–S275.</w:t>
      </w:r>
    </w:p>
    <w:p w14:paraId="0B8F241C"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28</w:t>
      </w:r>
      <w:r w:rsidRPr="00504D41">
        <w:rPr>
          <w:noProof/>
          <w:szCs w:val="24"/>
        </w:rPr>
        <w:tab/>
        <w:t xml:space="preserve">D. Foqué, B. Beck, W. Devarrewaere, P. Verboven and D. Nuyttens, </w:t>
      </w:r>
      <w:r w:rsidRPr="00504D41">
        <w:rPr>
          <w:i/>
          <w:iCs/>
          <w:noProof/>
          <w:szCs w:val="24"/>
        </w:rPr>
        <w:t>Pest Manag. Sci.</w:t>
      </w:r>
      <w:r w:rsidRPr="00504D41">
        <w:rPr>
          <w:noProof/>
          <w:szCs w:val="24"/>
        </w:rPr>
        <w:t xml:space="preserve">, 2017, </w:t>
      </w:r>
      <w:r w:rsidRPr="00504D41">
        <w:rPr>
          <w:b/>
          <w:bCs/>
          <w:noProof/>
          <w:szCs w:val="24"/>
        </w:rPr>
        <w:t>73</w:t>
      </w:r>
      <w:r w:rsidRPr="00504D41">
        <w:rPr>
          <w:noProof/>
          <w:szCs w:val="24"/>
        </w:rPr>
        <w:t>, 1908–1920.</w:t>
      </w:r>
    </w:p>
    <w:p w14:paraId="0D68F6CE"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29</w:t>
      </w:r>
      <w:r w:rsidRPr="00504D41">
        <w:rPr>
          <w:noProof/>
          <w:szCs w:val="24"/>
        </w:rPr>
        <w:tab/>
        <w:t xml:space="preserve">C. Accinelli, H. K. Abbas, W. T. Shier, A. Vicari, N. S. Little, M. R. Aloise and S. Giacomini, </w:t>
      </w:r>
      <w:r w:rsidRPr="00504D41">
        <w:rPr>
          <w:i/>
          <w:iCs/>
          <w:noProof/>
          <w:szCs w:val="24"/>
        </w:rPr>
        <w:t>Chemosphere</w:t>
      </w:r>
      <w:r w:rsidRPr="00504D41">
        <w:rPr>
          <w:noProof/>
          <w:szCs w:val="24"/>
        </w:rPr>
        <w:t xml:space="preserve">, 2019, </w:t>
      </w:r>
      <w:r w:rsidRPr="00504D41">
        <w:rPr>
          <w:b/>
          <w:bCs/>
          <w:noProof/>
          <w:szCs w:val="24"/>
        </w:rPr>
        <w:t>226</w:t>
      </w:r>
      <w:r w:rsidRPr="00504D41">
        <w:rPr>
          <w:noProof/>
          <w:szCs w:val="24"/>
        </w:rPr>
        <w:t>, 645–650.</w:t>
      </w:r>
    </w:p>
    <w:p w14:paraId="0ED0EBE5"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30</w:t>
      </w:r>
      <w:r w:rsidRPr="00504D41">
        <w:rPr>
          <w:noProof/>
          <w:szCs w:val="24"/>
        </w:rPr>
        <w:tab/>
        <w:t xml:space="preserve">D. Nuyttens, W. Devarrewaere, P. Verboven and D. Foqué, </w:t>
      </w:r>
      <w:r w:rsidRPr="00504D41">
        <w:rPr>
          <w:i/>
          <w:iCs/>
          <w:noProof/>
          <w:szCs w:val="24"/>
        </w:rPr>
        <w:t>Pest Manag. Sci.</w:t>
      </w:r>
      <w:r w:rsidRPr="00504D41">
        <w:rPr>
          <w:noProof/>
          <w:szCs w:val="24"/>
        </w:rPr>
        <w:t xml:space="preserve">, 2013, </w:t>
      </w:r>
      <w:r w:rsidRPr="00504D41">
        <w:rPr>
          <w:b/>
          <w:bCs/>
          <w:noProof/>
          <w:szCs w:val="24"/>
        </w:rPr>
        <w:t>69</w:t>
      </w:r>
      <w:r w:rsidRPr="00504D41">
        <w:rPr>
          <w:noProof/>
          <w:szCs w:val="24"/>
        </w:rPr>
        <w:t>, 564–575.</w:t>
      </w:r>
    </w:p>
    <w:p w14:paraId="7FF6665C"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31</w:t>
      </w:r>
      <w:r w:rsidRPr="00504D41">
        <w:rPr>
          <w:noProof/>
          <w:szCs w:val="24"/>
        </w:rPr>
        <w:tab/>
        <w:t xml:space="preserve">B. Zhang, X. Yang, L. Chen, J. Chao, J. Teng and Q. Wang, </w:t>
      </w:r>
      <w:r w:rsidRPr="00504D41">
        <w:rPr>
          <w:i/>
          <w:iCs/>
          <w:noProof/>
          <w:szCs w:val="24"/>
        </w:rPr>
        <w:t>J. Chem. Technol. Biotechnol.</w:t>
      </w:r>
      <w:r w:rsidRPr="00504D41">
        <w:rPr>
          <w:noProof/>
          <w:szCs w:val="24"/>
        </w:rPr>
        <w:t xml:space="preserve">, 2020, </w:t>
      </w:r>
      <w:r w:rsidRPr="00504D41">
        <w:rPr>
          <w:b/>
          <w:bCs/>
          <w:noProof/>
          <w:szCs w:val="24"/>
        </w:rPr>
        <w:t>95</w:t>
      </w:r>
      <w:r w:rsidRPr="00504D41">
        <w:rPr>
          <w:noProof/>
          <w:szCs w:val="24"/>
        </w:rPr>
        <w:t>, 2052–2068.</w:t>
      </w:r>
    </w:p>
    <w:p w14:paraId="2AC1E424"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32</w:t>
      </w:r>
      <w:r w:rsidRPr="00504D41">
        <w:rPr>
          <w:noProof/>
          <w:szCs w:val="24"/>
        </w:rPr>
        <w:tab/>
        <w:t>US Pat., 10258034B2, 2013.</w:t>
      </w:r>
    </w:p>
    <w:p w14:paraId="6B59F159"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33</w:t>
      </w:r>
      <w:r w:rsidRPr="00504D41">
        <w:rPr>
          <w:noProof/>
          <w:szCs w:val="24"/>
        </w:rPr>
        <w:tab/>
        <w:t xml:space="preserve">M. Amit, R. K. Mishra, Q. Hoang, A. M. Galan, J. Wang and T. N. Ng, </w:t>
      </w:r>
      <w:r w:rsidRPr="00504D41">
        <w:rPr>
          <w:i/>
          <w:iCs/>
          <w:noProof/>
          <w:szCs w:val="24"/>
        </w:rPr>
        <w:t>Mater. Horizons</w:t>
      </w:r>
      <w:r w:rsidRPr="00504D41">
        <w:rPr>
          <w:noProof/>
          <w:szCs w:val="24"/>
        </w:rPr>
        <w:t xml:space="preserve">, 2019, </w:t>
      </w:r>
      <w:r w:rsidRPr="00504D41">
        <w:rPr>
          <w:b/>
          <w:bCs/>
          <w:noProof/>
          <w:szCs w:val="24"/>
        </w:rPr>
        <w:t>6</w:t>
      </w:r>
      <w:r w:rsidRPr="00504D41">
        <w:rPr>
          <w:noProof/>
          <w:szCs w:val="24"/>
        </w:rPr>
        <w:t>, 604–611.</w:t>
      </w:r>
    </w:p>
    <w:p w14:paraId="748CCCFA"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34</w:t>
      </w:r>
      <w:r w:rsidRPr="00504D41">
        <w:rPr>
          <w:noProof/>
          <w:szCs w:val="24"/>
        </w:rPr>
        <w:tab/>
        <w:t xml:space="preserve">M. Rundlöf, G. K. S. Andersson, R. Bommarco, I. Fries, V. Hederström, L. Herbertsson, O. Jonsson, B. K. Klatt, T. R. Pedersen, J. Yourstone and H. G. Smith, </w:t>
      </w:r>
      <w:r w:rsidRPr="00504D41">
        <w:rPr>
          <w:i/>
          <w:iCs/>
          <w:noProof/>
          <w:szCs w:val="24"/>
        </w:rPr>
        <w:t>Nature</w:t>
      </w:r>
      <w:r w:rsidRPr="00504D41">
        <w:rPr>
          <w:noProof/>
          <w:szCs w:val="24"/>
        </w:rPr>
        <w:t xml:space="preserve">, 2015, </w:t>
      </w:r>
      <w:r w:rsidRPr="00504D41">
        <w:rPr>
          <w:b/>
          <w:bCs/>
          <w:noProof/>
          <w:szCs w:val="24"/>
        </w:rPr>
        <w:t>521</w:t>
      </w:r>
      <w:r w:rsidRPr="00504D41">
        <w:rPr>
          <w:noProof/>
          <w:szCs w:val="24"/>
        </w:rPr>
        <w:t>, 77–80.</w:t>
      </w:r>
    </w:p>
    <w:p w14:paraId="58A09784"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35</w:t>
      </w:r>
      <w:r w:rsidRPr="00504D41">
        <w:rPr>
          <w:noProof/>
          <w:szCs w:val="24"/>
        </w:rPr>
        <w:tab/>
        <w:t xml:space="preserve">A. R. Main, E. B. Webb, K. W. Goyne, R. Abney and D. Mengel, </w:t>
      </w:r>
      <w:r w:rsidRPr="00504D41">
        <w:rPr>
          <w:i/>
          <w:iCs/>
          <w:noProof/>
          <w:szCs w:val="24"/>
        </w:rPr>
        <w:t>Sci. Total Environ.</w:t>
      </w:r>
      <w:r w:rsidRPr="00504D41">
        <w:rPr>
          <w:noProof/>
          <w:szCs w:val="24"/>
        </w:rPr>
        <w:t xml:space="preserve">, </w:t>
      </w:r>
      <w:r w:rsidRPr="00504D41">
        <w:rPr>
          <w:noProof/>
          <w:szCs w:val="24"/>
        </w:rPr>
        <w:lastRenderedPageBreak/>
        <w:t xml:space="preserve">2021, </w:t>
      </w:r>
      <w:r w:rsidRPr="00504D41">
        <w:rPr>
          <w:b/>
          <w:bCs/>
          <w:noProof/>
          <w:szCs w:val="24"/>
        </w:rPr>
        <w:t>786</w:t>
      </w:r>
      <w:r w:rsidRPr="00504D41">
        <w:rPr>
          <w:noProof/>
          <w:szCs w:val="24"/>
        </w:rPr>
        <w:t>, 147299.</w:t>
      </w:r>
    </w:p>
    <w:p w14:paraId="23E1972B"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36</w:t>
      </w:r>
      <w:r w:rsidRPr="00504D41">
        <w:rPr>
          <w:noProof/>
          <w:szCs w:val="24"/>
        </w:rPr>
        <w:tab/>
        <w:t xml:space="preserve">A. M. Alford and C. H. Krupke, </w:t>
      </w:r>
      <w:r w:rsidRPr="00504D41">
        <w:rPr>
          <w:i/>
          <w:iCs/>
          <w:noProof/>
          <w:szCs w:val="24"/>
        </w:rPr>
        <w:t>Environ. Sci. Technol.</w:t>
      </w:r>
      <w:r w:rsidRPr="00504D41">
        <w:rPr>
          <w:noProof/>
          <w:szCs w:val="24"/>
        </w:rPr>
        <w:t xml:space="preserve">, 2019, </w:t>
      </w:r>
      <w:r w:rsidRPr="00504D41">
        <w:rPr>
          <w:b/>
          <w:bCs/>
          <w:noProof/>
          <w:szCs w:val="24"/>
        </w:rPr>
        <w:t>53</w:t>
      </w:r>
      <w:r w:rsidRPr="00504D41">
        <w:rPr>
          <w:noProof/>
          <w:szCs w:val="24"/>
        </w:rPr>
        <w:t>, 14368–14376.</w:t>
      </w:r>
    </w:p>
    <w:p w14:paraId="20711BE6"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37</w:t>
      </w:r>
      <w:r w:rsidRPr="00504D41">
        <w:rPr>
          <w:noProof/>
          <w:szCs w:val="24"/>
        </w:rPr>
        <w:tab/>
        <w:t xml:space="preserve">M. Yamamuro, T. Komuro, H. Kamiya, T. Kato, H. Hasegawa and Y. Kameda, </w:t>
      </w:r>
      <w:r w:rsidRPr="00504D41">
        <w:rPr>
          <w:i/>
          <w:iCs/>
          <w:noProof/>
          <w:szCs w:val="24"/>
        </w:rPr>
        <w:t>Science (80-. ).</w:t>
      </w:r>
      <w:r w:rsidRPr="00504D41">
        <w:rPr>
          <w:noProof/>
          <w:szCs w:val="24"/>
        </w:rPr>
        <w:t xml:space="preserve">, 2019, </w:t>
      </w:r>
      <w:r w:rsidRPr="00504D41">
        <w:rPr>
          <w:b/>
          <w:bCs/>
          <w:noProof/>
          <w:szCs w:val="24"/>
        </w:rPr>
        <w:t>366</w:t>
      </w:r>
      <w:r w:rsidRPr="00504D41">
        <w:rPr>
          <w:noProof/>
          <w:szCs w:val="24"/>
        </w:rPr>
        <w:t>, 620 LP – 623.</w:t>
      </w:r>
    </w:p>
    <w:p w14:paraId="2E4800C6"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38</w:t>
      </w:r>
      <w:r w:rsidRPr="00504D41">
        <w:rPr>
          <w:noProof/>
          <w:szCs w:val="24"/>
        </w:rPr>
        <w:tab/>
        <w:t xml:space="preserve">S. D. Frank and J. F. Tooker, </w:t>
      </w:r>
      <w:r w:rsidRPr="00504D41">
        <w:rPr>
          <w:i/>
          <w:iCs/>
          <w:noProof/>
          <w:szCs w:val="24"/>
        </w:rPr>
        <w:t>Proc. Natl. Acad. Sci.</w:t>
      </w:r>
      <w:r w:rsidRPr="00504D41">
        <w:rPr>
          <w:noProof/>
          <w:szCs w:val="24"/>
        </w:rPr>
        <w:t xml:space="preserve">, 2020, </w:t>
      </w:r>
      <w:r w:rsidRPr="00504D41">
        <w:rPr>
          <w:b/>
          <w:bCs/>
          <w:noProof/>
          <w:szCs w:val="24"/>
        </w:rPr>
        <w:t>117</w:t>
      </w:r>
      <w:r w:rsidRPr="00504D41">
        <w:rPr>
          <w:noProof/>
          <w:szCs w:val="24"/>
        </w:rPr>
        <w:t>, 22609 LP – 22613.</w:t>
      </w:r>
    </w:p>
    <w:p w14:paraId="1B528AF1"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39</w:t>
      </w:r>
      <w:r w:rsidRPr="00504D41">
        <w:rPr>
          <w:noProof/>
          <w:szCs w:val="24"/>
        </w:rPr>
        <w:tab/>
        <w:t xml:space="preserve">C. Botías, A. David, E. M. Hill and D. Goulson, </w:t>
      </w:r>
      <w:r w:rsidRPr="00504D41">
        <w:rPr>
          <w:i/>
          <w:iCs/>
          <w:noProof/>
          <w:szCs w:val="24"/>
        </w:rPr>
        <w:t>Sci. Total Environ.</w:t>
      </w:r>
      <w:r w:rsidRPr="00504D41">
        <w:rPr>
          <w:noProof/>
          <w:szCs w:val="24"/>
        </w:rPr>
        <w:t xml:space="preserve">, 2016, </w:t>
      </w:r>
      <w:r w:rsidRPr="00504D41">
        <w:rPr>
          <w:b/>
          <w:bCs/>
          <w:noProof/>
          <w:szCs w:val="24"/>
        </w:rPr>
        <w:t>566</w:t>
      </w:r>
      <w:r w:rsidRPr="00504D41">
        <w:rPr>
          <w:noProof/>
          <w:szCs w:val="24"/>
        </w:rPr>
        <w:t>–</w:t>
      </w:r>
      <w:r w:rsidRPr="00504D41">
        <w:rPr>
          <w:b/>
          <w:bCs/>
          <w:noProof/>
          <w:szCs w:val="24"/>
        </w:rPr>
        <w:t>567</w:t>
      </w:r>
      <w:r w:rsidRPr="00504D41">
        <w:rPr>
          <w:noProof/>
          <w:szCs w:val="24"/>
        </w:rPr>
        <w:t>, 269–278.</w:t>
      </w:r>
    </w:p>
    <w:p w14:paraId="48A8FF51"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40</w:t>
      </w:r>
      <w:r w:rsidRPr="00504D41">
        <w:rPr>
          <w:noProof/>
          <w:szCs w:val="24"/>
        </w:rPr>
        <w:tab/>
        <w:t xml:space="preserve">J. Radolinski, J. Wu, K. Xia and R. Stewart, </w:t>
      </w:r>
      <w:r w:rsidRPr="00504D41">
        <w:rPr>
          <w:i/>
          <w:iCs/>
          <w:noProof/>
          <w:szCs w:val="24"/>
        </w:rPr>
        <w:t>Sci. Total Environ.</w:t>
      </w:r>
      <w:r w:rsidRPr="00504D41">
        <w:rPr>
          <w:noProof/>
          <w:szCs w:val="24"/>
        </w:rPr>
        <w:t xml:space="preserve">, 2018, </w:t>
      </w:r>
      <w:r w:rsidRPr="00504D41">
        <w:rPr>
          <w:b/>
          <w:bCs/>
          <w:noProof/>
          <w:szCs w:val="24"/>
        </w:rPr>
        <w:t>618</w:t>
      </w:r>
      <w:r w:rsidRPr="00504D41">
        <w:rPr>
          <w:noProof/>
          <w:szCs w:val="24"/>
        </w:rPr>
        <w:t>, 561–568.</w:t>
      </w:r>
    </w:p>
    <w:p w14:paraId="16579002"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41</w:t>
      </w:r>
      <w:r w:rsidRPr="00504D41">
        <w:rPr>
          <w:noProof/>
          <w:szCs w:val="24"/>
        </w:rPr>
        <w:tab/>
        <w:t xml:space="preserve">M. R. Douglas and J. F. Tooker, </w:t>
      </w:r>
      <w:r w:rsidRPr="00504D41">
        <w:rPr>
          <w:i/>
          <w:iCs/>
          <w:noProof/>
          <w:szCs w:val="24"/>
        </w:rPr>
        <w:t>Environ. Sci. Technol.</w:t>
      </w:r>
      <w:r w:rsidRPr="00504D41">
        <w:rPr>
          <w:noProof/>
          <w:szCs w:val="24"/>
        </w:rPr>
        <w:t xml:space="preserve">, 2015, </w:t>
      </w:r>
      <w:r w:rsidRPr="00504D41">
        <w:rPr>
          <w:b/>
          <w:bCs/>
          <w:noProof/>
          <w:szCs w:val="24"/>
        </w:rPr>
        <w:t>49</w:t>
      </w:r>
      <w:r w:rsidRPr="00504D41">
        <w:rPr>
          <w:noProof/>
          <w:szCs w:val="24"/>
        </w:rPr>
        <w:t>, 5088–5097.</w:t>
      </w:r>
    </w:p>
    <w:p w14:paraId="383C5E71"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42</w:t>
      </w:r>
      <w:r w:rsidRPr="00504D41">
        <w:rPr>
          <w:noProof/>
          <w:szCs w:val="24"/>
        </w:rPr>
        <w:tab/>
        <w:t xml:space="preserve">A. Allington, </w:t>
      </w:r>
      <w:r w:rsidRPr="00504D41">
        <w:rPr>
          <w:i/>
          <w:iCs/>
          <w:noProof/>
          <w:szCs w:val="24"/>
        </w:rPr>
        <w:t>Bloom. Law</w:t>
      </w:r>
      <w:r w:rsidRPr="00504D41">
        <w:rPr>
          <w:noProof/>
          <w:szCs w:val="24"/>
        </w:rPr>
        <w:t>, 2020.</w:t>
      </w:r>
    </w:p>
    <w:p w14:paraId="7EFFD3FD"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43</w:t>
      </w:r>
      <w:r w:rsidRPr="00504D41">
        <w:rPr>
          <w:noProof/>
          <w:szCs w:val="24"/>
        </w:rPr>
        <w:tab/>
        <w:t xml:space="preserve">C. Hitaj, D. J. Smith, A. Code, S. Wechsler, P. D. Esker and M. R. Douglas, </w:t>
      </w:r>
      <w:r w:rsidRPr="00504D41">
        <w:rPr>
          <w:i/>
          <w:iCs/>
          <w:noProof/>
          <w:szCs w:val="24"/>
        </w:rPr>
        <w:t>Bioscience</w:t>
      </w:r>
      <w:r w:rsidRPr="00504D41">
        <w:rPr>
          <w:noProof/>
          <w:szCs w:val="24"/>
        </w:rPr>
        <w:t xml:space="preserve">, 2020, </w:t>
      </w:r>
      <w:r w:rsidRPr="00504D41">
        <w:rPr>
          <w:b/>
          <w:bCs/>
          <w:noProof/>
          <w:szCs w:val="24"/>
        </w:rPr>
        <w:t>70</w:t>
      </w:r>
      <w:r w:rsidRPr="00504D41">
        <w:rPr>
          <w:noProof/>
          <w:szCs w:val="24"/>
        </w:rPr>
        <w:t>, 390–403.</w:t>
      </w:r>
    </w:p>
    <w:p w14:paraId="377480EE"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44</w:t>
      </w:r>
      <w:r w:rsidRPr="00504D41">
        <w:rPr>
          <w:noProof/>
          <w:szCs w:val="24"/>
        </w:rPr>
        <w:tab/>
        <w:t xml:space="preserve">L. Walker and G. Naylor, </w:t>
      </w:r>
      <w:r w:rsidRPr="00504D41">
        <w:rPr>
          <w:i/>
          <w:iCs/>
          <w:noProof/>
          <w:szCs w:val="24"/>
        </w:rPr>
        <w:t>Hill</w:t>
      </w:r>
      <w:r w:rsidRPr="00504D41">
        <w:rPr>
          <w:noProof/>
          <w:szCs w:val="24"/>
        </w:rPr>
        <w:t>, 2015.</w:t>
      </w:r>
    </w:p>
    <w:p w14:paraId="0B82F338"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45</w:t>
      </w:r>
      <w:r w:rsidRPr="00504D41">
        <w:rPr>
          <w:noProof/>
          <w:szCs w:val="24"/>
        </w:rPr>
        <w:tab/>
        <w:t xml:space="preserve">D. M. Mitrano and W. Wohlleben, </w:t>
      </w:r>
      <w:r w:rsidRPr="00504D41">
        <w:rPr>
          <w:i/>
          <w:iCs/>
          <w:noProof/>
          <w:szCs w:val="24"/>
        </w:rPr>
        <w:t>Nat. Commun.</w:t>
      </w:r>
      <w:r w:rsidRPr="00504D41">
        <w:rPr>
          <w:noProof/>
          <w:szCs w:val="24"/>
        </w:rPr>
        <w:t xml:space="preserve">, 2020, </w:t>
      </w:r>
      <w:r w:rsidRPr="00504D41">
        <w:rPr>
          <w:b/>
          <w:bCs/>
          <w:noProof/>
          <w:szCs w:val="24"/>
        </w:rPr>
        <w:t>11</w:t>
      </w:r>
      <w:r w:rsidRPr="00504D41">
        <w:rPr>
          <w:noProof/>
          <w:szCs w:val="24"/>
        </w:rPr>
        <w:t>, 1–12.</w:t>
      </w:r>
    </w:p>
    <w:p w14:paraId="39B96D22"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46</w:t>
      </w:r>
      <w:r w:rsidRPr="00504D41">
        <w:rPr>
          <w:noProof/>
          <w:szCs w:val="24"/>
        </w:rPr>
        <w:tab/>
        <w:t xml:space="preserve">S. N. Akanyange, X. Lyu, X. Zhao, X. Li, Y. Zhang, J. C. Crittenden, C. Anning, T. Chen, T. Jiang and H. Zhao, </w:t>
      </w:r>
      <w:r w:rsidRPr="00504D41">
        <w:rPr>
          <w:i/>
          <w:iCs/>
          <w:noProof/>
          <w:szCs w:val="24"/>
        </w:rPr>
        <w:t>Sci. Total Environ.</w:t>
      </w:r>
      <w:r w:rsidRPr="00504D41">
        <w:rPr>
          <w:noProof/>
          <w:szCs w:val="24"/>
        </w:rPr>
        <w:t xml:space="preserve">, 2021, </w:t>
      </w:r>
      <w:r w:rsidRPr="00504D41">
        <w:rPr>
          <w:b/>
          <w:bCs/>
          <w:noProof/>
          <w:szCs w:val="24"/>
        </w:rPr>
        <w:t>777</w:t>
      </w:r>
      <w:r w:rsidRPr="00504D41">
        <w:rPr>
          <w:noProof/>
          <w:szCs w:val="24"/>
        </w:rPr>
        <w:t>, 146020.</w:t>
      </w:r>
    </w:p>
    <w:p w14:paraId="199C7743"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47</w:t>
      </w:r>
      <w:r w:rsidRPr="00504D41">
        <w:rPr>
          <w:noProof/>
          <w:szCs w:val="24"/>
        </w:rPr>
        <w:tab/>
        <w:t>US Pat., 20200367490A1, 2020.</w:t>
      </w:r>
    </w:p>
    <w:p w14:paraId="22980AE0"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48</w:t>
      </w:r>
      <w:r w:rsidRPr="00504D41">
        <w:rPr>
          <w:noProof/>
          <w:szCs w:val="24"/>
        </w:rPr>
        <w:tab/>
        <w:t xml:space="preserve">X. Duan and J. S. Burris, </w:t>
      </w:r>
      <w:r w:rsidRPr="00504D41">
        <w:rPr>
          <w:i/>
          <w:iCs/>
          <w:noProof/>
          <w:szCs w:val="24"/>
        </w:rPr>
        <w:t>Crop Sci.</w:t>
      </w:r>
      <w:r w:rsidRPr="00504D41">
        <w:rPr>
          <w:noProof/>
          <w:szCs w:val="24"/>
        </w:rPr>
        <w:t>, , DOI:https://doi.org/10.2135/cropsci1997.0011183X003700020034x.</w:t>
      </w:r>
    </w:p>
    <w:p w14:paraId="3DE5FC6E"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49</w:t>
      </w:r>
      <w:r w:rsidRPr="00504D41">
        <w:rPr>
          <w:noProof/>
          <w:szCs w:val="24"/>
        </w:rPr>
        <w:tab/>
        <w:t xml:space="preserve">N. Begum, C. Qin, M. A. Ahanger, S. Raza, M. I. Khan, M. Ashraf, N. Ahmed and L. Zhang, </w:t>
      </w:r>
      <w:r w:rsidRPr="00504D41">
        <w:rPr>
          <w:i/>
          <w:iCs/>
          <w:noProof/>
          <w:szCs w:val="24"/>
        </w:rPr>
        <w:t>Front. Plant Sci.</w:t>
      </w:r>
      <w:r w:rsidRPr="00504D41">
        <w:rPr>
          <w:noProof/>
          <w:szCs w:val="24"/>
        </w:rPr>
        <w:t xml:space="preserve">, 2019, </w:t>
      </w:r>
      <w:r w:rsidRPr="00504D41">
        <w:rPr>
          <w:b/>
          <w:bCs/>
          <w:noProof/>
          <w:szCs w:val="24"/>
        </w:rPr>
        <w:t>10</w:t>
      </w:r>
      <w:r w:rsidRPr="00504D41">
        <w:rPr>
          <w:noProof/>
          <w:szCs w:val="24"/>
        </w:rPr>
        <w:t>, 1068.</w:t>
      </w:r>
    </w:p>
    <w:p w14:paraId="3B11E59F"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50</w:t>
      </w:r>
      <w:r w:rsidRPr="00504D41">
        <w:rPr>
          <w:noProof/>
          <w:szCs w:val="24"/>
        </w:rPr>
        <w:tab/>
        <w:t xml:space="preserve">Y. Ma, </w:t>
      </w:r>
      <w:r w:rsidRPr="00504D41">
        <w:rPr>
          <w:i/>
          <w:iCs/>
          <w:noProof/>
          <w:szCs w:val="24"/>
        </w:rPr>
        <w:t>Biotechnol. Adv.</w:t>
      </w:r>
      <w:r w:rsidRPr="00504D41">
        <w:rPr>
          <w:noProof/>
          <w:szCs w:val="24"/>
        </w:rPr>
        <w:t xml:space="preserve">, 2019, </w:t>
      </w:r>
      <w:r w:rsidRPr="00504D41">
        <w:rPr>
          <w:b/>
          <w:bCs/>
          <w:noProof/>
          <w:szCs w:val="24"/>
        </w:rPr>
        <w:t>37</w:t>
      </w:r>
      <w:r w:rsidRPr="00504D41">
        <w:rPr>
          <w:noProof/>
          <w:szCs w:val="24"/>
        </w:rPr>
        <w:t>, 107423.</w:t>
      </w:r>
    </w:p>
    <w:p w14:paraId="38A2E08D"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51</w:t>
      </w:r>
      <w:r w:rsidRPr="00504D41">
        <w:rPr>
          <w:noProof/>
          <w:szCs w:val="24"/>
        </w:rPr>
        <w:tab/>
        <w:t xml:space="preserve">C. Accinelli, H. K. Abbas, N. S. Little, J. K. Kotowicz, M. Mencarelli and W. T. Shier, </w:t>
      </w:r>
      <w:r w:rsidRPr="00504D41">
        <w:rPr>
          <w:i/>
          <w:iCs/>
          <w:noProof/>
          <w:szCs w:val="24"/>
        </w:rPr>
        <w:t>Crop Prot.</w:t>
      </w:r>
      <w:r w:rsidRPr="00504D41">
        <w:rPr>
          <w:noProof/>
          <w:szCs w:val="24"/>
        </w:rPr>
        <w:t xml:space="preserve">, 2016, </w:t>
      </w:r>
      <w:r w:rsidRPr="00504D41">
        <w:rPr>
          <w:b/>
          <w:bCs/>
          <w:noProof/>
          <w:szCs w:val="24"/>
        </w:rPr>
        <w:t>89</w:t>
      </w:r>
      <w:r w:rsidRPr="00504D41">
        <w:rPr>
          <w:noProof/>
          <w:szCs w:val="24"/>
        </w:rPr>
        <w:t>, 123–128.</w:t>
      </w:r>
    </w:p>
    <w:p w14:paraId="5B8D4841"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52</w:t>
      </w:r>
      <w:r w:rsidRPr="00504D41">
        <w:rPr>
          <w:noProof/>
          <w:szCs w:val="24"/>
        </w:rPr>
        <w:tab/>
        <w:t xml:space="preserve">D. Cortés-Rojas, C. Beltrán-Acosta, Y. Zapata-Narvaez, M. Chaparro, M. Gómez and M. Cruz-Barrera, </w:t>
      </w:r>
      <w:r w:rsidRPr="00504D41">
        <w:rPr>
          <w:i/>
          <w:iCs/>
          <w:noProof/>
          <w:szCs w:val="24"/>
        </w:rPr>
        <w:t>Appl. Microbiol. Biotechnol.</w:t>
      </w:r>
      <w:r w:rsidRPr="00504D41">
        <w:rPr>
          <w:noProof/>
          <w:szCs w:val="24"/>
        </w:rPr>
        <w:t xml:space="preserve">, 2021, </w:t>
      </w:r>
      <w:r w:rsidRPr="00504D41">
        <w:rPr>
          <w:b/>
          <w:bCs/>
          <w:noProof/>
          <w:szCs w:val="24"/>
        </w:rPr>
        <w:t>105</w:t>
      </w:r>
      <w:r w:rsidRPr="00504D41">
        <w:rPr>
          <w:noProof/>
          <w:szCs w:val="24"/>
        </w:rPr>
        <w:t>, 1889–1904.</w:t>
      </w:r>
    </w:p>
    <w:p w14:paraId="5619C6F2"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53</w:t>
      </w:r>
      <w:r w:rsidRPr="00504D41">
        <w:rPr>
          <w:noProof/>
          <w:szCs w:val="24"/>
        </w:rPr>
        <w:tab/>
        <w:t xml:space="preserve">Y. Bashan, J.-P. Hernandez, L. A. Leyva and M. Bacilio, </w:t>
      </w:r>
      <w:r w:rsidRPr="00504D41">
        <w:rPr>
          <w:i/>
          <w:iCs/>
          <w:noProof/>
          <w:szCs w:val="24"/>
        </w:rPr>
        <w:t>Biol. Fertil. Soils</w:t>
      </w:r>
      <w:r w:rsidRPr="00504D41">
        <w:rPr>
          <w:noProof/>
          <w:szCs w:val="24"/>
        </w:rPr>
        <w:t xml:space="preserve">, 2002, </w:t>
      </w:r>
      <w:r w:rsidRPr="00504D41">
        <w:rPr>
          <w:b/>
          <w:bCs/>
          <w:noProof/>
          <w:szCs w:val="24"/>
        </w:rPr>
        <w:t>35</w:t>
      </w:r>
      <w:r w:rsidRPr="00504D41">
        <w:rPr>
          <w:noProof/>
          <w:szCs w:val="24"/>
        </w:rPr>
        <w:t>, 359–368.</w:t>
      </w:r>
    </w:p>
    <w:p w14:paraId="35F209E1"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54</w:t>
      </w:r>
      <w:r w:rsidRPr="00504D41">
        <w:rPr>
          <w:noProof/>
          <w:szCs w:val="24"/>
        </w:rPr>
        <w:tab/>
        <w:t xml:space="preserve">K. S. V. P. Chandrika, R. D. Prasad and V. Godbole, </w:t>
      </w:r>
      <w:r w:rsidRPr="00504D41">
        <w:rPr>
          <w:i/>
          <w:iCs/>
          <w:noProof/>
          <w:szCs w:val="24"/>
        </w:rPr>
        <w:t>Int. J. Biol. Macromol.</w:t>
      </w:r>
      <w:r w:rsidRPr="00504D41">
        <w:rPr>
          <w:noProof/>
          <w:szCs w:val="24"/>
        </w:rPr>
        <w:t xml:space="preserve">, 2019, </w:t>
      </w:r>
      <w:r w:rsidRPr="00504D41">
        <w:rPr>
          <w:b/>
          <w:bCs/>
          <w:noProof/>
          <w:szCs w:val="24"/>
        </w:rPr>
        <w:t>126</w:t>
      </w:r>
      <w:r w:rsidRPr="00504D41">
        <w:rPr>
          <w:noProof/>
          <w:szCs w:val="24"/>
        </w:rPr>
        <w:t>, 282–290.</w:t>
      </w:r>
    </w:p>
    <w:p w14:paraId="2171E005"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55</w:t>
      </w:r>
      <w:r w:rsidRPr="00504D41">
        <w:rPr>
          <w:noProof/>
          <w:szCs w:val="24"/>
        </w:rPr>
        <w:tab/>
        <w:t xml:space="preserve">M. Głodowska, B. Husk, T. Schwinghamer and D. Smith, </w:t>
      </w:r>
      <w:r w:rsidRPr="00504D41">
        <w:rPr>
          <w:i/>
          <w:iCs/>
          <w:noProof/>
          <w:szCs w:val="24"/>
        </w:rPr>
        <w:t>Agron. Sustain. Dev.</w:t>
      </w:r>
      <w:r w:rsidRPr="00504D41">
        <w:rPr>
          <w:noProof/>
          <w:szCs w:val="24"/>
        </w:rPr>
        <w:t xml:space="preserve">, 2016, </w:t>
      </w:r>
      <w:r w:rsidRPr="00504D41">
        <w:rPr>
          <w:b/>
          <w:bCs/>
          <w:noProof/>
          <w:szCs w:val="24"/>
        </w:rPr>
        <w:t>36</w:t>
      </w:r>
      <w:r w:rsidRPr="00504D41">
        <w:rPr>
          <w:noProof/>
          <w:szCs w:val="24"/>
        </w:rPr>
        <w:t>, 21.</w:t>
      </w:r>
    </w:p>
    <w:p w14:paraId="28ABED25"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56</w:t>
      </w:r>
      <w:r w:rsidRPr="00504D41">
        <w:rPr>
          <w:noProof/>
          <w:szCs w:val="24"/>
        </w:rPr>
        <w:tab/>
        <w:t xml:space="preserve">Tripti, A. Kumar, Z. Usmani, V. Kumar and Anshumali, </w:t>
      </w:r>
      <w:r w:rsidRPr="00504D41">
        <w:rPr>
          <w:i/>
          <w:iCs/>
          <w:noProof/>
          <w:szCs w:val="24"/>
        </w:rPr>
        <w:t>J. Environ. Manage.</w:t>
      </w:r>
      <w:r w:rsidRPr="00504D41">
        <w:rPr>
          <w:noProof/>
          <w:szCs w:val="24"/>
        </w:rPr>
        <w:t xml:space="preserve">, 2017, </w:t>
      </w:r>
      <w:r w:rsidRPr="00504D41">
        <w:rPr>
          <w:b/>
          <w:bCs/>
          <w:noProof/>
          <w:szCs w:val="24"/>
        </w:rPr>
        <w:t>190</w:t>
      </w:r>
      <w:r w:rsidRPr="00504D41">
        <w:rPr>
          <w:noProof/>
          <w:szCs w:val="24"/>
        </w:rPr>
        <w:t>, 20–27.</w:t>
      </w:r>
    </w:p>
    <w:p w14:paraId="66B5694C"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lastRenderedPageBreak/>
        <w:t>57</w:t>
      </w:r>
      <w:r w:rsidRPr="00504D41">
        <w:rPr>
          <w:noProof/>
          <w:szCs w:val="24"/>
        </w:rPr>
        <w:tab/>
        <w:t xml:space="preserve">P. R. De Gregorio, G. Michavila, L. Ricciardi Muller, C. de Souza Borges, M. F. Pomares, E. L. Saccol de Sá, C. Pereira and P. A. Vincent, </w:t>
      </w:r>
      <w:r w:rsidRPr="00504D41">
        <w:rPr>
          <w:i/>
          <w:iCs/>
          <w:noProof/>
          <w:szCs w:val="24"/>
        </w:rPr>
        <w:t>PLoS One</w:t>
      </w:r>
      <w:r w:rsidRPr="00504D41">
        <w:rPr>
          <w:noProof/>
          <w:szCs w:val="24"/>
        </w:rPr>
        <w:t xml:space="preserve">, 2017, </w:t>
      </w:r>
      <w:r w:rsidRPr="00504D41">
        <w:rPr>
          <w:b/>
          <w:bCs/>
          <w:noProof/>
          <w:szCs w:val="24"/>
        </w:rPr>
        <w:t>12</w:t>
      </w:r>
      <w:r w:rsidRPr="00504D41">
        <w:rPr>
          <w:noProof/>
          <w:szCs w:val="24"/>
        </w:rPr>
        <w:t>, e0176930.</w:t>
      </w:r>
    </w:p>
    <w:p w14:paraId="5895860A"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58</w:t>
      </w:r>
      <w:r w:rsidRPr="00504D41">
        <w:rPr>
          <w:noProof/>
          <w:szCs w:val="24"/>
        </w:rPr>
        <w:tab/>
        <w:t xml:space="preserve">Z. Hussain, M. A. Khan, F. Iqbal, M. Raffi and F. Y. Hafeez, </w:t>
      </w:r>
      <w:r w:rsidRPr="00504D41">
        <w:rPr>
          <w:i/>
          <w:iCs/>
          <w:noProof/>
          <w:szCs w:val="24"/>
        </w:rPr>
        <w:t>J. Agric. Food Chem.</w:t>
      </w:r>
      <w:r w:rsidRPr="00504D41">
        <w:rPr>
          <w:noProof/>
          <w:szCs w:val="24"/>
        </w:rPr>
        <w:t xml:space="preserve">, 2019, </w:t>
      </w:r>
      <w:r w:rsidRPr="00504D41">
        <w:rPr>
          <w:b/>
          <w:bCs/>
          <w:noProof/>
          <w:szCs w:val="24"/>
        </w:rPr>
        <w:t>67</w:t>
      </w:r>
      <w:r w:rsidRPr="00504D41">
        <w:rPr>
          <w:noProof/>
          <w:szCs w:val="24"/>
        </w:rPr>
        <w:t>, 5085–5095.</w:t>
      </w:r>
    </w:p>
    <w:p w14:paraId="7B440A04"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59</w:t>
      </w:r>
      <w:r w:rsidRPr="00504D41">
        <w:rPr>
          <w:noProof/>
          <w:szCs w:val="24"/>
        </w:rPr>
        <w:tab/>
        <w:t xml:space="preserve">J. M. Campaña and M. Arias, </w:t>
      </w:r>
      <w:r w:rsidRPr="00504D41">
        <w:rPr>
          <w:i/>
          <w:iCs/>
          <w:noProof/>
          <w:szCs w:val="24"/>
        </w:rPr>
        <w:t>ACS Appl. Polym. Mater.</w:t>
      </w:r>
      <w:r w:rsidRPr="00504D41">
        <w:rPr>
          <w:noProof/>
          <w:szCs w:val="24"/>
        </w:rPr>
        <w:t xml:space="preserve">, 2020, </w:t>
      </w:r>
      <w:r w:rsidRPr="00504D41">
        <w:rPr>
          <w:b/>
          <w:bCs/>
          <w:noProof/>
          <w:szCs w:val="24"/>
        </w:rPr>
        <w:t>2</w:t>
      </w:r>
      <w:r w:rsidRPr="00504D41">
        <w:rPr>
          <w:noProof/>
          <w:szCs w:val="24"/>
        </w:rPr>
        <w:t>, 5033–5038.</w:t>
      </w:r>
    </w:p>
    <w:p w14:paraId="7C413A3A"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60</w:t>
      </w:r>
      <w:r w:rsidRPr="00504D41">
        <w:rPr>
          <w:noProof/>
          <w:szCs w:val="24"/>
        </w:rPr>
        <w:tab/>
        <w:t xml:space="preserve">S. Agake, M. D. Artigas Ramirez, K. Kojima, T. Ookawa, N. Ohkama-Ohtsu and T. Yokoyama, </w:t>
      </w:r>
      <w:r w:rsidRPr="00504D41">
        <w:rPr>
          <w:i/>
          <w:iCs/>
          <w:noProof/>
          <w:szCs w:val="24"/>
        </w:rPr>
        <w:t>Agron. J.</w:t>
      </w:r>
      <w:r w:rsidRPr="00504D41">
        <w:rPr>
          <w:noProof/>
          <w:szCs w:val="24"/>
        </w:rPr>
        <w:t>, , DOI:https://doi.org/10.1002/agj2.20747.</w:t>
      </w:r>
    </w:p>
    <w:p w14:paraId="6D63D028"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61</w:t>
      </w:r>
      <w:r w:rsidRPr="00504D41">
        <w:rPr>
          <w:noProof/>
          <w:szCs w:val="24"/>
        </w:rPr>
        <w:tab/>
        <w:t xml:space="preserve">A. T. Zvinavashe, J. Laurent, M. Mhada, H. Sun, H. M. E. Fouda, D. Kim, S. Mouhib, L. Kouisni and B. Marelli, </w:t>
      </w:r>
      <w:r w:rsidRPr="00504D41">
        <w:rPr>
          <w:i/>
          <w:iCs/>
          <w:noProof/>
          <w:szCs w:val="24"/>
        </w:rPr>
        <w:t>Nat. Food</w:t>
      </w:r>
      <w:r w:rsidRPr="00504D41">
        <w:rPr>
          <w:noProof/>
          <w:szCs w:val="24"/>
        </w:rPr>
        <w:t xml:space="preserve">, 2021, </w:t>
      </w:r>
      <w:r w:rsidRPr="00504D41">
        <w:rPr>
          <w:b/>
          <w:bCs/>
          <w:noProof/>
          <w:szCs w:val="24"/>
        </w:rPr>
        <w:t>2</w:t>
      </w:r>
      <w:r w:rsidRPr="00504D41">
        <w:rPr>
          <w:noProof/>
          <w:szCs w:val="24"/>
        </w:rPr>
        <w:t>, 485–493.</w:t>
      </w:r>
    </w:p>
    <w:p w14:paraId="29358FEF"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62</w:t>
      </w:r>
      <w:r w:rsidRPr="00504D41">
        <w:rPr>
          <w:noProof/>
          <w:szCs w:val="24"/>
        </w:rPr>
        <w:tab/>
        <w:t xml:space="preserve">S. H. Ching, N. Bansal and B. Bhandari, </w:t>
      </w:r>
      <w:r w:rsidRPr="00504D41">
        <w:rPr>
          <w:i/>
          <w:iCs/>
          <w:noProof/>
          <w:szCs w:val="24"/>
        </w:rPr>
        <w:t>Crit. Rev. Food Sci. Nutr.</w:t>
      </w:r>
      <w:r w:rsidRPr="00504D41">
        <w:rPr>
          <w:noProof/>
          <w:szCs w:val="24"/>
        </w:rPr>
        <w:t xml:space="preserve">, 2017, </w:t>
      </w:r>
      <w:r w:rsidRPr="00504D41">
        <w:rPr>
          <w:b/>
          <w:bCs/>
          <w:noProof/>
          <w:szCs w:val="24"/>
        </w:rPr>
        <w:t>57</w:t>
      </w:r>
      <w:r w:rsidRPr="00504D41">
        <w:rPr>
          <w:noProof/>
          <w:szCs w:val="24"/>
        </w:rPr>
        <w:t>, 1133–1152.</w:t>
      </w:r>
    </w:p>
    <w:p w14:paraId="06DF91FA"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63</w:t>
      </w:r>
      <w:r w:rsidRPr="00504D41">
        <w:rPr>
          <w:noProof/>
          <w:szCs w:val="24"/>
        </w:rPr>
        <w:tab/>
        <w:t xml:space="preserve">H. Hecht and S. Srebnik, </w:t>
      </w:r>
      <w:r w:rsidRPr="00504D41">
        <w:rPr>
          <w:i/>
          <w:iCs/>
          <w:noProof/>
          <w:szCs w:val="24"/>
        </w:rPr>
        <w:t>Biomacromolecules</w:t>
      </w:r>
      <w:r w:rsidRPr="00504D41">
        <w:rPr>
          <w:noProof/>
          <w:szCs w:val="24"/>
        </w:rPr>
        <w:t xml:space="preserve">, 2016, </w:t>
      </w:r>
      <w:r w:rsidRPr="00504D41">
        <w:rPr>
          <w:b/>
          <w:bCs/>
          <w:noProof/>
          <w:szCs w:val="24"/>
        </w:rPr>
        <w:t>17</w:t>
      </w:r>
      <w:r w:rsidRPr="00504D41">
        <w:rPr>
          <w:noProof/>
          <w:szCs w:val="24"/>
        </w:rPr>
        <w:t>, 2160–2167.</w:t>
      </w:r>
    </w:p>
    <w:p w14:paraId="49EFE89B"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64</w:t>
      </w:r>
      <w:r w:rsidRPr="00504D41">
        <w:rPr>
          <w:noProof/>
          <w:szCs w:val="24"/>
        </w:rPr>
        <w:tab/>
        <w:t xml:space="preserve">O. Jeon, Y. Bin Lee, H. Jeong, S. J. Lee, D. Wells and E. Alsberg, </w:t>
      </w:r>
      <w:r w:rsidRPr="00504D41">
        <w:rPr>
          <w:i/>
          <w:iCs/>
          <w:noProof/>
          <w:szCs w:val="24"/>
        </w:rPr>
        <w:t>Mater. Horizons</w:t>
      </w:r>
      <w:r w:rsidRPr="00504D41">
        <w:rPr>
          <w:noProof/>
          <w:szCs w:val="24"/>
        </w:rPr>
        <w:t xml:space="preserve">, 2019, </w:t>
      </w:r>
      <w:r w:rsidRPr="00504D41">
        <w:rPr>
          <w:b/>
          <w:bCs/>
          <w:noProof/>
          <w:szCs w:val="24"/>
        </w:rPr>
        <w:t>6</w:t>
      </w:r>
      <w:r w:rsidRPr="00504D41">
        <w:rPr>
          <w:noProof/>
          <w:szCs w:val="24"/>
        </w:rPr>
        <w:t>, 1625–1631.</w:t>
      </w:r>
    </w:p>
    <w:p w14:paraId="13BB5269"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65</w:t>
      </w:r>
      <w:r w:rsidRPr="00504D41">
        <w:rPr>
          <w:noProof/>
          <w:szCs w:val="24"/>
        </w:rPr>
        <w:tab/>
        <w:t xml:space="preserve">Y. Yu, G. Chen, J. Guo, Y. Liu, J. Ren, T. Kong and Y. Zhao, </w:t>
      </w:r>
      <w:r w:rsidRPr="00504D41">
        <w:rPr>
          <w:i/>
          <w:iCs/>
          <w:noProof/>
          <w:szCs w:val="24"/>
        </w:rPr>
        <w:t>Mater. Horizons</w:t>
      </w:r>
      <w:r w:rsidRPr="00504D41">
        <w:rPr>
          <w:noProof/>
          <w:szCs w:val="24"/>
        </w:rPr>
        <w:t xml:space="preserve">, 2018, </w:t>
      </w:r>
      <w:r w:rsidRPr="00504D41">
        <w:rPr>
          <w:b/>
          <w:bCs/>
          <w:noProof/>
          <w:szCs w:val="24"/>
        </w:rPr>
        <w:t>5</w:t>
      </w:r>
      <w:r w:rsidRPr="00504D41">
        <w:rPr>
          <w:noProof/>
          <w:szCs w:val="24"/>
        </w:rPr>
        <w:t>, 1137–1142.</w:t>
      </w:r>
    </w:p>
    <w:p w14:paraId="1455404B"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66</w:t>
      </w:r>
      <w:r w:rsidRPr="00504D41">
        <w:rPr>
          <w:noProof/>
          <w:szCs w:val="24"/>
        </w:rPr>
        <w:tab/>
        <w:t xml:space="preserve">T. Miao, J. Wang, Y. Zeng, G. Liu and X. Chen, </w:t>
      </w:r>
      <w:r w:rsidRPr="00504D41">
        <w:rPr>
          <w:i/>
          <w:iCs/>
          <w:noProof/>
          <w:szCs w:val="24"/>
        </w:rPr>
        <w:t>Adv. Sci.</w:t>
      </w:r>
      <w:r w:rsidRPr="00504D41">
        <w:rPr>
          <w:noProof/>
          <w:szCs w:val="24"/>
        </w:rPr>
        <w:t xml:space="preserve">, 2018, </w:t>
      </w:r>
      <w:r w:rsidRPr="00504D41">
        <w:rPr>
          <w:b/>
          <w:bCs/>
          <w:noProof/>
          <w:szCs w:val="24"/>
        </w:rPr>
        <w:t>5</w:t>
      </w:r>
      <w:r w:rsidRPr="00504D41">
        <w:rPr>
          <w:noProof/>
          <w:szCs w:val="24"/>
        </w:rPr>
        <w:t>, 1700513.</w:t>
      </w:r>
    </w:p>
    <w:p w14:paraId="25902EED"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67</w:t>
      </w:r>
      <w:r w:rsidRPr="00504D41">
        <w:rPr>
          <w:noProof/>
          <w:szCs w:val="24"/>
        </w:rPr>
        <w:tab/>
        <w:t xml:space="preserve">L.-H. Chen, L.-C. Cheng and P. S. Doyle, </w:t>
      </w:r>
      <w:r w:rsidRPr="00504D41">
        <w:rPr>
          <w:i/>
          <w:iCs/>
          <w:noProof/>
          <w:szCs w:val="24"/>
        </w:rPr>
        <w:t>Adv. Sci.</w:t>
      </w:r>
      <w:r w:rsidRPr="00504D41">
        <w:rPr>
          <w:noProof/>
          <w:szCs w:val="24"/>
        </w:rPr>
        <w:t xml:space="preserve">, 2020, </w:t>
      </w:r>
      <w:r w:rsidRPr="00504D41">
        <w:rPr>
          <w:b/>
          <w:bCs/>
          <w:noProof/>
          <w:szCs w:val="24"/>
        </w:rPr>
        <w:t>7</w:t>
      </w:r>
      <w:r w:rsidRPr="00504D41">
        <w:rPr>
          <w:noProof/>
          <w:szCs w:val="24"/>
        </w:rPr>
        <w:t>, 2001677.</w:t>
      </w:r>
    </w:p>
    <w:p w14:paraId="2764FDFC"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68</w:t>
      </w:r>
      <w:r w:rsidRPr="00504D41">
        <w:rPr>
          <w:noProof/>
          <w:szCs w:val="24"/>
        </w:rPr>
        <w:tab/>
        <w:t>US Pat., 20160249620, 2014.</w:t>
      </w:r>
    </w:p>
    <w:p w14:paraId="687075C0"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69</w:t>
      </w:r>
      <w:r w:rsidRPr="00504D41">
        <w:rPr>
          <w:noProof/>
          <w:szCs w:val="24"/>
        </w:rPr>
        <w:tab/>
        <w:t xml:space="preserve">T. Berninger, B. Mitter and C. Preininger, </w:t>
      </w:r>
      <w:r w:rsidRPr="00504D41">
        <w:rPr>
          <w:i/>
          <w:iCs/>
          <w:noProof/>
          <w:szCs w:val="24"/>
        </w:rPr>
        <w:t>J. Microencapsul.</w:t>
      </w:r>
      <w:r w:rsidRPr="00504D41">
        <w:rPr>
          <w:noProof/>
          <w:szCs w:val="24"/>
        </w:rPr>
        <w:t xml:space="preserve">, 2016, </w:t>
      </w:r>
      <w:r w:rsidRPr="00504D41">
        <w:rPr>
          <w:b/>
          <w:bCs/>
          <w:noProof/>
          <w:szCs w:val="24"/>
        </w:rPr>
        <w:t>33</w:t>
      </w:r>
      <w:r w:rsidRPr="00504D41">
        <w:rPr>
          <w:noProof/>
          <w:szCs w:val="24"/>
        </w:rPr>
        <w:t>, 127–136.</w:t>
      </w:r>
    </w:p>
    <w:p w14:paraId="3D623259"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70</w:t>
      </w:r>
      <w:r w:rsidRPr="00504D41">
        <w:rPr>
          <w:noProof/>
          <w:szCs w:val="24"/>
        </w:rPr>
        <w:tab/>
      </w:r>
      <w:r w:rsidR="005A6FD5" w:rsidRPr="00504D41">
        <w:rPr>
          <w:noProof/>
          <w:szCs w:val="24"/>
        </w:rPr>
        <w:t xml:space="preserve">US Pat. </w:t>
      </w:r>
      <w:r w:rsidRPr="00504D41">
        <w:rPr>
          <w:noProof/>
          <w:szCs w:val="24"/>
        </w:rPr>
        <w:t>5292507A, 1992.</w:t>
      </w:r>
    </w:p>
    <w:p w14:paraId="7B3253E0"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71</w:t>
      </w:r>
      <w:r w:rsidRPr="00504D41">
        <w:rPr>
          <w:noProof/>
          <w:szCs w:val="24"/>
        </w:rPr>
        <w:tab/>
        <w:t xml:space="preserve">V. A. de Castro, V. G. O. Duarte, D. A. C. Nobre, G. H. Silva, V. R. L. Constantino, F. G. Pinto, W. R. Macedo and J. Tronto, </w:t>
      </w:r>
      <w:r w:rsidRPr="00504D41">
        <w:rPr>
          <w:i/>
          <w:iCs/>
          <w:noProof/>
          <w:szCs w:val="24"/>
        </w:rPr>
        <w:t>Beilstein J. Nanotechnol.</w:t>
      </w:r>
      <w:r w:rsidRPr="00504D41">
        <w:rPr>
          <w:noProof/>
          <w:szCs w:val="24"/>
        </w:rPr>
        <w:t xml:space="preserve">, 2020, </w:t>
      </w:r>
      <w:r w:rsidRPr="00504D41">
        <w:rPr>
          <w:b/>
          <w:bCs/>
          <w:noProof/>
          <w:szCs w:val="24"/>
        </w:rPr>
        <w:t>11</w:t>
      </w:r>
      <w:r w:rsidRPr="00504D41">
        <w:rPr>
          <w:noProof/>
          <w:szCs w:val="24"/>
        </w:rPr>
        <w:t>, 1082–1091.</w:t>
      </w:r>
    </w:p>
    <w:p w14:paraId="54C8A685"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72</w:t>
      </w:r>
      <w:r w:rsidRPr="00504D41">
        <w:rPr>
          <w:noProof/>
          <w:szCs w:val="24"/>
        </w:rPr>
        <w:tab/>
        <w:t xml:space="preserve">R. A. Sequeira, M. M. Pereira, P. Vaghela, A. Bhayani, A. Dhimmar, D. Maru, A. Ghosh, R. Dineshkumar, P. B. Shinde, S. Ray and K. Prasad, </w:t>
      </w:r>
      <w:r w:rsidRPr="00504D41">
        <w:rPr>
          <w:i/>
          <w:iCs/>
          <w:noProof/>
          <w:szCs w:val="24"/>
        </w:rPr>
        <w:t>ACS Agric. Sci. Technol.</w:t>
      </w:r>
      <w:r w:rsidRPr="00504D41">
        <w:rPr>
          <w:noProof/>
          <w:szCs w:val="24"/>
        </w:rPr>
        <w:t xml:space="preserve">, 2021, </w:t>
      </w:r>
      <w:r w:rsidRPr="00504D41">
        <w:rPr>
          <w:b/>
          <w:bCs/>
          <w:noProof/>
          <w:szCs w:val="24"/>
        </w:rPr>
        <w:t>1</w:t>
      </w:r>
      <w:r w:rsidRPr="00504D41">
        <w:rPr>
          <w:noProof/>
          <w:szCs w:val="24"/>
        </w:rPr>
        <w:t>, 674–683.</w:t>
      </w:r>
    </w:p>
    <w:p w14:paraId="30A916C2"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73</w:t>
      </w:r>
      <w:r w:rsidRPr="00504D41">
        <w:rPr>
          <w:noProof/>
          <w:szCs w:val="24"/>
        </w:rPr>
        <w:tab/>
        <w:t xml:space="preserve">S. Bor, İ. H. Kalkan, A. Çelebi, D. Dinçer, F. Akyüz, P. Dettmar and H. Özen, </w:t>
      </w:r>
      <w:r w:rsidRPr="00504D41">
        <w:rPr>
          <w:i/>
          <w:iCs/>
          <w:noProof/>
          <w:szCs w:val="24"/>
        </w:rPr>
        <w:t>Turk. J. Gastroenterol.</w:t>
      </w:r>
      <w:r w:rsidRPr="00504D41">
        <w:rPr>
          <w:noProof/>
          <w:szCs w:val="24"/>
        </w:rPr>
        <w:t xml:space="preserve">, 2019, </w:t>
      </w:r>
      <w:r w:rsidRPr="00504D41">
        <w:rPr>
          <w:b/>
          <w:bCs/>
          <w:noProof/>
          <w:szCs w:val="24"/>
        </w:rPr>
        <w:t>30</w:t>
      </w:r>
      <w:r w:rsidRPr="00504D41">
        <w:rPr>
          <w:noProof/>
          <w:szCs w:val="24"/>
        </w:rPr>
        <w:t>, 109–136.</w:t>
      </w:r>
    </w:p>
    <w:p w14:paraId="61DACD2B"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74</w:t>
      </w:r>
      <w:r w:rsidRPr="00504D41">
        <w:rPr>
          <w:noProof/>
          <w:szCs w:val="24"/>
        </w:rPr>
        <w:tab/>
        <w:t xml:space="preserve">K. S. Vuoristo, L. Fredriksen, M. Oftebro, M. Ø. Arntzen, O. A. Aarstad, R. Stokke, I. H. Steen, L. D. Hansen, R. B. Schüller, F. L. Aachmann, S. J. Horn and V. G. H. Eijsink, </w:t>
      </w:r>
      <w:r w:rsidRPr="00504D41">
        <w:rPr>
          <w:i/>
          <w:iCs/>
          <w:noProof/>
          <w:szCs w:val="24"/>
        </w:rPr>
        <w:t>J. Agric. Food Chem.</w:t>
      </w:r>
      <w:r w:rsidRPr="00504D41">
        <w:rPr>
          <w:noProof/>
          <w:szCs w:val="24"/>
        </w:rPr>
        <w:t xml:space="preserve">, 2019, </w:t>
      </w:r>
      <w:r w:rsidRPr="00504D41">
        <w:rPr>
          <w:b/>
          <w:bCs/>
          <w:noProof/>
          <w:szCs w:val="24"/>
        </w:rPr>
        <w:t>67</w:t>
      </w:r>
      <w:r w:rsidRPr="00504D41">
        <w:rPr>
          <w:noProof/>
          <w:szCs w:val="24"/>
        </w:rPr>
        <w:t>, 2936–2945.</w:t>
      </w:r>
    </w:p>
    <w:p w14:paraId="21FDC968"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75</w:t>
      </w:r>
      <w:r w:rsidRPr="00504D41">
        <w:rPr>
          <w:noProof/>
          <w:szCs w:val="24"/>
        </w:rPr>
        <w:tab/>
        <w:t xml:space="preserve">L. B. Ladah, J. A. Zertuche-González and G. Hernández-Carmona, </w:t>
      </w:r>
      <w:r w:rsidRPr="00504D41">
        <w:rPr>
          <w:i/>
          <w:iCs/>
          <w:noProof/>
          <w:szCs w:val="24"/>
        </w:rPr>
        <w:t>J. Phycol.</w:t>
      </w:r>
      <w:r w:rsidRPr="00504D41">
        <w:rPr>
          <w:noProof/>
          <w:szCs w:val="24"/>
        </w:rPr>
        <w:t xml:space="preserve">, 1999, </w:t>
      </w:r>
      <w:r w:rsidRPr="00504D41">
        <w:rPr>
          <w:b/>
          <w:bCs/>
          <w:noProof/>
          <w:szCs w:val="24"/>
        </w:rPr>
        <w:t>35</w:t>
      </w:r>
      <w:r w:rsidRPr="00504D41">
        <w:rPr>
          <w:noProof/>
          <w:szCs w:val="24"/>
        </w:rPr>
        <w:t>, 1106–1112.</w:t>
      </w:r>
    </w:p>
    <w:p w14:paraId="20246C01"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76</w:t>
      </w:r>
      <w:r w:rsidRPr="00504D41">
        <w:rPr>
          <w:noProof/>
          <w:szCs w:val="24"/>
        </w:rPr>
        <w:tab/>
        <w:t xml:space="preserve">S. Saji, A. Hebden, P. Goswami and C. Du, </w:t>
      </w:r>
      <w:r w:rsidRPr="00504D41">
        <w:rPr>
          <w:i/>
          <w:iCs/>
          <w:noProof/>
          <w:szCs w:val="24"/>
        </w:rPr>
        <w:t xml:space="preserve">Sustain. </w:t>
      </w:r>
      <w:r w:rsidRPr="00504D41">
        <w:rPr>
          <w:noProof/>
          <w:szCs w:val="24"/>
        </w:rPr>
        <w:t>, 2022, 14.</w:t>
      </w:r>
    </w:p>
    <w:p w14:paraId="3050384F"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77</w:t>
      </w:r>
      <w:r w:rsidRPr="00504D41">
        <w:rPr>
          <w:noProof/>
          <w:szCs w:val="24"/>
        </w:rPr>
        <w:tab/>
        <w:t xml:space="preserve">D. Freepons, in </w:t>
      </w:r>
      <w:r w:rsidRPr="00504D41">
        <w:rPr>
          <w:i/>
          <w:iCs/>
          <w:noProof/>
          <w:szCs w:val="24"/>
        </w:rPr>
        <w:t>Applications of Chitin and Chitosan</w:t>
      </w:r>
      <w:r w:rsidRPr="00504D41">
        <w:rPr>
          <w:noProof/>
          <w:szCs w:val="24"/>
        </w:rPr>
        <w:t>, ed. M. F. A. Goosen, CRC Press, Boca Raton, Florida, USA, 1st edn., 1997, pp. 133–138.</w:t>
      </w:r>
    </w:p>
    <w:p w14:paraId="108CEF4A"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lastRenderedPageBreak/>
        <w:t>78</w:t>
      </w:r>
      <w:r w:rsidRPr="00504D41">
        <w:rPr>
          <w:noProof/>
          <w:szCs w:val="24"/>
        </w:rPr>
        <w:tab/>
        <w:t xml:space="preserve">J. Revuelta, I. Fraile, D. T. Monterrey, N. Peña, R. Benito-Arenas, A. Bastida, A. Fernández-Mayoralas and E. García-Junceda, </w:t>
      </w:r>
      <w:r w:rsidRPr="00504D41">
        <w:rPr>
          <w:i/>
          <w:iCs/>
          <w:noProof/>
          <w:szCs w:val="24"/>
        </w:rPr>
        <w:t>Mater. Horizons</w:t>
      </w:r>
      <w:r w:rsidRPr="00504D41">
        <w:rPr>
          <w:noProof/>
          <w:szCs w:val="24"/>
        </w:rPr>
        <w:t xml:space="preserve">, 2021, </w:t>
      </w:r>
      <w:r w:rsidRPr="00504D41">
        <w:rPr>
          <w:b/>
          <w:bCs/>
          <w:noProof/>
          <w:szCs w:val="24"/>
        </w:rPr>
        <w:t>8</w:t>
      </w:r>
      <w:r w:rsidRPr="00504D41">
        <w:rPr>
          <w:noProof/>
          <w:szCs w:val="24"/>
        </w:rPr>
        <w:t>, 2596–2614.</w:t>
      </w:r>
    </w:p>
    <w:p w14:paraId="09C4B364"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79</w:t>
      </w:r>
      <w:r w:rsidRPr="00504D41">
        <w:rPr>
          <w:noProof/>
          <w:szCs w:val="24"/>
        </w:rPr>
        <w:tab/>
        <w:t xml:space="preserve">J. Yu, D. Wang, N. Geetha, K. M. Khawar, S. Jogaiah and M. Mujtaba, </w:t>
      </w:r>
      <w:r w:rsidRPr="00504D41">
        <w:rPr>
          <w:i/>
          <w:iCs/>
          <w:noProof/>
          <w:szCs w:val="24"/>
        </w:rPr>
        <w:t>Carbohydr. Polym.</w:t>
      </w:r>
      <w:r w:rsidRPr="00504D41">
        <w:rPr>
          <w:noProof/>
          <w:szCs w:val="24"/>
        </w:rPr>
        <w:t xml:space="preserve">, 2021, </w:t>
      </w:r>
      <w:r w:rsidRPr="00504D41">
        <w:rPr>
          <w:b/>
          <w:bCs/>
          <w:noProof/>
          <w:szCs w:val="24"/>
        </w:rPr>
        <w:t>261</w:t>
      </w:r>
      <w:r w:rsidRPr="00504D41">
        <w:rPr>
          <w:noProof/>
          <w:szCs w:val="24"/>
        </w:rPr>
        <w:t>, 117904.</w:t>
      </w:r>
    </w:p>
    <w:p w14:paraId="5A22BE12"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80</w:t>
      </w:r>
      <w:r w:rsidRPr="00504D41">
        <w:rPr>
          <w:noProof/>
          <w:szCs w:val="24"/>
        </w:rPr>
        <w:tab/>
        <w:t xml:space="preserve">D. Chouhan and P. Mandal, </w:t>
      </w:r>
      <w:r w:rsidRPr="00504D41">
        <w:rPr>
          <w:i/>
          <w:iCs/>
          <w:noProof/>
          <w:szCs w:val="24"/>
        </w:rPr>
        <w:t>Int. J. Biol. Macromol.</w:t>
      </w:r>
      <w:r w:rsidRPr="00504D41">
        <w:rPr>
          <w:noProof/>
          <w:szCs w:val="24"/>
        </w:rPr>
        <w:t xml:space="preserve">, 2021, </w:t>
      </w:r>
      <w:r w:rsidRPr="00504D41">
        <w:rPr>
          <w:b/>
          <w:bCs/>
          <w:noProof/>
          <w:szCs w:val="24"/>
        </w:rPr>
        <w:t>166</w:t>
      </w:r>
      <w:r w:rsidRPr="00504D41">
        <w:rPr>
          <w:noProof/>
          <w:szCs w:val="24"/>
        </w:rPr>
        <w:t>, 1554–1569.</w:t>
      </w:r>
    </w:p>
    <w:p w14:paraId="01E2A1F8"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81</w:t>
      </w:r>
      <w:r w:rsidRPr="00504D41">
        <w:rPr>
          <w:noProof/>
          <w:szCs w:val="24"/>
        </w:rPr>
        <w:tab/>
        <w:t xml:space="preserve">M. V Bhaskara Reddy, J. Arul, P. Angers and L. Couture, </w:t>
      </w:r>
      <w:r w:rsidRPr="00504D41">
        <w:rPr>
          <w:i/>
          <w:iCs/>
          <w:noProof/>
          <w:szCs w:val="24"/>
        </w:rPr>
        <w:t>J. Agric. Food Chem.</w:t>
      </w:r>
      <w:r w:rsidRPr="00504D41">
        <w:rPr>
          <w:noProof/>
          <w:szCs w:val="24"/>
        </w:rPr>
        <w:t xml:space="preserve">, 1999, </w:t>
      </w:r>
      <w:r w:rsidRPr="00504D41">
        <w:rPr>
          <w:b/>
          <w:bCs/>
          <w:noProof/>
          <w:szCs w:val="24"/>
        </w:rPr>
        <w:t>47</w:t>
      </w:r>
      <w:r w:rsidRPr="00504D41">
        <w:rPr>
          <w:noProof/>
          <w:szCs w:val="24"/>
        </w:rPr>
        <w:t>, 1208–1216.</w:t>
      </w:r>
    </w:p>
    <w:p w14:paraId="6E6C4A02"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82</w:t>
      </w:r>
      <w:r w:rsidRPr="00504D41">
        <w:rPr>
          <w:noProof/>
          <w:szCs w:val="24"/>
        </w:rPr>
        <w:tab/>
        <w:t xml:space="preserve">K. Ziani, B. Ursúa and J. I. Maté, </w:t>
      </w:r>
      <w:r w:rsidRPr="00504D41">
        <w:rPr>
          <w:i/>
          <w:iCs/>
          <w:noProof/>
          <w:szCs w:val="24"/>
        </w:rPr>
        <w:t>Crop Prot.</w:t>
      </w:r>
      <w:r w:rsidRPr="00504D41">
        <w:rPr>
          <w:noProof/>
          <w:szCs w:val="24"/>
        </w:rPr>
        <w:t xml:space="preserve">, 2010, </w:t>
      </w:r>
      <w:r w:rsidRPr="00504D41">
        <w:rPr>
          <w:b/>
          <w:bCs/>
          <w:noProof/>
          <w:szCs w:val="24"/>
        </w:rPr>
        <w:t>29</w:t>
      </w:r>
      <w:r w:rsidRPr="00504D41">
        <w:rPr>
          <w:noProof/>
          <w:szCs w:val="24"/>
        </w:rPr>
        <w:t>, 853–859.</w:t>
      </w:r>
    </w:p>
    <w:p w14:paraId="4B60214B"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83</w:t>
      </w:r>
      <w:r w:rsidRPr="00504D41">
        <w:rPr>
          <w:noProof/>
          <w:szCs w:val="24"/>
        </w:rPr>
        <w:tab/>
        <w:t xml:space="preserve">FAO, </w:t>
      </w:r>
      <w:r w:rsidRPr="00504D41">
        <w:rPr>
          <w:i/>
          <w:iCs/>
          <w:noProof/>
          <w:szCs w:val="24"/>
        </w:rPr>
        <w:t>The State of World Fisheries and Aquaculture 2020. Sustainability in action.</w:t>
      </w:r>
      <w:r w:rsidRPr="00504D41">
        <w:rPr>
          <w:noProof/>
          <w:szCs w:val="24"/>
        </w:rPr>
        <w:t>, Rome, 2020.</w:t>
      </w:r>
    </w:p>
    <w:p w14:paraId="41EA20AC"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84</w:t>
      </w:r>
      <w:r w:rsidRPr="00504D41">
        <w:rPr>
          <w:noProof/>
          <w:szCs w:val="24"/>
        </w:rPr>
        <w:tab/>
        <w:t xml:space="preserve">N. Yan and X. Chen, </w:t>
      </w:r>
      <w:r w:rsidRPr="00504D41">
        <w:rPr>
          <w:i/>
          <w:iCs/>
          <w:noProof/>
          <w:szCs w:val="24"/>
        </w:rPr>
        <w:t>Nature</w:t>
      </w:r>
      <w:r w:rsidRPr="00504D41">
        <w:rPr>
          <w:noProof/>
          <w:szCs w:val="24"/>
        </w:rPr>
        <w:t xml:space="preserve">, 2015, </w:t>
      </w:r>
      <w:r w:rsidRPr="00504D41">
        <w:rPr>
          <w:b/>
          <w:bCs/>
          <w:noProof/>
          <w:szCs w:val="24"/>
        </w:rPr>
        <w:t>524</w:t>
      </w:r>
      <w:r w:rsidRPr="00504D41">
        <w:rPr>
          <w:noProof/>
          <w:szCs w:val="24"/>
        </w:rPr>
        <w:t>, 155–157.</w:t>
      </w:r>
    </w:p>
    <w:p w14:paraId="4DF44BF0"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85</w:t>
      </w:r>
      <w:r w:rsidRPr="00504D41">
        <w:rPr>
          <w:noProof/>
          <w:szCs w:val="24"/>
        </w:rPr>
        <w:tab/>
        <w:t xml:space="preserve">R. Chilakala, C. Thannaree, E. J. Shin, T. Thenepalli and J. W. Ahn, </w:t>
      </w:r>
      <w:r w:rsidRPr="00504D41">
        <w:rPr>
          <w:i/>
          <w:iCs/>
          <w:noProof/>
          <w:szCs w:val="24"/>
        </w:rPr>
        <w:t xml:space="preserve">Recycl. </w:t>
      </w:r>
      <w:r w:rsidRPr="00504D41">
        <w:rPr>
          <w:noProof/>
          <w:szCs w:val="24"/>
        </w:rPr>
        <w:t>, 2019, 4.</w:t>
      </w:r>
    </w:p>
    <w:p w14:paraId="30120DC8"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86</w:t>
      </w:r>
      <w:r w:rsidRPr="00504D41">
        <w:rPr>
          <w:noProof/>
          <w:szCs w:val="24"/>
        </w:rPr>
        <w:tab/>
        <w:t xml:space="preserve">M. Maddaloni, I. Vassalini and I. Alessandri, </w:t>
      </w:r>
      <w:r w:rsidRPr="00504D41">
        <w:rPr>
          <w:i/>
          <w:iCs/>
          <w:noProof/>
          <w:szCs w:val="24"/>
        </w:rPr>
        <w:t xml:space="preserve">Sustain. Chem. </w:t>
      </w:r>
      <w:r w:rsidRPr="00504D41">
        <w:rPr>
          <w:noProof/>
          <w:szCs w:val="24"/>
        </w:rPr>
        <w:t>, 2020, 1.</w:t>
      </w:r>
    </w:p>
    <w:p w14:paraId="3FA77218"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87</w:t>
      </w:r>
      <w:r w:rsidRPr="00504D41">
        <w:rPr>
          <w:noProof/>
          <w:szCs w:val="24"/>
        </w:rPr>
        <w:tab/>
        <w:t xml:space="preserve">S. M. Joseph, S. Krishnamoorthy, R. Paranthaman, J. A. Moses and C. Anandharamakrishnan, </w:t>
      </w:r>
      <w:r w:rsidRPr="00504D41">
        <w:rPr>
          <w:i/>
          <w:iCs/>
          <w:noProof/>
          <w:szCs w:val="24"/>
        </w:rPr>
        <w:t>Carbohydr. Polym. Technol. Appl.</w:t>
      </w:r>
      <w:r w:rsidRPr="00504D41">
        <w:rPr>
          <w:noProof/>
          <w:szCs w:val="24"/>
        </w:rPr>
        <w:t xml:space="preserve">, 2021, </w:t>
      </w:r>
      <w:r w:rsidRPr="00504D41">
        <w:rPr>
          <w:b/>
          <w:bCs/>
          <w:noProof/>
          <w:szCs w:val="24"/>
        </w:rPr>
        <w:t>2</w:t>
      </w:r>
      <w:r w:rsidRPr="00504D41">
        <w:rPr>
          <w:noProof/>
          <w:szCs w:val="24"/>
        </w:rPr>
        <w:t>, 100036.</w:t>
      </w:r>
    </w:p>
    <w:p w14:paraId="15D0E4A7"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88</w:t>
      </w:r>
      <w:r w:rsidRPr="00504D41">
        <w:rPr>
          <w:noProof/>
          <w:szCs w:val="24"/>
        </w:rPr>
        <w:tab/>
        <w:t xml:space="preserve">I. Younes and M. Rinaudo, </w:t>
      </w:r>
      <w:r w:rsidRPr="00504D41">
        <w:rPr>
          <w:i/>
          <w:iCs/>
          <w:noProof/>
          <w:szCs w:val="24"/>
        </w:rPr>
        <w:t xml:space="preserve">Mar. Drugs </w:t>
      </w:r>
      <w:r w:rsidRPr="00504D41">
        <w:rPr>
          <w:noProof/>
          <w:szCs w:val="24"/>
        </w:rPr>
        <w:t>, 2015, 13.</w:t>
      </w:r>
    </w:p>
    <w:p w14:paraId="09E09DA8"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89</w:t>
      </w:r>
      <w:r w:rsidRPr="00504D41">
        <w:rPr>
          <w:noProof/>
          <w:szCs w:val="24"/>
        </w:rPr>
        <w:tab/>
        <w:t xml:space="preserve">N. Thombare, U. Jha, S. Mishra and M. Z. Siddiqui, </w:t>
      </w:r>
      <w:r w:rsidRPr="00504D41">
        <w:rPr>
          <w:i/>
          <w:iCs/>
          <w:noProof/>
          <w:szCs w:val="24"/>
        </w:rPr>
        <w:t>Int. J. Biol. Macromol.</w:t>
      </w:r>
      <w:r w:rsidRPr="00504D41">
        <w:rPr>
          <w:noProof/>
          <w:szCs w:val="24"/>
        </w:rPr>
        <w:t xml:space="preserve">, 2016, </w:t>
      </w:r>
      <w:r w:rsidRPr="00504D41">
        <w:rPr>
          <w:b/>
          <w:bCs/>
          <w:noProof/>
          <w:szCs w:val="24"/>
        </w:rPr>
        <w:t>88</w:t>
      </w:r>
      <w:r w:rsidRPr="00504D41">
        <w:rPr>
          <w:noProof/>
          <w:szCs w:val="24"/>
        </w:rPr>
        <w:t>, 361–372.</w:t>
      </w:r>
    </w:p>
    <w:p w14:paraId="090CF859"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90</w:t>
      </w:r>
      <w:r w:rsidRPr="00504D41">
        <w:rPr>
          <w:noProof/>
          <w:szCs w:val="24"/>
        </w:rPr>
        <w:tab/>
        <w:t xml:space="preserve">M. Prabaharan, </w:t>
      </w:r>
      <w:r w:rsidRPr="00504D41">
        <w:rPr>
          <w:i/>
          <w:iCs/>
          <w:noProof/>
          <w:szCs w:val="24"/>
        </w:rPr>
        <w:t>Int. J. Biol. Macromol.</w:t>
      </w:r>
      <w:r w:rsidRPr="00504D41">
        <w:rPr>
          <w:noProof/>
          <w:szCs w:val="24"/>
        </w:rPr>
        <w:t xml:space="preserve">, 2011, </w:t>
      </w:r>
      <w:r w:rsidRPr="00504D41">
        <w:rPr>
          <w:b/>
          <w:bCs/>
          <w:noProof/>
          <w:szCs w:val="24"/>
        </w:rPr>
        <w:t>49</w:t>
      </w:r>
      <w:r w:rsidRPr="00504D41">
        <w:rPr>
          <w:noProof/>
          <w:szCs w:val="24"/>
        </w:rPr>
        <w:t>, 117–124.</w:t>
      </w:r>
    </w:p>
    <w:p w14:paraId="51A0184B"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91</w:t>
      </w:r>
      <w:r w:rsidRPr="00504D41">
        <w:rPr>
          <w:noProof/>
          <w:szCs w:val="24"/>
        </w:rPr>
        <w:tab/>
        <w:t xml:space="preserve">D. Mudgil, S. Barak and B. S. Khatkar, </w:t>
      </w:r>
      <w:r w:rsidRPr="00504D41">
        <w:rPr>
          <w:i/>
          <w:iCs/>
          <w:noProof/>
          <w:szCs w:val="24"/>
        </w:rPr>
        <w:t>J. Food Sci. Technol.</w:t>
      </w:r>
      <w:r w:rsidRPr="00504D41">
        <w:rPr>
          <w:noProof/>
          <w:szCs w:val="24"/>
        </w:rPr>
        <w:t xml:space="preserve">, 2014, </w:t>
      </w:r>
      <w:r w:rsidRPr="00504D41">
        <w:rPr>
          <w:b/>
          <w:bCs/>
          <w:noProof/>
          <w:szCs w:val="24"/>
        </w:rPr>
        <w:t>51</w:t>
      </w:r>
      <w:r w:rsidRPr="00504D41">
        <w:rPr>
          <w:noProof/>
          <w:szCs w:val="24"/>
        </w:rPr>
        <w:t>, 409–418.</w:t>
      </w:r>
    </w:p>
    <w:p w14:paraId="05D0C44D"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92</w:t>
      </w:r>
      <w:r w:rsidRPr="00504D41">
        <w:rPr>
          <w:noProof/>
          <w:szCs w:val="24"/>
        </w:rPr>
        <w:tab/>
        <w:t xml:space="preserve">N. Thombare, S. Mishra, M. Z. Siddiqui, U. Jha, D. Singh and G. R. Mahajan, </w:t>
      </w:r>
      <w:r w:rsidRPr="00504D41">
        <w:rPr>
          <w:i/>
          <w:iCs/>
          <w:noProof/>
          <w:szCs w:val="24"/>
        </w:rPr>
        <w:t>Carbohydr. Polym.</w:t>
      </w:r>
      <w:r w:rsidRPr="00504D41">
        <w:rPr>
          <w:noProof/>
          <w:szCs w:val="24"/>
        </w:rPr>
        <w:t xml:space="preserve">, 2018, </w:t>
      </w:r>
      <w:r w:rsidRPr="00504D41">
        <w:rPr>
          <w:b/>
          <w:bCs/>
          <w:noProof/>
          <w:szCs w:val="24"/>
        </w:rPr>
        <w:t>185</w:t>
      </w:r>
      <w:r w:rsidRPr="00504D41">
        <w:rPr>
          <w:noProof/>
          <w:szCs w:val="24"/>
        </w:rPr>
        <w:t>, 169–178.</w:t>
      </w:r>
    </w:p>
    <w:p w14:paraId="3507634A"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93</w:t>
      </w:r>
      <w:r w:rsidRPr="00504D41">
        <w:rPr>
          <w:noProof/>
          <w:szCs w:val="24"/>
        </w:rPr>
        <w:tab/>
        <w:t>US Pat., 5787640A, 1992.</w:t>
      </w:r>
    </w:p>
    <w:p w14:paraId="7778D2E4"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94</w:t>
      </w:r>
      <w:r w:rsidRPr="00504D41">
        <w:rPr>
          <w:noProof/>
          <w:szCs w:val="24"/>
        </w:rPr>
        <w:tab/>
        <w:t>US Pat., 20120220454A1, 2012.</w:t>
      </w:r>
    </w:p>
    <w:p w14:paraId="713F59D4"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95</w:t>
      </w:r>
      <w:r w:rsidRPr="00504D41">
        <w:rPr>
          <w:noProof/>
          <w:szCs w:val="24"/>
        </w:rPr>
        <w:tab/>
        <w:t>US Pat., 20190150354A1, 2019.</w:t>
      </w:r>
    </w:p>
    <w:p w14:paraId="26661486"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96</w:t>
      </w:r>
      <w:r w:rsidRPr="00504D41">
        <w:rPr>
          <w:noProof/>
          <w:szCs w:val="24"/>
        </w:rPr>
        <w:tab/>
        <w:t xml:space="preserve">M. Black and J. D. Bewley, </w:t>
      </w:r>
      <w:r w:rsidRPr="00504D41">
        <w:rPr>
          <w:i/>
          <w:iCs/>
          <w:noProof/>
          <w:szCs w:val="24"/>
        </w:rPr>
        <w:t>Seed technology and its biological basis</w:t>
      </w:r>
      <w:r w:rsidRPr="00504D41">
        <w:rPr>
          <w:noProof/>
          <w:szCs w:val="24"/>
        </w:rPr>
        <w:t>, Sheffield, England : Sheffield Academic Press ; Boca Raton, FL : CRC Press, 2000., Sheffield, England, 2000.</w:t>
      </w:r>
    </w:p>
    <w:p w14:paraId="352E31EC"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97</w:t>
      </w:r>
      <w:r w:rsidRPr="00504D41">
        <w:rPr>
          <w:noProof/>
          <w:szCs w:val="24"/>
        </w:rPr>
        <w:tab/>
        <w:t xml:space="preserve">F. Gresta, A. I. De Luca, A. Strano, G. Falcone, C. Santonoceto, U. Anastasi and G. Gulisano, </w:t>
      </w:r>
      <w:r w:rsidRPr="00504D41">
        <w:rPr>
          <w:i/>
          <w:iCs/>
          <w:noProof/>
          <w:szCs w:val="24"/>
        </w:rPr>
        <w:t>Ital. J. Agron.</w:t>
      </w:r>
      <w:r w:rsidRPr="00504D41">
        <w:rPr>
          <w:noProof/>
          <w:szCs w:val="24"/>
        </w:rPr>
        <w:t xml:space="preserve">, 2014, </w:t>
      </w:r>
      <w:r w:rsidRPr="00504D41">
        <w:rPr>
          <w:b/>
          <w:bCs/>
          <w:noProof/>
          <w:szCs w:val="24"/>
        </w:rPr>
        <w:t>9</w:t>
      </w:r>
      <w:r w:rsidRPr="00504D41">
        <w:rPr>
          <w:noProof/>
          <w:szCs w:val="24"/>
        </w:rPr>
        <w:t>, 20–24.</w:t>
      </w:r>
    </w:p>
    <w:p w14:paraId="483DEB06"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98</w:t>
      </w:r>
      <w:r w:rsidRPr="00504D41">
        <w:rPr>
          <w:noProof/>
          <w:szCs w:val="24"/>
        </w:rPr>
        <w:tab/>
        <w:t xml:space="preserve">H. M. Summers, E. Sproul, C. Seavert, S. Angadi, J. Robbs, S. Khanal, P. Gutierrez, T. Teegerstrom, D. A. Zuniga Vazquez, N. Fan and J. C. Quinn, </w:t>
      </w:r>
      <w:r w:rsidRPr="00504D41">
        <w:rPr>
          <w:i/>
          <w:iCs/>
          <w:noProof/>
          <w:szCs w:val="24"/>
        </w:rPr>
        <w:t>Agric. Syst.</w:t>
      </w:r>
      <w:r w:rsidRPr="00504D41">
        <w:rPr>
          <w:noProof/>
          <w:szCs w:val="24"/>
        </w:rPr>
        <w:t xml:space="preserve">, 2021, </w:t>
      </w:r>
      <w:r w:rsidRPr="00504D41">
        <w:rPr>
          <w:b/>
          <w:bCs/>
          <w:noProof/>
          <w:szCs w:val="24"/>
        </w:rPr>
        <w:t>191</w:t>
      </w:r>
      <w:r w:rsidRPr="00504D41">
        <w:rPr>
          <w:noProof/>
          <w:szCs w:val="24"/>
        </w:rPr>
        <w:t>, 103146.</w:t>
      </w:r>
    </w:p>
    <w:p w14:paraId="0A6E192E"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99</w:t>
      </w:r>
      <w:r w:rsidRPr="00504D41">
        <w:rPr>
          <w:noProof/>
          <w:szCs w:val="24"/>
        </w:rPr>
        <w:tab/>
        <w:t xml:space="preserve">J. Xue, T. Wu, Y. Dai and Y. Xia, </w:t>
      </w:r>
      <w:r w:rsidRPr="00504D41">
        <w:rPr>
          <w:i/>
          <w:iCs/>
          <w:noProof/>
          <w:szCs w:val="24"/>
        </w:rPr>
        <w:t>Chem. Rev.</w:t>
      </w:r>
      <w:r w:rsidRPr="00504D41">
        <w:rPr>
          <w:noProof/>
          <w:szCs w:val="24"/>
        </w:rPr>
        <w:t xml:space="preserve">, 2019, </w:t>
      </w:r>
      <w:r w:rsidRPr="00504D41">
        <w:rPr>
          <w:b/>
          <w:bCs/>
          <w:noProof/>
          <w:szCs w:val="24"/>
        </w:rPr>
        <w:t>119</w:t>
      </w:r>
      <w:r w:rsidRPr="00504D41">
        <w:rPr>
          <w:noProof/>
          <w:szCs w:val="24"/>
        </w:rPr>
        <w:t>, 5298–5415.</w:t>
      </w:r>
    </w:p>
    <w:p w14:paraId="3CC89E94"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100</w:t>
      </w:r>
      <w:r w:rsidRPr="00504D41">
        <w:rPr>
          <w:noProof/>
          <w:szCs w:val="24"/>
        </w:rPr>
        <w:tab/>
        <w:t xml:space="preserve">S. Meraz-Dávila, C. E. Pérez-García and A. A. Feregrino-Perez, </w:t>
      </w:r>
      <w:r w:rsidRPr="00504D41">
        <w:rPr>
          <w:i/>
          <w:iCs/>
          <w:noProof/>
          <w:szCs w:val="24"/>
        </w:rPr>
        <w:t>Mater. Res. Express</w:t>
      </w:r>
      <w:r w:rsidRPr="00504D41">
        <w:rPr>
          <w:noProof/>
          <w:szCs w:val="24"/>
        </w:rPr>
        <w:t xml:space="preserve">, </w:t>
      </w:r>
      <w:r w:rsidRPr="00504D41">
        <w:rPr>
          <w:noProof/>
          <w:szCs w:val="24"/>
        </w:rPr>
        <w:lastRenderedPageBreak/>
        <w:t xml:space="preserve">2021, </w:t>
      </w:r>
      <w:r w:rsidRPr="00504D41">
        <w:rPr>
          <w:b/>
          <w:bCs/>
          <w:noProof/>
          <w:szCs w:val="24"/>
        </w:rPr>
        <w:t>8</w:t>
      </w:r>
      <w:r w:rsidRPr="00504D41">
        <w:rPr>
          <w:noProof/>
          <w:szCs w:val="24"/>
        </w:rPr>
        <w:t>, 42001.</w:t>
      </w:r>
    </w:p>
    <w:p w14:paraId="77785553"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101</w:t>
      </w:r>
      <w:r w:rsidRPr="00504D41">
        <w:rPr>
          <w:noProof/>
          <w:szCs w:val="24"/>
        </w:rPr>
        <w:tab/>
        <w:t xml:space="preserve">R. Damasceno, I. Roggia, C. Pereira and E. de Sá, </w:t>
      </w:r>
      <w:r w:rsidRPr="00504D41">
        <w:rPr>
          <w:i/>
          <w:iCs/>
          <w:noProof/>
          <w:szCs w:val="24"/>
        </w:rPr>
        <w:t>Can. J. Microbiol.</w:t>
      </w:r>
      <w:r w:rsidRPr="00504D41">
        <w:rPr>
          <w:noProof/>
          <w:szCs w:val="24"/>
        </w:rPr>
        <w:t xml:space="preserve">, 2013, </w:t>
      </w:r>
      <w:r w:rsidRPr="00504D41">
        <w:rPr>
          <w:b/>
          <w:bCs/>
          <w:noProof/>
          <w:szCs w:val="24"/>
        </w:rPr>
        <w:t>59</w:t>
      </w:r>
      <w:r w:rsidRPr="00504D41">
        <w:rPr>
          <w:noProof/>
          <w:szCs w:val="24"/>
        </w:rPr>
        <w:t>, 716–719.</w:t>
      </w:r>
    </w:p>
    <w:p w14:paraId="5E6E4EE1"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102</w:t>
      </w:r>
      <w:r w:rsidRPr="00504D41">
        <w:rPr>
          <w:noProof/>
          <w:szCs w:val="24"/>
        </w:rPr>
        <w:tab/>
        <w:t xml:space="preserve">L. Castañeda, C. Genro, I. Roggia, S. Bender, R. Bender and C. Pereira, </w:t>
      </w:r>
      <w:r w:rsidRPr="00504D41">
        <w:rPr>
          <w:i/>
          <w:iCs/>
          <w:noProof/>
          <w:szCs w:val="24"/>
        </w:rPr>
        <w:t>J. Res. Updat. Polym. Sci.</w:t>
      </w:r>
      <w:r w:rsidRPr="00504D41">
        <w:rPr>
          <w:noProof/>
          <w:szCs w:val="24"/>
        </w:rPr>
        <w:t xml:space="preserve">, 2014, </w:t>
      </w:r>
      <w:r w:rsidRPr="00504D41">
        <w:rPr>
          <w:b/>
          <w:bCs/>
          <w:noProof/>
          <w:szCs w:val="24"/>
        </w:rPr>
        <w:t>3</w:t>
      </w:r>
      <w:r w:rsidRPr="00504D41">
        <w:rPr>
          <w:noProof/>
          <w:szCs w:val="24"/>
        </w:rPr>
        <w:t>, 33–39.</w:t>
      </w:r>
    </w:p>
    <w:p w14:paraId="48D50626"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103</w:t>
      </w:r>
      <w:r w:rsidRPr="00504D41">
        <w:rPr>
          <w:noProof/>
          <w:szCs w:val="24"/>
        </w:rPr>
        <w:tab/>
        <w:t xml:space="preserve">V. Krishnamoorthy, G. Elumalai and S. Rajiv, </w:t>
      </w:r>
      <w:r w:rsidRPr="00504D41">
        <w:rPr>
          <w:i/>
          <w:iCs/>
          <w:noProof/>
          <w:szCs w:val="24"/>
        </w:rPr>
        <w:t>New J. Chem.</w:t>
      </w:r>
      <w:r w:rsidRPr="00504D41">
        <w:rPr>
          <w:noProof/>
          <w:szCs w:val="24"/>
        </w:rPr>
        <w:t xml:space="preserve">, 2016, </w:t>
      </w:r>
      <w:r w:rsidRPr="00504D41">
        <w:rPr>
          <w:b/>
          <w:bCs/>
          <w:noProof/>
          <w:szCs w:val="24"/>
        </w:rPr>
        <w:t>40</w:t>
      </w:r>
      <w:r w:rsidRPr="00504D41">
        <w:rPr>
          <w:noProof/>
          <w:szCs w:val="24"/>
        </w:rPr>
        <w:t>, 3268–3276.</w:t>
      </w:r>
    </w:p>
    <w:p w14:paraId="2F59B5AD"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104</w:t>
      </w:r>
      <w:r w:rsidRPr="00504D41">
        <w:rPr>
          <w:noProof/>
          <w:szCs w:val="24"/>
        </w:rPr>
        <w:tab/>
        <w:t xml:space="preserve">V. Krishnamoorthy and S. Rajiv, </w:t>
      </w:r>
      <w:r w:rsidRPr="00504D41">
        <w:rPr>
          <w:i/>
          <w:iCs/>
          <w:noProof/>
          <w:szCs w:val="24"/>
        </w:rPr>
        <w:t>J. Clean. Prod.</w:t>
      </w:r>
      <w:r w:rsidRPr="00504D41">
        <w:rPr>
          <w:noProof/>
          <w:szCs w:val="24"/>
        </w:rPr>
        <w:t xml:space="preserve">, 2018, </w:t>
      </w:r>
      <w:r w:rsidRPr="00504D41">
        <w:rPr>
          <w:b/>
          <w:bCs/>
          <w:noProof/>
          <w:szCs w:val="24"/>
        </w:rPr>
        <w:t>177</w:t>
      </w:r>
      <w:r w:rsidRPr="00504D41">
        <w:rPr>
          <w:noProof/>
          <w:szCs w:val="24"/>
        </w:rPr>
        <w:t>, 69–78.</w:t>
      </w:r>
    </w:p>
    <w:p w14:paraId="1F9B6778"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105</w:t>
      </w:r>
      <w:r w:rsidRPr="00504D41">
        <w:rPr>
          <w:noProof/>
          <w:szCs w:val="24"/>
        </w:rPr>
        <w:tab/>
        <w:t xml:space="preserve">T. Xu, C. Ma, Z. Aytac, X. Hu, K. W. Ng, J. C. White and P. Demokritou, </w:t>
      </w:r>
      <w:r w:rsidRPr="00504D41">
        <w:rPr>
          <w:i/>
          <w:iCs/>
          <w:noProof/>
          <w:szCs w:val="24"/>
        </w:rPr>
        <w:t>ACS Sustain. Chem. Eng.</w:t>
      </w:r>
      <w:r w:rsidRPr="00504D41">
        <w:rPr>
          <w:noProof/>
          <w:szCs w:val="24"/>
        </w:rPr>
        <w:t xml:space="preserve">, 2020, </w:t>
      </w:r>
      <w:r w:rsidRPr="00504D41">
        <w:rPr>
          <w:b/>
          <w:bCs/>
          <w:noProof/>
          <w:szCs w:val="24"/>
        </w:rPr>
        <w:t>8</w:t>
      </w:r>
      <w:r w:rsidRPr="00504D41">
        <w:rPr>
          <w:noProof/>
          <w:szCs w:val="24"/>
        </w:rPr>
        <w:t>, 9537–9548.</w:t>
      </w:r>
    </w:p>
    <w:p w14:paraId="27DD3439"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106</w:t>
      </w:r>
      <w:r w:rsidRPr="00504D41">
        <w:rPr>
          <w:noProof/>
          <w:szCs w:val="24"/>
        </w:rPr>
        <w:tab/>
        <w:t xml:space="preserve">B. V. Farias, T. Pirzada, R. Mathew, T. L. Sit, C. Opperman and S. A. Khan, </w:t>
      </w:r>
      <w:r w:rsidRPr="00504D41">
        <w:rPr>
          <w:i/>
          <w:iCs/>
          <w:noProof/>
          <w:szCs w:val="24"/>
        </w:rPr>
        <w:t>ACS Sustain. Chem. Eng.</w:t>
      </w:r>
      <w:r w:rsidRPr="00504D41">
        <w:rPr>
          <w:noProof/>
          <w:szCs w:val="24"/>
        </w:rPr>
        <w:t xml:space="preserve">, 2019, </w:t>
      </w:r>
      <w:r w:rsidRPr="00504D41">
        <w:rPr>
          <w:b/>
          <w:bCs/>
          <w:noProof/>
          <w:szCs w:val="24"/>
        </w:rPr>
        <w:t>7</w:t>
      </w:r>
      <w:r w:rsidRPr="00504D41">
        <w:rPr>
          <w:noProof/>
          <w:szCs w:val="24"/>
        </w:rPr>
        <w:t>, 19848–19856.</w:t>
      </w:r>
    </w:p>
    <w:p w14:paraId="6C292913"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107</w:t>
      </w:r>
      <w:r w:rsidRPr="00504D41">
        <w:rPr>
          <w:noProof/>
          <w:szCs w:val="24"/>
        </w:rPr>
        <w:tab/>
        <w:t xml:space="preserve">K. Raja, C. Prabhu, K. S. Subramanian and K. Govindaraju, </w:t>
      </w:r>
      <w:r w:rsidRPr="00504D41">
        <w:rPr>
          <w:i/>
          <w:iCs/>
          <w:noProof/>
          <w:szCs w:val="24"/>
        </w:rPr>
        <w:t>Polym. Bull.</w:t>
      </w:r>
      <w:r w:rsidRPr="00504D41">
        <w:rPr>
          <w:noProof/>
          <w:szCs w:val="24"/>
        </w:rPr>
        <w:t>, , DOI:10.1007/s00289-020-03435-6.</w:t>
      </w:r>
    </w:p>
    <w:p w14:paraId="0219AADA"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108</w:t>
      </w:r>
      <w:r w:rsidRPr="00504D41">
        <w:rPr>
          <w:noProof/>
          <w:szCs w:val="24"/>
        </w:rPr>
        <w:tab/>
        <w:t xml:space="preserve">C. Z. Mosher, P. A. P. Brudnicki, Z. Gong, H. R. Childs, S. W. Lee, R. M. Antrobus, E. C. Fang, T. N. Schiros and H. H. Lu, </w:t>
      </w:r>
      <w:r w:rsidRPr="00504D41">
        <w:rPr>
          <w:i/>
          <w:iCs/>
          <w:noProof/>
          <w:szCs w:val="24"/>
        </w:rPr>
        <w:t>Biofabrication</w:t>
      </w:r>
      <w:r w:rsidRPr="00504D41">
        <w:rPr>
          <w:noProof/>
          <w:szCs w:val="24"/>
        </w:rPr>
        <w:t>, , DOI:10.1088/1758-5090/ac0964.</w:t>
      </w:r>
    </w:p>
    <w:p w14:paraId="2DBC24DE"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109</w:t>
      </w:r>
      <w:r w:rsidRPr="00504D41">
        <w:rPr>
          <w:noProof/>
          <w:szCs w:val="24"/>
        </w:rPr>
        <w:tab/>
        <w:t xml:space="preserve">C. M. Alder, J. D. Hayler, R. K. Henderson, A. M. Redman, L. Shukla, L. E. Shuster and H. F. Sneddon, </w:t>
      </w:r>
      <w:r w:rsidRPr="00504D41">
        <w:rPr>
          <w:i/>
          <w:iCs/>
          <w:noProof/>
          <w:szCs w:val="24"/>
        </w:rPr>
        <w:t>Green Chem.</w:t>
      </w:r>
      <w:r w:rsidRPr="00504D41">
        <w:rPr>
          <w:noProof/>
          <w:szCs w:val="24"/>
        </w:rPr>
        <w:t xml:space="preserve">, 2016, </w:t>
      </w:r>
      <w:r w:rsidRPr="00504D41">
        <w:rPr>
          <w:b/>
          <w:bCs/>
          <w:noProof/>
          <w:szCs w:val="24"/>
        </w:rPr>
        <w:t>18</w:t>
      </w:r>
      <w:r w:rsidRPr="00504D41">
        <w:rPr>
          <w:noProof/>
          <w:szCs w:val="24"/>
        </w:rPr>
        <w:t>, 3879–3890.</w:t>
      </w:r>
    </w:p>
    <w:p w14:paraId="25DF30EB"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110</w:t>
      </w:r>
      <w:r w:rsidRPr="00504D41">
        <w:rPr>
          <w:noProof/>
          <w:szCs w:val="24"/>
        </w:rPr>
        <w:tab/>
        <w:t xml:space="preserve">N. Srivastava, Richa and A. Roy Choudhury, </w:t>
      </w:r>
      <w:r w:rsidRPr="00504D41">
        <w:rPr>
          <w:i/>
          <w:iCs/>
          <w:noProof/>
          <w:szCs w:val="24"/>
        </w:rPr>
        <w:t>Colloids Surfaces B Biointerfaces</w:t>
      </w:r>
      <w:r w:rsidRPr="00504D41">
        <w:rPr>
          <w:noProof/>
          <w:szCs w:val="24"/>
        </w:rPr>
        <w:t xml:space="preserve">, 2021, </w:t>
      </w:r>
      <w:r w:rsidRPr="00504D41">
        <w:rPr>
          <w:b/>
          <w:bCs/>
          <w:noProof/>
          <w:szCs w:val="24"/>
        </w:rPr>
        <w:t>205</w:t>
      </w:r>
      <w:r w:rsidRPr="00504D41">
        <w:rPr>
          <w:noProof/>
          <w:szCs w:val="24"/>
        </w:rPr>
        <w:t>, 111891.</w:t>
      </w:r>
    </w:p>
    <w:p w14:paraId="7E6470CC"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111</w:t>
      </w:r>
      <w:r w:rsidRPr="00504D41">
        <w:rPr>
          <w:noProof/>
          <w:szCs w:val="24"/>
        </w:rPr>
        <w:tab/>
        <w:t xml:space="preserve">F. Gao, Z. Xu, Q. Liang, H. Li, L. Peng, M. Wu, X. Zhao, X. Cui, C. Ruan and W. Liu, </w:t>
      </w:r>
      <w:r w:rsidRPr="00504D41">
        <w:rPr>
          <w:i/>
          <w:iCs/>
          <w:noProof/>
          <w:szCs w:val="24"/>
        </w:rPr>
        <w:t>Adv. Sci.</w:t>
      </w:r>
      <w:r w:rsidRPr="00504D41">
        <w:rPr>
          <w:noProof/>
          <w:szCs w:val="24"/>
        </w:rPr>
        <w:t xml:space="preserve">, 2019, </w:t>
      </w:r>
      <w:r w:rsidRPr="00504D41">
        <w:rPr>
          <w:b/>
          <w:bCs/>
          <w:noProof/>
          <w:szCs w:val="24"/>
        </w:rPr>
        <w:t>6</w:t>
      </w:r>
      <w:r w:rsidRPr="00504D41">
        <w:rPr>
          <w:noProof/>
          <w:szCs w:val="24"/>
        </w:rPr>
        <w:t>, 1900867.</w:t>
      </w:r>
    </w:p>
    <w:p w14:paraId="6E48429C"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112</w:t>
      </w:r>
      <w:r w:rsidRPr="00504D41">
        <w:rPr>
          <w:noProof/>
          <w:szCs w:val="24"/>
        </w:rPr>
        <w:tab/>
        <w:t xml:space="preserve">G. He, S. Chen, Y. Xu, Z. Miao, Y. Ma, H. Qian, Y. Lu and Z. Zha, </w:t>
      </w:r>
      <w:r w:rsidRPr="00504D41">
        <w:rPr>
          <w:i/>
          <w:iCs/>
          <w:noProof/>
          <w:szCs w:val="24"/>
        </w:rPr>
        <w:t>Mater. Horizons</w:t>
      </w:r>
      <w:r w:rsidRPr="00504D41">
        <w:rPr>
          <w:noProof/>
          <w:szCs w:val="24"/>
        </w:rPr>
        <w:t xml:space="preserve">, 2019, </w:t>
      </w:r>
      <w:r w:rsidRPr="00504D41">
        <w:rPr>
          <w:b/>
          <w:bCs/>
          <w:noProof/>
          <w:szCs w:val="24"/>
        </w:rPr>
        <w:t>6</w:t>
      </w:r>
      <w:r w:rsidRPr="00504D41">
        <w:rPr>
          <w:noProof/>
          <w:szCs w:val="24"/>
        </w:rPr>
        <w:t>, 711–716.</w:t>
      </w:r>
    </w:p>
    <w:p w14:paraId="6530484A"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113</w:t>
      </w:r>
      <w:r w:rsidRPr="00504D41">
        <w:rPr>
          <w:noProof/>
          <w:szCs w:val="24"/>
        </w:rPr>
        <w:tab/>
        <w:t xml:space="preserve">Z. Yang, R. Huang, B. Zheng, W. Guo, C. Li, W. He, Y. Wei, Y. Du, H. Wang, D. Wu and H. Wang, </w:t>
      </w:r>
      <w:r w:rsidRPr="00504D41">
        <w:rPr>
          <w:i/>
          <w:iCs/>
          <w:noProof/>
          <w:szCs w:val="24"/>
        </w:rPr>
        <w:t>Adv. Sci.</w:t>
      </w:r>
      <w:r w:rsidRPr="00504D41">
        <w:rPr>
          <w:noProof/>
          <w:szCs w:val="24"/>
        </w:rPr>
        <w:t xml:space="preserve">, 2021, </w:t>
      </w:r>
      <w:r w:rsidRPr="00504D41">
        <w:rPr>
          <w:b/>
          <w:bCs/>
          <w:noProof/>
          <w:szCs w:val="24"/>
        </w:rPr>
        <w:t>8</w:t>
      </w:r>
      <w:r w:rsidRPr="00504D41">
        <w:rPr>
          <w:noProof/>
          <w:szCs w:val="24"/>
        </w:rPr>
        <w:t>, 2003627.</w:t>
      </w:r>
    </w:p>
    <w:p w14:paraId="08523533"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114</w:t>
      </w:r>
      <w:r w:rsidRPr="00504D41">
        <w:rPr>
          <w:noProof/>
          <w:szCs w:val="24"/>
        </w:rPr>
        <w:tab/>
        <w:t xml:space="preserve">E. Caló and V. V Khutoryanskiy, </w:t>
      </w:r>
      <w:r w:rsidRPr="00504D41">
        <w:rPr>
          <w:i/>
          <w:iCs/>
          <w:noProof/>
          <w:szCs w:val="24"/>
        </w:rPr>
        <w:t>Eur. Polym. J.</w:t>
      </w:r>
      <w:r w:rsidRPr="00504D41">
        <w:rPr>
          <w:noProof/>
          <w:szCs w:val="24"/>
        </w:rPr>
        <w:t xml:space="preserve">, 2015, </w:t>
      </w:r>
      <w:r w:rsidRPr="00504D41">
        <w:rPr>
          <w:b/>
          <w:bCs/>
          <w:noProof/>
          <w:szCs w:val="24"/>
        </w:rPr>
        <w:t>65</w:t>
      </w:r>
      <w:r w:rsidRPr="00504D41">
        <w:rPr>
          <w:noProof/>
          <w:szCs w:val="24"/>
        </w:rPr>
        <w:t>, 252–267.</w:t>
      </w:r>
    </w:p>
    <w:p w14:paraId="54CF91BC"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115</w:t>
      </w:r>
      <w:r w:rsidRPr="00504D41">
        <w:rPr>
          <w:noProof/>
          <w:szCs w:val="24"/>
        </w:rPr>
        <w:tab/>
        <w:t xml:space="preserve">N. Singh, S. Agarwal, A. Jain and S. Khan, </w:t>
      </w:r>
      <w:r w:rsidRPr="00504D41">
        <w:rPr>
          <w:i/>
          <w:iCs/>
          <w:noProof/>
          <w:szCs w:val="24"/>
        </w:rPr>
        <w:t>Agric. Water Manag.</w:t>
      </w:r>
      <w:r w:rsidRPr="00504D41">
        <w:rPr>
          <w:noProof/>
          <w:szCs w:val="24"/>
        </w:rPr>
        <w:t xml:space="preserve">, 2021, </w:t>
      </w:r>
      <w:r w:rsidRPr="00504D41">
        <w:rPr>
          <w:b/>
          <w:bCs/>
          <w:noProof/>
          <w:szCs w:val="24"/>
        </w:rPr>
        <w:t>253</w:t>
      </w:r>
      <w:r w:rsidRPr="00504D41">
        <w:rPr>
          <w:noProof/>
          <w:szCs w:val="24"/>
        </w:rPr>
        <w:t>, 106939.</w:t>
      </w:r>
    </w:p>
    <w:p w14:paraId="3A16B995"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116</w:t>
      </w:r>
      <w:r w:rsidRPr="00504D41">
        <w:rPr>
          <w:noProof/>
          <w:szCs w:val="24"/>
        </w:rPr>
        <w:tab/>
        <w:t xml:space="preserve">J. D. Berdahl and R. E. Barker, </w:t>
      </w:r>
      <w:r w:rsidRPr="00504D41">
        <w:rPr>
          <w:i/>
          <w:iCs/>
          <w:noProof/>
          <w:szCs w:val="24"/>
        </w:rPr>
        <w:t>Agron. J.</w:t>
      </w:r>
      <w:r w:rsidRPr="00504D41">
        <w:rPr>
          <w:noProof/>
          <w:szCs w:val="24"/>
        </w:rPr>
        <w:t xml:space="preserve">, 1980, </w:t>
      </w:r>
      <w:r w:rsidRPr="00504D41">
        <w:rPr>
          <w:b/>
          <w:bCs/>
          <w:noProof/>
          <w:szCs w:val="24"/>
        </w:rPr>
        <w:t>72</w:t>
      </w:r>
      <w:r w:rsidRPr="00504D41">
        <w:rPr>
          <w:noProof/>
          <w:szCs w:val="24"/>
        </w:rPr>
        <w:t>, 1006–1008.</w:t>
      </w:r>
    </w:p>
    <w:p w14:paraId="14DA4C45"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117</w:t>
      </w:r>
      <w:r w:rsidRPr="00504D41">
        <w:rPr>
          <w:noProof/>
          <w:szCs w:val="24"/>
        </w:rPr>
        <w:tab/>
        <w:t xml:space="preserve">S. Sarrocco, R. Raeta and G. Vannacci, </w:t>
      </w:r>
      <w:r w:rsidRPr="00504D41">
        <w:rPr>
          <w:i/>
          <w:iCs/>
          <w:noProof/>
          <w:szCs w:val="24"/>
        </w:rPr>
        <w:t>Seed Sci. Technol.</w:t>
      </w:r>
      <w:r w:rsidRPr="00504D41">
        <w:rPr>
          <w:noProof/>
          <w:szCs w:val="24"/>
        </w:rPr>
        <w:t xml:space="preserve">, 2004, </w:t>
      </w:r>
      <w:r w:rsidRPr="00504D41">
        <w:rPr>
          <w:b/>
          <w:bCs/>
          <w:noProof/>
          <w:szCs w:val="24"/>
        </w:rPr>
        <w:t>32</w:t>
      </w:r>
      <w:r w:rsidRPr="00504D41">
        <w:rPr>
          <w:noProof/>
          <w:szCs w:val="24"/>
        </w:rPr>
        <w:t>, 649–661.</w:t>
      </w:r>
    </w:p>
    <w:p w14:paraId="15AC9CF4"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118</w:t>
      </w:r>
      <w:r w:rsidRPr="00504D41">
        <w:rPr>
          <w:noProof/>
          <w:szCs w:val="24"/>
        </w:rPr>
        <w:tab/>
        <w:t xml:space="preserve">L. Gorim and F. Asch, </w:t>
      </w:r>
      <w:r w:rsidRPr="00504D41">
        <w:rPr>
          <w:i/>
          <w:iCs/>
          <w:noProof/>
          <w:szCs w:val="24"/>
        </w:rPr>
        <w:t>J. Agron. Crop Sci.</w:t>
      </w:r>
      <w:r w:rsidRPr="00504D41">
        <w:rPr>
          <w:noProof/>
          <w:szCs w:val="24"/>
        </w:rPr>
        <w:t xml:space="preserve">, 2012, </w:t>
      </w:r>
      <w:r w:rsidRPr="00504D41">
        <w:rPr>
          <w:b/>
          <w:bCs/>
          <w:noProof/>
          <w:szCs w:val="24"/>
        </w:rPr>
        <w:t>198</w:t>
      </w:r>
      <w:r w:rsidRPr="00504D41">
        <w:rPr>
          <w:noProof/>
          <w:szCs w:val="24"/>
        </w:rPr>
        <w:t>, 81–91.</w:t>
      </w:r>
    </w:p>
    <w:p w14:paraId="1A0E04B9"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119</w:t>
      </w:r>
      <w:r w:rsidRPr="00504D41">
        <w:rPr>
          <w:noProof/>
          <w:szCs w:val="24"/>
        </w:rPr>
        <w:tab/>
        <w:t xml:space="preserve">V. Pathak and R. P. K. Ambrose, </w:t>
      </w:r>
      <w:r w:rsidRPr="00504D41">
        <w:rPr>
          <w:i/>
          <w:iCs/>
          <w:noProof/>
          <w:szCs w:val="24"/>
        </w:rPr>
        <w:t>J. Appl. Polym. Sci.</w:t>
      </w:r>
      <w:r w:rsidRPr="00504D41">
        <w:rPr>
          <w:noProof/>
          <w:szCs w:val="24"/>
        </w:rPr>
        <w:t xml:space="preserve">, 2020, </w:t>
      </w:r>
      <w:r w:rsidRPr="00504D41">
        <w:rPr>
          <w:b/>
          <w:bCs/>
          <w:noProof/>
          <w:szCs w:val="24"/>
        </w:rPr>
        <w:t>137</w:t>
      </w:r>
      <w:r w:rsidRPr="00504D41">
        <w:rPr>
          <w:noProof/>
          <w:szCs w:val="24"/>
        </w:rPr>
        <w:t>, 48523.</w:t>
      </w:r>
    </w:p>
    <w:p w14:paraId="26D7FD02"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120</w:t>
      </w:r>
      <w:r w:rsidRPr="00504D41">
        <w:rPr>
          <w:noProof/>
          <w:szCs w:val="24"/>
        </w:rPr>
        <w:tab/>
        <w:t xml:space="preserve">V. Pačuta, M. Rašovský, B. Michalska-Klimczak and Z. Wyszyňski, </w:t>
      </w:r>
      <w:r w:rsidRPr="00504D41">
        <w:rPr>
          <w:i/>
          <w:iCs/>
          <w:noProof/>
          <w:szCs w:val="24"/>
        </w:rPr>
        <w:t>Plants (Basel, Switzerland)</w:t>
      </w:r>
      <w:r w:rsidRPr="00504D41">
        <w:rPr>
          <w:noProof/>
          <w:szCs w:val="24"/>
        </w:rPr>
        <w:t xml:space="preserve">, 2021, </w:t>
      </w:r>
      <w:r w:rsidRPr="00504D41">
        <w:rPr>
          <w:b/>
          <w:bCs/>
          <w:noProof/>
          <w:szCs w:val="24"/>
        </w:rPr>
        <w:t>10</w:t>
      </w:r>
      <w:r w:rsidRPr="00504D41">
        <w:rPr>
          <w:noProof/>
          <w:szCs w:val="24"/>
        </w:rPr>
        <w:t>, 757.</w:t>
      </w:r>
    </w:p>
    <w:p w14:paraId="4711FA5C"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121</w:t>
      </w:r>
      <w:r w:rsidRPr="00504D41">
        <w:rPr>
          <w:noProof/>
          <w:szCs w:val="24"/>
        </w:rPr>
        <w:tab/>
        <w:t xml:space="preserve">S. L. M. El Halal, D. H. Kringel, E. da R. Zavareze and A. R. G. Dias, </w:t>
      </w:r>
      <w:r w:rsidRPr="00504D41">
        <w:rPr>
          <w:i/>
          <w:iCs/>
          <w:noProof/>
          <w:szCs w:val="24"/>
        </w:rPr>
        <w:t>Starch - Stärke</w:t>
      </w:r>
      <w:r w:rsidRPr="00504D41">
        <w:rPr>
          <w:noProof/>
          <w:szCs w:val="24"/>
        </w:rPr>
        <w:t xml:space="preserve">, 2019, </w:t>
      </w:r>
      <w:r w:rsidRPr="00504D41">
        <w:rPr>
          <w:b/>
          <w:bCs/>
          <w:noProof/>
          <w:szCs w:val="24"/>
        </w:rPr>
        <w:t>71</w:t>
      </w:r>
      <w:r w:rsidRPr="00504D41">
        <w:rPr>
          <w:noProof/>
          <w:szCs w:val="24"/>
        </w:rPr>
        <w:t>, 1900128.</w:t>
      </w:r>
    </w:p>
    <w:p w14:paraId="17BE83F3"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lastRenderedPageBreak/>
        <w:t>122</w:t>
      </w:r>
      <w:r w:rsidRPr="00504D41">
        <w:rPr>
          <w:noProof/>
          <w:szCs w:val="24"/>
        </w:rPr>
        <w:tab/>
        <w:t xml:space="preserve">D. H. Kringel, S. L. M. El Halal, E. da R. Zavareze and A. R. G. Dias, </w:t>
      </w:r>
      <w:r w:rsidRPr="00504D41">
        <w:rPr>
          <w:i/>
          <w:iCs/>
          <w:noProof/>
          <w:szCs w:val="24"/>
        </w:rPr>
        <w:t>Starch - Stärke</w:t>
      </w:r>
      <w:r w:rsidRPr="00504D41">
        <w:rPr>
          <w:noProof/>
          <w:szCs w:val="24"/>
        </w:rPr>
        <w:t xml:space="preserve">, 2020, </w:t>
      </w:r>
      <w:r w:rsidRPr="00504D41">
        <w:rPr>
          <w:b/>
          <w:bCs/>
          <w:noProof/>
          <w:szCs w:val="24"/>
        </w:rPr>
        <w:t>72</w:t>
      </w:r>
      <w:r w:rsidRPr="00504D41">
        <w:rPr>
          <w:noProof/>
          <w:szCs w:val="24"/>
        </w:rPr>
        <w:t>, 1900234.</w:t>
      </w:r>
    </w:p>
    <w:p w14:paraId="02D8C3AB"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123</w:t>
      </w:r>
      <w:r w:rsidRPr="00504D41">
        <w:rPr>
          <w:noProof/>
          <w:szCs w:val="24"/>
        </w:rPr>
        <w:tab/>
        <w:t xml:space="preserve">C. Rivard, L. Moens, K. Roberts, J. Brigham and S. Kelley, </w:t>
      </w:r>
      <w:r w:rsidRPr="00504D41">
        <w:rPr>
          <w:i/>
          <w:iCs/>
          <w:noProof/>
          <w:szCs w:val="24"/>
        </w:rPr>
        <w:t>Enzyme Microb. Technol.</w:t>
      </w:r>
      <w:r w:rsidRPr="00504D41">
        <w:rPr>
          <w:noProof/>
          <w:szCs w:val="24"/>
        </w:rPr>
        <w:t xml:space="preserve">, 1995, </w:t>
      </w:r>
      <w:r w:rsidRPr="00504D41">
        <w:rPr>
          <w:b/>
          <w:bCs/>
          <w:noProof/>
          <w:szCs w:val="24"/>
        </w:rPr>
        <w:t>17</w:t>
      </w:r>
      <w:r w:rsidRPr="00504D41">
        <w:rPr>
          <w:noProof/>
          <w:szCs w:val="24"/>
        </w:rPr>
        <w:t>, 848–852.</w:t>
      </w:r>
    </w:p>
    <w:p w14:paraId="50D7280C"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124</w:t>
      </w:r>
      <w:r w:rsidRPr="00504D41">
        <w:rPr>
          <w:noProof/>
          <w:szCs w:val="24"/>
        </w:rPr>
        <w:tab/>
        <w:t xml:space="preserve">T. Adhikari, S. Kundu and A. S. Rao, </w:t>
      </w:r>
      <w:r w:rsidRPr="00504D41">
        <w:rPr>
          <w:i/>
          <w:iCs/>
          <w:noProof/>
          <w:szCs w:val="24"/>
        </w:rPr>
        <w:t>J. Plant Nutr.</w:t>
      </w:r>
      <w:r w:rsidRPr="00504D41">
        <w:rPr>
          <w:noProof/>
          <w:szCs w:val="24"/>
        </w:rPr>
        <w:t xml:space="preserve">, 2016, </w:t>
      </w:r>
      <w:r w:rsidRPr="00504D41">
        <w:rPr>
          <w:b/>
          <w:bCs/>
          <w:noProof/>
          <w:szCs w:val="24"/>
        </w:rPr>
        <w:t>39</w:t>
      </w:r>
      <w:r w:rsidRPr="00504D41">
        <w:rPr>
          <w:noProof/>
          <w:szCs w:val="24"/>
        </w:rPr>
        <w:t>, 136–146.</w:t>
      </w:r>
    </w:p>
    <w:p w14:paraId="692845A7"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125</w:t>
      </w:r>
      <w:r w:rsidRPr="00504D41">
        <w:rPr>
          <w:noProof/>
          <w:szCs w:val="24"/>
        </w:rPr>
        <w:tab/>
        <w:t xml:space="preserve">X. Zhao, Y. Chen, H. Li and J. Lu, </w:t>
      </w:r>
      <w:r w:rsidRPr="00504D41">
        <w:rPr>
          <w:i/>
          <w:iCs/>
          <w:noProof/>
          <w:szCs w:val="24"/>
        </w:rPr>
        <w:t>IET Nanobiotechnology</w:t>
      </w:r>
      <w:r w:rsidRPr="00504D41">
        <w:rPr>
          <w:noProof/>
          <w:szCs w:val="24"/>
        </w:rPr>
        <w:t>, , DOI:https://doi.org/10.1049/nbt2.12064.</w:t>
      </w:r>
    </w:p>
    <w:p w14:paraId="4904FAB9"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126</w:t>
      </w:r>
      <w:r w:rsidRPr="00504D41">
        <w:rPr>
          <w:noProof/>
          <w:szCs w:val="24"/>
        </w:rPr>
        <w:tab/>
        <w:t xml:space="preserve">P. Acharya, G. K. Jayaprakasha, K. M. Crosby, J. L. Jifon and B. S. Patil, </w:t>
      </w:r>
      <w:r w:rsidRPr="00504D41">
        <w:rPr>
          <w:i/>
          <w:iCs/>
          <w:noProof/>
          <w:szCs w:val="24"/>
        </w:rPr>
        <w:t>Sci. Rep.</w:t>
      </w:r>
      <w:r w:rsidRPr="00504D41">
        <w:rPr>
          <w:noProof/>
          <w:szCs w:val="24"/>
        </w:rPr>
        <w:t xml:space="preserve">, 2020, </w:t>
      </w:r>
      <w:r w:rsidRPr="00504D41">
        <w:rPr>
          <w:b/>
          <w:bCs/>
          <w:noProof/>
          <w:szCs w:val="24"/>
        </w:rPr>
        <w:t>10</w:t>
      </w:r>
      <w:r w:rsidRPr="00504D41">
        <w:rPr>
          <w:noProof/>
          <w:szCs w:val="24"/>
        </w:rPr>
        <w:t>, 5037.</w:t>
      </w:r>
    </w:p>
    <w:p w14:paraId="5F1369FD"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127</w:t>
      </w:r>
      <w:r w:rsidRPr="00504D41">
        <w:rPr>
          <w:noProof/>
          <w:szCs w:val="24"/>
        </w:rPr>
        <w:tab/>
        <w:t xml:space="preserve">N. Sundaria, M. Singh, P. Upreti, R. P. Chauhan, J. P. Jaiswal and A. Kumar, </w:t>
      </w:r>
      <w:r w:rsidRPr="00504D41">
        <w:rPr>
          <w:i/>
          <w:iCs/>
          <w:noProof/>
          <w:szCs w:val="24"/>
        </w:rPr>
        <w:t>J. Plant Growth Regul.</w:t>
      </w:r>
      <w:r w:rsidRPr="00504D41">
        <w:rPr>
          <w:noProof/>
          <w:szCs w:val="24"/>
        </w:rPr>
        <w:t xml:space="preserve">, 2019, </w:t>
      </w:r>
      <w:r w:rsidRPr="00504D41">
        <w:rPr>
          <w:b/>
          <w:bCs/>
          <w:noProof/>
          <w:szCs w:val="24"/>
        </w:rPr>
        <w:t>38</w:t>
      </w:r>
      <w:r w:rsidRPr="00504D41">
        <w:rPr>
          <w:noProof/>
          <w:szCs w:val="24"/>
        </w:rPr>
        <w:t>, 122–131.</w:t>
      </w:r>
    </w:p>
    <w:p w14:paraId="06D60680"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128</w:t>
      </w:r>
      <w:r w:rsidRPr="00504D41">
        <w:rPr>
          <w:noProof/>
          <w:szCs w:val="24"/>
        </w:rPr>
        <w:tab/>
        <w:t xml:space="preserve">A. N. Markov, A. V Vorotyntsev, A. A. Kapinos, A. N. Petukhov, V. I. Pryakhina, O. V Kazarina, A. A. Atlaskin, K. V Otvagina, V. M. Vorotyntsev and I. V Vorotyntsev, </w:t>
      </w:r>
      <w:r w:rsidRPr="00504D41">
        <w:rPr>
          <w:i/>
          <w:iCs/>
          <w:noProof/>
          <w:szCs w:val="24"/>
        </w:rPr>
        <w:t>ACS Sustain. Chem. Eng.</w:t>
      </w:r>
      <w:r w:rsidRPr="00504D41">
        <w:rPr>
          <w:noProof/>
          <w:szCs w:val="24"/>
        </w:rPr>
        <w:t>, , DOI:10.1021/acssuschemeng.2c00940.</w:t>
      </w:r>
    </w:p>
    <w:p w14:paraId="5BC40C14"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129</w:t>
      </w:r>
      <w:r w:rsidRPr="00504D41">
        <w:rPr>
          <w:noProof/>
          <w:szCs w:val="24"/>
        </w:rPr>
        <w:tab/>
        <w:t xml:space="preserve">A. Vahid Mohammadi and M. Halali, </w:t>
      </w:r>
      <w:r w:rsidRPr="00504D41">
        <w:rPr>
          <w:i/>
          <w:iCs/>
          <w:noProof/>
          <w:szCs w:val="24"/>
        </w:rPr>
        <w:t>RSC Adv.</w:t>
      </w:r>
      <w:r w:rsidRPr="00504D41">
        <w:rPr>
          <w:noProof/>
          <w:szCs w:val="24"/>
        </w:rPr>
        <w:t xml:space="preserve">, 2014, </w:t>
      </w:r>
      <w:r w:rsidRPr="00504D41">
        <w:rPr>
          <w:b/>
          <w:bCs/>
          <w:noProof/>
          <w:szCs w:val="24"/>
        </w:rPr>
        <w:t>4</w:t>
      </w:r>
      <w:r w:rsidRPr="00504D41">
        <w:rPr>
          <w:noProof/>
          <w:szCs w:val="24"/>
        </w:rPr>
        <w:t>, 7104–7108.</w:t>
      </w:r>
    </w:p>
    <w:p w14:paraId="0B104238"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130</w:t>
      </w:r>
      <w:r w:rsidRPr="00504D41">
        <w:rPr>
          <w:noProof/>
          <w:szCs w:val="24"/>
        </w:rPr>
        <w:tab/>
        <w:t xml:space="preserve">L. Abeywardana, M. de Silva, C. Sandaruwan, D. Dahanayake, G. Priyadarshana, S. Chathurika, V. Karunaratne and N. Kottegoda, </w:t>
      </w:r>
      <w:r w:rsidRPr="00504D41">
        <w:rPr>
          <w:i/>
          <w:iCs/>
          <w:noProof/>
          <w:szCs w:val="24"/>
        </w:rPr>
        <w:t>ACS Agric. Sci. Technol.</w:t>
      </w:r>
      <w:r w:rsidRPr="00504D41">
        <w:rPr>
          <w:noProof/>
          <w:szCs w:val="24"/>
        </w:rPr>
        <w:t xml:space="preserve">, 2021, </w:t>
      </w:r>
      <w:r w:rsidRPr="00504D41">
        <w:rPr>
          <w:b/>
          <w:bCs/>
          <w:noProof/>
          <w:szCs w:val="24"/>
        </w:rPr>
        <w:t>1</w:t>
      </w:r>
      <w:r w:rsidRPr="00504D41">
        <w:rPr>
          <w:noProof/>
          <w:szCs w:val="24"/>
        </w:rPr>
        <w:t>, 230–239.</w:t>
      </w:r>
    </w:p>
    <w:p w14:paraId="09C927DA"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131</w:t>
      </w:r>
      <w:r w:rsidRPr="00504D41">
        <w:rPr>
          <w:noProof/>
          <w:szCs w:val="24"/>
        </w:rPr>
        <w:tab/>
        <w:t xml:space="preserve">N. I. Agbeboh, I. O. Oladele, O. O. Daramola, A. A. Adediran, O. O. Olasukanmi and M. O. Tanimola, </w:t>
      </w:r>
      <w:r w:rsidRPr="00504D41">
        <w:rPr>
          <w:i/>
          <w:iCs/>
          <w:noProof/>
          <w:szCs w:val="24"/>
        </w:rPr>
        <w:t>Heliyon</w:t>
      </w:r>
      <w:r w:rsidRPr="00504D41">
        <w:rPr>
          <w:noProof/>
          <w:szCs w:val="24"/>
        </w:rPr>
        <w:t xml:space="preserve">, 2020, </w:t>
      </w:r>
      <w:r w:rsidRPr="00504D41">
        <w:rPr>
          <w:b/>
          <w:bCs/>
          <w:noProof/>
          <w:szCs w:val="24"/>
        </w:rPr>
        <w:t>6</w:t>
      </w:r>
      <w:r w:rsidRPr="00504D41">
        <w:rPr>
          <w:noProof/>
          <w:szCs w:val="24"/>
        </w:rPr>
        <w:t>, e03765.</w:t>
      </w:r>
    </w:p>
    <w:p w14:paraId="050A90F1"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132</w:t>
      </w:r>
      <w:r w:rsidRPr="00504D41">
        <w:rPr>
          <w:noProof/>
          <w:szCs w:val="24"/>
        </w:rPr>
        <w:tab/>
        <w:t xml:space="preserve">S. Zhu, L. Gong, Y. Li, H. Xu, Z. Gu and Y. Zhao, </w:t>
      </w:r>
      <w:r w:rsidRPr="00504D41">
        <w:rPr>
          <w:i/>
          <w:iCs/>
          <w:noProof/>
          <w:szCs w:val="24"/>
        </w:rPr>
        <w:t>Adv. Sci.</w:t>
      </w:r>
      <w:r w:rsidRPr="00504D41">
        <w:rPr>
          <w:noProof/>
          <w:szCs w:val="24"/>
        </w:rPr>
        <w:t xml:space="preserve">, 2019, </w:t>
      </w:r>
      <w:r w:rsidRPr="00504D41">
        <w:rPr>
          <w:b/>
          <w:bCs/>
          <w:noProof/>
          <w:szCs w:val="24"/>
        </w:rPr>
        <w:t>6</w:t>
      </w:r>
      <w:r w:rsidRPr="00504D41">
        <w:rPr>
          <w:noProof/>
          <w:szCs w:val="24"/>
        </w:rPr>
        <w:t>, 1802289.</w:t>
      </w:r>
    </w:p>
    <w:p w14:paraId="0167309E"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133</w:t>
      </w:r>
      <w:r w:rsidRPr="00504D41">
        <w:rPr>
          <w:noProof/>
          <w:szCs w:val="24"/>
        </w:rPr>
        <w:tab/>
        <w:t xml:space="preserve">H. Duan, D. Wang and Y. Li, </w:t>
      </w:r>
      <w:r w:rsidRPr="00504D41">
        <w:rPr>
          <w:i/>
          <w:iCs/>
          <w:noProof/>
          <w:szCs w:val="24"/>
        </w:rPr>
        <w:t>Chem. Soc. Rev.</w:t>
      </w:r>
      <w:r w:rsidRPr="00504D41">
        <w:rPr>
          <w:noProof/>
          <w:szCs w:val="24"/>
        </w:rPr>
        <w:t xml:space="preserve">, 2015, </w:t>
      </w:r>
      <w:r w:rsidRPr="00504D41">
        <w:rPr>
          <w:b/>
          <w:bCs/>
          <w:noProof/>
          <w:szCs w:val="24"/>
        </w:rPr>
        <w:t>44</w:t>
      </w:r>
      <w:r w:rsidRPr="00504D41">
        <w:rPr>
          <w:noProof/>
          <w:szCs w:val="24"/>
        </w:rPr>
        <w:t>, 5778–5792.</w:t>
      </w:r>
    </w:p>
    <w:p w14:paraId="6EC0C050"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134</w:t>
      </w:r>
      <w:r w:rsidRPr="00504D41">
        <w:rPr>
          <w:noProof/>
          <w:szCs w:val="24"/>
        </w:rPr>
        <w:tab/>
        <w:t>US Pat., 20040077498A1, 2003.</w:t>
      </w:r>
    </w:p>
    <w:p w14:paraId="739EAFA0"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135</w:t>
      </w:r>
      <w:r w:rsidRPr="00504D41">
        <w:rPr>
          <w:noProof/>
          <w:szCs w:val="24"/>
        </w:rPr>
        <w:tab/>
        <w:t xml:space="preserve">J. G. Halter, W. D. Chen, N. Hild, C. A. Mora, P. R. Stoessel, F. M. Koehler, R. N. Grass and W. J. Stark, </w:t>
      </w:r>
      <w:r w:rsidRPr="00504D41">
        <w:rPr>
          <w:i/>
          <w:iCs/>
          <w:noProof/>
          <w:szCs w:val="24"/>
        </w:rPr>
        <w:t>J. Mater. Chem. A</w:t>
      </w:r>
      <w:r w:rsidRPr="00504D41">
        <w:rPr>
          <w:noProof/>
          <w:szCs w:val="24"/>
        </w:rPr>
        <w:t xml:space="preserve">, 2014, </w:t>
      </w:r>
      <w:r w:rsidRPr="00504D41">
        <w:rPr>
          <w:b/>
          <w:bCs/>
          <w:noProof/>
          <w:szCs w:val="24"/>
        </w:rPr>
        <w:t>2</w:t>
      </w:r>
      <w:r w:rsidRPr="00504D41">
        <w:rPr>
          <w:noProof/>
          <w:szCs w:val="24"/>
        </w:rPr>
        <w:t>, 853–858.</w:t>
      </w:r>
    </w:p>
    <w:p w14:paraId="29C48E87"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136</w:t>
      </w:r>
      <w:r w:rsidRPr="00504D41">
        <w:rPr>
          <w:noProof/>
          <w:szCs w:val="24"/>
        </w:rPr>
        <w:tab/>
        <w:t xml:space="preserve">C. A. Mora, J. G. Halter, C. Adler, A. Hund, H. Anders, K. Yu and W. J. Stark, </w:t>
      </w:r>
      <w:r w:rsidRPr="00504D41">
        <w:rPr>
          <w:i/>
          <w:iCs/>
          <w:noProof/>
          <w:szCs w:val="24"/>
        </w:rPr>
        <w:t>J. Agric. Food Chem.</w:t>
      </w:r>
      <w:r w:rsidRPr="00504D41">
        <w:rPr>
          <w:noProof/>
          <w:szCs w:val="24"/>
        </w:rPr>
        <w:t xml:space="preserve">, 2016, </w:t>
      </w:r>
      <w:r w:rsidRPr="00504D41">
        <w:rPr>
          <w:b/>
          <w:bCs/>
          <w:noProof/>
          <w:szCs w:val="24"/>
        </w:rPr>
        <w:t>64</w:t>
      </w:r>
      <w:r w:rsidRPr="00504D41">
        <w:rPr>
          <w:noProof/>
          <w:szCs w:val="24"/>
        </w:rPr>
        <w:t>, 3501–3507.</w:t>
      </w:r>
    </w:p>
    <w:p w14:paraId="749C9F31"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137</w:t>
      </w:r>
      <w:r w:rsidRPr="00504D41">
        <w:rPr>
          <w:noProof/>
          <w:szCs w:val="24"/>
        </w:rPr>
        <w:tab/>
        <w:t>B. D. Lawrence, ed. S. C. B. T.-S. B. for T. E. and R. M. Kundu, Woodhead Publishing, 2014, pp. 78–99.</w:t>
      </w:r>
    </w:p>
    <w:p w14:paraId="379405F3"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138</w:t>
      </w:r>
      <w:r w:rsidRPr="00504D41">
        <w:rPr>
          <w:noProof/>
          <w:szCs w:val="24"/>
        </w:rPr>
        <w:tab/>
        <w:t>EPA, Substance Registry Services (SRS) Polyvinyl alcohol, https://sor.epa.gov/sor_internet/registry/substreg/searchandretrieve/advancedsearch/externalSearch.do?p_type=CASNO&amp;p_value=9002-89-5#, (accessed 21 June 2022).</w:t>
      </w:r>
    </w:p>
    <w:p w14:paraId="44B50B87"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139</w:t>
      </w:r>
      <w:r w:rsidRPr="00504D41">
        <w:rPr>
          <w:noProof/>
          <w:szCs w:val="24"/>
        </w:rPr>
        <w:tab/>
        <w:t xml:space="preserve">C. Kalinke, P. R. de Oliveira, J. A. Bonacin, B. C. Janegitz, A. S. Mangrich, L. H. Marcolino-Junior and M. F. Bergamini, </w:t>
      </w:r>
      <w:r w:rsidRPr="00504D41">
        <w:rPr>
          <w:i/>
          <w:iCs/>
          <w:noProof/>
          <w:szCs w:val="24"/>
        </w:rPr>
        <w:t>Green Chem.</w:t>
      </w:r>
      <w:r w:rsidRPr="00504D41">
        <w:rPr>
          <w:noProof/>
          <w:szCs w:val="24"/>
        </w:rPr>
        <w:t xml:space="preserve">, 2021, </w:t>
      </w:r>
      <w:r w:rsidRPr="00504D41">
        <w:rPr>
          <w:b/>
          <w:bCs/>
          <w:noProof/>
          <w:szCs w:val="24"/>
        </w:rPr>
        <w:t>23</w:t>
      </w:r>
      <w:r w:rsidRPr="00504D41">
        <w:rPr>
          <w:noProof/>
          <w:szCs w:val="24"/>
        </w:rPr>
        <w:t>, 5272–5301.</w:t>
      </w:r>
    </w:p>
    <w:p w14:paraId="7088021F"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140</w:t>
      </w:r>
      <w:r w:rsidRPr="00504D41">
        <w:rPr>
          <w:noProof/>
          <w:szCs w:val="24"/>
        </w:rPr>
        <w:tab/>
        <w:t xml:space="preserve">A. Khan, N. Savidov, J. Zhang, J. Yang, T. Anderson, D. Harfield and A. O. Anyia, in </w:t>
      </w:r>
      <w:r w:rsidRPr="00504D41">
        <w:rPr>
          <w:i/>
          <w:iCs/>
          <w:noProof/>
          <w:szCs w:val="24"/>
        </w:rPr>
        <w:t>Biochar : Production, Characterization, and Applications</w:t>
      </w:r>
      <w:r w:rsidRPr="00504D41">
        <w:rPr>
          <w:noProof/>
          <w:szCs w:val="24"/>
        </w:rPr>
        <w:t xml:space="preserve">, eds. Y. S. Ok, S. M. Uchimiya, </w:t>
      </w:r>
      <w:r w:rsidRPr="00504D41">
        <w:rPr>
          <w:noProof/>
          <w:szCs w:val="24"/>
        </w:rPr>
        <w:lastRenderedPageBreak/>
        <w:t>S. X. Chang and N. Bolan, CRC Press, Taylor &amp; Francis Group, Boca Raton, Florida, USA, 2015, pp. 274–291.</w:t>
      </w:r>
    </w:p>
    <w:p w14:paraId="2CC6556D"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141</w:t>
      </w:r>
      <w:r w:rsidRPr="00504D41">
        <w:rPr>
          <w:noProof/>
          <w:szCs w:val="24"/>
        </w:rPr>
        <w:tab/>
        <w:t>T. K. Ralebitso-Senior and C. H. Orr, eds. T. K. Ralebitso-Senior and C. B. T.-B. A. H. Orr, Elsevier, 2016, pp. 1–40.</w:t>
      </w:r>
    </w:p>
    <w:p w14:paraId="4FC7FB4E"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142</w:t>
      </w:r>
      <w:r w:rsidRPr="00504D41">
        <w:rPr>
          <w:noProof/>
          <w:szCs w:val="24"/>
        </w:rPr>
        <w:tab/>
        <w:t xml:space="preserve">M. Genovese, J. Jiang, K. Lian and N. Holm, </w:t>
      </w:r>
      <w:r w:rsidRPr="00504D41">
        <w:rPr>
          <w:i/>
          <w:iCs/>
          <w:noProof/>
          <w:szCs w:val="24"/>
        </w:rPr>
        <w:t>J. Mater. Chem. A</w:t>
      </w:r>
      <w:r w:rsidRPr="00504D41">
        <w:rPr>
          <w:noProof/>
          <w:szCs w:val="24"/>
        </w:rPr>
        <w:t xml:space="preserve">, 2015, </w:t>
      </w:r>
      <w:r w:rsidRPr="00504D41">
        <w:rPr>
          <w:b/>
          <w:bCs/>
          <w:noProof/>
          <w:szCs w:val="24"/>
        </w:rPr>
        <w:t>3</w:t>
      </w:r>
      <w:r w:rsidRPr="00504D41">
        <w:rPr>
          <w:noProof/>
          <w:szCs w:val="24"/>
        </w:rPr>
        <w:t>, 2903–2913.</w:t>
      </w:r>
    </w:p>
    <w:p w14:paraId="4600CED4"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143</w:t>
      </w:r>
      <w:r w:rsidRPr="00504D41">
        <w:rPr>
          <w:noProof/>
          <w:szCs w:val="24"/>
        </w:rPr>
        <w:tab/>
        <w:t xml:space="preserve">S. K. Das, G. K. Ghosh and R. Avasthe, </w:t>
      </w:r>
      <w:r w:rsidRPr="00504D41">
        <w:rPr>
          <w:i/>
          <w:iCs/>
          <w:noProof/>
          <w:szCs w:val="24"/>
        </w:rPr>
        <w:t>Environ. Technol. Innov.</w:t>
      </w:r>
      <w:r w:rsidRPr="00504D41">
        <w:rPr>
          <w:noProof/>
          <w:szCs w:val="24"/>
        </w:rPr>
        <w:t xml:space="preserve">, 2020, </w:t>
      </w:r>
      <w:r w:rsidRPr="00504D41">
        <w:rPr>
          <w:b/>
          <w:bCs/>
          <w:noProof/>
          <w:szCs w:val="24"/>
        </w:rPr>
        <w:t>20</w:t>
      </w:r>
      <w:r w:rsidRPr="00504D41">
        <w:rPr>
          <w:noProof/>
          <w:szCs w:val="24"/>
        </w:rPr>
        <w:t>, 101074.</w:t>
      </w:r>
    </w:p>
    <w:p w14:paraId="280B7FA5"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144</w:t>
      </w:r>
      <w:r w:rsidRPr="00504D41">
        <w:rPr>
          <w:noProof/>
          <w:szCs w:val="24"/>
        </w:rPr>
        <w:tab/>
        <w:t>US Pat., 10550044B2, 2016.</w:t>
      </w:r>
    </w:p>
    <w:p w14:paraId="5C2CB49B"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145</w:t>
      </w:r>
      <w:r w:rsidRPr="00504D41">
        <w:rPr>
          <w:noProof/>
          <w:szCs w:val="24"/>
        </w:rPr>
        <w:tab/>
        <w:t xml:space="preserve">M. I. Williams, R. K. Dumroese, D. S. Page-Dumroese and S. P. Hardegree, </w:t>
      </w:r>
      <w:r w:rsidRPr="00504D41">
        <w:rPr>
          <w:i/>
          <w:iCs/>
          <w:noProof/>
          <w:szCs w:val="24"/>
        </w:rPr>
        <w:t>J. Arid Environ.</w:t>
      </w:r>
      <w:r w:rsidRPr="00504D41">
        <w:rPr>
          <w:noProof/>
          <w:szCs w:val="24"/>
        </w:rPr>
        <w:t xml:space="preserve">, 2016, </w:t>
      </w:r>
      <w:r w:rsidRPr="00504D41">
        <w:rPr>
          <w:b/>
          <w:bCs/>
          <w:noProof/>
          <w:szCs w:val="24"/>
        </w:rPr>
        <w:t>125</w:t>
      </w:r>
      <w:r w:rsidRPr="00504D41">
        <w:rPr>
          <w:noProof/>
          <w:szCs w:val="24"/>
        </w:rPr>
        <w:t>, 8–15.</w:t>
      </w:r>
    </w:p>
    <w:p w14:paraId="3A198C14"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146</w:t>
      </w:r>
      <w:r w:rsidRPr="00504D41">
        <w:rPr>
          <w:noProof/>
          <w:szCs w:val="24"/>
        </w:rPr>
        <w:tab/>
        <w:t xml:space="preserve">J. Matuštík, T. Hnátková and V. Kočí, </w:t>
      </w:r>
      <w:r w:rsidRPr="00504D41">
        <w:rPr>
          <w:i/>
          <w:iCs/>
          <w:noProof/>
          <w:szCs w:val="24"/>
        </w:rPr>
        <w:t>J. Clean. Prod.</w:t>
      </w:r>
      <w:r w:rsidRPr="00504D41">
        <w:rPr>
          <w:noProof/>
          <w:szCs w:val="24"/>
        </w:rPr>
        <w:t xml:space="preserve">, 2020, </w:t>
      </w:r>
      <w:r w:rsidRPr="00504D41">
        <w:rPr>
          <w:b/>
          <w:bCs/>
          <w:noProof/>
          <w:szCs w:val="24"/>
        </w:rPr>
        <w:t>259</w:t>
      </w:r>
      <w:r w:rsidRPr="00504D41">
        <w:rPr>
          <w:noProof/>
          <w:szCs w:val="24"/>
        </w:rPr>
        <w:t>, 120998.</w:t>
      </w:r>
    </w:p>
    <w:p w14:paraId="011FB914"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147</w:t>
      </w:r>
      <w:r w:rsidRPr="00504D41">
        <w:rPr>
          <w:noProof/>
          <w:szCs w:val="24"/>
        </w:rPr>
        <w:tab/>
        <w:t xml:space="preserve">A. Tisserant and F. Cherubini, </w:t>
      </w:r>
      <w:r w:rsidRPr="00504D41">
        <w:rPr>
          <w:i/>
          <w:iCs/>
          <w:noProof/>
          <w:szCs w:val="24"/>
        </w:rPr>
        <w:t xml:space="preserve">L. </w:t>
      </w:r>
      <w:r w:rsidRPr="00504D41">
        <w:rPr>
          <w:noProof/>
          <w:szCs w:val="24"/>
        </w:rPr>
        <w:t>, 2019, 8.</w:t>
      </w:r>
    </w:p>
    <w:p w14:paraId="390BF7A0"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148</w:t>
      </w:r>
      <w:r w:rsidRPr="00504D41">
        <w:rPr>
          <w:noProof/>
          <w:szCs w:val="24"/>
        </w:rPr>
        <w:tab/>
        <w:t xml:space="preserve">K. Zhang, Y. Wang, J. Mao and B. Chen, </w:t>
      </w:r>
      <w:r w:rsidRPr="00504D41">
        <w:rPr>
          <w:i/>
          <w:iCs/>
          <w:noProof/>
          <w:szCs w:val="24"/>
        </w:rPr>
        <w:t>Environ. Pollut.</w:t>
      </w:r>
      <w:r w:rsidRPr="00504D41">
        <w:rPr>
          <w:noProof/>
          <w:szCs w:val="24"/>
        </w:rPr>
        <w:t xml:space="preserve">, 2020, </w:t>
      </w:r>
      <w:r w:rsidRPr="00504D41">
        <w:rPr>
          <w:b/>
          <w:bCs/>
          <w:noProof/>
          <w:szCs w:val="24"/>
        </w:rPr>
        <w:t>256</w:t>
      </w:r>
      <w:r w:rsidRPr="00504D41">
        <w:rPr>
          <w:noProof/>
          <w:szCs w:val="24"/>
        </w:rPr>
        <w:t>, 113409.</w:t>
      </w:r>
    </w:p>
    <w:p w14:paraId="1B279A48"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149</w:t>
      </w:r>
      <w:r w:rsidRPr="00504D41">
        <w:rPr>
          <w:noProof/>
          <w:szCs w:val="24"/>
        </w:rPr>
        <w:tab/>
        <w:t xml:space="preserve">Y. Ding, Y. Liu, S. Liu, Z. Li, X. Tan, X. Huang, G. Zeng, L. Zhou and B. Zheng, </w:t>
      </w:r>
      <w:r w:rsidRPr="00504D41">
        <w:rPr>
          <w:i/>
          <w:iCs/>
          <w:noProof/>
          <w:szCs w:val="24"/>
        </w:rPr>
        <w:t>Agron. Sustain. Dev.</w:t>
      </w:r>
      <w:r w:rsidRPr="00504D41">
        <w:rPr>
          <w:noProof/>
          <w:szCs w:val="24"/>
        </w:rPr>
        <w:t xml:space="preserve">, 2016, </w:t>
      </w:r>
      <w:r w:rsidRPr="00504D41">
        <w:rPr>
          <w:b/>
          <w:bCs/>
          <w:noProof/>
          <w:szCs w:val="24"/>
        </w:rPr>
        <w:t>36</w:t>
      </w:r>
      <w:r w:rsidRPr="00504D41">
        <w:rPr>
          <w:noProof/>
          <w:szCs w:val="24"/>
        </w:rPr>
        <w:t>, 36.</w:t>
      </w:r>
    </w:p>
    <w:p w14:paraId="59568356"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150</w:t>
      </w:r>
      <w:r w:rsidRPr="00504D41">
        <w:rPr>
          <w:noProof/>
          <w:szCs w:val="24"/>
        </w:rPr>
        <w:tab/>
        <w:t xml:space="preserve">T. Pirzada, R. Mathew, R. H. Guenther, T. L. Sit, C. H. Opperman, L. Pal and S. A. Khan, </w:t>
      </w:r>
      <w:r w:rsidRPr="00504D41">
        <w:rPr>
          <w:i/>
          <w:iCs/>
          <w:noProof/>
          <w:szCs w:val="24"/>
        </w:rPr>
        <w:t>ACS Sustain. Chem. Eng.</w:t>
      </w:r>
      <w:r w:rsidRPr="00504D41">
        <w:rPr>
          <w:noProof/>
          <w:szCs w:val="24"/>
        </w:rPr>
        <w:t xml:space="preserve">, 2020, </w:t>
      </w:r>
      <w:r w:rsidRPr="00504D41">
        <w:rPr>
          <w:b/>
          <w:bCs/>
          <w:noProof/>
          <w:szCs w:val="24"/>
        </w:rPr>
        <w:t>8</w:t>
      </w:r>
      <w:r w:rsidRPr="00504D41">
        <w:rPr>
          <w:noProof/>
          <w:szCs w:val="24"/>
        </w:rPr>
        <w:t>, 6590–6600.</w:t>
      </w:r>
    </w:p>
    <w:p w14:paraId="66F96982"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151</w:t>
      </w:r>
      <w:r w:rsidRPr="00504D41">
        <w:rPr>
          <w:noProof/>
          <w:szCs w:val="24"/>
        </w:rPr>
        <w:tab/>
        <w:t xml:space="preserve">K. Liu, H. Du, T. Zheng, W. Liu, M. Zhang, H. Liu, X. Zhang and C. Si, </w:t>
      </w:r>
      <w:r w:rsidRPr="00504D41">
        <w:rPr>
          <w:i/>
          <w:iCs/>
          <w:noProof/>
          <w:szCs w:val="24"/>
        </w:rPr>
        <w:t>Green Chem.</w:t>
      </w:r>
      <w:r w:rsidRPr="00504D41">
        <w:rPr>
          <w:noProof/>
          <w:szCs w:val="24"/>
        </w:rPr>
        <w:t>, , DOI:10.1039/D1GC02841C.</w:t>
      </w:r>
    </w:p>
    <w:p w14:paraId="09519651"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152</w:t>
      </w:r>
      <w:r w:rsidRPr="00504D41">
        <w:rPr>
          <w:noProof/>
          <w:szCs w:val="24"/>
        </w:rPr>
        <w:tab/>
        <w:t xml:space="preserve">Q. Xia, C. Chen, Y. Yao, J. Li, S. He, Y. Zhou, T. Li, X. Pan, Y. Yao and L. Hu, </w:t>
      </w:r>
      <w:r w:rsidRPr="00504D41">
        <w:rPr>
          <w:i/>
          <w:iCs/>
          <w:noProof/>
          <w:szCs w:val="24"/>
        </w:rPr>
        <w:t>Nat. Sustain.</w:t>
      </w:r>
      <w:r w:rsidRPr="00504D41">
        <w:rPr>
          <w:noProof/>
          <w:szCs w:val="24"/>
        </w:rPr>
        <w:t>, , DOI:https://doi.org/10.1038/s41893-021-00702-w.</w:t>
      </w:r>
    </w:p>
    <w:p w14:paraId="1A005F18"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153</w:t>
      </w:r>
      <w:r w:rsidRPr="00504D41">
        <w:rPr>
          <w:noProof/>
          <w:szCs w:val="24"/>
        </w:rPr>
        <w:tab/>
        <w:t xml:space="preserve">M. Bilal, M. Asgher, H. M. N. Iqbal, H. Hu and X. Zhang, </w:t>
      </w:r>
      <w:r w:rsidRPr="00504D41">
        <w:rPr>
          <w:i/>
          <w:iCs/>
          <w:noProof/>
          <w:szCs w:val="24"/>
        </w:rPr>
        <w:t>Int. J. Biol. Macromol.</w:t>
      </w:r>
      <w:r w:rsidRPr="00504D41">
        <w:rPr>
          <w:noProof/>
          <w:szCs w:val="24"/>
        </w:rPr>
        <w:t xml:space="preserve">, 2017, </w:t>
      </w:r>
      <w:r w:rsidRPr="00504D41">
        <w:rPr>
          <w:b/>
          <w:bCs/>
          <w:noProof/>
          <w:szCs w:val="24"/>
        </w:rPr>
        <w:t>98</w:t>
      </w:r>
      <w:r w:rsidRPr="00504D41">
        <w:rPr>
          <w:noProof/>
          <w:szCs w:val="24"/>
        </w:rPr>
        <w:t>, 447–458.</w:t>
      </w:r>
    </w:p>
    <w:p w14:paraId="1B4CE201"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154</w:t>
      </w:r>
      <w:r w:rsidRPr="00504D41">
        <w:rPr>
          <w:noProof/>
          <w:szCs w:val="24"/>
        </w:rPr>
        <w:tab/>
        <w:t xml:space="preserve">R. A. Sheldon, </w:t>
      </w:r>
      <w:r w:rsidRPr="00504D41">
        <w:rPr>
          <w:i/>
          <w:iCs/>
          <w:noProof/>
          <w:szCs w:val="24"/>
        </w:rPr>
        <w:t>Green Chem.</w:t>
      </w:r>
      <w:r w:rsidRPr="00504D41">
        <w:rPr>
          <w:noProof/>
          <w:szCs w:val="24"/>
        </w:rPr>
        <w:t xml:space="preserve">, 2014, </w:t>
      </w:r>
      <w:r w:rsidRPr="00504D41">
        <w:rPr>
          <w:b/>
          <w:bCs/>
          <w:noProof/>
          <w:szCs w:val="24"/>
        </w:rPr>
        <w:t>16</w:t>
      </w:r>
      <w:r w:rsidRPr="00504D41">
        <w:rPr>
          <w:noProof/>
          <w:szCs w:val="24"/>
        </w:rPr>
        <w:t>, 950–963.</w:t>
      </w:r>
    </w:p>
    <w:p w14:paraId="6F87025F"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155</w:t>
      </w:r>
      <w:r w:rsidRPr="00504D41">
        <w:rPr>
          <w:noProof/>
          <w:szCs w:val="24"/>
        </w:rPr>
        <w:tab/>
        <w:t xml:space="preserve">K. Bello, B. K. Sarojini, B. Narayana, A. Rao and K. Byrappa, </w:t>
      </w:r>
      <w:r w:rsidRPr="00504D41">
        <w:rPr>
          <w:i/>
          <w:iCs/>
          <w:noProof/>
          <w:szCs w:val="24"/>
        </w:rPr>
        <w:t>Carbohydr. Polym.</w:t>
      </w:r>
      <w:r w:rsidRPr="00504D41">
        <w:rPr>
          <w:noProof/>
          <w:szCs w:val="24"/>
        </w:rPr>
        <w:t xml:space="preserve">, 2018, </w:t>
      </w:r>
      <w:r w:rsidRPr="00504D41">
        <w:rPr>
          <w:b/>
          <w:bCs/>
          <w:noProof/>
          <w:szCs w:val="24"/>
        </w:rPr>
        <w:t>181</w:t>
      </w:r>
      <w:r w:rsidRPr="00504D41">
        <w:rPr>
          <w:noProof/>
          <w:szCs w:val="24"/>
        </w:rPr>
        <w:t>, 605–615.</w:t>
      </w:r>
    </w:p>
    <w:p w14:paraId="2972F7B1"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156</w:t>
      </w:r>
      <w:r w:rsidRPr="00504D41">
        <w:rPr>
          <w:noProof/>
          <w:szCs w:val="24"/>
        </w:rPr>
        <w:tab/>
        <w:t xml:space="preserve">B. D. Mattos, B. L. Tardy, W. L. E. Magalhães and O. J. Rojas, </w:t>
      </w:r>
      <w:r w:rsidRPr="00504D41">
        <w:rPr>
          <w:i/>
          <w:iCs/>
          <w:noProof/>
          <w:szCs w:val="24"/>
        </w:rPr>
        <w:t>J. Control. Release</w:t>
      </w:r>
      <w:r w:rsidRPr="00504D41">
        <w:rPr>
          <w:noProof/>
          <w:szCs w:val="24"/>
        </w:rPr>
        <w:t xml:space="preserve">, 2017, </w:t>
      </w:r>
      <w:r w:rsidRPr="00504D41">
        <w:rPr>
          <w:b/>
          <w:bCs/>
          <w:noProof/>
          <w:szCs w:val="24"/>
        </w:rPr>
        <w:t>262</w:t>
      </w:r>
      <w:r w:rsidRPr="00504D41">
        <w:rPr>
          <w:noProof/>
          <w:szCs w:val="24"/>
        </w:rPr>
        <w:t>, 139–150.</w:t>
      </w:r>
    </w:p>
    <w:p w14:paraId="3A94FA79"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157</w:t>
      </w:r>
      <w:r w:rsidRPr="00504D41">
        <w:rPr>
          <w:noProof/>
          <w:szCs w:val="24"/>
        </w:rPr>
        <w:tab/>
        <w:t xml:space="preserve">J. Cao, R. H. Guenther, T. L. Sit, S. A. Lommel, C. H. Opperman and J. A. Willoughby, </w:t>
      </w:r>
      <w:r w:rsidRPr="00504D41">
        <w:rPr>
          <w:i/>
          <w:iCs/>
          <w:noProof/>
          <w:szCs w:val="24"/>
        </w:rPr>
        <w:t>Cellulose</w:t>
      </w:r>
      <w:r w:rsidRPr="00504D41">
        <w:rPr>
          <w:noProof/>
          <w:szCs w:val="24"/>
        </w:rPr>
        <w:t xml:space="preserve">, 2016, </w:t>
      </w:r>
      <w:r w:rsidRPr="00504D41">
        <w:rPr>
          <w:b/>
          <w:bCs/>
          <w:noProof/>
          <w:szCs w:val="24"/>
        </w:rPr>
        <w:t>23</w:t>
      </w:r>
      <w:r w:rsidRPr="00504D41">
        <w:rPr>
          <w:noProof/>
          <w:szCs w:val="24"/>
        </w:rPr>
        <w:t>, 673–687.</w:t>
      </w:r>
    </w:p>
    <w:p w14:paraId="0059BE24"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158</w:t>
      </w:r>
      <w:r w:rsidRPr="00504D41">
        <w:rPr>
          <w:noProof/>
          <w:szCs w:val="24"/>
        </w:rPr>
        <w:tab/>
        <w:t xml:space="preserve">J. Ochola, L. Cortada, O. Mwaura, M. Tariku, S. A. Christensen, M. Ng’ang’a, A. Hassanali, T. Pirzada, S. Khan, L. Pal, R. Mathew, D. Guenther, E. Davis, T. Sit, D. Coyne, C. Opperman and B. Torto, </w:t>
      </w:r>
      <w:r w:rsidRPr="00504D41">
        <w:rPr>
          <w:i/>
          <w:iCs/>
          <w:noProof/>
          <w:szCs w:val="24"/>
        </w:rPr>
        <w:t>Nat. Sustain.</w:t>
      </w:r>
      <w:r w:rsidRPr="00504D41">
        <w:rPr>
          <w:noProof/>
          <w:szCs w:val="24"/>
        </w:rPr>
        <w:t>, , DOI:10.1038/s41893-022-00852-5.</w:t>
      </w:r>
    </w:p>
    <w:p w14:paraId="0DE017D0"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159</w:t>
      </w:r>
      <w:r w:rsidRPr="00504D41">
        <w:rPr>
          <w:noProof/>
          <w:szCs w:val="24"/>
        </w:rPr>
        <w:tab/>
        <w:t xml:space="preserve">H. Dedehouanou, </w:t>
      </w:r>
      <w:r w:rsidRPr="00504D41">
        <w:rPr>
          <w:i/>
          <w:iCs/>
          <w:noProof/>
          <w:szCs w:val="24"/>
        </w:rPr>
        <w:t>Adv. Soc. Sci. Res. J.</w:t>
      </w:r>
      <w:r w:rsidRPr="00504D41">
        <w:rPr>
          <w:noProof/>
          <w:szCs w:val="24"/>
        </w:rPr>
        <w:t xml:space="preserve">, 2022, </w:t>
      </w:r>
      <w:r w:rsidRPr="00504D41">
        <w:rPr>
          <w:b/>
          <w:bCs/>
          <w:noProof/>
          <w:szCs w:val="24"/>
        </w:rPr>
        <w:t>9</w:t>
      </w:r>
      <w:r w:rsidRPr="00504D41">
        <w:rPr>
          <w:noProof/>
          <w:szCs w:val="24"/>
        </w:rPr>
        <w:t>, 39–59.</w:t>
      </w:r>
    </w:p>
    <w:p w14:paraId="68FE4AE5"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160</w:t>
      </w:r>
      <w:r w:rsidRPr="00504D41">
        <w:rPr>
          <w:noProof/>
          <w:szCs w:val="24"/>
        </w:rPr>
        <w:tab/>
        <w:t xml:space="preserve">H. Dedehouanou and A. Affokpon, </w:t>
      </w:r>
      <w:r w:rsidRPr="00504D41">
        <w:rPr>
          <w:i/>
          <w:iCs/>
          <w:noProof/>
          <w:szCs w:val="24"/>
        </w:rPr>
        <w:t>Adv. Soc. Sci. Res. J.</w:t>
      </w:r>
      <w:r w:rsidRPr="00504D41">
        <w:rPr>
          <w:noProof/>
          <w:szCs w:val="24"/>
        </w:rPr>
        <w:t xml:space="preserve">, 2022, </w:t>
      </w:r>
      <w:r w:rsidRPr="00504D41">
        <w:rPr>
          <w:b/>
          <w:bCs/>
          <w:noProof/>
          <w:szCs w:val="24"/>
        </w:rPr>
        <w:t>9</w:t>
      </w:r>
      <w:r w:rsidRPr="00504D41">
        <w:rPr>
          <w:noProof/>
          <w:szCs w:val="24"/>
        </w:rPr>
        <w:t>, 355–368.</w:t>
      </w:r>
    </w:p>
    <w:p w14:paraId="7E8C3492"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lastRenderedPageBreak/>
        <w:t>161</w:t>
      </w:r>
      <w:r w:rsidRPr="00504D41">
        <w:rPr>
          <w:noProof/>
          <w:szCs w:val="24"/>
        </w:rPr>
        <w:tab/>
        <w:t xml:space="preserve">G. Colla, S. Nardi, M. Cardarelli, A. Ertani, L. Lucini, R. Canaguier and Y. Rouphael, </w:t>
      </w:r>
      <w:r w:rsidRPr="00504D41">
        <w:rPr>
          <w:i/>
          <w:iCs/>
          <w:noProof/>
          <w:szCs w:val="24"/>
        </w:rPr>
        <w:t>Sci. Hortic. (Amsterdam).</w:t>
      </w:r>
      <w:r w:rsidRPr="00504D41">
        <w:rPr>
          <w:noProof/>
          <w:szCs w:val="24"/>
        </w:rPr>
        <w:t xml:space="preserve">, 2015, </w:t>
      </w:r>
      <w:r w:rsidRPr="00504D41">
        <w:rPr>
          <w:b/>
          <w:bCs/>
          <w:noProof/>
          <w:szCs w:val="24"/>
        </w:rPr>
        <w:t>196</w:t>
      </w:r>
      <w:r w:rsidRPr="00504D41">
        <w:rPr>
          <w:noProof/>
          <w:szCs w:val="24"/>
        </w:rPr>
        <w:t>, 28–38.</w:t>
      </w:r>
    </w:p>
    <w:p w14:paraId="63C9C158"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162</w:t>
      </w:r>
      <w:r w:rsidRPr="00504D41">
        <w:rPr>
          <w:noProof/>
          <w:szCs w:val="24"/>
        </w:rPr>
        <w:tab/>
        <w:t xml:space="preserve">S. Celletti, S. Astolfi, N. Guglielmo, G. Colla, S. Cesco and T. Mimmo, </w:t>
      </w:r>
      <w:r w:rsidRPr="00504D41">
        <w:rPr>
          <w:i/>
          <w:iCs/>
          <w:noProof/>
          <w:szCs w:val="24"/>
        </w:rPr>
        <w:t xml:space="preserve">Agron. </w:t>
      </w:r>
      <w:r w:rsidRPr="00504D41">
        <w:rPr>
          <w:noProof/>
          <w:szCs w:val="24"/>
        </w:rPr>
        <w:t>, 2020, 10.</w:t>
      </w:r>
    </w:p>
    <w:p w14:paraId="4E0B33FF"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163</w:t>
      </w:r>
      <w:r w:rsidRPr="00504D41">
        <w:rPr>
          <w:noProof/>
          <w:szCs w:val="24"/>
        </w:rPr>
        <w:tab/>
        <w:t xml:space="preserve">A. Osman, A.-R. M. Merwad, A. H. Mohamed and M. Sitohy, </w:t>
      </w:r>
      <w:r w:rsidRPr="00504D41">
        <w:rPr>
          <w:i/>
          <w:iCs/>
          <w:noProof/>
          <w:szCs w:val="24"/>
        </w:rPr>
        <w:t xml:space="preserve">Mol. </w:t>
      </w:r>
      <w:r w:rsidRPr="00504D41">
        <w:rPr>
          <w:noProof/>
          <w:szCs w:val="24"/>
        </w:rPr>
        <w:t>, 2021, 26.</w:t>
      </w:r>
    </w:p>
    <w:p w14:paraId="1ED68E1D"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164</w:t>
      </w:r>
      <w:r w:rsidRPr="00504D41">
        <w:rPr>
          <w:noProof/>
          <w:szCs w:val="24"/>
        </w:rPr>
        <w:tab/>
        <w:t xml:space="preserve">M. Amirkhani, A. N. Netravali, W. Huang and A. G. Taylor, </w:t>
      </w:r>
      <w:r w:rsidRPr="00504D41">
        <w:rPr>
          <w:i/>
          <w:iCs/>
          <w:noProof/>
          <w:szCs w:val="24"/>
        </w:rPr>
        <w:t>HortScience</w:t>
      </w:r>
      <w:r w:rsidRPr="00504D41">
        <w:rPr>
          <w:noProof/>
          <w:szCs w:val="24"/>
        </w:rPr>
        <w:t xml:space="preserve">, 2016, </w:t>
      </w:r>
      <w:r w:rsidRPr="00504D41">
        <w:rPr>
          <w:b/>
          <w:bCs/>
          <w:noProof/>
          <w:szCs w:val="24"/>
        </w:rPr>
        <w:t>51</w:t>
      </w:r>
      <w:r w:rsidRPr="00504D41">
        <w:rPr>
          <w:noProof/>
          <w:szCs w:val="24"/>
        </w:rPr>
        <w:t>, 1121–1126.</w:t>
      </w:r>
    </w:p>
    <w:p w14:paraId="2816A529"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165</w:t>
      </w:r>
      <w:r w:rsidRPr="00504D41">
        <w:rPr>
          <w:noProof/>
          <w:szCs w:val="24"/>
        </w:rPr>
        <w:tab/>
        <w:t>WIPO (PCT) ES2837430T3, 2015.</w:t>
      </w:r>
    </w:p>
    <w:p w14:paraId="07CAD955"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166</w:t>
      </w:r>
      <w:r w:rsidRPr="00504D41">
        <w:rPr>
          <w:noProof/>
          <w:szCs w:val="24"/>
        </w:rPr>
        <w:tab/>
        <w:t xml:space="preserve">H. T. Wilson, K. Xu and A. G. Taylor, </w:t>
      </w:r>
      <w:r w:rsidRPr="00504D41">
        <w:rPr>
          <w:i/>
          <w:iCs/>
          <w:noProof/>
          <w:szCs w:val="24"/>
        </w:rPr>
        <w:t>Sci. World J.</w:t>
      </w:r>
      <w:r w:rsidRPr="00504D41">
        <w:rPr>
          <w:noProof/>
          <w:szCs w:val="24"/>
        </w:rPr>
        <w:t xml:space="preserve">, 2015, </w:t>
      </w:r>
      <w:r w:rsidRPr="00504D41">
        <w:rPr>
          <w:b/>
          <w:bCs/>
          <w:noProof/>
          <w:szCs w:val="24"/>
        </w:rPr>
        <w:t>2015</w:t>
      </w:r>
      <w:r w:rsidRPr="00504D41">
        <w:rPr>
          <w:noProof/>
          <w:szCs w:val="24"/>
        </w:rPr>
        <w:t>, 391234.</w:t>
      </w:r>
    </w:p>
    <w:p w14:paraId="0C0057A4"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167</w:t>
      </w:r>
      <w:r w:rsidRPr="00504D41">
        <w:rPr>
          <w:noProof/>
          <w:szCs w:val="24"/>
        </w:rPr>
        <w:tab/>
        <w:t xml:space="preserve">K. Lawinska, M. Lasoń-Rydel, D. Gendaszewska, E. Grzesiak, K. Sieczyńska, C. Gaidau, D.-G. Epure and A. Obraniak, </w:t>
      </w:r>
      <w:r w:rsidRPr="00504D41">
        <w:rPr>
          <w:i/>
          <w:iCs/>
          <w:noProof/>
          <w:szCs w:val="24"/>
        </w:rPr>
        <w:t>Fibres Text. East. Eur.</w:t>
      </w:r>
      <w:r w:rsidRPr="00504D41">
        <w:rPr>
          <w:noProof/>
          <w:szCs w:val="24"/>
        </w:rPr>
        <w:t xml:space="preserve">, 2019, </w:t>
      </w:r>
      <w:r w:rsidRPr="00504D41">
        <w:rPr>
          <w:b/>
          <w:bCs/>
          <w:noProof/>
          <w:szCs w:val="24"/>
        </w:rPr>
        <w:t>27</w:t>
      </w:r>
      <w:r w:rsidRPr="00504D41">
        <w:rPr>
          <w:noProof/>
          <w:szCs w:val="24"/>
        </w:rPr>
        <w:t>, 59–64.</w:t>
      </w:r>
    </w:p>
    <w:p w14:paraId="042EE62E"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168</w:t>
      </w:r>
      <w:r w:rsidRPr="00504D41">
        <w:rPr>
          <w:noProof/>
          <w:szCs w:val="24"/>
        </w:rPr>
        <w:tab/>
        <w:t xml:space="preserve">A. Colantoni, L. Recchia, G. Bernabei, M. Cardarelli, Y. Rouphael and G. Colla, </w:t>
      </w:r>
      <w:r w:rsidRPr="00504D41">
        <w:rPr>
          <w:i/>
          <w:iCs/>
          <w:noProof/>
          <w:szCs w:val="24"/>
        </w:rPr>
        <w:t xml:space="preserve">Agric. </w:t>
      </w:r>
      <w:r w:rsidRPr="00504D41">
        <w:rPr>
          <w:noProof/>
          <w:szCs w:val="24"/>
        </w:rPr>
        <w:t>, 2017, 7.</w:t>
      </w:r>
    </w:p>
    <w:p w14:paraId="16411DA6"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169</w:t>
      </w:r>
      <w:r w:rsidRPr="00504D41">
        <w:rPr>
          <w:noProof/>
          <w:szCs w:val="24"/>
        </w:rPr>
        <w:tab/>
        <w:t xml:space="preserve">P. de Castro e Silva, L. A. S. Pereira, A. M. T. Lago, M. Valquíria, É. M. de Rezende, G. R. Carvalho, J. E. Oliveira and J. M. Marconcini, </w:t>
      </w:r>
      <w:r w:rsidRPr="00504D41">
        <w:rPr>
          <w:i/>
          <w:iCs/>
          <w:noProof/>
          <w:szCs w:val="24"/>
        </w:rPr>
        <w:t>Food Biophys.</w:t>
      </w:r>
      <w:r w:rsidRPr="00504D41">
        <w:rPr>
          <w:noProof/>
          <w:szCs w:val="24"/>
        </w:rPr>
        <w:t xml:space="preserve">, 2019, </w:t>
      </w:r>
      <w:r w:rsidRPr="00504D41">
        <w:rPr>
          <w:b/>
          <w:bCs/>
          <w:noProof/>
          <w:szCs w:val="24"/>
        </w:rPr>
        <w:t>14</w:t>
      </w:r>
      <w:r w:rsidRPr="00504D41">
        <w:rPr>
          <w:noProof/>
          <w:szCs w:val="24"/>
        </w:rPr>
        <w:t>, 456–466.</w:t>
      </w:r>
    </w:p>
    <w:p w14:paraId="5B1B1FDA"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170</w:t>
      </w:r>
      <w:r w:rsidRPr="00504D41">
        <w:rPr>
          <w:noProof/>
          <w:szCs w:val="24"/>
        </w:rPr>
        <w:tab/>
        <w:t xml:space="preserve">M. Ben-Jabeur, Z. Chamekh, S. Jallouli, S. Ayadi, M. D. Serret, J. L. Araus, Y. Trifa and W. Hamada, </w:t>
      </w:r>
      <w:r w:rsidRPr="00504D41">
        <w:rPr>
          <w:i/>
          <w:iCs/>
          <w:noProof/>
          <w:szCs w:val="24"/>
        </w:rPr>
        <w:t>Ann. Appl. Biol.</w:t>
      </w:r>
      <w:r w:rsidRPr="00504D41">
        <w:rPr>
          <w:noProof/>
          <w:szCs w:val="24"/>
        </w:rPr>
        <w:t>, , DOI:https://doi.org/10.1111/aab.12754.</w:t>
      </w:r>
    </w:p>
    <w:p w14:paraId="3AA1D107"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171</w:t>
      </w:r>
      <w:r w:rsidRPr="00504D41">
        <w:rPr>
          <w:noProof/>
          <w:szCs w:val="24"/>
        </w:rPr>
        <w:tab/>
        <w:t xml:space="preserve">T. D. Alcock, D. E. Salt, P. Wilson and S. J. Ramsden, </w:t>
      </w:r>
      <w:r w:rsidRPr="00504D41">
        <w:rPr>
          <w:i/>
          <w:iCs/>
          <w:noProof/>
          <w:szCs w:val="24"/>
        </w:rPr>
        <w:t>Sci. Total Environ.</w:t>
      </w:r>
      <w:r w:rsidRPr="00504D41">
        <w:rPr>
          <w:noProof/>
          <w:szCs w:val="24"/>
        </w:rPr>
        <w:t xml:space="preserve">, 2022, </w:t>
      </w:r>
      <w:r w:rsidRPr="00504D41">
        <w:rPr>
          <w:b/>
          <w:bCs/>
          <w:noProof/>
          <w:szCs w:val="24"/>
        </w:rPr>
        <w:t>829</w:t>
      </w:r>
      <w:r w:rsidRPr="00504D41">
        <w:rPr>
          <w:noProof/>
          <w:szCs w:val="24"/>
        </w:rPr>
        <w:t>, 154539.</w:t>
      </w:r>
    </w:p>
    <w:p w14:paraId="6CDCC36B"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172</w:t>
      </w:r>
      <w:r w:rsidRPr="00504D41">
        <w:rPr>
          <w:noProof/>
          <w:szCs w:val="24"/>
        </w:rPr>
        <w:tab/>
        <w:t xml:space="preserve">A. Kumar, J. Vachan Tirkey and S. Kumar Shukla, </w:t>
      </w:r>
      <w:r w:rsidRPr="00504D41">
        <w:rPr>
          <w:i/>
          <w:iCs/>
          <w:noProof/>
          <w:szCs w:val="24"/>
        </w:rPr>
        <w:t>Renew. Energy</w:t>
      </w:r>
      <w:r w:rsidRPr="00504D41">
        <w:rPr>
          <w:noProof/>
          <w:szCs w:val="24"/>
        </w:rPr>
        <w:t xml:space="preserve">, 2021, </w:t>
      </w:r>
      <w:r w:rsidRPr="00504D41">
        <w:rPr>
          <w:b/>
          <w:bCs/>
          <w:noProof/>
          <w:szCs w:val="24"/>
        </w:rPr>
        <w:t>169</w:t>
      </w:r>
      <w:r w:rsidRPr="00504D41">
        <w:rPr>
          <w:noProof/>
          <w:szCs w:val="24"/>
        </w:rPr>
        <w:t>, 266–282.</w:t>
      </w:r>
    </w:p>
    <w:p w14:paraId="6C41E3D1"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173</w:t>
      </w:r>
      <w:r w:rsidRPr="00504D41">
        <w:rPr>
          <w:noProof/>
          <w:szCs w:val="24"/>
        </w:rPr>
        <w:tab/>
        <w:t xml:space="preserve">E. De Falco, M. Pergola, A. Vece, C. Angiuoni and G. Celano, </w:t>
      </w:r>
      <w:r w:rsidRPr="00504D41">
        <w:rPr>
          <w:i/>
          <w:iCs/>
          <w:noProof/>
          <w:szCs w:val="24"/>
        </w:rPr>
        <w:t>Ital. J. Agron.</w:t>
      </w:r>
      <w:r w:rsidRPr="00504D41">
        <w:rPr>
          <w:noProof/>
          <w:szCs w:val="24"/>
        </w:rPr>
        <w:t xml:space="preserve">, 2020, </w:t>
      </w:r>
      <w:r w:rsidRPr="00504D41">
        <w:rPr>
          <w:b/>
          <w:bCs/>
          <w:noProof/>
          <w:szCs w:val="24"/>
        </w:rPr>
        <w:t>15</w:t>
      </w:r>
      <w:r w:rsidRPr="00504D41">
        <w:rPr>
          <w:noProof/>
          <w:szCs w:val="24"/>
        </w:rPr>
        <w:t>, 48–56.</w:t>
      </w:r>
    </w:p>
    <w:p w14:paraId="36CDC42F"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174</w:t>
      </w:r>
      <w:r w:rsidRPr="00504D41">
        <w:rPr>
          <w:noProof/>
          <w:szCs w:val="24"/>
        </w:rPr>
        <w:tab/>
        <w:t>EPA(USA), Substance Registry Services (SRS), https://sor.epa.gov/sor_internet/registry/substreg/LandingPage.do, (accessed 31 May 2022).</w:t>
      </w:r>
    </w:p>
    <w:p w14:paraId="0EEC1146"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175</w:t>
      </w:r>
      <w:r w:rsidRPr="00504D41">
        <w:rPr>
          <w:noProof/>
          <w:szCs w:val="24"/>
        </w:rPr>
        <w:tab/>
        <w:t xml:space="preserve">K. R. Caffrey and M. W. Veal, </w:t>
      </w:r>
      <w:r w:rsidRPr="00504D41">
        <w:rPr>
          <w:i/>
          <w:iCs/>
          <w:noProof/>
          <w:szCs w:val="24"/>
        </w:rPr>
        <w:t>Sci. World J.</w:t>
      </w:r>
      <w:r w:rsidRPr="00504D41">
        <w:rPr>
          <w:noProof/>
          <w:szCs w:val="24"/>
        </w:rPr>
        <w:t xml:space="preserve">, 2013, </w:t>
      </w:r>
      <w:r w:rsidRPr="00504D41">
        <w:rPr>
          <w:b/>
          <w:bCs/>
          <w:noProof/>
          <w:szCs w:val="24"/>
        </w:rPr>
        <w:t>2013</w:t>
      </w:r>
      <w:r w:rsidRPr="00504D41">
        <w:rPr>
          <w:noProof/>
          <w:szCs w:val="24"/>
        </w:rPr>
        <w:t>, 472431.</w:t>
      </w:r>
    </w:p>
    <w:p w14:paraId="115F67E0"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176</w:t>
      </w:r>
      <w:r w:rsidRPr="00504D41">
        <w:rPr>
          <w:noProof/>
          <w:szCs w:val="24"/>
        </w:rPr>
        <w:tab/>
        <w:t xml:space="preserve">J. H. Kløverpris, C. N. Scheel, J. Schmidt, B. Grant, W. Smith and M. J. Bentham, </w:t>
      </w:r>
      <w:r w:rsidRPr="00504D41">
        <w:rPr>
          <w:i/>
          <w:iCs/>
          <w:noProof/>
          <w:szCs w:val="24"/>
        </w:rPr>
        <w:t>Int. J. Life Cycle Assess.</w:t>
      </w:r>
      <w:r w:rsidRPr="00504D41">
        <w:rPr>
          <w:noProof/>
          <w:szCs w:val="24"/>
        </w:rPr>
        <w:t xml:space="preserve">, 2020, </w:t>
      </w:r>
      <w:r w:rsidRPr="00504D41">
        <w:rPr>
          <w:b/>
          <w:bCs/>
          <w:noProof/>
          <w:szCs w:val="24"/>
        </w:rPr>
        <w:t>25</w:t>
      </w:r>
      <w:r w:rsidRPr="00504D41">
        <w:rPr>
          <w:noProof/>
          <w:szCs w:val="24"/>
        </w:rPr>
        <w:t>, 1991–2007.</w:t>
      </w:r>
    </w:p>
    <w:p w14:paraId="1420ADC1"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177</w:t>
      </w:r>
      <w:r w:rsidRPr="00504D41">
        <w:rPr>
          <w:noProof/>
          <w:szCs w:val="24"/>
        </w:rPr>
        <w:tab/>
        <w:t>BASF, https://www.basf.com/global/en/media/news-releases/2020/11/p-20-365.html, (accessed 23 May 2022).</w:t>
      </w:r>
    </w:p>
    <w:p w14:paraId="44B6937D"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178</w:t>
      </w:r>
      <w:r w:rsidRPr="00504D41">
        <w:rPr>
          <w:noProof/>
          <w:szCs w:val="24"/>
        </w:rPr>
        <w:tab/>
        <w:t>Syngenta global, https://www.syngenta.com/en/sustainability/sustainable-development-goals, (accessed 23 May 2022).</w:t>
      </w:r>
    </w:p>
    <w:p w14:paraId="2B44FC1A"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179</w:t>
      </w:r>
      <w:r w:rsidRPr="00504D41">
        <w:rPr>
          <w:noProof/>
          <w:szCs w:val="24"/>
        </w:rPr>
        <w:tab/>
      </w:r>
      <w:r w:rsidRPr="00504D41">
        <w:rPr>
          <w:i/>
          <w:iCs/>
          <w:noProof/>
          <w:szCs w:val="24"/>
        </w:rPr>
        <w:t>Corteva Agriscience Sustainability Report 2020</w:t>
      </w:r>
      <w:r w:rsidRPr="00504D41">
        <w:rPr>
          <w:noProof/>
          <w:szCs w:val="24"/>
        </w:rPr>
        <w:t>, 2020.</w:t>
      </w:r>
    </w:p>
    <w:p w14:paraId="1088352F"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180</w:t>
      </w:r>
      <w:r w:rsidRPr="00504D41">
        <w:rPr>
          <w:noProof/>
          <w:szCs w:val="24"/>
        </w:rPr>
        <w:tab/>
        <w:t>SilviBio, https://www.silvibio.com/, (accessed 3 June 2022).</w:t>
      </w:r>
    </w:p>
    <w:p w14:paraId="546D0757"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181</w:t>
      </w:r>
      <w:r w:rsidRPr="00504D41">
        <w:rPr>
          <w:noProof/>
          <w:szCs w:val="24"/>
        </w:rPr>
        <w:tab/>
        <w:t>Agrynex, https://agrynex.us/, (accessed 3 June 2022).</w:t>
      </w:r>
    </w:p>
    <w:p w14:paraId="75BF8871"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lastRenderedPageBreak/>
        <w:t>182</w:t>
      </w:r>
      <w:r w:rsidRPr="00504D41">
        <w:rPr>
          <w:noProof/>
          <w:szCs w:val="24"/>
        </w:rPr>
        <w:tab/>
        <w:t>Ad Terram, https://ad-terram.nl/#, (accessed 3 June 2022).</w:t>
      </w:r>
    </w:p>
    <w:p w14:paraId="4FE25036"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183</w:t>
      </w:r>
      <w:r w:rsidRPr="00504D41">
        <w:rPr>
          <w:noProof/>
          <w:szCs w:val="24"/>
        </w:rPr>
        <w:tab/>
        <w:t>Indigo Ag, https://www.indigoag.com/, (accessed 3 June 2022).</w:t>
      </w:r>
    </w:p>
    <w:p w14:paraId="382BF684"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184</w:t>
      </w:r>
      <w:r w:rsidRPr="00504D41">
        <w:rPr>
          <w:noProof/>
          <w:szCs w:val="24"/>
        </w:rPr>
        <w:tab/>
        <w:t>Green and Seed Corporation, http://www.seedfilm.co.kr/en/bbs/content.php?co_id=about, (accessed 3 June 2022).</w:t>
      </w:r>
    </w:p>
    <w:p w14:paraId="099D0A10"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185</w:t>
      </w:r>
      <w:r w:rsidRPr="00504D41">
        <w:rPr>
          <w:noProof/>
          <w:szCs w:val="24"/>
        </w:rPr>
        <w:tab/>
        <w:t>Summit Seed Coatings, https://summitseedcoatings.com/products/plus-seed-treatment/, (accessed 3 June 2022).</w:t>
      </w:r>
    </w:p>
    <w:p w14:paraId="6897AEB3"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186</w:t>
      </w:r>
      <w:r w:rsidRPr="00504D41">
        <w:rPr>
          <w:noProof/>
          <w:szCs w:val="24"/>
        </w:rPr>
        <w:tab/>
        <w:t xml:space="preserve">L. Zimmermann, A. Dombrowski, C. Völker and M. Wagner, </w:t>
      </w:r>
      <w:r w:rsidRPr="00504D41">
        <w:rPr>
          <w:i/>
          <w:iCs/>
          <w:noProof/>
          <w:szCs w:val="24"/>
        </w:rPr>
        <w:t>Environ. Int.</w:t>
      </w:r>
      <w:r w:rsidRPr="00504D41">
        <w:rPr>
          <w:noProof/>
          <w:szCs w:val="24"/>
        </w:rPr>
        <w:t xml:space="preserve">, 2020, </w:t>
      </w:r>
      <w:r w:rsidRPr="00504D41">
        <w:rPr>
          <w:b/>
          <w:bCs/>
          <w:noProof/>
          <w:szCs w:val="24"/>
        </w:rPr>
        <w:t>145</w:t>
      </w:r>
      <w:r w:rsidRPr="00504D41">
        <w:rPr>
          <w:noProof/>
          <w:szCs w:val="24"/>
        </w:rPr>
        <w:t>, 106066.</w:t>
      </w:r>
    </w:p>
    <w:p w14:paraId="1E15ED49" w14:textId="77777777" w:rsidR="006D54C2" w:rsidRPr="00504D41" w:rsidRDefault="006D54C2" w:rsidP="006D54C2">
      <w:pPr>
        <w:widowControl w:val="0"/>
        <w:autoSpaceDE w:val="0"/>
        <w:autoSpaceDN w:val="0"/>
        <w:adjustRightInd w:val="0"/>
        <w:spacing w:line="240" w:lineRule="auto"/>
        <w:ind w:left="640" w:hanging="640"/>
        <w:rPr>
          <w:noProof/>
          <w:szCs w:val="24"/>
        </w:rPr>
      </w:pPr>
      <w:r w:rsidRPr="00504D41">
        <w:rPr>
          <w:noProof/>
          <w:szCs w:val="24"/>
        </w:rPr>
        <w:t>187</w:t>
      </w:r>
      <w:r w:rsidRPr="00504D41">
        <w:rPr>
          <w:noProof/>
          <w:szCs w:val="24"/>
        </w:rPr>
        <w:tab/>
        <w:t xml:space="preserve">E. Kabir, R. Kaur, J. Lee, K.-H. Kim and E. E. Kwon, </w:t>
      </w:r>
      <w:r w:rsidRPr="00504D41">
        <w:rPr>
          <w:i/>
          <w:iCs/>
          <w:noProof/>
          <w:szCs w:val="24"/>
        </w:rPr>
        <w:t>J. Clean. Prod.</w:t>
      </w:r>
      <w:r w:rsidRPr="00504D41">
        <w:rPr>
          <w:noProof/>
          <w:szCs w:val="24"/>
        </w:rPr>
        <w:t xml:space="preserve">, 2020, </w:t>
      </w:r>
      <w:r w:rsidRPr="00504D41">
        <w:rPr>
          <w:b/>
          <w:bCs/>
          <w:noProof/>
          <w:szCs w:val="24"/>
        </w:rPr>
        <w:t>258</w:t>
      </w:r>
      <w:r w:rsidRPr="00504D41">
        <w:rPr>
          <w:noProof/>
          <w:szCs w:val="24"/>
        </w:rPr>
        <w:t>, 120536.</w:t>
      </w:r>
    </w:p>
    <w:p w14:paraId="4A3CBE58" w14:textId="77777777" w:rsidR="006D54C2" w:rsidRPr="00EB1ED8" w:rsidRDefault="006D54C2" w:rsidP="006D54C2">
      <w:pPr>
        <w:widowControl w:val="0"/>
        <w:autoSpaceDE w:val="0"/>
        <w:autoSpaceDN w:val="0"/>
        <w:adjustRightInd w:val="0"/>
        <w:spacing w:line="240" w:lineRule="auto"/>
        <w:ind w:left="640" w:hanging="640"/>
        <w:rPr>
          <w:noProof/>
        </w:rPr>
      </w:pPr>
      <w:r w:rsidRPr="00504D41">
        <w:rPr>
          <w:noProof/>
          <w:szCs w:val="24"/>
        </w:rPr>
        <w:t>188</w:t>
      </w:r>
      <w:r w:rsidRPr="00504D41">
        <w:rPr>
          <w:noProof/>
          <w:szCs w:val="24"/>
        </w:rPr>
        <w:tab/>
        <w:t xml:space="preserve">A. D. La Rosa, in </w:t>
      </w:r>
      <w:r w:rsidRPr="00504D41">
        <w:rPr>
          <w:i/>
          <w:iCs/>
          <w:noProof/>
          <w:szCs w:val="24"/>
        </w:rPr>
        <w:t>Biopolymers and Biotech Admixtures for Eco-Efficient Construction Materials</w:t>
      </w:r>
      <w:r w:rsidRPr="00504D41">
        <w:rPr>
          <w:noProof/>
          <w:szCs w:val="24"/>
        </w:rPr>
        <w:t>, eds. F. Pacheco-Torgal, V. Ivanov, N. Karak and H. B. T.-B. and B. A. for E.-E. C. M. Jonkers, Woodhead Publishing, 2016, pp. 57–78.</w:t>
      </w:r>
    </w:p>
    <w:p w14:paraId="175F11FC" w14:textId="77777777" w:rsidR="00ED798E" w:rsidRPr="007F2AA6" w:rsidRDefault="00ED798E" w:rsidP="007F4257">
      <w:pPr>
        <w:rPr>
          <w:szCs w:val="24"/>
        </w:rPr>
      </w:pPr>
    </w:p>
    <w:sectPr w:rsidR="00ED798E" w:rsidRPr="007F2AA6" w:rsidSect="00F57255">
      <w:headerReference w:type="default" r:id="rId27"/>
      <w:footerReference w:type="default" r:id="rId28"/>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8A8017A" w14:textId="77777777" w:rsidR="008A75BF" w:rsidRDefault="008A75BF" w:rsidP="00B84D2C">
      <w:pPr>
        <w:spacing w:after="0" w:line="240" w:lineRule="auto"/>
      </w:pPr>
      <w:r>
        <w:separator/>
      </w:r>
    </w:p>
  </w:endnote>
  <w:endnote w:type="continuationSeparator" w:id="0">
    <w:p w14:paraId="22A1F84B" w14:textId="77777777" w:rsidR="008A75BF" w:rsidRDefault="008A75BF" w:rsidP="00B84D2C">
      <w:pPr>
        <w:spacing w:after="0" w:line="240" w:lineRule="auto"/>
      </w:pPr>
      <w:r>
        <w:continuationSeparator/>
      </w:r>
    </w:p>
  </w:endnote>
  <w:endnote w:type="continuationNotice" w:id="1">
    <w:p w14:paraId="4E3FCD0F" w14:textId="77777777" w:rsidR="008A75BF" w:rsidRDefault="008A75B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DCCCD1" w14:textId="77777777" w:rsidR="00F03227" w:rsidRDefault="00F03227" w:rsidP="004A5437">
    <w:pPr>
      <w:pStyle w:val="Footer"/>
      <w:jc w:val="right"/>
    </w:pPr>
    <w:r>
      <w:fldChar w:fldCharType="begin"/>
    </w:r>
    <w:r>
      <w:instrText xml:space="preserve"> PAGE   \* MERGEFORMAT </w:instrText>
    </w:r>
    <w:r>
      <w:fldChar w:fldCharType="separate"/>
    </w:r>
    <w:r w:rsidR="00504D41">
      <w:rPr>
        <w:noProof/>
      </w:rPr>
      <w:t>8</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1A7F02E" w14:textId="77777777" w:rsidR="008A75BF" w:rsidRDefault="008A75BF" w:rsidP="00B84D2C">
      <w:pPr>
        <w:spacing w:after="0" w:line="240" w:lineRule="auto"/>
      </w:pPr>
      <w:r>
        <w:separator/>
      </w:r>
    </w:p>
  </w:footnote>
  <w:footnote w:type="continuationSeparator" w:id="0">
    <w:p w14:paraId="2C533D84" w14:textId="77777777" w:rsidR="008A75BF" w:rsidRDefault="008A75BF" w:rsidP="00B84D2C">
      <w:pPr>
        <w:spacing w:after="0" w:line="240" w:lineRule="auto"/>
      </w:pPr>
      <w:r>
        <w:continuationSeparator/>
      </w:r>
    </w:p>
  </w:footnote>
  <w:footnote w:type="continuationNotice" w:id="1">
    <w:p w14:paraId="12BFBA61" w14:textId="77777777" w:rsidR="008A75BF" w:rsidRDefault="008A75BF">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A755E1" w14:textId="77777777" w:rsidR="00F03227" w:rsidRDefault="00F0322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26431E"/>
    <w:multiLevelType w:val="hybridMultilevel"/>
    <w:tmpl w:val="7E4E1C6A"/>
    <w:lvl w:ilvl="0" w:tplc="DB3AC790">
      <w:numFmt w:val="bullet"/>
      <w:lvlText w:val=""/>
      <w:lvlJc w:val="left"/>
      <w:pPr>
        <w:ind w:left="720" w:hanging="360"/>
      </w:pPr>
      <w:rPr>
        <w:rFonts w:ascii="Symbol" w:eastAsia="Arial Unicode MS" w:hAnsi="Symbol" w:cs="Arial Unicode M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6A5266A"/>
    <w:multiLevelType w:val="hybridMultilevel"/>
    <w:tmpl w:val="ECFAC75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8391124"/>
    <w:multiLevelType w:val="hybridMultilevel"/>
    <w:tmpl w:val="A1CA652A"/>
    <w:lvl w:ilvl="0" w:tplc="0409001B">
      <w:start w:val="1"/>
      <w:numFmt w:val="lowerRoman"/>
      <w:lvlText w:val="%1."/>
      <w:lvlJc w:val="righ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nsid w:val="0AE40E8B"/>
    <w:multiLevelType w:val="hybridMultilevel"/>
    <w:tmpl w:val="581A550C"/>
    <w:lvl w:ilvl="0" w:tplc="0409001B">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nsid w:val="0BCB2325"/>
    <w:multiLevelType w:val="hybridMultilevel"/>
    <w:tmpl w:val="0D8AB84E"/>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B3D26F6"/>
    <w:multiLevelType w:val="hybridMultilevel"/>
    <w:tmpl w:val="A5C04E5C"/>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E061463"/>
    <w:multiLevelType w:val="hybridMultilevel"/>
    <w:tmpl w:val="B69270A8"/>
    <w:lvl w:ilvl="0" w:tplc="60A4F094">
      <w:start w:val="1"/>
      <w:numFmt w:val="bullet"/>
      <w:lvlText w:val="•"/>
      <w:lvlJc w:val="left"/>
      <w:pPr>
        <w:tabs>
          <w:tab w:val="num" w:pos="720"/>
        </w:tabs>
        <w:ind w:left="720" w:hanging="360"/>
      </w:pPr>
      <w:rPr>
        <w:rFonts w:ascii="Arial" w:hAnsi="Arial" w:hint="default"/>
      </w:rPr>
    </w:lvl>
    <w:lvl w:ilvl="1" w:tplc="0A44458E" w:tentative="1">
      <w:start w:val="1"/>
      <w:numFmt w:val="bullet"/>
      <w:lvlText w:val="•"/>
      <w:lvlJc w:val="left"/>
      <w:pPr>
        <w:tabs>
          <w:tab w:val="num" w:pos="1440"/>
        </w:tabs>
        <w:ind w:left="1440" w:hanging="360"/>
      </w:pPr>
      <w:rPr>
        <w:rFonts w:ascii="Arial" w:hAnsi="Arial" w:hint="default"/>
      </w:rPr>
    </w:lvl>
    <w:lvl w:ilvl="2" w:tplc="C17C3EE0" w:tentative="1">
      <w:start w:val="1"/>
      <w:numFmt w:val="bullet"/>
      <w:lvlText w:val="•"/>
      <w:lvlJc w:val="left"/>
      <w:pPr>
        <w:tabs>
          <w:tab w:val="num" w:pos="2160"/>
        </w:tabs>
        <w:ind w:left="2160" w:hanging="360"/>
      </w:pPr>
      <w:rPr>
        <w:rFonts w:ascii="Arial" w:hAnsi="Arial" w:hint="default"/>
      </w:rPr>
    </w:lvl>
    <w:lvl w:ilvl="3" w:tplc="8FDC4EB4" w:tentative="1">
      <w:start w:val="1"/>
      <w:numFmt w:val="bullet"/>
      <w:lvlText w:val="•"/>
      <w:lvlJc w:val="left"/>
      <w:pPr>
        <w:tabs>
          <w:tab w:val="num" w:pos="2880"/>
        </w:tabs>
        <w:ind w:left="2880" w:hanging="360"/>
      </w:pPr>
      <w:rPr>
        <w:rFonts w:ascii="Arial" w:hAnsi="Arial" w:hint="default"/>
      </w:rPr>
    </w:lvl>
    <w:lvl w:ilvl="4" w:tplc="DFDC8BF4" w:tentative="1">
      <w:start w:val="1"/>
      <w:numFmt w:val="bullet"/>
      <w:lvlText w:val="•"/>
      <w:lvlJc w:val="left"/>
      <w:pPr>
        <w:tabs>
          <w:tab w:val="num" w:pos="3600"/>
        </w:tabs>
        <w:ind w:left="3600" w:hanging="360"/>
      </w:pPr>
      <w:rPr>
        <w:rFonts w:ascii="Arial" w:hAnsi="Arial" w:hint="default"/>
      </w:rPr>
    </w:lvl>
    <w:lvl w:ilvl="5" w:tplc="9A7877E6" w:tentative="1">
      <w:start w:val="1"/>
      <w:numFmt w:val="bullet"/>
      <w:lvlText w:val="•"/>
      <w:lvlJc w:val="left"/>
      <w:pPr>
        <w:tabs>
          <w:tab w:val="num" w:pos="4320"/>
        </w:tabs>
        <w:ind w:left="4320" w:hanging="360"/>
      </w:pPr>
      <w:rPr>
        <w:rFonts w:ascii="Arial" w:hAnsi="Arial" w:hint="default"/>
      </w:rPr>
    </w:lvl>
    <w:lvl w:ilvl="6" w:tplc="392A54FC" w:tentative="1">
      <w:start w:val="1"/>
      <w:numFmt w:val="bullet"/>
      <w:lvlText w:val="•"/>
      <w:lvlJc w:val="left"/>
      <w:pPr>
        <w:tabs>
          <w:tab w:val="num" w:pos="5040"/>
        </w:tabs>
        <w:ind w:left="5040" w:hanging="360"/>
      </w:pPr>
      <w:rPr>
        <w:rFonts w:ascii="Arial" w:hAnsi="Arial" w:hint="default"/>
      </w:rPr>
    </w:lvl>
    <w:lvl w:ilvl="7" w:tplc="CD98C5EE" w:tentative="1">
      <w:start w:val="1"/>
      <w:numFmt w:val="bullet"/>
      <w:lvlText w:val="•"/>
      <w:lvlJc w:val="left"/>
      <w:pPr>
        <w:tabs>
          <w:tab w:val="num" w:pos="5760"/>
        </w:tabs>
        <w:ind w:left="5760" w:hanging="360"/>
      </w:pPr>
      <w:rPr>
        <w:rFonts w:ascii="Arial" w:hAnsi="Arial" w:hint="default"/>
      </w:rPr>
    </w:lvl>
    <w:lvl w:ilvl="8" w:tplc="BB5AE992" w:tentative="1">
      <w:start w:val="1"/>
      <w:numFmt w:val="bullet"/>
      <w:lvlText w:val="•"/>
      <w:lvlJc w:val="left"/>
      <w:pPr>
        <w:tabs>
          <w:tab w:val="num" w:pos="6480"/>
        </w:tabs>
        <w:ind w:left="6480" w:hanging="360"/>
      </w:pPr>
      <w:rPr>
        <w:rFonts w:ascii="Arial" w:hAnsi="Arial" w:hint="default"/>
      </w:rPr>
    </w:lvl>
  </w:abstractNum>
  <w:abstractNum w:abstractNumId="7">
    <w:nsid w:val="31A124C9"/>
    <w:multiLevelType w:val="hybridMultilevel"/>
    <w:tmpl w:val="F842B7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A6B5816"/>
    <w:multiLevelType w:val="hybridMultilevel"/>
    <w:tmpl w:val="FABC865C"/>
    <w:lvl w:ilvl="0" w:tplc="FFFFFFFF">
      <w:start w:val="1"/>
      <w:numFmt w:val="decimal"/>
      <w:lvlText w:val="%1."/>
      <w:lvlJc w:val="left"/>
      <w:pPr>
        <w:ind w:left="360" w:hanging="360"/>
      </w:pPr>
      <w:rPr>
        <w:rFonts w:hint="default"/>
      </w:rPr>
    </w:lvl>
    <w:lvl w:ilvl="1" w:tplc="0409001B">
      <w:start w:val="1"/>
      <w:numFmt w:val="lowerRoman"/>
      <w:lvlText w:val="%2."/>
      <w:lvlJc w:val="righ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
    <w:nsid w:val="3EDC3105"/>
    <w:multiLevelType w:val="hybridMultilevel"/>
    <w:tmpl w:val="1BF26656"/>
    <w:lvl w:ilvl="0" w:tplc="558E7D8E">
      <w:numFmt w:val="bullet"/>
      <w:lvlText w:val=""/>
      <w:lvlJc w:val="left"/>
      <w:pPr>
        <w:ind w:left="720" w:hanging="360"/>
      </w:pPr>
      <w:rPr>
        <w:rFonts w:ascii="Symbol" w:eastAsia="Arial Unicode MS" w:hAnsi="Symbol" w:cs="Arial Unicode M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12A2AFE"/>
    <w:multiLevelType w:val="hybridMultilevel"/>
    <w:tmpl w:val="1654FB3E"/>
    <w:lvl w:ilvl="0" w:tplc="0409001B">
      <w:start w:val="1"/>
      <w:numFmt w:val="lowerRoman"/>
      <w:lvlText w:val="%1."/>
      <w:lvlJc w:val="right"/>
      <w:pPr>
        <w:ind w:left="785" w:hanging="360"/>
      </w:pPr>
    </w:lvl>
    <w:lvl w:ilvl="1" w:tplc="04090019">
      <w:start w:val="1"/>
      <w:numFmt w:val="lowerLetter"/>
      <w:lvlText w:val="%2."/>
      <w:lvlJc w:val="left"/>
      <w:pPr>
        <w:ind w:left="1505" w:hanging="360"/>
      </w:pPr>
    </w:lvl>
    <w:lvl w:ilvl="2" w:tplc="0409001B">
      <w:start w:val="1"/>
      <w:numFmt w:val="lowerRoman"/>
      <w:lvlText w:val="%3."/>
      <w:lvlJc w:val="right"/>
      <w:pPr>
        <w:ind w:left="2225" w:hanging="180"/>
      </w:pPr>
    </w:lvl>
    <w:lvl w:ilvl="3" w:tplc="0409000F">
      <w:start w:val="1"/>
      <w:numFmt w:val="decimal"/>
      <w:lvlText w:val="%4."/>
      <w:lvlJc w:val="left"/>
      <w:pPr>
        <w:ind w:left="2945" w:hanging="360"/>
      </w:pPr>
    </w:lvl>
    <w:lvl w:ilvl="4" w:tplc="04090019">
      <w:start w:val="1"/>
      <w:numFmt w:val="lowerLetter"/>
      <w:lvlText w:val="%5."/>
      <w:lvlJc w:val="left"/>
      <w:pPr>
        <w:ind w:left="3665" w:hanging="360"/>
      </w:pPr>
    </w:lvl>
    <w:lvl w:ilvl="5" w:tplc="0409001B">
      <w:start w:val="1"/>
      <w:numFmt w:val="lowerRoman"/>
      <w:lvlText w:val="%6."/>
      <w:lvlJc w:val="right"/>
      <w:pPr>
        <w:ind w:left="4385" w:hanging="180"/>
      </w:pPr>
    </w:lvl>
    <w:lvl w:ilvl="6" w:tplc="0409000F">
      <w:start w:val="1"/>
      <w:numFmt w:val="decimal"/>
      <w:lvlText w:val="%7."/>
      <w:lvlJc w:val="left"/>
      <w:pPr>
        <w:ind w:left="5105" w:hanging="360"/>
      </w:pPr>
    </w:lvl>
    <w:lvl w:ilvl="7" w:tplc="04090019">
      <w:start w:val="1"/>
      <w:numFmt w:val="lowerLetter"/>
      <w:lvlText w:val="%8."/>
      <w:lvlJc w:val="left"/>
      <w:pPr>
        <w:ind w:left="5825" w:hanging="360"/>
      </w:pPr>
    </w:lvl>
    <w:lvl w:ilvl="8" w:tplc="0409001B">
      <w:start w:val="1"/>
      <w:numFmt w:val="lowerRoman"/>
      <w:lvlText w:val="%9."/>
      <w:lvlJc w:val="right"/>
      <w:pPr>
        <w:ind w:left="6545" w:hanging="180"/>
      </w:pPr>
    </w:lvl>
  </w:abstractNum>
  <w:abstractNum w:abstractNumId="11">
    <w:nsid w:val="41F340A2"/>
    <w:multiLevelType w:val="hybridMultilevel"/>
    <w:tmpl w:val="43B49D26"/>
    <w:lvl w:ilvl="0" w:tplc="FD880176">
      <w:numFmt w:val="bullet"/>
      <w:lvlText w:val=""/>
      <w:lvlJc w:val="left"/>
      <w:pPr>
        <w:ind w:left="720" w:hanging="360"/>
      </w:pPr>
      <w:rPr>
        <w:rFonts w:ascii="Symbol" w:eastAsia="Arial Unicode MS" w:hAnsi="Symbol" w:cs="Arial Unicode M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76537EF"/>
    <w:multiLevelType w:val="hybridMultilevel"/>
    <w:tmpl w:val="1270A2BE"/>
    <w:lvl w:ilvl="0" w:tplc="982E952A">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4A641E0C"/>
    <w:multiLevelType w:val="hybridMultilevel"/>
    <w:tmpl w:val="D8EECA0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6564004D"/>
    <w:multiLevelType w:val="hybridMultilevel"/>
    <w:tmpl w:val="62CA5EE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6CE430B6"/>
    <w:multiLevelType w:val="hybridMultilevel"/>
    <w:tmpl w:val="E6B083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3CA56B9"/>
    <w:multiLevelType w:val="hybridMultilevel"/>
    <w:tmpl w:val="E672669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76D22CBD"/>
    <w:multiLevelType w:val="hybridMultilevel"/>
    <w:tmpl w:val="30C43776"/>
    <w:lvl w:ilvl="0" w:tplc="0409001B">
      <w:start w:val="1"/>
      <w:numFmt w:val="lowerRoman"/>
      <w:lvlText w:val="%1."/>
      <w:lvlJc w:val="righ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num w:numId="1">
    <w:abstractNumId w:val="4"/>
  </w:num>
  <w:num w:numId="2">
    <w:abstractNumId w:val="17"/>
  </w:num>
  <w:num w:numId="3">
    <w:abstractNumId w:val="16"/>
  </w:num>
  <w:num w:numId="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
  </w:num>
  <w:num w:numId="7">
    <w:abstractNumId w:val="12"/>
  </w:num>
  <w:num w:numId="8">
    <w:abstractNumId w:val="14"/>
  </w:num>
  <w:num w:numId="9">
    <w:abstractNumId w:val="13"/>
  </w:num>
  <w:num w:numId="10">
    <w:abstractNumId w:val="15"/>
  </w:num>
  <w:num w:numId="11">
    <w:abstractNumId w:val="6"/>
  </w:num>
  <w:num w:numId="12">
    <w:abstractNumId w:val="2"/>
  </w:num>
  <w:num w:numId="13">
    <w:abstractNumId w:val="1"/>
  </w:num>
  <w:num w:numId="14">
    <w:abstractNumId w:val="7"/>
  </w:num>
  <w:num w:numId="15">
    <w:abstractNumId w:val="11"/>
  </w:num>
  <w:num w:numId="16">
    <w:abstractNumId w:val="0"/>
  </w:num>
  <w:num w:numId="17">
    <w:abstractNumId w:val="9"/>
  </w:num>
  <w:num w:numId="18">
    <w:abstractNumId w:val="8"/>
  </w:num>
  <w:num w:numId="1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activeWritingStyle w:appName="MSWord" w:lang="es-ES_tradnl" w:vendorID="64" w:dllVersion="6" w:nlCheck="1" w:checkStyle="1"/>
  <w:activeWritingStyle w:appName="MSWord" w:lang="en-US" w:vendorID="64" w:dllVersion="6" w:nlCheck="1" w:checkStyle="1"/>
  <w:activeWritingStyle w:appName="MSWord" w:lang="en-US" w:vendorID="64" w:dllVersion="0" w:nlCheck="1" w:checkStyle="0"/>
  <w:activeWritingStyle w:appName="MSWord" w:lang="es-ES_tradnl" w:vendorID="64" w:dllVersion="0" w:nlCheck="1" w:checkStyle="0"/>
  <w:activeWritingStyle w:appName="MSWord" w:lang="en-US" w:vendorID="64" w:dllVersion="131078" w:nlCheck="1" w:checkStyle="1"/>
  <w:activeWritingStyle w:appName="MSWord" w:lang="es-ES_tradnl" w:vendorID="64" w:dllVersion="131078" w:nlCheck="1" w:checkStyle="1"/>
  <w:doNotTrackMoves/>
  <w:defaultTabStop w:val="720"/>
  <w:characterSpacingControl w:val="doNotCompress"/>
  <w:hdrShapeDefaults>
    <o:shapedefaults v:ext="edit" spidmax="2065"/>
  </w:hdrShapeDefaults>
  <w:footnotePr>
    <w:footnote w:id="-1"/>
    <w:footnote w:id="0"/>
    <w:footnote w:id="1"/>
  </w:footnotePr>
  <w:endnotePr>
    <w:endnote w:id="-1"/>
    <w:endnote w:id="0"/>
    <w:endnote w:id="1"/>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__Grammarly_42____i" w:val="H4sIAAAAAAAEAKtWckksSQxILCpxzi/NK1GyMqwFAAEhoTITAAAA"/>
    <w:docVar w:name="__Grammarly_42___1" w:val="H4sIAAAAAAAEAKtWcslP9kxRslIyNDYytzAzMjOytDQxNrc0MrVU0lEKTi0uzszPAykwrwUAUfjuNSwAAAA="/>
  </w:docVars>
  <w:rsids>
    <w:rsidRoot w:val="004D233D"/>
    <w:rsid w:val="000008E3"/>
    <w:rsid w:val="00000D6A"/>
    <w:rsid w:val="000057B3"/>
    <w:rsid w:val="00006FF9"/>
    <w:rsid w:val="00007839"/>
    <w:rsid w:val="00007E69"/>
    <w:rsid w:val="000103A1"/>
    <w:rsid w:val="00012B9D"/>
    <w:rsid w:val="000131EC"/>
    <w:rsid w:val="0001511F"/>
    <w:rsid w:val="00015C48"/>
    <w:rsid w:val="00017492"/>
    <w:rsid w:val="00017F1F"/>
    <w:rsid w:val="00020245"/>
    <w:rsid w:val="00020F1E"/>
    <w:rsid w:val="000220C7"/>
    <w:rsid w:val="00022630"/>
    <w:rsid w:val="0002276C"/>
    <w:rsid w:val="00023156"/>
    <w:rsid w:val="00024227"/>
    <w:rsid w:val="0002439A"/>
    <w:rsid w:val="00024E2B"/>
    <w:rsid w:val="00026DB4"/>
    <w:rsid w:val="00027043"/>
    <w:rsid w:val="00027884"/>
    <w:rsid w:val="0003066A"/>
    <w:rsid w:val="00031114"/>
    <w:rsid w:val="000318D8"/>
    <w:rsid w:val="0003278B"/>
    <w:rsid w:val="00033183"/>
    <w:rsid w:val="000336D0"/>
    <w:rsid w:val="000338EE"/>
    <w:rsid w:val="0003442C"/>
    <w:rsid w:val="00035D98"/>
    <w:rsid w:val="00037A14"/>
    <w:rsid w:val="00041088"/>
    <w:rsid w:val="000417AB"/>
    <w:rsid w:val="00041822"/>
    <w:rsid w:val="00042CD7"/>
    <w:rsid w:val="00042F37"/>
    <w:rsid w:val="00043522"/>
    <w:rsid w:val="00045610"/>
    <w:rsid w:val="00045F9D"/>
    <w:rsid w:val="00047F3F"/>
    <w:rsid w:val="00051074"/>
    <w:rsid w:val="00051564"/>
    <w:rsid w:val="00051FAA"/>
    <w:rsid w:val="00053910"/>
    <w:rsid w:val="000547FD"/>
    <w:rsid w:val="00060079"/>
    <w:rsid w:val="00060258"/>
    <w:rsid w:val="00061AC3"/>
    <w:rsid w:val="00061E7D"/>
    <w:rsid w:val="000621DE"/>
    <w:rsid w:val="000636CB"/>
    <w:rsid w:val="000645E0"/>
    <w:rsid w:val="00064C2E"/>
    <w:rsid w:val="00065595"/>
    <w:rsid w:val="00066117"/>
    <w:rsid w:val="00070A19"/>
    <w:rsid w:val="00070E3B"/>
    <w:rsid w:val="0007186A"/>
    <w:rsid w:val="000733F0"/>
    <w:rsid w:val="0007363F"/>
    <w:rsid w:val="000743BD"/>
    <w:rsid w:val="00076869"/>
    <w:rsid w:val="0007717C"/>
    <w:rsid w:val="0007727C"/>
    <w:rsid w:val="00077422"/>
    <w:rsid w:val="000802DA"/>
    <w:rsid w:val="0008059E"/>
    <w:rsid w:val="00080C1D"/>
    <w:rsid w:val="00081C00"/>
    <w:rsid w:val="000828F1"/>
    <w:rsid w:val="00083FA7"/>
    <w:rsid w:val="0008573B"/>
    <w:rsid w:val="000859B0"/>
    <w:rsid w:val="00085DC8"/>
    <w:rsid w:val="00086904"/>
    <w:rsid w:val="00086B90"/>
    <w:rsid w:val="00087EBD"/>
    <w:rsid w:val="00091B24"/>
    <w:rsid w:val="000926EC"/>
    <w:rsid w:val="0009309C"/>
    <w:rsid w:val="00094E41"/>
    <w:rsid w:val="00096868"/>
    <w:rsid w:val="00096D88"/>
    <w:rsid w:val="00097004"/>
    <w:rsid w:val="000A16DA"/>
    <w:rsid w:val="000A26CA"/>
    <w:rsid w:val="000A407D"/>
    <w:rsid w:val="000A438E"/>
    <w:rsid w:val="000A4473"/>
    <w:rsid w:val="000A4956"/>
    <w:rsid w:val="000A57FB"/>
    <w:rsid w:val="000A5D69"/>
    <w:rsid w:val="000A7901"/>
    <w:rsid w:val="000A7BE0"/>
    <w:rsid w:val="000B14A7"/>
    <w:rsid w:val="000B2E55"/>
    <w:rsid w:val="000B2EAC"/>
    <w:rsid w:val="000B4BC7"/>
    <w:rsid w:val="000B50FB"/>
    <w:rsid w:val="000B5B7A"/>
    <w:rsid w:val="000B64D8"/>
    <w:rsid w:val="000C1D57"/>
    <w:rsid w:val="000C252F"/>
    <w:rsid w:val="000C3C29"/>
    <w:rsid w:val="000C56AB"/>
    <w:rsid w:val="000C5D86"/>
    <w:rsid w:val="000C64DD"/>
    <w:rsid w:val="000C67A9"/>
    <w:rsid w:val="000C6CC3"/>
    <w:rsid w:val="000C7900"/>
    <w:rsid w:val="000D0E3D"/>
    <w:rsid w:val="000D14C8"/>
    <w:rsid w:val="000D3857"/>
    <w:rsid w:val="000D388B"/>
    <w:rsid w:val="000D45DC"/>
    <w:rsid w:val="000D5E88"/>
    <w:rsid w:val="000D628F"/>
    <w:rsid w:val="000D7743"/>
    <w:rsid w:val="000D7778"/>
    <w:rsid w:val="000D7D3F"/>
    <w:rsid w:val="000E02F5"/>
    <w:rsid w:val="000E2647"/>
    <w:rsid w:val="000E402E"/>
    <w:rsid w:val="000E4B24"/>
    <w:rsid w:val="000E4F13"/>
    <w:rsid w:val="000E67E9"/>
    <w:rsid w:val="000E6A73"/>
    <w:rsid w:val="000E72A5"/>
    <w:rsid w:val="000E7566"/>
    <w:rsid w:val="000E775C"/>
    <w:rsid w:val="000E782B"/>
    <w:rsid w:val="000F117C"/>
    <w:rsid w:val="000F160F"/>
    <w:rsid w:val="000F1B21"/>
    <w:rsid w:val="000F5A35"/>
    <w:rsid w:val="000F64B3"/>
    <w:rsid w:val="001006B4"/>
    <w:rsid w:val="00100B7F"/>
    <w:rsid w:val="00100BD2"/>
    <w:rsid w:val="00100E1B"/>
    <w:rsid w:val="00101253"/>
    <w:rsid w:val="001019DE"/>
    <w:rsid w:val="00101EA2"/>
    <w:rsid w:val="00103278"/>
    <w:rsid w:val="0010485B"/>
    <w:rsid w:val="00104A51"/>
    <w:rsid w:val="001076DF"/>
    <w:rsid w:val="0011017C"/>
    <w:rsid w:val="0011126E"/>
    <w:rsid w:val="00111998"/>
    <w:rsid w:val="00111F7D"/>
    <w:rsid w:val="00112E3E"/>
    <w:rsid w:val="0011391E"/>
    <w:rsid w:val="00116BDB"/>
    <w:rsid w:val="00117435"/>
    <w:rsid w:val="00120275"/>
    <w:rsid w:val="00120694"/>
    <w:rsid w:val="001213C4"/>
    <w:rsid w:val="00121C8A"/>
    <w:rsid w:val="00121DD0"/>
    <w:rsid w:val="00122D32"/>
    <w:rsid w:val="00123AF8"/>
    <w:rsid w:val="00124419"/>
    <w:rsid w:val="001255F4"/>
    <w:rsid w:val="00127109"/>
    <w:rsid w:val="001278CE"/>
    <w:rsid w:val="001308E1"/>
    <w:rsid w:val="001335C8"/>
    <w:rsid w:val="0013529B"/>
    <w:rsid w:val="00135AFE"/>
    <w:rsid w:val="00135F94"/>
    <w:rsid w:val="00137512"/>
    <w:rsid w:val="00137F1C"/>
    <w:rsid w:val="001425F2"/>
    <w:rsid w:val="001443AB"/>
    <w:rsid w:val="001443F5"/>
    <w:rsid w:val="001452DD"/>
    <w:rsid w:val="00145B97"/>
    <w:rsid w:val="00146033"/>
    <w:rsid w:val="00146F35"/>
    <w:rsid w:val="00147DA6"/>
    <w:rsid w:val="00147FF6"/>
    <w:rsid w:val="00150106"/>
    <w:rsid w:val="001516B2"/>
    <w:rsid w:val="00152F42"/>
    <w:rsid w:val="00154053"/>
    <w:rsid w:val="001540BF"/>
    <w:rsid w:val="00154915"/>
    <w:rsid w:val="00156776"/>
    <w:rsid w:val="00156CAA"/>
    <w:rsid w:val="00160610"/>
    <w:rsid w:val="001617BC"/>
    <w:rsid w:val="0016314F"/>
    <w:rsid w:val="0016445D"/>
    <w:rsid w:val="00164B1E"/>
    <w:rsid w:val="00167146"/>
    <w:rsid w:val="00167C59"/>
    <w:rsid w:val="0017196B"/>
    <w:rsid w:val="001720B1"/>
    <w:rsid w:val="001726C6"/>
    <w:rsid w:val="001746F6"/>
    <w:rsid w:val="001769B3"/>
    <w:rsid w:val="00180E12"/>
    <w:rsid w:val="00180FB8"/>
    <w:rsid w:val="00183072"/>
    <w:rsid w:val="00183AD5"/>
    <w:rsid w:val="0018480F"/>
    <w:rsid w:val="00186A82"/>
    <w:rsid w:val="00187865"/>
    <w:rsid w:val="001901E8"/>
    <w:rsid w:val="00193AC7"/>
    <w:rsid w:val="001940BD"/>
    <w:rsid w:val="00195617"/>
    <w:rsid w:val="00195B56"/>
    <w:rsid w:val="00197A0A"/>
    <w:rsid w:val="001A197D"/>
    <w:rsid w:val="001A2325"/>
    <w:rsid w:val="001A2C02"/>
    <w:rsid w:val="001A2D1C"/>
    <w:rsid w:val="001A3887"/>
    <w:rsid w:val="001A3BD0"/>
    <w:rsid w:val="001A48BA"/>
    <w:rsid w:val="001A4C38"/>
    <w:rsid w:val="001A50D2"/>
    <w:rsid w:val="001A51EB"/>
    <w:rsid w:val="001A58C0"/>
    <w:rsid w:val="001A7050"/>
    <w:rsid w:val="001A706D"/>
    <w:rsid w:val="001B05DD"/>
    <w:rsid w:val="001B0BA8"/>
    <w:rsid w:val="001B16C2"/>
    <w:rsid w:val="001B1926"/>
    <w:rsid w:val="001B43BA"/>
    <w:rsid w:val="001B57AE"/>
    <w:rsid w:val="001B614D"/>
    <w:rsid w:val="001B6C27"/>
    <w:rsid w:val="001C0AD8"/>
    <w:rsid w:val="001C0E26"/>
    <w:rsid w:val="001C20CC"/>
    <w:rsid w:val="001C259F"/>
    <w:rsid w:val="001C2B9B"/>
    <w:rsid w:val="001C43C3"/>
    <w:rsid w:val="001C4F7B"/>
    <w:rsid w:val="001D0071"/>
    <w:rsid w:val="001D1258"/>
    <w:rsid w:val="001D1818"/>
    <w:rsid w:val="001D1C6C"/>
    <w:rsid w:val="001D2AD4"/>
    <w:rsid w:val="001D312C"/>
    <w:rsid w:val="001D4C8A"/>
    <w:rsid w:val="001D4EF7"/>
    <w:rsid w:val="001D59DC"/>
    <w:rsid w:val="001D5EA9"/>
    <w:rsid w:val="001D5F72"/>
    <w:rsid w:val="001D5F89"/>
    <w:rsid w:val="001D73A3"/>
    <w:rsid w:val="001D7EE6"/>
    <w:rsid w:val="001E06B0"/>
    <w:rsid w:val="001E08A1"/>
    <w:rsid w:val="001E0F4A"/>
    <w:rsid w:val="001E39DA"/>
    <w:rsid w:val="001E3C50"/>
    <w:rsid w:val="001E47B9"/>
    <w:rsid w:val="001E550C"/>
    <w:rsid w:val="001E57F2"/>
    <w:rsid w:val="001E79AD"/>
    <w:rsid w:val="001E7F8C"/>
    <w:rsid w:val="001F1267"/>
    <w:rsid w:val="001F2D52"/>
    <w:rsid w:val="001F3DC6"/>
    <w:rsid w:val="001F4EFF"/>
    <w:rsid w:val="001F56CB"/>
    <w:rsid w:val="001F6006"/>
    <w:rsid w:val="001F7FAB"/>
    <w:rsid w:val="00200D64"/>
    <w:rsid w:val="002011B6"/>
    <w:rsid w:val="00201711"/>
    <w:rsid w:val="00202C77"/>
    <w:rsid w:val="0020317C"/>
    <w:rsid w:val="00203793"/>
    <w:rsid w:val="002039F9"/>
    <w:rsid w:val="00203BBB"/>
    <w:rsid w:val="0020536A"/>
    <w:rsid w:val="002062F7"/>
    <w:rsid w:val="002073DA"/>
    <w:rsid w:val="00207FEA"/>
    <w:rsid w:val="002103AF"/>
    <w:rsid w:val="00211013"/>
    <w:rsid w:val="00211B82"/>
    <w:rsid w:val="002121CE"/>
    <w:rsid w:val="00212797"/>
    <w:rsid w:val="00212D8A"/>
    <w:rsid w:val="0021341D"/>
    <w:rsid w:val="0021380A"/>
    <w:rsid w:val="00213DD2"/>
    <w:rsid w:val="00213E96"/>
    <w:rsid w:val="00213FD4"/>
    <w:rsid w:val="00214164"/>
    <w:rsid w:val="00214911"/>
    <w:rsid w:val="00214E23"/>
    <w:rsid w:val="00215685"/>
    <w:rsid w:val="00222BA3"/>
    <w:rsid w:val="00224E3D"/>
    <w:rsid w:val="00225D6E"/>
    <w:rsid w:val="00225F8B"/>
    <w:rsid w:val="00226ABB"/>
    <w:rsid w:val="00226B9B"/>
    <w:rsid w:val="002329E5"/>
    <w:rsid w:val="00234CB8"/>
    <w:rsid w:val="00235CB0"/>
    <w:rsid w:val="00235DE1"/>
    <w:rsid w:val="0023711A"/>
    <w:rsid w:val="00237719"/>
    <w:rsid w:val="002408D6"/>
    <w:rsid w:val="00242644"/>
    <w:rsid w:val="00242BD1"/>
    <w:rsid w:val="0024455F"/>
    <w:rsid w:val="00244632"/>
    <w:rsid w:val="002452AB"/>
    <w:rsid w:val="00247A1F"/>
    <w:rsid w:val="0025028A"/>
    <w:rsid w:val="00251322"/>
    <w:rsid w:val="0025165D"/>
    <w:rsid w:val="00253428"/>
    <w:rsid w:val="0025367C"/>
    <w:rsid w:val="0025376A"/>
    <w:rsid w:val="00253BD6"/>
    <w:rsid w:val="00253E38"/>
    <w:rsid w:val="002544F9"/>
    <w:rsid w:val="002577D0"/>
    <w:rsid w:val="00257DE7"/>
    <w:rsid w:val="002614F3"/>
    <w:rsid w:val="00262750"/>
    <w:rsid w:val="00262E90"/>
    <w:rsid w:val="00265CFF"/>
    <w:rsid w:val="0026653A"/>
    <w:rsid w:val="00266744"/>
    <w:rsid w:val="00266E76"/>
    <w:rsid w:val="00267A81"/>
    <w:rsid w:val="00267D69"/>
    <w:rsid w:val="002706D0"/>
    <w:rsid w:val="00270C06"/>
    <w:rsid w:val="0027125C"/>
    <w:rsid w:val="00271459"/>
    <w:rsid w:val="00271C25"/>
    <w:rsid w:val="002720F8"/>
    <w:rsid w:val="0027292A"/>
    <w:rsid w:val="00273E2F"/>
    <w:rsid w:val="0027405B"/>
    <w:rsid w:val="00280458"/>
    <w:rsid w:val="00282973"/>
    <w:rsid w:val="00282D21"/>
    <w:rsid w:val="00284C07"/>
    <w:rsid w:val="0028512F"/>
    <w:rsid w:val="002856D4"/>
    <w:rsid w:val="00286511"/>
    <w:rsid w:val="00286E93"/>
    <w:rsid w:val="002903D8"/>
    <w:rsid w:val="002904BD"/>
    <w:rsid w:val="0029389C"/>
    <w:rsid w:val="002942A0"/>
    <w:rsid w:val="002952D5"/>
    <w:rsid w:val="00295574"/>
    <w:rsid w:val="00295B3D"/>
    <w:rsid w:val="00296A33"/>
    <w:rsid w:val="00297BA2"/>
    <w:rsid w:val="002A046C"/>
    <w:rsid w:val="002A3CC4"/>
    <w:rsid w:val="002A50B9"/>
    <w:rsid w:val="002A5FE6"/>
    <w:rsid w:val="002A6709"/>
    <w:rsid w:val="002A6F92"/>
    <w:rsid w:val="002A7D72"/>
    <w:rsid w:val="002B0DAB"/>
    <w:rsid w:val="002B1650"/>
    <w:rsid w:val="002B19BE"/>
    <w:rsid w:val="002B1CE6"/>
    <w:rsid w:val="002B287A"/>
    <w:rsid w:val="002B3012"/>
    <w:rsid w:val="002B316A"/>
    <w:rsid w:val="002B51FD"/>
    <w:rsid w:val="002B6397"/>
    <w:rsid w:val="002B6518"/>
    <w:rsid w:val="002B671E"/>
    <w:rsid w:val="002B6A5E"/>
    <w:rsid w:val="002C048A"/>
    <w:rsid w:val="002C0CD0"/>
    <w:rsid w:val="002C1F7F"/>
    <w:rsid w:val="002C2753"/>
    <w:rsid w:val="002C3ACE"/>
    <w:rsid w:val="002C3C0C"/>
    <w:rsid w:val="002C5032"/>
    <w:rsid w:val="002C7376"/>
    <w:rsid w:val="002C7F29"/>
    <w:rsid w:val="002C7F82"/>
    <w:rsid w:val="002D0462"/>
    <w:rsid w:val="002D09CB"/>
    <w:rsid w:val="002D0CD9"/>
    <w:rsid w:val="002D0CE8"/>
    <w:rsid w:val="002D1B23"/>
    <w:rsid w:val="002D20E7"/>
    <w:rsid w:val="002D449D"/>
    <w:rsid w:val="002D51CB"/>
    <w:rsid w:val="002D7DF3"/>
    <w:rsid w:val="002E0D5C"/>
    <w:rsid w:val="002E15F9"/>
    <w:rsid w:val="002E2734"/>
    <w:rsid w:val="002E29D4"/>
    <w:rsid w:val="002E2CBC"/>
    <w:rsid w:val="002E33C3"/>
    <w:rsid w:val="002E35C0"/>
    <w:rsid w:val="002E4EB0"/>
    <w:rsid w:val="002E6550"/>
    <w:rsid w:val="002E6A30"/>
    <w:rsid w:val="002E6BE2"/>
    <w:rsid w:val="002F0AB9"/>
    <w:rsid w:val="002F0BC0"/>
    <w:rsid w:val="002F0BE7"/>
    <w:rsid w:val="002F0F74"/>
    <w:rsid w:val="002F18C7"/>
    <w:rsid w:val="002F292B"/>
    <w:rsid w:val="002F2ED1"/>
    <w:rsid w:val="002F3480"/>
    <w:rsid w:val="002F4BAF"/>
    <w:rsid w:val="002F61BE"/>
    <w:rsid w:val="002F73C3"/>
    <w:rsid w:val="003006A2"/>
    <w:rsid w:val="00300DFC"/>
    <w:rsid w:val="0030358B"/>
    <w:rsid w:val="00303A09"/>
    <w:rsid w:val="003049A7"/>
    <w:rsid w:val="00305690"/>
    <w:rsid w:val="00307074"/>
    <w:rsid w:val="0031034E"/>
    <w:rsid w:val="0031110C"/>
    <w:rsid w:val="003116DC"/>
    <w:rsid w:val="0031188B"/>
    <w:rsid w:val="0031284F"/>
    <w:rsid w:val="00315D7E"/>
    <w:rsid w:val="003176C6"/>
    <w:rsid w:val="00317748"/>
    <w:rsid w:val="00320291"/>
    <w:rsid w:val="00320580"/>
    <w:rsid w:val="00321EDA"/>
    <w:rsid w:val="00322472"/>
    <w:rsid w:val="00324A7D"/>
    <w:rsid w:val="00324EFA"/>
    <w:rsid w:val="003252F7"/>
    <w:rsid w:val="00326B3C"/>
    <w:rsid w:val="00326DEC"/>
    <w:rsid w:val="0033143B"/>
    <w:rsid w:val="00331C90"/>
    <w:rsid w:val="0033324A"/>
    <w:rsid w:val="00333BBA"/>
    <w:rsid w:val="00334495"/>
    <w:rsid w:val="003346AA"/>
    <w:rsid w:val="00334E5F"/>
    <w:rsid w:val="00334FB1"/>
    <w:rsid w:val="00335DC8"/>
    <w:rsid w:val="00336CB6"/>
    <w:rsid w:val="0034055E"/>
    <w:rsid w:val="00340757"/>
    <w:rsid w:val="003407F5"/>
    <w:rsid w:val="003424F2"/>
    <w:rsid w:val="0034420E"/>
    <w:rsid w:val="00345600"/>
    <w:rsid w:val="00345E00"/>
    <w:rsid w:val="00346382"/>
    <w:rsid w:val="003467DF"/>
    <w:rsid w:val="003476B0"/>
    <w:rsid w:val="003478A7"/>
    <w:rsid w:val="00347FC0"/>
    <w:rsid w:val="003502BD"/>
    <w:rsid w:val="003535F3"/>
    <w:rsid w:val="00353F40"/>
    <w:rsid w:val="003542C3"/>
    <w:rsid w:val="0035432A"/>
    <w:rsid w:val="00354378"/>
    <w:rsid w:val="00355E68"/>
    <w:rsid w:val="00356C2F"/>
    <w:rsid w:val="0035745E"/>
    <w:rsid w:val="00357F27"/>
    <w:rsid w:val="0036081A"/>
    <w:rsid w:val="00360D23"/>
    <w:rsid w:val="003615AA"/>
    <w:rsid w:val="00362287"/>
    <w:rsid w:val="0036239B"/>
    <w:rsid w:val="00362EEC"/>
    <w:rsid w:val="00365704"/>
    <w:rsid w:val="00366211"/>
    <w:rsid w:val="0036649F"/>
    <w:rsid w:val="00366B1F"/>
    <w:rsid w:val="00366BD0"/>
    <w:rsid w:val="00372A42"/>
    <w:rsid w:val="003756C2"/>
    <w:rsid w:val="003759FD"/>
    <w:rsid w:val="00375CB2"/>
    <w:rsid w:val="00375D78"/>
    <w:rsid w:val="00375FF9"/>
    <w:rsid w:val="00376084"/>
    <w:rsid w:val="00376A7A"/>
    <w:rsid w:val="0037726B"/>
    <w:rsid w:val="00381083"/>
    <w:rsid w:val="003814F8"/>
    <w:rsid w:val="003845F0"/>
    <w:rsid w:val="00384CD4"/>
    <w:rsid w:val="0039081C"/>
    <w:rsid w:val="00390A08"/>
    <w:rsid w:val="003913BC"/>
    <w:rsid w:val="0039261C"/>
    <w:rsid w:val="00392E8E"/>
    <w:rsid w:val="00393612"/>
    <w:rsid w:val="00396AF4"/>
    <w:rsid w:val="00397275"/>
    <w:rsid w:val="003976C3"/>
    <w:rsid w:val="003A041E"/>
    <w:rsid w:val="003A04E5"/>
    <w:rsid w:val="003A3079"/>
    <w:rsid w:val="003A39A2"/>
    <w:rsid w:val="003A3DF0"/>
    <w:rsid w:val="003A5AF3"/>
    <w:rsid w:val="003A612E"/>
    <w:rsid w:val="003A65A5"/>
    <w:rsid w:val="003A7773"/>
    <w:rsid w:val="003B0DCB"/>
    <w:rsid w:val="003B37A9"/>
    <w:rsid w:val="003B3ABE"/>
    <w:rsid w:val="003B5C0F"/>
    <w:rsid w:val="003B611F"/>
    <w:rsid w:val="003B633B"/>
    <w:rsid w:val="003B66B5"/>
    <w:rsid w:val="003B69CC"/>
    <w:rsid w:val="003B6F6B"/>
    <w:rsid w:val="003B7B52"/>
    <w:rsid w:val="003C070C"/>
    <w:rsid w:val="003C07F9"/>
    <w:rsid w:val="003C3B93"/>
    <w:rsid w:val="003C63E7"/>
    <w:rsid w:val="003C787D"/>
    <w:rsid w:val="003D0A6B"/>
    <w:rsid w:val="003D0B17"/>
    <w:rsid w:val="003D33AC"/>
    <w:rsid w:val="003D4349"/>
    <w:rsid w:val="003D46A6"/>
    <w:rsid w:val="003D6ED9"/>
    <w:rsid w:val="003E06E5"/>
    <w:rsid w:val="003E3034"/>
    <w:rsid w:val="003E3FA5"/>
    <w:rsid w:val="003E4E43"/>
    <w:rsid w:val="003E6C56"/>
    <w:rsid w:val="003F0742"/>
    <w:rsid w:val="003F14CE"/>
    <w:rsid w:val="003F3562"/>
    <w:rsid w:val="003F4583"/>
    <w:rsid w:val="003F5BF0"/>
    <w:rsid w:val="003F60FC"/>
    <w:rsid w:val="003F7BDD"/>
    <w:rsid w:val="003F7F4F"/>
    <w:rsid w:val="003F7FA6"/>
    <w:rsid w:val="00400647"/>
    <w:rsid w:val="00400ED4"/>
    <w:rsid w:val="004020A8"/>
    <w:rsid w:val="00403660"/>
    <w:rsid w:val="004048E0"/>
    <w:rsid w:val="00404B99"/>
    <w:rsid w:val="00404D3E"/>
    <w:rsid w:val="00404D56"/>
    <w:rsid w:val="004052D7"/>
    <w:rsid w:val="00405B53"/>
    <w:rsid w:val="0040739A"/>
    <w:rsid w:val="00407D1B"/>
    <w:rsid w:val="00411C70"/>
    <w:rsid w:val="00412218"/>
    <w:rsid w:val="004126B6"/>
    <w:rsid w:val="00413302"/>
    <w:rsid w:val="00413B4B"/>
    <w:rsid w:val="0041410D"/>
    <w:rsid w:val="004142DA"/>
    <w:rsid w:val="00414582"/>
    <w:rsid w:val="00414BD0"/>
    <w:rsid w:val="004156BB"/>
    <w:rsid w:val="00416D4F"/>
    <w:rsid w:val="00420411"/>
    <w:rsid w:val="00421F0F"/>
    <w:rsid w:val="0042371F"/>
    <w:rsid w:val="0042493B"/>
    <w:rsid w:val="00424FC4"/>
    <w:rsid w:val="00425D8D"/>
    <w:rsid w:val="00425F66"/>
    <w:rsid w:val="00426EBB"/>
    <w:rsid w:val="0043090E"/>
    <w:rsid w:val="00431FE2"/>
    <w:rsid w:val="0043288B"/>
    <w:rsid w:val="00433F2D"/>
    <w:rsid w:val="00434DF1"/>
    <w:rsid w:val="00437719"/>
    <w:rsid w:val="00440F6F"/>
    <w:rsid w:val="0044275D"/>
    <w:rsid w:val="00443448"/>
    <w:rsid w:val="0044379F"/>
    <w:rsid w:val="00443EBF"/>
    <w:rsid w:val="0044420D"/>
    <w:rsid w:val="004443A6"/>
    <w:rsid w:val="00445084"/>
    <w:rsid w:val="00450413"/>
    <w:rsid w:val="00451467"/>
    <w:rsid w:val="0045265C"/>
    <w:rsid w:val="004536CB"/>
    <w:rsid w:val="004577F1"/>
    <w:rsid w:val="00460108"/>
    <w:rsid w:val="00460B90"/>
    <w:rsid w:val="00463EE8"/>
    <w:rsid w:val="00464705"/>
    <w:rsid w:val="00465445"/>
    <w:rsid w:val="00465A0E"/>
    <w:rsid w:val="004661C3"/>
    <w:rsid w:val="00466A0E"/>
    <w:rsid w:val="004701B0"/>
    <w:rsid w:val="00473707"/>
    <w:rsid w:val="004744FE"/>
    <w:rsid w:val="004752C5"/>
    <w:rsid w:val="0048061C"/>
    <w:rsid w:val="00480665"/>
    <w:rsid w:val="0048181F"/>
    <w:rsid w:val="00481C4A"/>
    <w:rsid w:val="00483890"/>
    <w:rsid w:val="004849D9"/>
    <w:rsid w:val="00484BE5"/>
    <w:rsid w:val="00484DD5"/>
    <w:rsid w:val="00484E86"/>
    <w:rsid w:val="00487AC6"/>
    <w:rsid w:val="00490095"/>
    <w:rsid w:val="0049303B"/>
    <w:rsid w:val="00494378"/>
    <w:rsid w:val="0049559D"/>
    <w:rsid w:val="00495A61"/>
    <w:rsid w:val="00496D79"/>
    <w:rsid w:val="00496FF4"/>
    <w:rsid w:val="00497722"/>
    <w:rsid w:val="00497777"/>
    <w:rsid w:val="004A01BD"/>
    <w:rsid w:val="004A10C5"/>
    <w:rsid w:val="004A2300"/>
    <w:rsid w:val="004A3E18"/>
    <w:rsid w:val="004A493D"/>
    <w:rsid w:val="004A4B1A"/>
    <w:rsid w:val="004A5437"/>
    <w:rsid w:val="004A5780"/>
    <w:rsid w:val="004A6489"/>
    <w:rsid w:val="004A6DE1"/>
    <w:rsid w:val="004A7770"/>
    <w:rsid w:val="004A7BD8"/>
    <w:rsid w:val="004A7D7F"/>
    <w:rsid w:val="004B16FC"/>
    <w:rsid w:val="004B3611"/>
    <w:rsid w:val="004B4179"/>
    <w:rsid w:val="004B6908"/>
    <w:rsid w:val="004C00EF"/>
    <w:rsid w:val="004C0853"/>
    <w:rsid w:val="004C142D"/>
    <w:rsid w:val="004C2729"/>
    <w:rsid w:val="004C2D86"/>
    <w:rsid w:val="004C4768"/>
    <w:rsid w:val="004C52D7"/>
    <w:rsid w:val="004C7B81"/>
    <w:rsid w:val="004D0D5B"/>
    <w:rsid w:val="004D183A"/>
    <w:rsid w:val="004D233D"/>
    <w:rsid w:val="004D238D"/>
    <w:rsid w:val="004D25E1"/>
    <w:rsid w:val="004D345B"/>
    <w:rsid w:val="004D42DE"/>
    <w:rsid w:val="004D5A76"/>
    <w:rsid w:val="004D698C"/>
    <w:rsid w:val="004D7080"/>
    <w:rsid w:val="004E42A8"/>
    <w:rsid w:val="004E51BF"/>
    <w:rsid w:val="004E68A8"/>
    <w:rsid w:val="004F06C8"/>
    <w:rsid w:val="004F273A"/>
    <w:rsid w:val="004F5302"/>
    <w:rsid w:val="004F5495"/>
    <w:rsid w:val="004F76B9"/>
    <w:rsid w:val="004F7FD4"/>
    <w:rsid w:val="00500676"/>
    <w:rsid w:val="00500690"/>
    <w:rsid w:val="005009CE"/>
    <w:rsid w:val="005016F8"/>
    <w:rsid w:val="00503439"/>
    <w:rsid w:val="00503D85"/>
    <w:rsid w:val="00503E11"/>
    <w:rsid w:val="005048F5"/>
    <w:rsid w:val="00504D41"/>
    <w:rsid w:val="005050C6"/>
    <w:rsid w:val="00506049"/>
    <w:rsid w:val="00506374"/>
    <w:rsid w:val="00506D14"/>
    <w:rsid w:val="00507204"/>
    <w:rsid w:val="00507DBB"/>
    <w:rsid w:val="005101CC"/>
    <w:rsid w:val="005104B7"/>
    <w:rsid w:val="005119AB"/>
    <w:rsid w:val="0051262F"/>
    <w:rsid w:val="00512FAC"/>
    <w:rsid w:val="00513057"/>
    <w:rsid w:val="00513E35"/>
    <w:rsid w:val="005143A8"/>
    <w:rsid w:val="005144C7"/>
    <w:rsid w:val="005174BF"/>
    <w:rsid w:val="00520094"/>
    <w:rsid w:val="00521C89"/>
    <w:rsid w:val="005231AF"/>
    <w:rsid w:val="0052342F"/>
    <w:rsid w:val="005239EC"/>
    <w:rsid w:val="00524FD1"/>
    <w:rsid w:val="00525E65"/>
    <w:rsid w:val="00526625"/>
    <w:rsid w:val="005318FC"/>
    <w:rsid w:val="00531A66"/>
    <w:rsid w:val="00532760"/>
    <w:rsid w:val="0053474F"/>
    <w:rsid w:val="005359A0"/>
    <w:rsid w:val="005359B0"/>
    <w:rsid w:val="0053608B"/>
    <w:rsid w:val="005372E7"/>
    <w:rsid w:val="005401CC"/>
    <w:rsid w:val="00540E15"/>
    <w:rsid w:val="0054153D"/>
    <w:rsid w:val="00541A17"/>
    <w:rsid w:val="005422D6"/>
    <w:rsid w:val="00543582"/>
    <w:rsid w:val="00545843"/>
    <w:rsid w:val="0054597A"/>
    <w:rsid w:val="00545E55"/>
    <w:rsid w:val="00546AE2"/>
    <w:rsid w:val="00547AB3"/>
    <w:rsid w:val="00552D69"/>
    <w:rsid w:val="0055604E"/>
    <w:rsid w:val="0055622E"/>
    <w:rsid w:val="00556A72"/>
    <w:rsid w:val="00556AAC"/>
    <w:rsid w:val="00557C92"/>
    <w:rsid w:val="00560E54"/>
    <w:rsid w:val="00563378"/>
    <w:rsid w:val="0056356A"/>
    <w:rsid w:val="00564D87"/>
    <w:rsid w:val="005650C8"/>
    <w:rsid w:val="0056580D"/>
    <w:rsid w:val="005671E0"/>
    <w:rsid w:val="00573106"/>
    <w:rsid w:val="00574766"/>
    <w:rsid w:val="00574A48"/>
    <w:rsid w:val="005761DE"/>
    <w:rsid w:val="00577062"/>
    <w:rsid w:val="00577370"/>
    <w:rsid w:val="00577610"/>
    <w:rsid w:val="00580471"/>
    <w:rsid w:val="005806F4"/>
    <w:rsid w:val="00580CE6"/>
    <w:rsid w:val="005817F3"/>
    <w:rsid w:val="00581DF2"/>
    <w:rsid w:val="005821B9"/>
    <w:rsid w:val="00582586"/>
    <w:rsid w:val="005829AE"/>
    <w:rsid w:val="00583ABE"/>
    <w:rsid w:val="005841A2"/>
    <w:rsid w:val="00585331"/>
    <w:rsid w:val="00585836"/>
    <w:rsid w:val="00585E2A"/>
    <w:rsid w:val="0058632B"/>
    <w:rsid w:val="00591CC9"/>
    <w:rsid w:val="0059319A"/>
    <w:rsid w:val="00595178"/>
    <w:rsid w:val="00595760"/>
    <w:rsid w:val="00596F83"/>
    <w:rsid w:val="005A0C7F"/>
    <w:rsid w:val="005A181C"/>
    <w:rsid w:val="005A6EC5"/>
    <w:rsid w:val="005A6FD5"/>
    <w:rsid w:val="005B0BCF"/>
    <w:rsid w:val="005B1FE4"/>
    <w:rsid w:val="005B31F4"/>
    <w:rsid w:val="005B3CF0"/>
    <w:rsid w:val="005B5CE6"/>
    <w:rsid w:val="005B6FEA"/>
    <w:rsid w:val="005B760C"/>
    <w:rsid w:val="005B76A8"/>
    <w:rsid w:val="005B7822"/>
    <w:rsid w:val="005B7B22"/>
    <w:rsid w:val="005B7BB2"/>
    <w:rsid w:val="005C11E4"/>
    <w:rsid w:val="005C4650"/>
    <w:rsid w:val="005C4C22"/>
    <w:rsid w:val="005C4EA1"/>
    <w:rsid w:val="005D09C3"/>
    <w:rsid w:val="005D27E3"/>
    <w:rsid w:val="005D3707"/>
    <w:rsid w:val="005D3E9B"/>
    <w:rsid w:val="005D4728"/>
    <w:rsid w:val="005D58A2"/>
    <w:rsid w:val="005E3A97"/>
    <w:rsid w:val="005E408C"/>
    <w:rsid w:val="005E65C6"/>
    <w:rsid w:val="005F067A"/>
    <w:rsid w:val="005F2121"/>
    <w:rsid w:val="005F34C6"/>
    <w:rsid w:val="005F3A77"/>
    <w:rsid w:val="005F432B"/>
    <w:rsid w:val="005F4C0E"/>
    <w:rsid w:val="005F5C1C"/>
    <w:rsid w:val="005F6E15"/>
    <w:rsid w:val="00600BED"/>
    <w:rsid w:val="00601A1F"/>
    <w:rsid w:val="00602206"/>
    <w:rsid w:val="00602614"/>
    <w:rsid w:val="00602E90"/>
    <w:rsid w:val="00603378"/>
    <w:rsid w:val="0060372E"/>
    <w:rsid w:val="006044CF"/>
    <w:rsid w:val="00604AEC"/>
    <w:rsid w:val="00604D36"/>
    <w:rsid w:val="00610EC2"/>
    <w:rsid w:val="006112E4"/>
    <w:rsid w:val="00611ED6"/>
    <w:rsid w:val="00612E23"/>
    <w:rsid w:val="00616786"/>
    <w:rsid w:val="00616EBF"/>
    <w:rsid w:val="00621397"/>
    <w:rsid w:val="006225B5"/>
    <w:rsid w:val="0062290E"/>
    <w:rsid w:val="00623745"/>
    <w:rsid w:val="00623793"/>
    <w:rsid w:val="00623959"/>
    <w:rsid w:val="00626B21"/>
    <w:rsid w:val="0063089B"/>
    <w:rsid w:val="00631CE5"/>
    <w:rsid w:val="00632124"/>
    <w:rsid w:val="00632764"/>
    <w:rsid w:val="006341B9"/>
    <w:rsid w:val="00635A32"/>
    <w:rsid w:val="00636761"/>
    <w:rsid w:val="00636768"/>
    <w:rsid w:val="00640F21"/>
    <w:rsid w:val="0064154A"/>
    <w:rsid w:val="00641841"/>
    <w:rsid w:val="00641858"/>
    <w:rsid w:val="00644E32"/>
    <w:rsid w:val="00644EA3"/>
    <w:rsid w:val="00645D90"/>
    <w:rsid w:val="00646770"/>
    <w:rsid w:val="00647008"/>
    <w:rsid w:val="00647875"/>
    <w:rsid w:val="0065121B"/>
    <w:rsid w:val="00652513"/>
    <w:rsid w:val="00653AA2"/>
    <w:rsid w:val="00654DD3"/>
    <w:rsid w:val="0065583E"/>
    <w:rsid w:val="00657746"/>
    <w:rsid w:val="00657A0B"/>
    <w:rsid w:val="006600D3"/>
    <w:rsid w:val="006600E4"/>
    <w:rsid w:val="00660DE0"/>
    <w:rsid w:val="00660E24"/>
    <w:rsid w:val="00663A02"/>
    <w:rsid w:val="00663F92"/>
    <w:rsid w:val="00664081"/>
    <w:rsid w:val="00664A05"/>
    <w:rsid w:val="00665B30"/>
    <w:rsid w:val="00665BDA"/>
    <w:rsid w:val="0066722F"/>
    <w:rsid w:val="00670AA8"/>
    <w:rsid w:val="0067114E"/>
    <w:rsid w:val="00671176"/>
    <w:rsid w:val="00671CD7"/>
    <w:rsid w:val="00673920"/>
    <w:rsid w:val="00673B82"/>
    <w:rsid w:val="00673CC8"/>
    <w:rsid w:val="00676076"/>
    <w:rsid w:val="006769A9"/>
    <w:rsid w:val="00680102"/>
    <w:rsid w:val="0068089B"/>
    <w:rsid w:val="00680F8A"/>
    <w:rsid w:val="00681BF5"/>
    <w:rsid w:val="00682065"/>
    <w:rsid w:val="006863AF"/>
    <w:rsid w:val="00690B30"/>
    <w:rsid w:val="00691F78"/>
    <w:rsid w:val="00692A64"/>
    <w:rsid w:val="00694973"/>
    <w:rsid w:val="0069528F"/>
    <w:rsid w:val="00696402"/>
    <w:rsid w:val="006A224C"/>
    <w:rsid w:val="006A2532"/>
    <w:rsid w:val="006A2649"/>
    <w:rsid w:val="006A5265"/>
    <w:rsid w:val="006A5CB1"/>
    <w:rsid w:val="006A61B4"/>
    <w:rsid w:val="006B11D0"/>
    <w:rsid w:val="006B163D"/>
    <w:rsid w:val="006B2040"/>
    <w:rsid w:val="006B2196"/>
    <w:rsid w:val="006B299D"/>
    <w:rsid w:val="006B2AAB"/>
    <w:rsid w:val="006B3E3A"/>
    <w:rsid w:val="006B4DB6"/>
    <w:rsid w:val="006B561C"/>
    <w:rsid w:val="006B68AB"/>
    <w:rsid w:val="006C017B"/>
    <w:rsid w:val="006C03F9"/>
    <w:rsid w:val="006C0819"/>
    <w:rsid w:val="006C1813"/>
    <w:rsid w:val="006C182B"/>
    <w:rsid w:val="006C24CD"/>
    <w:rsid w:val="006C51BC"/>
    <w:rsid w:val="006D4AF1"/>
    <w:rsid w:val="006D54C2"/>
    <w:rsid w:val="006D57AA"/>
    <w:rsid w:val="006D60EC"/>
    <w:rsid w:val="006D6399"/>
    <w:rsid w:val="006E0771"/>
    <w:rsid w:val="006E2C7B"/>
    <w:rsid w:val="006E3912"/>
    <w:rsid w:val="006E3A0D"/>
    <w:rsid w:val="006E4A61"/>
    <w:rsid w:val="006E4D0F"/>
    <w:rsid w:val="006E61CE"/>
    <w:rsid w:val="006E7373"/>
    <w:rsid w:val="006E7596"/>
    <w:rsid w:val="006E7FE6"/>
    <w:rsid w:val="006F09BB"/>
    <w:rsid w:val="006F219C"/>
    <w:rsid w:val="006F2356"/>
    <w:rsid w:val="006F451F"/>
    <w:rsid w:val="006F4605"/>
    <w:rsid w:val="006F4AD8"/>
    <w:rsid w:val="006F58BB"/>
    <w:rsid w:val="006F64FC"/>
    <w:rsid w:val="006F714C"/>
    <w:rsid w:val="006F7A3A"/>
    <w:rsid w:val="00700244"/>
    <w:rsid w:val="00700949"/>
    <w:rsid w:val="00704283"/>
    <w:rsid w:val="00704330"/>
    <w:rsid w:val="007050A2"/>
    <w:rsid w:val="00705148"/>
    <w:rsid w:val="007068A2"/>
    <w:rsid w:val="007069E8"/>
    <w:rsid w:val="0071018E"/>
    <w:rsid w:val="00710E48"/>
    <w:rsid w:val="007111EE"/>
    <w:rsid w:val="0071282A"/>
    <w:rsid w:val="00713EAA"/>
    <w:rsid w:val="00715BE1"/>
    <w:rsid w:val="00716148"/>
    <w:rsid w:val="007169E4"/>
    <w:rsid w:val="00716E9D"/>
    <w:rsid w:val="007178A4"/>
    <w:rsid w:val="00721F10"/>
    <w:rsid w:val="00730300"/>
    <w:rsid w:val="007314CD"/>
    <w:rsid w:val="0073187D"/>
    <w:rsid w:val="007326A5"/>
    <w:rsid w:val="00735135"/>
    <w:rsid w:val="007354A6"/>
    <w:rsid w:val="007364AC"/>
    <w:rsid w:val="007402D8"/>
    <w:rsid w:val="00740977"/>
    <w:rsid w:val="00742258"/>
    <w:rsid w:val="00742CB0"/>
    <w:rsid w:val="00743031"/>
    <w:rsid w:val="00743DDE"/>
    <w:rsid w:val="00743F50"/>
    <w:rsid w:val="00744DD4"/>
    <w:rsid w:val="007458AB"/>
    <w:rsid w:val="0074626F"/>
    <w:rsid w:val="0074658F"/>
    <w:rsid w:val="00747298"/>
    <w:rsid w:val="00750FC4"/>
    <w:rsid w:val="0075254B"/>
    <w:rsid w:val="0075547C"/>
    <w:rsid w:val="00755943"/>
    <w:rsid w:val="00757205"/>
    <w:rsid w:val="00757DE8"/>
    <w:rsid w:val="007604DB"/>
    <w:rsid w:val="00761AA3"/>
    <w:rsid w:val="00761C9A"/>
    <w:rsid w:val="00762F6A"/>
    <w:rsid w:val="007642BC"/>
    <w:rsid w:val="00764E4C"/>
    <w:rsid w:val="00765717"/>
    <w:rsid w:val="00765772"/>
    <w:rsid w:val="007718C0"/>
    <w:rsid w:val="0077395D"/>
    <w:rsid w:val="00774E35"/>
    <w:rsid w:val="00776220"/>
    <w:rsid w:val="007767C0"/>
    <w:rsid w:val="00776D1E"/>
    <w:rsid w:val="00781127"/>
    <w:rsid w:val="0078128F"/>
    <w:rsid w:val="00783876"/>
    <w:rsid w:val="00784035"/>
    <w:rsid w:val="0078498C"/>
    <w:rsid w:val="00784B40"/>
    <w:rsid w:val="00784DDC"/>
    <w:rsid w:val="00785B51"/>
    <w:rsid w:val="00785EF1"/>
    <w:rsid w:val="00786756"/>
    <w:rsid w:val="00787E2C"/>
    <w:rsid w:val="00791294"/>
    <w:rsid w:val="007917DD"/>
    <w:rsid w:val="00791AB8"/>
    <w:rsid w:val="00792F6D"/>
    <w:rsid w:val="007931E5"/>
    <w:rsid w:val="007932A1"/>
    <w:rsid w:val="00795143"/>
    <w:rsid w:val="007953F0"/>
    <w:rsid w:val="00797836"/>
    <w:rsid w:val="007A07DC"/>
    <w:rsid w:val="007A0F13"/>
    <w:rsid w:val="007A14D4"/>
    <w:rsid w:val="007A1D3E"/>
    <w:rsid w:val="007A1E69"/>
    <w:rsid w:val="007A1FB9"/>
    <w:rsid w:val="007A2845"/>
    <w:rsid w:val="007A286A"/>
    <w:rsid w:val="007A2A48"/>
    <w:rsid w:val="007A35B0"/>
    <w:rsid w:val="007A367C"/>
    <w:rsid w:val="007A3C0A"/>
    <w:rsid w:val="007A3C9B"/>
    <w:rsid w:val="007A7689"/>
    <w:rsid w:val="007B1492"/>
    <w:rsid w:val="007B238A"/>
    <w:rsid w:val="007B34E2"/>
    <w:rsid w:val="007B6040"/>
    <w:rsid w:val="007B6CF3"/>
    <w:rsid w:val="007B7016"/>
    <w:rsid w:val="007B7751"/>
    <w:rsid w:val="007B7FA3"/>
    <w:rsid w:val="007C0245"/>
    <w:rsid w:val="007C077D"/>
    <w:rsid w:val="007C1485"/>
    <w:rsid w:val="007C3577"/>
    <w:rsid w:val="007C401E"/>
    <w:rsid w:val="007C41EF"/>
    <w:rsid w:val="007C70AB"/>
    <w:rsid w:val="007D0178"/>
    <w:rsid w:val="007D25A4"/>
    <w:rsid w:val="007D42BA"/>
    <w:rsid w:val="007D571B"/>
    <w:rsid w:val="007D5C31"/>
    <w:rsid w:val="007D688E"/>
    <w:rsid w:val="007D694E"/>
    <w:rsid w:val="007D6C5E"/>
    <w:rsid w:val="007D798D"/>
    <w:rsid w:val="007E0F77"/>
    <w:rsid w:val="007E129F"/>
    <w:rsid w:val="007E13AC"/>
    <w:rsid w:val="007E2924"/>
    <w:rsid w:val="007E293B"/>
    <w:rsid w:val="007E2CEE"/>
    <w:rsid w:val="007E3286"/>
    <w:rsid w:val="007E4022"/>
    <w:rsid w:val="007E4EBC"/>
    <w:rsid w:val="007E59DD"/>
    <w:rsid w:val="007E7A46"/>
    <w:rsid w:val="007F0706"/>
    <w:rsid w:val="007F1AC5"/>
    <w:rsid w:val="007F2AA6"/>
    <w:rsid w:val="007F300E"/>
    <w:rsid w:val="007F4257"/>
    <w:rsid w:val="007F42A3"/>
    <w:rsid w:val="007F51C7"/>
    <w:rsid w:val="007F6028"/>
    <w:rsid w:val="007F6EDF"/>
    <w:rsid w:val="00801F7F"/>
    <w:rsid w:val="00802222"/>
    <w:rsid w:val="00803424"/>
    <w:rsid w:val="00805A60"/>
    <w:rsid w:val="00806F44"/>
    <w:rsid w:val="00807DBF"/>
    <w:rsid w:val="008102BD"/>
    <w:rsid w:val="00811072"/>
    <w:rsid w:val="00812A57"/>
    <w:rsid w:val="00815961"/>
    <w:rsid w:val="00815EE1"/>
    <w:rsid w:val="00816E63"/>
    <w:rsid w:val="00820A98"/>
    <w:rsid w:val="008213AE"/>
    <w:rsid w:val="00823848"/>
    <w:rsid w:val="00825FEC"/>
    <w:rsid w:val="00827951"/>
    <w:rsid w:val="00827AF3"/>
    <w:rsid w:val="00827E1A"/>
    <w:rsid w:val="00830D0E"/>
    <w:rsid w:val="00831185"/>
    <w:rsid w:val="0083295D"/>
    <w:rsid w:val="00832B11"/>
    <w:rsid w:val="00832C1C"/>
    <w:rsid w:val="008336C8"/>
    <w:rsid w:val="00835AD4"/>
    <w:rsid w:val="00835BFD"/>
    <w:rsid w:val="008361A5"/>
    <w:rsid w:val="00837406"/>
    <w:rsid w:val="008422D5"/>
    <w:rsid w:val="008423A9"/>
    <w:rsid w:val="008429F9"/>
    <w:rsid w:val="008438CE"/>
    <w:rsid w:val="008443A6"/>
    <w:rsid w:val="00847FCC"/>
    <w:rsid w:val="00850E62"/>
    <w:rsid w:val="008524DD"/>
    <w:rsid w:val="00852E8D"/>
    <w:rsid w:val="008541DA"/>
    <w:rsid w:val="0085722F"/>
    <w:rsid w:val="0085770E"/>
    <w:rsid w:val="00857D2B"/>
    <w:rsid w:val="00861058"/>
    <w:rsid w:val="00862E22"/>
    <w:rsid w:val="00864F27"/>
    <w:rsid w:val="008668AE"/>
    <w:rsid w:val="008670F9"/>
    <w:rsid w:val="0087177D"/>
    <w:rsid w:val="00871C9B"/>
    <w:rsid w:val="00871D0C"/>
    <w:rsid w:val="008721F2"/>
    <w:rsid w:val="00872344"/>
    <w:rsid w:val="00872623"/>
    <w:rsid w:val="00872FCF"/>
    <w:rsid w:val="008738AE"/>
    <w:rsid w:val="008741C7"/>
    <w:rsid w:val="00875066"/>
    <w:rsid w:val="00876918"/>
    <w:rsid w:val="00876CCC"/>
    <w:rsid w:val="008801E4"/>
    <w:rsid w:val="00890452"/>
    <w:rsid w:val="00890A75"/>
    <w:rsid w:val="00890D67"/>
    <w:rsid w:val="00891AB0"/>
    <w:rsid w:val="0089465D"/>
    <w:rsid w:val="008948BA"/>
    <w:rsid w:val="00894D22"/>
    <w:rsid w:val="00894E94"/>
    <w:rsid w:val="00894FEA"/>
    <w:rsid w:val="00896FA5"/>
    <w:rsid w:val="008970B4"/>
    <w:rsid w:val="00897B4E"/>
    <w:rsid w:val="00897F58"/>
    <w:rsid w:val="008A0242"/>
    <w:rsid w:val="008A28E2"/>
    <w:rsid w:val="008A58A0"/>
    <w:rsid w:val="008A75BF"/>
    <w:rsid w:val="008B00D7"/>
    <w:rsid w:val="008B1398"/>
    <w:rsid w:val="008B32F1"/>
    <w:rsid w:val="008B3472"/>
    <w:rsid w:val="008B4F13"/>
    <w:rsid w:val="008B5559"/>
    <w:rsid w:val="008B56BA"/>
    <w:rsid w:val="008B57BA"/>
    <w:rsid w:val="008B766A"/>
    <w:rsid w:val="008C272F"/>
    <w:rsid w:val="008C2EC6"/>
    <w:rsid w:val="008C49E6"/>
    <w:rsid w:val="008D0642"/>
    <w:rsid w:val="008D38C0"/>
    <w:rsid w:val="008D3FF2"/>
    <w:rsid w:val="008D42F2"/>
    <w:rsid w:val="008D5399"/>
    <w:rsid w:val="008D5836"/>
    <w:rsid w:val="008D7FEF"/>
    <w:rsid w:val="008E0DFF"/>
    <w:rsid w:val="008E1985"/>
    <w:rsid w:val="008E20F4"/>
    <w:rsid w:val="008E24BA"/>
    <w:rsid w:val="008E2905"/>
    <w:rsid w:val="008E500F"/>
    <w:rsid w:val="008E6340"/>
    <w:rsid w:val="008E6BB0"/>
    <w:rsid w:val="008E71D1"/>
    <w:rsid w:val="008E76B1"/>
    <w:rsid w:val="008E7C78"/>
    <w:rsid w:val="008F103A"/>
    <w:rsid w:val="008F1DAB"/>
    <w:rsid w:val="008F20E1"/>
    <w:rsid w:val="008F3551"/>
    <w:rsid w:val="008F3622"/>
    <w:rsid w:val="008F4C9C"/>
    <w:rsid w:val="008F5D94"/>
    <w:rsid w:val="008F5E80"/>
    <w:rsid w:val="008F6748"/>
    <w:rsid w:val="008F6CF3"/>
    <w:rsid w:val="0090038D"/>
    <w:rsid w:val="00900545"/>
    <w:rsid w:val="00900C2E"/>
    <w:rsid w:val="00901207"/>
    <w:rsid w:val="0090275F"/>
    <w:rsid w:val="00902CEE"/>
    <w:rsid w:val="00902F37"/>
    <w:rsid w:val="00904298"/>
    <w:rsid w:val="00904410"/>
    <w:rsid w:val="009060AB"/>
    <w:rsid w:val="0090760D"/>
    <w:rsid w:val="00911DF4"/>
    <w:rsid w:val="009129B8"/>
    <w:rsid w:val="009137AB"/>
    <w:rsid w:val="00914153"/>
    <w:rsid w:val="00914A26"/>
    <w:rsid w:val="00916B1D"/>
    <w:rsid w:val="00916C1F"/>
    <w:rsid w:val="0091749A"/>
    <w:rsid w:val="00917DC2"/>
    <w:rsid w:val="00924B8B"/>
    <w:rsid w:val="009259C1"/>
    <w:rsid w:val="009262D4"/>
    <w:rsid w:val="00926741"/>
    <w:rsid w:val="00926CEC"/>
    <w:rsid w:val="00926D30"/>
    <w:rsid w:val="00926F35"/>
    <w:rsid w:val="009321EB"/>
    <w:rsid w:val="0093287A"/>
    <w:rsid w:val="00932F14"/>
    <w:rsid w:val="0093368C"/>
    <w:rsid w:val="009336B1"/>
    <w:rsid w:val="00933AB2"/>
    <w:rsid w:val="00934819"/>
    <w:rsid w:val="009350CF"/>
    <w:rsid w:val="009358AC"/>
    <w:rsid w:val="0093665C"/>
    <w:rsid w:val="009367A4"/>
    <w:rsid w:val="00940555"/>
    <w:rsid w:val="00943C76"/>
    <w:rsid w:val="0094453A"/>
    <w:rsid w:val="00945EB2"/>
    <w:rsid w:val="0094633E"/>
    <w:rsid w:val="00950AD1"/>
    <w:rsid w:val="00957BD6"/>
    <w:rsid w:val="009611FF"/>
    <w:rsid w:val="00963E3D"/>
    <w:rsid w:val="009644E3"/>
    <w:rsid w:val="00964704"/>
    <w:rsid w:val="00964911"/>
    <w:rsid w:val="00964D0B"/>
    <w:rsid w:val="0096532E"/>
    <w:rsid w:val="00966AE8"/>
    <w:rsid w:val="00967595"/>
    <w:rsid w:val="00970E91"/>
    <w:rsid w:val="0097142E"/>
    <w:rsid w:val="00972285"/>
    <w:rsid w:val="00975D4E"/>
    <w:rsid w:val="009764E8"/>
    <w:rsid w:val="00976818"/>
    <w:rsid w:val="009778CE"/>
    <w:rsid w:val="009807DB"/>
    <w:rsid w:val="00983381"/>
    <w:rsid w:val="009834B7"/>
    <w:rsid w:val="00983F21"/>
    <w:rsid w:val="0098438E"/>
    <w:rsid w:val="00984948"/>
    <w:rsid w:val="009851FC"/>
    <w:rsid w:val="009874B7"/>
    <w:rsid w:val="009876D1"/>
    <w:rsid w:val="00987942"/>
    <w:rsid w:val="0099085E"/>
    <w:rsid w:val="00991587"/>
    <w:rsid w:val="00993254"/>
    <w:rsid w:val="00995034"/>
    <w:rsid w:val="00995E15"/>
    <w:rsid w:val="00995FAC"/>
    <w:rsid w:val="009961E1"/>
    <w:rsid w:val="00996D4B"/>
    <w:rsid w:val="00997827"/>
    <w:rsid w:val="009A0B40"/>
    <w:rsid w:val="009A0C30"/>
    <w:rsid w:val="009A0CF2"/>
    <w:rsid w:val="009A1571"/>
    <w:rsid w:val="009A4630"/>
    <w:rsid w:val="009A58AD"/>
    <w:rsid w:val="009B1056"/>
    <w:rsid w:val="009B20FD"/>
    <w:rsid w:val="009B2519"/>
    <w:rsid w:val="009B3776"/>
    <w:rsid w:val="009B3B8E"/>
    <w:rsid w:val="009B3F84"/>
    <w:rsid w:val="009B414E"/>
    <w:rsid w:val="009B4B19"/>
    <w:rsid w:val="009B5B7F"/>
    <w:rsid w:val="009B5B82"/>
    <w:rsid w:val="009B6012"/>
    <w:rsid w:val="009B7196"/>
    <w:rsid w:val="009B72D4"/>
    <w:rsid w:val="009C0253"/>
    <w:rsid w:val="009C052A"/>
    <w:rsid w:val="009C080E"/>
    <w:rsid w:val="009C28B1"/>
    <w:rsid w:val="009C478E"/>
    <w:rsid w:val="009C4B2E"/>
    <w:rsid w:val="009C5274"/>
    <w:rsid w:val="009C72E7"/>
    <w:rsid w:val="009C7D6F"/>
    <w:rsid w:val="009D129B"/>
    <w:rsid w:val="009D305C"/>
    <w:rsid w:val="009D33F7"/>
    <w:rsid w:val="009D37BB"/>
    <w:rsid w:val="009D7482"/>
    <w:rsid w:val="009E00BC"/>
    <w:rsid w:val="009E1049"/>
    <w:rsid w:val="009E1B66"/>
    <w:rsid w:val="009E4E86"/>
    <w:rsid w:val="009E5050"/>
    <w:rsid w:val="009E5912"/>
    <w:rsid w:val="009F021D"/>
    <w:rsid w:val="009F07FE"/>
    <w:rsid w:val="009F2C00"/>
    <w:rsid w:val="009F433E"/>
    <w:rsid w:val="009F43D7"/>
    <w:rsid w:val="009F5AD0"/>
    <w:rsid w:val="009F6B0A"/>
    <w:rsid w:val="009F6CBE"/>
    <w:rsid w:val="009F7046"/>
    <w:rsid w:val="009F78DD"/>
    <w:rsid w:val="00A00901"/>
    <w:rsid w:val="00A04821"/>
    <w:rsid w:val="00A04ED5"/>
    <w:rsid w:val="00A071E2"/>
    <w:rsid w:val="00A0760D"/>
    <w:rsid w:val="00A132A8"/>
    <w:rsid w:val="00A13A5B"/>
    <w:rsid w:val="00A1414D"/>
    <w:rsid w:val="00A14FFA"/>
    <w:rsid w:val="00A15EBF"/>
    <w:rsid w:val="00A20930"/>
    <w:rsid w:val="00A20E32"/>
    <w:rsid w:val="00A21571"/>
    <w:rsid w:val="00A21A38"/>
    <w:rsid w:val="00A23914"/>
    <w:rsid w:val="00A24791"/>
    <w:rsid w:val="00A24A08"/>
    <w:rsid w:val="00A2534A"/>
    <w:rsid w:val="00A253A8"/>
    <w:rsid w:val="00A2752C"/>
    <w:rsid w:val="00A27EFF"/>
    <w:rsid w:val="00A30369"/>
    <w:rsid w:val="00A30769"/>
    <w:rsid w:val="00A30A2A"/>
    <w:rsid w:val="00A30C25"/>
    <w:rsid w:val="00A3102C"/>
    <w:rsid w:val="00A33A75"/>
    <w:rsid w:val="00A34925"/>
    <w:rsid w:val="00A36338"/>
    <w:rsid w:val="00A365B3"/>
    <w:rsid w:val="00A42D62"/>
    <w:rsid w:val="00A43D10"/>
    <w:rsid w:val="00A440EC"/>
    <w:rsid w:val="00A45B7F"/>
    <w:rsid w:val="00A52FA1"/>
    <w:rsid w:val="00A532E8"/>
    <w:rsid w:val="00A542FD"/>
    <w:rsid w:val="00A55E87"/>
    <w:rsid w:val="00A55FDE"/>
    <w:rsid w:val="00A56C53"/>
    <w:rsid w:val="00A56C7C"/>
    <w:rsid w:val="00A61367"/>
    <w:rsid w:val="00A615B6"/>
    <w:rsid w:val="00A63FEF"/>
    <w:rsid w:val="00A663A1"/>
    <w:rsid w:val="00A704BF"/>
    <w:rsid w:val="00A706B6"/>
    <w:rsid w:val="00A7189B"/>
    <w:rsid w:val="00A73A0B"/>
    <w:rsid w:val="00A748DF"/>
    <w:rsid w:val="00A75201"/>
    <w:rsid w:val="00A76AC1"/>
    <w:rsid w:val="00A77956"/>
    <w:rsid w:val="00A80420"/>
    <w:rsid w:val="00A80D67"/>
    <w:rsid w:val="00A81170"/>
    <w:rsid w:val="00A81521"/>
    <w:rsid w:val="00A84686"/>
    <w:rsid w:val="00A85604"/>
    <w:rsid w:val="00A85D58"/>
    <w:rsid w:val="00A86B49"/>
    <w:rsid w:val="00A86BD6"/>
    <w:rsid w:val="00A90B24"/>
    <w:rsid w:val="00A917CD"/>
    <w:rsid w:val="00A9260B"/>
    <w:rsid w:val="00A92E46"/>
    <w:rsid w:val="00A934AA"/>
    <w:rsid w:val="00A936BA"/>
    <w:rsid w:val="00A9416E"/>
    <w:rsid w:val="00A94279"/>
    <w:rsid w:val="00A94367"/>
    <w:rsid w:val="00A95C55"/>
    <w:rsid w:val="00A96D1C"/>
    <w:rsid w:val="00AA19AF"/>
    <w:rsid w:val="00AA1E6E"/>
    <w:rsid w:val="00AA4228"/>
    <w:rsid w:val="00AA4DF0"/>
    <w:rsid w:val="00AA4E76"/>
    <w:rsid w:val="00AA567B"/>
    <w:rsid w:val="00AA7796"/>
    <w:rsid w:val="00AB0637"/>
    <w:rsid w:val="00AB23A5"/>
    <w:rsid w:val="00AB4D8D"/>
    <w:rsid w:val="00AB5CCF"/>
    <w:rsid w:val="00AB7A54"/>
    <w:rsid w:val="00AB7A91"/>
    <w:rsid w:val="00AC047E"/>
    <w:rsid w:val="00AC0963"/>
    <w:rsid w:val="00AC1A51"/>
    <w:rsid w:val="00AC4764"/>
    <w:rsid w:val="00AC5F5B"/>
    <w:rsid w:val="00AC60AF"/>
    <w:rsid w:val="00AD0499"/>
    <w:rsid w:val="00AD0C6F"/>
    <w:rsid w:val="00AD2A48"/>
    <w:rsid w:val="00AD4CDF"/>
    <w:rsid w:val="00AD5B04"/>
    <w:rsid w:val="00AD5F19"/>
    <w:rsid w:val="00AE29FC"/>
    <w:rsid w:val="00AE2B5E"/>
    <w:rsid w:val="00AE47A1"/>
    <w:rsid w:val="00AE7D00"/>
    <w:rsid w:val="00AF07C3"/>
    <w:rsid w:val="00AF13E5"/>
    <w:rsid w:val="00AF22BC"/>
    <w:rsid w:val="00AF37C7"/>
    <w:rsid w:val="00AF4CEE"/>
    <w:rsid w:val="00AF60AE"/>
    <w:rsid w:val="00AF6755"/>
    <w:rsid w:val="00AF724E"/>
    <w:rsid w:val="00B01094"/>
    <w:rsid w:val="00B012B8"/>
    <w:rsid w:val="00B02F78"/>
    <w:rsid w:val="00B03D7F"/>
    <w:rsid w:val="00B0491B"/>
    <w:rsid w:val="00B0678F"/>
    <w:rsid w:val="00B067E6"/>
    <w:rsid w:val="00B132C7"/>
    <w:rsid w:val="00B13BEE"/>
    <w:rsid w:val="00B159D1"/>
    <w:rsid w:val="00B15D41"/>
    <w:rsid w:val="00B1689E"/>
    <w:rsid w:val="00B169E9"/>
    <w:rsid w:val="00B1743E"/>
    <w:rsid w:val="00B20435"/>
    <w:rsid w:val="00B206C6"/>
    <w:rsid w:val="00B21B09"/>
    <w:rsid w:val="00B21C1B"/>
    <w:rsid w:val="00B2200C"/>
    <w:rsid w:val="00B23BA7"/>
    <w:rsid w:val="00B24B01"/>
    <w:rsid w:val="00B251F7"/>
    <w:rsid w:val="00B30618"/>
    <w:rsid w:val="00B306ED"/>
    <w:rsid w:val="00B32314"/>
    <w:rsid w:val="00B32371"/>
    <w:rsid w:val="00B328A2"/>
    <w:rsid w:val="00B33A48"/>
    <w:rsid w:val="00B343AC"/>
    <w:rsid w:val="00B3697C"/>
    <w:rsid w:val="00B37242"/>
    <w:rsid w:val="00B37F13"/>
    <w:rsid w:val="00B40B3B"/>
    <w:rsid w:val="00B41882"/>
    <w:rsid w:val="00B41AB5"/>
    <w:rsid w:val="00B42B27"/>
    <w:rsid w:val="00B440AC"/>
    <w:rsid w:val="00B441C6"/>
    <w:rsid w:val="00B44316"/>
    <w:rsid w:val="00B45062"/>
    <w:rsid w:val="00B453E7"/>
    <w:rsid w:val="00B465FD"/>
    <w:rsid w:val="00B504F4"/>
    <w:rsid w:val="00B508A6"/>
    <w:rsid w:val="00B5166C"/>
    <w:rsid w:val="00B52963"/>
    <w:rsid w:val="00B52AFF"/>
    <w:rsid w:val="00B52EA6"/>
    <w:rsid w:val="00B5364F"/>
    <w:rsid w:val="00B53814"/>
    <w:rsid w:val="00B5409F"/>
    <w:rsid w:val="00B54FBF"/>
    <w:rsid w:val="00B55734"/>
    <w:rsid w:val="00B56359"/>
    <w:rsid w:val="00B56484"/>
    <w:rsid w:val="00B56D97"/>
    <w:rsid w:val="00B61537"/>
    <w:rsid w:val="00B61837"/>
    <w:rsid w:val="00B658B0"/>
    <w:rsid w:val="00B67531"/>
    <w:rsid w:val="00B702E2"/>
    <w:rsid w:val="00B70D04"/>
    <w:rsid w:val="00B7289E"/>
    <w:rsid w:val="00B76C15"/>
    <w:rsid w:val="00B77052"/>
    <w:rsid w:val="00B77827"/>
    <w:rsid w:val="00B80030"/>
    <w:rsid w:val="00B807D3"/>
    <w:rsid w:val="00B808F6"/>
    <w:rsid w:val="00B80EE6"/>
    <w:rsid w:val="00B81737"/>
    <w:rsid w:val="00B817FB"/>
    <w:rsid w:val="00B82394"/>
    <w:rsid w:val="00B84D2C"/>
    <w:rsid w:val="00B85417"/>
    <w:rsid w:val="00B85834"/>
    <w:rsid w:val="00B86505"/>
    <w:rsid w:val="00B86931"/>
    <w:rsid w:val="00B87D23"/>
    <w:rsid w:val="00B87FAD"/>
    <w:rsid w:val="00B92754"/>
    <w:rsid w:val="00B94FFC"/>
    <w:rsid w:val="00B95D25"/>
    <w:rsid w:val="00B9610E"/>
    <w:rsid w:val="00B9613B"/>
    <w:rsid w:val="00B970F7"/>
    <w:rsid w:val="00BA0148"/>
    <w:rsid w:val="00BA2F49"/>
    <w:rsid w:val="00BA4786"/>
    <w:rsid w:val="00BA59CF"/>
    <w:rsid w:val="00BA5B31"/>
    <w:rsid w:val="00BA5B37"/>
    <w:rsid w:val="00BA7155"/>
    <w:rsid w:val="00BA79D1"/>
    <w:rsid w:val="00BB0C2C"/>
    <w:rsid w:val="00BB0D1D"/>
    <w:rsid w:val="00BB0E80"/>
    <w:rsid w:val="00BB10C4"/>
    <w:rsid w:val="00BB148B"/>
    <w:rsid w:val="00BB1864"/>
    <w:rsid w:val="00BB2566"/>
    <w:rsid w:val="00BB491A"/>
    <w:rsid w:val="00BB5EE0"/>
    <w:rsid w:val="00BB7135"/>
    <w:rsid w:val="00BC0F2B"/>
    <w:rsid w:val="00BC125F"/>
    <w:rsid w:val="00BC2448"/>
    <w:rsid w:val="00BC37D3"/>
    <w:rsid w:val="00BC5AC8"/>
    <w:rsid w:val="00BC761D"/>
    <w:rsid w:val="00BC7B7C"/>
    <w:rsid w:val="00BD1967"/>
    <w:rsid w:val="00BD23B6"/>
    <w:rsid w:val="00BD3AF4"/>
    <w:rsid w:val="00BD3C9D"/>
    <w:rsid w:val="00BD3F42"/>
    <w:rsid w:val="00BD6AA6"/>
    <w:rsid w:val="00BD71B2"/>
    <w:rsid w:val="00BD7835"/>
    <w:rsid w:val="00BE0335"/>
    <w:rsid w:val="00BE06E5"/>
    <w:rsid w:val="00BE0DC5"/>
    <w:rsid w:val="00BE167D"/>
    <w:rsid w:val="00BE1EB7"/>
    <w:rsid w:val="00BE23C8"/>
    <w:rsid w:val="00BE2B78"/>
    <w:rsid w:val="00BE5EF4"/>
    <w:rsid w:val="00BE6BC1"/>
    <w:rsid w:val="00BE6FB7"/>
    <w:rsid w:val="00BF0674"/>
    <w:rsid w:val="00BF084D"/>
    <w:rsid w:val="00BF24FC"/>
    <w:rsid w:val="00BF48AA"/>
    <w:rsid w:val="00BF4E1B"/>
    <w:rsid w:val="00BF67CA"/>
    <w:rsid w:val="00BF70D1"/>
    <w:rsid w:val="00C01024"/>
    <w:rsid w:val="00C012F1"/>
    <w:rsid w:val="00C01EDD"/>
    <w:rsid w:val="00C03B92"/>
    <w:rsid w:val="00C03C7A"/>
    <w:rsid w:val="00C072C7"/>
    <w:rsid w:val="00C112D9"/>
    <w:rsid w:val="00C1305B"/>
    <w:rsid w:val="00C14289"/>
    <w:rsid w:val="00C146DC"/>
    <w:rsid w:val="00C153A9"/>
    <w:rsid w:val="00C15714"/>
    <w:rsid w:val="00C15CBB"/>
    <w:rsid w:val="00C15D2A"/>
    <w:rsid w:val="00C15EBA"/>
    <w:rsid w:val="00C17015"/>
    <w:rsid w:val="00C17263"/>
    <w:rsid w:val="00C178C7"/>
    <w:rsid w:val="00C20124"/>
    <w:rsid w:val="00C207BE"/>
    <w:rsid w:val="00C209CC"/>
    <w:rsid w:val="00C2147B"/>
    <w:rsid w:val="00C223AE"/>
    <w:rsid w:val="00C24A2E"/>
    <w:rsid w:val="00C24B52"/>
    <w:rsid w:val="00C25FCE"/>
    <w:rsid w:val="00C2686E"/>
    <w:rsid w:val="00C26953"/>
    <w:rsid w:val="00C31816"/>
    <w:rsid w:val="00C32872"/>
    <w:rsid w:val="00C33C5D"/>
    <w:rsid w:val="00C34C5B"/>
    <w:rsid w:val="00C35646"/>
    <w:rsid w:val="00C36368"/>
    <w:rsid w:val="00C40CFB"/>
    <w:rsid w:val="00C4134B"/>
    <w:rsid w:val="00C41395"/>
    <w:rsid w:val="00C41677"/>
    <w:rsid w:val="00C416B6"/>
    <w:rsid w:val="00C424D3"/>
    <w:rsid w:val="00C457B3"/>
    <w:rsid w:val="00C45ABE"/>
    <w:rsid w:val="00C45CB5"/>
    <w:rsid w:val="00C4631A"/>
    <w:rsid w:val="00C467C2"/>
    <w:rsid w:val="00C47F5D"/>
    <w:rsid w:val="00C50451"/>
    <w:rsid w:val="00C51DE8"/>
    <w:rsid w:val="00C51ED6"/>
    <w:rsid w:val="00C520A1"/>
    <w:rsid w:val="00C55DD3"/>
    <w:rsid w:val="00C56953"/>
    <w:rsid w:val="00C57EC8"/>
    <w:rsid w:val="00C62112"/>
    <w:rsid w:val="00C623B9"/>
    <w:rsid w:val="00C6257B"/>
    <w:rsid w:val="00C639F5"/>
    <w:rsid w:val="00C63B3F"/>
    <w:rsid w:val="00C64678"/>
    <w:rsid w:val="00C64C4E"/>
    <w:rsid w:val="00C65700"/>
    <w:rsid w:val="00C65A70"/>
    <w:rsid w:val="00C668AB"/>
    <w:rsid w:val="00C67978"/>
    <w:rsid w:val="00C725C2"/>
    <w:rsid w:val="00C72A1A"/>
    <w:rsid w:val="00C72B35"/>
    <w:rsid w:val="00C743D7"/>
    <w:rsid w:val="00C745D3"/>
    <w:rsid w:val="00C74AF3"/>
    <w:rsid w:val="00C763F9"/>
    <w:rsid w:val="00C770D3"/>
    <w:rsid w:val="00C82E5C"/>
    <w:rsid w:val="00C8309C"/>
    <w:rsid w:val="00C85382"/>
    <w:rsid w:val="00C8552B"/>
    <w:rsid w:val="00C85B0A"/>
    <w:rsid w:val="00C86770"/>
    <w:rsid w:val="00C875C3"/>
    <w:rsid w:val="00C91039"/>
    <w:rsid w:val="00C928F6"/>
    <w:rsid w:val="00C93FB8"/>
    <w:rsid w:val="00C94260"/>
    <w:rsid w:val="00C94E45"/>
    <w:rsid w:val="00C95480"/>
    <w:rsid w:val="00C95C25"/>
    <w:rsid w:val="00C96173"/>
    <w:rsid w:val="00C9655A"/>
    <w:rsid w:val="00C9685F"/>
    <w:rsid w:val="00C96FD7"/>
    <w:rsid w:val="00CA00D2"/>
    <w:rsid w:val="00CA0B19"/>
    <w:rsid w:val="00CA0F4D"/>
    <w:rsid w:val="00CA24AD"/>
    <w:rsid w:val="00CA3241"/>
    <w:rsid w:val="00CA37E4"/>
    <w:rsid w:val="00CA3C46"/>
    <w:rsid w:val="00CA4484"/>
    <w:rsid w:val="00CA44EA"/>
    <w:rsid w:val="00CA493E"/>
    <w:rsid w:val="00CA6685"/>
    <w:rsid w:val="00CA70C9"/>
    <w:rsid w:val="00CA7444"/>
    <w:rsid w:val="00CB0D64"/>
    <w:rsid w:val="00CB431B"/>
    <w:rsid w:val="00CB647E"/>
    <w:rsid w:val="00CB6E6C"/>
    <w:rsid w:val="00CB7140"/>
    <w:rsid w:val="00CB7E0E"/>
    <w:rsid w:val="00CC010D"/>
    <w:rsid w:val="00CC0689"/>
    <w:rsid w:val="00CC23A4"/>
    <w:rsid w:val="00CC422E"/>
    <w:rsid w:val="00CC5BFB"/>
    <w:rsid w:val="00CC7AC2"/>
    <w:rsid w:val="00CC7B17"/>
    <w:rsid w:val="00CC7CC3"/>
    <w:rsid w:val="00CD019B"/>
    <w:rsid w:val="00CD0FEE"/>
    <w:rsid w:val="00CD2CE5"/>
    <w:rsid w:val="00CD3D6B"/>
    <w:rsid w:val="00CD568C"/>
    <w:rsid w:val="00CD5AFE"/>
    <w:rsid w:val="00CD7164"/>
    <w:rsid w:val="00CD7C70"/>
    <w:rsid w:val="00CE02D5"/>
    <w:rsid w:val="00CE06F4"/>
    <w:rsid w:val="00CE0D5F"/>
    <w:rsid w:val="00CE197B"/>
    <w:rsid w:val="00CE5C9E"/>
    <w:rsid w:val="00CE6281"/>
    <w:rsid w:val="00CE6AC1"/>
    <w:rsid w:val="00CF0574"/>
    <w:rsid w:val="00CF23CE"/>
    <w:rsid w:val="00CF40BE"/>
    <w:rsid w:val="00CF449E"/>
    <w:rsid w:val="00CF5B8B"/>
    <w:rsid w:val="00CF7CDF"/>
    <w:rsid w:val="00D000E3"/>
    <w:rsid w:val="00D034C3"/>
    <w:rsid w:val="00D06873"/>
    <w:rsid w:val="00D10464"/>
    <w:rsid w:val="00D10BD3"/>
    <w:rsid w:val="00D1222D"/>
    <w:rsid w:val="00D126F0"/>
    <w:rsid w:val="00D12C4B"/>
    <w:rsid w:val="00D13E47"/>
    <w:rsid w:val="00D170EE"/>
    <w:rsid w:val="00D173D3"/>
    <w:rsid w:val="00D2083E"/>
    <w:rsid w:val="00D20AA0"/>
    <w:rsid w:val="00D20C2E"/>
    <w:rsid w:val="00D22299"/>
    <w:rsid w:val="00D226F1"/>
    <w:rsid w:val="00D24651"/>
    <w:rsid w:val="00D256A2"/>
    <w:rsid w:val="00D26C75"/>
    <w:rsid w:val="00D26D77"/>
    <w:rsid w:val="00D27116"/>
    <w:rsid w:val="00D30310"/>
    <w:rsid w:val="00D31877"/>
    <w:rsid w:val="00D3287D"/>
    <w:rsid w:val="00D32920"/>
    <w:rsid w:val="00D35578"/>
    <w:rsid w:val="00D3573E"/>
    <w:rsid w:val="00D35BA4"/>
    <w:rsid w:val="00D36988"/>
    <w:rsid w:val="00D37AB7"/>
    <w:rsid w:val="00D37C92"/>
    <w:rsid w:val="00D404D1"/>
    <w:rsid w:val="00D40757"/>
    <w:rsid w:val="00D41685"/>
    <w:rsid w:val="00D41A57"/>
    <w:rsid w:val="00D41BA9"/>
    <w:rsid w:val="00D42E05"/>
    <w:rsid w:val="00D433D5"/>
    <w:rsid w:val="00D43AF9"/>
    <w:rsid w:val="00D43C8E"/>
    <w:rsid w:val="00D44481"/>
    <w:rsid w:val="00D46C66"/>
    <w:rsid w:val="00D47A2F"/>
    <w:rsid w:val="00D510AE"/>
    <w:rsid w:val="00D557AF"/>
    <w:rsid w:val="00D55A34"/>
    <w:rsid w:val="00D56606"/>
    <w:rsid w:val="00D602CA"/>
    <w:rsid w:val="00D60A93"/>
    <w:rsid w:val="00D6133A"/>
    <w:rsid w:val="00D646B7"/>
    <w:rsid w:val="00D65163"/>
    <w:rsid w:val="00D70F48"/>
    <w:rsid w:val="00D732B3"/>
    <w:rsid w:val="00D739F8"/>
    <w:rsid w:val="00D73C77"/>
    <w:rsid w:val="00D750A8"/>
    <w:rsid w:val="00D76C8F"/>
    <w:rsid w:val="00D81595"/>
    <w:rsid w:val="00D819FD"/>
    <w:rsid w:val="00D81D4A"/>
    <w:rsid w:val="00D840B5"/>
    <w:rsid w:val="00D8410E"/>
    <w:rsid w:val="00D85F46"/>
    <w:rsid w:val="00D85FCF"/>
    <w:rsid w:val="00D872DD"/>
    <w:rsid w:val="00D91170"/>
    <w:rsid w:val="00D91DDF"/>
    <w:rsid w:val="00D91FFB"/>
    <w:rsid w:val="00D92D1C"/>
    <w:rsid w:val="00D945CC"/>
    <w:rsid w:val="00D94C31"/>
    <w:rsid w:val="00D969B8"/>
    <w:rsid w:val="00D9762C"/>
    <w:rsid w:val="00DA4C46"/>
    <w:rsid w:val="00DA5BC4"/>
    <w:rsid w:val="00DA677D"/>
    <w:rsid w:val="00DA6FB0"/>
    <w:rsid w:val="00DB1B6F"/>
    <w:rsid w:val="00DB22C4"/>
    <w:rsid w:val="00DB3822"/>
    <w:rsid w:val="00DB3A02"/>
    <w:rsid w:val="00DB499F"/>
    <w:rsid w:val="00DB54DB"/>
    <w:rsid w:val="00DB563B"/>
    <w:rsid w:val="00DB77CE"/>
    <w:rsid w:val="00DC0419"/>
    <w:rsid w:val="00DC050C"/>
    <w:rsid w:val="00DC0820"/>
    <w:rsid w:val="00DC2C23"/>
    <w:rsid w:val="00DC37BE"/>
    <w:rsid w:val="00DC3A4C"/>
    <w:rsid w:val="00DC44F5"/>
    <w:rsid w:val="00DC46F2"/>
    <w:rsid w:val="00DC4B37"/>
    <w:rsid w:val="00DC4D99"/>
    <w:rsid w:val="00DC5495"/>
    <w:rsid w:val="00DC5DF5"/>
    <w:rsid w:val="00DC68EA"/>
    <w:rsid w:val="00DD024B"/>
    <w:rsid w:val="00DD05E8"/>
    <w:rsid w:val="00DD0F38"/>
    <w:rsid w:val="00DD212E"/>
    <w:rsid w:val="00DD2F07"/>
    <w:rsid w:val="00DD5341"/>
    <w:rsid w:val="00DD7C4F"/>
    <w:rsid w:val="00DE06CC"/>
    <w:rsid w:val="00DE1098"/>
    <w:rsid w:val="00DE1A52"/>
    <w:rsid w:val="00DE1CE0"/>
    <w:rsid w:val="00DE5703"/>
    <w:rsid w:val="00DE673A"/>
    <w:rsid w:val="00DF06ED"/>
    <w:rsid w:val="00DF0CFF"/>
    <w:rsid w:val="00DF1060"/>
    <w:rsid w:val="00DF2968"/>
    <w:rsid w:val="00DF2DF6"/>
    <w:rsid w:val="00DF614A"/>
    <w:rsid w:val="00DF7228"/>
    <w:rsid w:val="00DF7279"/>
    <w:rsid w:val="00DF7732"/>
    <w:rsid w:val="00E009A7"/>
    <w:rsid w:val="00E06CCD"/>
    <w:rsid w:val="00E07355"/>
    <w:rsid w:val="00E11AE1"/>
    <w:rsid w:val="00E11C65"/>
    <w:rsid w:val="00E121E0"/>
    <w:rsid w:val="00E14004"/>
    <w:rsid w:val="00E174FD"/>
    <w:rsid w:val="00E17F50"/>
    <w:rsid w:val="00E21FA7"/>
    <w:rsid w:val="00E24246"/>
    <w:rsid w:val="00E24421"/>
    <w:rsid w:val="00E2470F"/>
    <w:rsid w:val="00E24803"/>
    <w:rsid w:val="00E24F7B"/>
    <w:rsid w:val="00E258B1"/>
    <w:rsid w:val="00E266F9"/>
    <w:rsid w:val="00E27839"/>
    <w:rsid w:val="00E3355A"/>
    <w:rsid w:val="00E3513F"/>
    <w:rsid w:val="00E3725F"/>
    <w:rsid w:val="00E4198A"/>
    <w:rsid w:val="00E437C7"/>
    <w:rsid w:val="00E44BCA"/>
    <w:rsid w:val="00E4563D"/>
    <w:rsid w:val="00E45CCD"/>
    <w:rsid w:val="00E4704E"/>
    <w:rsid w:val="00E47636"/>
    <w:rsid w:val="00E51437"/>
    <w:rsid w:val="00E514C1"/>
    <w:rsid w:val="00E51CAD"/>
    <w:rsid w:val="00E52AEE"/>
    <w:rsid w:val="00E53983"/>
    <w:rsid w:val="00E546C8"/>
    <w:rsid w:val="00E55242"/>
    <w:rsid w:val="00E558F5"/>
    <w:rsid w:val="00E57225"/>
    <w:rsid w:val="00E57F56"/>
    <w:rsid w:val="00E57F79"/>
    <w:rsid w:val="00E601DE"/>
    <w:rsid w:val="00E606A6"/>
    <w:rsid w:val="00E61835"/>
    <w:rsid w:val="00E61D9B"/>
    <w:rsid w:val="00E61DB5"/>
    <w:rsid w:val="00E6482B"/>
    <w:rsid w:val="00E65C6F"/>
    <w:rsid w:val="00E666C5"/>
    <w:rsid w:val="00E66C8F"/>
    <w:rsid w:val="00E66F1A"/>
    <w:rsid w:val="00E703F7"/>
    <w:rsid w:val="00E70DDB"/>
    <w:rsid w:val="00E71DD1"/>
    <w:rsid w:val="00E73C2E"/>
    <w:rsid w:val="00E74236"/>
    <w:rsid w:val="00E753E2"/>
    <w:rsid w:val="00E75F9C"/>
    <w:rsid w:val="00E80474"/>
    <w:rsid w:val="00E807E1"/>
    <w:rsid w:val="00E829F2"/>
    <w:rsid w:val="00E82A7D"/>
    <w:rsid w:val="00E82B1A"/>
    <w:rsid w:val="00E8351D"/>
    <w:rsid w:val="00E83541"/>
    <w:rsid w:val="00E83C87"/>
    <w:rsid w:val="00E83FE6"/>
    <w:rsid w:val="00E848EA"/>
    <w:rsid w:val="00E85779"/>
    <w:rsid w:val="00E860AC"/>
    <w:rsid w:val="00E866E5"/>
    <w:rsid w:val="00E86D0F"/>
    <w:rsid w:val="00E9100A"/>
    <w:rsid w:val="00E91890"/>
    <w:rsid w:val="00E920B9"/>
    <w:rsid w:val="00E93ABA"/>
    <w:rsid w:val="00E941DA"/>
    <w:rsid w:val="00E94353"/>
    <w:rsid w:val="00E94ABB"/>
    <w:rsid w:val="00E95681"/>
    <w:rsid w:val="00E95A03"/>
    <w:rsid w:val="00E95CE5"/>
    <w:rsid w:val="00E96700"/>
    <w:rsid w:val="00EA19A7"/>
    <w:rsid w:val="00EA3953"/>
    <w:rsid w:val="00EA445F"/>
    <w:rsid w:val="00EA50A8"/>
    <w:rsid w:val="00EA51DF"/>
    <w:rsid w:val="00EA53CD"/>
    <w:rsid w:val="00EA5583"/>
    <w:rsid w:val="00EA6A6D"/>
    <w:rsid w:val="00EA7A41"/>
    <w:rsid w:val="00EB116D"/>
    <w:rsid w:val="00EB1ED8"/>
    <w:rsid w:val="00EB22C1"/>
    <w:rsid w:val="00EB461D"/>
    <w:rsid w:val="00EB5E01"/>
    <w:rsid w:val="00EB768F"/>
    <w:rsid w:val="00EC1943"/>
    <w:rsid w:val="00EC36A4"/>
    <w:rsid w:val="00EC4544"/>
    <w:rsid w:val="00EC4EC8"/>
    <w:rsid w:val="00EC539B"/>
    <w:rsid w:val="00EC5D91"/>
    <w:rsid w:val="00EC651E"/>
    <w:rsid w:val="00EC6A5B"/>
    <w:rsid w:val="00EC7340"/>
    <w:rsid w:val="00ED0B95"/>
    <w:rsid w:val="00ED2168"/>
    <w:rsid w:val="00ED2EC8"/>
    <w:rsid w:val="00ED3216"/>
    <w:rsid w:val="00ED3D53"/>
    <w:rsid w:val="00ED50EE"/>
    <w:rsid w:val="00ED53E5"/>
    <w:rsid w:val="00ED5E70"/>
    <w:rsid w:val="00ED6C0D"/>
    <w:rsid w:val="00ED7620"/>
    <w:rsid w:val="00ED798E"/>
    <w:rsid w:val="00EE3FE7"/>
    <w:rsid w:val="00EE4A8D"/>
    <w:rsid w:val="00EE4CDC"/>
    <w:rsid w:val="00EE4F33"/>
    <w:rsid w:val="00EE5C4A"/>
    <w:rsid w:val="00EE61ED"/>
    <w:rsid w:val="00EE662D"/>
    <w:rsid w:val="00EE6AAC"/>
    <w:rsid w:val="00EF26E4"/>
    <w:rsid w:val="00EF29D1"/>
    <w:rsid w:val="00EF2B73"/>
    <w:rsid w:val="00EF4EEB"/>
    <w:rsid w:val="00EF6C83"/>
    <w:rsid w:val="00EF7988"/>
    <w:rsid w:val="00F00AD2"/>
    <w:rsid w:val="00F017C2"/>
    <w:rsid w:val="00F01F4D"/>
    <w:rsid w:val="00F02AE4"/>
    <w:rsid w:val="00F03227"/>
    <w:rsid w:val="00F05BBF"/>
    <w:rsid w:val="00F07EAD"/>
    <w:rsid w:val="00F10E00"/>
    <w:rsid w:val="00F11B7B"/>
    <w:rsid w:val="00F123B7"/>
    <w:rsid w:val="00F12AFC"/>
    <w:rsid w:val="00F130A9"/>
    <w:rsid w:val="00F13E9C"/>
    <w:rsid w:val="00F1416A"/>
    <w:rsid w:val="00F15DDA"/>
    <w:rsid w:val="00F16721"/>
    <w:rsid w:val="00F167D4"/>
    <w:rsid w:val="00F17DE7"/>
    <w:rsid w:val="00F2000C"/>
    <w:rsid w:val="00F221B3"/>
    <w:rsid w:val="00F2379B"/>
    <w:rsid w:val="00F248B4"/>
    <w:rsid w:val="00F25958"/>
    <w:rsid w:val="00F25BD8"/>
    <w:rsid w:val="00F26240"/>
    <w:rsid w:val="00F305BB"/>
    <w:rsid w:val="00F31F5C"/>
    <w:rsid w:val="00F326E6"/>
    <w:rsid w:val="00F34310"/>
    <w:rsid w:val="00F3455D"/>
    <w:rsid w:val="00F35709"/>
    <w:rsid w:val="00F36DDB"/>
    <w:rsid w:val="00F373E5"/>
    <w:rsid w:val="00F3772E"/>
    <w:rsid w:val="00F4101E"/>
    <w:rsid w:val="00F413CE"/>
    <w:rsid w:val="00F43220"/>
    <w:rsid w:val="00F43824"/>
    <w:rsid w:val="00F441BB"/>
    <w:rsid w:val="00F44A7E"/>
    <w:rsid w:val="00F44D4A"/>
    <w:rsid w:val="00F45897"/>
    <w:rsid w:val="00F51662"/>
    <w:rsid w:val="00F52540"/>
    <w:rsid w:val="00F5289C"/>
    <w:rsid w:val="00F535F9"/>
    <w:rsid w:val="00F53B45"/>
    <w:rsid w:val="00F5566E"/>
    <w:rsid w:val="00F55BFE"/>
    <w:rsid w:val="00F561FB"/>
    <w:rsid w:val="00F56D28"/>
    <w:rsid w:val="00F56F3C"/>
    <w:rsid w:val="00F57255"/>
    <w:rsid w:val="00F57C05"/>
    <w:rsid w:val="00F57E53"/>
    <w:rsid w:val="00F60B22"/>
    <w:rsid w:val="00F61338"/>
    <w:rsid w:val="00F621B7"/>
    <w:rsid w:val="00F6435A"/>
    <w:rsid w:val="00F65B3B"/>
    <w:rsid w:val="00F66B5F"/>
    <w:rsid w:val="00F67FC0"/>
    <w:rsid w:val="00F70128"/>
    <w:rsid w:val="00F7039E"/>
    <w:rsid w:val="00F71E7F"/>
    <w:rsid w:val="00F72D85"/>
    <w:rsid w:val="00F73321"/>
    <w:rsid w:val="00F738B2"/>
    <w:rsid w:val="00F740E7"/>
    <w:rsid w:val="00F76013"/>
    <w:rsid w:val="00F7758F"/>
    <w:rsid w:val="00F77DE7"/>
    <w:rsid w:val="00F8029A"/>
    <w:rsid w:val="00F81584"/>
    <w:rsid w:val="00F81E1B"/>
    <w:rsid w:val="00F830FD"/>
    <w:rsid w:val="00F84720"/>
    <w:rsid w:val="00F8569C"/>
    <w:rsid w:val="00F8716F"/>
    <w:rsid w:val="00F8722E"/>
    <w:rsid w:val="00F9066C"/>
    <w:rsid w:val="00F90DC6"/>
    <w:rsid w:val="00F91C08"/>
    <w:rsid w:val="00F92E2F"/>
    <w:rsid w:val="00F941AD"/>
    <w:rsid w:val="00F947D4"/>
    <w:rsid w:val="00F95EB9"/>
    <w:rsid w:val="00F972C3"/>
    <w:rsid w:val="00FA0464"/>
    <w:rsid w:val="00FA07E9"/>
    <w:rsid w:val="00FA1382"/>
    <w:rsid w:val="00FA4D26"/>
    <w:rsid w:val="00FA559A"/>
    <w:rsid w:val="00FA5655"/>
    <w:rsid w:val="00FA5E26"/>
    <w:rsid w:val="00FA5FBC"/>
    <w:rsid w:val="00FA6E6A"/>
    <w:rsid w:val="00FA786F"/>
    <w:rsid w:val="00FB09DD"/>
    <w:rsid w:val="00FB0B35"/>
    <w:rsid w:val="00FB3FFA"/>
    <w:rsid w:val="00FB6765"/>
    <w:rsid w:val="00FB7AB8"/>
    <w:rsid w:val="00FC22FC"/>
    <w:rsid w:val="00FC2455"/>
    <w:rsid w:val="00FC3CF9"/>
    <w:rsid w:val="00FC4C38"/>
    <w:rsid w:val="00FC5319"/>
    <w:rsid w:val="00FC61C3"/>
    <w:rsid w:val="00FC7234"/>
    <w:rsid w:val="00FD05C6"/>
    <w:rsid w:val="00FD1D02"/>
    <w:rsid w:val="00FD2EA7"/>
    <w:rsid w:val="00FD2F62"/>
    <w:rsid w:val="00FD4E2F"/>
    <w:rsid w:val="00FE05A4"/>
    <w:rsid w:val="00FE2323"/>
    <w:rsid w:val="00FE268F"/>
    <w:rsid w:val="00FE2ADE"/>
    <w:rsid w:val="00FE38D8"/>
    <w:rsid w:val="00FE42A9"/>
    <w:rsid w:val="00FE48E2"/>
    <w:rsid w:val="00FE56C4"/>
    <w:rsid w:val="00FE6EC5"/>
    <w:rsid w:val="00FF0FD4"/>
    <w:rsid w:val="00FF2542"/>
    <w:rsid w:val="00FF293E"/>
    <w:rsid w:val="00FF2CC7"/>
    <w:rsid w:val="00FF337E"/>
    <w:rsid w:val="00FF5536"/>
    <w:rsid w:val="00FF5B8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65"/>
    <o:shapelayout v:ext="edit">
      <o:idmap v:ext="edit" data="2"/>
    </o:shapelayout>
  </w:shapeDefaults>
  <w:decimalSymbol w:val="."/>
  <w:listSeparator w:val=","/>
  <w14:docId w14:val="1A672F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6722F"/>
    <w:pPr>
      <w:spacing w:after="160" w:line="259" w:lineRule="auto"/>
    </w:pPr>
    <w:rPr>
      <w:rFonts w:ascii="Times New Roman" w:hAnsi="Times New Roman"/>
      <w:sz w:val="24"/>
      <w:szCs w:val="22"/>
    </w:rPr>
  </w:style>
  <w:style w:type="paragraph" w:styleId="Heading1">
    <w:name w:val="heading 1"/>
    <w:basedOn w:val="Normal"/>
    <w:next w:val="Normal"/>
    <w:link w:val="Heading1Char"/>
    <w:uiPriority w:val="9"/>
    <w:qFormat/>
    <w:rsid w:val="001F2D52"/>
    <w:pPr>
      <w:keepNext/>
      <w:keepLines/>
      <w:spacing w:before="240" w:after="0"/>
      <w:outlineLvl w:val="0"/>
    </w:pPr>
    <w:rPr>
      <w:rFonts w:eastAsia="Times New Roman"/>
      <w:szCs w:val="32"/>
    </w:rPr>
  </w:style>
  <w:style w:type="paragraph" w:styleId="Heading2">
    <w:name w:val="heading 2"/>
    <w:basedOn w:val="Normal"/>
    <w:next w:val="Normal"/>
    <w:link w:val="Heading2Char"/>
    <w:uiPriority w:val="9"/>
    <w:unhideWhenUsed/>
    <w:qFormat/>
    <w:rsid w:val="001F2D52"/>
    <w:pPr>
      <w:keepNext/>
      <w:keepLines/>
      <w:spacing w:before="40" w:after="0"/>
      <w:outlineLvl w:val="1"/>
    </w:pPr>
    <w:rPr>
      <w:rFonts w:eastAsia="Times New Roman"/>
      <w:szCs w:val="26"/>
    </w:rPr>
  </w:style>
  <w:style w:type="paragraph" w:styleId="Heading3">
    <w:name w:val="heading 3"/>
    <w:basedOn w:val="Normal"/>
    <w:next w:val="Normal"/>
    <w:link w:val="Heading3Char"/>
    <w:uiPriority w:val="9"/>
    <w:unhideWhenUsed/>
    <w:qFormat/>
    <w:rsid w:val="007E4022"/>
    <w:pPr>
      <w:keepNext/>
      <w:keepLines/>
      <w:spacing w:before="40" w:after="0"/>
      <w:outlineLvl w:val="2"/>
    </w:pPr>
    <w:rPr>
      <w:rFonts w:eastAsia="Times New Roman"/>
      <w:szCs w:val="24"/>
    </w:rPr>
  </w:style>
  <w:style w:type="paragraph" w:styleId="Heading4">
    <w:name w:val="heading 4"/>
    <w:basedOn w:val="Normal"/>
    <w:next w:val="Normal"/>
    <w:link w:val="Heading4Char"/>
    <w:uiPriority w:val="9"/>
    <w:unhideWhenUsed/>
    <w:qFormat/>
    <w:rsid w:val="009B3F84"/>
    <w:pPr>
      <w:keepNext/>
      <w:keepLines/>
      <w:spacing w:before="40" w:after="0"/>
      <w:outlineLvl w:val="3"/>
    </w:pPr>
    <w:rPr>
      <w:rFonts w:eastAsia="Times New Roman"/>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unhideWhenUsed/>
    <w:rsid w:val="00280458"/>
    <w:rPr>
      <w:color w:val="0000FF"/>
      <w:u w:val="single"/>
    </w:rPr>
  </w:style>
  <w:style w:type="paragraph" w:styleId="ListParagraph">
    <w:name w:val="List Paragraph"/>
    <w:basedOn w:val="Normal"/>
    <w:uiPriority w:val="34"/>
    <w:qFormat/>
    <w:rsid w:val="00636768"/>
    <w:pPr>
      <w:ind w:left="720"/>
      <w:contextualSpacing/>
    </w:pPr>
  </w:style>
  <w:style w:type="paragraph" w:styleId="Caption">
    <w:name w:val="caption"/>
    <w:basedOn w:val="Normal"/>
    <w:next w:val="Normal"/>
    <w:uiPriority w:val="35"/>
    <w:unhideWhenUsed/>
    <w:qFormat/>
    <w:rsid w:val="006044CF"/>
    <w:pPr>
      <w:spacing w:after="200" w:line="240" w:lineRule="auto"/>
    </w:pPr>
    <w:rPr>
      <w:i/>
      <w:iCs/>
      <w:color w:val="44546A"/>
      <w:sz w:val="18"/>
      <w:szCs w:val="18"/>
    </w:rPr>
  </w:style>
  <w:style w:type="character" w:styleId="CommentReference">
    <w:name w:val="annotation reference"/>
    <w:uiPriority w:val="99"/>
    <w:semiHidden/>
    <w:unhideWhenUsed/>
    <w:rsid w:val="00FC2455"/>
    <w:rPr>
      <w:sz w:val="16"/>
      <w:szCs w:val="16"/>
    </w:rPr>
  </w:style>
  <w:style w:type="paragraph" w:styleId="CommentText">
    <w:name w:val="annotation text"/>
    <w:basedOn w:val="Normal"/>
    <w:link w:val="CommentTextChar"/>
    <w:uiPriority w:val="99"/>
    <w:semiHidden/>
    <w:unhideWhenUsed/>
    <w:rsid w:val="00FC2455"/>
    <w:pPr>
      <w:spacing w:line="240" w:lineRule="auto"/>
    </w:pPr>
    <w:rPr>
      <w:sz w:val="20"/>
      <w:szCs w:val="20"/>
    </w:rPr>
  </w:style>
  <w:style w:type="character" w:customStyle="1" w:styleId="CommentTextChar">
    <w:name w:val="Comment Text Char"/>
    <w:link w:val="CommentText"/>
    <w:uiPriority w:val="99"/>
    <w:semiHidden/>
    <w:rsid w:val="00FC2455"/>
    <w:rPr>
      <w:sz w:val="20"/>
      <w:szCs w:val="20"/>
    </w:rPr>
  </w:style>
  <w:style w:type="character" w:customStyle="1" w:styleId="Heading3Char">
    <w:name w:val="Heading 3 Char"/>
    <w:link w:val="Heading3"/>
    <w:uiPriority w:val="9"/>
    <w:rsid w:val="007E4022"/>
    <w:rPr>
      <w:rFonts w:ascii="Times New Roman" w:eastAsia="Times New Roman" w:hAnsi="Times New Roman" w:cs="Times New Roman"/>
      <w:sz w:val="24"/>
      <w:szCs w:val="24"/>
    </w:rPr>
  </w:style>
  <w:style w:type="character" w:customStyle="1" w:styleId="Heading2Char">
    <w:name w:val="Heading 2 Char"/>
    <w:link w:val="Heading2"/>
    <w:uiPriority w:val="9"/>
    <w:rsid w:val="001F2D52"/>
    <w:rPr>
      <w:rFonts w:ascii="Times New Roman" w:eastAsia="Times New Roman" w:hAnsi="Times New Roman" w:cs="Times New Roman"/>
      <w:sz w:val="24"/>
      <w:szCs w:val="26"/>
    </w:rPr>
  </w:style>
  <w:style w:type="character" w:customStyle="1" w:styleId="Heading1Char">
    <w:name w:val="Heading 1 Char"/>
    <w:link w:val="Heading1"/>
    <w:uiPriority w:val="9"/>
    <w:rsid w:val="001F2D52"/>
    <w:rPr>
      <w:rFonts w:ascii="Times New Roman" w:eastAsia="Times New Roman" w:hAnsi="Times New Roman" w:cs="Times New Roman"/>
      <w:sz w:val="24"/>
      <w:szCs w:val="32"/>
    </w:rPr>
  </w:style>
  <w:style w:type="character" w:styleId="Emphasis">
    <w:name w:val="Emphasis"/>
    <w:uiPriority w:val="20"/>
    <w:qFormat/>
    <w:rsid w:val="00704283"/>
    <w:rPr>
      <w:i/>
      <w:iCs/>
    </w:rPr>
  </w:style>
  <w:style w:type="table" w:styleId="TableGrid">
    <w:name w:val="Table Grid"/>
    <w:basedOn w:val="TableNormal"/>
    <w:uiPriority w:val="39"/>
    <w:rsid w:val="006239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8422D5"/>
    <w:rPr>
      <w:b/>
      <w:bCs/>
    </w:rPr>
  </w:style>
  <w:style w:type="character" w:customStyle="1" w:styleId="CommentSubjectChar">
    <w:name w:val="Comment Subject Char"/>
    <w:link w:val="CommentSubject"/>
    <w:uiPriority w:val="99"/>
    <w:semiHidden/>
    <w:rsid w:val="008422D5"/>
    <w:rPr>
      <w:b/>
      <w:bCs/>
      <w:sz w:val="20"/>
      <w:szCs w:val="20"/>
    </w:rPr>
  </w:style>
  <w:style w:type="paragraph" w:styleId="NormalWeb">
    <w:name w:val="Normal (Web)"/>
    <w:basedOn w:val="Normal"/>
    <w:uiPriority w:val="99"/>
    <w:semiHidden/>
    <w:unhideWhenUsed/>
    <w:rsid w:val="00742CB0"/>
    <w:pPr>
      <w:spacing w:before="100" w:beforeAutospacing="1" w:after="100" w:afterAutospacing="1" w:line="240" w:lineRule="auto"/>
    </w:pPr>
    <w:rPr>
      <w:rFonts w:eastAsia="Times New Roman"/>
      <w:szCs w:val="24"/>
    </w:rPr>
  </w:style>
  <w:style w:type="paragraph" w:styleId="BalloonText">
    <w:name w:val="Balloon Text"/>
    <w:basedOn w:val="Normal"/>
    <w:link w:val="BalloonTextChar"/>
    <w:uiPriority w:val="99"/>
    <w:semiHidden/>
    <w:unhideWhenUsed/>
    <w:rsid w:val="006C24CD"/>
    <w:pPr>
      <w:spacing w:after="0" w:line="240" w:lineRule="auto"/>
    </w:pPr>
    <w:rPr>
      <w:rFonts w:ascii="Segoe UI" w:hAnsi="Segoe UI" w:cs="Segoe UI"/>
      <w:sz w:val="18"/>
      <w:szCs w:val="18"/>
    </w:rPr>
  </w:style>
  <w:style w:type="character" w:customStyle="1" w:styleId="BalloonTextChar">
    <w:name w:val="Balloon Text Char"/>
    <w:link w:val="BalloonText"/>
    <w:uiPriority w:val="99"/>
    <w:semiHidden/>
    <w:rsid w:val="006C24CD"/>
    <w:rPr>
      <w:rFonts w:ascii="Segoe UI" w:hAnsi="Segoe UI" w:cs="Segoe UI"/>
      <w:sz w:val="18"/>
      <w:szCs w:val="18"/>
    </w:rPr>
  </w:style>
  <w:style w:type="paragraph" w:styleId="Header">
    <w:name w:val="header"/>
    <w:basedOn w:val="Normal"/>
    <w:link w:val="HeaderChar"/>
    <w:uiPriority w:val="99"/>
    <w:unhideWhenUsed/>
    <w:rsid w:val="00B84D2C"/>
    <w:pPr>
      <w:tabs>
        <w:tab w:val="center" w:pos="4680"/>
        <w:tab w:val="right" w:pos="9360"/>
      </w:tabs>
      <w:spacing w:after="0" w:line="240" w:lineRule="auto"/>
    </w:pPr>
  </w:style>
  <w:style w:type="character" w:customStyle="1" w:styleId="HeaderChar">
    <w:name w:val="Header Char"/>
    <w:basedOn w:val="DefaultParagraphFont"/>
    <w:link w:val="Header"/>
    <w:uiPriority w:val="99"/>
    <w:rsid w:val="00B84D2C"/>
  </w:style>
  <w:style w:type="paragraph" w:styleId="Footer">
    <w:name w:val="footer"/>
    <w:basedOn w:val="Normal"/>
    <w:link w:val="FooterChar"/>
    <w:uiPriority w:val="99"/>
    <w:unhideWhenUsed/>
    <w:rsid w:val="00B84D2C"/>
    <w:pPr>
      <w:tabs>
        <w:tab w:val="center" w:pos="4680"/>
        <w:tab w:val="right" w:pos="9360"/>
      </w:tabs>
      <w:spacing w:after="0" w:line="240" w:lineRule="auto"/>
    </w:pPr>
  </w:style>
  <w:style w:type="character" w:customStyle="1" w:styleId="FooterChar">
    <w:name w:val="Footer Char"/>
    <w:basedOn w:val="DefaultParagraphFont"/>
    <w:link w:val="Footer"/>
    <w:uiPriority w:val="99"/>
    <w:rsid w:val="00B84D2C"/>
  </w:style>
  <w:style w:type="character" w:styleId="LineNumber">
    <w:name w:val="line number"/>
    <w:basedOn w:val="DefaultParagraphFont"/>
    <w:uiPriority w:val="99"/>
    <w:semiHidden/>
    <w:unhideWhenUsed/>
    <w:rsid w:val="00B84D2C"/>
  </w:style>
  <w:style w:type="character" w:customStyle="1" w:styleId="Heading4Char">
    <w:name w:val="Heading 4 Char"/>
    <w:link w:val="Heading4"/>
    <w:uiPriority w:val="9"/>
    <w:rsid w:val="009B3F84"/>
    <w:rPr>
      <w:rFonts w:ascii="Times New Roman" w:eastAsia="Times New Roman" w:hAnsi="Times New Roman" w:cs="Times New Roman"/>
      <w:iCs/>
      <w:sz w:val="24"/>
    </w:rPr>
  </w:style>
  <w:style w:type="paragraph" w:styleId="TOCHeading">
    <w:name w:val="TOC Heading"/>
    <w:basedOn w:val="Heading1"/>
    <w:next w:val="Normal"/>
    <w:uiPriority w:val="39"/>
    <w:unhideWhenUsed/>
    <w:qFormat/>
    <w:rsid w:val="009B3F84"/>
    <w:pPr>
      <w:outlineLvl w:val="9"/>
    </w:pPr>
    <w:rPr>
      <w:rFonts w:ascii="Calibri Light" w:hAnsi="Calibri Light"/>
      <w:color w:val="2F5496"/>
      <w:sz w:val="32"/>
    </w:rPr>
  </w:style>
  <w:style w:type="paragraph" w:styleId="TOC2">
    <w:name w:val="toc 2"/>
    <w:basedOn w:val="Normal"/>
    <w:next w:val="Normal"/>
    <w:autoRedefine/>
    <w:uiPriority w:val="39"/>
    <w:unhideWhenUsed/>
    <w:rsid w:val="009B3F84"/>
    <w:pPr>
      <w:spacing w:after="100"/>
      <w:ind w:left="220"/>
    </w:pPr>
  </w:style>
  <w:style w:type="paragraph" w:styleId="TOC1">
    <w:name w:val="toc 1"/>
    <w:basedOn w:val="Normal"/>
    <w:next w:val="Normal"/>
    <w:autoRedefine/>
    <w:uiPriority w:val="39"/>
    <w:unhideWhenUsed/>
    <w:rsid w:val="009B3F84"/>
    <w:pPr>
      <w:spacing w:after="100"/>
    </w:pPr>
  </w:style>
  <w:style w:type="paragraph" w:styleId="TOC3">
    <w:name w:val="toc 3"/>
    <w:basedOn w:val="Normal"/>
    <w:next w:val="Normal"/>
    <w:autoRedefine/>
    <w:uiPriority w:val="39"/>
    <w:unhideWhenUsed/>
    <w:rsid w:val="009B3F84"/>
    <w:pPr>
      <w:spacing w:after="100"/>
      <w:ind w:left="440"/>
    </w:pPr>
  </w:style>
  <w:style w:type="paragraph" w:customStyle="1" w:styleId="Body">
    <w:name w:val="Body"/>
    <w:rsid w:val="006E3A0D"/>
    <w:pPr>
      <w:pBdr>
        <w:top w:val="nil"/>
        <w:left w:val="nil"/>
        <w:bottom w:val="nil"/>
        <w:right w:val="nil"/>
        <w:between w:val="nil"/>
        <w:bar w:val="nil"/>
      </w:pBdr>
      <w:spacing w:after="160" w:line="259" w:lineRule="auto"/>
    </w:pPr>
    <w:rPr>
      <w:rFonts w:eastAsia="Arial Unicode MS" w:cs="Arial Unicode MS"/>
      <w:color w:val="000000"/>
      <w:sz w:val="22"/>
      <w:szCs w:val="22"/>
      <w:u w:color="000000"/>
      <w:bdr w:val="nil"/>
    </w:rPr>
  </w:style>
  <w:style w:type="character" w:customStyle="1" w:styleId="UnresolvedMention1">
    <w:name w:val="Unresolved Mention1"/>
    <w:uiPriority w:val="99"/>
    <w:semiHidden/>
    <w:unhideWhenUsed/>
    <w:rsid w:val="007B6040"/>
    <w:rPr>
      <w:color w:val="605E5C"/>
      <w:shd w:val="clear" w:color="auto" w:fill="E1DFDD"/>
    </w:rPr>
  </w:style>
  <w:style w:type="character" w:customStyle="1" w:styleId="UnresolvedMention2">
    <w:name w:val="Unresolved Mention2"/>
    <w:uiPriority w:val="99"/>
    <w:semiHidden/>
    <w:unhideWhenUsed/>
    <w:rsid w:val="005761DE"/>
    <w:rPr>
      <w:color w:val="605E5C"/>
      <w:shd w:val="clear" w:color="auto" w:fill="E1DFDD"/>
    </w:rPr>
  </w:style>
  <w:style w:type="paragraph" w:styleId="Revision">
    <w:name w:val="Revision"/>
    <w:hidden/>
    <w:uiPriority w:val="99"/>
    <w:semiHidden/>
    <w:rsid w:val="00B52963"/>
    <w:rPr>
      <w:rFonts w:ascii="Times New Roman" w:hAnsi="Times New Roman"/>
      <w:sz w:val="24"/>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2572903">
      <w:bodyDiv w:val="1"/>
      <w:marLeft w:val="0"/>
      <w:marRight w:val="0"/>
      <w:marTop w:val="0"/>
      <w:marBottom w:val="0"/>
      <w:divBdr>
        <w:top w:val="none" w:sz="0" w:space="0" w:color="auto"/>
        <w:left w:val="none" w:sz="0" w:space="0" w:color="auto"/>
        <w:bottom w:val="none" w:sz="0" w:space="0" w:color="auto"/>
        <w:right w:val="none" w:sz="0" w:space="0" w:color="auto"/>
      </w:divBdr>
      <w:divsChild>
        <w:div w:id="1418675511">
          <w:marLeft w:val="0"/>
          <w:marRight w:val="0"/>
          <w:marTop w:val="0"/>
          <w:marBottom w:val="0"/>
          <w:divBdr>
            <w:top w:val="none" w:sz="0" w:space="0" w:color="auto"/>
            <w:left w:val="none" w:sz="0" w:space="0" w:color="auto"/>
            <w:bottom w:val="none" w:sz="0" w:space="0" w:color="auto"/>
            <w:right w:val="none" w:sz="0" w:space="0" w:color="auto"/>
          </w:divBdr>
        </w:div>
      </w:divsChild>
    </w:div>
    <w:div w:id="357243635">
      <w:bodyDiv w:val="1"/>
      <w:marLeft w:val="0"/>
      <w:marRight w:val="0"/>
      <w:marTop w:val="0"/>
      <w:marBottom w:val="0"/>
      <w:divBdr>
        <w:top w:val="none" w:sz="0" w:space="0" w:color="auto"/>
        <w:left w:val="none" w:sz="0" w:space="0" w:color="auto"/>
        <w:bottom w:val="none" w:sz="0" w:space="0" w:color="auto"/>
        <w:right w:val="none" w:sz="0" w:space="0" w:color="auto"/>
      </w:divBdr>
    </w:div>
    <w:div w:id="379324174">
      <w:bodyDiv w:val="1"/>
      <w:marLeft w:val="0"/>
      <w:marRight w:val="0"/>
      <w:marTop w:val="0"/>
      <w:marBottom w:val="0"/>
      <w:divBdr>
        <w:top w:val="none" w:sz="0" w:space="0" w:color="auto"/>
        <w:left w:val="none" w:sz="0" w:space="0" w:color="auto"/>
        <w:bottom w:val="none" w:sz="0" w:space="0" w:color="auto"/>
        <w:right w:val="none" w:sz="0" w:space="0" w:color="auto"/>
      </w:divBdr>
    </w:div>
    <w:div w:id="421029201">
      <w:bodyDiv w:val="1"/>
      <w:marLeft w:val="0"/>
      <w:marRight w:val="0"/>
      <w:marTop w:val="0"/>
      <w:marBottom w:val="0"/>
      <w:divBdr>
        <w:top w:val="none" w:sz="0" w:space="0" w:color="auto"/>
        <w:left w:val="none" w:sz="0" w:space="0" w:color="auto"/>
        <w:bottom w:val="none" w:sz="0" w:space="0" w:color="auto"/>
        <w:right w:val="none" w:sz="0" w:space="0" w:color="auto"/>
      </w:divBdr>
    </w:div>
    <w:div w:id="811026391">
      <w:bodyDiv w:val="1"/>
      <w:marLeft w:val="0"/>
      <w:marRight w:val="0"/>
      <w:marTop w:val="0"/>
      <w:marBottom w:val="0"/>
      <w:divBdr>
        <w:top w:val="none" w:sz="0" w:space="0" w:color="auto"/>
        <w:left w:val="none" w:sz="0" w:space="0" w:color="auto"/>
        <w:bottom w:val="none" w:sz="0" w:space="0" w:color="auto"/>
        <w:right w:val="none" w:sz="0" w:space="0" w:color="auto"/>
      </w:divBdr>
    </w:div>
    <w:div w:id="837886761">
      <w:bodyDiv w:val="1"/>
      <w:marLeft w:val="0"/>
      <w:marRight w:val="0"/>
      <w:marTop w:val="0"/>
      <w:marBottom w:val="0"/>
      <w:divBdr>
        <w:top w:val="none" w:sz="0" w:space="0" w:color="auto"/>
        <w:left w:val="none" w:sz="0" w:space="0" w:color="auto"/>
        <w:bottom w:val="none" w:sz="0" w:space="0" w:color="auto"/>
        <w:right w:val="none" w:sz="0" w:space="0" w:color="auto"/>
      </w:divBdr>
    </w:div>
    <w:div w:id="869608367">
      <w:bodyDiv w:val="1"/>
      <w:marLeft w:val="0"/>
      <w:marRight w:val="0"/>
      <w:marTop w:val="0"/>
      <w:marBottom w:val="0"/>
      <w:divBdr>
        <w:top w:val="none" w:sz="0" w:space="0" w:color="auto"/>
        <w:left w:val="none" w:sz="0" w:space="0" w:color="auto"/>
        <w:bottom w:val="none" w:sz="0" w:space="0" w:color="auto"/>
        <w:right w:val="none" w:sz="0" w:space="0" w:color="auto"/>
      </w:divBdr>
    </w:div>
    <w:div w:id="949094972">
      <w:bodyDiv w:val="1"/>
      <w:marLeft w:val="0"/>
      <w:marRight w:val="0"/>
      <w:marTop w:val="0"/>
      <w:marBottom w:val="0"/>
      <w:divBdr>
        <w:top w:val="none" w:sz="0" w:space="0" w:color="auto"/>
        <w:left w:val="none" w:sz="0" w:space="0" w:color="auto"/>
        <w:bottom w:val="none" w:sz="0" w:space="0" w:color="auto"/>
        <w:right w:val="none" w:sz="0" w:space="0" w:color="auto"/>
      </w:divBdr>
    </w:div>
    <w:div w:id="974136587">
      <w:bodyDiv w:val="1"/>
      <w:marLeft w:val="0"/>
      <w:marRight w:val="0"/>
      <w:marTop w:val="0"/>
      <w:marBottom w:val="0"/>
      <w:divBdr>
        <w:top w:val="none" w:sz="0" w:space="0" w:color="auto"/>
        <w:left w:val="none" w:sz="0" w:space="0" w:color="auto"/>
        <w:bottom w:val="none" w:sz="0" w:space="0" w:color="auto"/>
        <w:right w:val="none" w:sz="0" w:space="0" w:color="auto"/>
      </w:divBdr>
    </w:div>
    <w:div w:id="976691332">
      <w:bodyDiv w:val="1"/>
      <w:marLeft w:val="0"/>
      <w:marRight w:val="0"/>
      <w:marTop w:val="0"/>
      <w:marBottom w:val="0"/>
      <w:divBdr>
        <w:top w:val="none" w:sz="0" w:space="0" w:color="auto"/>
        <w:left w:val="none" w:sz="0" w:space="0" w:color="auto"/>
        <w:bottom w:val="none" w:sz="0" w:space="0" w:color="auto"/>
        <w:right w:val="none" w:sz="0" w:space="0" w:color="auto"/>
      </w:divBdr>
    </w:div>
    <w:div w:id="1027023726">
      <w:bodyDiv w:val="1"/>
      <w:marLeft w:val="0"/>
      <w:marRight w:val="0"/>
      <w:marTop w:val="0"/>
      <w:marBottom w:val="0"/>
      <w:divBdr>
        <w:top w:val="none" w:sz="0" w:space="0" w:color="auto"/>
        <w:left w:val="none" w:sz="0" w:space="0" w:color="auto"/>
        <w:bottom w:val="none" w:sz="0" w:space="0" w:color="auto"/>
        <w:right w:val="none" w:sz="0" w:space="0" w:color="auto"/>
      </w:divBdr>
      <w:divsChild>
        <w:div w:id="42802026">
          <w:marLeft w:val="0"/>
          <w:marRight w:val="0"/>
          <w:marTop w:val="0"/>
          <w:marBottom w:val="0"/>
          <w:divBdr>
            <w:top w:val="none" w:sz="0" w:space="0" w:color="auto"/>
            <w:left w:val="none" w:sz="0" w:space="0" w:color="auto"/>
            <w:bottom w:val="none" w:sz="0" w:space="0" w:color="auto"/>
            <w:right w:val="none" w:sz="0" w:space="0" w:color="auto"/>
          </w:divBdr>
        </w:div>
      </w:divsChild>
    </w:div>
    <w:div w:id="1094321942">
      <w:bodyDiv w:val="1"/>
      <w:marLeft w:val="0"/>
      <w:marRight w:val="0"/>
      <w:marTop w:val="0"/>
      <w:marBottom w:val="0"/>
      <w:divBdr>
        <w:top w:val="none" w:sz="0" w:space="0" w:color="auto"/>
        <w:left w:val="none" w:sz="0" w:space="0" w:color="auto"/>
        <w:bottom w:val="none" w:sz="0" w:space="0" w:color="auto"/>
        <w:right w:val="none" w:sz="0" w:space="0" w:color="auto"/>
      </w:divBdr>
    </w:div>
    <w:div w:id="1126775635">
      <w:bodyDiv w:val="1"/>
      <w:marLeft w:val="0"/>
      <w:marRight w:val="0"/>
      <w:marTop w:val="0"/>
      <w:marBottom w:val="0"/>
      <w:divBdr>
        <w:top w:val="none" w:sz="0" w:space="0" w:color="auto"/>
        <w:left w:val="none" w:sz="0" w:space="0" w:color="auto"/>
        <w:bottom w:val="none" w:sz="0" w:space="0" w:color="auto"/>
        <w:right w:val="none" w:sz="0" w:space="0" w:color="auto"/>
      </w:divBdr>
    </w:div>
    <w:div w:id="1221551170">
      <w:bodyDiv w:val="1"/>
      <w:marLeft w:val="0"/>
      <w:marRight w:val="0"/>
      <w:marTop w:val="0"/>
      <w:marBottom w:val="0"/>
      <w:divBdr>
        <w:top w:val="none" w:sz="0" w:space="0" w:color="auto"/>
        <w:left w:val="none" w:sz="0" w:space="0" w:color="auto"/>
        <w:bottom w:val="none" w:sz="0" w:space="0" w:color="auto"/>
        <w:right w:val="none" w:sz="0" w:space="0" w:color="auto"/>
      </w:divBdr>
    </w:div>
    <w:div w:id="1273979116">
      <w:bodyDiv w:val="1"/>
      <w:marLeft w:val="0"/>
      <w:marRight w:val="0"/>
      <w:marTop w:val="0"/>
      <w:marBottom w:val="0"/>
      <w:divBdr>
        <w:top w:val="none" w:sz="0" w:space="0" w:color="auto"/>
        <w:left w:val="none" w:sz="0" w:space="0" w:color="auto"/>
        <w:bottom w:val="none" w:sz="0" w:space="0" w:color="auto"/>
        <w:right w:val="none" w:sz="0" w:space="0" w:color="auto"/>
      </w:divBdr>
    </w:div>
    <w:div w:id="1278021835">
      <w:bodyDiv w:val="1"/>
      <w:marLeft w:val="0"/>
      <w:marRight w:val="0"/>
      <w:marTop w:val="0"/>
      <w:marBottom w:val="0"/>
      <w:divBdr>
        <w:top w:val="none" w:sz="0" w:space="0" w:color="auto"/>
        <w:left w:val="none" w:sz="0" w:space="0" w:color="auto"/>
        <w:bottom w:val="none" w:sz="0" w:space="0" w:color="auto"/>
        <w:right w:val="none" w:sz="0" w:space="0" w:color="auto"/>
      </w:divBdr>
    </w:div>
    <w:div w:id="1524397452">
      <w:bodyDiv w:val="1"/>
      <w:marLeft w:val="0"/>
      <w:marRight w:val="0"/>
      <w:marTop w:val="0"/>
      <w:marBottom w:val="0"/>
      <w:divBdr>
        <w:top w:val="none" w:sz="0" w:space="0" w:color="auto"/>
        <w:left w:val="none" w:sz="0" w:space="0" w:color="auto"/>
        <w:bottom w:val="none" w:sz="0" w:space="0" w:color="auto"/>
        <w:right w:val="none" w:sz="0" w:space="0" w:color="auto"/>
      </w:divBdr>
    </w:div>
    <w:div w:id="1587615686">
      <w:bodyDiv w:val="1"/>
      <w:marLeft w:val="0"/>
      <w:marRight w:val="0"/>
      <w:marTop w:val="0"/>
      <w:marBottom w:val="0"/>
      <w:divBdr>
        <w:top w:val="none" w:sz="0" w:space="0" w:color="auto"/>
        <w:left w:val="none" w:sz="0" w:space="0" w:color="auto"/>
        <w:bottom w:val="none" w:sz="0" w:space="0" w:color="auto"/>
        <w:right w:val="none" w:sz="0" w:space="0" w:color="auto"/>
      </w:divBdr>
    </w:div>
    <w:div w:id="1621912217">
      <w:bodyDiv w:val="1"/>
      <w:marLeft w:val="0"/>
      <w:marRight w:val="0"/>
      <w:marTop w:val="0"/>
      <w:marBottom w:val="0"/>
      <w:divBdr>
        <w:top w:val="none" w:sz="0" w:space="0" w:color="auto"/>
        <w:left w:val="none" w:sz="0" w:space="0" w:color="auto"/>
        <w:bottom w:val="none" w:sz="0" w:space="0" w:color="auto"/>
        <w:right w:val="none" w:sz="0" w:space="0" w:color="auto"/>
      </w:divBdr>
    </w:div>
    <w:div w:id="1754470944">
      <w:bodyDiv w:val="1"/>
      <w:marLeft w:val="0"/>
      <w:marRight w:val="0"/>
      <w:marTop w:val="0"/>
      <w:marBottom w:val="0"/>
      <w:divBdr>
        <w:top w:val="none" w:sz="0" w:space="0" w:color="auto"/>
        <w:left w:val="none" w:sz="0" w:space="0" w:color="auto"/>
        <w:bottom w:val="none" w:sz="0" w:space="0" w:color="auto"/>
        <w:right w:val="none" w:sz="0" w:space="0" w:color="auto"/>
      </w:divBdr>
    </w:div>
    <w:div w:id="19506190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7" Type="http://schemas.microsoft.com/office/2007/relationships/stylesWithEffects" Target="stylesWithEffect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13.pn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header" Target="head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FB3F6D368976641A0C64512409B5029" ma:contentTypeVersion="14" ma:contentTypeDescription="Create a new document." ma:contentTypeScope="" ma:versionID="13608a42d2b42795854bace0d375a10a">
  <xsd:schema xmlns:xsd="http://www.w3.org/2001/XMLSchema" xmlns:xs="http://www.w3.org/2001/XMLSchema" xmlns:p="http://schemas.microsoft.com/office/2006/metadata/properties" xmlns:ns3="e1117b5d-10dd-494f-bbfa-d831470eea4d" xmlns:ns4="eb657eaa-8967-44c9-b88a-5948fbc93fc0" targetNamespace="http://schemas.microsoft.com/office/2006/metadata/properties" ma:root="true" ma:fieldsID="8a8f5dbb45fe54607b6728695217a801" ns3:_="" ns4:_="">
    <xsd:import namespace="e1117b5d-10dd-494f-bbfa-d831470eea4d"/>
    <xsd:import namespace="eb657eaa-8967-44c9-b88a-5948fbc93fc0"/>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DateTaken" minOccurs="0"/>
                <xsd:element ref="ns3:MediaServiceLocation" minOccurs="0"/>
                <xsd:element ref="ns3:MediaServiceOCR"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1117b5d-10dd-494f-bbfa-d831470eea4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b657eaa-8967-44c9-b88a-5948fbc93fc0"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EAED6E-1CFF-40E8-9B8B-B83B4648CC47}">
  <ds:schemaRefs>
    <ds:schemaRef ds:uri="http://schemas.microsoft.com/sharepoint/v3/contenttype/forms"/>
  </ds:schemaRefs>
</ds:datastoreItem>
</file>

<file path=customXml/itemProps2.xml><?xml version="1.0" encoding="utf-8"?>
<ds:datastoreItem xmlns:ds="http://schemas.openxmlformats.org/officeDocument/2006/customXml" ds:itemID="{4384FBE6-FB24-4350-987B-23241D82DB9F}">
  <ds:schemaRefs>
    <ds:schemaRef ds:uri="http://purl.org/dc/terms/"/>
    <ds:schemaRef ds:uri="http://schemas.microsoft.com/office/2006/metadata/properties"/>
    <ds:schemaRef ds:uri="http://purl.org/dc/elements/1.1/"/>
    <ds:schemaRef ds:uri="e1117b5d-10dd-494f-bbfa-d831470eea4d"/>
    <ds:schemaRef ds:uri="http://schemas.microsoft.com/office/infopath/2007/PartnerControls"/>
    <ds:schemaRef ds:uri="http://www.w3.org/XML/1998/namespace"/>
    <ds:schemaRef ds:uri="http://schemas.microsoft.com/office/2006/documentManagement/types"/>
    <ds:schemaRef ds:uri="http://schemas.openxmlformats.org/package/2006/metadata/core-properties"/>
    <ds:schemaRef ds:uri="eb657eaa-8967-44c9-b88a-5948fbc93fc0"/>
    <ds:schemaRef ds:uri="http://purl.org/dc/dcmitype/"/>
  </ds:schemaRefs>
</ds:datastoreItem>
</file>

<file path=customXml/itemProps3.xml><?xml version="1.0" encoding="utf-8"?>
<ds:datastoreItem xmlns:ds="http://schemas.openxmlformats.org/officeDocument/2006/customXml" ds:itemID="{58D65BE0-2EE2-43C5-83FB-AAFF4570F8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1117b5d-10dd-494f-bbfa-d831470eea4d"/>
    <ds:schemaRef ds:uri="eb657eaa-8967-44c9-b88a-5948fbc93f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8C4121A-27D6-4E2A-AB6F-42665B4EF8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77</Pages>
  <Words>22337</Words>
  <Characters>127325</Characters>
  <Application>Microsoft Office Word</Application>
  <DocSecurity>0</DocSecurity>
  <Lines>1061</Lines>
  <Paragraphs>298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149364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Mariam Sohail</dc:creator>
  <cp:lastModifiedBy>kanta</cp:lastModifiedBy>
  <cp:revision>3</cp:revision>
  <cp:lastPrinted>2021-12-07T17:55:00Z</cp:lastPrinted>
  <dcterms:created xsi:type="dcterms:W3CDTF">2022-07-11T05:47:00Z</dcterms:created>
  <dcterms:modified xsi:type="dcterms:W3CDTF">2022-07-11T05:49:00Z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0x010100EFB3F6D368976641A0C64512409B5029</vt:lpwstr>
  </property>
  <property fmtid="{D5CDD505-2E9C-101B-9397-08002B2CF9AE}" pid="3" name="Mendeley Recent Style Id 0_1">
    <vt:lpwstr>http://www.zotero.org/styles/acs-sustainable-chemistry-and-engineering</vt:lpwstr>
  </property>
  <property fmtid="{D5CDD505-2E9C-101B-9397-08002B2CF9AE}" pid="4" name="Mendeley Recent Style Name 0_1">
    <vt:lpwstr>ACS Sustainable Chemistry &amp; Engineering</vt:lpwstr>
  </property>
  <property fmtid="{D5CDD505-2E9C-101B-9397-08002B2CF9AE}" pid="5" name="Mendeley Recent Style Id 1_1">
    <vt:lpwstr>http://www.zotero.org/styles/advanced-composite-materials</vt:lpwstr>
  </property>
  <property fmtid="{D5CDD505-2E9C-101B-9397-08002B2CF9AE}" pid="6" name="Mendeley Recent Style Name 1_1">
    <vt:lpwstr>Advanced Composite Materials</vt:lpwstr>
  </property>
  <property fmtid="{D5CDD505-2E9C-101B-9397-08002B2CF9AE}" pid="7" name="Mendeley Recent Style Id 2_1">
    <vt:lpwstr>http://www.zotero.org/styles/advanced-functional-materials</vt:lpwstr>
  </property>
  <property fmtid="{D5CDD505-2E9C-101B-9397-08002B2CF9AE}" pid="8" name="Mendeley Recent Style Name 2_1">
    <vt:lpwstr>Advanced Functional Materials</vt:lpwstr>
  </property>
  <property fmtid="{D5CDD505-2E9C-101B-9397-08002B2CF9AE}" pid="9" name="Mendeley Recent Style Id 3_1">
    <vt:lpwstr>http://www.zotero.org/styles/american-medical-association</vt:lpwstr>
  </property>
  <property fmtid="{D5CDD505-2E9C-101B-9397-08002B2CF9AE}" pid="10" name="Mendeley Recent Style Name 3_1">
    <vt:lpwstr>American Medical Association</vt:lpwstr>
  </property>
  <property fmtid="{D5CDD505-2E9C-101B-9397-08002B2CF9AE}" pid="11" name="Mendeley Recent Style Id 4_1">
    <vt:lpwstr>http://www.zotero.org/styles/harvard-cite-them-right-no-et-al</vt:lpwstr>
  </property>
  <property fmtid="{D5CDD505-2E9C-101B-9397-08002B2CF9AE}" pid="12" name="Mendeley Recent Style Name 4_1">
    <vt:lpwstr>Cite Them Right 10th edition - Harvard (no "et al.")</vt:lpwstr>
  </property>
  <property fmtid="{D5CDD505-2E9C-101B-9397-08002B2CF9AE}" pid="13" name="Mendeley Recent Style Id 5_1">
    <vt:lpwstr>http://www.zotero.org/styles/elsevier-harvard2</vt:lpwstr>
  </property>
  <property fmtid="{D5CDD505-2E9C-101B-9397-08002B2CF9AE}" pid="14" name="Mendeley Recent Style Name 5_1">
    <vt:lpwstr>Elsevier - Harvard 2</vt:lpwstr>
  </property>
  <property fmtid="{D5CDD505-2E9C-101B-9397-08002B2CF9AE}" pid="15" name="Mendeley Recent Style Id 6_1">
    <vt:lpwstr>http://www.zotero.org/styles/green-chemistry</vt:lpwstr>
  </property>
  <property fmtid="{D5CDD505-2E9C-101B-9397-08002B2CF9AE}" pid="16" name="Mendeley Recent Style Name 6_1">
    <vt:lpwstr>Green Chemistry</vt:lpwstr>
  </property>
  <property fmtid="{D5CDD505-2E9C-101B-9397-08002B2CF9AE}" pid="17" name="Mendeley Recent Style Id 7_1">
    <vt:lpwstr>http://www.zotero.org/styles/ieee</vt:lpwstr>
  </property>
  <property fmtid="{D5CDD505-2E9C-101B-9397-08002B2CF9AE}" pid="18" name="Mendeley Recent Style Name 7_1">
    <vt:lpwstr>IEEE</vt:lpwstr>
  </property>
  <property fmtid="{D5CDD505-2E9C-101B-9397-08002B2CF9AE}" pid="19" name="Mendeley Recent Style Id 8_1">
    <vt:lpwstr>http://www.zotero.org/styles/journal-of-agricultural-and-food-chemistry</vt:lpwstr>
  </property>
  <property fmtid="{D5CDD505-2E9C-101B-9397-08002B2CF9AE}" pid="20" name="Mendeley Recent Style Name 8_1">
    <vt:lpwstr>Journal of Agricultural and Food Chemistry</vt:lpwstr>
  </property>
  <property fmtid="{D5CDD505-2E9C-101B-9397-08002B2CF9AE}" pid="21" name="Mendeley Recent Style Id 9_1">
    <vt:lpwstr>http://www.zotero.org/styles/materials-horizons</vt:lpwstr>
  </property>
  <property fmtid="{D5CDD505-2E9C-101B-9397-08002B2CF9AE}" pid="22" name="Mendeley Recent Style Name 9_1">
    <vt:lpwstr>Materials Horizons</vt:lpwstr>
  </property>
</Properties>
</file>