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E4A9D" w14:textId="58D976D3" w:rsidR="00425474" w:rsidRPr="00112F34" w:rsidRDefault="009E735F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 xml:space="preserve">This data package presents </w:t>
      </w:r>
      <w:r w:rsidR="00425474" w:rsidRPr="00112F34">
        <w:rPr>
          <w:rFonts w:ascii="Arial" w:hAnsi="Arial" w:cs="Arial"/>
          <w:color w:val="24292F"/>
        </w:rPr>
        <w:t xml:space="preserve">RNA:DNA ratios, fork length, wet weight and </w:t>
      </w:r>
      <w:r w:rsidRPr="00112F34">
        <w:rPr>
          <w:rFonts w:ascii="Arial" w:hAnsi="Arial" w:cs="Arial"/>
          <w:color w:val="24292F"/>
        </w:rPr>
        <w:t xml:space="preserve">fatty acids of </w:t>
      </w:r>
      <w:r w:rsidR="00425474" w:rsidRPr="00112F34">
        <w:rPr>
          <w:rFonts w:ascii="Arial" w:hAnsi="Arial" w:cs="Arial"/>
          <w:color w:val="24292F"/>
        </w:rPr>
        <w:t>juvenile salmon</w:t>
      </w:r>
      <w:r w:rsidR="002C17DE" w:rsidRPr="00112F34">
        <w:rPr>
          <w:rFonts w:ascii="Arial" w:hAnsi="Arial" w:cs="Arial"/>
          <w:color w:val="24292F"/>
        </w:rPr>
        <w:t xml:space="preserve"> as well as zooplankton biomass, </w:t>
      </w:r>
      <w:r w:rsidR="006642FB" w:rsidRPr="00112F34">
        <w:rPr>
          <w:rFonts w:ascii="Arial" w:hAnsi="Arial" w:cs="Arial"/>
          <w:color w:val="24292F"/>
        </w:rPr>
        <w:t xml:space="preserve">SST, and SSS data. The first sample </w:t>
      </w:r>
      <w:r w:rsidR="00F45263" w:rsidRPr="00112F34">
        <w:rPr>
          <w:rFonts w:ascii="Arial" w:hAnsi="Arial" w:cs="Arial"/>
          <w:color w:val="24292F"/>
        </w:rPr>
        <w:t xml:space="preserve">in 2015 was </w:t>
      </w:r>
      <w:r w:rsidR="006642FB" w:rsidRPr="00112F34">
        <w:rPr>
          <w:rFonts w:ascii="Arial" w:hAnsi="Arial" w:cs="Arial"/>
          <w:color w:val="24292F"/>
        </w:rPr>
        <w:t xml:space="preserve">collected on </w:t>
      </w:r>
      <w:r w:rsidR="00F45263" w:rsidRPr="00112F34">
        <w:rPr>
          <w:rFonts w:ascii="Arial" w:hAnsi="Arial" w:cs="Arial"/>
          <w:color w:val="24292F"/>
        </w:rPr>
        <w:t>May 6</w:t>
      </w:r>
      <w:r w:rsidR="00F45263" w:rsidRPr="00112F34">
        <w:rPr>
          <w:rFonts w:ascii="Arial" w:hAnsi="Arial" w:cs="Arial"/>
          <w:color w:val="24292F"/>
          <w:vertAlign w:val="superscript"/>
        </w:rPr>
        <w:t>th</w:t>
      </w:r>
      <w:r w:rsidR="00F45263" w:rsidRPr="00112F34">
        <w:rPr>
          <w:rFonts w:ascii="Arial" w:hAnsi="Arial" w:cs="Arial"/>
          <w:color w:val="24292F"/>
        </w:rPr>
        <w:t>, 2015 and the last June 23</w:t>
      </w:r>
      <w:r w:rsidR="00F45263" w:rsidRPr="00112F34">
        <w:rPr>
          <w:rFonts w:ascii="Arial" w:hAnsi="Arial" w:cs="Arial"/>
          <w:color w:val="24292F"/>
          <w:vertAlign w:val="superscript"/>
        </w:rPr>
        <w:t>rd</w:t>
      </w:r>
      <w:r w:rsidR="00F45263" w:rsidRPr="00112F34">
        <w:rPr>
          <w:rFonts w:ascii="Arial" w:hAnsi="Arial" w:cs="Arial"/>
          <w:color w:val="24292F"/>
        </w:rPr>
        <w:t>, 2015. The first sample in 2016 was collected on May 14</w:t>
      </w:r>
      <w:r w:rsidR="00F45263" w:rsidRPr="00112F34">
        <w:rPr>
          <w:rFonts w:ascii="Arial" w:hAnsi="Arial" w:cs="Arial"/>
          <w:color w:val="24292F"/>
          <w:vertAlign w:val="superscript"/>
        </w:rPr>
        <w:t>th</w:t>
      </w:r>
      <w:r w:rsidR="00F45263" w:rsidRPr="00112F34">
        <w:rPr>
          <w:rFonts w:ascii="Arial" w:hAnsi="Arial" w:cs="Arial"/>
          <w:color w:val="24292F"/>
        </w:rPr>
        <w:t>, 2016 and the last on July 4</w:t>
      </w:r>
      <w:r w:rsidR="00F45263" w:rsidRPr="00112F34">
        <w:rPr>
          <w:rFonts w:ascii="Arial" w:hAnsi="Arial" w:cs="Arial"/>
          <w:color w:val="24292F"/>
          <w:vertAlign w:val="superscript"/>
        </w:rPr>
        <w:t>th</w:t>
      </w:r>
      <w:r w:rsidR="00F45263" w:rsidRPr="00112F34">
        <w:rPr>
          <w:rFonts w:ascii="Arial" w:hAnsi="Arial" w:cs="Arial"/>
          <w:color w:val="24292F"/>
        </w:rPr>
        <w:t xml:space="preserve">, 2016. The samples were </w:t>
      </w:r>
      <w:r w:rsidR="00794BFA" w:rsidRPr="00112F34">
        <w:rPr>
          <w:rFonts w:ascii="Arial" w:hAnsi="Arial" w:cs="Arial"/>
          <w:color w:val="24292F"/>
        </w:rPr>
        <w:t>collected</w:t>
      </w:r>
      <w:r w:rsidR="00F45263" w:rsidRPr="00112F34">
        <w:rPr>
          <w:rFonts w:ascii="Arial" w:hAnsi="Arial" w:cs="Arial"/>
          <w:color w:val="24292F"/>
        </w:rPr>
        <w:t xml:space="preserve"> across six (6) sampling locations: D07 (</w:t>
      </w:r>
      <w:proofErr w:type="spellStart"/>
      <w:r w:rsidR="00F45263" w:rsidRPr="00112F34">
        <w:rPr>
          <w:rFonts w:ascii="Arial" w:hAnsi="Arial" w:cs="Arial"/>
          <w:color w:val="24292F"/>
        </w:rPr>
        <w:t>NSoG</w:t>
      </w:r>
      <w:proofErr w:type="spellEnd"/>
      <w:r w:rsidR="00F45263" w:rsidRPr="00112F34">
        <w:rPr>
          <w:rFonts w:ascii="Arial" w:hAnsi="Arial" w:cs="Arial"/>
          <w:color w:val="24292F"/>
        </w:rPr>
        <w:t xml:space="preserve">: 50.190769 N, -125.143142 W), J03 (JS: 50.599433 N, -126.671869 W); J06 (JS: 50.475081 N, -126.033922 W); J07 (JS: 50.457325 N, -126.165533 W); J09 (JS: 50.544011 N, -126.814611 W); J02 (QCS: </w:t>
      </w:r>
      <w:r w:rsidR="00794BFA" w:rsidRPr="00112F34">
        <w:rPr>
          <w:rFonts w:ascii="Arial" w:hAnsi="Arial" w:cs="Arial"/>
          <w:color w:val="24292F"/>
        </w:rPr>
        <w:t>50.599433 N, -126.703364 W).</w:t>
      </w:r>
    </w:p>
    <w:p w14:paraId="463F35F0" w14:textId="32B513E4" w:rsidR="00425474" w:rsidRPr="00112F34" w:rsidRDefault="00794BFA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>Fish were collected from a 6m motorized vessel at distances of 5-60m from shore, using a purse seine designed for manual deployment and retrieval (bunt: 27 x 9 m with 13 mm mesh; tow 46 x 9 m 76 mm mesh)</w:t>
      </w:r>
      <w:r w:rsidR="00112F34" w:rsidRPr="00112F34">
        <w:rPr>
          <w:rFonts w:ascii="Arial" w:hAnsi="Arial" w:cs="Arial"/>
          <w:color w:val="24292F"/>
        </w:rPr>
        <w:t xml:space="preserve">. </w:t>
      </w:r>
      <w:r w:rsidRPr="00112F34">
        <w:rPr>
          <w:rFonts w:ascii="Arial" w:hAnsi="Arial" w:cs="Arial"/>
          <w:color w:val="24292F"/>
        </w:rPr>
        <w:t xml:space="preserve">White muscle tissues were collected post catchment from flash frozen organisms. </w:t>
      </w:r>
    </w:p>
    <w:p w14:paraId="67C8DC3B" w14:textId="4027B3E1" w:rsidR="00112F34" w:rsidRPr="00112F34" w:rsidRDefault="00112F34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 xml:space="preserve">RNA:DNA ratios were measured at the University of British Columbia (UBC) using a </w:t>
      </w:r>
      <w:proofErr w:type="spellStart"/>
      <w:r w:rsidRPr="00112F34">
        <w:rPr>
          <w:rFonts w:ascii="Arial" w:hAnsi="Arial" w:cs="Arial"/>
          <w:color w:val="24292F"/>
        </w:rPr>
        <w:t>VarioSkan</w:t>
      </w:r>
      <w:proofErr w:type="spellEnd"/>
      <w:r w:rsidRPr="00112F34">
        <w:rPr>
          <w:rFonts w:ascii="Arial" w:hAnsi="Arial" w:cs="Arial"/>
          <w:color w:val="24292F"/>
        </w:rPr>
        <w:t xml:space="preserve"> Flash Microplate Reader (</w:t>
      </w:r>
      <w:proofErr w:type="spellStart"/>
      <w:r w:rsidRPr="00112F34">
        <w:rPr>
          <w:rFonts w:ascii="Arial" w:hAnsi="Arial" w:cs="Arial"/>
          <w:color w:val="24292F"/>
        </w:rPr>
        <w:t>ThermoFisher</w:t>
      </w:r>
      <w:proofErr w:type="spellEnd"/>
      <w:r w:rsidRPr="00112F34">
        <w:rPr>
          <w:rFonts w:ascii="Arial" w:hAnsi="Arial" w:cs="Arial"/>
          <w:color w:val="24292F"/>
        </w:rPr>
        <w:t xml:space="preserve"> Scientific). For detailed methods see </w:t>
      </w:r>
      <w:proofErr w:type="spellStart"/>
      <w:r w:rsidRPr="00112F34">
        <w:rPr>
          <w:rFonts w:ascii="Arial" w:hAnsi="Arial" w:cs="Arial"/>
          <w:color w:val="24292F"/>
        </w:rPr>
        <w:t>Garzke</w:t>
      </w:r>
      <w:proofErr w:type="spellEnd"/>
      <w:r w:rsidRPr="00112F34">
        <w:rPr>
          <w:rFonts w:ascii="Arial" w:hAnsi="Arial" w:cs="Arial"/>
          <w:color w:val="24292F"/>
        </w:rPr>
        <w:t xml:space="preserve"> et al (2022). RNA:DNA ratios were measured in triplicates and sample averages calculated from triplicates nit exceeding a coefficient of variance above 15%.</w:t>
      </w:r>
    </w:p>
    <w:p w14:paraId="66713333" w14:textId="77777777" w:rsidR="009E735F" w:rsidRPr="00112F34" w:rsidRDefault="009E735F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>Fatty acids follow the notation C20:5n.3 corresponding to eicosapentaenoic acid (EPA), where 20 is the number of carbon atoms, 5 is the number of double bonds, and 3 is the position of the first double bond from the omega end.</w:t>
      </w:r>
    </w:p>
    <w:p w14:paraId="1FC62896" w14:textId="77777777" w:rsidR="009E735F" w:rsidRPr="00112F34" w:rsidRDefault="009E735F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>Fatty acids were analyzed at the Fisheries and Oceans Canada (DFO) Pacific Science Enterprise Centre. FAs were converted to fatty acid methyl esters using a direct transesterification method, separated using an Agilent CP-Sil 88 column (50 m, 0.25 mm diameter), and quantified with a gas chromatograph (SCION 436) equipped with a flame ionization detector.</w:t>
      </w:r>
    </w:p>
    <w:p w14:paraId="100FBC0A" w14:textId="3004F895" w:rsidR="009E735F" w:rsidRPr="00112F34" w:rsidRDefault="009E735F" w:rsidP="00112F34">
      <w:pPr>
        <w:pStyle w:val="NormalWeb"/>
        <w:spacing w:before="0" w:beforeAutospacing="0" w:after="24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>These data represent all chromatogram peaks attributed to FAs based on external standards (Nu-</w:t>
      </w:r>
      <w:proofErr w:type="spellStart"/>
      <w:r w:rsidRPr="00112F34">
        <w:rPr>
          <w:rFonts w:ascii="Arial" w:hAnsi="Arial" w:cs="Arial"/>
          <w:color w:val="24292F"/>
        </w:rPr>
        <w:t>Chek</w:t>
      </w:r>
      <w:proofErr w:type="spellEnd"/>
      <w:r w:rsidRPr="00112F34">
        <w:rPr>
          <w:rFonts w:ascii="Arial" w:hAnsi="Arial" w:cs="Arial"/>
          <w:color w:val="24292F"/>
        </w:rPr>
        <w:t xml:space="preserve"> Prep GLC-37, GLC-463; Cayman Chemical 18:4n-3; </w:t>
      </w:r>
      <w:proofErr w:type="spellStart"/>
      <w:r w:rsidRPr="00112F34">
        <w:rPr>
          <w:rFonts w:ascii="Arial" w:hAnsi="Arial" w:cs="Arial"/>
          <w:color w:val="24292F"/>
        </w:rPr>
        <w:t>Matreya</w:t>
      </w:r>
      <w:proofErr w:type="spellEnd"/>
      <w:r w:rsidRPr="00112F34">
        <w:rPr>
          <w:rFonts w:ascii="Arial" w:hAnsi="Arial" w:cs="Arial"/>
          <w:color w:val="24292F"/>
        </w:rPr>
        <w:t xml:space="preserve"> PUFA Mix No. 3) and by comparing reference samples analyzed at another lab (M.T. Brett, University of Washington). Overall, 81.2 ± 0.08% (mean ± </w:t>
      </w:r>
      <w:proofErr w:type="spellStart"/>
      <w:r w:rsidRPr="00112F34">
        <w:rPr>
          <w:rFonts w:ascii="Arial" w:hAnsi="Arial" w:cs="Arial"/>
          <w:color w:val="24292F"/>
        </w:rPr>
        <w:t>sd</w:t>
      </w:r>
      <w:proofErr w:type="spellEnd"/>
      <w:r w:rsidRPr="00112F34">
        <w:rPr>
          <w:rFonts w:ascii="Arial" w:hAnsi="Arial" w:cs="Arial"/>
          <w:color w:val="24292F"/>
        </w:rPr>
        <w:t xml:space="preserve">) of the chromatogram area was identified and attributed to FAs. FAs were quantified based on a known quantity of an internal standard, C19:0, that was added to each sample. For detailed methods see </w:t>
      </w:r>
      <w:proofErr w:type="spellStart"/>
      <w:r w:rsidR="00112F34" w:rsidRPr="00112F34">
        <w:rPr>
          <w:rFonts w:ascii="Arial" w:hAnsi="Arial" w:cs="Arial"/>
          <w:color w:val="24292F"/>
        </w:rPr>
        <w:t>Garzke</w:t>
      </w:r>
      <w:proofErr w:type="spellEnd"/>
      <w:r w:rsidR="00112F34" w:rsidRPr="00112F34">
        <w:rPr>
          <w:rFonts w:ascii="Arial" w:hAnsi="Arial" w:cs="Arial"/>
          <w:color w:val="24292F"/>
        </w:rPr>
        <w:t xml:space="preserve"> et al (2022)</w:t>
      </w:r>
      <w:r w:rsidRPr="00112F34">
        <w:rPr>
          <w:rFonts w:ascii="Arial" w:hAnsi="Arial" w:cs="Arial"/>
          <w:color w:val="24292F"/>
        </w:rPr>
        <w:t>.</w:t>
      </w:r>
    </w:p>
    <w:p w14:paraId="46AD924A" w14:textId="4E2C9FFF" w:rsidR="009E735F" w:rsidRPr="00112F34" w:rsidRDefault="009E735F" w:rsidP="00112F3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 xml:space="preserve">For each sampling date, fatty acids are presented as </w:t>
      </w:r>
      <w:proofErr w:type="spellStart"/>
      <w:r w:rsidRPr="00112F34">
        <w:rPr>
          <w:rFonts w:ascii="Arial" w:hAnsi="Arial" w:cs="Arial"/>
          <w:color w:val="24292F"/>
        </w:rPr>
        <w:t>μg</w:t>
      </w:r>
      <w:proofErr w:type="spellEnd"/>
      <w:r w:rsidRPr="00112F34">
        <w:rPr>
          <w:rFonts w:ascii="Arial" w:hAnsi="Arial" w:cs="Arial"/>
          <w:color w:val="24292F"/>
        </w:rPr>
        <w:t xml:space="preserve"> of total fatty acids </w:t>
      </w:r>
      <w:r w:rsidR="00112F34" w:rsidRPr="00112F34">
        <w:rPr>
          <w:rFonts w:ascii="Arial" w:hAnsi="Arial" w:cs="Arial"/>
          <w:color w:val="24292F"/>
        </w:rPr>
        <w:t>of mg DW of the analysed muscle tissue</w:t>
      </w:r>
      <w:r w:rsidRPr="00112F34">
        <w:rPr>
          <w:rFonts w:ascii="Arial" w:hAnsi="Arial" w:cs="Arial"/>
          <w:color w:val="24292F"/>
        </w:rPr>
        <w:t>.</w:t>
      </w:r>
    </w:p>
    <w:p w14:paraId="2102CAA3" w14:textId="03249042" w:rsidR="00112F34" w:rsidRPr="00112F34" w:rsidRDefault="00112F34" w:rsidP="00112F3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24292F"/>
        </w:rPr>
      </w:pPr>
    </w:p>
    <w:p w14:paraId="2CBEDA91" w14:textId="089CF52D" w:rsidR="00112F34" w:rsidRPr="00112F34" w:rsidRDefault="00112F34" w:rsidP="00112F3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24292F"/>
        </w:rPr>
      </w:pPr>
      <w:r w:rsidRPr="00112F34">
        <w:rPr>
          <w:rFonts w:ascii="Arial" w:hAnsi="Arial" w:cs="Arial"/>
          <w:color w:val="24292F"/>
        </w:rPr>
        <w:t xml:space="preserve">Oceanography data (SST and SSS), were collected from CTD profiles using a RBR maestro and </w:t>
      </w:r>
      <w:proofErr w:type="spellStart"/>
      <w:r w:rsidRPr="00112F34">
        <w:rPr>
          <w:rFonts w:ascii="Arial" w:hAnsi="Arial" w:cs="Arial"/>
          <w:color w:val="24292F"/>
        </w:rPr>
        <w:t>SeaBird</w:t>
      </w:r>
      <w:proofErr w:type="spellEnd"/>
      <w:r w:rsidRPr="00112F34">
        <w:rPr>
          <w:rFonts w:ascii="Arial" w:hAnsi="Arial" w:cs="Arial"/>
          <w:color w:val="24292F"/>
        </w:rPr>
        <w:t xml:space="preserve"> 19plus V2 CTD. Samples represent the average of the upper 10m of the water column.</w:t>
      </w:r>
    </w:p>
    <w:p w14:paraId="659E41D1" w14:textId="77777777" w:rsidR="00DC7CAF" w:rsidRPr="00112F34" w:rsidRDefault="00DC7CAF" w:rsidP="00112F34">
      <w:pPr>
        <w:jc w:val="both"/>
        <w:rPr>
          <w:rFonts w:ascii="Arial" w:hAnsi="Arial" w:cs="Arial"/>
        </w:rPr>
      </w:pPr>
    </w:p>
    <w:sectPr w:rsidR="00DC7CAF" w:rsidRPr="00112F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5F"/>
    <w:rsid w:val="00112F34"/>
    <w:rsid w:val="001E62C6"/>
    <w:rsid w:val="002C17DE"/>
    <w:rsid w:val="00425474"/>
    <w:rsid w:val="006642FB"/>
    <w:rsid w:val="00794BFA"/>
    <w:rsid w:val="009E735F"/>
    <w:rsid w:val="00C267FC"/>
    <w:rsid w:val="00DC7CAF"/>
    <w:rsid w:val="00EF1EE0"/>
    <w:rsid w:val="00F4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00CB6D"/>
  <w15:chartTrackingRefBased/>
  <w15:docId w15:val="{76A58082-DFB3-FC4A-B47C-E7A63E7E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735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Garzke, Jessica</dc:creator>
  <cp:keywords/>
  <dc:description/>
  <cp:lastModifiedBy>Garzke, Jessica</cp:lastModifiedBy>
  <cp:revision>3</cp:revision>
  <dcterms:created xsi:type="dcterms:W3CDTF">2022-10-21T21:19:00Z</dcterms:created>
  <dcterms:modified xsi:type="dcterms:W3CDTF">2022-10-24T18:02:00Z</dcterms:modified>
</cp:coreProperties>
</file>