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1"/>
        <w:tblpPr w:leftFromText="180" w:rightFromText="180" w:vertAnchor="text" w:horzAnchor="margin" w:tblpY="-583"/>
        <w:tblW w:w="5000" w:type="pct"/>
        <w:tblLook w:val="04A0"/>
      </w:tblPr>
      <w:tblGrid>
        <w:gridCol w:w="9963"/>
      </w:tblGrid>
      <w:tr w:rsidR="002974A5" w:rsidRPr="002974A5" w:rsidTr="000025BA">
        <w:trPr>
          <w:trHeight w:val="1101"/>
        </w:trPr>
        <w:tc>
          <w:tcPr>
            <w:tcW w:w="5000" w:type="pct"/>
            <w:tcBorders>
              <w:top w:val="nil"/>
              <w:left w:val="nil"/>
              <w:bottom w:val="single" w:sz="12" w:space="0" w:color="auto"/>
              <w:right w:val="nil"/>
            </w:tcBorders>
          </w:tcPr>
          <w:p w:rsidR="002974A5" w:rsidRPr="002974A5" w:rsidRDefault="002974A5" w:rsidP="002974A5">
            <w:pPr>
              <w:jc w:val="right"/>
              <w:rPr>
                <w:rFonts w:ascii="Calisto MT" w:hAnsi="Calisto MT"/>
                <w:b/>
                <w:bCs/>
                <w:color w:val="BFBFBF"/>
                <w:sz w:val="24"/>
                <w:szCs w:val="24"/>
                <w:lang w:val="en-IN" w:eastAsia="en-IN" w:bidi="as-IN"/>
              </w:rPr>
            </w:pPr>
            <w:r w:rsidRPr="002974A5">
              <w:rPr>
                <w:rFonts w:ascii="Calisto MT" w:hAnsi="Calisto MT"/>
                <w:b/>
                <w:bCs/>
                <w:noProof/>
                <w:color w:val="BFBFBF"/>
                <w:lang w:val="en-IN" w:eastAsia="en-IN"/>
              </w:rPr>
              <w:drawing>
                <wp:anchor distT="0" distB="0" distL="114300" distR="114300" simplePos="0" relativeHeight="251659264" behindDoc="0" locked="0" layoutInCell="1" allowOverlap="1">
                  <wp:simplePos x="0" y="0"/>
                  <wp:positionH relativeFrom="column">
                    <wp:posOffset>22798</wp:posOffset>
                  </wp:positionH>
                  <wp:positionV relativeFrom="paragraph">
                    <wp:posOffset>-34529</wp:posOffset>
                  </wp:positionV>
                  <wp:extent cx="745448" cy="689547"/>
                  <wp:effectExtent l="19050" t="0" r="0" b="0"/>
                  <wp:wrapNone/>
                  <wp:docPr id="4" name="Picture 2" descr="C:\Users\HABIB\Desktop\IASR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ABIB\Desktop\IASR Logo.jpg"/>
                          <pic:cNvPicPr>
                            <a:picLocks noChangeAspect="1" noChangeArrowheads="1"/>
                          </pic:cNvPicPr>
                        </pic:nvPicPr>
                        <pic:blipFill>
                          <a:blip r:embed="rId8" cstate="print"/>
                          <a:srcRect/>
                          <a:stretch>
                            <a:fillRect/>
                          </a:stretch>
                        </pic:blipFill>
                        <pic:spPr bwMode="auto">
                          <a:xfrm>
                            <a:off x="0" y="0"/>
                            <a:ext cx="748701" cy="690113"/>
                          </a:xfrm>
                          <a:prstGeom prst="rect">
                            <a:avLst/>
                          </a:prstGeom>
                          <a:noFill/>
                          <a:ln w="9525">
                            <a:noFill/>
                            <a:miter lim="800000"/>
                            <a:headEnd/>
                            <a:tailEnd/>
                          </a:ln>
                        </pic:spPr>
                      </pic:pic>
                    </a:graphicData>
                  </a:graphic>
                </wp:anchor>
              </w:drawing>
            </w:r>
            <w:r w:rsidRPr="002974A5">
              <w:rPr>
                <w:rFonts w:ascii="Calisto MT" w:hAnsi="Calisto MT"/>
                <w:b/>
                <w:bCs/>
                <w:color w:val="BFBFBF"/>
                <w:sz w:val="24"/>
                <w:szCs w:val="24"/>
                <w:lang w:val="en-IN" w:eastAsia="en-IN" w:bidi="as-IN"/>
              </w:rPr>
              <w:t>Original Article</w:t>
            </w:r>
          </w:p>
          <w:p w:rsidR="002974A5" w:rsidRPr="002974A5" w:rsidRDefault="002974A5" w:rsidP="002974A5">
            <w:pPr>
              <w:jc w:val="right"/>
              <w:rPr>
                <w:rFonts w:ascii="Calisto MT" w:hAnsi="Calisto MT"/>
                <w:b/>
                <w:bCs/>
                <w:sz w:val="28"/>
                <w:szCs w:val="28"/>
                <w:lang w:val="en-IN" w:eastAsia="en-IN" w:bidi="as-IN"/>
              </w:rPr>
            </w:pPr>
            <w:r w:rsidRPr="002974A5">
              <w:rPr>
                <w:rFonts w:ascii="Calisto MT" w:hAnsi="Calisto MT"/>
                <w:b/>
                <w:bCs/>
                <w:sz w:val="28"/>
                <w:szCs w:val="28"/>
                <w:lang w:val="en-IN" w:eastAsia="en-IN" w:bidi="as-IN"/>
              </w:rPr>
              <w:t>IASR Multidisciplinary Journal</w:t>
            </w:r>
          </w:p>
          <w:p w:rsidR="002974A5" w:rsidRPr="002974A5" w:rsidRDefault="002974A5" w:rsidP="002974A5">
            <w:pPr>
              <w:jc w:val="right"/>
              <w:rPr>
                <w:rFonts w:ascii="Calibri" w:eastAsia="Calibri" w:hAnsi="Calibri"/>
                <w:lang w:val="en-IN" w:eastAsia="en-US"/>
              </w:rPr>
            </w:pPr>
            <w:r w:rsidRPr="002974A5">
              <w:rPr>
                <w:rFonts w:ascii="Cambria" w:hAnsi="Calibri"/>
                <w:color w:val="FF0066"/>
                <w:sz w:val="20"/>
                <w:szCs w:val="28"/>
                <w:lang w:val="en-IN" w:eastAsia="en-IN" w:bidi="as-IN"/>
              </w:rPr>
              <w:t xml:space="preserve">Website: </w:t>
            </w:r>
            <w:hyperlink r:id="rId9" w:history="1">
              <w:r w:rsidRPr="002974A5">
                <w:rPr>
                  <w:rFonts w:ascii="Cambria" w:hAnsi="Calibri"/>
                  <w:color w:val="0000FF"/>
                  <w:sz w:val="20"/>
                  <w:u w:val="single"/>
                  <w:lang w:val="en-IN" w:eastAsia="en-IN" w:bidi="as-IN"/>
                </w:rPr>
                <w:t>http://iasrpublication.com/</w:t>
              </w:r>
            </w:hyperlink>
          </w:p>
          <w:p w:rsidR="002974A5" w:rsidRPr="002974A5" w:rsidRDefault="002974A5" w:rsidP="002974A5">
            <w:pPr>
              <w:jc w:val="right"/>
              <w:rPr>
                <w:rFonts w:ascii="Cambria" w:hAnsi="Calibri"/>
                <w:color w:val="FF0066"/>
                <w:sz w:val="20"/>
                <w:szCs w:val="28"/>
                <w:lang w:val="en-IN" w:eastAsia="en-IN" w:bidi="as-IN"/>
              </w:rPr>
            </w:pPr>
            <w:r w:rsidRPr="002974A5">
              <w:rPr>
                <w:rFonts w:ascii="Calisto MT" w:eastAsia="Calibri" w:hAnsi="Calisto MT"/>
                <w:b/>
                <w:sz w:val="20"/>
                <w:szCs w:val="20"/>
                <w:lang w:val="fr-FR" w:eastAsia="en-US"/>
              </w:rPr>
              <w:t>ISSN</w:t>
            </w:r>
            <w:r w:rsidRPr="002974A5">
              <w:rPr>
                <w:rFonts w:ascii="Calisto MT" w:eastAsia="Calibri" w:hAnsi="Calisto MT"/>
                <w:sz w:val="20"/>
                <w:szCs w:val="20"/>
                <w:lang w:val="fr-FR" w:eastAsia="en-US"/>
              </w:rPr>
              <w:t>(</w:t>
            </w:r>
            <w:r w:rsidRPr="002974A5">
              <w:rPr>
                <w:rFonts w:ascii="Calisto MT" w:eastAsia="Calibri" w:hAnsi="Calisto MT"/>
                <w:i/>
                <w:sz w:val="20"/>
                <w:szCs w:val="20"/>
                <w:lang w:val="fr-FR" w:eastAsia="en-US"/>
              </w:rPr>
              <w:t>online</w:t>
            </w:r>
            <w:r w:rsidRPr="002974A5">
              <w:rPr>
                <w:rFonts w:ascii="Calisto MT" w:eastAsia="Calibri" w:hAnsi="Calisto MT"/>
                <w:sz w:val="20"/>
                <w:szCs w:val="20"/>
                <w:lang w:val="fr-FR" w:eastAsia="en-US"/>
              </w:rPr>
              <w:t>)</w:t>
            </w:r>
            <w:r w:rsidRPr="002974A5">
              <w:rPr>
                <w:rFonts w:ascii="Calisto MT" w:eastAsia="Calibri" w:hAnsi="Calisto MT"/>
                <w:b/>
                <w:sz w:val="20"/>
                <w:szCs w:val="20"/>
                <w:lang w:val="fr-FR" w:eastAsia="en-US"/>
              </w:rPr>
              <w:t xml:space="preserve">: </w:t>
            </w:r>
            <w:r w:rsidRPr="002974A5">
              <w:rPr>
                <w:rFonts w:ascii="Calisto MT" w:eastAsia="Calibri" w:hAnsi="Calisto MT"/>
                <w:b/>
                <w:color w:val="00B050"/>
                <w:sz w:val="20"/>
                <w:szCs w:val="20"/>
                <w:lang w:val="fr-FR" w:eastAsia="en-US"/>
              </w:rPr>
              <w:t>2583-0988</w:t>
            </w:r>
          </w:p>
        </w:tc>
      </w:tr>
      <w:tr w:rsidR="002974A5" w:rsidRPr="002974A5" w:rsidTr="000025BA">
        <w:trPr>
          <w:trHeight w:val="1252"/>
        </w:trPr>
        <w:tc>
          <w:tcPr>
            <w:tcW w:w="5000" w:type="pct"/>
            <w:tcBorders>
              <w:top w:val="single" w:sz="12" w:space="0" w:color="auto"/>
              <w:left w:val="nil"/>
              <w:bottom w:val="single" w:sz="8" w:space="0" w:color="auto"/>
              <w:right w:val="nil"/>
            </w:tcBorders>
          </w:tcPr>
          <w:p w:rsidR="002974A5" w:rsidRPr="002974A5" w:rsidRDefault="002974A5" w:rsidP="002974A5">
            <w:pPr>
              <w:widowControl w:val="0"/>
              <w:autoSpaceDE w:val="0"/>
              <w:autoSpaceDN w:val="0"/>
              <w:jc w:val="center"/>
              <w:rPr>
                <w:rFonts w:ascii="Cambria" w:hAnsi="Cambria"/>
                <w:b/>
                <w:bCs/>
                <w:color w:val="3366CC"/>
                <w:sz w:val="24"/>
                <w:szCs w:val="24"/>
                <w:lang w:val="en-IN" w:eastAsia="en-US"/>
              </w:rPr>
            </w:pPr>
            <w:r w:rsidRPr="002974A5">
              <w:rPr>
                <w:rFonts w:ascii="Cambria" w:hAnsi="Cambria"/>
                <w:b/>
                <w:bCs/>
                <w:color w:val="3366CC"/>
                <w:sz w:val="24"/>
                <w:szCs w:val="24"/>
                <w:lang w:val="en-IN" w:eastAsia="en-US"/>
              </w:rPr>
              <w:t>Deposit Money Banks Loans and Advances and Agricultural Productivity in Nigeria: A Disaggregated Approach (1986 – 2021)</w:t>
            </w:r>
          </w:p>
          <w:p w:rsidR="002974A5" w:rsidRPr="002974A5" w:rsidRDefault="002974A5" w:rsidP="002974A5">
            <w:pPr>
              <w:rPr>
                <w:rFonts w:ascii="Calisto MT" w:hAnsi="Calisto MT"/>
                <w:b/>
                <w:bCs/>
                <w:noProof/>
                <w:sz w:val="30"/>
                <w:szCs w:val="30"/>
                <w:lang w:val="en-IN" w:eastAsia="en-IN" w:bidi="as-IN"/>
              </w:rPr>
            </w:pPr>
          </w:p>
          <w:p w:rsidR="002974A5" w:rsidRPr="002974A5" w:rsidRDefault="002974A5" w:rsidP="002974A5">
            <w:pPr>
              <w:rPr>
                <w:b/>
                <w:bCs/>
                <w:noProof/>
                <w:sz w:val="20"/>
                <w:szCs w:val="20"/>
                <w:lang w:val="en-IN" w:eastAsia="en-IN" w:bidi="as-IN"/>
              </w:rPr>
            </w:pPr>
            <w:r w:rsidRPr="002974A5">
              <w:rPr>
                <w:b/>
                <w:bCs/>
                <w:noProof/>
                <w:sz w:val="20"/>
                <w:szCs w:val="20"/>
                <w:lang w:val="en-IN" w:eastAsia="en-IN" w:bidi="as-IN"/>
              </w:rPr>
              <w:t>Benson Aisagbonbuomwan Esan</w:t>
            </w:r>
            <w:r w:rsidRPr="002974A5">
              <w:rPr>
                <w:b/>
                <w:bCs/>
                <w:noProof/>
                <w:sz w:val="20"/>
                <w:szCs w:val="20"/>
                <w:vertAlign w:val="superscript"/>
                <w:lang w:val="en-IN" w:eastAsia="en-IN" w:bidi="as-IN"/>
              </w:rPr>
              <w:t>1</w:t>
            </w:r>
            <w:r w:rsidRPr="002974A5">
              <w:rPr>
                <w:b/>
                <w:bCs/>
                <w:noProof/>
                <w:sz w:val="20"/>
                <w:szCs w:val="20"/>
                <w:lang w:val="en-IN" w:eastAsia="en-IN" w:bidi="as-IN"/>
              </w:rPr>
              <w:t>; Amalachukwu Chijindu Ananwude</w:t>
            </w:r>
            <w:r w:rsidRPr="002974A5">
              <w:rPr>
                <w:b/>
                <w:bCs/>
                <w:noProof/>
                <w:sz w:val="20"/>
                <w:szCs w:val="20"/>
                <w:vertAlign w:val="superscript"/>
                <w:lang w:val="en-IN" w:eastAsia="en-IN" w:bidi="as-IN"/>
              </w:rPr>
              <w:t>2*</w:t>
            </w:r>
            <w:r w:rsidRPr="002974A5">
              <w:rPr>
                <w:b/>
                <w:bCs/>
                <w:noProof/>
                <w:sz w:val="20"/>
                <w:szCs w:val="20"/>
                <w:lang w:val="en-IN" w:eastAsia="en-IN" w:bidi="as-IN"/>
              </w:rPr>
              <w:t>; Ikenna Chukwukamnene Unachukwu</w:t>
            </w:r>
            <w:r w:rsidRPr="002974A5">
              <w:rPr>
                <w:b/>
                <w:bCs/>
                <w:noProof/>
                <w:sz w:val="20"/>
                <w:szCs w:val="20"/>
                <w:vertAlign w:val="superscript"/>
                <w:lang w:val="en-IN" w:eastAsia="en-IN" w:bidi="as-IN"/>
              </w:rPr>
              <w:t>3</w:t>
            </w:r>
            <w:r w:rsidRPr="002974A5">
              <w:rPr>
                <w:b/>
                <w:bCs/>
                <w:noProof/>
                <w:sz w:val="20"/>
                <w:szCs w:val="20"/>
                <w:lang w:val="en-IN" w:eastAsia="en-IN" w:bidi="as-IN"/>
              </w:rPr>
              <w:t>&amp; John Nonso Okoye</w:t>
            </w:r>
            <w:r w:rsidRPr="002974A5">
              <w:rPr>
                <w:b/>
                <w:bCs/>
                <w:noProof/>
                <w:sz w:val="20"/>
                <w:szCs w:val="20"/>
                <w:vertAlign w:val="superscript"/>
                <w:lang w:val="en-IN" w:eastAsia="en-IN" w:bidi="as-IN"/>
              </w:rPr>
              <w:t>2</w:t>
            </w:r>
          </w:p>
          <w:p w:rsidR="002974A5" w:rsidRPr="002974A5" w:rsidRDefault="002974A5" w:rsidP="002974A5">
            <w:pPr>
              <w:rPr>
                <w:sz w:val="20"/>
                <w:szCs w:val="20"/>
                <w:lang w:val="en-IN" w:eastAsia="en-IN" w:bidi="as-IN"/>
              </w:rPr>
            </w:pPr>
            <w:r w:rsidRPr="002974A5">
              <w:rPr>
                <w:sz w:val="20"/>
                <w:szCs w:val="20"/>
                <w:vertAlign w:val="superscript"/>
                <w:lang w:val="en-IN" w:eastAsia="en-IN" w:bidi="as-IN"/>
              </w:rPr>
              <w:t>1</w:t>
            </w:r>
            <w:r w:rsidRPr="002974A5">
              <w:rPr>
                <w:sz w:val="20"/>
                <w:szCs w:val="20"/>
                <w:lang w:val="en-IN" w:eastAsia="en-IN" w:bidi="as-IN"/>
              </w:rPr>
              <w:t>Department of Banking and Finance, University of Benin, Edo State, Nigeria.</w:t>
            </w:r>
          </w:p>
          <w:p w:rsidR="002974A5" w:rsidRPr="002974A5" w:rsidRDefault="002974A5" w:rsidP="002974A5">
            <w:pPr>
              <w:rPr>
                <w:sz w:val="20"/>
                <w:szCs w:val="20"/>
                <w:lang w:val="en-IN" w:eastAsia="en-IN" w:bidi="as-IN"/>
              </w:rPr>
            </w:pPr>
            <w:r w:rsidRPr="002974A5">
              <w:rPr>
                <w:sz w:val="20"/>
                <w:szCs w:val="20"/>
                <w:vertAlign w:val="superscript"/>
                <w:lang w:val="en-IN" w:eastAsia="en-IN" w:bidi="as-IN"/>
              </w:rPr>
              <w:t>2</w:t>
            </w:r>
            <w:r w:rsidRPr="002974A5">
              <w:rPr>
                <w:sz w:val="20"/>
                <w:szCs w:val="20"/>
                <w:lang w:val="en-IN" w:eastAsia="en-IN" w:bidi="as-IN"/>
              </w:rPr>
              <w:t>Department of Banking and Finance, Nnamdi Azikiwe University, Awka, Nigeria.</w:t>
            </w:r>
          </w:p>
          <w:p w:rsidR="002974A5" w:rsidRPr="002974A5" w:rsidRDefault="002974A5" w:rsidP="002974A5">
            <w:pPr>
              <w:rPr>
                <w:sz w:val="20"/>
                <w:szCs w:val="20"/>
                <w:lang w:val="en-IN" w:eastAsia="en-IN" w:bidi="as-IN"/>
              </w:rPr>
            </w:pPr>
            <w:r w:rsidRPr="002974A5">
              <w:rPr>
                <w:sz w:val="20"/>
                <w:szCs w:val="20"/>
                <w:vertAlign w:val="superscript"/>
                <w:lang w:val="en-IN" w:eastAsia="en-IN" w:bidi="as-IN"/>
              </w:rPr>
              <w:t>3</w:t>
            </w:r>
            <w:r w:rsidRPr="002974A5">
              <w:rPr>
                <w:sz w:val="20"/>
                <w:szCs w:val="20"/>
                <w:lang w:val="en-IN" w:eastAsia="en-IN" w:bidi="as-IN"/>
              </w:rPr>
              <w:t>Department of Business Administration, Nnamdi Azikiwe University, Awka, Nigeria.</w:t>
            </w:r>
          </w:p>
        </w:tc>
      </w:tr>
      <w:tr w:rsidR="002974A5" w:rsidRPr="002974A5" w:rsidTr="000025BA">
        <w:trPr>
          <w:trHeight w:val="3410"/>
        </w:trPr>
        <w:tc>
          <w:tcPr>
            <w:tcW w:w="5000" w:type="pct"/>
            <w:tcBorders>
              <w:top w:val="single" w:sz="8" w:space="0" w:color="auto"/>
              <w:left w:val="nil"/>
              <w:bottom w:val="single" w:sz="8" w:space="0" w:color="auto"/>
              <w:right w:val="nil"/>
            </w:tcBorders>
          </w:tcPr>
          <w:p w:rsidR="002974A5" w:rsidRPr="002974A5" w:rsidRDefault="002974A5" w:rsidP="002974A5">
            <w:pPr>
              <w:rPr>
                <w:rFonts w:ascii="Calisto MT" w:hAnsi="Calisto MT"/>
                <w:b/>
                <w:bCs/>
                <w:sz w:val="10"/>
                <w:szCs w:val="10"/>
                <w:lang w:val="en-IN" w:eastAsia="en-IN" w:bidi="as-IN"/>
              </w:rPr>
            </w:pPr>
          </w:p>
          <w:p w:rsidR="002974A5" w:rsidRPr="002974A5" w:rsidRDefault="002974A5" w:rsidP="002974A5">
            <w:pPr>
              <w:rPr>
                <w:rFonts w:ascii="Calisto MT" w:hAnsi="Calisto MT"/>
                <w:b/>
                <w:bCs/>
                <w:sz w:val="24"/>
                <w:szCs w:val="24"/>
                <w:lang w:val="en-IN" w:eastAsia="en-IN" w:bidi="as-IN"/>
              </w:rPr>
            </w:pPr>
            <w:r w:rsidRPr="002974A5">
              <w:rPr>
                <w:rFonts w:ascii="Calisto MT" w:hAnsi="Calisto MT"/>
                <w:b/>
                <w:bCs/>
                <w:sz w:val="24"/>
                <w:szCs w:val="24"/>
                <w:lang w:val="en-IN" w:eastAsia="en-IN" w:bidi="as-IN"/>
              </w:rPr>
              <w:t>A B S T R A C T</w:t>
            </w:r>
          </w:p>
          <w:p w:rsidR="002974A5" w:rsidRPr="002974A5" w:rsidRDefault="002974A5" w:rsidP="002974A5">
            <w:pPr>
              <w:rPr>
                <w:rFonts w:eastAsia="Calibri"/>
                <w:sz w:val="20"/>
                <w:szCs w:val="20"/>
                <w:lang w:val="en-IN" w:eastAsia="en-US" w:bidi="hi-IN"/>
              </w:rPr>
            </w:pPr>
            <w:r w:rsidRPr="002974A5">
              <w:rPr>
                <w:rFonts w:eastAsia="Calibri"/>
                <w:sz w:val="20"/>
                <w:szCs w:val="20"/>
                <w:lang w:val="en-IN" w:eastAsia="en-US"/>
              </w:rPr>
              <w:t>The proper functioning of the banking system is pivotal for the growth of agriculture. The rural sector is generally seen as very central to Nigerian’s development strategy, while agriculture continues to play a key role in rural growth. However, financial markets in Nigeria have continued to be too fragmented and urban biased, thereby being inadequate to meet the rural demands for its services thus the banking system is relied upon to finance productive activities in the country. This study ascertained the effect of deposit money banks loans and advances to agriculture on agricultural productivity in Nigeria over a period of thirty six years from 1986 to 2021. The study employed the traditional Ordinary Least Square (OLS) regression technique. The results of the analysis revealed that deposit money banks loans and advances to agriculture has no significant effect on crop production GDP, livestock GDP, and forestry GDP. The results of this study have shown the importance of agricultural financing in spurring economic growth and development in general. Taking into consideration the findings of this study, there is the critical need for deposit money banks to increase loans and advances to agricultural enterprises through reduction in interest rate charged, which in turn permits for greater economic growth and development. The management of deposit money banks should strengthen their policies on loans and advances and interest rates on such credits. Reliable, effective and efficient supervision, regulation and audit technique would lead to the actualization of this.</w:t>
            </w:r>
          </w:p>
          <w:p w:rsidR="002974A5" w:rsidRPr="002974A5" w:rsidRDefault="002974A5" w:rsidP="002974A5">
            <w:pPr>
              <w:rPr>
                <w:rFonts w:eastAsia="Calibri"/>
                <w:sz w:val="20"/>
                <w:szCs w:val="20"/>
                <w:lang w:val="en-IN" w:eastAsia="en-US" w:bidi="hi-IN"/>
              </w:rPr>
            </w:pPr>
          </w:p>
          <w:p w:rsidR="002974A5" w:rsidRPr="002974A5" w:rsidRDefault="002974A5" w:rsidP="002974A5">
            <w:pPr>
              <w:rPr>
                <w:rFonts w:eastAsia="Calibri"/>
                <w:i/>
                <w:sz w:val="20"/>
                <w:szCs w:val="20"/>
                <w:lang w:val="en-IN" w:eastAsia="en-US" w:bidi="hi-IN"/>
              </w:rPr>
            </w:pPr>
            <w:r w:rsidRPr="002974A5">
              <w:rPr>
                <w:rFonts w:eastAsia="Calibri"/>
                <w:b/>
                <w:bCs/>
                <w:iCs/>
                <w:sz w:val="20"/>
                <w:szCs w:val="20"/>
                <w:lang w:val="en-IN" w:eastAsia="en-US" w:bidi="hi-IN"/>
              </w:rPr>
              <w:t>Keywords</w:t>
            </w:r>
            <w:r w:rsidRPr="002974A5">
              <w:rPr>
                <w:rFonts w:eastAsia="Calibri"/>
                <w:b/>
                <w:bCs/>
                <w:i/>
                <w:iCs/>
                <w:sz w:val="20"/>
                <w:szCs w:val="20"/>
                <w:lang w:val="en-IN" w:eastAsia="en-US" w:bidi="hi-IN"/>
              </w:rPr>
              <w:t>:</w:t>
            </w:r>
            <w:r w:rsidRPr="002974A5">
              <w:rPr>
                <w:rFonts w:eastAsia="Calibri"/>
                <w:i/>
                <w:sz w:val="20"/>
                <w:szCs w:val="20"/>
                <w:lang w:val="en-IN" w:eastAsia="en-US" w:bidi="hi-IN"/>
              </w:rPr>
              <w:t>Deposit money banks loans and advances; agricultural productivity</w:t>
            </w:r>
          </w:p>
          <w:tbl>
            <w:tblPr>
              <w:tblStyle w:val="TableGrid1"/>
              <w:tblW w:w="5000" w:type="pct"/>
              <w:tblBorders>
                <w:top w:val="single" w:sz="8" w:space="0" w:color="auto"/>
                <w:left w:val="none" w:sz="0" w:space="0" w:color="auto"/>
                <w:bottom w:val="single" w:sz="8" w:space="0" w:color="auto"/>
                <w:right w:val="none" w:sz="0" w:space="0" w:color="auto"/>
                <w:insideH w:val="single" w:sz="8" w:space="0" w:color="auto"/>
                <w:insideV w:val="single" w:sz="8" w:space="0" w:color="auto"/>
              </w:tblBorders>
              <w:tblLook w:val="04A0"/>
            </w:tblPr>
            <w:tblGrid>
              <w:gridCol w:w="4873"/>
              <w:gridCol w:w="4874"/>
            </w:tblGrid>
            <w:tr w:rsidR="002974A5" w:rsidRPr="002974A5" w:rsidTr="000025BA">
              <w:tc>
                <w:tcPr>
                  <w:tcW w:w="2500" w:type="pct"/>
                </w:tcPr>
                <w:p w:rsidR="002974A5" w:rsidRPr="002974A5" w:rsidRDefault="002974A5" w:rsidP="00921C89">
                  <w:pPr>
                    <w:framePr w:hSpace="180" w:wrap="around" w:vAnchor="text" w:hAnchor="margin" w:y="-583"/>
                    <w:ind w:left="-108"/>
                    <w:rPr>
                      <w:b/>
                      <w:bCs/>
                      <w:i/>
                      <w:iCs/>
                      <w:sz w:val="20"/>
                      <w:szCs w:val="20"/>
                      <w:lang w:val="en-IN" w:eastAsia="en-IN" w:bidi="as-IN"/>
                    </w:rPr>
                  </w:pPr>
                  <w:r w:rsidRPr="002974A5">
                    <w:rPr>
                      <w:b/>
                      <w:bCs/>
                      <w:i/>
                      <w:iCs/>
                      <w:sz w:val="20"/>
                      <w:szCs w:val="20"/>
                      <w:lang w:val="en-IN" w:eastAsia="en-IN" w:bidi="as-IN"/>
                    </w:rPr>
                    <w:t>*Corresponding Author</w:t>
                  </w:r>
                </w:p>
                <w:p w:rsidR="002974A5" w:rsidRPr="002974A5" w:rsidRDefault="002974A5" w:rsidP="00921C89">
                  <w:pPr>
                    <w:framePr w:hSpace="180" w:wrap="around" w:vAnchor="text" w:hAnchor="margin" w:y="-583"/>
                    <w:ind w:left="-108"/>
                    <w:rPr>
                      <w:b/>
                      <w:bCs/>
                      <w:sz w:val="20"/>
                      <w:szCs w:val="20"/>
                      <w:lang w:val="en-IN" w:eastAsia="en-IN" w:bidi="as-IN"/>
                    </w:rPr>
                  </w:pPr>
                  <w:r w:rsidRPr="002974A5">
                    <w:rPr>
                      <w:b/>
                      <w:bCs/>
                      <w:sz w:val="20"/>
                      <w:szCs w:val="20"/>
                      <w:lang w:val="en-IN" w:eastAsia="en-IN" w:bidi="as-IN"/>
                    </w:rPr>
                    <w:t>Amalachukwu Chijindu Ananwude</w:t>
                  </w:r>
                </w:p>
                <w:p w:rsidR="002974A5" w:rsidRPr="002974A5" w:rsidRDefault="002974A5" w:rsidP="00921C89">
                  <w:pPr>
                    <w:framePr w:hSpace="180" w:wrap="around" w:vAnchor="text" w:hAnchor="margin" w:y="-583"/>
                    <w:ind w:left="-108"/>
                    <w:rPr>
                      <w:i/>
                      <w:iCs/>
                      <w:sz w:val="20"/>
                      <w:szCs w:val="20"/>
                      <w:lang w:val="en-IN" w:eastAsia="en-IN" w:bidi="as-IN"/>
                    </w:rPr>
                  </w:pPr>
                  <w:r w:rsidRPr="002974A5">
                    <w:rPr>
                      <w:i/>
                      <w:iCs/>
                      <w:sz w:val="20"/>
                      <w:szCs w:val="20"/>
                      <w:lang w:val="en-IN" w:eastAsia="en-IN" w:bidi="as-IN"/>
                    </w:rPr>
                    <w:t>Department of Banking and Finance, Nnamdi Azikiwe University, Awka, Nigeria</w:t>
                  </w:r>
                </w:p>
              </w:tc>
              <w:tc>
                <w:tcPr>
                  <w:tcW w:w="2500" w:type="pct"/>
                </w:tcPr>
                <w:p w:rsidR="002974A5" w:rsidRPr="002974A5" w:rsidRDefault="002974A5" w:rsidP="00921C89">
                  <w:pPr>
                    <w:framePr w:hSpace="180" w:wrap="around" w:vAnchor="text" w:hAnchor="margin" w:y="-583"/>
                    <w:jc w:val="right"/>
                    <w:rPr>
                      <w:rFonts w:eastAsia="Calibri"/>
                      <w:iCs/>
                      <w:sz w:val="20"/>
                      <w:szCs w:val="20"/>
                      <w:lang w:val="en-IN" w:eastAsia="en-US" w:bidi="hi-IN"/>
                    </w:rPr>
                  </w:pPr>
                  <w:r w:rsidRPr="002974A5">
                    <w:rPr>
                      <w:rFonts w:eastAsia="Calibri"/>
                      <w:iCs/>
                      <w:noProof/>
                      <w:sz w:val="20"/>
                      <w:szCs w:val="20"/>
                      <w:lang w:val="en-IN" w:eastAsia="en-IN"/>
                    </w:rPr>
                    <w:drawing>
                      <wp:inline distT="0" distB="0" distL="0" distR="0">
                        <wp:extent cx="595993" cy="595993"/>
                        <wp:effectExtent l="19050" t="0" r="0" b="0"/>
                        <wp:docPr id="5" name="Picture 2" descr="QR IM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 IMJ.jpg"/>
                                <pic:cNvPicPr/>
                              </pic:nvPicPr>
                              <pic:blipFill>
                                <a:blip r:embed="rId10"/>
                                <a:stretch>
                                  <a:fillRect/>
                                </a:stretch>
                              </pic:blipFill>
                              <pic:spPr>
                                <a:xfrm>
                                  <a:off x="0" y="0"/>
                                  <a:ext cx="596509" cy="596509"/>
                                </a:xfrm>
                                <a:prstGeom prst="rect">
                                  <a:avLst/>
                                </a:prstGeom>
                              </pic:spPr>
                            </pic:pic>
                          </a:graphicData>
                        </a:graphic>
                      </wp:inline>
                    </w:drawing>
                  </w:r>
                </w:p>
              </w:tc>
            </w:tr>
          </w:tbl>
          <w:p w:rsidR="002974A5" w:rsidRPr="002974A5" w:rsidRDefault="002974A5" w:rsidP="002974A5">
            <w:pPr>
              <w:jc w:val="right"/>
              <w:rPr>
                <w:i/>
                <w:iCs/>
                <w:sz w:val="18"/>
                <w:szCs w:val="18"/>
                <w:lang w:val="en-IN" w:eastAsia="en-IN" w:bidi="as-IN"/>
              </w:rPr>
            </w:pPr>
            <w:r w:rsidRPr="002974A5">
              <w:rPr>
                <w:i/>
                <w:iCs/>
                <w:sz w:val="18"/>
                <w:szCs w:val="18"/>
                <w:lang w:val="en-IN" w:eastAsia="en-IN" w:bidi="as-IN"/>
              </w:rPr>
              <w:t>© Copy Right, IMJ, 2022. All Rights Reserved</w:t>
            </w:r>
          </w:p>
        </w:tc>
      </w:tr>
    </w:tbl>
    <w:p w:rsidR="002974A5" w:rsidRDefault="002974A5" w:rsidP="007D233A">
      <w:pPr>
        <w:pStyle w:val="ListParagraph"/>
        <w:ind w:left="0"/>
        <w:jc w:val="both"/>
        <w:rPr>
          <w:b/>
          <w:sz w:val="20"/>
          <w:szCs w:val="20"/>
        </w:rPr>
      </w:pPr>
    </w:p>
    <w:p w:rsidR="00EC2756" w:rsidRPr="007D233A" w:rsidRDefault="00EC2756" w:rsidP="007D233A">
      <w:pPr>
        <w:pStyle w:val="ListParagraph"/>
        <w:ind w:left="0"/>
        <w:jc w:val="both"/>
        <w:rPr>
          <w:b/>
          <w:sz w:val="20"/>
          <w:szCs w:val="20"/>
        </w:rPr>
      </w:pPr>
      <w:r w:rsidRPr="007D233A">
        <w:rPr>
          <w:b/>
          <w:sz w:val="20"/>
          <w:szCs w:val="20"/>
        </w:rPr>
        <w:t>INTRODUCTION</w:t>
      </w:r>
    </w:p>
    <w:p w:rsidR="00592468" w:rsidRPr="007D233A" w:rsidRDefault="00C0235A" w:rsidP="007D233A">
      <w:pPr>
        <w:ind w:firstLine="357"/>
        <w:jc w:val="both"/>
        <w:rPr>
          <w:sz w:val="20"/>
          <w:szCs w:val="20"/>
        </w:rPr>
      </w:pPr>
      <w:r w:rsidRPr="007D233A">
        <w:rPr>
          <w:sz w:val="20"/>
          <w:szCs w:val="20"/>
        </w:rPr>
        <w:t xml:space="preserve">Eboh, Ujah and Nzeh </w:t>
      </w:r>
      <w:r w:rsidR="00B33B93" w:rsidRPr="007D233A">
        <w:rPr>
          <w:sz w:val="20"/>
          <w:szCs w:val="20"/>
        </w:rPr>
        <w:t>[1]</w:t>
      </w:r>
      <w:r w:rsidR="00744AB1" w:rsidRPr="007D233A">
        <w:rPr>
          <w:sz w:val="20"/>
          <w:szCs w:val="20"/>
        </w:rPr>
        <w:t xml:space="preserve"> noted</w:t>
      </w:r>
      <w:r w:rsidRPr="007D233A">
        <w:rPr>
          <w:sz w:val="20"/>
          <w:szCs w:val="20"/>
        </w:rPr>
        <w:t xml:space="preserve"> that the contemporary economic significance of agricultural sector is ev</w:t>
      </w:r>
      <w:r w:rsidR="002847F8" w:rsidRPr="007D233A">
        <w:rPr>
          <w:sz w:val="20"/>
          <w:szCs w:val="20"/>
        </w:rPr>
        <w:t>en more remarkable.  They were of the perspective</w:t>
      </w:r>
      <w:r w:rsidRPr="007D233A">
        <w:rPr>
          <w:sz w:val="20"/>
          <w:szCs w:val="20"/>
        </w:rPr>
        <w:t xml:space="preserve"> that in the past half a decade, the impressive growth rate of the nation’s economy has been driven by the non-oil sector, particularly the agricultural sector. Prior to 1980 in Nigeria as well as in many developing countries, successive governments have implemented various agricultural and rural development policies, all in an effort to address perceived shortfall in rural credit, stimulate rural employment and enhance agricultural productivity.  Under these rural credit schemes, institutional resources, programme efforts and government agencies-based top-bottom interventions, to implement mostly supply-led financial</w:t>
      </w:r>
      <w:r w:rsidR="00B33B93" w:rsidRPr="007D233A">
        <w:rPr>
          <w:sz w:val="20"/>
          <w:szCs w:val="20"/>
        </w:rPr>
        <w:t xml:space="preserve"> development strategies.</w:t>
      </w:r>
      <w:r w:rsidRPr="007D233A">
        <w:rPr>
          <w:sz w:val="20"/>
          <w:szCs w:val="20"/>
        </w:rPr>
        <w:t xml:space="preserve"> That is the </w:t>
      </w:r>
      <w:r w:rsidR="007B2AF8" w:rsidRPr="007D233A">
        <w:rPr>
          <w:sz w:val="20"/>
          <w:szCs w:val="20"/>
        </w:rPr>
        <w:t>channelling</w:t>
      </w:r>
      <w:r w:rsidRPr="007D233A">
        <w:rPr>
          <w:sz w:val="20"/>
          <w:szCs w:val="20"/>
        </w:rPr>
        <w:t xml:space="preserve"> of government funds to rural entrepreneurs and small farmers to enhance the contribution of agriculture to economic development </w:t>
      </w:r>
      <w:r w:rsidR="00B33B93" w:rsidRPr="007D233A">
        <w:rPr>
          <w:sz w:val="20"/>
          <w:szCs w:val="20"/>
        </w:rPr>
        <w:t>[2]</w:t>
      </w:r>
      <w:r w:rsidRPr="007D233A">
        <w:rPr>
          <w:sz w:val="20"/>
          <w:szCs w:val="20"/>
        </w:rPr>
        <w:t>.</w:t>
      </w:r>
    </w:p>
    <w:p w:rsidR="00B33B93" w:rsidRPr="007D233A" w:rsidRDefault="00B33B93" w:rsidP="007D233A">
      <w:pPr>
        <w:jc w:val="both"/>
        <w:rPr>
          <w:sz w:val="20"/>
          <w:szCs w:val="20"/>
        </w:rPr>
      </w:pPr>
    </w:p>
    <w:p w:rsidR="00C0235A" w:rsidRPr="007D233A" w:rsidRDefault="00C0235A" w:rsidP="00BC7B34">
      <w:pPr>
        <w:ind w:firstLine="357"/>
        <w:jc w:val="both"/>
        <w:rPr>
          <w:sz w:val="20"/>
          <w:szCs w:val="20"/>
        </w:rPr>
      </w:pPr>
      <w:r w:rsidRPr="007D233A">
        <w:rPr>
          <w:sz w:val="20"/>
          <w:szCs w:val="20"/>
        </w:rPr>
        <w:t>The above aim prompted the government in Nigeria to establish the defunct Agricultura</w:t>
      </w:r>
      <w:r w:rsidR="00B33B93" w:rsidRPr="007D233A">
        <w:rPr>
          <w:sz w:val="20"/>
          <w:szCs w:val="20"/>
        </w:rPr>
        <w:t>l and Co-operative Bank (NACB).</w:t>
      </w:r>
      <w:r w:rsidRPr="007D233A">
        <w:rPr>
          <w:sz w:val="20"/>
          <w:szCs w:val="20"/>
        </w:rPr>
        <w:t xml:space="preserve"> The objective of NACB is to finance agricultural pr</w:t>
      </w:r>
      <w:r w:rsidR="00B33B93" w:rsidRPr="007D233A">
        <w:rPr>
          <w:sz w:val="20"/>
          <w:szCs w:val="20"/>
        </w:rPr>
        <w:t>oject through loans to farmers.</w:t>
      </w:r>
      <w:r w:rsidRPr="007D233A">
        <w:rPr>
          <w:sz w:val="20"/>
          <w:szCs w:val="20"/>
        </w:rPr>
        <w:t xml:space="preserve"> Others like the Nigeria Bank for Commerce and Industry (NBCI), People banks for Nigeria (PBN) were established for similar </w:t>
      </w:r>
      <w:r w:rsidR="00BC7B34">
        <w:rPr>
          <w:sz w:val="20"/>
          <w:szCs w:val="20"/>
        </w:rPr>
        <w:t xml:space="preserve">objective and purpose. </w:t>
      </w:r>
      <w:r w:rsidRPr="007D233A">
        <w:rPr>
          <w:sz w:val="20"/>
          <w:szCs w:val="20"/>
        </w:rPr>
        <w:t>Government also made it mandatory for commercial banks and merchant banks to finance agr</w:t>
      </w:r>
      <w:r w:rsidR="00B33B93" w:rsidRPr="007D233A">
        <w:rPr>
          <w:sz w:val="20"/>
          <w:szCs w:val="20"/>
        </w:rPr>
        <w:t>icultural sector through loans.</w:t>
      </w:r>
      <w:r w:rsidRPr="007D233A">
        <w:rPr>
          <w:sz w:val="20"/>
          <w:szCs w:val="20"/>
        </w:rPr>
        <w:t xml:space="preserve"> There was also the rural banking scheme of the Central Bank of Nigeria, the Nigeria Agricultural guarantee Scheme, National Agricultural Scheme, National  Agricultural  Land Development Authorities, the Family Economic Advancement Programme (FEAP) and the National Economic Empowerment Development Strategies (NEEDS), which were all formed in lieu of promoting agricultural and rural devel</w:t>
      </w:r>
      <w:r w:rsidR="000E3C5D" w:rsidRPr="007D233A">
        <w:rPr>
          <w:sz w:val="20"/>
          <w:szCs w:val="20"/>
        </w:rPr>
        <w:t xml:space="preserve">opment. The Nigeria’s Vision 20:2020which was launched in September 2009 by late president Umaru Yar’Adua’s administration amidst fanfare </w:t>
      </w:r>
      <w:r w:rsidRPr="007D233A">
        <w:rPr>
          <w:sz w:val="20"/>
          <w:szCs w:val="20"/>
        </w:rPr>
        <w:t>was designed to make the country among the first twenty developed nations by the year 2020. Although, manufacturing and the service sectors are set up as a driving force of the economy, but the agriculture sector will still remain an important contributor, especially in the good production.  The percentage contribution of agriculture to gross domestic product (GDP) is declining, in terms of absolute value, perhaps the amoun</w:t>
      </w:r>
      <w:r w:rsidR="00B33B93" w:rsidRPr="007D233A">
        <w:rPr>
          <w:sz w:val="20"/>
          <w:szCs w:val="20"/>
        </w:rPr>
        <w:t xml:space="preserve">t is increasing geometrically. </w:t>
      </w:r>
      <w:r w:rsidRPr="007D233A">
        <w:rPr>
          <w:sz w:val="20"/>
          <w:szCs w:val="20"/>
        </w:rPr>
        <w:t xml:space="preserve">The agriculture sector has </w:t>
      </w:r>
      <w:r w:rsidRPr="007D233A">
        <w:rPr>
          <w:sz w:val="20"/>
          <w:szCs w:val="20"/>
        </w:rPr>
        <w:lastRenderedPageBreak/>
        <w:t>contributed significantly to the growth of the Nigerian economy and for it to continue to significantly contribute to the national economy; it has to be globally competitive.</w:t>
      </w:r>
    </w:p>
    <w:p w:rsidR="00B33B93" w:rsidRPr="007D233A" w:rsidRDefault="00B33B93" w:rsidP="007D233A">
      <w:pPr>
        <w:jc w:val="both"/>
        <w:rPr>
          <w:sz w:val="20"/>
          <w:szCs w:val="20"/>
        </w:rPr>
      </w:pPr>
    </w:p>
    <w:p w:rsidR="00C0235A" w:rsidRPr="007D233A" w:rsidRDefault="00C0235A" w:rsidP="00BC7B34">
      <w:pPr>
        <w:ind w:firstLine="357"/>
        <w:jc w:val="both"/>
        <w:rPr>
          <w:sz w:val="20"/>
          <w:szCs w:val="20"/>
        </w:rPr>
      </w:pPr>
      <w:r w:rsidRPr="007D233A">
        <w:rPr>
          <w:sz w:val="20"/>
          <w:szCs w:val="20"/>
        </w:rPr>
        <w:t>Undoubtedly, the future of the rural and agricultural finance institutions in Nigeria including Nigerian Agricultural Co-operative and Rural Development Bank (NACRDB) now Bank of Agriculture (BOA) rest on its ability to meet the challenges for the purpose in which it was established and to as well as to remain a sustainable development and competitive in the global financial institution.  With the liberalization of the world trade including the financial sector though the World Trade organization (WTO) agreement the trade competition will be stiff amongst existing players and new competitors from within and outside the nation. NARCRDB must find ways to strengthen its existence by having enough capital, improving its operation, expanding its scope of business and operating normal banking business. The bedrock of agriculture and agricultural development in developing countries of sub-Saharan African is rural development, without which all efforts towards agricultural development will be futile.  A large majority of the farmers operate at the subsistence (small holder level), while intensi</w:t>
      </w:r>
      <w:r w:rsidR="00B33B93" w:rsidRPr="007D233A">
        <w:rPr>
          <w:sz w:val="20"/>
          <w:szCs w:val="20"/>
        </w:rPr>
        <w:t xml:space="preserve">ve agriculture being uncommon. </w:t>
      </w:r>
      <w:r w:rsidRPr="007D233A">
        <w:rPr>
          <w:sz w:val="20"/>
          <w:szCs w:val="20"/>
        </w:rPr>
        <w:t xml:space="preserve">A characteristic feature of the agricultural production system in such countries, Nigeria inclusive, is that a disproportionately large fraction of the agricultural output is in the hands of these small-holder farmers whose average holding is about 1.0 - 3.0 hectares </w:t>
      </w:r>
      <w:r w:rsidR="00B33B93" w:rsidRPr="007D233A">
        <w:rPr>
          <w:sz w:val="20"/>
          <w:szCs w:val="20"/>
        </w:rPr>
        <w:t>[2]</w:t>
      </w:r>
      <w:r w:rsidR="00BC7B34">
        <w:rPr>
          <w:sz w:val="20"/>
          <w:szCs w:val="20"/>
        </w:rPr>
        <w:t>.</w:t>
      </w:r>
      <w:r w:rsidRPr="007D233A">
        <w:rPr>
          <w:sz w:val="20"/>
          <w:szCs w:val="20"/>
        </w:rPr>
        <w:t xml:space="preserve"> Again, there is very limited access to modern improved technologies and their general circumstance does not always merit tangible investments in capital, inputs and labour.Evidently, development, food security and poverty alleviation will not be truly achieved without rapid agricultural growth. Assisting the rural poor to enhance their livelihoods and food security in a sustainable manner is therefore a great challenge.  Broadly put, increases in agricultural productivity are central to growth, income distribution, improved food security and alleviation of poverty in rural Africa.</w:t>
      </w:r>
      <w:r w:rsidR="00907BD3" w:rsidRPr="007D233A">
        <w:rPr>
          <w:sz w:val="20"/>
          <w:szCs w:val="20"/>
        </w:rPr>
        <w:t xml:space="preserve"> Against this backdrop, this study examines the effect of deposit money banks loans and advances and agricultural productivity in Nigeria following a disaggregated approach.</w:t>
      </w:r>
      <w:r w:rsidR="00414B86" w:rsidRPr="007D233A">
        <w:rPr>
          <w:sz w:val="20"/>
          <w:szCs w:val="20"/>
        </w:rPr>
        <w:t xml:space="preserve"> Specifically, this </w:t>
      </w:r>
      <w:r w:rsidR="00FC3E4A" w:rsidRPr="007D233A">
        <w:rPr>
          <w:sz w:val="20"/>
          <w:szCs w:val="20"/>
        </w:rPr>
        <w:t>study seeks to examine the effect of deposit money banks loans and advances</w:t>
      </w:r>
      <w:r w:rsidR="000040F3" w:rsidRPr="007D233A">
        <w:rPr>
          <w:sz w:val="20"/>
          <w:szCs w:val="20"/>
        </w:rPr>
        <w:t xml:space="preserve">to agriculture </w:t>
      </w:r>
      <w:r w:rsidR="00FC3E4A" w:rsidRPr="007D233A">
        <w:rPr>
          <w:sz w:val="20"/>
          <w:szCs w:val="20"/>
        </w:rPr>
        <w:t xml:space="preserve">on crop production GDP, livestock GDP, and </w:t>
      </w:r>
      <w:r w:rsidR="00A56D91" w:rsidRPr="007D233A">
        <w:rPr>
          <w:sz w:val="20"/>
          <w:szCs w:val="20"/>
        </w:rPr>
        <w:t>forestry</w:t>
      </w:r>
      <w:r w:rsidR="00FC3E4A" w:rsidRPr="007D233A">
        <w:rPr>
          <w:sz w:val="20"/>
          <w:szCs w:val="20"/>
        </w:rPr>
        <w:t xml:space="preserve"> GDP.</w:t>
      </w:r>
    </w:p>
    <w:p w:rsidR="00B33B93" w:rsidRPr="007D233A" w:rsidRDefault="00B33B93" w:rsidP="007D233A">
      <w:pPr>
        <w:jc w:val="both"/>
        <w:rPr>
          <w:sz w:val="20"/>
          <w:szCs w:val="20"/>
        </w:rPr>
      </w:pPr>
    </w:p>
    <w:p w:rsidR="00907BD3" w:rsidRPr="007D233A" w:rsidRDefault="00907BD3" w:rsidP="00BC7B34">
      <w:pPr>
        <w:ind w:firstLine="357"/>
        <w:jc w:val="both"/>
        <w:rPr>
          <w:sz w:val="20"/>
          <w:szCs w:val="20"/>
        </w:rPr>
      </w:pPr>
      <w:r w:rsidRPr="007D233A">
        <w:rPr>
          <w:sz w:val="20"/>
          <w:szCs w:val="20"/>
        </w:rPr>
        <w:t xml:space="preserve">Section one introduces the background to the study, section two precisely reviews related literature, section three discloses the methodology, section four discusses the result of the analysis, whereas </w:t>
      </w:r>
      <w:r w:rsidR="00592468" w:rsidRPr="007D233A">
        <w:rPr>
          <w:sz w:val="20"/>
          <w:szCs w:val="20"/>
        </w:rPr>
        <w:t xml:space="preserve">section five </w:t>
      </w:r>
      <w:r w:rsidRPr="007D233A">
        <w:rPr>
          <w:sz w:val="20"/>
          <w:szCs w:val="20"/>
        </w:rPr>
        <w:t>showcases the findings and policy implications.</w:t>
      </w:r>
    </w:p>
    <w:p w:rsidR="00B33B93" w:rsidRPr="007D233A" w:rsidRDefault="00B33B93" w:rsidP="007D233A">
      <w:pPr>
        <w:jc w:val="both"/>
        <w:rPr>
          <w:sz w:val="20"/>
          <w:szCs w:val="20"/>
        </w:rPr>
      </w:pPr>
    </w:p>
    <w:p w:rsidR="00907BD3" w:rsidRPr="007D233A" w:rsidRDefault="00264802" w:rsidP="007D233A">
      <w:pPr>
        <w:pStyle w:val="ListParagraph"/>
        <w:ind w:left="0"/>
        <w:jc w:val="both"/>
        <w:rPr>
          <w:b/>
          <w:sz w:val="20"/>
          <w:szCs w:val="20"/>
        </w:rPr>
      </w:pPr>
      <w:r w:rsidRPr="007D233A">
        <w:rPr>
          <w:b/>
          <w:sz w:val="20"/>
          <w:szCs w:val="20"/>
        </w:rPr>
        <w:t>LITERATURE REVIEW</w:t>
      </w:r>
    </w:p>
    <w:p w:rsidR="00013A32" w:rsidRPr="007D233A" w:rsidRDefault="00870D9F" w:rsidP="00BC7B34">
      <w:pPr>
        <w:ind w:firstLine="357"/>
        <w:jc w:val="both"/>
        <w:rPr>
          <w:sz w:val="20"/>
          <w:szCs w:val="20"/>
        </w:rPr>
      </w:pPr>
      <w:r w:rsidRPr="007D233A">
        <w:rPr>
          <w:sz w:val="20"/>
          <w:szCs w:val="20"/>
        </w:rPr>
        <w:t>As of 31</w:t>
      </w:r>
      <w:r w:rsidRPr="007D233A">
        <w:rPr>
          <w:sz w:val="20"/>
          <w:szCs w:val="20"/>
          <w:vertAlign w:val="superscript"/>
        </w:rPr>
        <w:t>st</w:t>
      </w:r>
      <w:r w:rsidRPr="007D233A">
        <w:rPr>
          <w:sz w:val="20"/>
          <w:szCs w:val="20"/>
        </w:rPr>
        <w:t xml:space="preserve"> December, 2021 as reported by the Central Bank of Nigeria (CBN), deposit money banks lend less than 7% of their loans and a</w:t>
      </w:r>
      <w:r w:rsidR="00B33B93" w:rsidRPr="007D233A">
        <w:rPr>
          <w:sz w:val="20"/>
          <w:szCs w:val="20"/>
        </w:rPr>
        <w:t>dvances to agricultural sector.</w:t>
      </w:r>
      <w:r w:rsidRPr="007D233A">
        <w:rPr>
          <w:sz w:val="20"/>
          <w:szCs w:val="20"/>
        </w:rPr>
        <w:t xml:space="preserve"> In 2020, agricultural lending was only 5.15% of deposit money banks total portfolio, however, it increased to 5.9% in 2021.  Still yet, most of the poor still live in rural areas because of not having access to agricul</w:t>
      </w:r>
      <w:r w:rsidR="00B33B93" w:rsidRPr="007D233A">
        <w:rPr>
          <w:sz w:val="20"/>
          <w:szCs w:val="20"/>
        </w:rPr>
        <w:t xml:space="preserve">tural credit. </w:t>
      </w:r>
      <w:r w:rsidRPr="007D233A">
        <w:rPr>
          <w:sz w:val="20"/>
          <w:szCs w:val="20"/>
        </w:rPr>
        <w:t>Access to credit especially agricultural sector, however, has an economic benefit only if and when that access generates a broadly defined net economic surplus after having deducted the private and social costs of loan provision (including the opportunity costs of scarce public funds in alternative poverty reduction policies).While the evidence on the impact of credit on household welfare, agricultural technology adoption, and on agricultural sector growth is mixed, many practical constraints (i.e. time and money) and methodological difficulties in estimating the impact of a policy or project with a reasonabl</w:t>
      </w:r>
      <w:r w:rsidR="00B33B93" w:rsidRPr="007D233A">
        <w:rPr>
          <w:sz w:val="20"/>
          <w:szCs w:val="20"/>
        </w:rPr>
        <w:t>e probability of error exists.</w:t>
      </w:r>
      <w:r w:rsidRPr="007D233A">
        <w:rPr>
          <w:sz w:val="20"/>
          <w:szCs w:val="20"/>
        </w:rPr>
        <w:t xml:space="preserve"> Simple common sense tells us that savers who continue to deposit money for different motives, borrowers who continue to repay their loans and clients paying regular premiums for heal and life insurance over long period actually </w:t>
      </w:r>
      <w:r w:rsidR="00D24B98" w:rsidRPr="007D233A">
        <w:rPr>
          <w:sz w:val="20"/>
          <w:szCs w:val="20"/>
        </w:rPr>
        <w:t xml:space="preserve">derive an economic benefit </w:t>
      </w:r>
      <w:r w:rsidR="00B33B93" w:rsidRPr="007D233A">
        <w:rPr>
          <w:sz w:val="20"/>
          <w:szCs w:val="20"/>
        </w:rPr>
        <w:t>[3]</w:t>
      </w:r>
      <w:r w:rsidRPr="007D233A">
        <w:rPr>
          <w:sz w:val="20"/>
          <w:szCs w:val="20"/>
        </w:rPr>
        <w:t>.</w:t>
      </w:r>
      <w:r w:rsidR="00013A32" w:rsidRPr="007D233A">
        <w:rPr>
          <w:sz w:val="20"/>
          <w:szCs w:val="20"/>
        </w:rPr>
        <w:t>The neglect of the agricultural sector and the dependence of Nigeria on a mono-cultural, crude oil-based economy have not augured well for the well</w:t>
      </w:r>
      <w:r w:rsidR="00B33B93" w:rsidRPr="007D233A">
        <w:rPr>
          <w:sz w:val="20"/>
          <w:szCs w:val="20"/>
        </w:rPr>
        <w:t>-being of the Nigerian economy.</w:t>
      </w:r>
      <w:r w:rsidR="00013A32" w:rsidRPr="007D233A">
        <w:rPr>
          <w:sz w:val="20"/>
          <w:szCs w:val="20"/>
        </w:rPr>
        <w:t xml:space="preserve"> In a bid to address this drift, the Nigerian government as from 1975 became directly involved in the commer</w:t>
      </w:r>
      <w:r w:rsidR="00B33B93" w:rsidRPr="007D233A">
        <w:rPr>
          <w:sz w:val="20"/>
          <w:szCs w:val="20"/>
        </w:rPr>
        <w:t xml:space="preserve">cial production of good crops. </w:t>
      </w:r>
      <w:r w:rsidR="00013A32" w:rsidRPr="007D233A">
        <w:rPr>
          <w:sz w:val="20"/>
          <w:szCs w:val="20"/>
        </w:rPr>
        <w:t xml:space="preserve">Several large scale agricultural projects specializing in the production of grains, livestock, dairies and animal feeds, to mention but </w:t>
      </w:r>
      <w:r w:rsidR="004A6991" w:rsidRPr="007D233A">
        <w:rPr>
          <w:sz w:val="20"/>
          <w:szCs w:val="20"/>
        </w:rPr>
        <w:t xml:space="preserve">a few were established </w:t>
      </w:r>
      <w:r w:rsidR="00B33B93" w:rsidRPr="007D233A">
        <w:rPr>
          <w:sz w:val="20"/>
          <w:szCs w:val="20"/>
        </w:rPr>
        <w:t>[4]</w:t>
      </w:r>
      <w:r w:rsidR="00013A32" w:rsidRPr="007D233A">
        <w:rPr>
          <w:sz w:val="20"/>
          <w:szCs w:val="20"/>
        </w:rPr>
        <w:t>.</w:t>
      </w:r>
    </w:p>
    <w:p w:rsidR="00B33B93" w:rsidRPr="007D233A" w:rsidRDefault="00B33B93" w:rsidP="007D233A">
      <w:pPr>
        <w:jc w:val="both"/>
        <w:rPr>
          <w:sz w:val="20"/>
          <w:szCs w:val="20"/>
        </w:rPr>
      </w:pPr>
    </w:p>
    <w:p w:rsidR="00013A32" w:rsidRPr="007D233A" w:rsidRDefault="00013A32" w:rsidP="00BC7B34">
      <w:pPr>
        <w:ind w:firstLine="357"/>
        <w:jc w:val="both"/>
        <w:rPr>
          <w:sz w:val="20"/>
          <w:szCs w:val="20"/>
        </w:rPr>
      </w:pPr>
      <w:r w:rsidRPr="007D233A">
        <w:rPr>
          <w:sz w:val="20"/>
          <w:szCs w:val="20"/>
        </w:rPr>
        <w:t>Many theories have been advanced on the nexus between finance and economic growth. These include financial intermediation theory, financial liberalization theory and the classical theory of political economy and development among others. This study is anchored on the theory of political economy and development. The theory of financial intermediation is of the perspective that credit is an important aspect of financial intermediation that provides funds to those economic entities that can put the</w:t>
      </w:r>
      <w:r w:rsidR="00B33B93" w:rsidRPr="007D233A">
        <w:rPr>
          <w:sz w:val="20"/>
          <w:szCs w:val="20"/>
        </w:rPr>
        <w:t>m into the most productive use.</w:t>
      </w:r>
      <w:r w:rsidRPr="007D233A">
        <w:rPr>
          <w:sz w:val="20"/>
          <w:szCs w:val="20"/>
        </w:rPr>
        <w:t xml:space="preserve"> Theoretical studies have established the relationship that exists between financial inte</w:t>
      </w:r>
      <w:r w:rsidR="00B33B93" w:rsidRPr="007D233A">
        <w:rPr>
          <w:sz w:val="20"/>
          <w:szCs w:val="20"/>
        </w:rPr>
        <w:t>rmediation and economic growth.</w:t>
      </w:r>
      <w:r w:rsidRPr="007D233A">
        <w:rPr>
          <w:sz w:val="20"/>
          <w:szCs w:val="20"/>
        </w:rPr>
        <w:t xml:space="preserve"> For instance</w:t>
      </w:r>
      <w:r w:rsidR="00B33B93" w:rsidRPr="007D233A">
        <w:rPr>
          <w:sz w:val="20"/>
          <w:szCs w:val="20"/>
        </w:rPr>
        <w:t>[5]</w:t>
      </w:r>
      <w:r w:rsidRPr="007D233A">
        <w:rPr>
          <w:sz w:val="20"/>
          <w:szCs w:val="20"/>
        </w:rPr>
        <w:t xml:space="preserve">, Goldsmith </w:t>
      </w:r>
      <w:r w:rsidR="00B33B93" w:rsidRPr="007D233A">
        <w:rPr>
          <w:sz w:val="20"/>
          <w:szCs w:val="20"/>
        </w:rPr>
        <w:t>[6]</w:t>
      </w:r>
      <w:r w:rsidRPr="007D233A">
        <w:rPr>
          <w:sz w:val="20"/>
          <w:szCs w:val="20"/>
        </w:rPr>
        <w:t xml:space="preserve">, McKinnon </w:t>
      </w:r>
      <w:r w:rsidR="00B33B93" w:rsidRPr="007D233A">
        <w:rPr>
          <w:sz w:val="20"/>
          <w:szCs w:val="20"/>
        </w:rPr>
        <w:t>[7]</w:t>
      </w:r>
      <w:r w:rsidRPr="007D233A">
        <w:rPr>
          <w:sz w:val="20"/>
          <w:szCs w:val="20"/>
        </w:rPr>
        <w:t xml:space="preserve"> and Shaw </w:t>
      </w:r>
      <w:r w:rsidR="00B33B93" w:rsidRPr="007D233A">
        <w:rPr>
          <w:sz w:val="20"/>
          <w:szCs w:val="20"/>
        </w:rPr>
        <w:t>[8]</w:t>
      </w:r>
      <w:r w:rsidRPr="007D233A">
        <w:rPr>
          <w:sz w:val="20"/>
          <w:szCs w:val="20"/>
        </w:rPr>
        <w:t>, in their studies, strongly emphasized the role of financial intermediation in economic growth.  In the same vein,</w:t>
      </w:r>
      <w:r w:rsidR="002847F8" w:rsidRPr="007D233A">
        <w:rPr>
          <w:sz w:val="20"/>
          <w:szCs w:val="20"/>
        </w:rPr>
        <w:t xml:space="preserve"> Greenwood and Jovanovich as cited in Akiri and Adofu </w:t>
      </w:r>
      <w:r w:rsidR="00B33B93" w:rsidRPr="007D233A">
        <w:rPr>
          <w:sz w:val="20"/>
          <w:szCs w:val="20"/>
        </w:rPr>
        <w:t>[9]</w:t>
      </w:r>
      <w:r w:rsidR="002847F8" w:rsidRPr="007D233A">
        <w:rPr>
          <w:sz w:val="20"/>
          <w:szCs w:val="20"/>
        </w:rPr>
        <w:t xml:space="preserve"> noted</w:t>
      </w:r>
      <w:r w:rsidRPr="007D233A">
        <w:rPr>
          <w:sz w:val="20"/>
          <w:szCs w:val="20"/>
        </w:rPr>
        <w:t xml:space="preserve"> that financial development can lead to rapid growth.  In a related study, Bencivenga and Smith </w:t>
      </w:r>
      <w:r w:rsidR="00B33B93" w:rsidRPr="007D233A">
        <w:rPr>
          <w:sz w:val="20"/>
          <w:szCs w:val="20"/>
        </w:rPr>
        <w:t>[10]</w:t>
      </w:r>
      <w:r w:rsidRPr="007D233A">
        <w:rPr>
          <w:sz w:val="20"/>
          <w:szCs w:val="20"/>
        </w:rPr>
        <w:t xml:space="preserve"> explained that development of banks and efficient financial intermediation contributes to economic growth by channelling savings to high productive activities and</w:t>
      </w:r>
      <w:r w:rsidR="00B33B93" w:rsidRPr="007D233A">
        <w:rPr>
          <w:sz w:val="20"/>
          <w:szCs w:val="20"/>
        </w:rPr>
        <w:t xml:space="preserve"> reduction of liquidity risks. </w:t>
      </w:r>
      <w:r w:rsidRPr="007D233A">
        <w:rPr>
          <w:sz w:val="20"/>
          <w:szCs w:val="20"/>
        </w:rPr>
        <w:t>They therefore concluded that financial intermediation lead to growth.Based on this assertion, this study examines the extent to which intermediation or credit to agricultural sector of the economy has influen</w:t>
      </w:r>
      <w:r w:rsidR="00B33B93" w:rsidRPr="007D233A">
        <w:rPr>
          <w:sz w:val="20"/>
          <w:szCs w:val="20"/>
        </w:rPr>
        <w:t>ced economic growth in Nigeria.</w:t>
      </w:r>
      <w:r w:rsidRPr="007D233A">
        <w:rPr>
          <w:sz w:val="20"/>
          <w:szCs w:val="20"/>
        </w:rPr>
        <w:t xml:space="preserve"> This means that a financial institution can effect economic growth by efficiently carrying out its functions, among which is the provision of credit. Similarly, the financial liberalization theory as proposed by McKinnon </w:t>
      </w:r>
      <w:r w:rsidR="00B33B93" w:rsidRPr="007D233A">
        <w:rPr>
          <w:sz w:val="20"/>
          <w:szCs w:val="20"/>
        </w:rPr>
        <w:t>[7]</w:t>
      </w:r>
      <w:r w:rsidRPr="007D233A">
        <w:rPr>
          <w:sz w:val="20"/>
          <w:szCs w:val="20"/>
        </w:rPr>
        <w:t xml:space="preserve"> and Shaw </w:t>
      </w:r>
      <w:r w:rsidR="00B33B93" w:rsidRPr="007D233A">
        <w:rPr>
          <w:sz w:val="20"/>
          <w:szCs w:val="20"/>
        </w:rPr>
        <w:t>[8]</w:t>
      </w:r>
      <w:r w:rsidR="00BC7B34">
        <w:rPr>
          <w:sz w:val="20"/>
          <w:szCs w:val="20"/>
        </w:rPr>
        <w:t>.</w:t>
      </w:r>
      <w:r w:rsidRPr="007D233A">
        <w:rPr>
          <w:sz w:val="20"/>
          <w:szCs w:val="20"/>
        </w:rPr>
        <w:t xml:space="preserve"> Under this theory, the consideration is central on the part played by government </w:t>
      </w:r>
      <w:r w:rsidRPr="007D233A">
        <w:rPr>
          <w:sz w:val="20"/>
          <w:szCs w:val="20"/>
        </w:rPr>
        <w:lastRenderedPageBreak/>
        <w:t>intervention in the financial markets as a critical setback to growth, invest</w:t>
      </w:r>
      <w:r w:rsidR="00BC7B34">
        <w:rPr>
          <w:sz w:val="20"/>
          <w:szCs w:val="20"/>
        </w:rPr>
        <w:t xml:space="preserve">ment and savings mobilization. </w:t>
      </w:r>
      <w:r w:rsidRPr="007D233A">
        <w:rPr>
          <w:sz w:val="20"/>
          <w:szCs w:val="20"/>
        </w:rPr>
        <w:t>The role of government in interest rate control and credit allocation to the productive economic sectors in developing countries hinders the mobilization of savings and discourages financial assets holding, economi</w:t>
      </w:r>
      <w:r w:rsidR="00287270" w:rsidRPr="007D233A">
        <w:rPr>
          <w:sz w:val="20"/>
          <w:szCs w:val="20"/>
        </w:rPr>
        <w:t>c growth and capital formation.</w:t>
      </w:r>
      <w:r w:rsidRPr="007D233A">
        <w:rPr>
          <w:sz w:val="20"/>
          <w:szCs w:val="20"/>
        </w:rPr>
        <w:t xml:space="preserve"> Interest rate ceiling on deposit indirectly inhibited financial saving which resulted in excess liquidity outside the banking industry.Government pervasive intervention and financial system involvement through the supervisory and regulatory framework, especially interest rate control and credit allocation tends to facilitate financial market distortions </w:t>
      </w:r>
      <w:r w:rsidR="00B33B93" w:rsidRPr="007D233A">
        <w:rPr>
          <w:sz w:val="20"/>
          <w:szCs w:val="20"/>
        </w:rPr>
        <w:t>[7,11]</w:t>
      </w:r>
      <w:r w:rsidR="00287270" w:rsidRPr="007D233A">
        <w:rPr>
          <w:sz w:val="20"/>
          <w:szCs w:val="20"/>
        </w:rPr>
        <w:t>.</w:t>
      </w:r>
      <w:r w:rsidRPr="007D233A">
        <w:rPr>
          <w:sz w:val="20"/>
          <w:szCs w:val="20"/>
        </w:rPr>
        <w:t xml:space="preserve"> As such, the intervention of government is adversely affecting the market players’ decision regarding investment and savings and resulted in fin</w:t>
      </w:r>
      <w:r w:rsidR="00287270" w:rsidRPr="007D233A">
        <w:rPr>
          <w:sz w:val="20"/>
          <w:szCs w:val="20"/>
        </w:rPr>
        <w:t>ancial mediation fragmentation.</w:t>
      </w:r>
      <w:r w:rsidRPr="007D233A">
        <w:rPr>
          <w:sz w:val="20"/>
          <w:szCs w:val="20"/>
        </w:rPr>
        <w:t xml:space="preserve"> The resultant effect of this scenario is an economy that is financially repressed. On the other hand, this study also adopts the classical theory of political economy and development in an attempt to understand the relationship between agricultural finance</w:t>
      </w:r>
      <w:r w:rsidR="00287270" w:rsidRPr="007D233A">
        <w:rPr>
          <w:sz w:val="20"/>
          <w:szCs w:val="20"/>
        </w:rPr>
        <w:t xml:space="preserve"> and agricultural development. </w:t>
      </w:r>
      <w:r w:rsidRPr="007D233A">
        <w:rPr>
          <w:sz w:val="20"/>
          <w:szCs w:val="20"/>
        </w:rPr>
        <w:t>The famous scholars projecting this theory are Adam Smith, David Rica</w:t>
      </w:r>
      <w:r w:rsidR="00287270" w:rsidRPr="007D233A">
        <w:rPr>
          <w:sz w:val="20"/>
          <w:szCs w:val="20"/>
        </w:rPr>
        <w:t>rdo, Thomas Malthus and others.</w:t>
      </w:r>
      <w:r w:rsidRPr="007D233A">
        <w:rPr>
          <w:sz w:val="20"/>
          <w:szCs w:val="20"/>
        </w:rPr>
        <w:t xml:space="preserve"> The theory believes that the banking sector plays an important role in channelling finance and investment to the productive agents like agriculture and industry within the economy and therefore acts as a catalyst of e</w:t>
      </w:r>
      <w:r w:rsidR="00287270" w:rsidRPr="007D233A">
        <w:rPr>
          <w:sz w:val="20"/>
          <w:szCs w:val="20"/>
        </w:rPr>
        <w:t>conomic growth and development.</w:t>
      </w:r>
      <w:r w:rsidRPr="007D233A">
        <w:rPr>
          <w:sz w:val="20"/>
          <w:szCs w:val="20"/>
        </w:rPr>
        <w:t xml:space="preserve"> The main implication of this theory, therefore, is that banking policies such as credit schemes and financial programmes which embrace openness and competition will promote economic growth and development. Classical political economy approach however is concerned with economic growth and the development of an economic system, the factors both socio-economic, financial and political which impedes or facilitates this growth and development such as development finance policy or agricultur</w:t>
      </w:r>
      <w:r w:rsidR="00287270" w:rsidRPr="007D233A">
        <w:rPr>
          <w:sz w:val="20"/>
          <w:szCs w:val="20"/>
        </w:rPr>
        <w:t>al credit policy of an economy.</w:t>
      </w:r>
      <w:r w:rsidRPr="007D233A">
        <w:rPr>
          <w:sz w:val="20"/>
          <w:szCs w:val="20"/>
        </w:rPr>
        <w:t xml:space="preserve"> According to Smith adequate capital such as finance, technology and machines are the major factors that enhanced agricultural, industrial and entrepre</w:t>
      </w:r>
      <w:r w:rsidR="00287270" w:rsidRPr="007D233A">
        <w:rPr>
          <w:sz w:val="20"/>
          <w:szCs w:val="20"/>
        </w:rPr>
        <w:t>neurial growth and development.</w:t>
      </w:r>
      <w:r w:rsidRPr="007D233A">
        <w:rPr>
          <w:sz w:val="20"/>
          <w:szCs w:val="20"/>
        </w:rPr>
        <w:t xml:space="preserve"> However, sufficient supply of finance and credit to agricultural sector expands farmers’ input, output, potenti</w:t>
      </w:r>
      <w:r w:rsidR="00287270" w:rsidRPr="007D233A">
        <w:rPr>
          <w:sz w:val="20"/>
          <w:szCs w:val="20"/>
        </w:rPr>
        <w:t>alities, income and employment.</w:t>
      </w:r>
      <w:r w:rsidRPr="007D233A">
        <w:rPr>
          <w:sz w:val="20"/>
          <w:szCs w:val="20"/>
        </w:rPr>
        <w:t xml:space="preserve"> These would invariably expand an economy.Collectively, the classical theories of political economy pointed out the significant important of adequate financial assistance and credit from capital lending programme like agricultural credit scheme to the farmers’ agricultural production, agricultural growth and development and of course economic growth and development of an economy.</w:t>
      </w:r>
    </w:p>
    <w:p w:rsidR="00287270" w:rsidRPr="007D233A" w:rsidRDefault="00287270" w:rsidP="007D233A">
      <w:pPr>
        <w:jc w:val="both"/>
        <w:rPr>
          <w:sz w:val="20"/>
          <w:szCs w:val="20"/>
        </w:rPr>
      </w:pPr>
    </w:p>
    <w:p w:rsidR="00592468" w:rsidRPr="007D233A" w:rsidRDefault="00CB1271" w:rsidP="00BC7B34">
      <w:pPr>
        <w:ind w:firstLine="357"/>
        <w:jc w:val="both"/>
        <w:rPr>
          <w:sz w:val="20"/>
          <w:szCs w:val="20"/>
        </w:rPr>
      </w:pPr>
      <w:r w:rsidRPr="007D233A">
        <w:rPr>
          <w:sz w:val="20"/>
          <w:szCs w:val="20"/>
        </w:rPr>
        <w:t xml:space="preserve">Obi-Nwosu, Ananwude and Ezeaku </w:t>
      </w:r>
      <w:r w:rsidR="00287270" w:rsidRPr="007D233A">
        <w:rPr>
          <w:sz w:val="20"/>
          <w:szCs w:val="20"/>
        </w:rPr>
        <w:t>[12]</w:t>
      </w:r>
      <w:r w:rsidRPr="007D233A">
        <w:rPr>
          <w:sz w:val="20"/>
          <w:szCs w:val="20"/>
        </w:rPr>
        <w:t xml:space="preserve"> analysed the effect of commercial banks’ credit to agriculture on the agricultural sector’s contribution to Nigerian real gross domestic product from 1986 to 2020. Specifically, this study ascertained the effect of commercial banks’ credit to agriculture, inflation rate and interest rate on the agricultural sector’s contribution to real gross domestic product. The Autoregressive Distributive Lag (ARDL) was the econometric tool of analysis employed using data sourced from the statistical bulletins of the Central Bank of Nigeria (CBN). The findings of this study in its totality unveiled statistically that commercial banks’ credit to agriculture does not affect the sector’s contribution to real gross domestic product.</w:t>
      </w:r>
    </w:p>
    <w:p w:rsidR="00287270" w:rsidRPr="007D233A" w:rsidRDefault="00287270" w:rsidP="007D233A">
      <w:pPr>
        <w:jc w:val="both"/>
        <w:rPr>
          <w:sz w:val="20"/>
          <w:szCs w:val="20"/>
        </w:rPr>
      </w:pPr>
    </w:p>
    <w:p w:rsidR="00240E6C" w:rsidRPr="007D233A" w:rsidRDefault="00240E6C" w:rsidP="00BC7B34">
      <w:pPr>
        <w:ind w:firstLine="357"/>
        <w:jc w:val="both"/>
        <w:rPr>
          <w:sz w:val="20"/>
          <w:szCs w:val="20"/>
        </w:rPr>
      </w:pPr>
      <w:r w:rsidRPr="007D233A">
        <w:rPr>
          <w:sz w:val="20"/>
          <w:szCs w:val="20"/>
        </w:rPr>
        <w:t xml:space="preserve">Okore and Nwadiubu </w:t>
      </w:r>
      <w:r w:rsidR="00287270" w:rsidRPr="007D233A">
        <w:rPr>
          <w:sz w:val="20"/>
          <w:szCs w:val="20"/>
        </w:rPr>
        <w:t>[13]</w:t>
      </w:r>
      <w:r w:rsidRPr="007D233A">
        <w:rPr>
          <w:sz w:val="20"/>
          <w:szCs w:val="20"/>
        </w:rPr>
        <w:t xml:space="preserve"> examined the impact of agricultural financing on agricultural output. Data were collected from the Central Bank of Nigeria Statistical Bulletin. The period of study covered 1986 to 2020. Agricultural financing was proxied by commercial bank loan to agriculture and the disbursement of the Agricultural Credit Guarantee Scheme Fund. Agricultural output was proxied by the contribution of agriculture to overall GDP. Trend analysis and the Ordinary Least Square (OLS) Method were used in the data analysis. Evidence from the regression results shows that commercial bank loan to agriculture and the disbursement of the Agricultural Credit Guarantee Scheme Fund had positive and significant impact on agricultural output.</w:t>
      </w:r>
    </w:p>
    <w:p w:rsidR="00287270" w:rsidRPr="007D233A" w:rsidRDefault="00287270" w:rsidP="007D233A">
      <w:pPr>
        <w:jc w:val="both"/>
        <w:rPr>
          <w:sz w:val="20"/>
          <w:szCs w:val="20"/>
        </w:rPr>
      </w:pPr>
    </w:p>
    <w:p w:rsidR="009D31FE" w:rsidRPr="007D233A" w:rsidRDefault="009D31FE" w:rsidP="00BC7B34">
      <w:pPr>
        <w:ind w:firstLine="357"/>
        <w:jc w:val="both"/>
        <w:rPr>
          <w:sz w:val="20"/>
          <w:szCs w:val="20"/>
        </w:rPr>
      </w:pPr>
      <w:r w:rsidRPr="007D233A">
        <w:rPr>
          <w:sz w:val="20"/>
          <w:szCs w:val="20"/>
        </w:rPr>
        <w:t xml:space="preserve">Onuegbu, Ikeora and Ogini </w:t>
      </w:r>
      <w:r w:rsidR="00287270" w:rsidRPr="007D233A">
        <w:rPr>
          <w:sz w:val="20"/>
          <w:szCs w:val="20"/>
        </w:rPr>
        <w:t>[14]</w:t>
      </w:r>
      <w:r w:rsidRPr="007D233A">
        <w:rPr>
          <w:sz w:val="20"/>
          <w:szCs w:val="20"/>
        </w:rPr>
        <w:t xml:space="preserve"> studied the effect of bank credit on the agricultural output in Nigeria, investigate the effect of government expenditure on agricultural output in Nigeria, evaluate the impact of Agricultural Credit Guarantee Scheme Fund on agricultural output in Nigeria and examine the effect of interest rate on agricultural output in Nigeria. The data were analysed using econometric techniques Augmented Dickey Fuller Tests for Unit Roots and the Ordinary Least Squares (OLS). The study shows that bank credit on agricultural output, government spending on agricultural sector and Agricultural Credit Guarantee Scheme Fund has positive and significant effect on agricultural output while interest rate has negative and insignificant effect on agricultural output. The study therefore, concludes that deposit money bank credit have positive effect on agricultural output in Nigeria and has achieved agricultural production in Nigeria within the period under review within the period under review.</w:t>
      </w:r>
    </w:p>
    <w:p w:rsidR="00287270" w:rsidRPr="007D233A" w:rsidRDefault="00287270" w:rsidP="007D233A">
      <w:pPr>
        <w:jc w:val="both"/>
        <w:rPr>
          <w:sz w:val="20"/>
          <w:szCs w:val="20"/>
        </w:rPr>
      </w:pPr>
    </w:p>
    <w:p w:rsidR="009D31FE" w:rsidRPr="007D233A" w:rsidRDefault="009D31FE" w:rsidP="00BC7B34">
      <w:pPr>
        <w:ind w:firstLine="357"/>
        <w:jc w:val="both"/>
        <w:rPr>
          <w:sz w:val="20"/>
          <w:szCs w:val="20"/>
        </w:rPr>
      </w:pPr>
      <w:r w:rsidRPr="007D233A">
        <w:rPr>
          <w:sz w:val="20"/>
          <w:szCs w:val="20"/>
        </w:rPr>
        <w:t xml:space="preserve">Adewale, Lawal, Aberu and Toriola </w:t>
      </w:r>
      <w:r w:rsidR="00287270" w:rsidRPr="007D233A">
        <w:rPr>
          <w:sz w:val="20"/>
          <w:szCs w:val="20"/>
        </w:rPr>
        <w:t>[15]</w:t>
      </w:r>
      <w:r w:rsidRPr="007D233A">
        <w:rPr>
          <w:sz w:val="20"/>
          <w:szCs w:val="20"/>
        </w:rPr>
        <w:t xml:space="preserve"> determined the effect of farmers’ credit on agricultural productivity from 1981 to 2016 using data from World Bank Development Index (WDI). The result of the Ordinary Least Squares (OLS) estimation shows that agricultural bank credit (β=0.667173, t=5.961095 &amp; P0.05) and foreign exchange rate (β=0.124297, t=0.437929 &amp; P&gt;0.05) do not show a significant effect on agricultural output. It was submitted that bank credit has a significant positive effect on agricultural productivity in Nigeria.</w:t>
      </w:r>
    </w:p>
    <w:p w:rsidR="00287270" w:rsidRPr="007D233A" w:rsidRDefault="00287270" w:rsidP="007D233A">
      <w:pPr>
        <w:jc w:val="both"/>
        <w:rPr>
          <w:sz w:val="20"/>
          <w:szCs w:val="20"/>
        </w:rPr>
      </w:pPr>
    </w:p>
    <w:p w:rsidR="009D31FE" w:rsidRPr="007D233A" w:rsidRDefault="009D31FE" w:rsidP="00BC7B34">
      <w:pPr>
        <w:ind w:firstLine="357"/>
        <w:jc w:val="both"/>
        <w:rPr>
          <w:sz w:val="20"/>
          <w:szCs w:val="20"/>
        </w:rPr>
      </w:pPr>
      <w:r w:rsidRPr="007D233A">
        <w:rPr>
          <w:sz w:val="20"/>
          <w:szCs w:val="20"/>
        </w:rPr>
        <w:t xml:space="preserve">Ngong, Onyejiaku, Fonchamnyo and Onwumere </w:t>
      </w:r>
      <w:r w:rsidR="00287270" w:rsidRPr="007D233A">
        <w:rPr>
          <w:sz w:val="20"/>
          <w:szCs w:val="20"/>
        </w:rPr>
        <w:t>[16]</w:t>
      </w:r>
      <w:r w:rsidRPr="007D233A">
        <w:rPr>
          <w:sz w:val="20"/>
          <w:szCs w:val="20"/>
        </w:rPr>
        <w:t xml:space="preserve"> investigated the impact of bank credit on agricultural productivity in the Central African Economic and Monetary Community (CEMAC) from 1990 to 2019. Agricultural value added (AGRVA) to the gross domestic product (GDP) proxies agricultural productivity while domestic credit to </w:t>
      </w:r>
      <w:r w:rsidRPr="007D233A">
        <w:rPr>
          <w:sz w:val="20"/>
          <w:szCs w:val="20"/>
        </w:rPr>
        <w:lastRenderedPageBreak/>
        <w:t>the private sector by banks (DCPSB), broad money supply, land, inflation (INF), physical capital (PHKAP) and labour supply are explanatory variables. The autoregressive distributed lag technique is utilized. The co-integration test results show a long-run co-integration among the variables. The findings disclose that DCPSB, land and PHKAP impact positively on the AGRVA. Broad money supply, INF and labour impact negatively on the AGRVA to the GDP.</w:t>
      </w:r>
    </w:p>
    <w:p w:rsidR="00287270" w:rsidRPr="007D233A" w:rsidRDefault="00287270" w:rsidP="007D233A">
      <w:pPr>
        <w:jc w:val="both"/>
        <w:rPr>
          <w:sz w:val="20"/>
          <w:szCs w:val="20"/>
        </w:rPr>
      </w:pPr>
    </w:p>
    <w:p w:rsidR="00240E6C" w:rsidRPr="007D233A" w:rsidRDefault="00240E6C" w:rsidP="00BC7B34">
      <w:pPr>
        <w:ind w:firstLine="357"/>
        <w:jc w:val="both"/>
        <w:rPr>
          <w:sz w:val="20"/>
          <w:szCs w:val="20"/>
        </w:rPr>
      </w:pPr>
      <w:r w:rsidRPr="007D233A">
        <w:rPr>
          <w:sz w:val="20"/>
          <w:szCs w:val="20"/>
        </w:rPr>
        <w:t xml:space="preserve">Marafa </w:t>
      </w:r>
      <w:r w:rsidR="00287270" w:rsidRPr="007D233A">
        <w:rPr>
          <w:sz w:val="20"/>
          <w:szCs w:val="20"/>
        </w:rPr>
        <w:t>[17]</w:t>
      </w:r>
      <w:r w:rsidRPr="007D233A">
        <w:rPr>
          <w:sz w:val="20"/>
          <w:szCs w:val="20"/>
        </w:rPr>
        <w:t xml:space="preserve"> investigated the relationship between agricultural production and agricultural financing variables in Nigeria using the Autoregressive Distributed Lagged (ARDL) bounds test. Annual time series data for bank private sector credit to agriculture, value of agricultural credit guarantee scheme fund, government spending on agriculture and agriculture growth domestic product were used in the analysis. The result indicates the existence of long run relationship between agricultural production and agricultural financing variables in Nigeria. The result of the short run analysis shows that all the variables are significant in influencing agriculture production while, in the long run, bank private sector credit to agriculture and agricultural credit guarantee scheme fund are the only variables that influences agriculture production. However, the result of the granger causality test shows that agricultural credit guarantee scheme fund lead to change in agricultural production while bank private sector credit to agriculture and the government spending on agriculture cannot be use</w:t>
      </w:r>
      <w:r w:rsidR="005D3FC7">
        <w:rPr>
          <w:sz w:val="20"/>
          <w:szCs w:val="20"/>
        </w:rPr>
        <w:t>d</w:t>
      </w:r>
      <w:r w:rsidRPr="007D233A">
        <w:rPr>
          <w:sz w:val="20"/>
          <w:szCs w:val="20"/>
        </w:rPr>
        <w:t xml:space="preserve"> to predict changes in agricultural production.</w:t>
      </w:r>
    </w:p>
    <w:p w:rsidR="00287270" w:rsidRPr="007D233A" w:rsidRDefault="00287270" w:rsidP="007D233A">
      <w:pPr>
        <w:jc w:val="both"/>
        <w:rPr>
          <w:sz w:val="20"/>
          <w:szCs w:val="20"/>
        </w:rPr>
      </w:pPr>
    </w:p>
    <w:p w:rsidR="00240E6C" w:rsidRPr="007D233A" w:rsidRDefault="00240E6C" w:rsidP="00BC7B34">
      <w:pPr>
        <w:ind w:firstLine="357"/>
        <w:jc w:val="both"/>
        <w:rPr>
          <w:sz w:val="20"/>
          <w:szCs w:val="20"/>
        </w:rPr>
      </w:pPr>
      <w:r w:rsidRPr="007D233A">
        <w:rPr>
          <w:sz w:val="20"/>
          <w:szCs w:val="20"/>
        </w:rPr>
        <w:t xml:space="preserve">Uremadu, Ehimare and Okhuebor </w:t>
      </w:r>
      <w:r w:rsidR="00287270" w:rsidRPr="007D233A">
        <w:rPr>
          <w:sz w:val="20"/>
          <w:szCs w:val="20"/>
        </w:rPr>
        <w:t>[18]</w:t>
      </w:r>
      <w:r w:rsidRPr="007D233A">
        <w:rPr>
          <w:sz w:val="20"/>
          <w:szCs w:val="20"/>
        </w:rPr>
        <w:t xml:space="preserve"> reviewed impact of government expenditure and bank credit on domestic agricultural sector output in Nigeria. It used OLS regression analytical method to evaluate relationship between agricultural output and several factors influencing agricultural productivity in Nigeria such as government expenditure to agriculture, bank loans and advances to agriculture and index of agricultural production. Results showed that there existed a negative and significant relationship between government expenditure and agricultural output in Nigeria, while banks credit to agriculture and index of agricultural production had a positive and significant correlation with agricultural productivity.</w:t>
      </w:r>
    </w:p>
    <w:p w:rsidR="00287270" w:rsidRPr="007D233A" w:rsidRDefault="00287270" w:rsidP="007D233A">
      <w:pPr>
        <w:jc w:val="both"/>
        <w:rPr>
          <w:sz w:val="20"/>
          <w:szCs w:val="20"/>
        </w:rPr>
      </w:pPr>
    </w:p>
    <w:p w:rsidR="009D31FE" w:rsidRPr="007D233A" w:rsidRDefault="009D31FE" w:rsidP="00BC7B34">
      <w:pPr>
        <w:ind w:firstLine="357"/>
        <w:jc w:val="both"/>
        <w:rPr>
          <w:sz w:val="20"/>
          <w:szCs w:val="20"/>
        </w:rPr>
      </w:pPr>
      <w:r w:rsidRPr="007D233A">
        <w:rPr>
          <w:sz w:val="20"/>
          <w:szCs w:val="20"/>
        </w:rPr>
        <w:t xml:space="preserve">Oyelade </w:t>
      </w:r>
      <w:r w:rsidR="00287270" w:rsidRPr="007D233A">
        <w:rPr>
          <w:sz w:val="20"/>
          <w:szCs w:val="20"/>
        </w:rPr>
        <w:t>[19]</w:t>
      </w:r>
      <w:r w:rsidRPr="007D233A">
        <w:rPr>
          <w:sz w:val="20"/>
          <w:szCs w:val="20"/>
        </w:rPr>
        <w:t xml:space="preserve"> investigated the impact of commercial bank credits on agricultural output in Nigeria over the period 1980 to 2015. The study employed Fully Modified Ordinary Least Squares (FMOLS) approach. It was evidenced that interest rate on comm</w:t>
      </w:r>
      <w:r w:rsidR="0016088D" w:rsidRPr="007D233A">
        <w:rPr>
          <w:sz w:val="20"/>
          <w:szCs w:val="20"/>
        </w:rPr>
        <w:t>ercial banks’ credit to agricul</w:t>
      </w:r>
      <w:r w:rsidRPr="007D233A">
        <w:rPr>
          <w:sz w:val="20"/>
          <w:szCs w:val="20"/>
        </w:rPr>
        <w:t xml:space="preserve">ture and deposit money bank’s assets are statistically significant in determine agricultural output in Nigeria within the period considered. Also, commercial bank loan on agriculture and deposit money bank’s assets determine the output of </w:t>
      </w:r>
      <w:r w:rsidR="0016088D" w:rsidRPr="007D233A">
        <w:rPr>
          <w:sz w:val="20"/>
          <w:szCs w:val="20"/>
        </w:rPr>
        <w:t>crop production in Nigeria; com</w:t>
      </w:r>
      <w:r w:rsidRPr="007D233A">
        <w:rPr>
          <w:sz w:val="20"/>
          <w:szCs w:val="20"/>
        </w:rPr>
        <w:t>mercial bank loan on agriculture and interest rate on commercial banks’ credit to ag</w:t>
      </w:r>
      <w:r w:rsidR="0016088D" w:rsidRPr="007D233A">
        <w:rPr>
          <w:sz w:val="20"/>
          <w:szCs w:val="20"/>
        </w:rPr>
        <w:t>ricul</w:t>
      </w:r>
      <w:r w:rsidRPr="007D233A">
        <w:rPr>
          <w:sz w:val="20"/>
          <w:szCs w:val="20"/>
        </w:rPr>
        <w:t>ture determine the output of livestock production in Nigeria and commercial bank loan on agriculture and interest rate on commercial banks’ credit to agriculture determine the output of forestry in Nigeria while commercial bank loan on agriculture an</w:t>
      </w:r>
      <w:r w:rsidR="0016088D" w:rsidRPr="007D233A">
        <w:rPr>
          <w:sz w:val="20"/>
          <w:szCs w:val="20"/>
        </w:rPr>
        <w:t>d interest rate on com</w:t>
      </w:r>
      <w:r w:rsidRPr="007D233A">
        <w:rPr>
          <w:sz w:val="20"/>
          <w:szCs w:val="20"/>
        </w:rPr>
        <w:t>mercial banks’ credit to agriculture determine the output of fishing in Nigeria.</w:t>
      </w:r>
    </w:p>
    <w:p w:rsidR="00287270" w:rsidRPr="007D233A" w:rsidRDefault="00287270" w:rsidP="007D233A">
      <w:pPr>
        <w:jc w:val="both"/>
        <w:rPr>
          <w:sz w:val="20"/>
          <w:szCs w:val="20"/>
        </w:rPr>
      </w:pPr>
    </w:p>
    <w:p w:rsidR="0016088D" w:rsidRPr="007D233A" w:rsidRDefault="0016088D" w:rsidP="00BC7B34">
      <w:pPr>
        <w:ind w:firstLine="357"/>
        <w:jc w:val="both"/>
        <w:rPr>
          <w:sz w:val="20"/>
          <w:szCs w:val="20"/>
        </w:rPr>
      </w:pPr>
      <w:r w:rsidRPr="007D233A">
        <w:rPr>
          <w:sz w:val="20"/>
          <w:szCs w:val="20"/>
        </w:rPr>
        <w:t xml:space="preserve">Bulama, Shettima, Bukar and Tachia </w:t>
      </w:r>
      <w:r w:rsidR="00287270" w:rsidRPr="007D233A">
        <w:rPr>
          <w:sz w:val="20"/>
          <w:szCs w:val="20"/>
        </w:rPr>
        <w:t>[20]</w:t>
      </w:r>
      <w:r w:rsidRPr="007D233A">
        <w:rPr>
          <w:sz w:val="20"/>
          <w:szCs w:val="20"/>
        </w:rPr>
        <w:t xml:space="preserve"> evaluated the impact of the Bank of Agriculture (BOA) in financing farming activities of farmers in Maiduguri (which comprises Maiduguri Metropolitan Council and Jere Local Government Area). Specifically, the study described the socio-economic characteristics of the beneficiaries, examined the impact of loans on farmers’ performances during the last 8years (2010 – 2017), analysed the rates of loan recovery of Maiduguri branch of the Bank of Agriculture, examined the causes of poor repayment and described the constraints encountered in loan disbursement by BOA and in acquisition of loans by farmers. The study was based on primary source of data collected through use of structured questionnaires. The analytical techniques used included descriptive statistics and logistic (logit) regression model. The results on the socio-economic characteristics of the farmers showed that majority of the farmers were adult literate men with large household size and low income. It was also discovered that household size, income of the household, education of the farmers, amount of credit, short term and long term loans have significant positive impact on agricultural productivity. The results of BOA’s loan recovery rates showed fluctuating rates over the last 8 years. The average recovery rate was 70.45% which was high and indicates low default. Poor loan repayment was caused by low price of products, insurgency and poor supervision by BOA staff. The constraints encountered in loan disbursement by BOA were inability of farmers to meet up Bank requirements and untimely release of funds from the BOA Head Office while constraints encountered by farmers in loan acquisition were the cumbersome nature of forms and proceedings and delay in disbursement</w:t>
      </w:r>
      <w:r w:rsidR="00422FA8" w:rsidRPr="007D233A">
        <w:rPr>
          <w:sz w:val="20"/>
          <w:szCs w:val="20"/>
        </w:rPr>
        <w:t>.</w:t>
      </w:r>
    </w:p>
    <w:p w:rsidR="00287270" w:rsidRPr="007D233A" w:rsidRDefault="00287270" w:rsidP="007D233A">
      <w:pPr>
        <w:jc w:val="both"/>
        <w:rPr>
          <w:sz w:val="20"/>
          <w:szCs w:val="20"/>
        </w:rPr>
      </w:pPr>
    </w:p>
    <w:p w:rsidR="00422FA8" w:rsidRPr="007D233A" w:rsidRDefault="00422FA8" w:rsidP="00BC7B34">
      <w:pPr>
        <w:ind w:firstLine="357"/>
        <w:jc w:val="both"/>
        <w:rPr>
          <w:sz w:val="20"/>
          <w:szCs w:val="20"/>
        </w:rPr>
      </w:pPr>
      <w:r w:rsidRPr="007D233A">
        <w:rPr>
          <w:sz w:val="20"/>
          <w:szCs w:val="20"/>
        </w:rPr>
        <w:t xml:space="preserve">Enilolobo and Ode-Omenka </w:t>
      </w:r>
      <w:r w:rsidR="00287270" w:rsidRPr="007D233A">
        <w:rPr>
          <w:sz w:val="20"/>
          <w:szCs w:val="20"/>
        </w:rPr>
        <w:t>[21]</w:t>
      </w:r>
      <w:r w:rsidRPr="007D233A">
        <w:rPr>
          <w:sz w:val="20"/>
          <w:szCs w:val="20"/>
        </w:rPr>
        <w:t xml:space="preserve"> analysed the impact of credits on agricultural output in Nigeria over the period of 1978 to 2016. The data were sources from various edition of Central Bank of Nigeria Statistical Bulletin. Johansen co-integration test and Multivariate Ordinary Least Squares regression estimation were applied to the data to achieve the objective of the study. The findings of the study revealed no long-run relationship between deposit money bank credit to the agriculture sector in Nigeria and agriculture sector output. The findings of the study are further in line with a priori expectations as deposit money bank credit to the agriculture sector in Nigeria has a positive and significant impact on agriculture sector output in Nigeria.</w:t>
      </w:r>
    </w:p>
    <w:p w:rsidR="00287270" w:rsidRPr="007D233A" w:rsidRDefault="00287270" w:rsidP="007D233A">
      <w:pPr>
        <w:jc w:val="both"/>
        <w:rPr>
          <w:sz w:val="20"/>
          <w:szCs w:val="20"/>
        </w:rPr>
      </w:pPr>
    </w:p>
    <w:p w:rsidR="00422FA8" w:rsidRPr="007D233A" w:rsidRDefault="00422FA8" w:rsidP="00BC7B34">
      <w:pPr>
        <w:ind w:firstLine="357"/>
        <w:jc w:val="both"/>
        <w:rPr>
          <w:sz w:val="20"/>
          <w:szCs w:val="20"/>
        </w:rPr>
      </w:pPr>
      <w:r w:rsidRPr="007D233A">
        <w:rPr>
          <w:sz w:val="20"/>
          <w:szCs w:val="20"/>
        </w:rPr>
        <w:lastRenderedPageBreak/>
        <w:t xml:space="preserve">Samson and Obademi </w:t>
      </w:r>
      <w:r w:rsidR="00287270" w:rsidRPr="007D233A">
        <w:rPr>
          <w:sz w:val="20"/>
          <w:szCs w:val="20"/>
        </w:rPr>
        <w:t>[22]</w:t>
      </w:r>
      <w:r w:rsidRPr="007D233A">
        <w:rPr>
          <w:sz w:val="20"/>
          <w:szCs w:val="20"/>
        </w:rPr>
        <w:t xml:space="preserve"> ascertained the determinants as well as impact of agricultural credit accessed by farmers in Oyo State on productivity, using Ibarapa region as a case study. Descriptive statistics, Probit model and Regression analysis as estimation techniques were used and data were sourced through structured questionnaire. The results obtained from the probit model shows that the model is well fitted for the analysis by revealing the factors that influence farmers’ access to Microfinance bank loan while the results obtained from the regression model revealed that the independent variables engaged in the equation for crop enterprise namely, farm size, labour cost, cost of seeds and amount of credit obtained have positive impact on productivity. Also, Chow-test result shows that the output of Microfinance bank credit beneficiaries is significantly different from that of non-beneficiaries of Microfinance bank credit.</w:t>
      </w:r>
    </w:p>
    <w:p w:rsidR="00287270" w:rsidRPr="007D233A" w:rsidRDefault="00287270" w:rsidP="007D233A">
      <w:pPr>
        <w:jc w:val="both"/>
        <w:rPr>
          <w:sz w:val="20"/>
          <w:szCs w:val="20"/>
        </w:rPr>
      </w:pPr>
    </w:p>
    <w:p w:rsidR="009D31FE" w:rsidRPr="007D233A" w:rsidRDefault="009D31FE" w:rsidP="00BC7B34">
      <w:pPr>
        <w:ind w:firstLine="357"/>
        <w:jc w:val="both"/>
        <w:rPr>
          <w:sz w:val="20"/>
          <w:szCs w:val="20"/>
        </w:rPr>
      </w:pPr>
      <w:r w:rsidRPr="007D233A">
        <w:rPr>
          <w:sz w:val="20"/>
          <w:szCs w:val="20"/>
        </w:rPr>
        <w:t xml:space="preserve">Ajayi, Nageri and Akolo </w:t>
      </w:r>
      <w:r w:rsidR="00287270" w:rsidRPr="007D233A">
        <w:rPr>
          <w:sz w:val="20"/>
          <w:szCs w:val="20"/>
        </w:rPr>
        <w:t>[23]</w:t>
      </w:r>
      <w:r w:rsidRPr="007D233A">
        <w:rPr>
          <w:sz w:val="20"/>
          <w:szCs w:val="20"/>
        </w:rPr>
        <w:t xml:space="preserve"> evaluated the impact of agricultural financing policy and deposit money bank loans to agricultural sector on agricultural productivity. The study used time series linear regression model employing data covering the period of 1981 and 2015. The result revealed that deposit money bank loans (CBF) and agricultural financing policy proxy by Agricultural Credit Guarantee Scheme Fund (ACGSF) have significant positive impact on agricultural productivity in Nigeria while lending rate (LR) shows a significant negative impact on agricultural productivity.</w:t>
      </w:r>
    </w:p>
    <w:p w:rsidR="00287270" w:rsidRPr="007D233A" w:rsidRDefault="00287270" w:rsidP="007D233A">
      <w:pPr>
        <w:jc w:val="both"/>
        <w:rPr>
          <w:sz w:val="20"/>
          <w:szCs w:val="20"/>
        </w:rPr>
      </w:pPr>
    </w:p>
    <w:p w:rsidR="006674EA" w:rsidRPr="007D233A" w:rsidRDefault="006674EA" w:rsidP="00BC7B34">
      <w:pPr>
        <w:ind w:firstLine="357"/>
        <w:jc w:val="both"/>
        <w:rPr>
          <w:sz w:val="20"/>
          <w:szCs w:val="20"/>
        </w:rPr>
      </w:pPr>
      <w:r w:rsidRPr="007D233A">
        <w:rPr>
          <w:sz w:val="20"/>
          <w:szCs w:val="20"/>
        </w:rPr>
        <w:t xml:space="preserve">Ogbuabor and Nwosu </w:t>
      </w:r>
      <w:r w:rsidR="00287270" w:rsidRPr="007D233A">
        <w:rPr>
          <w:sz w:val="20"/>
          <w:szCs w:val="20"/>
        </w:rPr>
        <w:t>[24]</w:t>
      </w:r>
      <w:r w:rsidRPr="007D233A">
        <w:rPr>
          <w:sz w:val="20"/>
          <w:szCs w:val="20"/>
        </w:rPr>
        <w:t xml:space="preserve"> looked at the impact of deposit money bank agricultural credit on agricultural productivity in Nigeria using an error correction model and annual time series data for the period 1981-2014. The results indicate that an equilibrium relationship exists between the variables. In addition, we find that deposit money bank’s agricultural credit impacts positively and significantly on agricultural productivity in the long-run, but this impact is quite negligible in the short-run. We also find that agricultural land and labour force impact negatively on agricultural productivity both in the long-run and short-run. However, the impact of climate change variables, namely annual rainfall and average temperature remained negligible throughout.</w:t>
      </w:r>
    </w:p>
    <w:p w:rsidR="00287270" w:rsidRPr="007D233A" w:rsidRDefault="00287270" w:rsidP="007D233A">
      <w:pPr>
        <w:jc w:val="both"/>
        <w:rPr>
          <w:sz w:val="20"/>
          <w:szCs w:val="20"/>
        </w:rPr>
      </w:pPr>
    </w:p>
    <w:p w:rsidR="00592468" w:rsidRPr="007D233A" w:rsidRDefault="00240E6C" w:rsidP="00BC7B34">
      <w:pPr>
        <w:ind w:firstLine="357"/>
        <w:jc w:val="both"/>
        <w:rPr>
          <w:sz w:val="20"/>
          <w:szCs w:val="20"/>
        </w:rPr>
      </w:pPr>
      <w:r w:rsidRPr="007D233A">
        <w:rPr>
          <w:sz w:val="20"/>
          <w:szCs w:val="20"/>
        </w:rPr>
        <w:t xml:space="preserve">Anetor, Ogbechie, Kelikume and Ikpesu </w:t>
      </w:r>
      <w:r w:rsidR="00287270" w:rsidRPr="007D233A">
        <w:rPr>
          <w:sz w:val="20"/>
          <w:szCs w:val="20"/>
        </w:rPr>
        <w:t>[25]</w:t>
      </w:r>
      <w:r w:rsidR="009D31FE" w:rsidRPr="007D233A">
        <w:rPr>
          <w:sz w:val="20"/>
          <w:szCs w:val="20"/>
        </w:rPr>
        <w:t>examined</w:t>
      </w:r>
      <w:r w:rsidRPr="007D233A">
        <w:rPr>
          <w:sz w:val="20"/>
          <w:szCs w:val="20"/>
        </w:rPr>
        <w:t xml:space="preserve"> the impact of the credit supply, and various commercial bank loan schemes on agricultural sector production using vector autoregressive (VAR) approach. Using time series data sourced from Central Bank of Nigeria Statistical Bulletin over the sample period of 1981-2013, the study found ACGSF to have performed poorly in explaining agricultural sector performance while commercial loans to agricultural sector had a significant impact on agricultural production.</w:t>
      </w:r>
    </w:p>
    <w:p w:rsidR="00287270" w:rsidRPr="007D233A" w:rsidRDefault="00287270" w:rsidP="007D233A">
      <w:pPr>
        <w:jc w:val="both"/>
        <w:rPr>
          <w:sz w:val="20"/>
          <w:szCs w:val="20"/>
        </w:rPr>
      </w:pPr>
    </w:p>
    <w:p w:rsidR="0016088D" w:rsidRPr="007D233A" w:rsidRDefault="0016088D" w:rsidP="00BC7B34">
      <w:pPr>
        <w:ind w:firstLine="357"/>
        <w:jc w:val="both"/>
        <w:rPr>
          <w:sz w:val="20"/>
          <w:szCs w:val="20"/>
        </w:rPr>
      </w:pPr>
      <w:r w:rsidRPr="007D233A">
        <w:rPr>
          <w:sz w:val="20"/>
          <w:szCs w:val="20"/>
        </w:rPr>
        <w:t xml:space="preserve">Agunuwa, Inaya and Proso </w:t>
      </w:r>
      <w:r w:rsidR="00287270" w:rsidRPr="007D233A">
        <w:rPr>
          <w:sz w:val="20"/>
          <w:szCs w:val="20"/>
        </w:rPr>
        <w:t>[26]</w:t>
      </w:r>
      <w:r w:rsidRPr="007D233A">
        <w:rPr>
          <w:sz w:val="20"/>
          <w:szCs w:val="20"/>
        </w:rPr>
        <w:t xml:space="preserve"> assessed the relationship between commercial banks credit and agricultural productivity in the Nigeria economy. The statistical tool of analysis is the Ordinary Least Squares (OLS) techniques. However the variables were subjected to the Unit Root Test to ensure stationarity before the application of the OLS. On the whole, three hypotheses were tested; all the alternative hypotheses were validated by the OLS result. The t-calculated of commercial banks credit has a value of 6.28 which is greater than the t-critical of 1.96. This is an indication of positive relationship between commercial banks’ credit and agricultural productivity. The t-calculated of interest rate on commercial banks credit has a value of -9.38 as against 1.96 t-critical. This is an indication of a negative relationship between interest rate and agricultural productivity. While the t-calculated of government spending, as a complimentary variable, has a value of 3.42 as against the 1.96 of t-critical.</w:t>
      </w:r>
    </w:p>
    <w:p w:rsidR="00287270" w:rsidRPr="007D233A" w:rsidRDefault="00287270" w:rsidP="007D233A">
      <w:pPr>
        <w:jc w:val="both"/>
        <w:rPr>
          <w:sz w:val="20"/>
          <w:szCs w:val="20"/>
        </w:rPr>
      </w:pPr>
    </w:p>
    <w:p w:rsidR="006674EA" w:rsidRPr="007D233A" w:rsidRDefault="006674EA" w:rsidP="007D233A">
      <w:pPr>
        <w:pStyle w:val="ListParagraph"/>
        <w:ind w:left="0"/>
        <w:jc w:val="both"/>
        <w:rPr>
          <w:b/>
          <w:sz w:val="20"/>
          <w:szCs w:val="20"/>
        </w:rPr>
      </w:pPr>
      <w:r w:rsidRPr="007D233A">
        <w:rPr>
          <w:b/>
          <w:sz w:val="20"/>
          <w:szCs w:val="20"/>
        </w:rPr>
        <w:t>RESEARCH METHODOLOGY</w:t>
      </w:r>
    </w:p>
    <w:p w:rsidR="006674EA" w:rsidRPr="007D233A" w:rsidRDefault="006674EA" w:rsidP="00BC7B34">
      <w:pPr>
        <w:ind w:firstLine="357"/>
        <w:jc w:val="both"/>
        <w:rPr>
          <w:sz w:val="20"/>
          <w:szCs w:val="20"/>
        </w:rPr>
      </w:pPr>
      <w:r w:rsidRPr="007D233A">
        <w:rPr>
          <w:sz w:val="20"/>
          <w:szCs w:val="20"/>
        </w:rPr>
        <w:t>The effect of deposit money banks loans and advances to agricultural productivity in Nigeria over a period of thirty six (36) years, that is, from 1986 to 2021 was ascertained using an ex-post facto research design. The data in this type of research design is devoid of manipulation by the researcher as such data are published by established government agencies and parastatals.The secondary data were obtained from the Central Bank of Nigeria (CBN) statistical bulletin of 2021. Crop Production Gross Domestic Product (CPGDP), Livestock Gross Domestic Product (LGDP) and Forestry Gross Domestic Product (FGDP) are the dependent variables and proxies for measuring Nigeria’s agricultural produ</w:t>
      </w:r>
      <w:r w:rsidR="00A56D91" w:rsidRPr="007D233A">
        <w:rPr>
          <w:sz w:val="20"/>
          <w:szCs w:val="20"/>
        </w:rPr>
        <w:t>ctivity. Deposit Money Banks Loans and Advances to Agriculture (DMBL</w:t>
      </w:r>
      <w:r w:rsidR="000C1EC3" w:rsidRPr="007D233A">
        <w:rPr>
          <w:sz w:val="20"/>
          <w:szCs w:val="20"/>
        </w:rPr>
        <w:t xml:space="preserve">A), Interest Rate (INTR), </w:t>
      </w:r>
      <w:r w:rsidRPr="007D233A">
        <w:rPr>
          <w:sz w:val="20"/>
          <w:szCs w:val="20"/>
        </w:rPr>
        <w:t xml:space="preserve">Implicit Price Deflator for Crop Production (IPDCP), Livestock (IPDL) and Forestry (IPDF) are the independent variables. The implicit price deflator for crop production, livestock and forestry were induced to control for the probable effect of </w:t>
      </w:r>
      <w:r w:rsidR="00A56D91" w:rsidRPr="007D233A">
        <w:rPr>
          <w:sz w:val="20"/>
          <w:szCs w:val="20"/>
        </w:rPr>
        <w:t>inflation on agricultural productivity</w:t>
      </w:r>
      <w:r w:rsidRPr="007D233A">
        <w:rPr>
          <w:sz w:val="20"/>
          <w:szCs w:val="20"/>
        </w:rPr>
        <w:t>. The Ordinary Least Square (OLS) estimation method was employed.</w:t>
      </w:r>
    </w:p>
    <w:p w:rsidR="00287270" w:rsidRPr="007D233A" w:rsidRDefault="00287270" w:rsidP="007D233A">
      <w:pPr>
        <w:jc w:val="both"/>
        <w:rPr>
          <w:sz w:val="20"/>
          <w:szCs w:val="20"/>
        </w:rPr>
      </w:pPr>
    </w:p>
    <w:p w:rsidR="006674EA" w:rsidRPr="007D233A" w:rsidRDefault="006674EA" w:rsidP="00BC7B34">
      <w:pPr>
        <w:ind w:firstLine="357"/>
        <w:jc w:val="both"/>
        <w:rPr>
          <w:sz w:val="20"/>
          <w:szCs w:val="20"/>
        </w:rPr>
      </w:pPr>
      <w:r w:rsidRPr="007D233A">
        <w:rPr>
          <w:sz w:val="20"/>
          <w:szCs w:val="20"/>
        </w:rPr>
        <w:t xml:space="preserve">The modified model of Ayeomoni and Aladejana </w:t>
      </w:r>
      <w:r w:rsidR="00287270" w:rsidRPr="007D233A">
        <w:rPr>
          <w:sz w:val="20"/>
          <w:szCs w:val="20"/>
        </w:rPr>
        <w:t>[27]</w:t>
      </w:r>
      <w:r w:rsidRPr="007D233A">
        <w:rPr>
          <w:sz w:val="20"/>
          <w:szCs w:val="20"/>
        </w:rPr>
        <w:t xml:space="preserve"> was adopted in this research work. The original model of Ayeomoni and Aladejana </w:t>
      </w:r>
      <w:r w:rsidR="00287270" w:rsidRPr="007D233A">
        <w:rPr>
          <w:sz w:val="20"/>
          <w:szCs w:val="20"/>
        </w:rPr>
        <w:t>[27]</w:t>
      </w:r>
      <w:r w:rsidRPr="007D233A">
        <w:rPr>
          <w:sz w:val="20"/>
          <w:szCs w:val="20"/>
        </w:rPr>
        <w:t xml:space="preserve"> is stated as:</w:t>
      </w:r>
    </w:p>
    <w:p w:rsidR="00287270" w:rsidRPr="007D233A" w:rsidRDefault="00287270" w:rsidP="007D233A">
      <w:pPr>
        <w:jc w:val="both"/>
        <w:rPr>
          <w:sz w:val="20"/>
          <w:szCs w:val="20"/>
        </w:rPr>
      </w:pPr>
    </w:p>
    <w:p w:rsidR="006674EA" w:rsidRPr="007D233A" w:rsidRDefault="006674EA" w:rsidP="007D233A">
      <w:pPr>
        <w:ind w:firstLine="720"/>
        <w:jc w:val="both"/>
        <w:rPr>
          <w:sz w:val="20"/>
          <w:szCs w:val="20"/>
        </w:rPr>
      </w:pPr>
      <m:oMathPara>
        <m:oMath>
          <m:r>
            <w:rPr>
              <w:rFonts w:ascii="Cambria Math" w:hAnsi="Cambria Math"/>
              <w:sz w:val="20"/>
              <w:szCs w:val="20"/>
            </w:rPr>
            <m:t>LnECONOG</m:t>
          </m:r>
          <m:r>
            <w:rPr>
              <w:rFonts w:ascii="Cambria Math"/>
              <w:sz w:val="20"/>
              <w:szCs w:val="20"/>
            </w:rPr>
            <m:t>=</m:t>
          </m:r>
          <m:r>
            <w:rPr>
              <w:rFonts w:ascii="Cambria Math" w:hAnsi="Cambria Math"/>
              <w:sz w:val="20"/>
              <w:szCs w:val="20"/>
            </w:rPr>
            <m:t>f</m:t>
          </m:r>
          <m:d>
            <m:dPr>
              <m:ctrlPr>
                <w:rPr>
                  <w:rFonts w:ascii="Cambria Math" w:hAnsi="Cambria Math"/>
                  <w:i/>
                  <w:sz w:val="20"/>
                  <w:szCs w:val="20"/>
                </w:rPr>
              </m:ctrlPr>
            </m:dPr>
            <m:e>
              <m:r>
                <w:rPr>
                  <w:rFonts w:ascii="Cambria Math" w:hAnsi="Cambria Math"/>
                  <w:sz w:val="20"/>
                  <w:szCs w:val="20"/>
                </w:rPr>
                <m:t>LnCRTA</m:t>
              </m:r>
              <m:r>
                <w:rPr>
                  <w:rFonts w:ascii="Cambria Math"/>
                  <w:sz w:val="20"/>
                  <w:szCs w:val="20"/>
                </w:rPr>
                <m:t xml:space="preserve">, </m:t>
              </m:r>
              <m:r>
                <w:rPr>
                  <w:rFonts w:ascii="Cambria Math" w:hAnsi="Cambria Math"/>
                  <w:sz w:val="20"/>
                  <w:szCs w:val="20"/>
                </w:rPr>
                <m:t>LnREER</m:t>
              </m:r>
              <m:r>
                <w:rPr>
                  <w:rFonts w:ascii="Cambria Math"/>
                  <w:sz w:val="20"/>
                  <w:szCs w:val="20"/>
                </w:rPr>
                <m:t xml:space="preserve">, </m:t>
              </m:r>
              <m:r>
                <w:rPr>
                  <w:rFonts w:ascii="Cambria Math" w:hAnsi="Cambria Math"/>
                  <w:sz w:val="20"/>
                  <w:szCs w:val="20"/>
                </w:rPr>
                <m:t>LnINTR</m:t>
              </m:r>
              <m:r>
                <w:rPr>
                  <w:rFonts w:ascii="Cambria Math"/>
                  <w:sz w:val="20"/>
                  <w:szCs w:val="20"/>
                </w:rPr>
                <m:t xml:space="preserve">, </m:t>
              </m:r>
              <m:r>
                <w:rPr>
                  <w:rFonts w:ascii="Cambria Math" w:hAnsi="Cambria Math"/>
                  <w:sz w:val="20"/>
                  <w:szCs w:val="20"/>
                </w:rPr>
                <m:t>LnPDI</m:t>
              </m:r>
              <m:r>
                <w:rPr>
                  <w:rFonts w:ascii="Cambria Math"/>
                  <w:sz w:val="20"/>
                  <w:szCs w:val="20"/>
                </w:rPr>
                <m:t xml:space="preserve">, </m:t>
              </m:r>
              <m:r>
                <w:rPr>
                  <w:rFonts w:ascii="Cambria Math" w:hAnsi="Cambria Math"/>
                  <w:sz w:val="20"/>
                  <w:szCs w:val="20"/>
                </w:rPr>
                <m:t>LnINFR</m:t>
              </m:r>
            </m:e>
          </m:d>
          <m:r>
            <w:rPr>
              <w:rFonts w:ascii="Cambria Math"/>
              <w:sz w:val="20"/>
              <w:szCs w:val="20"/>
            </w:rPr>
            <m:t xml:space="preserve">                                     (1)</m:t>
          </m:r>
        </m:oMath>
      </m:oMathPara>
    </w:p>
    <w:p w:rsidR="00767F1E" w:rsidRPr="007D233A" w:rsidRDefault="00767F1E" w:rsidP="007D233A">
      <w:pPr>
        <w:jc w:val="both"/>
        <w:rPr>
          <w:sz w:val="20"/>
          <w:szCs w:val="20"/>
        </w:rPr>
      </w:pPr>
    </w:p>
    <w:p w:rsidR="006674EA" w:rsidRPr="007D233A" w:rsidRDefault="006674EA" w:rsidP="00BC7B34">
      <w:pPr>
        <w:ind w:firstLine="357"/>
        <w:jc w:val="both"/>
        <w:rPr>
          <w:sz w:val="20"/>
          <w:szCs w:val="20"/>
        </w:rPr>
      </w:pPr>
      <w:r w:rsidRPr="007D233A">
        <w:rPr>
          <w:sz w:val="20"/>
          <w:szCs w:val="20"/>
        </w:rPr>
        <w:t>In an attempt to eva</w:t>
      </w:r>
      <w:r w:rsidR="00853AB0" w:rsidRPr="007D233A">
        <w:rPr>
          <w:sz w:val="20"/>
          <w:szCs w:val="20"/>
        </w:rPr>
        <w:t>luating the effect of deposit money</w:t>
      </w:r>
      <w:r w:rsidRPr="007D233A">
        <w:rPr>
          <w:sz w:val="20"/>
          <w:szCs w:val="20"/>
        </w:rPr>
        <w:t xml:space="preserve"> banks credit to </w:t>
      </w:r>
      <w:r w:rsidR="00853AB0" w:rsidRPr="007D233A">
        <w:rPr>
          <w:sz w:val="20"/>
          <w:szCs w:val="20"/>
        </w:rPr>
        <w:t xml:space="preserve">agriculture on agricultural productivity in </w:t>
      </w:r>
      <w:r w:rsidRPr="007D233A">
        <w:rPr>
          <w:sz w:val="20"/>
          <w:szCs w:val="20"/>
        </w:rPr>
        <w:t>Nigeria, the following models were developed and sated</w:t>
      </w:r>
      <w:r w:rsidR="00853AB0" w:rsidRPr="007D233A">
        <w:rPr>
          <w:sz w:val="20"/>
          <w:szCs w:val="20"/>
        </w:rPr>
        <w:t xml:space="preserve"> as thus:</w:t>
      </w:r>
    </w:p>
    <w:p w:rsidR="006674EA" w:rsidRPr="007D233A" w:rsidRDefault="006674EA" w:rsidP="007D233A">
      <w:pPr>
        <w:ind w:firstLine="720"/>
        <w:jc w:val="both"/>
        <w:rPr>
          <w:sz w:val="20"/>
          <w:szCs w:val="20"/>
        </w:rPr>
      </w:pPr>
      <m:oMathPara>
        <m:oMath>
          <m:r>
            <w:rPr>
              <w:rFonts w:ascii="Cambria Math" w:hAnsi="Cambria Math"/>
              <w:sz w:val="20"/>
              <w:szCs w:val="20"/>
            </w:rPr>
            <m:t>CPGDP</m:t>
          </m:r>
          <m:r>
            <w:rPr>
              <w:rFonts w:ascii="Cambria Math"/>
              <w:sz w:val="20"/>
              <w:szCs w:val="20"/>
            </w:rPr>
            <m:t>=</m:t>
          </m:r>
          <m:r>
            <w:rPr>
              <w:rFonts w:ascii="Cambria Math" w:hAnsi="Cambria Math"/>
              <w:sz w:val="20"/>
              <w:szCs w:val="20"/>
            </w:rPr>
            <m:t>f</m:t>
          </m:r>
          <m:d>
            <m:dPr>
              <m:ctrlPr>
                <w:rPr>
                  <w:rFonts w:ascii="Cambria Math" w:hAnsi="Cambria Math"/>
                  <w:i/>
                  <w:sz w:val="20"/>
                  <w:szCs w:val="20"/>
                </w:rPr>
              </m:ctrlPr>
            </m:dPr>
            <m:e>
              <m:r>
                <w:rPr>
                  <w:rFonts w:ascii="Cambria Math" w:hAnsi="Cambria Math"/>
                  <w:sz w:val="20"/>
                  <w:szCs w:val="20"/>
                </w:rPr>
                <m:t>DMBLA</m:t>
              </m:r>
              <m:r>
                <w:rPr>
                  <w:rFonts w:ascii="Cambria Math"/>
                  <w:sz w:val="20"/>
                  <w:szCs w:val="20"/>
                </w:rPr>
                <m:t>,</m:t>
              </m:r>
              <m:r>
                <w:rPr>
                  <w:rFonts w:ascii="Cambria Math" w:hAnsi="Cambria Math"/>
                  <w:sz w:val="20"/>
                  <w:szCs w:val="20"/>
                </w:rPr>
                <m:t>IPDCP</m:t>
              </m:r>
              <m:r>
                <w:rPr>
                  <w:rFonts w:ascii="Cambria Math"/>
                  <w:sz w:val="20"/>
                  <w:szCs w:val="20"/>
                </w:rPr>
                <m:t xml:space="preserve">, </m:t>
              </m:r>
              <m:r>
                <w:rPr>
                  <w:rFonts w:ascii="Cambria Math" w:hAnsi="Cambria Math"/>
                  <w:sz w:val="20"/>
                  <w:szCs w:val="20"/>
                </w:rPr>
                <m:t>INT</m:t>
              </m:r>
            </m:e>
          </m:d>
          <m:r>
            <w:rPr>
              <w:rFonts w:ascii="Cambria Math"/>
              <w:sz w:val="20"/>
              <w:szCs w:val="20"/>
            </w:rPr>
            <m:t xml:space="preserve">                                                                             (2)</m:t>
          </m:r>
        </m:oMath>
      </m:oMathPara>
    </w:p>
    <w:p w:rsidR="006674EA" w:rsidRPr="007D233A" w:rsidRDefault="006674EA" w:rsidP="007D233A">
      <w:pPr>
        <w:ind w:firstLine="720"/>
        <w:jc w:val="both"/>
        <w:rPr>
          <w:sz w:val="20"/>
          <w:szCs w:val="20"/>
        </w:rPr>
      </w:pPr>
      <m:oMathPara>
        <m:oMath>
          <m:r>
            <w:rPr>
              <w:rFonts w:ascii="Cambria Math" w:hAnsi="Cambria Math"/>
              <w:sz w:val="20"/>
              <w:szCs w:val="20"/>
            </w:rPr>
            <w:lastRenderedPageBreak/>
            <m:t>LGDP</m:t>
          </m:r>
          <m:r>
            <w:rPr>
              <w:rFonts w:ascii="Cambria Math"/>
              <w:sz w:val="20"/>
              <w:szCs w:val="20"/>
            </w:rPr>
            <m:t>=</m:t>
          </m:r>
          <m:r>
            <w:rPr>
              <w:rFonts w:ascii="Cambria Math" w:hAnsi="Cambria Math"/>
              <w:sz w:val="20"/>
              <w:szCs w:val="20"/>
            </w:rPr>
            <m:t>f</m:t>
          </m:r>
          <m:d>
            <m:dPr>
              <m:ctrlPr>
                <w:rPr>
                  <w:rFonts w:ascii="Cambria Math" w:hAnsi="Cambria Math"/>
                  <w:i/>
                  <w:sz w:val="20"/>
                  <w:szCs w:val="20"/>
                </w:rPr>
              </m:ctrlPr>
            </m:dPr>
            <m:e>
              <m:r>
                <w:rPr>
                  <w:rFonts w:ascii="Cambria Math" w:hAnsi="Cambria Math"/>
                  <w:sz w:val="20"/>
                  <w:szCs w:val="20"/>
                </w:rPr>
                <m:t>DMBLA</m:t>
              </m:r>
              <m:r>
                <w:rPr>
                  <w:rFonts w:ascii="Cambria Math"/>
                  <w:sz w:val="20"/>
                  <w:szCs w:val="20"/>
                </w:rPr>
                <m:t>,</m:t>
              </m:r>
              <m:r>
                <w:rPr>
                  <w:rFonts w:ascii="Cambria Math" w:hAnsi="Cambria Math"/>
                  <w:sz w:val="20"/>
                  <w:szCs w:val="20"/>
                </w:rPr>
                <m:t>IPDL</m:t>
              </m:r>
              <m:r>
                <w:rPr>
                  <w:rFonts w:ascii="Cambria Math"/>
                  <w:sz w:val="20"/>
                  <w:szCs w:val="20"/>
                </w:rPr>
                <m:t xml:space="preserve">, </m:t>
              </m:r>
              <m:r>
                <w:rPr>
                  <w:rFonts w:ascii="Cambria Math" w:hAnsi="Cambria Math"/>
                  <w:sz w:val="20"/>
                  <w:szCs w:val="20"/>
                </w:rPr>
                <m:t>INT</m:t>
              </m:r>
            </m:e>
          </m:d>
          <m:r>
            <w:rPr>
              <w:rFonts w:ascii="Cambria Math"/>
              <w:sz w:val="20"/>
              <w:szCs w:val="20"/>
            </w:rPr>
            <m:t>(3)</m:t>
          </m:r>
        </m:oMath>
      </m:oMathPara>
    </w:p>
    <w:p w:rsidR="006674EA" w:rsidRPr="007D233A" w:rsidRDefault="006674EA" w:rsidP="007D233A">
      <w:pPr>
        <w:ind w:firstLine="720"/>
        <w:jc w:val="both"/>
        <w:rPr>
          <w:sz w:val="20"/>
          <w:szCs w:val="20"/>
        </w:rPr>
      </w:pPr>
      <m:oMathPara>
        <m:oMath>
          <m:r>
            <w:rPr>
              <w:rFonts w:ascii="Cambria Math" w:hAnsi="Cambria Math"/>
              <w:sz w:val="20"/>
              <w:szCs w:val="20"/>
            </w:rPr>
            <m:t>FGDP</m:t>
          </m:r>
          <m:r>
            <w:rPr>
              <w:rFonts w:ascii="Cambria Math"/>
              <w:sz w:val="20"/>
              <w:szCs w:val="20"/>
            </w:rPr>
            <m:t>=</m:t>
          </m:r>
          <m:r>
            <w:rPr>
              <w:rFonts w:ascii="Cambria Math" w:hAnsi="Cambria Math"/>
              <w:sz w:val="20"/>
              <w:szCs w:val="20"/>
            </w:rPr>
            <m:t>f</m:t>
          </m:r>
          <m:d>
            <m:dPr>
              <m:ctrlPr>
                <w:rPr>
                  <w:rFonts w:ascii="Cambria Math" w:hAnsi="Cambria Math"/>
                  <w:i/>
                  <w:sz w:val="20"/>
                  <w:szCs w:val="20"/>
                </w:rPr>
              </m:ctrlPr>
            </m:dPr>
            <m:e>
              <m:r>
                <w:rPr>
                  <w:rFonts w:ascii="Cambria Math" w:hAnsi="Cambria Math"/>
                  <w:sz w:val="20"/>
                  <w:szCs w:val="20"/>
                </w:rPr>
                <m:t>DMBLA</m:t>
              </m:r>
              <m:r>
                <w:rPr>
                  <w:rFonts w:ascii="Cambria Math"/>
                  <w:sz w:val="20"/>
                  <w:szCs w:val="20"/>
                </w:rPr>
                <m:t>,</m:t>
              </m:r>
              <m:r>
                <w:rPr>
                  <w:rFonts w:ascii="Cambria Math" w:hAnsi="Cambria Math"/>
                  <w:sz w:val="20"/>
                  <w:szCs w:val="20"/>
                </w:rPr>
                <m:t>IPDF</m:t>
              </m:r>
              <m:r>
                <w:rPr>
                  <w:rFonts w:ascii="Cambria Math"/>
                  <w:sz w:val="20"/>
                  <w:szCs w:val="20"/>
                </w:rPr>
                <m:t xml:space="preserve">, </m:t>
              </m:r>
              <m:r>
                <w:rPr>
                  <w:rFonts w:ascii="Cambria Math" w:hAnsi="Cambria Math"/>
                  <w:sz w:val="20"/>
                  <w:szCs w:val="20"/>
                </w:rPr>
                <m:t>INT</m:t>
              </m:r>
            </m:e>
          </m:d>
          <m:r>
            <w:rPr>
              <w:rFonts w:ascii="Cambria Math"/>
              <w:sz w:val="20"/>
              <w:szCs w:val="20"/>
            </w:rPr>
            <m:t xml:space="preserve">                                                                                     (4)</m:t>
          </m:r>
        </m:oMath>
      </m:oMathPara>
    </w:p>
    <w:p w:rsidR="00767F1E" w:rsidRPr="007D233A" w:rsidRDefault="00767F1E" w:rsidP="007D233A">
      <w:pPr>
        <w:jc w:val="both"/>
        <w:rPr>
          <w:sz w:val="20"/>
          <w:szCs w:val="20"/>
        </w:rPr>
      </w:pPr>
    </w:p>
    <w:p w:rsidR="006674EA" w:rsidRPr="007D233A" w:rsidRDefault="006674EA" w:rsidP="00BC7B34">
      <w:pPr>
        <w:ind w:firstLine="357"/>
        <w:jc w:val="both"/>
        <w:rPr>
          <w:sz w:val="20"/>
          <w:szCs w:val="20"/>
        </w:rPr>
      </w:pPr>
      <w:r w:rsidRPr="007D233A">
        <w:rPr>
          <w:sz w:val="20"/>
          <w:szCs w:val="20"/>
        </w:rPr>
        <w:t>To ensure that the dependent and independent variables are in uniform numerical base to allow for easy interpretation of coefficient, the variables models were logged as follows:</w:t>
      </w:r>
    </w:p>
    <w:p w:rsidR="006674EA" w:rsidRPr="007D233A" w:rsidRDefault="006674EA" w:rsidP="007D233A">
      <w:pPr>
        <w:ind w:firstLine="720"/>
        <w:jc w:val="both"/>
        <w:rPr>
          <w:sz w:val="20"/>
          <w:szCs w:val="20"/>
        </w:rPr>
      </w:pPr>
      <m:oMathPara>
        <m:oMath>
          <m:r>
            <w:rPr>
              <w:rFonts w:ascii="Cambria Math" w:hAnsi="Cambria Math"/>
              <w:sz w:val="20"/>
              <w:szCs w:val="20"/>
            </w:rPr>
            <m:t>LogCPGD</m:t>
          </m:r>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rPr>
                <m:t>t</m:t>
              </m:r>
            </m:sub>
          </m:sSub>
          <m:r>
            <w:rPr>
              <w:rFonts w:ascii="Cambria Math"/>
              <w:sz w:val="20"/>
              <w:szCs w:val="20"/>
            </w:rPr>
            <m:t xml:space="preserve">= </m:t>
          </m:r>
          <m:sSub>
            <m:sSubPr>
              <m:ctrlPr>
                <w:rPr>
                  <w:rFonts w:ascii="Cambria Math" w:hAnsi="Cambria Math"/>
                  <w:i/>
                  <w:sz w:val="20"/>
                  <w:szCs w:val="20"/>
                </w:rPr>
              </m:ctrlPr>
            </m:sSubPr>
            <m:e>
              <m:r>
                <w:rPr>
                  <w:rFonts w:ascii="Cambria Math" w:hAnsi="Cambria Math"/>
                  <w:sz w:val="20"/>
                  <w:szCs w:val="20"/>
                </w:rPr>
                <m:t>a</m:t>
              </m:r>
            </m:e>
            <m:sub>
              <m:r>
                <w:rPr>
                  <w:rFonts w:ascii="Cambria Math"/>
                  <w:sz w:val="20"/>
                  <w:szCs w:val="20"/>
                </w:rPr>
                <m:t>0</m:t>
              </m:r>
            </m:sub>
          </m:sSub>
          <m:r>
            <w:rPr>
              <w:rFonts w:ascii="Cambria Math"/>
              <w:sz w:val="20"/>
              <w:szCs w:val="20"/>
            </w:rPr>
            <m:t>+</m:t>
          </m:r>
          <m:sSub>
            <m:sSubPr>
              <m:ctrlPr>
                <w:rPr>
                  <w:rFonts w:ascii="Cambria Math" w:hAnsi="Cambria Math"/>
                  <w:i/>
                  <w:sz w:val="20"/>
                  <w:szCs w:val="20"/>
                </w:rPr>
              </m:ctrlPr>
            </m:sSubPr>
            <m:e>
              <m:r>
                <w:rPr>
                  <w:rFonts w:ascii="Cambria Math" w:hAnsi="Cambria Math"/>
                  <w:sz w:val="20"/>
                  <w:szCs w:val="20"/>
                </w:rPr>
                <m:t>a</m:t>
              </m:r>
            </m:e>
            <m:sub>
              <m:r>
                <w:rPr>
                  <w:rFonts w:ascii="Cambria Math"/>
                  <w:sz w:val="20"/>
                  <w:szCs w:val="20"/>
                </w:rPr>
                <m:t>1</m:t>
              </m:r>
            </m:sub>
          </m:sSub>
          <m:r>
            <w:rPr>
              <w:rFonts w:ascii="Cambria Math" w:hAnsi="Cambria Math"/>
              <w:sz w:val="20"/>
              <w:szCs w:val="20"/>
            </w:rPr>
            <m:t>LogDMBL</m:t>
          </m:r>
          <m:sSub>
            <m:sSubPr>
              <m:ctrlPr>
                <w:rPr>
                  <w:rFonts w:ascii="Cambria Math" w:hAnsi="Cambria Math"/>
                  <w:i/>
                  <w:sz w:val="20"/>
                  <w:szCs w:val="20"/>
                </w:rPr>
              </m:ctrlPr>
            </m:sSubPr>
            <m:e>
              <m:r>
                <w:rPr>
                  <w:rFonts w:ascii="Cambria Math" w:hAnsi="Cambria Math"/>
                  <w:sz w:val="20"/>
                  <w:szCs w:val="20"/>
                </w:rPr>
                <m:t>A</m:t>
              </m:r>
            </m:e>
            <m:sub>
              <m:r>
                <w:rPr>
                  <w:rFonts w:ascii="Cambria Math" w:hAnsi="Cambria Math"/>
                  <w:sz w:val="20"/>
                  <w:szCs w:val="20"/>
                </w:rPr>
                <m:t>t</m:t>
              </m:r>
            </m:sub>
          </m:sSub>
          <m:r>
            <w:rPr>
              <w:rFonts w:ascii="Cambria Math"/>
              <w:sz w:val="20"/>
              <w:szCs w:val="20"/>
            </w:rPr>
            <m:t>+</m:t>
          </m:r>
          <m:sSub>
            <m:sSubPr>
              <m:ctrlPr>
                <w:rPr>
                  <w:rFonts w:ascii="Cambria Math" w:hAnsi="Cambria Math"/>
                  <w:i/>
                  <w:sz w:val="20"/>
                  <w:szCs w:val="20"/>
                </w:rPr>
              </m:ctrlPr>
            </m:sSubPr>
            <m:e>
              <m:r>
                <w:rPr>
                  <w:rFonts w:ascii="Cambria Math" w:hAnsi="Cambria Math"/>
                  <w:sz w:val="20"/>
                  <w:szCs w:val="20"/>
                </w:rPr>
                <m:t>a</m:t>
              </m:r>
            </m:e>
            <m:sub>
              <m:r>
                <w:rPr>
                  <w:rFonts w:ascii="Cambria Math"/>
                  <w:sz w:val="20"/>
                  <w:szCs w:val="20"/>
                </w:rPr>
                <m:t>2</m:t>
              </m:r>
            </m:sub>
          </m:sSub>
          <m:r>
            <w:rPr>
              <w:rFonts w:ascii="Cambria Math" w:hAnsi="Cambria Math"/>
              <w:sz w:val="20"/>
              <w:szCs w:val="20"/>
            </w:rPr>
            <m:t>LogIPDC</m:t>
          </m:r>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rPr>
                <m:t>t</m:t>
              </m:r>
            </m:sub>
          </m:sSub>
          <m:r>
            <w:rPr>
              <w:rFonts w:ascii="Cambria Math"/>
              <w:sz w:val="20"/>
              <w:szCs w:val="20"/>
            </w:rPr>
            <m:t>+</m:t>
          </m:r>
          <m:sSub>
            <m:sSubPr>
              <m:ctrlPr>
                <w:rPr>
                  <w:rFonts w:ascii="Cambria Math" w:hAnsi="Cambria Math"/>
                  <w:i/>
                  <w:sz w:val="20"/>
                  <w:szCs w:val="20"/>
                </w:rPr>
              </m:ctrlPr>
            </m:sSubPr>
            <m:e>
              <m:r>
                <w:rPr>
                  <w:rFonts w:ascii="Cambria Math" w:hAnsi="Cambria Math"/>
                  <w:sz w:val="20"/>
                  <w:szCs w:val="20"/>
                </w:rPr>
                <m:t>a</m:t>
              </m:r>
            </m:e>
            <m:sub>
              <m:r>
                <w:rPr>
                  <w:rFonts w:ascii="Cambria Math"/>
                  <w:sz w:val="20"/>
                  <w:szCs w:val="20"/>
                </w:rPr>
                <m:t>3</m:t>
              </m:r>
            </m:sub>
          </m:sSub>
          <m:r>
            <w:rPr>
              <w:rFonts w:ascii="Cambria Math" w:hAnsi="Cambria Math"/>
              <w:sz w:val="20"/>
              <w:szCs w:val="20"/>
            </w:rPr>
            <m:t>LogIN</m:t>
          </m:r>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t</m:t>
              </m:r>
            </m:sub>
          </m:sSub>
          <m:r>
            <w:rPr>
              <w:rFonts w:ascii="Cambria Math"/>
              <w:sz w:val="20"/>
              <w:szCs w:val="20"/>
            </w:rPr>
            <m:t xml:space="preserve"> +</m:t>
          </m:r>
          <m:sSub>
            <m:sSubPr>
              <m:ctrlPr>
                <w:rPr>
                  <w:rFonts w:ascii="Cambria Math" w:hAnsi="Cambria Math"/>
                  <w:i/>
                  <w:sz w:val="20"/>
                  <w:szCs w:val="20"/>
                </w:rPr>
              </m:ctrlPr>
            </m:sSubPr>
            <m:e>
              <m:r>
                <w:rPr>
                  <w:rFonts w:ascii="Cambria Math" w:hAnsi="Cambria Math"/>
                  <w:sz w:val="20"/>
                  <w:szCs w:val="20"/>
                </w:rPr>
                <m:t>u</m:t>
              </m:r>
            </m:e>
            <m:sub>
              <m:r>
                <w:rPr>
                  <w:rFonts w:ascii="Cambria Math" w:hAnsi="Cambria Math"/>
                  <w:sz w:val="20"/>
                  <w:szCs w:val="20"/>
                </w:rPr>
                <m:t>t</m:t>
              </m:r>
            </m:sub>
          </m:sSub>
          <m:r>
            <w:rPr>
              <w:rFonts w:ascii="Cambria Math"/>
              <w:sz w:val="20"/>
              <w:szCs w:val="20"/>
            </w:rPr>
            <m:t xml:space="preserve"> (5)</m:t>
          </m:r>
        </m:oMath>
      </m:oMathPara>
    </w:p>
    <w:p w:rsidR="006674EA" w:rsidRPr="007D233A" w:rsidRDefault="006674EA" w:rsidP="007D233A">
      <w:pPr>
        <w:ind w:firstLine="720"/>
        <w:jc w:val="both"/>
        <w:rPr>
          <w:sz w:val="20"/>
          <w:szCs w:val="20"/>
        </w:rPr>
      </w:pPr>
      <m:oMathPara>
        <m:oMath>
          <m:r>
            <w:rPr>
              <w:rFonts w:ascii="Cambria Math" w:hAnsi="Cambria Math"/>
              <w:sz w:val="20"/>
              <w:szCs w:val="20"/>
            </w:rPr>
            <m:t>LogLGD</m:t>
          </m:r>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rPr>
                <m:t>t</m:t>
              </m:r>
            </m:sub>
          </m:sSub>
          <m:r>
            <w:rPr>
              <w:rFonts w:ascii="Cambria Math"/>
              <w:sz w:val="20"/>
              <w:szCs w:val="20"/>
            </w:rPr>
            <m:t xml:space="preserve">= </m:t>
          </m:r>
          <m:sSub>
            <m:sSubPr>
              <m:ctrlPr>
                <w:rPr>
                  <w:rFonts w:ascii="Cambria Math" w:hAnsi="Cambria Math"/>
                  <w:i/>
                  <w:sz w:val="20"/>
                  <w:szCs w:val="20"/>
                </w:rPr>
              </m:ctrlPr>
            </m:sSubPr>
            <m:e>
              <m:r>
                <w:rPr>
                  <w:rFonts w:ascii="Cambria Math" w:hAnsi="Cambria Math"/>
                  <w:sz w:val="20"/>
                  <w:szCs w:val="20"/>
                </w:rPr>
                <m:t>a</m:t>
              </m:r>
            </m:e>
            <m:sub>
              <m:r>
                <w:rPr>
                  <w:rFonts w:ascii="Cambria Math"/>
                  <w:sz w:val="20"/>
                  <w:szCs w:val="20"/>
                </w:rPr>
                <m:t>0</m:t>
              </m:r>
            </m:sub>
          </m:sSub>
          <m:r>
            <w:rPr>
              <w:rFonts w:ascii="Cambria Math"/>
              <w:sz w:val="20"/>
              <w:szCs w:val="20"/>
            </w:rPr>
            <m:t>+</m:t>
          </m:r>
          <m:sSub>
            <m:sSubPr>
              <m:ctrlPr>
                <w:rPr>
                  <w:rFonts w:ascii="Cambria Math" w:hAnsi="Cambria Math"/>
                  <w:i/>
                  <w:sz w:val="20"/>
                  <w:szCs w:val="20"/>
                </w:rPr>
              </m:ctrlPr>
            </m:sSubPr>
            <m:e>
              <m:r>
                <w:rPr>
                  <w:rFonts w:ascii="Cambria Math" w:hAnsi="Cambria Math"/>
                  <w:sz w:val="20"/>
                  <w:szCs w:val="20"/>
                </w:rPr>
                <m:t>a</m:t>
              </m:r>
            </m:e>
            <m:sub>
              <m:r>
                <w:rPr>
                  <w:rFonts w:ascii="Cambria Math"/>
                  <w:sz w:val="20"/>
                  <w:szCs w:val="20"/>
                </w:rPr>
                <m:t>1</m:t>
              </m:r>
            </m:sub>
          </m:sSub>
          <m:r>
            <w:rPr>
              <w:rFonts w:ascii="Cambria Math" w:hAnsi="Cambria Math"/>
              <w:sz w:val="20"/>
              <w:szCs w:val="20"/>
            </w:rPr>
            <m:t>LogDMBL</m:t>
          </m:r>
          <m:sSub>
            <m:sSubPr>
              <m:ctrlPr>
                <w:rPr>
                  <w:rFonts w:ascii="Cambria Math" w:hAnsi="Cambria Math"/>
                  <w:i/>
                  <w:sz w:val="20"/>
                  <w:szCs w:val="20"/>
                </w:rPr>
              </m:ctrlPr>
            </m:sSubPr>
            <m:e>
              <m:r>
                <w:rPr>
                  <w:rFonts w:ascii="Cambria Math" w:hAnsi="Cambria Math"/>
                  <w:sz w:val="20"/>
                  <w:szCs w:val="20"/>
                </w:rPr>
                <m:t>A</m:t>
              </m:r>
            </m:e>
            <m:sub>
              <m:r>
                <w:rPr>
                  <w:rFonts w:ascii="Cambria Math" w:hAnsi="Cambria Math"/>
                  <w:sz w:val="20"/>
                  <w:szCs w:val="20"/>
                </w:rPr>
                <m:t>t</m:t>
              </m:r>
            </m:sub>
          </m:sSub>
          <m:r>
            <w:rPr>
              <w:rFonts w:ascii="Cambria Math"/>
              <w:sz w:val="20"/>
              <w:szCs w:val="20"/>
            </w:rPr>
            <m:t>+</m:t>
          </m:r>
          <m:sSub>
            <m:sSubPr>
              <m:ctrlPr>
                <w:rPr>
                  <w:rFonts w:ascii="Cambria Math" w:hAnsi="Cambria Math"/>
                  <w:i/>
                  <w:sz w:val="20"/>
                  <w:szCs w:val="20"/>
                </w:rPr>
              </m:ctrlPr>
            </m:sSubPr>
            <m:e>
              <m:r>
                <w:rPr>
                  <w:rFonts w:ascii="Cambria Math" w:hAnsi="Cambria Math"/>
                  <w:sz w:val="20"/>
                  <w:szCs w:val="20"/>
                </w:rPr>
                <m:t>a</m:t>
              </m:r>
            </m:e>
            <m:sub>
              <m:r>
                <w:rPr>
                  <w:rFonts w:ascii="Cambria Math"/>
                  <w:sz w:val="20"/>
                  <w:szCs w:val="20"/>
                </w:rPr>
                <m:t>2</m:t>
              </m:r>
            </m:sub>
          </m:sSub>
          <m:r>
            <w:rPr>
              <w:rFonts w:ascii="Cambria Math" w:hAnsi="Cambria Math"/>
              <w:sz w:val="20"/>
              <w:szCs w:val="20"/>
            </w:rPr>
            <m:t>LogIPD</m:t>
          </m:r>
          <m:sSub>
            <m:sSubPr>
              <m:ctrlPr>
                <w:rPr>
                  <w:rFonts w:ascii="Cambria Math" w:hAnsi="Cambria Math"/>
                  <w:i/>
                  <w:sz w:val="20"/>
                  <w:szCs w:val="20"/>
                </w:rPr>
              </m:ctrlPr>
            </m:sSubPr>
            <m:e>
              <m:r>
                <w:rPr>
                  <w:rFonts w:ascii="Cambria Math" w:hAnsi="Cambria Math"/>
                  <w:sz w:val="20"/>
                  <w:szCs w:val="20"/>
                </w:rPr>
                <m:t>L</m:t>
              </m:r>
            </m:e>
            <m:sub>
              <m:r>
                <w:rPr>
                  <w:rFonts w:ascii="Cambria Math" w:hAnsi="Cambria Math"/>
                  <w:sz w:val="20"/>
                  <w:szCs w:val="20"/>
                </w:rPr>
                <m:t>t</m:t>
              </m:r>
            </m:sub>
          </m:sSub>
          <m:r>
            <w:rPr>
              <w:rFonts w:ascii="Cambria Math"/>
              <w:sz w:val="20"/>
              <w:szCs w:val="20"/>
            </w:rPr>
            <m:t>+</m:t>
          </m:r>
          <m:sSub>
            <m:sSubPr>
              <m:ctrlPr>
                <w:rPr>
                  <w:rFonts w:ascii="Cambria Math" w:hAnsi="Cambria Math"/>
                  <w:i/>
                  <w:sz w:val="20"/>
                  <w:szCs w:val="20"/>
                </w:rPr>
              </m:ctrlPr>
            </m:sSubPr>
            <m:e>
              <m:r>
                <w:rPr>
                  <w:rFonts w:ascii="Cambria Math" w:hAnsi="Cambria Math"/>
                  <w:sz w:val="20"/>
                  <w:szCs w:val="20"/>
                </w:rPr>
                <m:t>a</m:t>
              </m:r>
            </m:e>
            <m:sub>
              <m:r>
                <w:rPr>
                  <w:rFonts w:ascii="Cambria Math"/>
                  <w:sz w:val="20"/>
                  <w:szCs w:val="20"/>
                </w:rPr>
                <m:t>3</m:t>
              </m:r>
            </m:sub>
          </m:sSub>
          <m:r>
            <w:rPr>
              <w:rFonts w:ascii="Cambria Math" w:hAnsi="Cambria Math"/>
              <w:sz w:val="20"/>
              <w:szCs w:val="20"/>
            </w:rPr>
            <m:t>LogIN</m:t>
          </m:r>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t</m:t>
              </m:r>
            </m:sub>
          </m:sSub>
          <m:r>
            <w:rPr>
              <w:rFonts w:ascii="Cambria Math"/>
              <w:sz w:val="20"/>
              <w:szCs w:val="20"/>
            </w:rPr>
            <m:t xml:space="preserve"> +</m:t>
          </m:r>
          <m:sSub>
            <m:sSubPr>
              <m:ctrlPr>
                <w:rPr>
                  <w:rFonts w:ascii="Cambria Math" w:hAnsi="Cambria Math"/>
                  <w:i/>
                  <w:sz w:val="20"/>
                  <w:szCs w:val="20"/>
                </w:rPr>
              </m:ctrlPr>
            </m:sSubPr>
            <m:e>
              <m:r>
                <w:rPr>
                  <w:rFonts w:ascii="Cambria Math" w:hAnsi="Cambria Math"/>
                  <w:sz w:val="20"/>
                  <w:szCs w:val="20"/>
                </w:rPr>
                <m:t>u</m:t>
              </m:r>
            </m:e>
            <m:sub>
              <m:r>
                <w:rPr>
                  <w:rFonts w:ascii="Cambria Math" w:hAnsi="Cambria Math"/>
                  <w:sz w:val="20"/>
                  <w:szCs w:val="20"/>
                </w:rPr>
                <m:t>t</m:t>
              </m:r>
            </m:sub>
          </m:sSub>
          <m:r>
            <w:rPr>
              <w:rFonts w:ascii="Cambria Math"/>
              <w:sz w:val="20"/>
              <w:szCs w:val="20"/>
            </w:rPr>
            <m:t xml:space="preserve">          (6)</m:t>
          </m:r>
        </m:oMath>
      </m:oMathPara>
    </w:p>
    <w:p w:rsidR="006674EA" w:rsidRPr="007D233A" w:rsidRDefault="006674EA" w:rsidP="007D233A">
      <w:pPr>
        <w:ind w:firstLine="720"/>
        <w:jc w:val="both"/>
        <w:rPr>
          <w:sz w:val="20"/>
          <w:szCs w:val="20"/>
        </w:rPr>
      </w:pPr>
      <m:oMathPara>
        <m:oMath>
          <m:r>
            <w:rPr>
              <w:rFonts w:ascii="Cambria Math" w:hAnsi="Cambria Math"/>
              <w:sz w:val="20"/>
              <w:szCs w:val="20"/>
            </w:rPr>
            <m:t>LogFGD</m:t>
          </m:r>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rPr>
                <m:t>t</m:t>
              </m:r>
            </m:sub>
          </m:sSub>
          <m:r>
            <w:rPr>
              <w:rFonts w:ascii="Cambria Math"/>
              <w:sz w:val="20"/>
              <w:szCs w:val="20"/>
            </w:rPr>
            <m:t xml:space="preserve">= </m:t>
          </m:r>
          <m:sSub>
            <m:sSubPr>
              <m:ctrlPr>
                <w:rPr>
                  <w:rFonts w:ascii="Cambria Math" w:hAnsi="Cambria Math"/>
                  <w:i/>
                  <w:sz w:val="20"/>
                  <w:szCs w:val="20"/>
                </w:rPr>
              </m:ctrlPr>
            </m:sSubPr>
            <m:e>
              <m:r>
                <w:rPr>
                  <w:rFonts w:ascii="Cambria Math" w:hAnsi="Cambria Math"/>
                  <w:sz w:val="20"/>
                  <w:szCs w:val="20"/>
                </w:rPr>
                <m:t>a</m:t>
              </m:r>
            </m:e>
            <m:sub>
              <m:r>
                <w:rPr>
                  <w:rFonts w:ascii="Cambria Math"/>
                  <w:sz w:val="20"/>
                  <w:szCs w:val="20"/>
                </w:rPr>
                <m:t>0</m:t>
              </m:r>
            </m:sub>
          </m:sSub>
          <m:r>
            <w:rPr>
              <w:rFonts w:ascii="Cambria Math"/>
              <w:sz w:val="20"/>
              <w:szCs w:val="20"/>
            </w:rPr>
            <m:t>+</m:t>
          </m:r>
          <m:sSub>
            <m:sSubPr>
              <m:ctrlPr>
                <w:rPr>
                  <w:rFonts w:ascii="Cambria Math" w:hAnsi="Cambria Math"/>
                  <w:i/>
                  <w:sz w:val="20"/>
                  <w:szCs w:val="20"/>
                </w:rPr>
              </m:ctrlPr>
            </m:sSubPr>
            <m:e>
              <m:r>
                <w:rPr>
                  <w:rFonts w:ascii="Cambria Math" w:hAnsi="Cambria Math"/>
                  <w:sz w:val="20"/>
                  <w:szCs w:val="20"/>
                </w:rPr>
                <m:t>a</m:t>
              </m:r>
            </m:e>
            <m:sub>
              <m:r>
                <w:rPr>
                  <w:rFonts w:ascii="Cambria Math"/>
                  <w:sz w:val="20"/>
                  <w:szCs w:val="20"/>
                </w:rPr>
                <m:t>1</m:t>
              </m:r>
            </m:sub>
          </m:sSub>
          <m:r>
            <w:rPr>
              <w:rFonts w:ascii="Cambria Math" w:hAnsi="Cambria Math"/>
              <w:sz w:val="20"/>
              <w:szCs w:val="20"/>
            </w:rPr>
            <m:t>LogDMBL</m:t>
          </m:r>
          <m:sSub>
            <m:sSubPr>
              <m:ctrlPr>
                <w:rPr>
                  <w:rFonts w:ascii="Cambria Math" w:hAnsi="Cambria Math"/>
                  <w:i/>
                  <w:sz w:val="20"/>
                  <w:szCs w:val="20"/>
                </w:rPr>
              </m:ctrlPr>
            </m:sSubPr>
            <m:e>
              <m:r>
                <w:rPr>
                  <w:rFonts w:ascii="Cambria Math" w:hAnsi="Cambria Math"/>
                  <w:sz w:val="20"/>
                  <w:szCs w:val="20"/>
                </w:rPr>
                <m:t>A</m:t>
              </m:r>
            </m:e>
            <m:sub>
              <m:r>
                <w:rPr>
                  <w:rFonts w:ascii="Cambria Math" w:hAnsi="Cambria Math"/>
                  <w:sz w:val="20"/>
                  <w:szCs w:val="20"/>
                </w:rPr>
                <m:t>t</m:t>
              </m:r>
            </m:sub>
          </m:sSub>
          <m:r>
            <w:rPr>
              <w:rFonts w:ascii="Cambria Math"/>
              <w:sz w:val="20"/>
              <w:szCs w:val="20"/>
            </w:rPr>
            <m:t>+</m:t>
          </m:r>
          <m:sSub>
            <m:sSubPr>
              <m:ctrlPr>
                <w:rPr>
                  <w:rFonts w:ascii="Cambria Math" w:hAnsi="Cambria Math"/>
                  <w:i/>
                  <w:sz w:val="20"/>
                  <w:szCs w:val="20"/>
                </w:rPr>
              </m:ctrlPr>
            </m:sSubPr>
            <m:e>
              <m:r>
                <w:rPr>
                  <w:rFonts w:ascii="Cambria Math" w:hAnsi="Cambria Math"/>
                  <w:sz w:val="20"/>
                  <w:szCs w:val="20"/>
                </w:rPr>
                <m:t>a</m:t>
              </m:r>
            </m:e>
            <m:sub>
              <m:r>
                <w:rPr>
                  <w:rFonts w:ascii="Cambria Math"/>
                  <w:sz w:val="20"/>
                  <w:szCs w:val="20"/>
                </w:rPr>
                <m:t>2</m:t>
              </m:r>
            </m:sub>
          </m:sSub>
          <m:r>
            <w:rPr>
              <w:rFonts w:ascii="Cambria Math" w:hAnsi="Cambria Math"/>
              <w:sz w:val="20"/>
              <w:szCs w:val="20"/>
            </w:rPr>
            <m:t>LogIPD</m:t>
          </m:r>
          <m:sSub>
            <m:sSubPr>
              <m:ctrlPr>
                <w:rPr>
                  <w:rFonts w:ascii="Cambria Math" w:hAnsi="Cambria Math"/>
                  <w:i/>
                  <w:sz w:val="20"/>
                  <w:szCs w:val="20"/>
                </w:rPr>
              </m:ctrlPr>
            </m:sSubPr>
            <m:e>
              <m:r>
                <w:rPr>
                  <w:rFonts w:ascii="Cambria Math" w:hAnsi="Cambria Math"/>
                  <w:sz w:val="20"/>
                  <w:szCs w:val="20"/>
                </w:rPr>
                <m:t>F</m:t>
              </m:r>
            </m:e>
            <m:sub>
              <m:r>
                <w:rPr>
                  <w:rFonts w:ascii="Cambria Math" w:hAnsi="Cambria Math"/>
                  <w:sz w:val="20"/>
                  <w:szCs w:val="20"/>
                </w:rPr>
                <m:t>t</m:t>
              </m:r>
            </m:sub>
          </m:sSub>
          <m:r>
            <w:rPr>
              <w:rFonts w:ascii="Cambria Math"/>
              <w:sz w:val="20"/>
              <w:szCs w:val="20"/>
            </w:rPr>
            <m:t>+</m:t>
          </m:r>
          <m:sSub>
            <m:sSubPr>
              <m:ctrlPr>
                <w:rPr>
                  <w:rFonts w:ascii="Cambria Math" w:hAnsi="Cambria Math"/>
                  <w:i/>
                  <w:sz w:val="20"/>
                  <w:szCs w:val="20"/>
                </w:rPr>
              </m:ctrlPr>
            </m:sSubPr>
            <m:e>
              <m:r>
                <w:rPr>
                  <w:rFonts w:ascii="Cambria Math" w:hAnsi="Cambria Math"/>
                  <w:sz w:val="20"/>
                  <w:szCs w:val="20"/>
                </w:rPr>
                <m:t>a</m:t>
              </m:r>
            </m:e>
            <m:sub>
              <m:r>
                <w:rPr>
                  <w:rFonts w:ascii="Cambria Math"/>
                  <w:sz w:val="20"/>
                  <w:szCs w:val="20"/>
                </w:rPr>
                <m:t>3</m:t>
              </m:r>
            </m:sub>
          </m:sSub>
          <m:r>
            <w:rPr>
              <w:rFonts w:ascii="Cambria Math" w:hAnsi="Cambria Math"/>
              <w:sz w:val="20"/>
              <w:szCs w:val="20"/>
            </w:rPr>
            <m:t>LogIN</m:t>
          </m:r>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t</m:t>
              </m:r>
            </m:sub>
          </m:sSub>
          <m:r>
            <w:rPr>
              <w:rFonts w:ascii="Cambria Math"/>
              <w:sz w:val="20"/>
              <w:szCs w:val="20"/>
            </w:rPr>
            <m:t xml:space="preserve"> +</m:t>
          </m:r>
          <m:sSub>
            <m:sSubPr>
              <m:ctrlPr>
                <w:rPr>
                  <w:rFonts w:ascii="Cambria Math" w:hAnsi="Cambria Math"/>
                  <w:i/>
                  <w:sz w:val="20"/>
                  <w:szCs w:val="20"/>
                </w:rPr>
              </m:ctrlPr>
            </m:sSubPr>
            <m:e>
              <m:r>
                <w:rPr>
                  <w:rFonts w:ascii="Cambria Math" w:hAnsi="Cambria Math"/>
                  <w:sz w:val="20"/>
                  <w:szCs w:val="20"/>
                </w:rPr>
                <m:t>u</m:t>
              </m:r>
            </m:e>
            <m:sub>
              <m:r>
                <w:rPr>
                  <w:rFonts w:ascii="Cambria Math" w:hAnsi="Cambria Math"/>
                  <w:sz w:val="20"/>
                  <w:szCs w:val="20"/>
                </w:rPr>
                <m:t>t</m:t>
              </m:r>
            </m:sub>
          </m:sSub>
          <m:r>
            <w:rPr>
              <w:rFonts w:ascii="Cambria Math"/>
              <w:sz w:val="20"/>
              <w:szCs w:val="20"/>
            </w:rPr>
            <m:t xml:space="preserve">                       (7)</m:t>
          </m:r>
        </m:oMath>
      </m:oMathPara>
    </w:p>
    <w:p w:rsidR="00853AB0" w:rsidRPr="007D233A" w:rsidRDefault="00853AB0" w:rsidP="007D233A">
      <w:pPr>
        <w:jc w:val="both"/>
        <w:rPr>
          <w:sz w:val="20"/>
          <w:szCs w:val="20"/>
        </w:rPr>
      </w:pPr>
      <w:r w:rsidRPr="007D233A">
        <w:rPr>
          <w:sz w:val="20"/>
          <w:szCs w:val="20"/>
        </w:rPr>
        <w:t xml:space="preserve">Where: </w:t>
      </w:r>
    </w:p>
    <w:p w:rsidR="00853AB0" w:rsidRPr="007D233A" w:rsidRDefault="006674EA" w:rsidP="007D233A">
      <w:pPr>
        <w:jc w:val="both"/>
        <w:rPr>
          <w:sz w:val="20"/>
          <w:szCs w:val="20"/>
        </w:rPr>
      </w:pPr>
      <m:oMath>
        <m:r>
          <w:rPr>
            <w:rFonts w:ascii="Cambria Math" w:hAnsi="Cambria Math"/>
            <w:sz w:val="20"/>
            <w:szCs w:val="20"/>
          </w:rPr>
          <m:t>CPGDP</m:t>
        </m:r>
      </m:oMath>
      <w:r w:rsidR="00853AB0" w:rsidRPr="007D233A">
        <w:rPr>
          <w:sz w:val="20"/>
          <w:szCs w:val="20"/>
        </w:rPr>
        <w:t>=Crop</w:t>
      </w:r>
      <w:r w:rsidRPr="007D233A">
        <w:rPr>
          <w:sz w:val="20"/>
          <w:szCs w:val="20"/>
        </w:rPr>
        <w:t xml:space="preserve"> production gross domestic product;</w:t>
      </w:r>
    </w:p>
    <w:p w:rsidR="00853AB0" w:rsidRPr="007D233A" w:rsidRDefault="006674EA" w:rsidP="007D233A">
      <w:pPr>
        <w:jc w:val="both"/>
        <w:rPr>
          <w:sz w:val="20"/>
          <w:szCs w:val="20"/>
        </w:rPr>
      </w:pPr>
      <m:oMath>
        <m:r>
          <w:rPr>
            <w:rFonts w:ascii="Cambria Math" w:hAnsi="Cambria Math"/>
            <w:sz w:val="20"/>
            <w:szCs w:val="20"/>
          </w:rPr>
          <m:t>LGDP</m:t>
        </m:r>
      </m:oMath>
      <w:r w:rsidR="00853AB0" w:rsidRPr="007D233A">
        <w:rPr>
          <w:sz w:val="20"/>
          <w:szCs w:val="20"/>
        </w:rPr>
        <w:t>=Livestock</w:t>
      </w:r>
      <w:r w:rsidRPr="007D233A">
        <w:rPr>
          <w:sz w:val="20"/>
          <w:szCs w:val="20"/>
        </w:rPr>
        <w:t xml:space="preserve"> gross domestic product;</w:t>
      </w:r>
    </w:p>
    <w:p w:rsidR="00853AB0" w:rsidRPr="007D233A" w:rsidRDefault="006674EA" w:rsidP="007D233A">
      <w:pPr>
        <w:jc w:val="both"/>
        <w:rPr>
          <w:sz w:val="20"/>
          <w:szCs w:val="20"/>
        </w:rPr>
      </w:pPr>
      <m:oMath>
        <m:r>
          <w:rPr>
            <w:rFonts w:ascii="Cambria Math" w:hAnsi="Cambria Math"/>
            <w:sz w:val="20"/>
            <w:szCs w:val="20"/>
          </w:rPr>
          <m:t>FGDP</m:t>
        </m:r>
      </m:oMath>
      <w:r w:rsidR="00853AB0" w:rsidRPr="007D233A">
        <w:rPr>
          <w:sz w:val="20"/>
          <w:szCs w:val="20"/>
        </w:rPr>
        <w:t>=Forestry</w:t>
      </w:r>
      <w:r w:rsidRPr="007D233A">
        <w:rPr>
          <w:sz w:val="20"/>
          <w:szCs w:val="20"/>
        </w:rPr>
        <w:t xml:space="preserve"> gross domestic product;</w:t>
      </w:r>
    </w:p>
    <w:p w:rsidR="00853AB0" w:rsidRPr="007D233A" w:rsidRDefault="00853AB0" w:rsidP="007D233A">
      <w:pPr>
        <w:jc w:val="both"/>
        <w:rPr>
          <w:sz w:val="20"/>
          <w:szCs w:val="20"/>
        </w:rPr>
      </w:pPr>
      <m:oMath>
        <m:r>
          <w:rPr>
            <w:rFonts w:ascii="Cambria Math" w:hAnsi="Cambria Math"/>
            <w:sz w:val="20"/>
            <w:szCs w:val="20"/>
          </w:rPr>
          <m:t>DMBLA</m:t>
        </m:r>
      </m:oMath>
      <w:r w:rsidRPr="007D233A">
        <w:rPr>
          <w:sz w:val="20"/>
          <w:szCs w:val="20"/>
        </w:rPr>
        <w:t>= Deposit money</w:t>
      </w:r>
      <w:r w:rsidR="00A56D91" w:rsidRPr="007D233A">
        <w:rPr>
          <w:sz w:val="20"/>
          <w:szCs w:val="20"/>
        </w:rPr>
        <w:t xml:space="preserve"> banks loans and advances</w:t>
      </w:r>
      <w:r w:rsidR="006674EA" w:rsidRPr="007D233A">
        <w:rPr>
          <w:sz w:val="20"/>
          <w:szCs w:val="20"/>
        </w:rPr>
        <w:t xml:space="preserve"> to agriculture;</w:t>
      </w:r>
    </w:p>
    <w:p w:rsidR="00853AB0" w:rsidRPr="007D233A" w:rsidRDefault="006674EA" w:rsidP="007D233A">
      <w:pPr>
        <w:jc w:val="both"/>
        <w:rPr>
          <w:sz w:val="20"/>
          <w:szCs w:val="20"/>
        </w:rPr>
      </w:pPr>
      <m:oMath>
        <m:r>
          <w:rPr>
            <w:rFonts w:ascii="Cambria Math" w:hAnsi="Cambria Math"/>
            <w:sz w:val="20"/>
            <w:szCs w:val="20"/>
          </w:rPr>
          <m:t>INT</m:t>
        </m:r>
      </m:oMath>
      <w:r w:rsidR="00853AB0" w:rsidRPr="007D233A">
        <w:rPr>
          <w:sz w:val="20"/>
          <w:szCs w:val="20"/>
        </w:rPr>
        <w:t>=</w:t>
      </w:r>
      <w:r w:rsidRPr="007D233A">
        <w:rPr>
          <w:sz w:val="20"/>
          <w:szCs w:val="20"/>
        </w:rPr>
        <w:t>interest rate;</w:t>
      </w:r>
    </w:p>
    <w:p w:rsidR="00853AB0" w:rsidRPr="007D233A" w:rsidRDefault="006674EA" w:rsidP="007D233A">
      <w:pPr>
        <w:jc w:val="both"/>
        <w:rPr>
          <w:sz w:val="20"/>
          <w:szCs w:val="20"/>
        </w:rPr>
      </w:pPr>
      <m:oMath>
        <m:r>
          <w:rPr>
            <w:rFonts w:ascii="Cambria Math" w:hAnsi="Cambria Math"/>
            <w:sz w:val="20"/>
            <w:szCs w:val="20"/>
          </w:rPr>
          <m:t>IPDCP</m:t>
        </m:r>
      </m:oMath>
      <w:r w:rsidR="00853AB0" w:rsidRPr="007D233A">
        <w:rPr>
          <w:sz w:val="20"/>
          <w:szCs w:val="20"/>
        </w:rPr>
        <w:t>=</w:t>
      </w:r>
      <w:r w:rsidRPr="007D233A">
        <w:rPr>
          <w:sz w:val="20"/>
          <w:szCs w:val="20"/>
        </w:rPr>
        <w:t>implicit price deflator for crop production gross domestic product;</w:t>
      </w:r>
    </w:p>
    <w:p w:rsidR="00853AB0" w:rsidRPr="007D233A" w:rsidRDefault="006674EA" w:rsidP="007D233A">
      <w:pPr>
        <w:jc w:val="both"/>
        <w:rPr>
          <w:sz w:val="20"/>
          <w:szCs w:val="20"/>
        </w:rPr>
      </w:pPr>
      <m:oMath>
        <m:r>
          <w:rPr>
            <w:rFonts w:ascii="Cambria Math" w:hAnsi="Cambria Math"/>
            <w:sz w:val="20"/>
            <w:szCs w:val="20"/>
          </w:rPr>
          <m:t>IPDL</m:t>
        </m:r>
      </m:oMath>
      <w:r w:rsidR="00853AB0" w:rsidRPr="007D233A">
        <w:rPr>
          <w:sz w:val="20"/>
          <w:szCs w:val="20"/>
        </w:rPr>
        <w:t>=</w:t>
      </w:r>
      <w:r w:rsidRPr="007D233A">
        <w:rPr>
          <w:sz w:val="20"/>
          <w:szCs w:val="20"/>
        </w:rPr>
        <w:t>implicit price deflator for livestock gross domestic prod</w:t>
      </w:r>
      <w:r w:rsidR="00853AB0" w:rsidRPr="007D233A">
        <w:rPr>
          <w:sz w:val="20"/>
          <w:szCs w:val="20"/>
        </w:rPr>
        <w:t>uct;</w:t>
      </w:r>
    </w:p>
    <w:p w:rsidR="00853AB0" w:rsidRPr="007D233A" w:rsidRDefault="006674EA" w:rsidP="007D233A">
      <w:pPr>
        <w:jc w:val="both"/>
        <w:rPr>
          <w:sz w:val="20"/>
          <w:szCs w:val="20"/>
        </w:rPr>
      </w:pPr>
      <m:oMath>
        <m:r>
          <w:rPr>
            <w:rFonts w:ascii="Cambria Math" w:hAnsi="Cambria Math"/>
            <w:sz w:val="20"/>
            <w:szCs w:val="20"/>
          </w:rPr>
          <m:t>IPDF</m:t>
        </m:r>
      </m:oMath>
      <w:r w:rsidR="00853AB0" w:rsidRPr="007D233A">
        <w:rPr>
          <w:sz w:val="20"/>
          <w:szCs w:val="20"/>
        </w:rPr>
        <w:t>=</w:t>
      </w:r>
      <w:r w:rsidRPr="007D233A">
        <w:rPr>
          <w:sz w:val="20"/>
          <w:szCs w:val="20"/>
        </w:rPr>
        <w:t xml:space="preserve">implicit price deflator for </w:t>
      </w:r>
      <w:r w:rsidR="00853AB0" w:rsidRPr="007D233A">
        <w:rPr>
          <w:sz w:val="20"/>
          <w:szCs w:val="20"/>
        </w:rPr>
        <w:t>forestry gross domestic product;</w:t>
      </w:r>
    </w:p>
    <w:p w:rsidR="00853AB0" w:rsidRPr="007D233A" w:rsidRDefault="00520E15" w:rsidP="007D233A">
      <w:pPr>
        <w:jc w:val="both"/>
        <w:rPr>
          <w:sz w:val="20"/>
          <w:szCs w:val="20"/>
        </w:rPr>
      </w:pPr>
      <m:oMath>
        <m:sSub>
          <m:sSubPr>
            <m:ctrlPr>
              <w:rPr>
                <w:rFonts w:ascii="Cambria Math" w:hAnsi="Cambria Math"/>
                <w:i/>
                <w:sz w:val="20"/>
                <w:szCs w:val="20"/>
              </w:rPr>
            </m:ctrlPr>
          </m:sSubPr>
          <m:e>
            <m:r>
              <w:rPr>
                <w:rFonts w:ascii="Cambria Math" w:hAnsi="Cambria Math"/>
                <w:sz w:val="20"/>
                <w:szCs w:val="20"/>
              </w:rPr>
              <m:t>a</m:t>
            </m:r>
          </m:e>
          <m:sub>
            <m:r>
              <w:rPr>
                <w:rFonts w:ascii="Cambria Math"/>
                <w:sz w:val="20"/>
                <w:szCs w:val="20"/>
              </w:rPr>
              <m:t>0</m:t>
            </m:r>
          </m:sub>
        </m:sSub>
      </m:oMath>
      <w:r w:rsidR="00853AB0" w:rsidRPr="007D233A">
        <w:rPr>
          <w:sz w:val="20"/>
          <w:szCs w:val="20"/>
        </w:rPr>
        <w:t>=</w:t>
      </w:r>
      <w:r w:rsidR="006674EA" w:rsidRPr="007D233A">
        <w:rPr>
          <w:sz w:val="20"/>
          <w:szCs w:val="20"/>
        </w:rPr>
        <w:t xml:space="preserve"> constant coefficient</w:t>
      </w:r>
      <w:r w:rsidR="00853AB0" w:rsidRPr="007D233A">
        <w:rPr>
          <w:sz w:val="20"/>
          <w:szCs w:val="20"/>
        </w:rPr>
        <w:t>;</w:t>
      </w:r>
    </w:p>
    <w:p w:rsidR="00853AB0" w:rsidRPr="007D233A" w:rsidRDefault="006674EA" w:rsidP="007D233A">
      <w:pPr>
        <w:jc w:val="both"/>
        <w:rPr>
          <w:sz w:val="20"/>
          <w:szCs w:val="20"/>
        </w:rPr>
      </w:pPr>
      <m:oMath>
        <m:r>
          <w:rPr>
            <w:rFonts w:ascii="Cambria Math" w:hAnsi="Cambria Math"/>
            <w:sz w:val="20"/>
            <w:szCs w:val="20"/>
          </w:rPr>
          <m:t>u</m:t>
        </m:r>
      </m:oMath>
      <w:r w:rsidR="00853AB0" w:rsidRPr="007D233A">
        <w:rPr>
          <w:sz w:val="20"/>
          <w:szCs w:val="20"/>
        </w:rPr>
        <w:t>=</w:t>
      </w:r>
      <w:r w:rsidRPr="007D233A">
        <w:rPr>
          <w:sz w:val="20"/>
          <w:szCs w:val="20"/>
        </w:rPr>
        <w:t xml:space="preserve"> a random error</w:t>
      </w:r>
      <w:r w:rsidR="00853AB0" w:rsidRPr="007D233A">
        <w:rPr>
          <w:sz w:val="20"/>
          <w:szCs w:val="20"/>
        </w:rPr>
        <w:t xml:space="preserve"> term;</w:t>
      </w:r>
    </w:p>
    <w:p w:rsidR="006674EA" w:rsidRPr="007D233A" w:rsidRDefault="006674EA" w:rsidP="007D233A">
      <w:pPr>
        <w:jc w:val="both"/>
        <w:rPr>
          <w:sz w:val="20"/>
          <w:szCs w:val="20"/>
        </w:rPr>
      </w:pPr>
      <m:oMath>
        <m:r>
          <w:rPr>
            <w:rFonts w:ascii="Cambria Math" w:hAnsi="Cambria Math"/>
            <w:sz w:val="20"/>
            <w:szCs w:val="20"/>
          </w:rPr>
          <m:t>t</m:t>
        </m:r>
      </m:oMath>
      <w:r w:rsidR="00520E15" w:rsidRPr="007D233A">
        <w:rPr>
          <w:sz w:val="20"/>
          <w:szCs w:val="20"/>
        </w:rPr>
        <w:fldChar w:fldCharType="begin"/>
      </w:r>
      <w:r w:rsidRPr="007D233A">
        <w:rPr>
          <w:sz w:val="20"/>
          <w:szCs w:val="20"/>
        </w:rPr>
        <w:instrText xml:space="preserve"> QUOTE </w:instrText>
      </w:r>
      <w:r w:rsidRPr="007D233A">
        <w:rPr>
          <w:noProof/>
          <w:position w:val="-9"/>
          <w:sz w:val="20"/>
          <w:szCs w:val="20"/>
          <w:lang w:val="en-IN" w:eastAsia="en-IN"/>
        </w:rPr>
        <w:drawing>
          <wp:inline distT="0" distB="0" distL="0" distR="0">
            <wp:extent cx="76200" cy="228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0" cy="228600"/>
                    </a:xfrm>
                    <a:prstGeom prst="rect">
                      <a:avLst/>
                    </a:prstGeom>
                    <a:noFill/>
                    <a:ln>
                      <a:noFill/>
                    </a:ln>
                  </pic:spPr>
                </pic:pic>
              </a:graphicData>
            </a:graphic>
          </wp:inline>
        </w:drawing>
      </w:r>
      <w:r w:rsidR="00520E15" w:rsidRPr="007D233A">
        <w:rPr>
          <w:sz w:val="20"/>
          <w:szCs w:val="20"/>
        </w:rPr>
        <w:fldChar w:fldCharType="end"/>
      </w:r>
      <w:r w:rsidR="00853AB0" w:rsidRPr="007D233A">
        <w:rPr>
          <w:sz w:val="20"/>
          <w:szCs w:val="20"/>
        </w:rPr>
        <w:t>= the time trend</w:t>
      </w:r>
    </w:p>
    <w:p w:rsidR="00767F1E" w:rsidRPr="007D233A" w:rsidRDefault="00767F1E" w:rsidP="007D233A">
      <w:pPr>
        <w:jc w:val="both"/>
        <w:rPr>
          <w:sz w:val="20"/>
          <w:szCs w:val="20"/>
        </w:rPr>
      </w:pPr>
    </w:p>
    <w:p w:rsidR="00853AB0" w:rsidRPr="007D233A" w:rsidRDefault="00853AB0" w:rsidP="007D233A">
      <w:pPr>
        <w:pStyle w:val="ListParagraph"/>
        <w:ind w:left="0"/>
        <w:jc w:val="both"/>
        <w:rPr>
          <w:b/>
          <w:sz w:val="20"/>
          <w:szCs w:val="20"/>
        </w:rPr>
      </w:pPr>
      <w:r w:rsidRPr="007D233A">
        <w:rPr>
          <w:b/>
          <w:sz w:val="20"/>
          <w:szCs w:val="20"/>
        </w:rPr>
        <w:t>RESULT OF ANALYSIS AND FINDINGS</w:t>
      </w:r>
    </w:p>
    <w:p w:rsidR="00767F1E" w:rsidRPr="007D233A" w:rsidRDefault="00727A60" w:rsidP="00BC7B34">
      <w:pPr>
        <w:ind w:firstLine="357"/>
        <w:jc w:val="both"/>
        <w:rPr>
          <w:sz w:val="20"/>
          <w:szCs w:val="20"/>
        </w:rPr>
      </w:pPr>
      <w:r w:rsidRPr="007D233A">
        <w:rPr>
          <w:sz w:val="20"/>
          <w:szCs w:val="20"/>
        </w:rPr>
        <w:t>Augmented Dickey-Fuller (ADF) and Phillips Perron (PP) test for stationarity in Tables 1 and 2 show that all the variables are stationary and have no stationarity defect that affects most time series data. Stationarity would not be achieve for all the variables at level form but was later confirmed at first difference.</w:t>
      </w:r>
    </w:p>
    <w:p w:rsidR="00767F1E" w:rsidRPr="007D233A" w:rsidRDefault="00767F1E" w:rsidP="007D233A">
      <w:pPr>
        <w:jc w:val="both"/>
        <w:rPr>
          <w:sz w:val="20"/>
          <w:szCs w:val="20"/>
        </w:rPr>
      </w:pPr>
    </w:p>
    <w:p w:rsidR="00727A60" w:rsidRPr="007D233A" w:rsidRDefault="00727A60" w:rsidP="00BC7B34">
      <w:pPr>
        <w:jc w:val="center"/>
        <w:rPr>
          <w:sz w:val="20"/>
          <w:szCs w:val="20"/>
        </w:rPr>
      </w:pPr>
      <w:r w:rsidRPr="007D233A">
        <w:rPr>
          <w:b/>
          <w:sz w:val="20"/>
          <w:szCs w:val="20"/>
        </w:rPr>
        <w:t>Table 1:</w:t>
      </w:r>
      <w:r w:rsidRPr="007D233A">
        <w:rPr>
          <w:sz w:val="20"/>
          <w:szCs w:val="20"/>
        </w:rPr>
        <w:t xml:space="preserve">ADF Test Result </w:t>
      </w:r>
      <w:r w:rsidR="00520E15" w:rsidRPr="007D233A">
        <w:rPr>
          <w:sz w:val="20"/>
          <w:szCs w:val="20"/>
        </w:rPr>
        <w:fldChar w:fldCharType="begin"/>
      </w:r>
      <w:r w:rsidRPr="007D233A">
        <w:rPr>
          <w:sz w:val="20"/>
          <w:szCs w:val="20"/>
        </w:rPr>
        <w:instrText xml:space="preserve"> QUOTE </w:instrText>
      </w:r>
      <w:r w:rsidRPr="007D233A">
        <w:rPr>
          <w:rFonts w:hAnsi="Cambria Math"/>
          <w:sz w:val="20"/>
          <w:szCs w:val="20"/>
        </w:rPr>
        <w:instrText>𝐺𝑅𝐺𝐷𝑃𝑃𝑖</w:instrText>
      </w:r>
      <w:r w:rsidRPr="007D233A">
        <w:rPr>
          <w:sz w:val="20"/>
          <w:szCs w:val="20"/>
        </w:rPr>
        <w:instrText>,</w:instrText>
      </w:r>
      <w:r w:rsidRPr="007D233A">
        <w:rPr>
          <w:rFonts w:hAnsi="Cambria Math"/>
          <w:sz w:val="20"/>
          <w:szCs w:val="20"/>
        </w:rPr>
        <w:instrText>𝑡</w:instrText>
      </w:r>
      <w:r w:rsidR="00520E15" w:rsidRPr="007D233A">
        <w:rPr>
          <w:sz w:val="20"/>
          <w:szCs w:val="20"/>
        </w:rPr>
        <w:fldChar w:fldCharType="end"/>
      </w:r>
    </w:p>
    <w:tbl>
      <w:tblPr>
        <w:tblW w:w="5000" w:type="pct"/>
        <w:tblBorders>
          <w:top w:val="single" w:sz="4" w:space="0" w:color="auto"/>
          <w:bottom w:val="single" w:sz="4" w:space="0" w:color="auto"/>
        </w:tblBorders>
        <w:tblLook w:val="0000"/>
      </w:tblPr>
      <w:tblGrid>
        <w:gridCol w:w="1349"/>
        <w:gridCol w:w="2202"/>
        <w:gridCol w:w="2158"/>
        <w:gridCol w:w="2289"/>
        <w:gridCol w:w="1965"/>
      </w:tblGrid>
      <w:tr w:rsidR="00727A60" w:rsidRPr="007D233A" w:rsidTr="00BC7B34">
        <w:tc>
          <w:tcPr>
            <w:tcW w:w="677" w:type="pct"/>
            <w:tcBorders>
              <w:top w:val="single" w:sz="4" w:space="0" w:color="auto"/>
              <w:bottom w:val="single" w:sz="4" w:space="0" w:color="auto"/>
            </w:tcBorders>
            <w:shd w:val="clear" w:color="auto" w:fill="auto"/>
          </w:tcPr>
          <w:p w:rsidR="00727A60" w:rsidRPr="007D233A" w:rsidRDefault="00727A60" w:rsidP="007D233A">
            <w:pPr>
              <w:jc w:val="both"/>
              <w:rPr>
                <w:sz w:val="20"/>
                <w:szCs w:val="20"/>
              </w:rPr>
            </w:pPr>
            <w:r w:rsidRPr="007D233A">
              <w:rPr>
                <w:sz w:val="20"/>
                <w:szCs w:val="20"/>
              </w:rPr>
              <w:t>Variables</w:t>
            </w:r>
          </w:p>
        </w:tc>
        <w:tc>
          <w:tcPr>
            <w:tcW w:w="1105" w:type="pct"/>
            <w:tcBorders>
              <w:top w:val="single" w:sz="4" w:space="0" w:color="auto"/>
              <w:bottom w:val="single" w:sz="4" w:space="0" w:color="auto"/>
            </w:tcBorders>
            <w:shd w:val="clear" w:color="auto" w:fill="auto"/>
          </w:tcPr>
          <w:p w:rsidR="00727A60" w:rsidRPr="007D233A" w:rsidRDefault="00727A60" w:rsidP="007D233A">
            <w:pPr>
              <w:jc w:val="both"/>
              <w:rPr>
                <w:sz w:val="20"/>
                <w:szCs w:val="20"/>
              </w:rPr>
            </w:pPr>
            <w:r w:rsidRPr="007D233A">
              <w:rPr>
                <w:sz w:val="20"/>
                <w:szCs w:val="20"/>
              </w:rPr>
              <w:t>ADF Test Statistic</w:t>
            </w:r>
          </w:p>
        </w:tc>
        <w:tc>
          <w:tcPr>
            <w:tcW w:w="1083" w:type="pct"/>
            <w:tcBorders>
              <w:top w:val="single" w:sz="4" w:space="0" w:color="auto"/>
              <w:bottom w:val="single" w:sz="4" w:space="0" w:color="auto"/>
            </w:tcBorders>
            <w:shd w:val="clear" w:color="auto" w:fill="auto"/>
          </w:tcPr>
          <w:p w:rsidR="00727A60" w:rsidRPr="007D233A" w:rsidRDefault="00727A60" w:rsidP="007D233A">
            <w:pPr>
              <w:jc w:val="both"/>
              <w:rPr>
                <w:sz w:val="20"/>
                <w:szCs w:val="20"/>
              </w:rPr>
            </w:pPr>
            <w:r w:rsidRPr="007D233A">
              <w:rPr>
                <w:sz w:val="20"/>
                <w:szCs w:val="20"/>
              </w:rPr>
              <w:t>Test Critical Value at 1%</w:t>
            </w:r>
          </w:p>
        </w:tc>
        <w:tc>
          <w:tcPr>
            <w:tcW w:w="1149" w:type="pct"/>
            <w:tcBorders>
              <w:top w:val="single" w:sz="4" w:space="0" w:color="auto"/>
              <w:bottom w:val="single" w:sz="4" w:space="0" w:color="auto"/>
            </w:tcBorders>
            <w:shd w:val="clear" w:color="auto" w:fill="auto"/>
          </w:tcPr>
          <w:p w:rsidR="00727A60" w:rsidRPr="007D233A" w:rsidRDefault="00727A60" w:rsidP="007D233A">
            <w:pPr>
              <w:jc w:val="both"/>
              <w:rPr>
                <w:sz w:val="20"/>
                <w:szCs w:val="20"/>
              </w:rPr>
            </w:pPr>
            <w:r w:rsidRPr="007D233A">
              <w:rPr>
                <w:sz w:val="20"/>
                <w:szCs w:val="20"/>
              </w:rPr>
              <w:t>Test Critical Value at 5%</w:t>
            </w:r>
          </w:p>
        </w:tc>
        <w:tc>
          <w:tcPr>
            <w:tcW w:w="987" w:type="pct"/>
            <w:tcBorders>
              <w:top w:val="single" w:sz="4" w:space="0" w:color="auto"/>
              <w:bottom w:val="single" w:sz="4" w:space="0" w:color="auto"/>
            </w:tcBorders>
            <w:shd w:val="clear" w:color="auto" w:fill="auto"/>
          </w:tcPr>
          <w:p w:rsidR="00727A60" w:rsidRPr="007D233A" w:rsidRDefault="00727A60" w:rsidP="007D233A">
            <w:pPr>
              <w:jc w:val="both"/>
              <w:rPr>
                <w:sz w:val="20"/>
                <w:szCs w:val="20"/>
              </w:rPr>
            </w:pPr>
            <w:r w:rsidRPr="007D233A">
              <w:rPr>
                <w:sz w:val="20"/>
                <w:szCs w:val="20"/>
              </w:rPr>
              <w:t>Remark</w:t>
            </w:r>
          </w:p>
        </w:tc>
      </w:tr>
      <w:tr w:rsidR="00727A60" w:rsidRPr="007D233A" w:rsidTr="00BC7B34">
        <w:tc>
          <w:tcPr>
            <w:tcW w:w="677" w:type="pct"/>
            <w:tcBorders>
              <w:top w:val="single" w:sz="4" w:space="0" w:color="auto"/>
            </w:tcBorders>
            <w:shd w:val="clear" w:color="auto" w:fill="auto"/>
            <w:vAlign w:val="bottom"/>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CPGDP</w:t>
            </w:r>
          </w:p>
        </w:tc>
        <w:tc>
          <w:tcPr>
            <w:tcW w:w="1105" w:type="pct"/>
            <w:tcBorders>
              <w:top w:val="single" w:sz="4" w:space="0" w:color="auto"/>
            </w:tcBorders>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-4.737900 (0.00)*</w:t>
            </w:r>
          </w:p>
        </w:tc>
        <w:tc>
          <w:tcPr>
            <w:tcW w:w="1083" w:type="pct"/>
            <w:tcBorders>
              <w:top w:val="single" w:sz="4" w:space="0" w:color="auto"/>
            </w:tcBorders>
            <w:shd w:val="clear" w:color="auto" w:fill="auto"/>
            <w:vAlign w:val="bottom"/>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-3.646342</w:t>
            </w:r>
          </w:p>
        </w:tc>
        <w:tc>
          <w:tcPr>
            <w:tcW w:w="1149" w:type="pct"/>
            <w:tcBorders>
              <w:top w:val="single" w:sz="4" w:space="0" w:color="auto"/>
            </w:tcBorders>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-2.954021</w:t>
            </w:r>
          </w:p>
        </w:tc>
        <w:tc>
          <w:tcPr>
            <w:tcW w:w="987" w:type="pct"/>
            <w:tcBorders>
              <w:top w:val="single" w:sz="4" w:space="0" w:color="auto"/>
            </w:tcBorders>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1(1)/Stationary</w:t>
            </w:r>
          </w:p>
        </w:tc>
      </w:tr>
      <w:tr w:rsidR="00727A60" w:rsidRPr="007D233A" w:rsidTr="00BC7B34">
        <w:tc>
          <w:tcPr>
            <w:tcW w:w="677" w:type="pct"/>
            <w:shd w:val="clear" w:color="auto" w:fill="auto"/>
            <w:vAlign w:val="bottom"/>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LGDP</w:t>
            </w:r>
          </w:p>
        </w:tc>
        <w:tc>
          <w:tcPr>
            <w:tcW w:w="1105" w:type="pct"/>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-3.948619 (0.02)**</w:t>
            </w:r>
          </w:p>
        </w:tc>
        <w:tc>
          <w:tcPr>
            <w:tcW w:w="1083" w:type="pct"/>
            <w:shd w:val="clear" w:color="auto" w:fill="auto"/>
            <w:vAlign w:val="bottom"/>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-4.262735</w:t>
            </w:r>
          </w:p>
        </w:tc>
        <w:tc>
          <w:tcPr>
            <w:tcW w:w="1149" w:type="pct"/>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-3.552973</w:t>
            </w:r>
          </w:p>
        </w:tc>
        <w:tc>
          <w:tcPr>
            <w:tcW w:w="987" w:type="pct"/>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1(1)/Stationary</w:t>
            </w:r>
          </w:p>
        </w:tc>
      </w:tr>
      <w:tr w:rsidR="00727A60" w:rsidRPr="007D233A" w:rsidTr="00BC7B34">
        <w:tc>
          <w:tcPr>
            <w:tcW w:w="677" w:type="pct"/>
            <w:shd w:val="clear" w:color="auto" w:fill="auto"/>
            <w:vAlign w:val="bottom"/>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FGDP</w:t>
            </w:r>
          </w:p>
        </w:tc>
        <w:tc>
          <w:tcPr>
            <w:tcW w:w="1105" w:type="pct"/>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-2.125081 (0.03)**</w:t>
            </w:r>
          </w:p>
        </w:tc>
        <w:tc>
          <w:tcPr>
            <w:tcW w:w="1083" w:type="pct"/>
            <w:shd w:val="clear" w:color="auto" w:fill="auto"/>
            <w:vAlign w:val="bottom"/>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-2.639210</w:t>
            </w:r>
          </w:p>
        </w:tc>
        <w:tc>
          <w:tcPr>
            <w:tcW w:w="1149" w:type="pct"/>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-1.951687</w:t>
            </w:r>
          </w:p>
        </w:tc>
        <w:tc>
          <w:tcPr>
            <w:tcW w:w="987" w:type="pct"/>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1(1)/Stationary</w:t>
            </w:r>
          </w:p>
        </w:tc>
      </w:tr>
      <w:tr w:rsidR="00727A60" w:rsidRPr="007D233A" w:rsidTr="00BC7B34">
        <w:tc>
          <w:tcPr>
            <w:tcW w:w="677" w:type="pct"/>
            <w:shd w:val="clear" w:color="auto" w:fill="auto"/>
            <w:vAlign w:val="bottom"/>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CBCA</w:t>
            </w:r>
          </w:p>
        </w:tc>
        <w:tc>
          <w:tcPr>
            <w:tcW w:w="1105" w:type="pct"/>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-6.496867 (0.00)*</w:t>
            </w:r>
          </w:p>
        </w:tc>
        <w:tc>
          <w:tcPr>
            <w:tcW w:w="1083" w:type="pct"/>
            <w:shd w:val="clear" w:color="auto" w:fill="auto"/>
            <w:vAlign w:val="bottom"/>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-4.262735</w:t>
            </w:r>
          </w:p>
        </w:tc>
        <w:tc>
          <w:tcPr>
            <w:tcW w:w="1149" w:type="pct"/>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-3.552973</w:t>
            </w:r>
          </w:p>
        </w:tc>
        <w:tc>
          <w:tcPr>
            <w:tcW w:w="987" w:type="pct"/>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1(1)/Stationary</w:t>
            </w:r>
          </w:p>
        </w:tc>
      </w:tr>
      <w:tr w:rsidR="00727A60" w:rsidRPr="007D233A" w:rsidTr="00BC7B34">
        <w:tc>
          <w:tcPr>
            <w:tcW w:w="677" w:type="pct"/>
            <w:shd w:val="clear" w:color="auto" w:fill="auto"/>
            <w:vAlign w:val="bottom"/>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INF</w:t>
            </w:r>
          </w:p>
        </w:tc>
        <w:tc>
          <w:tcPr>
            <w:tcW w:w="1105" w:type="pct"/>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-3.684672 (0.03)**</w:t>
            </w:r>
          </w:p>
        </w:tc>
        <w:tc>
          <w:tcPr>
            <w:tcW w:w="1083" w:type="pct"/>
            <w:shd w:val="clear" w:color="auto" w:fill="auto"/>
            <w:vAlign w:val="bottom"/>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-4.262735</w:t>
            </w:r>
          </w:p>
        </w:tc>
        <w:tc>
          <w:tcPr>
            <w:tcW w:w="1149" w:type="pct"/>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-3.552973</w:t>
            </w:r>
          </w:p>
        </w:tc>
        <w:tc>
          <w:tcPr>
            <w:tcW w:w="987" w:type="pct"/>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1(0)/Stationary</w:t>
            </w:r>
          </w:p>
        </w:tc>
      </w:tr>
      <w:tr w:rsidR="00727A60" w:rsidRPr="007D233A" w:rsidTr="00BC7B34">
        <w:tc>
          <w:tcPr>
            <w:tcW w:w="677" w:type="pct"/>
            <w:shd w:val="clear" w:color="auto" w:fill="auto"/>
            <w:vAlign w:val="bottom"/>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INT</w:t>
            </w:r>
          </w:p>
        </w:tc>
        <w:tc>
          <w:tcPr>
            <w:tcW w:w="1105" w:type="pct"/>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-5.753427 (0.00)*</w:t>
            </w:r>
          </w:p>
        </w:tc>
        <w:tc>
          <w:tcPr>
            <w:tcW w:w="1083" w:type="pct"/>
            <w:shd w:val="clear" w:color="auto" w:fill="auto"/>
            <w:vAlign w:val="bottom"/>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-4.252879</w:t>
            </w:r>
          </w:p>
        </w:tc>
        <w:tc>
          <w:tcPr>
            <w:tcW w:w="1149" w:type="pct"/>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-3.548490</w:t>
            </w:r>
          </w:p>
        </w:tc>
        <w:tc>
          <w:tcPr>
            <w:tcW w:w="987" w:type="pct"/>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1(0)/Stationary</w:t>
            </w:r>
          </w:p>
        </w:tc>
      </w:tr>
      <w:tr w:rsidR="00727A60" w:rsidRPr="007D233A" w:rsidTr="00BC7B34">
        <w:tc>
          <w:tcPr>
            <w:tcW w:w="677" w:type="pct"/>
            <w:shd w:val="clear" w:color="auto" w:fill="auto"/>
            <w:vAlign w:val="bottom"/>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IPDCP</w:t>
            </w:r>
          </w:p>
        </w:tc>
        <w:tc>
          <w:tcPr>
            <w:tcW w:w="1105" w:type="pct"/>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-5.299927 (0.00)*</w:t>
            </w:r>
          </w:p>
        </w:tc>
        <w:tc>
          <w:tcPr>
            <w:tcW w:w="1083" w:type="pct"/>
            <w:shd w:val="clear" w:color="auto" w:fill="auto"/>
            <w:vAlign w:val="bottom"/>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-4.273277</w:t>
            </w:r>
          </w:p>
        </w:tc>
        <w:tc>
          <w:tcPr>
            <w:tcW w:w="1149" w:type="pct"/>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-3.557759</w:t>
            </w:r>
          </w:p>
        </w:tc>
        <w:tc>
          <w:tcPr>
            <w:tcW w:w="987" w:type="pct"/>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1(1)/Stationary</w:t>
            </w:r>
          </w:p>
        </w:tc>
      </w:tr>
      <w:tr w:rsidR="00727A60" w:rsidRPr="007D233A" w:rsidTr="00BC7B34">
        <w:tc>
          <w:tcPr>
            <w:tcW w:w="677" w:type="pct"/>
            <w:shd w:val="clear" w:color="auto" w:fill="auto"/>
            <w:vAlign w:val="bottom"/>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IPDL</w:t>
            </w:r>
          </w:p>
        </w:tc>
        <w:tc>
          <w:tcPr>
            <w:tcW w:w="1105" w:type="pct"/>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-4.693212 (0.00)*</w:t>
            </w:r>
          </w:p>
        </w:tc>
        <w:tc>
          <w:tcPr>
            <w:tcW w:w="1083" w:type="pct"/>
            <w:shd w:val="clear" w:color="auto" w:fill="auto"/>
            <w:vAlign w:val="bottom"/>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-4.273277</w:t>
            </w:r>
          </w:p>
        </w:tc>
        <w:tc>
          <w:tcPr>
            <w:tcW w:w="1149" w:type="pct"/>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-3.557759</w:t>
            </w:r>
          </w:p>
        </w:tc>
        <w:tc>
          <w:tcPr>
            <w:tcW w:w="987" w:type="pct"/>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1(1)/Stationary</w:t>
            </w:r>
          </w:p>
        </w:tc>
      </w:tr>
      <w:tr w:rsidR="00727A60" w:rsidRPr="007D233A" w:rsidTr="00BC7B34">
        <w:tc>
          <w:tcPr>
            <w:tcW w:w="677" w:type="pct"/>
            <w:shd w:val="clear" w:color="auto" w:fill="auto"/>
            <w:vAlign w:val="bottom"/>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IPDF</w:t>
            </w:r>
          </w:p>
        </w:tc>
        <w:tc>
          <w:tcPr>
            <w:tcW w:w="1105" w:type="pct"/>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-9.019188 (0.00)*</w:t>
            </w:r>
          </w:p>
        </w:tc>
        <w:tc>
          <w:tcPr>
            <w:tcW w:w="1083" w:type="pct"/>
            <w:shd w:val="clear" w:color="auto" w:fill="auto"/>
            <w:vAlign w:val="bottom"/>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-3.653730</w:t>
            </w:r>
          </w:p>
        </w:tc>
        <w:tc>
          <w:tcPr>
            <w:tcW w:w="1149" w:type="pct"/>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-2.957110</w:t>
            </w:r>
          </w:p>
        </w:tc>
        <w:tc>
          <w:tcPr>
            <w:tcW w:w="987" w:type="pct"/>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1(1)/Stationary</w:t>
            </w:r>
          </w:p>
        </w:tc>
      </w:tr>
    </w:tbl>
    <w:p w:rsidR="00727A60" w:rsidRPr="007D233A" w:rsidRDefault="00727A60" w:rsidP="00BC7B34">
      <w:pPr>
        <w:jc w:val="center"/>
        <w:rPr>
          <w:i/>
          <w:sz w:val="20"/>
          <w:szCs w:val="20"/>
        </w:rPr>
      </w:pPr>
      <w:r w:rsidRPr="00BC7B34">
        <w:rPr>
          <w:b/>
          <w:i/>
          <w:sz w:val="20"/>
          <w:szCs w:val="20"/>
        </w:rPr>
        <w:t>Source</w:t>
      </w:r>
      <w:r w:rsidRPr="007D233A">
        <w:rPr>
          <w:i/>
          <w:sz w:val="20"/>
          <w:szCs w:val="20"/>
        </w:rPr>
        <w:t>: Data output E-views 10.0</w:t>
      </w:r>
    </w:p>
    <w:p w:rsidR="00BC7B34" w:rsidRPr="00BC7B34" w:rsidRDefault="00BC7B34" w:rsidP="007D233A">
      <w:pPr>
        <w:jc w:val="both"/>
        <w:rPr>
          <w:sz w:val="20"/>
          <w:szCs w:val="20"/>
        </w:rPr>
      </w:pPr>
    </w:p>
    <w:p w:rsidR="00727A60" w:rsidRPr="007D233A" w:rsidRDefault="00727A60" w:rsidP="0089726C">
      <w:pPr>
        <w:jc w:val="center"/>
        <w:rPr>
          <w:sz w:val="20"/>
          <w:szCs w:val="20"/>
        </w:rPr>
      </w:pPr>
      <w:r w:rsidRPr="007D233A">
        <w:rPr>
          <w:b/>
          <w:sz w:val="20"/>
          <w:szCs w:val="20"/>
        </w:rPr>
        <w:t>Table 2:</w:t>
      </w:r>
      <w:r w:rsidRPr="007D233A">
        <w:rPr>
          <w:sz w:val="20"/>
          <w:szCs w:val="20"/>
        </w:rPr>
        <w:t xml:space="preserve">PP Test Result </w:t>
      </w:r>
      <w:r w:rsidR="00520E15" w:rsidRPr="007D233A">
        <w:rPr>
          <w:sz w:val="20"/>
          <w:szCs w:val="20"/>
        </w:rPr>
        <w:fldChar w:fldCharType="begin"/>
      </w:r>
      <w:r w:rsidRPr="007D233A">
        <w:rPr>
          <w:sz w:val="20"/>
          <w:szCs w:val="20"/>
        </w:rPr>
        <w:instrText xml:space="preserve"> QUOTE </w:instrText>
      </w:r>
      <w:r w:rsidRPr="007D233A">
        <w:rPr>
          <w:rFonts w:hAnsi="Cambria Math"/>
          <w:sz w:val="20"/>
          <w:szCs w:val="20"/>
        </w:rPr>
        <w:instrText>𝐺𝑅𝐺𝐷𝑃𝑃𝑖</w:instrText>
      </w:r>
      <w:r w:rsidRPr="007D233A">
        <w:rPr>
          <w:sz w:val="20"/>
          <w:szCs w:val="20"/>
        </w:rPr>
        <w:instrText>,</w:instrText>
      </w:r>
      <w:r w:rsidRPr="007D233A">
        <w:rPr>
          <w:rFonts w:hAnsi="Cambria Math"/>
          <w:sz w:val="20"/>
          <w:szCs w:val="20"/>
        </w:rPr>
        <w:instrText>𝑡</w:instrText>
      </w:r>
      <w:r w:rsidR="00520E15" w:rsidRPr="007D233A">
        <w:rPr>
          <w:sz w:val="20"/>
          <w:szCs w:val="20"/>
        </w:rPr>
        <w:fldChar w:fldCharType="end"/>
      </w:r>
    </w:p>
    <w:tbl>
      <w:tblPr>
        <w:tblW w:w="5000" w:type="pct"/>
        <w:tblBorders>
          <w:top w:val="single" w:sz="4" w:space="0" w:color="auto"/>
          <w:bottom w:val="single" w:sz="4" w:space="0" w:color="auto"/>
        </w:tblBorders>
        <w:tblLook w:val="0000"/>
      </w:tblPr>
      <w:tblGrid>
        <w:gridCol w:w="1455"/>
        <w:gridCol w:w="2170"/>
        <w:gridCol w:w="2202"/>
        <w:gridCol w:w="2335"/>
        <w:gridCol w:w="1801"/>
      </w:tblGrid>
      <w:tr w:rsidR="00727A60" w:rsidRPr="007D233A" w:rsidTr="00BC7B34">
        <w:tc>
          <w:tcPr>
            <w:tcW w:w="730" w:type="pct"/>
            <w:tcBorders>
              <w:top w:val="single" w:sz="4" w:space="0" w:color="auto"/>
              <w:bottom w:val="single" w:sz="4" w:space="0" w:color="auto"/>
            </w:tcBorders>
            <w:shd w:val="clear" w:color="auto" w:fill="auto"/>
          </w:tcPr>
          <w:p w:rsidR="00727A60" w:rsidRPr="007D233A" w:rsidRDefault="00727A60" w:rsidP="007D233A">
            <w:pPr>
              <w:jc w:val="both"/>
              <w:rPr>
                <w:sz w:val="20"/>
                <w:szCs w:val="20"/>
              </w:rPr>
            </w:pPr>
            <w:r w:rsidRPr="007D233A">
              <w:rPr>
                <w:sz w:val="20"/>
                <w:szCs w:val="20"/>
              </w:rPr>
              <w:t>Variables</w:t>
            </w:r>
          </w:p>
        </w:tc>
        <w:tc>
          <w:tcPr>
            <w:tcW w:w="1089" w:type="pct"/>
            <w:tcBorders>
              <w:top w:val="single" w:sz="4" w:space="0" w:color="auto"/>
              <w:bottom w:val="single" w:sz="4" w:space="0" w:color="auto"/>
            </w:tcBorders>
            <w:shd w:val="clear" w:color="auto" w:fill="auto"/>
          </w:tcPr>
          <w:p w:rsidR="00727A60" w:rsidRPr="007D233A" w:rsidRDefault="00727A60" w:rsidP="007D233A">
            <w:pPr>
              <w:jc w:val="both"/>
              <w:rPr>
                <w:sz w:val="20"/>
                <w:szCs w:val="20"/>
              </w:rPr>
            </w:pPr>
            <w:r w:rsidRPr="007D233A">
              <w:rPr>
                <w:sz w:val="20"/>
                <w:szCs w:val="20"/>
              </w:rPr>
              <w:t>PP Test Statistic</w:t>
            </w:r>
          </w:p>
        </w:tc>
        <w:tc>
          <w:tcPr>
            <w:tcW w:w="1105" w:type="pct"/>
            <w:tcBorders>
              <w:top w:val="single" w:sz="4" w:space="0" w:color="auto"/>
              <w:bottom w:val="single" w:sz="4" w:space="0" w:color="auto"/>
            </w:tcBorders>
            <w:shd w:val="clear" w:color="auto" w:fill="auto"/>
          </w:tcPr>
          <w:p w:rsidR="00727A60" w:rsidRPr="007D233A" w:rsidRDefault="00727A60" w:rsidP="007D233A">
            <w:pPr>
              <w:jc w:val="both"/>
              <w:rPr>
                <w:sz w:val="20"/>
                <w:szCs w:val="20"/>
              </w:rPr>
            </w:pPr>
            <w:r w:rsidRPr="007D233A">
              <w:rPr>
                <w:sz w:val="20"/>
                <w:szCs w:val="20"/>
              </w:rPr>
              <w:t>Test Critical Value at 1%</w:t>
            </w:r>
          </w:p>
        </w:tc>
        <w:tc>
          <w:tcPr>
            <w:tcW w:w="1172" w:type="pct"/>
            <w:tcBorders>
              <w:top w:val="single" w:sz="4" w:space="0" w:color="auto"/>
              <w:bottom w:val="single" w:sz="4" w:space="0" w:color="auto"/>
            </w:tcBorders>
            <w:shd w:val="clear" w:color="auto" w:fill="auto"/>
          </w:tcPr>
          <w:p w:rsidR="00727A60" w:rsidRPr="007D233A" w:rsidRDefault="00727A60" w:rsidP="007D233A">
            <w:pPr>
              <w:jc w:val="both"/>
              <w:rPr>
                <w:sz w:val="20"/>
                <w:szCs w:val="20"/>
              </w:rPr>
            </w:pPr>
            <w:r w:rsidRPr="007D233A">
              <w:rPr>
                <w:sz w:val="20"/>
                <w:szCs w:val="20"/>
              </w:rPr>
              <w:t>Test Critical Value at 5%</w:t>
            </w:r>
          </w:p>
        </w:tc>
        <w:tc>
          <w:tcPr>
            <w:tcW w:w="904" w:type="pct"/>
            <w:tcBorders>
              <w:top w:val="single" w:sz="4" w:space="0" w:color="auto"/>
              <w:bottom w:val="single" w:sz="4" w:space="0" w:color="auto"/>
            </w:tcBorders>
            <w:shd w:val="clear" w:color="auto" w:fill="auto"/>
          </w:tcPr>
          <w:p w:rsidR="00727A60" w:rsidRPr="007D233A" w:rsidRDefault="00727A60" w:rsidP="007D233A">
            <w:pPr>
              <w:jc w:val="both"/>
              <w:rPr>
                <w:sz w:val="20"/>
                <w:szCs w:val="20"/>
              </w:rPr>
            </w:pPr>
            <w:r w:rsidRPr="007D233A">
              <w:rPr>
                <w:sz w:val="20"/>
                <w:szCs w:val="20"/>
              </w:rPr>
              <w:t>Remark</w:t>
            </w:r>
          </w:p>
        </w:tc>
      </w:tr>
      <w:tr w:rsidR="00727A60" w:rsidRPr="007D233A" w:rsidTr="00BC7B34">
        <w:tc>
          <w:tcPr>
            <w:tcW w:w="730" w:type="pct"/>
            <w:tcBorders>
              <w:top w:val="single" w:sz="4" w:space="0" w:color="auto"/>
            </w:tcBorders>
            <w:shd w:val="clear" w:color="auto" w:fill="auto"/>
            <w:vAlign w:val="bottom"/>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CPGDP</w:t>
            </w:r>
          </w:p>
        </w:tc>
        <w:tc>
          <w:tcPr>
            <w:tcW w:w="1089" w:type="pct"/>
            <w:tcBorders>
              <w:top w:val="single" w:sz="4" w:space="0" w:color="auto"/>
            </w:tcBorders>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 xml:space="preserve">-4.781532 (0.00)* </w:t>
            </w:r>
          </w:p>
        </w:tc>
        <w:tc>
          <w:tcPr>
            <w:tcW w:w="1105" w:type="pct"/>
            <w:tcBorders>
              <w:top w:val="single" w:sz="4" w:space="0" w:color="auto"/>
            </w:tcBorders>
            <w:shd w:val="clear" w:color="auto" w:fill="auto"/>
            <w:vAlign w:val="bottom"/>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-3.646342</w:t>
            </w:r>
          </w:p>
        </w:tc>
        <w:tc>
          <w:tcPr>
            <w:tcW w:w="1172" w:type="pct"/>
            <w:tcBorders>
              <w:top w:val="single" w:sz="4" w:space="0" w:color="auto"/>
            </w:tcBorders>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-2.954021</w:t>
            </w:r>
          </w:p>
        </w:tc>
        <w:tc>
          <w:tcPr>
            <w:tcW w:w="904" w:type="pct"/>
            <w:tcBorders>
              <w:top w:val="single" w:sz="4" w:space="0" w:color="auto"/>
            </w:tcBorders>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1(1)/Stationary</w:t>
            </w:r>
          </w:p>
        </w:tc>
      </w:tr>
      <w:tr w:rsidR="00727A60" w:rsidRPr="007D233A" w:rsidTr="00BC7B34">
        <w:tc>
          <w:tcPr>
            <w:tcW w:w="730" w:type="pct"/>
            <w:shd w:val="clear" w:color="auto" w:fill="auto"/>
            <w:vAlign w:val="bottom"/>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LGDP</w:t>
            </w:r>
          </w:p>
        </w:tc>
        <w:tc>
          <w:tcPr>
            <w:tcW w:w="1089" w:type="pct"/>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-3.796240 (0.02)**</w:t>
            </w:r>
          </w:p>
        </w:tc>
        <w:tc>
          <w:tcPr>
            <w:tcW w:w="1105" w:type="pct"/>
            <w:shd w:val="clear" w:color="auto" w:fill="auto"/>
            <w:vAlign w:val="bottom"/>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-4.262735</w:t>
            </w:r>
          </w:p>
        </w:tc>
        <w:tc>
          <w:tcPr>
            <w:tcW w:w="1172" w:type="pct"/>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-3.552973</w:t>
            </w:r>
          </w:p>
        </w:tc>
        <w:tc>
          <w:tcPr>
            <w:tcW w:w="904" w:type="pct"/>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1(1)/Stationary</w:t>
            </w:r>
          </w:p>
        </w:tc>
      </w:tr>
      <w:tr w:rsidR="00727A60" w:rsidRPr="007D233A" w:rsidTr="00BC7B34">
        <w:tc>
          <w:tcPr>
            <w:tcW w:w="730" w:type="pct"/>
            <w:shd w:val="clear" w:color="auto" w:fill="auto"/>
            <w:vAlign w:val="bottom"/>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FGDP</w:t>
            </w:r>
          </w:p>
        </w:tc>
        <w:tc>
          <w:tcPr>
            <w:tcW w:w="1089" w:type="pct"/>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-6.363590 (0.00)*</w:t>
            </w:r>
          </w:p>
        </w:tc>
        <w:tc>
          <w:tcPr>
            <w:tcW w:w="1105" w:type="pct"/>
            <w:shd w:val="clear" w:color="auto" w:fill="auto"/>
            <w:vAlign w:val="bottom"/>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-4.262735</w:t>
            </w:r>
          </w:p>
        </w:tc>
        <w:tc>
          <w:tcPr>
            <w:tcW w:w="1172" w:type="pct"/>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-3.552973</w:t>
            </w:r>
          </w:p>
        </w:tc>
        <w:tc>
          <w:tcPr>
            <w:tcW w:w="904" w:type="pct"/>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1(1)/Stationary</w:t>
            </w:r>
          </w:p>
        </w:tc>
      </w:tr>
      <w:tr w:rsidR="00727A60" w:rsidRPr="007D233A" w:rsidTr="00BC7B34">
        <w:tc>
          <w:tcPr>
            <w:tcW w:w="730" w:type="pct"/>
            <w:shd w:val="clear" w:color="auto" w:fill="auto"/>
            <w:vAlign w:val="bottom"/>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CBCA</w:t>
            </w:r>
          </w:p>
        </w:tc>
        <w:tc>
          <w:tcPr>
            <w:tcW w:w="1089" w:type="pct"/>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-6.497385 (0.00)*</w:t>
            </w:r>
          </w:p>
        </w:tc>
        <w:tc>
          <w:tcPr>
            <w:tcW w:w="1105" w:type="pct"/>
            <w:shd w:val="clear" w:color="auto" w:fill="auto"/>
            <w:vAlign w:val="bottom"/>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-4.262735</w:t>
            </w:r>
          </w:p>
        </w:tc>
        <w:tc>
          <w:tcPr>
            <w:tcW w:w="1172" w:type="pct"/>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-3.552973</w:t>
            </w:r>
          </w:p>
        </w:tc>
        <w:tc>
          <w:tcPr>
            <w:tcW w:w="904" w:type="pct"/>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1(1)/Stationary</w:t>
            </w:r>
          </w:p>
        </w:tc>
      </w:tr>
      <w:tr w:rsidR="00727A60" w:rsidRPr="007D233A" w:rsidTr="00BC7B34">
        <w:tc>
          <w:tcPr>
            <w:tcW w:w="730" w:type="pct"/>
            <w:shd w:val="clear" w:color="auto" w:fill="auto"/>
            <w:vAlign w:val="bottom"/>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INF</w:t>
            </w:r>
          </w:p>
        </w:tc>
        <w:tc>
          <w:tcPr>
            <w:tcW w:w="1089" w:type="pct"/>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-9.616803 (0.00)*</w:t>
            </w:r>
          </w:p>
        </w:tc>
        <w:tc>
          <w:tcPr>
            <w:tcW w:w="1105" w:type="pct"/>
            <w:shd w:val="clear" w:color="auto" w:fill="auto"/>
            <w:vAlign w:val="bottom"/>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-2.636901</w:t>
            </w:r>
          </w:p>
        </w:tc>
        <w:tc>
          <w:tcPr>
            <w:tcW w:w="1172" w:type="pct"/>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-1.951332</w:t>
            </w:r>
          </w:p>
        </w:tc>
        <w:tc>
          <w:tcPr>
            <w:tcW w:w="904" w:type="pct"/>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1(1)/Stationary</w:t>
            </w:r>
          </w:p>
        </w:tc>
      </w:tr>
      <w:tr w:rsidR="00727A60" w:rsidRPr="007D233A" w:rsidTr="00BC7B34">
        <w:tc>
          <w:tcPr>
            <w:tcW w:w="730" w:type="pct"/>
            <w:shd w:val="clear" w:color="auto" w:fill="auto"/>
            <w:vAlign w:val="bottom"/>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INT</w:t>
            </w:r>
          </w:p>
        </w:tc>
        <w:tc>
          <w:tcPr>
            <w:tcW w:w="1089" w:type="pct"/>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-5.610403 (0.00)*</w:t>
            </w:r>
          </w:p>
        </w:tc>
        <w:tc>
          <w:tcPr>
            <w:tcW w:w="1105" w:type="pct"/>
            <w:shd w:val="clear" w:color="auto" w:fill="auto"/>
            <w:vAlign w:val="bottom"/>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-2.634731</w:t>
            </w:r>
          </w:p>
        </w:tc>
        <w:tc>
          <w:tcPr>
            <w:tcW w:w="1172" w:type="pct"/>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-1.951000</w:t>
            </w:r>
          </w:p>
        </w:tc>
        <w:tc>
          <w:tcPr>
            <w:tcW w:w="904" w:type="pct"/>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1(0)/Stationary</w:t>
            </w:r>
          </w:p>
        </w:tc>
      </w:tr>
      <w:tr w:rsidR="00727A60" w:rsidRPr="007D233A" w:rsidTr="00BC7B34">
        <w:tc>
          <w:tcPr>
            <w:tcW w:w="730" w:type="pct"/>
            <w:shd w:val="clear" w:color="auto" w:fill="auto"/>
            <w:vAlign w:val="bottom"/>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IPDCP</w:t>
            </w:r>
          </w:p>
        </w:tc>
        <w:tc>
          <w:tcPr>
            <w:tcW w:w="1089" w:type="pct"/>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-1.956876 (0.04)**</w:t>
            </w:r>
          </w:p>
        </w:tc>
        <w:tc>
          <w:tcPr>
            <w:tcW w:w="1105" w:type="pct"/>
            <w:shd w:val="clear" w:color="auto" w:fill="auto"/>
            <w:vAlign w:val="bottom"/>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-2.636901</w:t>
            </w:r>
          </w:p>
        </w:tc>
        <w:tc>
          <w:tcPr>
            <w:tcW w:w="1172" w:type="pct"/>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-1.951332</w:t>
            </w:r>
          </w:p>
        </w:tc>
        <w:tc>
          <w:tcPr>
            <w:tcW w:w="904" w:type="pct"/>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1(1)/Stationary</w:t>
            </w:r>
          </w:p>
        </w:tc>
      </w:tr>
      <w:tr w:rsidR="00727A60" w:rsidRPr="007D233A" w:rsidTr="00BC7B34">
        <w:tc>
          <w:tcPr>
            <w:tcW w:w="730" w:type="pct"/>
            <w:shd w:val="clear" w:color="auto" w:fill="auto"/>
            <w:vAlign w:val="bottom"/>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IPDL</w:t>
            </w:r>
          </w:p>
        </w:tc>
        <w:tc>
          <w:tcPr>
            <w:tcW w:w="1089" w:type="pct"/>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-5.391974 (0.00)*</w:t>
            </w:r>
          </w:p>
        </w:tc>
        <w:tc>
          <w:tcPr>
            <w:tcW w:w="1105" w:type="pct"/>
            <w:shd w:val="clear" w:color="auto" w:fill="auto"/>
            <w:vAlign w:val="bottom"/>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-4.262735</w:t>
            </w:r>
          </w:p>
        </w:tc>
        <w:tc>
          <w:tcPr>
            <w:tcW w:w="1172" w:type="pct"/>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-3.552973</w:t>
            </w:r>
          </w:p>
        </w:tc>
        <w:tc>
          <w:tcPr>
            <w:tcW w:w="904" w:type="pct"/>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1(1)/Stationary</w:t>
            </w:r>
          </w:p>
        </w:tc>
      </w:tr>
      <w:tr w:rsidR="00727A60" w:rsidRPr="007D233A" w:rsidTr="00BC7B34">
        <w:tc>
          <w:tcPr>
            <w:tcW w:w="730" w:type="pct"/>
            <w:shd w:val="clear" w:color="auto" w:fill="auto"/>
            <w:vAlign w:val="bottom"/>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IPDF</w:t>
            </w:r>
          </w:p>
        </w:tc>
        <w:tc>
          <w:tcPr>
            <w:tcW w:w="1089" w:type="pct"/>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-9.260476 (0.00)*</w:t>
            </w:r>
          </w:p>
        </w:tc>
        <w:tc>
          <w:tcPr>
            <w:tcW w:w="1105" w:type="pct"/>
            <w:shd w:val="clear" w:color="auto" w:fill="auto"/>
            <w:vAlign w:val="bottom"/>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-4.273277</w:t>
            </w:r>
          </w:p>
        </w:tc>
        <w:tc>
          <w:tcPr>
            <w:tcW w:w="1172" w:type="pct"/>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-3.557759</w:t>
            </w:r>
          </w:p>
        </w:tc>
        <w:tc>
          <w:tcPr>
            <w:tcW w:w="904" w:type="pct"/>
            <w:shd w:val="clear" w:color="auto" w:fill="auto"/>
          </w:tcPr>
          <w:p w:rsidR="00727A60" w:rsidRPr="007D233A" w:rsidRDefault="00727A60" w:rsidP="007D233A">
            <w:pPr>
              <w:autoSpaceDE w:val="0"/>
              <w:autoSpaceDN w:val="0"/>
              <w:adjustRightInd w:val="0"/>
              <w:jc w:val="both"/>
              <w:rPr>
                <w:color w:val="000000"/>
                <w:sz w:val="20"/>
                <w:szCs w:val="20"/>
              </w:rPr>
            </w:pPr>
            <w:r w:rsidRPr="007D233A">
              <w:rPr>
                <w:color w:val="000000"/>
                <w:sz w:val="20"/>
                <w:szCs w:val="20"/>
              </w:rPr>
              <w:t>1(1)/Stationary</w:t>
            </w:r>
          </w:p>
        </w:tc>
      </w:tr>
    </w:tbl>
    <w:p w:rsidR="00727A60" w:rsidRPr="007D233A" w:rsidRDefault="00727A60" w:rsidP="0089726C">
      <w:pPr>
        <w:jc w:val="center"/>
        <w:rPr>
          <w:i/>
          <w:sz w:val="20"/>
          <w:szCs w:val="20"/>
        </w:rPr>
      </w:pPr>
      <w:r w:rsidRPr="0089726C">
        <w:rPr>
          <w:b/>
          <w:i/>
          <w:sz w:val="20"/>
          <w:szCs w:val="20"/>
        </w:rPr>
        <w:t>Source</w:t>
      </w:r>
      <w:r w:rsidRPr="007D233A">
        <w:rPr>
          <w:i/>
          <w:sz w:val="20"/>
          <w:szCs w:val="20"/>
        </w:rPr>
        <w:t>: Data output E-views 10.0</w:t>
      </w:r>
    </w:p>
    <w:p w:rsidR="00767F1E" w:rsidRPr="007D233A" w:rsidRDefault="00767F1E" w:rsidP="007D233A">
      <w:pPr>
        <w:jc w:val="both"/>
        <w:rPr>
          <w:sz w:val="20"/>
          <w:szCs w:val="20"/>
        </w:rPr>
      </w:pPr>
    </w:p>
    <w:p w:rsidR="006A53A3" w:rsidRPr="007D233A" w:rsidRDefault="006A53A3" w:rsidP="0089726C">
      <w:pPr>
        <w:ind w:firstLine="357"/>
        <w:jc w:val="both"/>
        <w:rPr>
          <w:sz w:val="20"/>
          <w:szCs w:val="20"/>
        </w:rPr>
      </w:pPr>
      <w:r w:rsidRPr="007D233A">
        <w:rPr>
          <w:sz w:val="20"/>
          <w:szCs w:val="20"/>
        </w:rPr>
        <w:t>The serial correlation LM test assesses if the variables in a model are serially correlated, and when such exist, the regression result is assumed to be biased. The null hypothesis of serial correlation LM test assumes no autocorrelation in the model up lag order 2. From Table 3, the variables in the models are not serially correlated judging by the insignifican</w:t>
      </w:r>
      <w:r w:rsidR="00767F1E" w:rsidRPr="007D233A">
        <w:rPr>
          <w:sz w:val="20"/>
          <w:szCs w:val="20"/>
        </w:rPr>
        <w:t>t p-values of the F-statistics.</w:t>
      </w:r>
    </w:p>
    <w:p w:rsidR="00767F1E" w:rsidRDefault="00767F1E" w:rsidP="007D233A">
      <w:pPr>
        <w:jc w:val="both"/>
        <w:rPr>
          <w:sz w:val="20"/>
          <w:szCs w:val="20"/>
        </w:rPr>
      </w:pPr>
    </w:p>
    <w:p w:rsidR="005D3FC7" w:rsidRPr="007D233A" w:rsidRDefault="005D3FC7" w:rsidP="007D233A">
      <w:pPr>
        <w:jc w:val="both"/>
        <w:rPr>
          <w:sz w:val="20"/>
          <w:szCs w:val="20"/>
        </w:rPr>
      </w:pPr>
    </w:p>
    <w:p w:rsidR="006A53A3" w:rsidRPr="007D233A" w:rsidRDefault="006A53A3" w:rsidP="0089726C">
      <w:pPr>
        <w:jc w:val="center"/>
        <w:rPr>
          <w:sz w:val="20"/>
          <w:szCs w:val="20"/>
        </w:rPr>
      </w:pPr>
      <w:r w:rsidRPr="007D233A">
        <w:rPr>
          <w:b/>
          <w:color w:val="000000"/>
          <w:sz w:val="20"/>
          <w:szCs w:val="20"/>
        </w:rPr>
        <w:lastRenderedPageBreak/>
        <w:t xml:space="preserve">Table 3: </w:t>
      </w:r>
      <w:r w:rsidRPr="007D233A">
        <w:rPr>
          <w:color w:val="000000"/>
          <w:sz w:val="20"/>
          <w:szCs w:val="20"/>
        </w:rPr>
        <w:t>Breusch-Godfrey Serial Correlation LM Test</w:t>
      </w:r>
    </w:p>
    <w:tbl>
      <w:tblPr>
        <w:tblW w:w="5000" w:type="pct"/>
        <w:tblBorders>
          <w:top w:val="single" w:sz="4" w:space="0" w:color="auto"/>
          <w:bottom w:val="single" w:sz="4" w:space="0" w:color="auto"/>
        </w:tblBorders>
        <w:tblLook w:val="04A0"/>
      </w:tblPr>
      <w:tblGrid>
        <w:gridCol w:w="2734"/>
        <w:gridCol w:w="4087"/>
        <w:gridCol w:w="3142"/>
      </w:tblGrid>
      <w:tr w:rsidR="006A53A3" w:rsidRPr="007D233A" w:rsidTr="0089726C">
        <w:tc>
          <w:tcPr>
            <w:tcW w:w="1372" w:type="pct"/>
            <w:tcBorders>
              <w:top w:val="single" w:sz="4" w:space="0" w:color="auto"/>
              <w:bottom w:val="single" w:sz="4" w:space="0" w:color="auto"/>
            </w:tcBorders>
            <w:shd w:val="clear" w:color="auto" w:fill="auto"/>
            <w:vAlign w:val="bottom"/>
          </w:tcPr>
          <w:p w:rsidR="006A53A3" w:rsidRPr="007D233A" w:rsidRDefault="006A53A3" w:rsidP="007D233A">
            <w:pPr>
              <w:autoSpaceDE w:val="0"/>
              <w:autoSpaceDN w:val="0"/>
              <w:adjustRightInd w:val="0"/>
              <w:jc w:val="both"/>
              <w:rPr>
                <w:sz w:val="20"/>
                <w:szCs w:val="20"/>
              </w:rPr>
            </w:pPr>
            <w:r w:rsidRPr="007D233A">
              <w:rPr>
                <w:sz w:val="20"/>
                <w:szCs w:val="20"/>
              </w:rPr>
              <w:t>Equations</w:t>
            </w:r>
          </w:p>
        </w:tc>
        <w:tc>
          <w:tcPr>
            <w:tcW w:w="2051" w:type="pct"/>
            <w:tcBorders>
              <w:top w:val="single" w:sz="4" w:space="0" w:color="auto"/>
              <w:bottom w:val="single" w:sz="4" w:space="0" w:color="auto"/>
            </w:tcBorders>
            <w:shd w:val="clear" w:color="auto" w:fill="auto"/>
            <w:vAlign w:val="bottom"/>
          </w:tcPr>
          <w:p w:rsidR="006A53A3" w:rsidRPr="007D233A" w:rsidRDefault="006A53A3" w:rsidP="007D233A">
            <w:pPr>
              <w:autoSpaceDE w:val="0"/>
              <w:autoSpaceDN w:val="0"/>
              <w:adjustRightInd w:val="0"/>
              <w:jc w:val="both"/>
              <w:rPr>
                <w:sz w:val="20"/>
                <w:szCs w:val="20"/>
              </w:rPr>
            </w:pPr>
            <w:r w:rsidRPr="007D233A">
              <w:rPr>
                <w:sz w:val="20"/>
                <w:szCs w:val="20"/>
              </w:rPr>
              <w:t>F-statistic</w:t>
            </w:r>
          </w:p>
        </w:tc>
        <w:tc>
          <w:tcPr>
            <w:tcW w:w="1578" w:type="pct"/>
            <w:tcBorders>
              <w:top w:val="single" w:sz="4" w:space="0" w:color="auto"/>
              <w:bottom w:val="single" w:sz="4" w:space="0" w:color="auto"/>
            </w:tcBorders>
            <w:shd w:val="clear" w:color="auto" w:fill="auto"/>
            <w:vAlign w:val="bottom"/>
          </w:tcPr>
          <w:p w:rsidR="006A53A3" w:rsidRPr="007D233A" w:rsidRDefault="006A53A3" w:rsidP="007D233A">
            <w:pPr>
              <w:autoSpaceDE w:val="0"/>
              <w:autoSpaceDN w:val="0"/>
              <w:adjustRightInd w:val="0"/>
              <w:jc w:val="both"/>
              <w:rPr>
                <w:sz w:val="20"/>
                <w:szCs w:val="20"/>
              </w:rPr>
            </w:pPr>
            <w:r w:rsidRPr="007D233A">
              <w:rPr>
                <w:color w:val="000000"/>
                <w:sz w:val="20"/>
                <w:szCs w:val="20"/>
              </w:rPr>
              <w:t>Prob. F(2,29)</w:t>
            </w:r>
          </w:p>
        </w:tc>
      </w:tr>
      <w:tr w:rsidR="006A53A3" w:rsidRPr="007D233A" w:rsidTr="0089726C">
        <w:tc>
          <w:tcPr>
            <w:tcW w:w="1372" w:type="pct"/>
            <w:tcBorders>
              <w:top w:val="single" w:sz="4" w:space="0" w:color="auto"/>
            </w:tcBorders>
            <w:shd w:val="clear" w:color="auto" w:fill="auto"/>
            <w:vAlign w:val="bottom"/>
          </w:tcPr>
          <w:p w:rsidR="006A53A3" w:rsidRPr="007D233A" w:rsidRDefault="006A53A3" w:rsidP="007D233A">
            <w:pPr>
              <w:autoSpaceDE w:val="0"/>
              <w:autoSpaceDN w:val="0"/>
              <w:adjustRightInd w:val="0"/>
              <w:jc w:val="both"/>
              <w:rPr>
                <w:color w:val="000000"/>
                <w:sz w:val="20"/>
                <w:szCs w:val="20"/>
              </w:rPr>
            </w:pPr>
            <w:r w:rsidRPr="007D233A">
              <w:rPr>
                <w:color w:val="000000"/>
                <w:sz w:val="20"/>
                <w:szCs w:val="20"/>
              </w:rPr>
              <w:t>Equation 5</w:t>
            </w:r>
          </w:p>
        </w:tc>
        <w:tc>
          <w:tcPr>
            <w:tcW w:w="2051" w:type="pct"/>
            <w:tcBorders>
              <w:top w:val="single" w:sz="4" w:space="0" w:color="auto"/>
            </w:tcBorders>
            <w:shd w:val="clear" w:color="auto" w:fill="auto"/>
            <w:vAlign w:val="bottom"/>
          </w:tcPr>
          <w:p w:rsidR="006A53A3" w:rsidRPr="007D233A" w:rsidRDefault="006A53A3" w:rsidP="007D233A">
            <w:pPr>
              <w:autoSpaceDE w:val="0"/>
              <w:autoSpaceDN w:val="0"/>
              <w:adjustRightInd w:val="0"/>
              <w:jc w:val="both"/>
              <w:rPr>
                <w:color w:val="000000"/>
                <w:sz w:val="20"/>
                <w:szCs w:val="20"/>
              </w:rPr>
            </w:pPr>
            <w:r w:rsidRPr="007D233A">
              <w:rPr>
                <w:color w:val="000000"/>
                <w:sz w:val="20"/>
                <w:szCs w:val="20"/>
              </w:rPr>
              <w:t>2.778947</w:t>
            </w:r>
          </w:p>
        </w:tc>
        <w:tc>
          <w:tcPr>
            <w:tcW w:w="1578" w:type="pct"/>
            <w:tcBorders>
              <w:top w:val="single" w:sz="4" w:space="0" w:color="auto"/>
            </w:tcBorders>
            <w:shd w:val="clear" w:color="auto" w:fill="auto"/>
            <w:vAlign w:val="bottom"/>
          </w:tcPr>
          <w:p w:rsidR="006A53A3" w:rsidRPr="007D233A" w:rsidRDefault="006A53A3" w:rsidP="007D233A">
            <w:pPr>
              <w:autoSpaceDE w:val="0"/>
              <w:autoSpaceDN w:val="0"/>
              <w:adjustRightInd w:val="0"/>
              <w:jc w:val="both"/>
              <w:rPr>
                <w:color w:val="000000"/>
                <w:sz w:val="20"/>
                <w:szCs w:val="20"/>
              </w:rPr>
            </w:pPr>
            <w:r w:rsidRPr="007D233A">
              <w:rPr>
                <w:color w:val="000000"/>
                <w:sz w:val="20"/>
                <w:szCs w:val="20"/>
              </w:rPr>
              <w:t>0.0799</w:t>
            </w:r>
          </w:p>
        </w:tc>
      </w:tr>
      <w:tr w:rsidR="006A53A3" w:rsidRPr="007D233A" w:rsidTr="0089726C">
        <w:tc>
          <w:tcPr>
            <w:tcW w:w="1372" w:type="pct"/>
            <w:shd w:val="clear" w:color="auto" w:fill="auto"/>
            <w:vAlign w:val="bottom"/>
          </w:tcPr>
          <w:p w:rsidR="006A53A3" w:rsidRPr="007D233A" w:rsidRDefault="006A53A3" w:rsidP="007D233A">
            <w:pPr>
              <w:autoSpaceDE w:val="0"/>
              <w:autoSpaceDN w:val="0"/>
              <w:adjustRightInd w:val="0"/>
              <w:jc w:val="both"/>
              <w:rPr>
                <w:color w:val="000000"/>
                <w:sz w:val="20"/>
                <w:szCs w:val="20"/>
              </w:rPr>
            </w:pPr>
            <w:r w:rsidRPr="007D233A">
              <w:rPr>
                <w:color w:val="000000"/>
                <w:sz w:val="20"/>
                <w:szCs w:val="20"/>
              </w:rPr>
              <w:t>Equation 6</w:t>
            </w:r>
          </w:p>
        </w:tc>
        <w:tc>
          <w:tcPr>
            <w:tcW w:w="2051" w:type="pct"/>
            <w:shd w:val="clear" w:color="auto" w:fill="auto"/>
            <w:vAlign w:val="bottom"/>
          </w:tcPr>
          <w:p w:rsidR="006A53A3" w:rsidRPr="007D233A" w:rsidRDefault="006A53A3" w:rsidP="007D233A">
            <w:pPr>
              <w:autoSpaceDE w:val="0"/>
              <w:autoSpaceDN w:val="0"/>
              <w:adjustRightInd w:val="0"/>
              <w:jc w:val="both"/>
              <w:rPr>
                <w:color w:val="000000"/>
                <w:sz w:val="20"/>
                <w:szCs w:val="20"/>
              </w:rPr>
            </w:pPr>
            <w:r w:rsidRPr="007D233A">
              <w:rPr>
                <w:color w:val="000000"/>
                <w:sz w:val="20"/>
                <w:szCs w:val="20"/>
              </w:rPr>
              <w:t>0.511093</w:t>
            </w:r>
          </w:p>
        </w:tc>
        <w:tc>
          <w:tcPr>
            <w:tcW w:w="1578" w:type="pct"/>
            <w:shd w:val="clear" w:color="auto" w:fill="auto"/>
            <w:vAlign w:val="bottom"/>
          </w:tcPr>
          <w:p w:rsidR="006A53A3" w:rsidRPr="007D233A" w:rsidRDefault="006A53A3" w:rsidP="007D233A">
            <w:pPr>
              <w:autoSpaceDE w:val="0"/>
              <w:autoSpaceDN w:val="0"/>
              <w:adjustRightInd w:val="0"/>
              <w:jc w:val="both"/>
              <w:rPr>
                <w:color w:val="000000"/>
                <w:sz w:val="20"/>
                <w:szCs w:val="20"/>
              </w:rPr>
            </w:pPr>
            <w:r w:rsidRPr="007D233A">
              <w:rPr>
                <w:color w:val="000000"/>
                <w:sz w:val="20"/>
                <w:szCs w:val="20"/>
              </w:rPr>
              <w:t>0.6055</w:t>
            </w:r>
          </w:p>
        </w:tc>
      </w:tr>
      <w:tr w:rsidR="006A53A3" w:rsidRPr="007D233A" w:rsidTr="0089726C">
        <w:tc>
          <w:tcPr>
            <w:tcW w:w="1372" w:type="pct"/>
            <w:shd w:val="clear" w:color="auto" w:fill="auto"/>
            <w:vAlign w:val="bottom"/>
          </w:tcPr>
          <w:p w:rsidR="006A53A3" w:rsidRPr="007D233A" w:rsidRDefault="006A53A3" w:rsidP="007D233A">
            <w:pPr>
              <w:autoSpaceDE w:val="0"/>
              <w:autoSpaceDN w:val="0"/>
              <w:adjustRightInd w:val="0"/>
              <w:jc w:val="both"/>
              <w:rPr>
                <w:color w:val="000000"/>
                <w:sz w:val="20"/>
                <w:szCs w:val="20"/>
              </w:rPr>
            </w:pPr>
            <w:r w:rsidRPr="007D233A">
              <w:rPr>
                <w:color w:val="000000"/>
                <w:sz w:val="20"/>
                <w:szCs w:val="20"/>
              </w:rPr>
              <w:t>Equation 7</w:t>
            </w:r>
          </w:p>
        </w:tc>
        <w:tc>
          <w:tcPr>
            <w:tcW w:w="2051" w:type="pct"/>
            <w:shd w:val="clear" w:color="auto" w:fill="auto"/>
            <w:vAlign w:val="bottom"/>
          </w:tcPr>
          <w:p w:rsidR="006A53A3" w:rsidRPr="007D233A" w:rsidRDefault="006A53A3" w:rsidP="007D233A">
            <w:pPr>
              <w:autoSpaceDE w:val="0"/>
              <w:autoSpaceDN w:val="0"/>
              <w:adjustRightInd w:val="0"/>
              <w:jc w:val="both"/>
              <w:rPr>
                <w:color w:val="000000"/>
                <w:sz w:val="20"/>
                <w:szCs w:val="20"/>
              </w:rPr>
            </w:pPr>
            <w:r w:rsidRPr="007D233A">
              <w:rPr>
                <w:color w:val="000000"/>
                <w:sz w:val="20"/>
                <w:szCs w:val="20"/>
              </w:rPr>
              <w:t>0.017783</w:t>
            </w:r>
          </w:p>
        </w:tc>
        <w:tc>
          <w:tcPr>
            <w:tcW w:w="1578" w:type="pct"/>
            <w:shd w:val="clear" w:color="auto" w:fill="auto"/>
            <w:vAlign w:val="bottom"/>
          </w:tcPr>
          <w:p w:rsidR="006A53A3" w:rsidRPr="007D233A" w:rsidRDefault="006A53A3" w:rsidP="007D233A">
            <w:pPr>
              <w:autoSpaceDE w:val="0"/>
              <w:autoSpaceDN w:val="0"/>
              <w:adjustRightInd w:val="0"/>
              <w:jc w:val="both"/>
              <w:rPr>
                <w:color w:val="000000"/>
                <w:sz w:val="20"/>
                <w:szCs w:val="20"/>
              </w:rPr>
            </w:pPr>
            <w:r w:rsidRPr="007D233A">
              <w:rPr>
                <w:color w:val="000000"/>
                <w:sz w:val="20"/>
                <w:szCs w:val="20"/>
              </w:rPr>
              <w:t>0.9824</w:t>
            </w:r>
          </w:p>
        </w:tc>
      </w:tr>
    </w:tbl>
    <w:p w:rsidR="006A53A3" w:rsidRPr="007D233A" w:rsidRDefault="006A53A3" w:rsidP="0089726C">
      <w:pPr>
        <w:jc w:val="center"/>
        <w:rPr>
          <w:i/>
          <w:sz w:val="20"/>
          <w:szCs w:val="20"/>
        </w:rPr>
      </w:pPr>
      <w:r w:rsidRPr="0089726C">
        <w:rPr>
          <w:b/>
          <w:i/>
          <w:sz w:val="20"/>
          <w:szCs w:val="20"/>
        </w:rPr>
        <w:t>Source</w:t>
      </w:r>
      <w:r w:rsidRPr="007D233A">
        <w:rPr>
          <w:i/>
          <w:sz w:val="20"/>
          <w:szCs w:val="20"/>
        </w:rPr>
        <w:t>: Data Output E-views 10.0</w:t>
      </w:r>
    </w:p>
    <w:p w:rsidR="006A53A3" w:rsidRPr="007D233A" w:rsidRDefault="006A53A3" w:rsidP="0089726C">
      <w:pPr>
        <w:jc w:val="both"/>
        <w:rPr>
          <w:sz w:val="20"/>
          <w:szCs w:val="20"/>
        </w:rPr>
      </w:pPr>
    </w:p>
    <w:p w:rsidR="006A53A3" w:rsidRPr="007D233A" w:rsidRDefault="006A53A3" w:rsidP="0089726C">
      <w:pPr>
        <w:ind w:firstLine="357"/>
        <w:jc w:val="both"/>
        <w:rPr>
          <w:sz w:val="20"/>
          <w:szCs w:val="20"/>
        </w:rPr>
      </w:pPr>
      <w:r w:rsidRPr="007D233A">
        <w:rPr>
          <w:sz w:val="20"/>
          <w:szCs w:val="20"/>
        </w:rPr>
        <w:t>The variance of the error terms should not differ across observation, that is, a model should be free from heteroskedasticity problem which might distort result of analysis. Table 4 shows that the p-value of the Chq. statistic for the models areinsignificant at 5% level of significance. This is an inference that there is noheteroscedascticity in the models.</w:t>
      </w:r>
    </w:p>
    <w:p w:rsidR="00072595" w:rsidRPr="007D233A" w:rsidRDefault="00072595" w:rsidP="007D233A">
      <w:pPr>
        <w:jc w:val="both"/>
        <w:rPr>
          <w:b/>
          <w:color w:val="000000"/>
          <w:sz w:val="20"/>
          <w:szCs w:val="20"/>
        </w:rPr>
      </w:pPr>
    </w:p>
    <w:p w:rsidR="006A53A3" w:rsidRPr="007D233A" w:rsidRDefault="006A53A3" w:rsidP="0089726C">
      <w:pPr>
        <w:jc w:val="center"/>
        <w:rPr>
          <w:sz w:val="20"/>
          <w:szCs w:val="20"/>
        </w:rPr>
      </w:pPr>
      <w:r w:rsidRPr="007D233A">
        <w:rPr>
          <w:b/>
          <w:color w:val="000000"/>
          <w:sz w:val="20"/>
          <w:szCs w:val="20"/>
        </w:rPr>
        <w:t xml:space="preserve">Table 4: </w:t>
      </w:r>
      <w:r w:rsidRPr="007D233A">
        <w:rPr>
          <w:sz w:val="20"/>
          <w:szCs w:val="20"/>
        </w:rPr>
        <w:t>Heteroskedasticity Test</w:t>
      </w:r>
    </w:p>
    <w:tbl>
      <w:tblPr>
        <w:tblW w:w="5000" w:type="pct"/>
        <w:tblBorders>
          <w:top w:val="single" w:sz="4" w:space="0" w:color="auto"/>
          <w:bottom w:val="single" w:sz="4" w:space="0" w:color="auto"/>
        </w:tblBorders>
        <w:tblLook w:val="04A0"/>
      </w:tblPr>
      <w:tblGrid>
        <w:gridCol w:w="2734"/>
        <w:gridCol w:w="4087"/>
        <w:gridCol w:w="3142"/>
      </w:tblGrid>
      <w:tr w:rsidR="00B859A4" w:rsidRPr="007D233A" w:rsidTr="0089726C">
        <w:tc>
          <w:tcPr>
            <w:tcW w:w="1372" w:type="pct"/>
            <w:tcBorders>
              <w:top w:val="single" w:sz="4" w:space="0" w:color="auto"/>
              <w:bottom w:val="single" w:sz="4" w:space="0" w:color="auto"/>
            </w:tcBorders>
            <w:vAlign w:val="bottom"/>
          </w:tcPr>
          <w:p w:rsidR="00B859A4" w:rsidRPr="007D233A" w:rsidRDefault="00B859A4" w:rsidP="007D233A">
            <w:pPr>
              <w:autoSpaceDE w:val="0"/>
              <w:autoSpaceDN w:val="0"/>
              <w:adjustRightInd w:val="0"/>
              <w:jc w:val="both"/>
              <w:rPr>
                <w:sz w:val="20"/>
                <w:szCs w:val="20"/>
              </w:rPr>
            </w:pPr>
            <w:r w:rsidRPr="007D233A">
              <w:rPr>
                <w:sz w:val="20"/>
                <w:szCs w:val="20"/>
              </w:rPr>
              <w:t>Equations</w:t>
            </w:r>
          </w:p>
        </w:tc>
        <w:tc>
          <w:tcPr>
            <w:tcW w:w="2051" w:type="pct"/>
            <w:tcBorders>
              <w:top w:val="single" w:sz="4" w:space="0" w:color="auto"/>
              <w:bottom w:val="single" w:sz="4" w:space="0" w:color="auto"/>
            </w:tcBorders>
            <w:shd w:val="clear" w:color="auto" w:fill="auto"/>
            <w:vAlign w:val="bottom"/>
          </w:tcPr>
          <w:p w:rsidR="00B859A4" w:rsidRPr="007D233A" w:rsidRDefault="00B859A4" w:rsidP="007D233A">
            <w:pPr>
              <w:autoSpaceDE w:val="0"/>
              <w:autoSpaceDN w:val="0"/>
              <w:adjustRightInd w:val="0"/>
              <w:jc w:val="both"/>
              <w:rPr>
                <w:sz w:val="20"/>
                <w:szCs w:val="20"/>
              </w:rPr>
            </w:pPr>
            <w:r w:rsidRPr="007D233A">
              <w:rPr>
                <w:sz w:val="20"/>
                <w:szCs w:val="20"/>
              </w:rPr>
              <w:t>F-statistic</w:t>
            </w:r>
          </w:p>
        </w:tc>
        <w:tc>
          <w:tcPr>
            <w:tcW w:w="1578" w:type="pct"/>
            <w:tcBorders>
              <w:top w:val="single" w:sz="4" w:space="0" w:color="auto"/>
              <w:bottom w:val="single" w:sz="4" w:space="0" w:color="auto"/>
            </w:tcBorders>
            <w:shd w:val="clear" w:color="auto" w:fill="auto"/>
            <w:vAlign w:val="bottom"/>
          </w:tcPr>
          <w:p w:rsidR="00B859A4" w:rsidRPr="007D233A" w:rsidRDefault="00B859A4" w:rsidP="007D233A">
            <w:pPr>
              <w:autoSpaceDE w:val="0"/>
              <w:autoSpaceDN w:val="0"/>
              <w:adjustRightInd w:val="0"/>
              <w:jc w:val="both"/>
              <w:rPr>
                <w:sz w:val="20"/>
                <w:szCs w:val="20"/>
              </w:rPr>
            </w:pPr>
            <w:r w:rsidRPr="007D233A">
              <w:rPr>
                <w:color w:val="000000"/>
                <w:sz w:val="20"/>
                <w:szCs w:val="20"/>
              </w:rPr>
              <w:t>Prob. F(1,31)</w:t>
            </w:r>
          </w:p>
        </w:tc>
      </w:tr>
      <w:tr w:rsidR="00B859A4" w:rsidRPr="007D233A" w:rsidTr="0089726C">
        <w:tc>
          <w:tcPr>
            <w:tcW w:w="1372" w:type="pct"/>
            <w:tcBorders>
              <w:top w:val="single" w:sz="4" w:space="0" w:color="auto"/>
            </w:tcBorders>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Equation 5</w:t>
            </w:r>
          </w:p>
        </w:tc>
        <w:tc>
          <w:tcPr>
            <w:tcW w:w="2051" w:type="pct"/>
            <w:tcBorders>
              <w:top w:val="single" w:sz="4" w:space="0" w:color="auto"/>
            </w:tcBorders>
            <w:shd w:val="clear" w:color="auto" w:fill="auto"/>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0.798964</w:t>
            </w:r>
          </w:p>
        </w:tc>
        <w:tc>
          <w:tcPr>
            <w:tcW w:w="1578" w:type="pct"/>
            <w:tcBorders>
              <w:top w:val="single" w:sz="4" w:space="0" w:color="auto"/>
            </w:tcBorders>
            <w:shd w:val="clear" w:color="auto" w:fill="auto"/>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0.3783</w:t>
            </w:r>
          </w:p>
        </w:tc>
      </w:tr>
      <w:tr w:rsidR="00B859A4" w:rsidRPr="007D233A" w:rsidTr="0089726C">
        <w:tc>
          <w:tcPr>
            <w:tcW w:w="1372"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Equation 6</w:t>
            </w:r>
          </w:p>
        </w:tc>
        <w:tc>
          <w:tcPr>
            <w:tcW w:w="2051" w:type="pct"/>
            <w:shd w:val="clear" w:color="auto" w:fill="auto"/>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1.527593</w:t>
            </w:r>
          </w:p>
        </w:tc>
        <w:tc>
          <w:tcPr>
            <w:tcW w:w="1578" w:type="pct"/>
            <w:shd w:val="clear" w:color="auto" w:fill="auto"/>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0.2203</w:t>
            </w:r>
          </w:p>
        </w:tc>
      </w:tr>
      <w:tr w:rsidR="00B859A4" w:rsidRPr="007D233A" w:rsidTr="0089726C">
        <w:tc>
          <w:tcPr>
            <w:tcW w:w="1372"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Equation 7</w:t>
            </w:r>
          </w:p>
        </w:tc>
        <w:tc>
          <w:tcPr>
            <w:tcW w:w="2051" w:type="pct"/>
            <w:shd w:val="clear" w:color="auto" w:fill="auto"/>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0.123080</w:t>
            </w:r>
          </w:p>
        </w:tc>
        <w:tc>
          <w:tcPr>
            <w:tcW w:w="1578" w:type="pct"/>
            <w:shd w:val="clear" w:color="auto" w:fill="auto"/>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0.7281</w:t>
            </w:r>
          </w:p>
        </w:tc>
      </w:tr>
    </w:tbl>
    <w:p w:rsidR="006A53A3" w:rsidRPr="007D233A" w:rsidRDefault="006A53A3" w:rsidP="0089726C">
      <w:pPr>
        <w:jc w:val="center"/>
        <w:rPr>
          <w:i/>
          <w:sz w:val="20"/>
          <w:szCs w:val="20"/>
        </w:rPr>
      </w:pPr>
      <w:r w:rsidRPr="0089726C">
        <w:rPr>
          <w:b/>
          <w:i/>
          <w:sz w:val="20"/>
          <w:szCs w:val="20"/>
        </w:rPr>
        <w:t>Source</w:t>
      </w:r>
      <w:r w:rsidRPr="007D233A">
        <w:rPr>
          <w:i/>
          <w:sz w:val="20"/>
          <w:szCs w:val="20"/>
        </w:rPr>
        <w:t xml:space="preserve">: Data Output E-views </w:t>
      </w:r>
      <w:r w:rsidR="00B859A4" w:rsidRPr="007D233A">
        <w:rPr>
          <w:i/>
          <w:sz w:val="20"/>
          <w:szCs w:val="20"/>
        </w:rPr>
        <w:t>10</w:t>
      </w:r>
      <w:r w:rsidRPr="007D233A">
        <w:rPr>
          <w:i/>
          <w:sz w:val="20"/>
          <w:szCs w:val="20"/>
        </w:rPr>
        <w:t>.0</w:t>
      </w:r>
    </w:p>
    <w:p w:rsidR="006A53A3" w:rsidRPr="007D233A" w:rsidRDefault="006A53A3" w:rsidP="0089726C">
      <w:pPr>
        <w:jc w:val="both"/>
        <w:rPr>
          <w:sz w:val="20"/>
          <w:szCs w:val="20"/>
        </w:rPr>
      </w:pPr>
    </w:p>
    <w:p w:rsidR="006A53A3" w:rsidRPr="007D233A" w:rsidRDefault="006A53A3" w:rsidP="0089726C">
      <w:pPr>
        <w:ind w:firstLine="357"/>
        <w:jc w:val="both"/>
        <w:rPr>
          <w:sz w:val="20"/>
          <w:szCs w:val="20"/>
        </w:rPr>
      </w:pPr>
      <w:r w:rsidRPr="007D233A">
        <w:rPr>
          <w:sz w:val="20"/>
          <w:szCs w:val="20"/>
        </w:rPr>
        <w:t>Ramsey Reset corrects the functional form of a model and ensures that a model is statistical well specified. Thenon-linear combinations of the independent variables should not predict the dependent variable. Table 5 shows that all the models were well specified ass the p-values are insignificant at 5% level of significance.</w:t>
      </w:r>
    </w:p>
    <w:p w:rsidR="00767F1E" w:rsidRPr="007D233A" w:rsidRDefault="00767F1E" w:rsidP="007D233A">
      <w:pPr>
        <w:jc w:val="both"/>
        <w:rPr>
          <w:b/>
          <w:sz w:val="20"/>
          <w:szCs w:val="20"/>
        </w:rPr>
      </w:pPr>
    </w:p>
    <w:p w:rsidR="006A53A3" w:rsidRPr="007D233A" w:rsidRDefault="006A53A3" w:rsidP="00EC3413">
      <w:pPr>
        <w:jc w:val="center"/>
        <w:rPr>
          <w:sz w:val="20"/>
          <w:szCs w:val="20"/>
        </w:rPr>
      </w:pPr>
      <w:r w:rsidRPr="007D233A">
        <w:rPr>
          <w:b/>
          <w:color w:val="000000"/>
          <w:sz w:val="20"/>
          <w:szCs w:val="20"/>
        </w:rPr>
        <w:t xml:space="preserve">Table 5: </w:t>
      </w:r>
      <w:r w:rsidRPr="007D233A">
        <w:rPr>
          <w:sz w:val="20"/>
          <w:szCs w:val="20"/>
        </w:rPr>
        <w:t>Ramsey RESET Test</w:t>
      </w:r>
    </w:p>
    <w:tbl>
      <w:tblPr>
        <w:tblW w:w="5000" w:type="pct"/>
        <w:tblBorders>
          <w:top w:val="single" w:sz="4" w:space="0" w:color="auto"/>
          <w:bottom w:val="single" w:sz="4" w:space="0" w:color="auto"/>
        </w:tblBorders>
        <w:tblLook w:val="04A0"/>
      </w:tblPr>
      <w:tblGrid>
        <w:gridCol w:w="2734"/>
        <w:gridCol w:w="1961"/>
        <w:gridCol w:w="2289"/>
        <w:gridCol w:w="2979"/>
      </w:tblGrid>
      <w:tr w:rsidR="006A53A3" w:rsidRPr="007D233A" w:rsidTr="0089726C">
        <w:tc>
          <w:tcPr>
            <w:tcW w:w="1372" w:type="pct"/>
            <w:tcBorders>
              <w:top w:val="single" w:sz="4" w:space="0" w:color="auto"/>
              <w:bottom w:val="single" w:sz="4" w:space="0" w:color="auto"/>
            </w:tcBorders>
            <w:shd w:val="clear" w:color="auto" w:fill="auto"/>
            <w:vAlign w:val="bottom"/>
          </w:tcPr>
          <w:p w:rsidR="006A53A3" w:rsidRPr="007D233A" w:rsidRDefault="00B859A4" w:rsidP="007D233A">
            <w:pPr>
              <w:autoSpaceDE w:val="0"/>
              <w:autoSpaceDN w:val="0"/>
              <w:adjustRightInd w:val="0"/>
              <w:jc w:val="both"/>
              <w:rPr>
                <w:sz w:val="20"/>
                <w:szCs w:val="20"/>
              </w:rPr>
            </w:pPr>
            <w:r w:rsidRPr="007D233A">
              <w:rPr>
                <w:sz w:val="20"/>
                <w:szCs w:val="20"/>
              </w:rPr>
              <w:t>Equations</w:t>
            </w:r>
          </w:p>
        </w:tc>
        <w:tc>
          <w:tcPr>
            <w:tcW w:w="984" w:type="pct"/>
            <w:tcBorders>
              <w:top w:val="single" w:sz="4" w:space="0" w:color="auto"/>
              <w:bottom w:val="single" w:sz="4" w:space="0" w:color="auto"/>
            </w:tcBorders>
            <w:shd w:val="clear" w:color="auto" w:fill="auto"/>
            <w:vAlign w:val="bottom"/>
          </w:tcPr>
          <w:p w:rsidR="006A53A3" w:rsidRPr="007D233A" w:rsidRDefault="006A53A3" w:rsidP="007D233A">
            <w:pPr>
              <w:autoSpaceDE w:val="0"/>
              <w:autoSpaceDN w:val="0"/>
              <w:adjustRightInd w:val="0"/>
              <w:jc w:val="both"/>
              <w:rPr>
                <w:color w:val="000000"/>
                <w:sz w:val="20"/>
                <w:szCs w:val="20"/>
              </w:rPr>
            </w:pPr>
            <w:r w:rsidRPr="007D233A">
              <w:rPr>
                <w:color w:val="000000"/>
                <w:sz w:val="20"/>
                <w:szCs w:val="20"/>
              </w:rPr>
              <w:t>Value</w:t>
            </w:r>
          </w:p>
        </w:tc>
        <w:tc>
          <w:tcPr>
            <w:tcW w:w="1149" w:type="pct"/>
            <w:tcBorders>
              <w:top w:val="single" w:sz="4" w:space="0" w:color="auto"/>
              <w:bottom w:val="single" w:sz="4" w:space="0" w:color="auto"/>
            </w:tcBorders>
            <w:vAlign w:val="bottom"/>
          </w:tcPr>
          <w:p w:rsidR="006A53A3" w:rsidRPr="007D233A" w:rsidRDefault="006A53A3" w:rsidP="007D233A">
            <w:pPr>
              <w:autoSpaceDE w:val="0"/>
              <w:autoSpaceDN w:val="0"/>
              <w:adjustRightInd w:val="0"/>
              <w:jc w:val="both"/>
              <w:rPr>
                <w:color w:val="000000"/>
                <w:sz w:val="20"/>
                <w:szCs w:val="20"/>
              </w:rPr>
            </w:pPr>
            <w:r w:rsidRPr="007D233A">
              <w:rPr>
                <w:color w:val="000000"/>
                <w:sz w:val="20"/>
                <w:szCs w:val="20"/>
              </w:rPr>
              <w:t>df</w:t>
            </w:r>
          </w:p>
        </w:tc>
        <w:tc>
          <w:tcPr>
            <w:tcW w:w="1495" w:type="pct"/>
            <w:tcBorders>
              <w:top w:val="single" w:sz="4" w:space="0" w:color="auto"/>
              <w:bottom w:val="single" w:sz="4" w:space="0" w:color="auto"/>
            </w:tcBorders>
            <w:shd w:val="clear" w:color="auto" w:fill="auto"/>
            <w:vAlign w:val="bottom"/>
          </w:tcPr>
          <w:p w:rsidR="006A53A3" w:rsidRPr="007D233A" w:rsidRDefault="006A53A3" w:rsidP="007D233A">
            <w:pPr>
              <w:autoSpaceDE w:val="0"/>
              <w:autoSpaceDN w:val="0"/>
              <w:adjustRightInd w:val="0"/>
              <w:jc w:val="both"/>
              <w:rPr>
                <w:color w:val="000000"/>
                <w:sz w:val="20"/>
                <w:szCs w:val="20"/>
              </w:rPr>
            </w:pPr>
            <w:r w:rsidRPr="007D233A">
              <w:rPr>
                <w:color w:val="000000"/>
                <w:sz w:val="20"/>
                <w:szCs w:val="20"/>
              </w:rPr>
              <w:t>Probability</w:t>
            </w:r>
          </w:p>
        </w:tc>
      </w:tr>
      <w:tr w:rsidR="00B859A4" w:rsidRPr="007D233A" w:rsidTr="0089726C">
        <w:tc>
          <w:tcPr>
            <w:tcW w:w="1372" w:type="pct"/>
            <w:tcBorders>
              <w:top w:val="single" w:sz="4" w:space="0" w:color="auto"/>
            </w:tcBorders>
            <w:shd w:val="clear" w:color="auto" w:fill="auto"/>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Equation 5</w:t>
            </w:r>
          </w:p>
        </w:tc>
        <w:tc>
          <w:tcPr>
            <w:tcW w:w="984" w:type="pct"/>
            <w:tcBorders>
              <w:top w:val="single" w:sz="4" w:space="0" w:color="auto"/>
            </w:tcBorders>
            <w:shd w:val="clear" w:color="auto" w:fill="auto"/>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0.048643</w:t>
            </w:r>
          </w:p>
        </w:tc>
        <w:tc>
          <w:tcPr>
            <w:tcW w:w="1149" w:type="pct"/>
            <w:tcBorders>
              <w:top w:val="single" w:sz="4" w:space="0" w:color="auto"/>
            </w:tcBorders>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(1, 28)</w:t>
            </w:r>
          </w:p>
        </w:tc>
        <w:tc>
          <w:tcPr>
            <w:tcW w:w="1495" w:type="pct"/>
            <w:tcBorders>
              <w:top w:val="single" w:sz="4" w:space="0" w:color="auto"/>
            </w:tcBorders>
            <w:shd w:val="clear" w:color="auto" w:fill="auto"/>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0.8270</w:t>
            </w:r>
          </w:p>
        </w:tc>
      </w:tr>
      <w:tr w:rsidR="00B859A4" w:rsidRPr="007D233A" w:rsidTr="0089726C">
        <w:tc>
          <w:tcPr>
            <w:tcW w:w="1372" w:type="pct"/>
            <w:shd w:val="clear" w:color="auto" w:fill="auto"/>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Equation 6</w:t>
            </w:r>
          </w:p>
        </w:tc>
        <w:tc>
          <w:tcPr>
            <w:tcW w:w="984" w:type="pct"/>
            <w:shd w:val="clear" w:color="auto" w:fill="auto"/>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1.057154</w:t>
            </w:r>
          </w:p>
        </w:tc>
        <w:tc>
          <w:tcPr>
            <w:tcW w:w="1149"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(1, 28)</w:t>
            </w:r>
          </w:p>
        </w:tc>
        <w:tc>
          <w:tcPr>
            <w:tcW w:w="1495" w:type="pct"/>
            <w:shd w:val="clear" w:color="auto" w:fill="auto"/>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0.3127</w:t>
            </w:r>
          </w:p>
        </w:tc>
      </w:tr>
      <w:tr w:rsidR="00B859A4" w:rsidRPr="007D233A" w:rsidTr="0089726C">
        <w:tc>
          <w:tcPr>
            <w:tcW w:w="1372" w:type="pct"/>
            <w:shd w:val="clear" w:color="auto" w:fill="auto"/>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Equation 7</w:t>
            </w:r>
          </w:p>
        </w:tc>
        <w:tc>
          <w:tcPr>
            <w:tcW w:w="984" w:type="pct"/>
            <w:shd w:val="clear" w:color="auto" w:fill="auto"/>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2.579628</w:t>
            </w:r>
          </w:p>
        </w:tc>
        <w:tc>
          <w:tcPr>
            <w:tcW w:w="1149"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(1, 28)</w:t>
            </w:r>
          </w:p>
        </w:tc>
        <w:tc>
          <w:tcPr>
            <w:tcW w:w="1495" w:type="pct"/>
            <w:shd w:val="clear" w:color="auto" w:fill="auto"/>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0.1195</w:t>
            </w:r>
          </w:p>
        </w:tc>
      </w:tr>
    </w:tbl>
    <w:p w:rsidR="006A53A3" w:rsidRPr="007D233A" w:rsidRDefault="006A53A3" w:rsidP="00EC3413">
      <w:pPr>
        <w:jc w:val="center"/>
        <w:rPr>
          <w:i/>
          <w:sz w:val="20"/>
          <w:szCs w:val="20"/>
        </w:rPr>
      </w:pPr>
      <w:r w:rsidRPr="0089726C">
        <w:rPr>
          <w:b/>
          <w:i/>
          <w:sz w:val="20"/>
          <w:szCs w:val="20"/>
        </w:rPr>
        <w:t>Source</w:t>
      </w:r>
      <w:r w:rsidRPr="007D233A">
        <w:rPr>
          <w:i/>
          <w:sz w:val="20"/>
          <w:szCs w:val="20"/>
        </w:rPr>
        <w:t xml:space="preserve">: Data Output E-views </w:t>
      </w:r>
      <w:r w:rsidR="00B859A4" w:rsidRPr="007D233A">
        <w:rPr>
          <w:i/>
          <w:sz w:val="20"/>
          <w:szCs w:val="20"/>
        </w:rPr>
        <w:t>10</w:t>
      </w:r>
      <w:r w:rsidRPr="007D233A">
        <w:rPr>
          <w:i/>
          <w:sz w:val="20"/>
          <w:szCs w:val="20"/>
        </w:rPr>
        <w:t>.0</w:t>
      </w:r>
    </w:p>
    <w:p w:rsidR="006A53A3" w:rsidRPr="007D233A" w:rsidRDefault="006A53A3" w:rsidP="00EC3413">
      <w:pPr>
        <w:jc w:val="both"/>
        <w:rPr>
          <w:sz w:val="20"/>
          <w:szCs w:val="20"/>
        </w:rPr>
      </w:pPr>
    </w:p>
    <w:p w:rsidR="006A53A3" w:rsidRPr="007D233A" w:rsidRDefault="006A53A3" w:rsidP="00EC3413">
      <w:pPr>
        <w:ind w:firstLine="357"/>
        <w:jc w:val="both"/>
        <w:rPr>
          <w:sz w:val="20"/>
          <w:szCs w:val="20"/>
        </w:rPr>
      </w:pPr>
      <w:r w:rsidRPr="007D233A">
        <w:rPr>
          <w:sz w:val="20"/>
          <w:szCs w:val="20"/>
        </w:rPr>
        <w:t>To ensure there is no problem of multicollinearity in the model, the correlation matrix for the variables were performed and presented in Table 6. It is observed that there is no problem of multicollinearity between the control variables introduced in the model. The correlation between inflation, interest rate, implicit price deflator for crop production, livestock and forestry GDP are -0.05, -0.40, -0.39 and -0.41 respectively.</w:t>
      </w:r>
    </w:p>
    <w:p w:rsidR="00767F1E" w:rsidRPr="007D233A" w:rsidRDefault="00767F1E" w:rsidP="007D233A">
      <w:pPr>
        <w:jc w:val="both"/>
        <w:rPr>
          <w:sz w:val="20"/>
          <w:szCs w:val="20"/>
        </w:rPr>
      </w:pPr>
    </w:p>
    <w:p w:rsidR="006A53A3" w:rsidRPr="007D233A" w:rsidRDefault="006A53A3" w:rsidP="00EC3413">
      <w:pPr>
        <w:jc w:val="center"/>
        <w:rPr>
          <w:sz w:val="20"/>
          <w:szCs w:val="20"/>
        </w:rPr>
      </w:pPr>
      <w:r w:rsidRPr="007D233A">
        <w:rPr>
          <w:b/>
          <w:color w:val="000000"/>
          <w:sz w:val="20"/>
          <w:szCs w:val="20"/>
        </w:rPr>
        <w:t>Table 6</w:t>
      </w:r>
      <w:r w:rsidRPr="007D233A">
        <w:rPr>
          <w:color w:val="000000"/>
          <w:sz w:val="20"/>
          <w:szCs w:val="20"/>
        </w:rPr>
        <w:t>: Correlation Matrix</w:t>
      </w:r>
    </w:p>
    <w:tbl>
      <w:tblPr>
        <w:tblW w:w="5000" w:type="pct"/>
        <w:tblBorders>
          <w:top w:val="single" w:sz="4" w:space="0" w:color="auto"/>
          <w:bottom w:val="single" w:sz="4" w:space="0" w:color="auto"/>
        </w:tblBorders>
        <w:tblLook w:val="04A0"/>
      </w:tblPr>
      <w:tblGrid>
        <w:gridCol w:w="927"/>
        <w:gridCol w:w="1004"/>
        <w:gridCol w:w="1004"/>
        <w:gridCol w:w="1004"/>
        <w:gridCol w:w="1004"/>
        <w:gridCol w:w="1004"/>
        <w:gridCol w:w="1004"/>
        <w:gridCol w:w="1004"/>
        <w:gridCol w:w="1004"/>
        <w:gridCol w:w="1004"/>
      </w:tblGrid>
      <w:tr w:rsidR="00B859A4" w:rsidRPr="007D233A" w:rsidTr="00EC3413">
        <w:tc>
          <w:tcPr>
            <w:tcW w:w="458" w:type="pct"/>
            <w:tcBorders>
              <w:top w:val="single" w:sz="4" w:space="0" w:color="auto"/>
              <w:bottom w:val="single" w:sz="4" w:space="0" w:color="auto"/>
            </w:tcBorders>
            <w:vAlign w:val="bottom"/>
          </w:tcPr>
          <w:p w:rsidR="00B859A4" w:rsidRPr="007D233A" w:rsidRDefault="00B859A4" w:rsidP="007D233A">
            <w:pPr>
              <w:autoSpaceDE w:val="0"/>
              <w:autoSpaceDN w:val="0"/>
              <w:adjustRightInd w:val="0"/>
              <w:jc w:val="both"/>
              <w:rPr>
                <w:color w:val="000000"/>
                <w:sz w:val="20"/>
                <w:szCs w:val="20"/>
              </w:rPr>
            </w:pPr>
          </w:p>
        </w:tc>
        <w:tc>
          <w:tcPr>
            <w:tcW w:w="500" w:type="pct"/>
            <w:tcBorders>
              <w:top w:val="single" w:sz="4" w:space="0" w:color="auto"/>
              <w:bottom w:val="single" w:sz="4" w:space="0" w:color="auto"/>
            </w:tcBorders>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CPGDP</w:t>
            </w:r>
          </w:p>
        </w:tc>
        <w:tc>
          <w:tcPr>
            <w:tcW w:w="500" w:type="pct"/>
            <w:tcBorders>
              <w:top w:val="single" w:sz="4" w:space="0" w:color="auto"/>
              <w:bottom w:val="single" w:sz="4" w:space="0" w:color="auto"/>
            </w:tcBorders>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LGDP</w:t>
            </w:r>
          </w:p>
        </w:tc>
        <w:tc>
          <w:tcPr>
            <w:tcW w:w="500" w:type="pct"/>
            <w:tcBorders>
              <w:top w:val="single" w:sz="4" w:space="0" w:color="auto"/>
              <w:bottom w:val="single" w:sz="4" w:space="0" w:color="auto"/>
            </w:tcBorders>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FGDP</w:t>
            </w:r>
          </w:p>
        </w:tc>
        <w:tc>
          <w:tcPr>
            <w:tcW w:w="500" w:type="pct"/>
            <w:tcBorders>
              <w:top w:val="single" w:sz="4" w:space="0" w:color="auto"/>
              <w:bottom w:val="single" w:sz="4" w:space="0" w:color="auto"/>
            </w:tcBorders>
            <w:vAlign w:val="bottom"/>
          </w:tcPr>
          <w:p w:rsidR="00B859A4" w:rsidRPr="007D233A" w:rsidRDefault="00D6391E" w:rsidP="007D233A">
            <w:pPr>
              <w:autoSpaceDE w:val="0"/>
              <w:autoSpaceDN w:val="0"/>
              <w:adjustRightInd w:val="0"/>
              <w:jc w:val="both"/>
              <w:rPr>
                <w:color w:val="000000"/>
                <w:sz w:val="20"/>
                <w:szCs w:val="20"/>
              </w:rPr>
            </w:pPr>
            <w:r w:rsidRPr="007D233A">
              <w:rPr>
                <w:color w:val="000000"/>
                <w:sz w:val="20"/>
                <w:szCs w:val="20"/>
              </w:rPr>
              <w:t>DMB</w:t>
            </w:r>
            <w:r w:rsidR="004B134D" w:rsidRPr="007D233A">
              <w:rPr>
                <w:color w:val="000000"/>
                <w:sz w:val="20"/>
                <w:szCs w:val="20"/>
              </w:rPr>
              <w:t>L</w:t>
            </w:r>
            <w:r w:rsidR="00B859A4" w:rsidRPr="007D233A">
              <w:rPr>
                <w:color w:val="000000"/>
                <w:sz w:val="20"/>
                <w:szCs w:val="20"/>
              </w:rPr>
              <w:t>A</w:t>
            </w:r>
          </w:p>
        </w:tc>
        <w:tc>
          <w:tcPr>
            <w:tcW w:w="500" w:type="pct"/>
            <w:tcBorders>
              <w:top w:val="single" w:sz="4" w:space="0" w:color="auto"/>
              <w:bottom w:val="single" w:sz="4" w:space="0" w:color="auto"/>
            </w:tcBorders>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INF</w:t>
            </w:r>
          </w:p>
        </w:tc>
        <w:tc>
          <w:tcPr>
            <w:tcW w:w="500" w:type="pct"/>
            <w:tcBorders>
              <w:top w:val="single" w:sz="4" w:space="0" w:color="auto"/>
              <w:bottom w:val="single" w:sz="4" w:space="0" w:color="auto"/>
            </w:tcBorders>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INT</w:t>
            </w:r>
          </w:p>
        </w:tc>
        <w:tc>
          <w:tcPr>
            <w:tcW w:w="500" w:type="pct"/>
            <w:tcBorders>
              <w:top w:val="single" w:sz="4" w:space="0" w:color="auto"/>
              <w:bottom w:val="single" w:sz="4" w:space="0" w:color="auto"/>
            </w:tcBorders>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IPDCP</w:t>
            </w:r>
          </w:p>
        </w:tc>
        <w:tc>
          <w:tcPr>
            <w:tcW w:w="542" w:type="pct"/>
            <w:tcBorders>
              <w:top w:val="single" w:sz="4" w:space="0" w:color="auto"/>
              <w:bottom w:val="single" w:sz="4" w:space="0" w:color="auto"/>
            </w:tcBorders>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IPDL</w:t>
            </w:r>
          </w:p>
        </w:tc>
        <w:tc>
          <w:tcPr>
            <w:tcW w:w="500" w:type="pct"/>
            <w:tcBorders>
              <w:top w:val="single" w:sz="4" w:space="0" w:color="auto"/>
              <w:bottom w:val="single" w:sz="4" w:space="0" w:color="auto"/>
            </w:tcBorders>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IPDF</w:t>
            </w:r>
          </w:p>
        </w:tc>
      </w:tr>
      <w:tr w:rsidR="00B859A4" w:rsidRPr="007D233A" w:rsidTr="00EC3413">
        <w:tc>
          <w:tcPr>
            <w:tcW w:w="458" w:type="pct"/>
            <w:tcBorders>
              <w:top w:val="single" w:sz="4" w:space="0" w:color="auto"/>
            </w:tcBorders>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CPGDP</w:t>
            </w:r>
          </w:p>
        </w:tc>
        <w:tc>
          <w:tcPr>
            <w:tcW w:w="500" w:type="pct"/>
            <w:tcBorders>
              <w:top w:val="single" w:sz="4" w:space="0" w:color="auto"/>
            </w:tcBorders>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1.000000</w:t>
            </w:r>
          </w:p>
        </w:tc>
        <w:tc>
          <w:tcPr>
            <w:tcW w:w="500" w:type="pct"/>
            <w:tcBorders>
              <w:top w:val="single" w:sz="4" w:space="0" w:color="auto"/>
            </w:tcBorders>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0.987888</w:t>
            </w:r>
          </w:p>
        </w:tc>
        <w:tc>
          <w:tcPr>
            <w:tcW w:w="500" w:type="pct"/>
            <w:tcBorders>
              <w:top w:val="single" w:sz="4" w:space="0" w:color="auto"/>
            </w:tcBorders>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0.954948</w:t>
            </w:r>
          </w:p>
        </w:tc>
        <w:tc>
          <w:tcPr>
            <w:tcW w:w="500" w:type="pct"/>
            <w:tcBorders>
              <w:top w:val="single" w:sz="4" w:space="0" w:color="auto"/>
            </w:tcBorders>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0.882421</w:t>
            </w:r>
          </w:p>
        </w:tc>
        <w:tc>
          <w:tcPr>
            <w:tcW w:w="500" w:type="pct"/>
            <w:tcBorders>
              <w:top w:val="single" w:sz="4" w:space="0" w:color="auto"/>
            </w:tcBorders>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-0.386321</w:t>
            </w:r>
          </w:p>
        </w:tc>
        <w:tc>
          <w:tcPr>
            <w:tcW w:w="500" w:type="pct"/>
            <w:tcBorders>
              <w:top w:val="single" w:sz="4" w:space="0" w:color="auto"/>
            </w:tcBorders>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0.062123</w:t>
            </w:r>
          </w:p>
        </w:tc>
        <w:tc>
          <w:tcPr>
            <w:tcW w:w="500" w:type="pct"/>
            <w:tcBorders>
              <w:top w:val="single" w:sz="4" w:space="0" w:color="auto"/>
            </w:tcBorders>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0.989717</w:t>
            </w:r>
          </w:p>
        </w:tc>
        <w:tc>
          <w:tcPr>
            <w:tcW w:w="542" w:type="pct"/>
            <w:tcBorders>
              <w:top w:val="single" w:sz="4" w:space="0" w:color="auto"/>
            </w:tcBorders>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0.985365</w:t>
            </w:r>
          </w:p>
        </w:tc>
        <w:tc>
          <w:tcPr>
            <w:tcW w:w="500" w:type="pct"/>
            <w:tcBorders>
              <w:top w:val="single" w:sz="4" w:space="0" w:color="auto"/>
            </w:tcBorders>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0.994792</w:t>
            </w:r>
          </w:p>
        </w:tc>
      </w:tr>
      <w:tr w:rsidR="00B859A4" w:rsidRPr="007D233A" w:rsidTr="00EC3413">
        <w:tc>
          <w:tcPr>
            <w:tcW w:w="458"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LGDP</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0.987888</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1.000000</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0.972604</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0.906956</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-0.376061</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-0.000243</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0.984036</w:t>
            </w:r>
          </w:p>
        </w:tc>
        <w:tc>
          <w:tcPr>
            <w:tcW w:w="542"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0.989368</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0.990537</w:t>
            </w:r>
          </w:p>
        </w:tc>
      </w:tr>
      <w:tr w:rsidR="00B859A4" w:rsidRPr="007D233A" w:rsidTr="00EC3413">
        <w:tc>
          <w:tcPr>
            <w:tcW w:w="458"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FGDP</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0.954948</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0.972604</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1.000000</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0.945266</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-0.373401</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-0.052767</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0.944557</w:t>
            </w:r>
          </w:p>
        </w:tc>
        <w:tc>
          <w:tcPr>
            <w:tcW w:w="542"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0.972765</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0.966570</w:t>
            </w:r>
          </w:p>
        </w:tc>
      </w:tr>
      <w:tr w:rsidR="00B859A4" w:rsidRPr="007D233A" w:rsidTr="00EC3413">
        <w:tc>
          <w:tcPr>
            <w:tcW w:w="458" w:type="pct"/>
            <w:vAlign w:val="bottom"/>
          </w:tcPr>
          <w:p w:rsidR="00B859A4" w:rsidRPr="007D233A" w:rsidRDefault="00D6391E" w:rsidP="007D233A">
            <w:pPr>
              <w:autoSpaceDE w:val="0"/>
              <w:autoSpaceDN w:val="0"/>
              <w:adjustRightInd w:val="0"/>
              <w:jc w:val="both"/>
              <w:rPr>
                <w:color w:val="000000"/>
                <w:sz w:val="20"/>
                <w:szCs w:val="20"/>
              </w:rPr>
            </w:pPr>
            <w:r w:rsidRPr="007D233A">
              <w:rPr>
                <w:color w:val="000000"/>
                <w:sz w:val="20"/>
                <w:szCs w:val="20"/>
              </w:rPr>
              <w:t>DMB</w:t>
            </w:r>
            <w:r w:rsidR="004B134D" w:rsidRPr="007D233A">
              <w:rPr>
                <w:color w:val="000000"/>
                <w:sz w:val="20"/>
                <w:szCs w:val="20"/>
              </w:rPr>
              <w:t>L</w:t>
            </w:r>
            <w:r w:rsidRPr="007D233A">
              <w:rPr>
                <w:color w:val="000000"/>
                <w:sz w:val="20"/>
                <w:szCs w:val="20"/>
              </w:rPr>
              <w:t>A</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0.882421</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0.906956</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0.945266</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1.000000</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-0.313356</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-0.029536</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0.869758</w:t>
            </w:r>
          </w:p>
        </w:tc>
        <w:tc>
          <w:tcPr>
            <w:tcW w:w="542"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0.927825</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0.897962</w:t>
            </w:r>
          </w:p>
        </w:tc>
      </w:tr>
      <w:tr w:rsidR="00B859A4" w:rsidRPr="007D233A" w:rsidTr="00EC3413">
        <w:tc>
          <w:tcPr>
            <w:tcW w:w="458"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INF</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-0.386321</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-0.376061</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-0.373401</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-0.313356</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1.000000</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-0.050760</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-0.401823</w:t>
            </w:r>
          </w:p>
        </w:tc>
        <w:tc>
          <w:tcPr>
            <w:tcW w:w="542"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-0.389404</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-0.409251</w:t>
            </w:r>
          </w:p>
        </w:tc>
      </w:tr>
      <w:tr w:rsidR="00B859A4" w:rsidRPr="007D233A" w:rsidTr="00EC3413">
        <w:tc>
          <w:tcPr>
            <w:tcW w:w="458"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INT</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0.062123</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-0.000243</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-0.052767</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-0.029536</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-0.050760</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1.000000</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0.056800</w:t>
            </w:r>
          </w:p>
        </w:tc>
        <w:tc>
          <w:tcPr>
            <w:tcW w:w="542"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0.011353</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0.029912</w:t>
            </w:r>
          </w:p>
        </w:tc>
      </w:tr>
      <w:tr w:rsidR="00B859A4" w:rsidRPr="007D233A" w:rsidTr="00EC3413">
        <w:tc>
          <w:tcPr>
            <w:tcW w:w="458"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IPDCP</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0.989717</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0.984036</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0.944557</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0.869758</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-0.401823</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0.056800</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1.000000</w:t>
            </w:r>
          </w:p>
        </w:tc>
        <w:tc>
          <w:tcPr>
            <w:tcW w:w="542"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0.988843</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0.991386</w:t>
            </w:r>
          </w:p>
        </w:tc>
      </w:tr>
      <w:tr w:rsidR="00B859A4" w:rsidRPr="007D233A" w:rsidTr="00EC3413">
        <w:tc>
          <w:tcPr>
            <w:tcW w:w="458"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IPDL</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0.985365</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0.989368</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0.972765</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0.927825</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-0.389404</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0.011353</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0.988843</w:t>
            </w:r>
          </w:p>
        </w:tc>
        <w:tc>
          <w:tcPr>
            <w:tcW w:w="542"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1.000000</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0.993108</w:t>
            </w:r>
          </w:p>
        </w:tc>
      </w:tr>
      <w:tr w:rsidR="00B859A4" w:rsidRPr="007D233A" w:rsidTr="00EC3413">
        <w:tc>
          <w:tcPr>
            <w:tcW w:w="458"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IPDF</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0.994792</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0.990537</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0.966570</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0.897962</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-0.409251</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0.029912</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0.991386</w:t>
            </w:r>
          </w:p>
        </w:tc>
        <w:tc>
          <w:tcPr>
            <w:tcW w:w="542"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0.993108</w:t>
            </w:r>
          </w:p>
        </w:tc>
        <w:tc>
          <w:tcPr>
            <w:tcW w:w="500" w:type="pct"/>
            <w:vAlign w:val="bottom"/>
          </w:tcPr>
          <w:p w:rsidR="00B859A4" w:rsidRPr="007D233A" w:rsidRDefault="00B859A4" w:rsidP="007D233A">
            <w:pPr>
              <w:autoSpaceDE w:val="0"/>
              <w:autoSpaceDN w:val="0"/>
              <w:adjustRightInd w:val="0"/>
              <w:jc w:val="both"/>
              <w:rPr>
                <w:color w:val="000000"/>
                <w:sz w:val="20"/>
                <w:szCs w:val="20"/>
              </w:rPr>
            </w:pPr>
            <w:r w:rsidRPr="007D233A">
              <w:rPr>
                <w:color w:val="000000"/>
                <w:sz w:val="20"/>
                <w:szCs w:val="20"/>
              </w:rPr>
              <w:t> 1.000000</w:t>
            </w:r>
          </w:p>
        </w:tc>
      </w:tr>
    </w:tbl>
    <w:p w:rsidR="006A53A3" w:rsidRPr="007D233A" w:rsidRDefault="006A53A3" w:rsidP="00EC3413">
      <w:pPr>
        <w:jc w:val="center"/>
        <w:rPr>
          <w:i/>
          <w:sz w:val="20"/>
          <w:szCs w:val="20"/>
        </w:rPr>
      </w:pPr>
      <w:r w:rsidRPr="00EC3413">
        <w:rPr>
          <w:b/>
          <w:i/>
          <w:sz w:val="20"/>
          <w:szCs w:val="20"/>
        </w:rPr>
        <w:t>Source</w:t>
      </w:r>
      <w:r w:rsidRPr="007D233A">
        <w:rPr>
          <w:i/>
          <w:sz w:val="20"/>
          <w:szCs w:val="20"/>
        </w:rPr>
        <w:t xml:space="preserve">: Data output E-views </w:t>
      </w:r>
      <w:r w:rsidR="00B859A4" w:rsidRPr="007D233A">
        <w:rPr>
          <w:i/>
          <w:sz w:val="20"/>
          <w:szCs w:val="20"/>
        </w:rPr>
        <w:t>10</w:t>
      </w:r>
      <w:r w:rsidRPr="007D233A">
        <w:rPr>
          <w:i/>
          <w:sz w:val="20"/>
          <w:szCs w:val="20"/>
        </w:rPr>
        <w:t>.0</w:t>
      </w:r>
    </w:p>
    <w:p w:rsidR="00910F52" w:rsidRPr="007D233A" w:rsidRDefault="00910F52" w:rsidP="007D233A">
      <w:pPr>
        <w:jc w:val="both"/>
        <w:rPr>
          <w:i/>
          <w:sz w:val="20"/>
          <w:szCs w:val="20"/>
        </w:rPr>
      </w:pPr>
    </w:p>
    <w:p w:rsidR="00910F52" w:rsidRPr="007D233A" w:rsidRDefault="00910F52" w:rsidP="00EC3413">
      <w:pPr>
        <w:ind w:firstLine="357"/>
        <w:jc w:val="both"/>
        <w:rPr>
          <w:sz w:val="20"/>
          <w:szCs w:val="20"/>
        </w:rPr>
      </w:pPr>
      <w:r w:rsidRPr="007D233A">
        <w:rPr>
          <w:color w:val="000000"/>
          <w:sz w:val="20"/>
          <w:szCs w:val="20"/>
        </w:rPr>
        <w:t xml:space="preserve">From Table 7, deposit money banks loans and advances to agriculture has insignificant negative relationship with crop production GDP while interest rate and implicit price deflator have positive relationship crop production GDP, statistically significant relationship existed between crop production GDP and implicit price deflator for crop production </w:t>
      </w:r>
      <w:r w:rsidRPr="007D233A">
        <w:rPr>
          <w:color w:val="000000"/>
          <w:sz w:val="20"/>
          <w:szCs w:val="20"/>
        </w:rPr>
        <w:lastRenderedPageBreak/>
        <w:t xml:space="preserve">GDP. If deposit money banks loans and advances to agriculture, implicit price deflator for crop production GDP and interest rate are held constant, crop production GDP would stand at </w:t>
      </w:r>
      <w:r w:rsidRPr="007D233A">
        <w:rPr>
          <w:dstrike/>
          <w:color w:val="000000"/>
          <w:sz w:val="20"/>
          <w:szCs w:val="20"/>
        </w:rPr>
        <w:t>N</w:t>
      </w:r>
      <w:r w:rsidRPr="007D233A">
        <w:rPr>
          <w:color w:val="000000"/>
          <w:sz w:val="20"/>
          <w:szCs w:val="20"/>
        </w:rPr>
        <w:t xml:space="preserve">682, 262.8 million. Crop production GDP would rise by </w:t>
      </w:r>
      <w:r w:rsidRPr="007D233A">
        <w:rPr>
          <w:dstrike/>
          <w:color w:val="000000"/>
          <w:sz w:val="20"/>
          <w:szCs w:val="20"/>
        </w:rPr>
        <w:t>N</w:t>
      </w:r>
      <w:r w:rsidRPr="007D233A">
        <w:rPr>
          <w:color w:val="000000"/>
          <w:sz w:val="20"/>
          <w:szCs w:val="20"/>
        </w:rPr>
        <w:t xml:space="preserve">37376.71 million and </w:t>
      </w:r>
      <w:r w:rsidRPr="007D233A">
        <w:rPr>
          <w:dstrike/>
          <w:color w:val="000000"/>
          <w:sz w:val="20"/>
          <w:szCs w:val="20"/>
        </w:rPr>
        <w:t>N</w:t>
      </w:r>
      <w:r w:rsidRPr="007D233A">
        <w:rPr>
          <w:color w:val="000000"/>
          <w:sz w:val="20"/>
          <w:szCs w:val="20"/>
        </w:rPr>
        <w:t xml:space="preserve">44.58 million respectively following a percentage increase in implicit price deflator for crop production GDP. </w:t>
      </w:r>
      <w:r w:rsidRPr="007D233A">
        <w:rPr>
          <w:sz w:val="20"/>
          <w:szCs w:val="20"/>
        </w:rPr>
        <w:t xml:space="preserve">With inference from the Adjusted R-square, </w:t>
      </w:r>
      <w:r w:rsidRPr="007D233A">
        <w:rPr>
          <w:color w:val="000000"/>
          <w:sz w:val="20"/>
          <w:szCs w:val="20"/>
        </w:rPr>
        <w:t xml:space="preserve">deposit money banks loans and advances to agriculture e </w:t>
      </w:r>
      <w:r w:rsidRPr="007D233A">
        <w:rPr>
          <w:sz w:val="20"/>
          <w:szCs w:val="20"/>
        </w:rPr>
        <w:t xml:space="preserve">coupled with interest rate and </w:t>
      </w:r>
      <w:r w:rsidRPr="007D233A">
        <w:rPr>
          <w:color w:val="000000"/>
          <w:sz w:val="20"/>
          <w:szCs w:val="20"/>
        </w:rPr>
        <w:t xml:space="preserve">implicit price deflator for crop production GDP explained </w:t>
      </w:r>
      <w:r w:rsidRPr="007D233A">
        <w:rPr>
          <w:sz w:val="20"/>
          <w:szCs w:val="20"/>
        </w:rPr>
        <w:t xml:space="preserve">99.18% changes in </w:t>
      </w:r>
      <w:r w:rsidRPr="007D233A">
        <w:rPr>
          <w:color w:val="000000"/>
          <w:sz w:val="20"/>
          <w:szCs w:val="20"/>
        </w:rPr>
        <w:t>crop production GDP, and this is statistically significant following the F-statistic p-value of 0.00 (significant at 5% level)</w:t>
      </w:r>
      <w:r w:rsidRPr="007D233A">
        <w:rPr>
          <w:sz w:val="20"/>
          <w:szCs w:val="20"/>
        </w:rPr>
        <w:t>. The Durbin Watson statistic of 1.82 is close to 2.0 benchmark which implies that there is no autocorrelation in the model.</w:t>
      </w:r>
    </w:p>
    <w:p w:rsidR="00767F1E" w:rsidRPr="007D233A" w:rsidRDefault="00767F1E" w:rsidP="007D233A">
      <w:pPr>
        <w:jc w:val="both"/>
        <w:rPr>
          <w:sz w:val="20"/>
          <w:szCs w:val="20"/>
        </w:rPr>
      </w:pPr>
    </w:p>
    <w:p w:rsidR="00910F52" w:rsidRPr="007D233A" w:rsidRDefault="00910F52" w:rsidP="00EC3413">
      <w:pPr>
        <w:jc w:val="center"/>
        <w:rPr>
          <w:color w:val="000000"/>
          <w:sz w:val="20"/>
          <w:szCs w:val="20"/>
        </w:rPr>
      </w:pPr>
      <w:r w:rsidRPr="007D233A">
        <w:rPr>
          <w:b/>
          <w:color w:val="000000"/>
          <w:sz w:val="20"/>
          <w:szCs w:val="20"/>
        </w:rPr>
        <w:t xml:space="preserve">Table </w:t>
      </w:r>
      <w:r w:rsidR="00D6391E" w:rsidRPr="007D233A">
        <w:rPr>
          <w:b/>
          <w:color w:val="000000"/>
          <w:sz w:val="20"/>
          <w:szCs w:val="20"/>
        </w:rPr>
        <w:t>7</w:t>
      </w:r>
      <w:r w:rsidRPr="007D233A">
        <w:rPr>
          <w:b/>
          <w:color w:val="000000"/>
          <w:sz w:val="20"/>
          <w:szCs w:val="20"/>
        </w:rPr>
        <w:t xml:space="preserve">: </w:t>
      </w:r>
      <w:r w:rsidR="00D6391E" w:rsidRPr="007D233A">
        <w:rPr>
          <w:color w:val="000000"/>
          <w:sz w:val="20"/>
          <w:szCs w:val="20"/>
        </w:rPr>
        <w:t xml:space="preserve">Deposit Money Banks Loans and Advances to </w:t>
      </w:r>
      <w:r w:rsidRPr="007D233A">
        <w:rPr>
          <w:color w:val="000000"/>
          <w:sz w:val="20"/>
          <w:szCs w:val="20"/>
        </w:rPr>
        <w:t>Agriculture and CPGDP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39"/>
        <w:gridCol w:w="1602"/>
        <w:gridCol w:w="2118"/>
        <w:gridCol w:w="8"/>
        <w:gridCol w:w="1797"/>
        <w:gridCol w:w="1999"/>
      </w:tblGrid>
      <w:tr w:rsidR="00910F52" w:rsidRPr="007D233A" w:rsidTr="00EC3413">
        <w:tc>
          <w:tcPr>
            <w:tcW w:w="1224" w:type="pct"/>
            <w:tcBorders>
              <w:top w:val="single" w:sz="4" w:space="0" w:color="auto"/>
              <w:left w:val="nil"/>
              <w:bottom w:val="single" w:sz="4" w:space="0" w:color="auto"/>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Variable</w:t>
            </w:r>
          </w:p>
        </w:tc>
        <w:tc>
          <w:tcPr>
            <w:tcW w:w="804" w:type="pct"/>
            <w:tcBorders>
              <w:top w:val="single" w:sz="4" w:space="0" w:color="auto"/>
              <w:left w:val="nil"/>
              <w:bottom w:val="single" w:sz="4" w:space="0" w:color="auto"/>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Coefficient</w:t>
            </w:r>
          </w:p>
        </w:tc>
        <w:tc>
          <w:tcPr>
            <w:tcW w:w="1067" w:type="pct"/>
            <w:gridSpan w:val="2"/>
            <w:tcBorders>
              <w:top w:val="single" w:sz="4" w:space="0" w:color="auto"/>
              <w:left w:val="nil"/>
              <w:bottom w:val="single" w:sz="4" w:space="0" w:color="auto"/>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Std. Error</w:t>
            </w:r>
          </w:p>
        </w:tc>
        <w:tc>
          <w:tcPr>
            <w:tcW w:w="902" w:type="pct"/>
            <w:tcBorders>
              <w:top w:val="single" w:sz="4" w:space="0" w:color="auto"/>
              <w:left w:val="nil"/>
              <w:bottom w:val="single" w:sz="4" w:space="0" w:color="auto"/>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t-Statistic</w:t>
            </w:r>
          </w:p>
        </w:tc>
        <w:tc>
          <w:tcPr>
            <w:tcW w:w="1003" w:type="pct"/>
            <w:tcBorders>
              <w:top w:val="single" w:sz="4" w:space="0" w:color="auto"/>
              <w:left w:val="nil"/>
              <w:bottom w:val="single" w:sz="4" w:space="0" w:color="auto"/>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Prob.</w:t>
            </w:r>
          </w:p>
        </w:tc>
      </w:tr>
      <w:tr w:rsidR="00910F52" w:rsidRPr="007D233A" w:rsidTr="00EC3413">
        <w:tc>
          <w:tcPr>
            <w:tcW w:w="1224" w:type="pct"/>
            <w:tcBorders>
              <w:top w:val="single" w:sz="4" w:space="0" w:color="auto"/>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C</w:t>
            </w:r>
          </w:p>
        </w:tc>
        <w:tc>
          <w:tcPr>
            <w:tcW w:w="804" w:type="pct"/>
            <w:tcBorders>
              <w:top w:val="single" w:sz="4" w:space="0" w:color="auto"/>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682262.8</w:t>
            </w:r>
          </w:p>
        </w:tc>
        <w:tc>
          <w:tcPr>
            <w:tcW w:w="1067" w:type="pct"/>
            <w:gridSpan w:val="2"/>
            <w:tcBorders>
              <w:top w:val="single" w:sz="4" w:space="0" w:color="auto"/>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204663.8</w:t>
            </w:r>
          </w:p>
        </w:tc>
        <w:tc>
          <w:tcPr>
            <w:tcW w:w="902" w:type="pct"/>
            <w:tcBorders>
              <w:top w:val="single" w:sz="4" w:space="0" w:color="auto"/>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3.333579</w:t>
            </w:r>
          </w:p>
        </w:tc>
        <w:tc>
          <w:tcPr>
            <w:tcW w:w="1003" w:type="pct"/>
            <w:tcBorders>
              <w:top w:val="single" w:sz="4" w:space="0" w:color="auto"/>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0.0024</w:t>
            </w:r>
          </w:p>
        </w:tc>
      </w:tr>
      <w:tr w:rsidR="00910F52" w:rsidRPr="007D233A" w:rsidTr="00EC3413">
        <w:tc>
          <w:tcPr>
            <w:tcW w:w="1224" w:type="pct"/>
            <w:tcBorders>
              <w:top w:val="nil"/>
              <w:left w:val="nil"/>
              <w:bottom w:val="nil"/>
              <w:right w:val="nil"/>
            </w:tcBorders>
            <w:vAlign w:val="bottom"/>
          </w:tcPr>
          <w:p w:rsidR="00910F52" w:rsidRPr="007D233A" w:rsidRDefault="00D6391E" w:rsidP="007D233A">
            <w:pPr>
              <w:autoSpaceDE w:val="0"/>
              <w:autoSpaceDN w:val="0"/>
              <w:adjustRightInd w:val="0"/>
              <w:jc w:val="both"/>
              <w:rPr>
                <w:color w:val="000000"/>
                <w:sz w:val="20"/>
                <w:szCs w:val="20"/>
              </w:rPr>
            </w:pPr>
            <w:r w:rsidRPr="007D233A">
              <w:rPr>
                <w:color w:val="000000"/>
                <w:sz w:val="20"/>
                <w:szCs w:val="20"/>
              </w:rPr>
              <w:t>DM</w:t>
            </w:r>
            <w:r w:rsidR="004B134D" w:rsidRPr="007D233A">
              <w:rPr>
                <w:color w:val="000000"/>
                <w:sz w:val="20"/>
                <w:szCs w:val="20"/>
              </w:rPr>
              <w:t>BL</w:t>
            </w:r>
            <w:r w:rsidR="00910F52" w:rsidRPr="007D233A">
              <w:rPr>
                <w:color w:val="000000"/>
                <w:sz w:val="20"/>
                <w:szCs w:val="20"/>
              </w:rPr>
              <w:t>A</w:t>
            </w:r>
          </w:p>
        </w:tc>
        <w:tc>
          <w:tcPr>
            <w:tcW w:w="804"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-0.354042</w:t>
            </w:r>
          </w:p>
        </w:tc>
        <w:tc>
          <w:tcPr>
            <w:tcW w:w="1067" w:type="pct"/>
            <w:gridSpan w:val="2"/>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1.197885</w:t>
            </w:r>
          </w:p>
        </w:tc>
        <w:tc>
          <w:tcPr>
            <w:tcW w:w="902"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-0.295556</w:t>
            </w:r>
          </w:p>
        </w:tc>
        <w:tc>
          <w:tcPr>
            <w:tcW w:w="1003"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0.7697</w:t>
            </w:r>
          </w:p>
        </w:tc>
      </w:tr>
      <w:tr w:rsidR="00910F52" w:rsidRPr="007D233A" w:rsidTr="00EC3413">
        <w:tc>
          <w:tcPr>
            <w:tcW w:w="1224"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IPDCP</w:t>
            </w:r>
          </w:p>
        </w:tc>
        <w:tc>
          <w:tcPr>
            <w:tcW w:w="804"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37376.71</w:t>
            </w:r>
          </w:p>
        </w:tc>
        <w:tc>
          <w:tcPr>
            <w:tcW w:w="1063"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8509.035</w:t>
            </w:r>
          </w:p>
        </w:tc>
        <w:tc>
          <w:tcPr>
            <w:tcW w:w="906" w:type="pct"/>
            <w:gridSpan w:val="2"/>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4.392591</w:t>
            </w:r>
          </w:p>
        </w:tc>
        <w:tc>
          <w:tcPr>
            <w:tcW w:w="1003"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0.0001</w:t>
            </w:r>
          </w:p>
        </w:tc>
      </w:tr>
      <w:tr w:rsidR="00910F52" w:rsidRPr="007D233A" w:rsidTr="00EC3413">
        <w:tc>
          <w:tcPr>
            <w:tcW w:w="1224"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INT</w:t>
            </w:r>
          </w:p>
        </w:tc>
        <w:tc>
          <w:tcPr>
            <w:tcW w:w="804"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44.57658</w:t>
            </w:r>
          </w:p>
        </w:tc>
        <w:tc>
          <w:tcPr>
            <w:tcW w:w="1063"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190.6508</w:t>
            </w:r>
          </w:p>
        </w:tc>
        <w:tc>
          <w:tcPr>
            <w:tcW w:w="906" w:type="pct"/>
            <w:gridSpan w:val="2"/>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0.233813</w:t>
            </w:r>
          </w:p>
        </w:tc>
        <w:tc>
          <w:tcPr>
            <w:tcW w:w="1003"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0.8168</w:t>
            </w:r>
          </w:p>
        </w:tc>
      </w:tr>
      <w:tr w:rsidR="00910F52" w:rsidRPr="007D233A" w:rsidTr="00EC3413">
        <w:tc>
          <w:tcPr>
            <w:tcW w:w="1224"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R-squared</w:t>
            </w:r>
          </w:p>
        </w:tc>
        <w:tc>
          <w:tcPr>
            <w:tcW w:w="804"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0.992769</w:t>
            </w:r>
          </w:p>
        </w:tc>
        <w:tc>
          <w:tcPr>
            <w:tcW w:w="1969" w:type="pct"/>
            <w:gridSpan w:val="3"/>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    Mean dependent var</w:t>
            </w:r>
          </w:p>
        </w:tc>
        <w:tc>
          <w:tcPr>
            <w:tcW w:w="1003"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6137776.</w:t>
            </w:r>
          </w:p>
        </w:tc>
      </w:tr>
      <w:tr w:rsidR="00910F52" w:rsidRPr="007D233A" w:rsidTr="00EC3413">
        <w:tc>
          <w:tcPr>
            <w:tcW w:w="1224"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Adjusted R-squared</w:t>
            </w:r>
          </w:p>
        </w:tc>
        <w:tc>
          <w:tcPr>
            <w:tcW w:w="804"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0.991772</w:t>
            </w:r>
          </w:p>
        </w:tc>
        <w:tc>
          <w:tcPr>
            <w:tcW w:w="1969" w:type="pct"/>
            <w:gridSpan w:val="3"/>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    S.D. dependent var</w:t>
            </w:r>
          </w:p>
        </w:tc>
        <w:tc>
          <w:tcPr>
            <w:tcW w:w="1003"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4175895.</w:t>
            </w:r>
          </w:p>
        </w:tc>
      </w:tr>
      <w:tr w:rsidR="00910F52" w:rsidRPr="007D233A" w:rsidTr="00EC3413">
        <w:tc>
          <w:tcPr>
            <w:tcW w:w="1224"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S.E. of regression</w:t>
            </w:r>
          </w:p>
        </w:tc>
        <w:tc>
          <w:tcPr>
            <w:tcW w:w="804"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378796.5</w:t>
            </w:r>
          </w:p>
        </w:tc>
        <w:tc>
          <w:tcPr>
            <w:tcW w:w="1969" w:type="pct"/>
            <w:gridSpan w:val="3"/>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    Akaike info criterion</w:t>
            </w:r>
          </w:p>
        </w:tc>
        <w:tc>
          <w:tcPr>
            <w:tcW w:w="1003"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28.66244</w:t>
            </w:r>
          </w:p>
        </w:tc>
      </w:tr>
      <w:tr w:rsidR="00910F52" w:rsidRPr="007D233A" w:rsidTr="00EC3413">
        <w:tc>
          <w:tcPr>
            <w:tcW w:w="1224"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Sum squared resid</w:t>
            </w:r>
          </w:p>
        </w:tc>
        <w:tc>
          <w:tcPr>
            <w:tcW w:w="804"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4.16E+12</w:t>
            </w:r>
          </w:p>
        </w:tc>
        <w:tc>
          <w:tcPr>
            <w:tcW w:w="1969" w:type="pct"/>
            <w:gridSpan w:val="3"/>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    Schwarz criterion</w:t>
            </w:r>
          </w:p>
        </w:tc>
        <w:tc>
          <w:tcPr>
            <w:tcW w:w="1003"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28.88690</w:t>
            </w:r>
          </w:p>
        </w:tc>
      </w:tr>
      <w:tr w:rsidR="00910F52" w:rsidRPr="007D233A" w:rsidTr="00EC3413">
        <w:tc>
          <w:tcPr>
            <w:tcW w:w="1224"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Log likelihood</w:t>
            </w:r>
          </w:p>
        </w:tc>
        <w:tc>
          <w:tcPr>
            <w:tcW w:w="804"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-482.2615</w:t>
            </w:r>
          </w:p>
        </w:tc>
        <w:tc>
          <w:tcPr>
            <w:tcW w:w="1969" w:type="pct"/>
            <w:gridSpan w:val="3"/>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    Hannan-Quinn criter.</w:t>
            </w:r>
          </w:p>
        </w:tc>
        <w:tc>
          <w:tcPr>
            <w:tcW w:w="1003"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28.73899</w:t>
            </w:r>
          </w:p>
        </w:tc>
      </w:tr>
      <w:tr w:rsidR="00910F52" w:rsidRPr="007D233A" w:rsidTr="00EC3413">
        <w:tc>
          <w:tcPr>
            <w:tcW w:w="1224"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F-statistic</w:t>
            </w:r>
          </w:p>
        </w:tc>
        <w:tc>
          <w:tcPr>
            <w:tcW w:w="804"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995.3810</w:t>
            </w:r>
          </w:p>
        </w:tc>
        <w:tc>
          <w:tcPr>
            <w:tcW w:w="1969" w:type="pct"/>
            <w:gridSpan w:val="3"/>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    Durbin-Watson stat</w:t>
            </w:r>
          </w:p>
        </w:tc>
        <w:tc>
          <w:tcPr>
            <w:tcW w:w="1003"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1.824277</w:t>
            </w:r>
          </w:p>
        </w:tc>
      </w:tr>
      <w:tr w:rsidR="00910F52" w:rsidRPr="007D233A" w:rsidTr="00EC3413">
        <w:trPr>
          <w:trHeight w:val="276"/>
        </w:trPr>
        <w:tc>
          <w:tcPr>
            <w:tcW w:w="1224" w:type="pct"/>
            <w:tcBorders>
              <w:top w:val="nil"/>
              <w:left w:val="nil"/>
              <w:bottom w:val="single" w:sz="4" w:space="0" w:color="auto"/>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Prob (F-statistic)</w:t>
            </w:r>
          </w:p>
        </w:tc>
        <w:tc>
          <w:tcPr>
            <w:tcW w:w="804" w:type="pct"/>
            <w:tcBorders>
              <w:top w:val="nil"/>
              <w:left w:val="nil"/>
              <w:bottom w:val="single" w:sz="4" w:space="0" w:color="auto"/>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0.000000</w:t>
            </w:r>
          </w:p>
        </w:tc>
        <w:tc>
          <w:tcPr>
            <w:tcW w:w="1969" w:type="pct"/>
            <w:gridSpan w:val="3"/>
            <w:tcBorders>
              <w:top w:val="nil"/>
              <w:left w:val="nil"/>
              <w:bottom w:val="single" w:sz="4" w:space="0" w:color="auto"/>
              <w:right w:val="nil"/>
            </w:tcBorders>
            <w:vAlign w:val="bottom"/>
          </w:tcPr>
          <w:p w:rsidR="00910F52" w:rsidRPr="007D233A" w:rsidRDefault="00910F52" w:rsidP="007D233A">
            <w:pPr>
              <w:autoSpaceDE w:val="0"/>
              <w:autoSpaceDN w:val="0"/>
              <w:adjustRightInd w:val="0"/>
              <w:jc w:val="both"/>
              <w:rPr>
                <w:color w:val="000000"/>
                <w:sz w:val="20"/>
                <w:szCs w:val="20"/>
              </w:rPr>
            </w:pPr>
          </w:p>
        </w:tc>
        <w:tc>
          <w:tcPr>
            <w:tcW w:w="1003" w:type="pct"/>
            <w:tcBorders>
              <w:top w:val="nil"/>
              <w:left w:val="nil"/>
              <w:bottom w:val="single" w:sz="4" w:space="0" w:color="auto"/>
              <w:right w:val="nil"/>
            </w:tcBorders>
            <w:vAlign w:val="bottom"/>
          </w:tcPr>
          <w:p w:rsidR="00910F52" w:rsidRPr="007D233A" w:rsidRDefault="00910F52" w:rsidP="007D233A">
            <w:pPr>
              <w:autoSpaceDE w:val="0"/>
              <w:autoSpaceDN w:val="0"/>
              <w:adjustRightInd w:val="0"/>
              <w:jc w:val="both"/>
              <w:rPr>
                <w:color w:val="000000"/>
                <w:sz w:val="20"/>
                <w:szCs w:val="20"/>
              </w:rPr>
            </w:pPr>
          </w:p>
        </w:tc>
      </w:tr>
    </w:tbl>
    <w:p w:rsidR="00910F52" w:rsidRPr="007D233A" w:rsidRDefault="00910F52" w:rsidP="00EC3413">
      <w:pPr>
        <w:jc w:val="center"/>
        <w:rPr>
          <w:sz w:val="20"/>
          <w:szCs w:val="20"/>
        </w:rPr>
      </w:pPr>
      <w:r w:rsidRPr="00EC3413">
        <w:rPr>
          <w:b/>
          <w:sz w:val="20"/>
          <w:szCs w:val="20"/>
        </w:rPr>
        <w:t>Source</w:t>
      </w:r>
      <w:r w:rsidRPr="007D233A">
        <w:rPr>
          <w:sz w:val="20"/>
          <w:szCs w:val="20"/>
        </w:rPr>
        <w:t xml:space="preserve">: Data output E-views </w:t>
      </w:r>
      <w:r w:rsidR="00D6391E" w:rsidRPr="007D233A">
        <w:rPr>
          <w:sz w:val="20"/>
          <w:szCs w:val="20"/>
        </w:rPr>
        <w:t>10</w:t>
      </w:r>
      <w:r w:rsidRPr="007D233A">
        <w:rPr>
          <w:sz w:val="20"/>
          <w:szCs w:val="20"/>
        </w:rPr>
        <w:t>.0</w:t>
      </w:r>
    </w:p>
    <w:p w:rsidR="00910F52" w:rsidRPr="007D233A" w:rsidRDefault="00910F52" w:rsidP="00EC3413">
      <w:pPr>
        <w:jc w:val="both"/>
        <w:rPr>
          <w:sz w:val="20"/>
          <w:szCs w:val="20"/>
        </w:rPr>
      </w:pPr>
    </w:p>
    <w:p w:rsidR="00910F52" w:rsidRPr="007D233A" w:rsidRDefault="00910F52" w:rsidP="00EC3413">
      <w:pPr>
        <w:ind w:firstLine="357"/>
        <w:jc w:val="both"/>
        <w:rPr>
          <w:sz w:val="20"/>
          <w:szCs w:val="20"/>
        </w:rPr>
      </w:pPr>
      <w:r w:rsidRPr="007D233A">
        <w:rPr>
          <w:color w:val="000000"/>
          <w:sz w:val="20"/>
          <w:szCs w:val="20"/>
        </w:rPr>
        <w:t>The</w:t>
      </w:r>
      <w:r w:rsidR="00D6391E" w:rsidRPr="007D233A">
        <w:rPr>
          <w:color w:val="000000"/>
          <w:sz w:val="20"/>
          <w:szCs w:val="20"/>
        </w:rPr>
        <w:t xml:space="preserve"> regression result in Table 8</w:t>
      </w:r>
      <w:r w:rsidRPr="007D233A">
        <w:rPr>
          <w:color w:val="000000"/>
          <w:sz w:val="20"/>
          <w:szCs w:val="20"/>
        </w:rPr>
        <w:t xml:space="preserve"> shows that </w:t>
      </w:r>
      <w:r w:rsidR="00D6391E" w:rsidRPr="007D233A">
        <w:rPr>
          <w:color w:val="000000"/>
          <w:sz w:val="20"/>
          <w:szCs w:val="20"/>
        </w:rPr>
        <w:t>deposit money banks loans and advances to agriculture</w:t>
      </w:r>
      <w:r w:rsidRPr="007D233A">
        <w:rPr>
          <w:color w:val="000000"/>
          <w:sz w:val="20"/>
          <w:szCs w:val="20"/>
        </w:rPr>
        <w:t xml:space="preserve"> and interest rate have insignificant negative relationship with livestock GDP while implicit price deflator has statistically significant positive relationship livestock GDP. It would be deduce from the coefficient of the constant that if </w:t>
      </w:r>
      <w:r w:rsidR="00D6391E" w:rsidRPr="007D233A">
        <w:rPr>
          <w:color w:val="000000"/>
          <w:sz w:val="20"/>
          <w:szCs w:val="20"/>
        </w:rPr>
        <w:t>deposit money banks loans and advances to agriculture</w:t>
      </w:r>
      <w:r w:rsidRPr="007D233A">
        <w:rPr>
          <w:color w:val="000000"/>
          <w:sz w:val="20"/>
          <w:szCs w:val="20"/>
        </w:rPr>
        <w:t xml:space="preserve">, implicit price deflator for livestock GDP and interest rate are held constant, livestock GDP would be </w:t>
      </w:r>
      <w:r w:rsidRPr="007D233A">
        <w:rPr>
          <w:dstrike/>
          <w:color w:val="000000"/>
          <w:sz w:val="20"/>
          <w:szCs w:val="20"/>
        </w:rPr>
        <w:t>N</w:t>
      </w:r>
      <w:r w:rsidRPr="007D233A">
        <w:rPr>
          <w:color w:val="000000"/>
          <w:sz w:val="20"/>
          <w:szCs w:val="20"/>
        </w:rPr>
        <w:t xml:space="preserve">70, 265.23 million. Livestock GDP would fall by </w:t>
      </w:r>
      <w:r w:rsidRPr="007D233A">
        <w:rPr>
          <w:dstrike/>
          <w:color w:val="000000"/>
          <w:sz w:val="20"/>
          <w:szCs w:val="20"/>
        </w:rPr>
        <w:t>N</w:t>
      </w:r>
      <w:r w:rsidRPr="007D233A">
        <w:rPr>
          <w:color w:val="000000"/>
          <w:sz w:val="20"/>
          <w:szCs w:val="20"/>
        </w:rPr>
        <w:t xml:space="preserve">1329.007 million and </w:t>
      </w:r>
      <w:r w:rsidRPr="007D233A">
        <w:rPr>
          <w:dstrike/>
          <w:color w:val="000000"/>
          <w:sz w:val="20"/>
          <w:szCs w:val="20"/>
        </w:rPr>
        <w:t>N</w:t>
      </w:r>
      <w:r w:rsidRPr="007D233A">
        <w:rPr>
          <w:color w:val="000000"/>
          <w:sz w:val="20"/>
          <w:szCs w:val="20"/>
        </w:rPr>
        <w:t xml:space="preserve">1, 329.007 million following a unit appreciation in </w:t>
      </w:r>
      <w:r w:rsidR="00D6391E" w:rsidRPr="007D233A">
        <w:rPr>
          <w:color w:val="000000"/>
          <w:sz w:val="20"/>
          <w:szCs w:val="20"/>
        </w:rPr>
        <w:t>deposit money banks loans and advances to agriculture</w:t>
      </w:r>
      <w:r w:rsidRPr="007D233A">
        <w:rPr>
          <w:color w:val="000000"/>
          <w:sz w:val="20"/>
          <w:szCs w:val="20"/>
        </w:rPr>
        <w:t xml:space="preserve"> and interest rate respectively.</w:t>
      </w:r>
      <w:r w:rsidR="00D6391E" w:rsidRPr="007D233A">
        <w:rPr>
          <w:color w:val="000000"/>
          <w:sz w:val="20"/>
          <w:szCs w:val="20"/>
        </w:rPr>
        <w:t xml:space="preserve"> Deposit money banks loans and advances to agriculture, implicit price deflator for livestock GDP and interest rate explained 99.54 changes in livestock GDP by looking at the </w:t>
      </w:r>
      <w:r w:rsidR="00D6391E" w:rsidRPr="007D233A">
        <w:rPr>
          <w:sz w:val="20"/>
          <w:szCs w:val="20"/>
        </w:rPr>
        <w:t>Adjusted R-square, and this is statistically significant at 5% level of significance as evidenced by the F-statistic and p-value of 1,563.48 and 0.00 respectively. The Durbin Watson statistic of 1.61 is not far from the benchmark of 2.0 which suggest no autocorrelation. Nevertheless, the deficiency that be connected with the Durbin Watson value of 1.61 was corrected with the serial correlation LM test in Table 3 which reveals that the variables in the model are not serially correlated.</w:t>
      </w:r>
    </w:p>
    <w:p w:rsidR="00767F1E" w:rsidRPr="007D233A" w:rsidRDefault="00767F1E" w:rsidP="007D233A">
      <w:pPr>
        <w:jc w:val="both"/>
        <w:rPr>
          <w:color w:val="000000"/>
          <w:sz w:val="20"/>
          <w:szCs w:val="20"/>
        </w:rPr>
      </w:pPr>
    </w:p>
    <w:p w:rsidR="00910F52" w:rsidRPr="007D233A" w:rsidRDefault="00910F52" w:rsidP="00EC3413">
      <w:pPr>
        <w:jc w:val="center"/>
        <w:rPr>
          <w:color w:val="000000"/>
          <w:sz w:val="20"/>
          <w:szCs w:val="20"/>
        </w:rPr>
      </w:pPr>
      <w:r w:rsidRPr="007D233A">
        <w:rPr>
          <w:b/>
          <w:color w:val="000000"/>
          <w:sz w:val="20"/>
          <w:szCs w:val="20"/>
        </w:rPr>
        <w:t xml:space="preserve">Table </w:t>
      </w:r>
      <w:r w:rsidR="00D6391E" w:rsidRPr="007D233A">
        <w:rPr>
          <w:b/>
          <w:color w:val="000000"/>
          <w:sz w:val="20"/>
          <w:szCs w:val="20"/>
        </w:rPr>
        <w:t>8</w:t>
      </w:r>
      <w:r w:rsidRPr="007D233A">
        <w:rPr>
          <w:b/>
          <w:color w:val="000000"/>
          <w:sz w:val="20"/>
          <w:szCs w:val="20"/>
        </w:rPr>
        <w:t xml:space="preserve">: </w:t>
      </w:r>
      <w:r w:rsidR="00D6391E" w:rsidRPr="007D233A">
        <w:rPr>
          <w:color w:val="000000"/>
          <w:sz w:val="20"/>
          <w:szCs w:val="20"/>
        </w:rPr>
        <w:t xml:space="preserve">Deposit Money Banks Loans and Advances to Agriculture </w:t>
      </w:r>
      <w:r w:rsidRPr="007D233A">
        <w:rPr>
          <w:color w:val="000000"/>
          <w:sz w:val="20"/>
          <w:szCs w:val="20"/>
        </w:rPr>
        <w:t>and LGDP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14"/>
        <w:gridCol w:w="1586"/>
        <w:gridCol w:w="2096"/>
        <w:gridCol w:w="8"/>
        <w:gridCol w:w="1779"/>
        <w:gridCol w:w="2080"/>
      </w:tblGrid>
      <w:tr w:rsidR="00910F52" w:rsidRPr="007D233A" w:rsidTr="00EC3413">
        <w:tc>
          <w:tcPr>
            <w:tcW w:w="1211" w:type="pct"/>
            <w:tcBorders>
              <w:top w:val="single" w:sz="4" w:space="0" w:color="auto"/>
              <w:left w:val="nil"/>
              <w:bottom w:val="single" w:sz="4" w:space="0" w:color="auto"/>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Variable</w:t>
            </w:r>
          </w:p>
        </w:tc>
        <w:tc>
          <w:tcPr>
            <w:tcW w:w="796" w:type="pct"/>
            <w:tcBorders>
              <w:top w:val="single" w:sz="4" w:space="0" w:color="auto"/>
              <w:left w:val="nil"/>
              <w:bottom w:val="single" w:sz="4" w:space="0" w:color="auto"/>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Coefficient</w:t>
            </w:r>
          </w:p>
        </w:tc>
        <w:tc>
          <w:tcPr>
            <w:tcW w:w="1056" w:type="pct"/>
            <w:gridSpan w:val="2"/>
            <w:tcBorders>
              <w:top w:val="single" w:sz="4" w:space="0" w:color="auto"/>
              <w:left w:val="nil"/>
              <w:bottom w:val="single" w:sz="4" w:space="0" w:color="auto"/>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Std. Error</w:t>
            </w:r>
          </w:p>
        </w:tc>
        <w:tc>
          <w:tcPr>
            <w:tcW w:w="893" w:type="pct"/>
            <w:tcBorders>
              <w:top w:val="single" w:sz="4" w:space="0" w:color="auto"/>
              <w:left w:val="nil"/>
              <w:bottom w:val="single" w:sz="4" w:space="0" w:color="auto"/>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t-Statistic</w:t>
            </w:r>
          </w:p>
        </w:tc>
        <w:tc>
          <w:tcPr>
            <w:tcW w:w="1045" w:type="pct"/>
            <w:tcBorders>
              <w:top w:val="single" w:sz="4" w:space="0" w:color="auto"/>
              <w:left w:val="nil"/>
              <w:bottom w:val="single" w:sz="4" w:space="0" w:color="auto"/>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Prob.</w:t>
            </w:r>
          </w:p>
        </w:tc>
      </w:tr>
      <w:tr w:rsidR="00910F52" w:rsidRPr="007D233A" w:rsidTr="00EC3413">
        <w:tc>
          <w:tcPr>
            <w:tcW w:w="1211" w:type="pct"/>
            <w:tcBorders>
              <w:top w:val="single" w:sz="4" w:space="0" w:color="auto"/>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C</w:t>
            </w:r>
          </w:p>
        </w:tc>
        <w:tc>
          <w:tcPr>
            <w:tcW w:w="796" w:type="pct"/>
            <w:tcBorders>
              <w:top w:val="single" w:sz="4" w:space="0" w:color="auto"/>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70265.23</w:t>
            </w:r>
          </w:p>
        </w:tc>
        <w:tc>
          <w:tcPr>
            <w:tcW w:w="1056" w:type="pct"/>
            <w:gridSpan w:val="2"/>
            <w:tcBorders>
              <w:top w:val="single" w:sz="4" w:space="0" w:color="auto"/>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35928.58</w:t>
            </w:r>
          </w:p>
        </w:tc>
        <w:tc>
          <w:tcPr>
            <w:tcW w:w="893" w:type="pct"/>
            <w:tcBorders>
              <w:top w:val="single" w:sz="4" w:space="0" w:color="auto"/>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1.955692</w:t>
            </w:r>
          </w:p>
        </w:tc>
        <w:tc>
          <w:tcPr>
            <w:tcW w:w="1045" w:type="pct"/>
            <w:tcBorders>
              <w:top w:val="single" w:sz="4" w:space="0" w:color="auto"/>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0.0602</w:t>
            </w:r>
          </w:p>
        </w:tc>
      </w:tr>
      <w:tr w:rsidR="00910F52" w:rsidRPr="007D233A" w:rsidTr="00EC3413">
        <w:tc>
          <w:tcPr>
            <w:tcW w:w="1211" w:type="pct"/>
            <w:tcBorders>
              <w:top w:val="nil"/>
              <w:left w:val="nil"/>
              <w:bottom w:val="nil"/>
              <w:right w:val="nil"/>
            </w:tcBorders>
            <w:vAlign w:val="bottom"/>
          </w:tcPr>
          <w:p w:rsidR="00910F52" w:rsidRPr="007D233A" w:rsidRDefault="00D6391E" w:rsidP="007D233A">
            <w:pPr>
              <w:autoSpaceDE w:val="0"/>
              <w:autoSpaceDN w:val="0"/>
              <w:adjustRightInd w:val="0"/>
              <w:jc w:val="both"/>
              <w:rPr>
                <w:color w:val="000000"/>
                <w:sz w:val="20"/>
                <w:szCs w:val="20"/>
              </w:rPr>
            </w:pPr>
            <w:r w:rsidRPr="007D233A">
              <w:rPr>
                <w:color w:val="000000"/>
                <w:sz w:val="20"/>
                <w:szCs w:val="20"/>
              </w:rPr>
              <w:t>DM</w:t>
            </w:r>
            <w:r w:rsidR="004B134D" w:rsidRPr="007D233A">
              <w:rPr>
                <w:color w:val="000000"/>
                <w:sz w:val="20"/>
                <w:szCs w:val="20"/>
              </w:rPr>
              <w:t>BL</w:t>
            </w:r>
            <w:r w:rsidR="00910F52" w:rsidRPr="007D233A">
              <w:rPr>
                <w:color w:val="000000"/>
                <w:sz w:val="20"/>
                <w:szCs w:val="20"/>
              </w:rPr>
              <w:t>A</w:t>
            </w:r>
          </w:p>
        </w:tc>
        <w:tc>
          <w:tcPr>
            <w:tcW w:w="796"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-0.129932</w:t>
            </w:r>
          </w:p>
        </w:tc>
        <w:tc>
          <w:tcPr>
            <w:tcW w:w="1056" w:type="pct"/>
            <w:gridSpan w:val="2"/>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0.063699</w:t>
            </w:r>
          </w:p>
        </w:tc>
        <w:tc>
          <w:tcPr>
            <w:tcW w:w="893"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-2.039795</w:t>
            </w:r>
          </w:p>
        </w:tc>
        <w:tc>
          <w:tcPr>
            <w:tcW w:w="1045"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0.0506</w:t>
            </w:r>
          </w:p>
        </w:tc>
      </w:tr>
      <w:tr w:rsidR="00910F52" w:rsidRPr="007D233A" w:rsidTr="00EC3413">
        <w:tc>
          <w:tcPr>
            <w:tcW w:w="1211"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IPDL</w:t>
            </w:r>
          </w:p>
        </w:tc>
        <w:tc>
          <w:tcPr>
            <w:tcW w:w="796"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1329.007</w:t>
            </w:r>
          </w:p>
        </w:tc>
        <w:tc>
          <w:tcPr>
            <w:tcW w:w="1052"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442.9889</w:t>
            </w:r>
          </w:p>
        </w:tc>
        <w:tc>
          <w:tcPr>
            <w:tcW w:w="896" w:type="pct"/>
            <w:gridSpan w:val="2"/>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3.000091</w:t>
            </w:r>
          </w:p>
        </w:tc>
        <w:tc>
          <w:tcPr>
            <w:tcW w:w="1045"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0.0055</w:t>
            </w:r>
          </w:p>
        </w:tc>
      </w:tr>
      <w:tr w:rsidR="00910F52" w:rsidRPr="007D233A" w:rsidTr="00EC3413">
        <w:tc>
          <w:tcPr>
            <w:tcW w:w="1211"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INT</w:t>
            </w:r>
          </w:p>
        </w:tc>
        <w:tc>
          <w:tcPr>
            <w:tcW w:w="796"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-2.989784</w:t>
            </w:r>
          </w:p>
        </w:tc>
        <w:tc>
          <w:tcPr>
            <w:tcW w:w="1052"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8.467804</w:t>
            </w:r>
          </w:p>
        </w:tc>
        <w:tc>
          <w:tcPr>
            <w:tcW w:w="896" w:type="pct"/>
            <w:gridSpan w:val="2"/>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-0.353077</w:t>
            </w:r>
          </w:p>
        </w:tc>
        <w:tc>
          <w:tcPr>
            <w:tcW w:w="1045"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0.7266</w:t>
            </w:r>
          </w:p>
        </w:tc>
      </w:tr>
      <w:tr w:rsidR="00910F52" w:rsidRPr="007D233A" w:rsidTr="00EC3413">
        <w:tc>
          <w:tcPr>
            <w:tcW w:w="1211"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R-squared</w:t>
            </w:r>
          </w:p>
        </w:tc>
        <w:tc>
          <w:tcPr>
            <w:tcW w:w="796"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0.995384</w:t>
            </w:r>
          </w:p>
        </w:tc>
        <w:tc>
          <w:tcPr>
            <w:tcW w:w="1948" w:type="pct"/>
            <w:gridSpan w:val="3"/>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    Mean dependent var</w:t>
            </w:r>
          </w:p>
        </w:tc>
        <w:tc>
          <w:tcPr>
            <w:tcW w:w="1045"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632050.0</w:t>
            </w:r>
          </w:p>
        </w:tc>
      </w:tr>
      <w:tr w:rsidR="00910F52" w:rsidRPr="007D233A" w:rsidTr="00EC3413">
        <w:tc>
          <w:tcPr>
            <w:tcW w:w="1211"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Adjusted R-squared</w:t>
            </w:r>
          </w:p>
        </w:tc>
        <w:tc>
          <w:tcPr>
            <w:tcW w:w="796"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0.994748</w:t>
            </w:r>
          </w:p>
        </w:tc>
        <w:tc>
          <w:tcPr>
            <w:tcW w:w="1948" w:type="pct"/>
            <w:gridSpan w:val="3"/>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    S.D. dependent var</w:t>
            </w:r>
          </w:p>
        </w:tc>
        <w:tc>
          <w:tcPr>
            <w:tcW w:w="1045"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233913.3</w:t>
            </w:r>
          </w:p>
        </w:tc>
      </w:tr>
      <w:tr w:rsidR="00910F52" w:rsidRPr="007D233A" w:rsidTr="00EC3413">
        <w:tc>
          <w:tcPr>
            <w:tcW w:w="1211"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S.E. of regression</w:t>
            </w:r>
          </w:p>
        </w:tc>
        <w:tc>
          <w:tcPr>
            <w:tcW w:w="796"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16952.41</w:t>
            </w:r>
          </w:p>
        </w:tc>
        <w:tc>
          <w:tcPr>
            <w:tcW w:w="1948" w:type="pct"/>
            <w:gridSpan w:val="3"/>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    Akaike info criterion</w:t>
            </w:r>
          </w:p>
        </w:tc>
        <w:tc>
          <w:tcPr>
            <w:tcW w:w="1045"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22.44926</w:t>
            </w:r>
          </w:p>
        </w:tc>
      </w:tr>
      <w:tr w:rsidR="00910F52" w:rsidRPr="007D233A" w:rsidTr="00EC3413">
        <w:tc>
          <w:tcPr>
            <w:tcW w:w="1211"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Sum squared resid</w:t>
            </w:r>
          </w:p>
        </w:tc>
        <w:tc>
          <w:tcPr>
            <w:tcW w:w="796"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8.33E+09</w:t>
            </w:r>
          </w:p>
        </w:tc>
        <w:tc>
          <w:tcPr>
            <w:tcW w:w="1948" w:type="pct"/>
            <w:gridSpan w:val="3"/>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    Schwarz criterion</w:t>
            </w:r>
          </w:p>
        </w:tc>
        <w:tc>
          <w:tcPr>
            <w:tcW w:w="1045"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22.67373</w:t>
            </w:r>
          </w:p>
        </w:tc>
      </w:tr>
      <w:tr w:rsidR="00910F52" w:rsidRPr="007D233A" w:rsidTr="00EC3413">
        <w:tc>
          <w:tcPr>
            <w:tcW w:w="1211"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Log likelihood</w:t>
            </w:r>
          </w:p>
        </w:tc>
        <w:tc>
          <w:tcPr>
            <w:tcW w:w="796"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-376.6374</w:t>
            </w:r>
          </w:p>
        </w:tc>
        <w:tc>
          <w:tcPr>
            <w:tcW w:w="1948" w:type="pct"/>
            <w:gridSpan w:val="3"/>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    Hannan-Quinn criter.</w:t>
            </w:r>
          </w:p>
        </w:tc>
        <w:tc>
          <w:tcPr>
            <w:tcW w:w="1045"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22.52581</w:t>
            </w:r>
          </w:p>
        </w:tc>
      </w:tr>
      <w:tr w:rsidR="00910F52" w:rsidRPr="007D233A" w:rsidTr="00EC3413">
        <w:tc>
          <w:tcPr>
            <w:tcW w:w="1211"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F-statistic</w:t>
            </w:r>
          </w:p>
        </w:tc>
        <w:tc>
          <w:tcPr>
            <w:tcW w:w="796"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1563.477</w:t>
            </w:r>
          </w:p>
        </w:tc>
        <w:tc>
          <w:tcPr>
            <w:tcW w:w="1948" w:type="pct"/>
            <w:gridSpan w:val="3"/>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    Durbin-Watson stat</w:t>
            </w:r>
          </w:p>
        </w:tc>
        <w:tc>
          <w:tcPr>
            <w:tcW w:w="1045"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1.618930</w:t>
            </w:r>
          </w:p>
        </w:tc>
      </w:tr>
      <w:tr w:rsidR="00910F52" w:rsidRPr="007D233A" w:rsidTr="00EC3413">
        <w:trPr>
          <w:trHeight w:val="276"/>
        </w:trPr>
        <w:tc>
          <w:tcPr>
            <w:tcW w:w="1211" w:type="pct"/>
            <w:tcBorders>
              <w:top w:val="nil"/>
              <w:left w:val="nil"/>
              <w:bottom w:val="single" w:sz="4" w:space="0" w:color="auto"/>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Prob (F-statistic)</w:t>
            </w:r>
          </w:p>
        </w:tc>
        <w:tc>
          <w:tcPr>
            <w:tcW w:w="796" w:type="pct"/>
            <w:tcBorders>
              <w:top w:val="nil"/>
              <w:left w:val="nil"/>
              <w:bottom w:val="single" w:sz="4" w:space="0" w:color="auto"/>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0.000000</w:t>
            </w:r>
          </w:p>
        </w:tc>
        <w:tc>
          <w:tcPr>
            <w:tcW w:w="1948" w:type="pct"/>
            <w:gridSpan w:val="3"/>
            <w:tcBorders>
              <w:top w:val="nil"/>
              <w:left w:val="nil"/>
              <w:bottom w:val="single" w:sz="4" w:space="0" w:color="auto"/>
              <w:right w:val="nil"/>
            </w:tcBorders>
            <w:vAlign w:val="bottom"/>
          </w:tcPr>
          <w:p w:rsidR="00910F52" w:rsidRPr="007D233A" w:rsidRDefault="00910F52" w:rsidP="007D233A">
            <w:pPr>
              <w:autoSpaceDE w:val="0"/>
              <w:autoSpaceDN w:val="0"/>
              <w:adjustRightInd w:val="0"/>
              <w:jc w:val="both"/>
              <w:rPr>
                <w:color w:val="000000"/>
                <w:sz w:val="20"/>
                <w:szCs w:val="20"/>
              </w:rPr>
            </w:pPr>
          </w:p>
        </w:tc>
        <w:tc>
          <w:tcPr>
            <w:tcW w:w="1045" w:type="pct"/>
            <w:tcBorders>
              <w:top w:val="nil"/>
              <w:left w:val="nil"/>
              <w:bottom w:val="single" w:sz="4" w:space="0" w:color="auto"/>
              <w:right w:val="nil"/>
            </w:tcBorders>
            <w:vAlign w:val="bottom"/>
          </w:tcPr>
          <w:p w:rsidR="00910F52" w:rsidRPr="007D233A" w:rsidRDefault="00910F52" w:rsidP="007D233A">
            <w:pPr>
              <w:autoSpaceDE w:val="0"/>
              <w:autoSpaceDN w:val="0"/>
              <w:adjustRightInd w:val="0"/>
              <w:jc w:val="both"/>
              <w:rPr>
                <w:color w:val="000000"/>
                <w:sz w:val="20"/>
                <w:szCs w:val="20"/>
              </w:rPr>
            </w:pPr>
          </w:p>
        </w:tc>
      </w:tr>
    </w:tbl>
    <w:p w:rsidR="00910F52" w:rsidRPr="007D233A" w:rsidRDefault="00910F52" w:rsidP="00EC3413">
      <w:pPr>
        <w:jc w:val="center"/>
        <w:rPr>
          <w:i/>
          <w:sz w:val="20"/>
          <w:szCs w:val="20"/>
        </w:rPr>
      </w:pPr>
      <w:r w:rsidRPr="00EC3413">
        <w:rPr>
          <w:b/>
          <w:i/>
          <w:sz w:val="20"/>
          <w:szCs w:val="20"/>
        </w:rPr>
        <w:t>Source</w:t>
      </w:r>
      <w:r w:rsidRPr="007D233A">
        <w:rPr>
          <w:i/>
          <w:sz w:val="20"/>
          <w:szCs w:val="20"/>
        </w:rPr>
        <w:t xml:space="preserve">: Data output E-views </w:t>
      </w:r>
      <w:r w:rsidR="00D6391E" w:rsidRPr="007D233A">
        <w:rPr>
          <w:i/>
          <w:sz w:val="20"/>
          <w:szCs w:val="20"/>
        </w:rPr>
        <w:t>10</w:t>
      </w:r>
      <w:r w:rsidRPr="007D233A">
        <w:rPr>
          <w:i/>
          <w:sz w:val="20"/>
          <w:szCs w:val="20"/>
        </w:rPr>
        <w:t>.0</w:t>
      </w:r>
    </w:p>
    <w:p w:rsidR="00910F52" w:rsidRPr="007D233A" w:rsidRDefault="00910F52" w:rsidP="00EC3413">
      <w:pPr>
        <w:jc w:val="both"/>
        <w:rPr>
          <w:sz w:val="20"/>
          <w:szCs w:val="20"/>
        </w:rPr>
      </w:pPr>
    </w:p>
    <w:p w:rsidR="00D6391E" w:rsidRPr="007D233A" w:rsidRDefault="00910F52" w:rsidP="00EC3413">
      <w:pPr>
        <w:ind w:firstLine="357"/>
        <w:jc w:val="both"/>
        <w:rPr>
          <w:color w:val="000000"/>
          <w:sz w:val="20"/>
          <w:szCs w:val="20"/>
        </w:rPr>
      </w:pPr>
      <w:r w:rsidRPr="007D233A">
        <w:rPr>
          <w:color w:val="000000"/>
          <w:sz w:val="20"/>
          <w:szCs w:val="20"/>
        </w:rPr>
        <w:t>Looking at the</w:t>
      </w:r>
      <w:r w:rsidR="00D6391E" w:rsidRPr="007D233A">
        <w:rPr>
          <w:color w:val="000000"/>
          <w:sz w:val="20"/>
          <w:szCs w:val="20"/>
        </w:rPr>
        <w:t xml:space="preserve"> regression output in Table 9</w:t>
      </w:r>
      <w:r w:rsidRPr="007D233A">
        <w:rPr>
          <w:color w:val="000000"/>
          <w:sz w:val="20"/>
          <w:szCs w:val="20"/>
        </w:rPr>
        <w:t xml:space="preserve">, </w:t>
      </w:r>
      <w:r w:rsidR="00D6391E" w:rsidRPr="007D233A">
        <w:rPr>
          <w:color w:val="000000"/>
          <w:sz w:val="20"/>
          <w:szCs w:val="20"/>
        </w:rPr>
        <w:t>deposit money banks loans and advances to agriculture</w:t>
      </w:r>
      <w:r w:rsidRPr="007D233A">
        <w:rPr>
          <w:color w:val="000000"/>
          <w:sz w:val="20"/>
          <w:szCs w:val="20"/>
        </w:rPr>
        <w:t xml:space="preserve"> and implicit price deflator for forestry GDP have positive relationship with forestry GDP, implicit price deflator for </w:t>
      </w:r>
      <w:r w:rsidR="00D6391E" w:rsidRPr="007D233A">
        <w:rPr>
          <w:color w:val="000000"/>
          <w:sz w:val="20"/>
          <w:szCs w:val="20"/>
        </w:rPr>
        <w:t xml:space="preserve">forestry GDP relationship with </w:t>
      </w:r>
      <w:r w:rsidRPr="007D233A">
        <w:rPr>
          <w:color w:val="000000"/>
          <w:sz w:val="20"/>
          <w:szCs w:val="20"/>
        </w:rPr>
        <w:t xml:space="preserve">forestry GDP is significant. Interest rate has insignificant negative relationship with forestry GDP. Keeping </w:t>
      </w:r>
      <w:r w:rsidR="00D6391E" w:rsidRPr="007D233A">
        <w:rPr>
          <w:color w:val="000000"/>
          <w:sz w:val="20"/>
          <w:szCs w:val="20"/>
        </w:rPr>
        <w:t>deposit money banks loans and advances to agriculture</w:t>
      </w:r>
      <w:r w:rsidRPr="007D233A">
        <w:rPr>
          <w:color w:val="000000"/>
          <w:sz w:val="20"/>
          <w:szCs w:val="20"/>
        </w:rPr>
        <w:t xml:space="preserve">, interest rate and implicit price deflator for forestry GDP constant, forestry GDP would be </w:t>
      </w:r>
      <w:r w:rsidRPr="007D233A">
        <w:rPr>
          <w:dstrike/>
          <w:color w:val="000000"/>
          <w:sz w:val="20"/>
          <w:szCs w:val="20"/>
        </w:rPr>
        <w:t>N</w:t>
      </w:r>
      <w:r w:rsidRPr="007D233A">
        <w:rPr>
          <w:color w:val="000000"/>
          <w:sz w:val="20"/>
          <w:szCs w:val="20"/>
        </w:rPr>
        <w:t xml:space="preserve">29, 325.55 million. A unit rise in </w:t>
      </w:r>
      <w:r w:rsidR="00D6391E" w:rsidRPr="007D233A">
        <w:rPr>
          <w:color w:val="000000"/>
          <w:sz w:val="20"/>
          <w:szCs w:val="20"/>
        </w:rPr>
        <w:t>deposit money banks loans and advances to agriculture</w:t>
      </w:r>
      <w:r w:rsidRPr="007D233A">
        <w:rPr>
          <w:color w:val="000000"/>
          <w:sz w:val="20"/>
          <w:szCs w:val="20"/>
        </w:rPr>
        <w:t xml:space="preserve"> and implicit price deflator for forestry GDP increase forestry GDP respectively by </w:t>
      </w:r>
      <w:r w:rsidRPr="007D233A">
        <w:rPr>
          <w:dstrike/>
          <w:color w:val="000000"/>
          <w:sz w:val="20"/>
          <w:szCs w:val="20"/>
        </w:rPr>
        <w:t>N</w:t>
      </w:r>
      <w:r w:rsidRPr="007D233A">
        <w:rPr>
          <w:color w:val="000000"/>
          <w:sz w:val="20"/>
          <w:szCs w:val="20"/>
        </w:rPr>
        <w:t xml:space="preserve">0.026 million and </w:t>
      </w:r>
      <w:r w:rsidRPr="007D233A">
        <w:rPr>
          <w:dstrike/>
          <w:color w:val="000000"/>
          <w:sz w:val="20"/>
          <w:szCs w:val="20"/>
        </w:rPr>
        <w:t>N</w:t>
      </w:r>
      <w:r w:rsidRPr="007D233A">
        <w:rPr>
          <w:color w:val="000000"/>
          <w:sz w:val="20"/>
          <w:szCs w:val="20"/>
        </w:rPr>
        <w:t xml:space="preserve">208.93 million. A percentage rise in interest rate leads to </w:t>
      </w:r>
      <w:r w:rsidRPr="007D233A">
        <w:rPr>
          <w:dstrike/>
          <w:color w:val="000000"/>
          <w:sz w:val="20"/>
          <w:szCs w:val="20"/>
        </w:rPr>
        <w:t>N</w:t>
      </w:r>
      <w:r w:rsidRPr="007D233A">
        <w:rPr>
          <w:color w:val="000000"/>
          <w:sz w:val="20"/>
          <w:szCs w:val="20"/>
        </w:rPr>
        <w:t>2.6 million depreciation in forestry GDP.</w:t>
      </w:r>
      <w:r w:rsidR="00D6391E" w:rsidRPr="007D233A">
        <w:rPr>
          <w:sz w:val="20"/>
          <w:szCs w:val="20"/>
        </w:rPr>
        <w:t xml:space="preserve">The </w:t>
      </w:r>
      <w:r w:rsidR="00D6391E" w:rsidRPr="007D233A">
        <w:rPr>
          <w:color w:val="000000"/>
          <w:sz w:val="20"/>
          <w:szCs w:val="20"/>
        </w:rPr>
        <w:t xml:space="preserve">Adjusted R-squared shows that only 97.75% variation in forestry GDP was jointly was as a result of changes in deposit money banks loans and advances to agriculture, implicit price deflator for forestry GDP and interest rate. The independent variables </w:t>
      </w:r>
      <w:r w:rsidR="00D6391E" w:rsidRPr="007D233A">
        <w:rPr>
          <w:color w:val="000000"/>
          <w:sz w:val="20"/>
          <w:szCs w:val="20"/>
        </w:rPr>
        <w:lastRenderedPageBreak/>
        <w:t>significantly explained the changes in forestry GDP as shown by the F-statistic of 359.9609 significant at 5% level. The Durbin Watson statistic of 2.0 indicates no autocorrelation problem. In other words, the regression result is not spurious.</w:t>
      </w:r>
    </w:p>
    <w:p w:rsidR="00767F1E" w:rsidRPr="007D233A" w:rsidRDefault="00767F1E" w:rsidP="007D233A">
      <w:pPr>
        <w:jc w:val="both"/>
        <w:rPr>
          <w:color w:val="000000"/>
          <w:sz w:val="20"/>
          <w:szCs w:val="20"/>
        </w:rPr>
      </w:pPr>
    </w:p>
    <w:p w:rsidR="00910F52" w:rsidRPr="007D233A" w:rsidRDefault="00910F52" w:rsidP="00EC3413">
      <w:pPr>
        <w:jc w:val="center"/>
        <w:rPr>
          <w:color w:val="000000"/>
          <w:sz w:val="20"/>
          <w:szCs w:val="20"/>
        </w:rPr>
      </w:pPr>
      <w:r w:rsidRPr="007D233A">
        <w:rPr>
          <w:b/>
          <w:color w:val="000000"/>
          <w:sz w:val="20"/>
          <w:szCs w:val="20"/>
        </w:rPr>
        <w:t xml:space="preserve">Table </w:t>
      </w:r>
      <w:r w:rsidR="00D6391E" w:rsidRPr="007D233A">
        <w:rPr>
          <w:b/>
          <w:color w:val="000000"/>
          <w:sz w:val="20"/>
          <w:szCs w:val="20"/>
        </w:rPr>
        <w:t>9</w:t>
      </w:r>
      <w:r w:rsidRPr="007D233A">
        <w:rPr>
          <w:b/>
          <w:color w:val="000000"/>
          <w:sz w:val="20"/>
          <w:szCs w:val="20"/>
        </w:rPr>
        <w:t xml:space="preserve">: </w:t>
      </w:r>
      <w:r w:rsidR="00D6391E" w:rsidRPr="007D233A">
        <w:rPr>
          <w:color w:val="000000"/>
          <w:sz w:val="20"/>
          <w:szCs w:val="20"/>
        </w:rPr>
        <w:t xml:space="preserve">Deposit Money Banks Loans and Advances to Agriculture </w:t>
      </w:r>
      <w:r w:rsidRPr="007D233A">
        <w:rPr>
          <w:color w:val="000000"/>
          <w:sz w:val="20"/>
          <w:szCs w:val="20"/>
        </w:rPr>
        <w:t>and FGDP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39"/>
        <w:gridCol w:w="1602"/>
        <w:gridCol w:w="2118"/>
        <w:gridCol w:w="8"/>
        <w:gridCol w:w="1797"/>
        <w:gridCol w:w="1999"/>
      </w:tblGrid>
      <w:tr w:rsidR="00910F52" w:rsidRPr="007D233A" w:rsidTr="00EC3413">
        <w:tc>
          <w:tcPr>
            <w:tcW w:w="1224" w:type="pct"/>
            <w:tcBorders>
              <w:top w:val="single" w:sz="4" w:space="0" w:color="auto"/>
              <w:left w:val="nil"/>
              <w:bottom w:val="single" w:sz="4" w:space="0" w:color="auto"/>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Variable</w:t>
            </w:r>
          </w:p>
        </w:tc>
        <w:tc>
          <w:tcPr>
            <w:tcW w:w="804" w:type="pct"/>
            <w:tcBorders>
              <w:top w:val="single" w:sz="4" w:space="0" w:color="auto"/>
              <w:left w:val="nil"/>
              <w:bottom w:val="single" w:sz="4" w:space="0" w:color="auto"/>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Coefficient</w:t>
            </w:r>
          </w:p>
        </w:tc>
        <w:tc>
          <w:tcPr>
            <w:tcW w:w="1067" w:type="pct"/>
            <w:gridSpan w:val="2"/>
            <w:tcBorders>
              <w:top w:val="single" w:sz="4" w:space="0" w:color="auto"/>
              <w:left w:val="nil"/>
              <w:bottom w:val="single" w:sz="4" w:space="0" w:color="auto"/>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Std. Error</w:t>
            </w:r>
          </w:p>
        </w:tc>
        <w:tc>
          <w:tcPr>
            <w:tcW w:w="902" w:type="pct"/>
            <w:tcBorders>
              <w:top w:val="single" w:sz="4" w:space="0" w:color="auto"/>
              <w:left w:val="nil"/>
              <w:bottom w:val="single" w:sz="4" w:space="0" w:color="auto"/>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t-Statistic</w:t>
            </w:r>
          </w:p>
        </w:tc>
        <w:tc>
          <w:tcPr>
            <w:tcW w:w="1003" w:type="pct"/>
            <w:tcBorders>
              <w:top w:val="single" w:sz="4" w:space="0" w:color="auto"/>
              <w:left w:val="nil"/>
              <w:bottom w:val="single" w:sz="4" w:space="0" w:color="auto"/>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Prob.</w:t>
            </w:r>
          </w:p>
        </w:tc>
      </w:tr>
      <w:tr w:rsidR="00910F52" w:rsidRPr="007D233A" w:rsidTr="00EC3413">
        <w:tc>
          <w:tcPr>
            <w:tcW w:w="1224" w:type="pct"/>
            <w:tcBorders>
              <w:top w:val="single" w:sz="4" w:space="0" w:color="auto"/>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C</w:t>
            </w:r>
          </w:p>
        </w:tc>
        <w:tc>
          <w:tcPr>
            <w:tcW w:w="804" w:type="pct"/>
            <w:tcBorders>
              <w:top w:val="single" w:sz="4" w:space="0" w:color="auto"/>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29325.55</w:t>
            </w:r>
          </w:p>
        </w:tc>
        <w:tc>
          <w:tcPr>
            <w:tcW w:w="1067" w:type="pct"/>
            <w:gridSpan w:val="2"/>
            <w:tcBorders>
              <w:top w:val="single" w:sz="4" w:space="0" w:color="auto"/>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11031.43</w:t>
            </w:r>
          </w:p>
        </w:tc>
        <w:tc>
          <w:tcPr>
            <w:tcW w:w="902" w:type="pct"/>
            <w:tcBorders>
              <w:top w:val="single" w:sz="4" w:space="0" w:color="auto"/>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2.658363</w:t>
            </w:r>
          </w:p>
        </w:tc>
        <w:tc>
          <w:tcPr>
            <w:tcW w:w="1003" w:type="pct"/>
            <w:tcBorders>
              <w:top w:val="single" w:sz="4" w:space="0" w:color="auto"/>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0.0126</w:t>
            </w:r>
          </w:p>
        </w:tc>
      </w:tr>
      <w:tr w:rsidR="00910F52" w:rsidRPr="007D233A" w:rsidTr="00EC3413">
        <w:tc>
          <w:tcPr>
            <w:tcW w:w="1224" w:type="pct"/>
            <w:tcBorders>
              <w:top w:val="nil"/>
              <w:left w:val="nil"/>
              <w:bottom w:val="nil"/>
              <w:right w:val="nil"/>
            </w:tcBorders>
            <w:vAlign w:val="bottom"/>
          </w:tcPr>
          <w:p w:rsidR="00910F52" w:rsidRPr="007D233A" w:rsidRDefault="004B134D" w:rsidP="007D233A">
            <w:pPr>
              <w:autoSpaceDE w:val="0"/>
              <w:autoSpaceDN w:val="0"/>
              <w:adjustRightInd w:val="0"/>
              <w:jc w:val="both"/>
              <w:rPr>
                <w:color w:val="000000"/>
                <w:sz w:val="20"/>
                <w:szCs w:val="20"/>
              </w:rPr>
            </w:pPr>
            <w:r w:rsidRPr="007D233A">
              <w:rPr>
                <w:color w:val="000000"/>
                <w:sz w:val="20"/>
                <w:szCs w:val="20"/>
              </w:rPr>
              <w:t>DMBL</w:t>
            </w:r>
            <w:r w:rsidR="00910F52" w:rsidRPr="007D233A">
              <w:rPr>
                <w:color w:val="000000"/>
                <w:sz w:val="20"/>
                <w:szCs w:val="20"/>
              </w:rPr>
              <w:t>A</w:t>
            </w:r>
          </w:p>
        </w:tc>
        <w:tc>
          <w:tcPr>
            <w:tcW w:w="804"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0.026154</w:t>
            </w:r>
          </w:p>
        </w:tc>
        <w:tc>
          <w:tcPr>
            <w:tcW w:w="1067" w:type="pct"/>
            <w:gridSpan w:val="2"/>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0.019811</w:t>
            </w:r>
          </w:p>
        </w:tc>
        <w:tc>
          <w:tcPr>
            <w:tcW w:w="902"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1.320178</w:t>
            </w:r>
          </w:p>
        </w:tc>
        <w:tc>
          <w:tcPr>
            <w:tcW w:w="1003"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0.1971</w:t>
            </w:r>
          </w:p>
        </w:tc>
      </w:tr>
      <w:tr w:rsidR="00910F52" w:rsidRPr="007D233A" w:rsidTr="00EC3413">
        <w:tc>
          <w:tcPr>
            <w:tcW w:w="1224"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IPDF</w:t>
            </w:r>
          </w:p>
        </w:tc>
        <w:tc>
          <w:tcPr>
            <w:tcW w:w="804"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208.9338</w:t>
            </w:r>
          </w:p>
        </w:tc>
        <w:tc>
          <w:tcPr>
            <w:tcW w:w="1063"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57.65959</w:t>
            </w:r>
          </w:p>
        </w:tc>
        <w:tc>
          <w:tcPr>
            <w:tcW w:w="906" w:type="pct"/>
            <w:gridSpan w:val="2"/>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3.623574</w:t>
            </w:r>
          </w:p>
        </w:tc>
        <w:tc>
          <w:tcPr>
            <w:tcW w:w="1003"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0.0011</w:t>
            </w:r>
          </w:p>
        </w:tc>
      </w:tr>
      <w:tr w:rsidR="00910F52" w:rsidRPr="007D233A" w:rsidTr="00EC3413">
        <w:tc>
          <w:tcPr>
            <w:tcW w:w="1224"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INT</w:t>
            </w:r>
          </w:p>
        </w:tc>
        <w:tc>
          <w:tcPr>
            <w:tcW w:w="804"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-2.597083</w:t>
            </w:r>
          </w:p>
        </w:tc>
        <w:tc>
          <w:tcPr>
            <w:tcW w:w="1063"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2.187393</w:t>
            </w:r>
          </w:p>
        </w:tc>
        <w:tc>
          <w:tcPr>
            <w:tcW w:w="906" w:type="pct"/>
            <w:gridSpan w:val="2"/>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-1.187296</w:t>
            </w:r>
          </w:p>
        </w:tc>
        <w:tc>
          <w:tcPr>
            <w:tcW w:w="1003"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0.2447</w:t>
            </w:r>
          </w:p>
        </w:tc>
      </w:tr>
      <w:tr w:rsidR="00910F52" w:rsidRPr="007D233A" w:rsidTr="00EC3413">
        <w:tc>
          <w:tcPr>
            <w:tcW w:w="1224"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R-squared</w:t>
            </w:r>
          </w:p>
        </w:tc>
        <w:tc>
          <w:tcPr>
            <w:tcW w:w="804"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0.980257</w:t>
            </w:r>
          </w:p>
        </w:tc>
        <w:tc>
          <w:tcPr>
            <w:tcW w:w="1969" w:type="pct"/>
            <w:gridSpan w:val="3"/>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    Mean dependent var</w:t>
            </w:r>
          </w:p>
        </w:tc>
        <w:tc>
          <w:tcPr>
            <w:tcW w:w="1003"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98960.29</w:t>
            </w:r>
          </w:p>
        </w:tc>
      </w:tr>
      <w:tr w:rsidR="00910F52" w:rsidRPr="007D233A" w:rsidTr="00EC3413">
        <w:tc>
          <w:tcPr>
            <w:tcW w:w="1224"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Adjusted R-squared</w:t>
            </w:r>
          </w:p>
        </w:tc>
        <w:tc>
          <w:tcPr>
            <w:tcW w:w="804"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0.977533</w:t>
            </w:r>
          </w:p>
        </w:tc>
        <w:tc>
          <w:tcPr>
            <w:tcW w:w="1969" w:type="pct"/>
            <w:gridSpan w:val="3"/>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    S.D. dependent var</w:t>
            </w:r>
          </w:p>
        </w:tc>
        <w:tc>
          <w:tcPr>
            <w:tcW w:w="1003"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28363.74</w:t>
            </w:r>
          </w:p>
        </w:tc>
      </w:tr>
      <w:tr w:rsidR="00910F52" w:rsidRPr="007D233A" w:rsidTr="00EC3413">
        <w:tc>
          <w:tcPr>
            <w:tcW w:w="1224"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S.E. of regression</w:t>
            </w:r>
          </w:p>
        </w:tc>
        <w:tc>
          <w:tcPr>
            <w:tcW w:w="804"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4251.407</w:t>
            </w:r>
          </w:p>
        </w:tc>
        <w:tc>
          <w:tcPr>
            <w:tcW w:w="1969" w:type="pct"/>
            <w:gridSpan w:val="3"/>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    Akaike info criterion</w:t>
            </w:r>
          </w:p>
        </w:tc>
        <w:tc>
          <w:tcPr>
            <w:tcW w:w="1003"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19.68294</w:t>
            </w:r>
          </w:p>
        </w:tc>
      </w:tr>
      <w:tr w:rsidR="00910F52" w:rsidRPr="007D233A" w:rsidTr="00EC3413">
        <w:tc>
          <w:tcPr>
            <w:tcW w:w="1224"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Sum squared resid</w:t>
            </w:r>
          </w:p>
        </w:tc>
        <w:tc>
          <w:tcPr>
            <w:tcW w:w="804"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5.24E+08</w:t>
            </w:r>
          </w:p>
        </w:tc>
        <w:tc>
          <w:tcPr>
            <w:tcW w:w="1969" w:type="pct"/>
            <w:gridSpan w:val="3"/>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    Schwarz criterion</w:t>
            </w:r>
          </w:p>
        </w:tc>
        <w:tc>
          <w:tcPr>
            <w:tcW w:w="1003"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19.90741</w:t>
            </w:r>
          </w:p>
        </w:tc>
      </w:tr>
      <w:tr w:rsidR="00910F52" w:rsidRPr="007D233A" w:rsidTr="00EC3413">
        <w:tc>
          <w:tcPr>
            <w:tcW w:w="1224"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Log likelihood</w:t>
            </w:r>
          </w:p>
        </w:tc>
        <w:tc>
          <w:tcPr>
            <w:tcW w:w="804"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-329.6100</w:t>
            </w:r>
          </w:p>
        </w:tc>
        <w:tc>
          <w:tcPr>
            <w:tcW w:w="1969" w:type="pct"/>
            <w:gridSpan w:val="3"/>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    Hannan-Quinn criter.</w:t>
            </w:r>
          </w:p>
        </w:tc>
        <w:tc>
          <w:tcPr>
            <w:tcW w:w="1003"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19.75949</w:t>
            </w:r>
          </w:p>
        </w:tc>
      </w:tr>
      <w:tr w:rsidR="00910F52" w:rsidRPr="007D233A" w:rsidTr="00EC3413">
        <w:trPr>
          <w:trHeight w:val="80"/>
        </w:trPr>
        <w:tc>
          <w:tcPr>
            <w:tcW w:w="1224"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F-statistic</w:t>
            </w:r>
          </w:p>
        </w:tc>
        <w:tc>
          <w:tcPr>
            <w:tcW w:w="804"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359.9609</w:t>
            </w:r>
          </w:p>
        </w:tc>
        <w:tc>
          <w:tcPr>
            <w:tcW w:w="1969" w:type="pct"/>
            <w:gridSpan w:val="3"/>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    Durbin-Watson stat</w:t>
            </w:r>
          </w:p>
        </w:tc>
        <w:tc>
          <w:tcPr>
            <w:tcW w:w="1003" w:type="pct"/>
            <w:tcBorders>
              <w:top w:val="nil"/>
              <w:left w:val="nil"/>
              <w:bottom w:val="nil"/>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2.000383</w:t>
            </w:r>
          </w:p>
        </w:tc>
      </w:tr>
      <w:tr w:rsidR="00910F52" w:rsidRPr="007D233A" w:rsidTr="00EC3413">
        <w:trPr>
          <w:trHeight w:val="80"/>
        </w:trPr>
        <w:tc>
          <w:tcPr>
            <w:tcW w:w="1224" w:type="pct"/>
            <w:tcBorders>
              <w:top w:val="nil"/>
              <w:left w:val="nil"/>
              <w:bottom w:val="single" w:sz="4" w:space="0" w:color="auto"/>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Prob (F-statistic)</w:t>
            </w:r>
          </w:p>
        </w:tc>
        <w:tc>
          <w:tcPr>
            <w:tcW w:w="804" w:type="pct"/>
            <w:tcBorders>
              <w:top w:val="nil"/>
              <w:left w:val="nil"/>
              <w:bottom w:val="single" w:sz="4" w:space="0" w:color="auto"/>
              <w:right w:val="nil"/>
            </w:tcBorders>
            <w:vAlign w:val="bottom"/>
          </w:tcPr>
          <w:p w:rsidR="00910F52" w:rsidRPr="007D233A" w:rsidRDefault="00910F52" w:rsidP="007D233A">
            <w:pPr>
              <w:autoSpaceDE w:val="0"/>
              <w:autoSpaceDN w:val="0"/>
              <w:adjustRightInd w:val="0"/>
              <w:jc w:val="both"/>
              <w:rPr>
                <w:color w:val="000000"/>
                <w:sz w:val="20"/>
                <w:szCs w:val="20"/>
              </w:rPr>
            </w:pPr>
            <w:r w:rsidRPr="007D233A">
              <w:rPr>
                <w:color w:val="000000"/>
                <w:sz w:val="20"/>
                <w:szCs w:val="20"/>
              </w:rPr>
              <w:t>0.000000</w:t>
            </w:r>
          </w:p>
        </w:tc>
        <w:tc>
          <w:tcPr>
            <w:tcW w:w="1969" w:type="pct"/>
            <w:gridSpan w:val="3"/>
            <w:tcBorders>
              <w:top w:val="nil"/>
              <w:left w:val="nil"/>
              <w:bottom w:val="single" w:sz="4" w:space="0" w:color="auto"/>
              <w:right w:val="nil"/>
            </w:tcBorders>
            <w:vAlign w:val="bottom"/>
          </w:tcPr>
          <w:p w:rsidR="00910F52" w:rsidRPr="007D233A" w:rsidRDefault="00910F52" w:rsidP="007D233A">
            <w:pPr>
              <w:autoSpaceDE w:val="0"/>
              <w:autoSpaceDN w:val="0"/>
              <w:adjustRightInd w:val="0"/>
              <w:jc w:val="both"/>
              <w:rPr>
                <w:color w:val="000000"/>
                <w:sz w:val="20"/>
                <w:szCs w:val="20"/>
              </w:rPr>
            </w:pPr>
          </w:p>
        </w:tc>
        <w:tc>
          <w:tcPr>
            <w:tcW w:w="1003" w:type="pct"/>
            <w:tcBorders>
              <w:top w:val="nil"/>
              <w:left w:val="nil"/>
              <w:bottom w:val="single" w:sz="4" w:space="0" w:color="auto"/>
              <w:right w:val="nil"/>
            </w:tcBorders>
            <w:vAlign w:val="bottom"/>
          </w:tcPr>
          <w:p w:rsidR="00910F52" w:rsidRPr="007D233A" w:rsidRDefault="00910F52" w:rsidP="007D233A">
            <w:pPr>
              <w:autoSpaceDE w:val="0"/>
              <w:autoSpaceDN w:val="0"/>
              <w:adjustRightInd w:val="0"/>
              <w:jc w:val="both"/>
              <w:rPr>
                <w:color w:val="000000"/>
                <w:sz w:val="20"/>
                <w:szCs w:val="20"/>
              </w:rPr>
            </w:pPr>
          </w:p>
        </w:tc>
      </w:tr>
    </w:tbl>
    <w:p w:rsidR="00910F52" w:rsidRPr="007D233A" w:rsidRDefault="00910F52" w:rsidP="00EC3413">
      <w:pPr>
        <w:jc w:val="center"/>
        <w:rPr>
          <w:i/>
          <w:sz w:val="20"/>
          <w:szCs w:val="20"/>
        </w:rPr>
      </w:pPr>
      <w:r w:rsidRPr="00EC3413">
        <w:rPr>
          <w:b/>
          <w:i/>
          <w:sz w:val="20"/>
          <w:szCs w:val="20"/>
        </w:rPr>
        <w:t>Source</w:t>
      </w:r>
      <w:r w:rsidRPr="007D233A">
        <w:rPr>
          <w:i/>
          <w:sz w:val="20"/>
          <w:szCs w:val="20"/>
        </w:rPr>
        <w:t xml:space="preserve">: Data output E-views </w:t>
      </w:r>
      <w:r w:rsidR="00D6391E" w:rsidRPr="007D233A">
        <w:rPr>
          <w:i/>
          <w:sz w:val="20"/>
          <w:szCs w:val="20"/>
        </w:rPr>
        <w:t>10</w:t>
      </w:r>
      <w:r w:rsidRPr="007D233A">
        <w:rPr>
          <w:i/>
          <w:sz w:val="20"/>
          <w:szCs w:val="20"/>
        </w:rPr>
        <w:t>.0</w:t>
      </w:r>
    </w:p>
    <w:p w:rsidR="00910F52" w:rsidRPr="007D233A" w:rsidRDefault="00910F52" w:rsidP="00EC3413">
      <w:pPr>
        <w:jc w:val="both"/>
        <w:rPr>
          <w:sz w:val="20"/>
          <w:szCs w:val="20"/>
        </w:rPr>
      </w:pPr>
    </w:p>
    <w:p w:rsidR="004B134D" w:rsidRPr="007D233A" w:rsidRDefault="004B134D" w:rsidP="00EC3413">
      <w:pPr>
        <w:ind w:firstLine="357"/>
        <w:jc w:val="both"/>
        <w:rPr>
          <w:sz w:val="20"/>
          <w:szCs w:val="20"/>
        </w:rPr>
      </w:pPr>
      <w:r w:rsidRPr="007D233A">
        <w:rPr>
          <w:sz w:val="20"/>
          <w:szCs w:val="20"/>
        </w:rPr>
        <w:t xml:space="preserve">The effect of </w:t>
      </w:r>
      <w:r w:rsidRPr="007D233A">
        <w:rPr>
          <w:color w:val="000000"/>
          <w:sz w:val="20"/>
          <w:szCs w:val="20"/>
        </w:rPr>
        <w:t>deposit money banks loans and advances to agriculture</w:t>
      </w:r>
      <w:r w:rsidRPr="007D233A">
        <w:rPr>
          <w:sz w:val="20"/>
          <w:szCs w:val="20"/>
        </w:rPr>
        <w:t xml:space="preserve"> on crop production GDP, Livestock GDP and Forestry GDP, was examined using the pairwise granger causality test </w:t>
      </w:r>
      <w:r w:rsidR="00774F50" w:rsidRPr="007D233A">
        <w:rPr>
          <w:sz w:val="20"/>
          <w:szCs w:val="20"/>
        </w:rPr>
        <w:t>as</w:t>
      </w:r>
      <w:r w:rsidRPr="007D233A">
        <w:rPr>
          <w:sz w:val="20"/>
          <w:szCs w:val="20"/>
        </w:rPr>
        <w:t xml:space="preserve"> summarized in Tables </w:t>
      </w:r>
      <w:r w:rsidR="00774F50" w:rsidRPr="007D233A">
        <w:rPr>
          <w:sz w:val="20"/>
          <w:szCs w:val="20"/>
        </w:rPr>
        <w:t xml:space="preserve">10 – 12. </w:t>
      </w:r>
      <w:r w:rsidRPr="007D233A">
        <w:rPr>
          <w:sz w:val="20"/>
          <w:szCs w:val="20"/>
        </w:rPr>
        <w:t>F</w:t>
      </w:r>
      <w:r w:rsidR="00774F50" w:rsidRPr="007D233A">
        <w:rPr>
          <w:sz w:val="20"/>
          <w:szCs w:val="20"/>
        </w:rPr>
        <w:t>rom Table 10</w:t>
      </w:r>
      <w:r w:rsidRPr="007D233A">
        <w:rPr>
          <w:sz w:val="20"/>
          <w:szCs w:val="20"/>
        </w:rPr>
        <w:t xml:space="preserve">, there is no one way or two way causal relationship between </w:t>
      </w:r>
      <w:r w:rsidR="00774F50" w:rsidRPr="007D233A">
        <w:rPr>
          <w:color w:val="000000"/>
          <w:sz w:val="20"/>
          <w:szCs w:val="20"/>
        </w:rPr>
        <w:t>deposit money banks loans and advances to agriculture</w:t>
      </w:r>
      <w:r w:rsidRPr="007D233A">
        <w:rPr>
          <w:sz w:val="20"/>
          <w:szCs w:val="20"/>
        </w:rPr>
        <w:t xml:space="preserve"> and crop production GDP. Causality does not run from </w:t>
      </w:r>
      <w:r w:rsidR="00774F50" w:rsidRPr="007D233A">
        <w:rPr>
          <w:color w:val="000000"/>
          <w:sz w:val="20"/>
          <w:szCs w:val="20"/>
        </w:rPr>
        <w:t>deposit money banks loans and advances to agriculture</w:t>
      </w:r>
      <w:r w:rsidRPr="007D233A">
        <w:rPr>
          <w:sz w:val="20"/>
          <w:szCs w:val="20"/>
        </w:rPr>
        <w:t xml:space="preserve"> to crop production GDP at </w:t>
      </w:r>
      <w:r w:rsidR="00774F50" w:rsidRPr="007D233A">
        <w:rPr>
          <w:sz w:val="20"/>
          <w:szCs w:val="20"/>
        </w:rPr>
        <w:t xml:space="preserve">a </w:t>
      </w:r>
      <w:r w:rsidRPr="007D233A">
        <w:rPr>
          <w:sz w:val="20"/>
          <w:szCs w:val="20"/>
        </w:rPr>
        <w:t xml:space="preserve">5% level of significance. This finding implies that </w:t>
      </w:r>
      <w:r w:rsidR="00774F50" w:rsidRPr="007D233A">
        <w:rPr>
          <w:color w:val="000000"/>
          <w:sz w:val="20"/>
          <w:szCs w:val="20"/>
        </w:rPr>
        <w:t>deposit money banks loans and advances to agriculture</w:t>
      </w:r>
      <w:r w:rsidRPr="007D233A">
        <w:rPr>
          <w:sz w:val="20"/>
          <w:szCs w:val="20"/>
        </w:rPr>
        <w:t xml:space="preserve"> has no significant effect on crop production GDP. Nevertheless, implicit price deflator for crop production GDP was found to exert significant effect on crop production GDP.</w:t>
      </w:r>
    </w:p>
    <w:p w:rsidR="00767F1E" w:rsidRPr="007D233A" w:rsidRDefault="00767F1E" w:rsidP="007D233A">
      <w:pPr>
        <w:jc w:val="both"/>
        <w:rPr>
          <w:sz w:val="20"/>
          <w:szCs w:val="20"/>
        </w:rPr>
      </w:pPr>
    </w:p>
    <w:p w:rsidR="004B134D" w:rsidRPr="007D233A" w:rsidRDefault="004B134D" w:rsidP="00EC3413">
      <w:pPr>
        <w:jc w:val="center"/>
        <w:rPr>
          <w:sz w:val="20"/>
          <w:szCs w:val="20"/>
        </w:rPr>
      </w:pPr>
      <w:r w:rsidRPr="007D233A">
        <w:rPr>
          <w:b/>
          <w:sz w:val="20"/>
          <w:szCs w:val="20"/>
        </w:rPr>
        <w:t>Table</w:t>
      </w:r>
      <w:r w:rsidR="00774F50" w:rsidRPr="007D233A">
        <w:rPr>
          <w:b/>
          <w:sz w:val="20"/>
          <w:szCs w:val="20"/>
        </w:rPr>
        <w:t xml:space="preserve"> 10</w:t>
      </w:r>
      <w:r w:rsidRPr="007D233A">
        <w:rPr>
          <w:b/>
          <w:sz w:val="20"/>
          <w:szCs w:val="20"/>
        </w:rPr>
        <w:t>:</w:t>
      </w:r>
      <w:r w:rsidRPr="007D233A">
        <w:rPr>
          <w:sz w:val="20"/>
          <w:szCs w:val="20"/>
        </w:rPr>
        <w:t xml:space="preserve"> Granger Causality Test for CP</w:t>
      </w:r>
      <w:r w:rsidR="00774F50" w:rsidRPr="007D233A">
        <w:rPr>
          <w:rFonts w:eastAsia="TimesNewRomanPSMT"/>
          <w:sz w:val="20"/>
          <w:szCs w:val="20"/>
        </w:rPr>
        <w:t>GDP, DMBL</w:t>
      </w:r>
      <w:r w:rsidRPr="007D233A">
        <w:rPr>
          <w:rFonts w:eastAsia="TimesNewRomanPSMT"/>
          <w:sz w:val="20"/>
          <w:szCs w:val="20"/>
        </w:rPr>
        <w:t>A, IPDCP and INT</w:t>
      </w:r>
    </w:p>
    <w:tbl>
      <w:tblPr>
        <w:tblW w:w="5000" w:type="pct"/>
        <w:tblBorders>
          <w:top w:val="single" w:sz="4" w:space="0" w:color="auto"/>
          <w:bottom w:val="single" w:sz="4" w:space="0" w:color="auto"/>
        </w:tblBorders>
        <w:tblLook w:val="04A0"/>
      </w:tblPr>
      <w:tblGrid>
        <w:gridCol w:w="4531"/>
        <w:gridCol w:w="1146"/>
        <w:gridCol w:w="1431"/>
        <w:gridCol w:w="1022"/>
        <w:gridCol w:w="1833"/>
      </w:tblGrid>
      <w:tr w:rsidR="004B134D" w:rsidRPr="007D233A" w:rsidTr="00EC3413">
        <w:tc>
          <w:tcPr>
            <w:tcW w:w="2274" w:type="pct"/>
            <w:tcBorders>
              <w:top w:val="single" w:sz="4" w:space="0" w:color="auto"/>
              <w:bottom w:val="single" w:sz="4" w:space="0" w:color="auto"/>
            </w:tcBorders>
            <w:shd w:val="clear" w:color="auto" w:fill="auto"/>
          </w:tcPr>
          <w:p w:rsidR="004B134D" w:rsidRPr="007D233A" w:rsidRDefault="004B134D" w:rsidP="007D233A">
            <w:pPr>
              <w:jc w:val="both"/>
              <w:rPr>
                <w:sz w:val="20"/>
                <w:szCs w:val="20"/>
              </w:rPr>
            </w:pPr>
            <w:r w:rsidRPr="007D233A">
              <w:rPr>
                <w:color w:val="000000"/>
                <w:sz w:val="20"/>
                <w:szCs w:val="20"/>
              </w:rPr>
              <w:t>Null Hypothesis:</w:t>
            </w:r>
          </w:p>
        </w:tc>
        <w:tc>
          <w:tcPr>
            <w:tcW w:w="575" w:type="pct"/>
            <w:tcBorders>
              <w:top w:val="single" w:sz="4" w:space="0" w:color="auto"/>
              <w:bottom w:val="single" w:sz="4" w:space="0" w:color="auto"/>
            </w:tcBorders>
            <w:shd w:val="clear" w:color="auto" w:fill="auto"/>
          </w:tcPr>
          <w:p w:rsidR="004B134D" w:rsidRPr="007D233A" w:rsidRDefault="004B134D" w:rsidP="007D233A">
            <w:pPr>
              <w:jc w:val="both"/>
              <w:rPr>
                <w:sz w:val="20"/>
                <w:szCs w:val="20"/>
              </w:rPr>
            </w:pPr>
            <w:r w:rsidRPr="007D233A">
              <w:rPr>
                <w:color w:val="000000"/>
                <w:sz w:val="20"/>
                <w:szCs w:val="20"/>
              </w:rPr>
              <w:t>Obs</w:t>
            </w:r>
          </w:p>
        </w:tc>
        <w:tc>
          <w:tcPr>
            <w:tcW w:w="718" w:type="pct"/>
            <w:tcBorders>
              <w:top w:val="single" w:sz="4" w:space="0" w:color="auto"/>
              <w:bottom w:val="single" w:sz="4" w:space="0" w:color="auto"/>
            </w:tcBorders>
            <w:shd w:val="clear" w:color="auto" w:fill="auto"/>
          </w:tcPr>
          <w:p w:rsidR="004B134D" w:rsidRPr="007D233A" w:rsidRDefault="004B134D" w:rsidP="007D233A">
            <w:pPr>
              <w:jc w:val="both"/>
              <w:rPr>
                <w:sz w:val="20"/>
                <w:szCs w:val="20"/>
              </w:rPr>
            </w:pPr>
            <w:r w:rsidRPr="007D233A">
              <w:rPr>
                <w:color w:val="000000"/>
                <w:sz w:val="20"/>
                <w:szCs w:val="20"/>
              </w:rPr>
              <w:t>F-Statistic</w:t>
            </w:r>
          </w:p>
        </w:tc>
        <w:tc>
          <w:tcPr>
            <w:tcW w:w="513" w:type="pct"/>
            <w:tcBorders>
              <w:top w:val="single" w:sz="4" w:space="0" w:color="auto"/>
              <w:bottom w:val="single" w:sz="4" w:space="0" w:color="auto"/>
            </w:tcBorders>
            <w:shd w:val="clear" w:color="auto" w:fill="auto"/>
          </w:tcPr>
          <w:p w:rsidR="004B134D" w:rsidRPr="007D233A" w:rsidRDefault="004B134D" w:rsidP="007D233A">
            <w:pPr>
              <w:jc w:val="both"/>
              <w:rPr>
                <w:sz w:val="20"/>
                <w:szCs w:val="20"/>
              </w:rPr>
            </w:pPr>
            <w:r w:rsidRPr="007D233A">
              <w:rPr>
                <w:color w:val="000000"/>
                <w:sz w:val="20"/>
                <w:szCs w:val="20"/>
              </w:rPr>
              <w:t>Prob.</w:t>
            </w:r>
          </w:p>
        </w:tc>
        <w:tc>
          <w:tcPr>
            <w:tcW w:w="921" w:type="pct"/>
            <w:tcBorders>
              <w:top w:val="single" w:sz="4" w:space="0" w:color="auto"/>
              <w:bottom w:val="single" w:sz="4" w:space="0" w:color="auto"/>
            </w:tcBorders>
            <w:shd w:val="clear" w:color="auto" w:fill="auto"/>
          </w:tcPr>
          <w:p w:rsidR="004B134D" w:rsidRPr="007D233A" w:rsidRDefault="004B134D" w:rsidP="007D233A">
            <w:pPr>
              <w:jc w:val="both"/>
              <w:rPr>
                <w:sz w:val="20"/>
                <w:szCs w:val="20"/>
              </w:rPr>
            </w:pPr>
            <w:r w:rsidRPr="007D233A">
              <w:rPr>
                <w:color w:val="000000"/>
                <w:sz w:val="20"/>
                <w:szCs w:val="20"/>
              </w:rPr>
              <w:t>Remarks</w:t>
            </w:r>
          </w:p>
        </w:tc>
      </w:tr>
      <w:tr w:rsidR="004B134D" w:rsidRPr="007D233A" w:rsidTr="00EC3413">
        <w:trPr>
          <w:trHeight w:val="337"/>
        </w:trPr>
        <w:tc>
          <w:tcPr>
            <w:tcW w:w="2274" w:type="pct"/>
            <w:tcBorders>
              <w:top w:val="single" w:sz="4" w:space="0" w:color="auto"/>
            </w:tcBorders>
            <w:shd w:val="clear" w:color="auto" w:fill="auto"/>
            <w:vAlign w:val="bottom"/>
          </w:tcPr>
          <w:p w:rsidR="004B134D" w:rsidRPr="007D233A" w:rsidRDefault="00774F50" w:rsidP="007D233A">
            <w:pPr>
              <w:autoSpaceDE w:val="0"/>
              <w:autoSpaceDN w:val="0"/>
              <w:adjustRightInd w:val="0"/>
              <w:jc w:val="both"/>
              <w:rPr>
                <w:color w:val="000000"/>
                <w:sz w:val="20"/>
                <w:szCs w:val="20"/>
              </w:rPr>
            </w:pPr>
            <w:r w:rsidRPr="007D233A">
              <w:rPr>
                <w:color w:val="000000"/>
                <w:sz w:val="20"/>
                <w:szCs w:val="20"/>
              </w:rPr>
              <w:t>DMBLA</w:t>
            </w:r>
            <w:r w:rsidR="004B134D" w:rsidRPr="007D233A">
              <w:rPr>
                <w:color w:val="000000"/>
                <w:sz w:val="20"/>
                <w:szCs w:val="20"/>
              </w:rPr>
              <w:t xml:space="preserve"> does not Granger Cause CPGDP</w:t>
            </w:r>
          </w:p>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 xml:space="preserve">CPGDP does not Granger Cause </w:t>
            </w:r>
            <w:r w:rsidR="00774F50" w:rsidRPr="007D233A">
              <w:rPr>
                <w:color w:val="000000"/>
                <w:sz w:val="20"/>
                <w:szCs w:val="20"/>
              </w:rPr>
              <w:t>DMBLA</w:t>
            </w:r>
          </w:p>
        </w:tc>
        <w:tc>
          <w:tcPr>
            <w:tcW w:w="575" w:type="pct"/>
            <w:tcBorders>
              <w:top w:val="single" w:sz="4" w:space="0" w:color="auto"/>
            </w:tcBorders>
            <w:shd w:val="clear" w:color="auto" w:fill="auto"/>
            <w:vAlign w:val="bottom"/>
          </w:tcPr>
          <w:p w:rsidR="004B134D" w:rsidRPr="007D233A" w:rsidRDefault="00774F50" w:rsidP="007D233A">
            <w:pPr>
              <w:autoSpaceDE w:val="0"/>
              <w:autoSpaceDN w:val="0"/>
              <w:adjustRightInd w:val="0"/>
              <w:jc w:val="both"/>
              <w:rPr>
                <w:color w:val="000000"/>
                <w:sz w:val="20"/>
                <w:szCs w:val="20"/>
              </w:rPr>
            </w:pPr>
            <w:r w:rsidRPr="007D233A">
              <w:rPr>
                <w:color w:val="000000"/>
                <w:sz w:val="20"/>
                <w:szCs w:val="20"/>
              </w:rPr>
              <w:t> 35</w:t>
            </w:r>
          </w:p>
          <w:p w:rsidR="004B134D" w:rsidRPr="007D233A" w:rsidRDefault="004B134D" w:rsidP="007D233A">
            <w:pPr>
              <w:autoSpaceDE w:val="0"/>
              <w:autoSpaceDN w:val="0"/>
              <w:adjustRightInd w:val="0"/>
              <w:jc w:val="both"/>
              <w:rPr>
                <w:color w:val="000000"/>
                <w:sz w:val="20"/>
                <w:szCs w:val="20"/>
              </w:rPr>
            </w:pPr>
          </w:p>
        </w:tc>
        <w:tc>
          <w:tcPr>
            <w:tcW w:w="718" w:type="pct"/>
            <w:tcBorders>
              <w:top w:val="single" w:sz="4" w:space="0" w:color="auto"/>
            </w:tcBorders>
            <w:shd w:val="clear" w:color="auto" w:fill="auto"/>
            <w:vAlign w:val="bottom"/>
          </w:tcPr>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 xml:space="preserve">   0.16618</w:t>
            </w:r>
          </w:p>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 xml:space="preserve">   3.42028</w:t>
            </w:r>
          </w:p>
        </w:tc>
        <w:tc>
          <w:tcPr>
            <w:tcW w:w="513" w:type="pct"/>
            <w:tcBorders>
              <w:top w:val="single" w:sz="4" w:space="0" w:color="auto"/>
            </w:tcBorders>
            <w:shd w:val="clear" w:color="auto" w:fill="auto"/>
            <w:vAlign w:val="bottom"/>
          </w:tcPr>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0.6863</w:t>
            </w:r>
          </w:p>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0.0740</w:t>
            </w:r>
          </w:p>
        </w:tc>
        <w:tc>
          <w:tcPr>
            <w:tcW w:w="921" w:type="pct"/>
            <w:tcBorders>
              <w:top w:val="single" w:sz="4" w:space="0" w:color="auto"/>
            </w:tcBorders>
            <w:shd w:val="clear" w:color="auto" w:fill="auto"/>
            <w:vAlign w:val="bottom"/>
          </w:tcPr>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No Causality</w:t>
            </w:r>
          </w:p>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No Causality</w:t>
            </w:r>
          </w:p>
        </w:tc>
      </w:tr>
      <w:tr w:rsidR="004B134D" w:rsidRPr="007D233A" w:rsidTr="00EC3413">
        <w:trPr>
          <w:trHeight w:val="337"/>
        </w:trPr>
        <w:tc>
          <w:tcPr>
            <w:tcW w:w="2274" w:type="pct"/>
            <w:shd w:val="clear" w:color="auto" w:fill="auto"/>
            <w:vAlign w:val="bottom"/>
          </w:tcPr>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IPDCP does not Granger Cause CPGDP</w:t>
            </w:r>
          </w:p>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CPGDP does not Granger Cause IPDCP</w:t>
            </w:r>
          </w:p>
        </w:tc>
        <w:tc>
          <w:tcPr>
            <w:tcW w:w="575" w:type="pct"/>
            <w:shd w:val="clear" w:color="auto" w:fill="auto"/>
            <w:vAlign w:val="bottom"/>
          </w:tcPr>
          <w:p w:rsidR="004B134D" w:rsidRPr="007D233A" w:rsidRDefault="00774F50" w:rsidP="007D233A">
            <w:pPr>
              <w:autoSpaceDE w:val="0"/>
              <w:autoSpaceDN w:val="0"/>
              <w:adjustRightInd w:val="0"/>
              <w:jc w:val="both"/>
              <w:rPr>
                <w:color w:val="000000"/>
                <w:sz w:val="20"/>
                <w:szCs w:val="20"/>
              </w:rPr>
            </w:pPr>
            <w:r w:rsidRPr="007D233A">
              <w:rPr>
                <w:color w:val="000000"/>
                <w:sz w:val="20"/>
                <w:szCs w:val="20"/>
              </w:rPr>
              <w:t> 35</w:t>
            </w:r>
          </w:p>
          <w:p w:rsidR="004B134D" w:rsidRPr="007D233A" w:rsidRDefault="004B134D" w:rsidP="007D233A">
            <w:pPr>
              <w:autoSpaceDE w:val="0"/>
              <w:autoSpaceDN w:val="0"/>
              <w:adjustRightInd w:val="0"/>
              <w:jc w:val="both"/>
              <w:rPr>
                <w:color w:val="000000"/>
                <w:sz w:val="20"/>
                <w:szCs w:val="20"/>
              </w:rPr>
            </w:pPr>
          </w:p>
        </w:tc>
        <w:tc>
          <w:tcPr>
            <w:tcW w:w="718" w:type="pct"/>
            <w:shd w:val="clear" w:color="auto" w:fill="auto"/>
            <w:vAlign w:val="bottom"/>
          </w:tcPr>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   8.06447</w:t>
            </w:r>
          </w:p>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 xml:space="preserve">  1.65060</w:t>
            </w:r>
          </w:p>
        </w:tc>
        <w:tc>
          <w:tcPr>
            <w:tcW w:w="513" w:type="pct"/>
            <w:shd w:val="clear" w:color="auto" w:fill="auto"/>
            <w:vAlign w:val="bottom"/>
          </w:tcPr>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0.0079</w:t>
            </w:r>
          </w:p>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0.2084</w:t>
            </w:r>
          </w:p>
        </w:tc>
        <w:tc>
          <w:tcPr>
            <w:tcW w:w="921" w:type="pct"/>
            <w:shd w:val="clear" w:color="auto" w:fill="auto"/>
            <w:vAlign w:val="bottom"/>
          </w:tcPr>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Causality</w:t>
            </w:r>
          </w:p>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No Causality</w:t>
            </w:r>
          </w:p>
        </w:tc>
      </w:tr>
      <w:tr w:rsidR="004B134D" w:rsidRPr="007D233A" w:rsidTr="00EC3413">
        <w:trPr>
          <w:trHeight w:val="337"/>
        </w:trPr>
        <w:tc>
          <w:tcPr>
            <w:tcW w:w="2274" w:type="pct"/>
            <w:shd w:val="clear" w:color="auto" w:fill="auto"/>
            <w:vAlign w:val="bottom"/>
          </w:tcPr>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INT does not Granger Cause CPGDP</w:t>
            </w:r>
          </w:p>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CPGDP does not Granger Cause INT</w:t>
            </w:r>
          </w:p>
        </w:tc>
        <w:tc>
          <w:tcPr>
            <w:tcW w:w="575" w:type="pct"/>
            <w:shd w:val="clear" w:color="auto" w:fill="auto"/>
            <w:vAlign w:val="bottom"/>
          </w:tcPr>
          <w:p w:rsidR="004B134D" w:rsidRPr="007D233A" w:rsidRDefault="00774F50" w:rsidP="007D233A">
            <w:pPr>
              <w:autoSpaceDE w:val="0"/>
              <w:autoSpaceDN w:val="0"/>
              <w:adjustRightInd w:val="0"/>
              <w:jc w:val="both"/>
              <w:rPr>
                <w:color w:val="000000"/>
                <w:sz w:val="20"/>
                <w:szCs w:val="20"/>
              </w:rPr>
            </w:pPr>
            <w:r w:rsidRPr="007D233A">
              <w:rPr>
                <w:color w:val="000000"/>
                <w:sz w:val="20"/>
                <w:szCs w:val="20"/>
              </w:rPr>
              <w:t> 35</w:t>
            </w:r>
          </w:p>
          <w:p w:rsidR="004B134D" w:rsidRPr="007D233A" w:rsidRDefault="004B134D" w:rsidP="007D233A">
            <w:pPr>
              <w:autoSpaceDE w:val="0"/>
              <w:autoSpaceDN w:val="0"/>
              <w:adjustRightInd w:val="0"/>
              <w:jc w:val="both"/>
              <w:rPr>
                <w:color w:val="000000"/>
                <w:sz w:val="20"/>
                <w:szCs w:val="20"/>
              </w:rPr>
            </w:pPr>
          </w:p>
        </w:tc>
        <w:tc>
          <w:tcPr>
            <w:tcW w:w="718" w:type="pct"/>
            <w:shd w:val="clear" w:color="auto" w:fill="auto"/>
            <w:vAlign w:val="bottom"/>
          </w:tcPr>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   0.00332</w:t>
            </w:r>
          </w:p>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 xml:space="preserve">   0.09434</w:t>
            </w:r>
          </w:p>
        </w:tc>
        <w:tc>
          <w:tcPr>
            <w:tcW w:w="513" w:type="pct"/>
            <w:shd w:val="clear" w:color="auto" w:fill="auto"/>
            <w:vAlign w:val="bottom"/>
          </w:tcPr>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0.9544 0.7608</w:t>
            </w:r>
          </w:p>
        </w:tc>
        <w:tc>
          <w:tcPr>
            <w:tcW w:w="921" w:type="pct"/>
            <w:shd w:val="clear" w:color="auto" w:fill="auto"/>
            <w:vAlign w:val="bottom"/>
          </w:tcPr>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No Causality</w:t>
            </w:r>
          </w:p>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No Causality</w:t>
            </w:r>
          </w:p>
        </w:tc>
      </w:tr>
    </w:tbl>
    <w:p w:rsidR="004B134D" w:rsidRPr="007D233A" w:rsidRDefault="004B134D" w:rsidP="00EC3413">
      <w:pPr>
        <w:jc w:val="center"/>
        <w:rPr>
          <w:i/>
          <w:sz w:val="20"/>
          <w:szCs w:val="20"/>
        </w:rPr>
      </w:pPr>
      <w:r w:rsidRPr="00EC3413">
        <w:rPr>
          <w:b/>
          <w:i/>
          <w:sz w:val="20"/>
          <w:szCs w:val="20"/>
        </w:rPr>
        <w:t>Source</w:t>
      </w:r>
      <w:r w:rsidRPr="007D233A">
        <w:rPr>
          <w:i/>
          <w:sz w:val="20"/>
          <w:szCs w:val="20"/>
        </w:rPr>
        <w:t xml:space="preserve">: Data output E-views </w:t>
      </w:r>
      <w:r w:rsidR="00774F50" w:rsidRPr="007D233A">
        <w:rPr>
          <w:i/>
          <w:sz w:val="20"/>
          <w:szCs w:val="20"/>
        </w:rPr>
        <w:t>10</w:t>
      </w:r>
      <w:r w:rsidRPr="007D233A">
        <w:rPr>
          <w:i/>
          <w:sz w:val="20"/>
          <w:szCs w:val="20"/>
        </w:rPr>
        <w:t>.0</w:t>
      </w:r>
    </w:p>
    <w:p w:rsidR="004B134D" w:rsidRPr="007D233A" w:rsidRDefault="004B134D" w:rsidP="007D233A">
      <w:pPr>
        <w:jc w:val="both"/>
        <w:rPr>
          <w:sz w:val="20"/>
          <w:szCs w:val="20"/>
        </w:rPr>
      </w:pPr>
    </w:p>
    <w:p w:rsidR="004B134D" w:rsidRPr="007D233A" w:rsidRDefault="004B134D" w:rsidP="00EC3413">
      <w:pPr>
        <w:ind w:firstLine="357"/>
        <w:jc w:val="both"/>
        <w:rPr>
          <w:sz w:val="20"/>
          <w:szCs w:val="20"/>
        </w:rPr>
      </w:pPr>
      <w:r w:rsidRPr="007D233A">
        <w:rPr>
          <w:sz w:val="20"/>
          <w:szCs w:val="20"/>
        </w:rPr>
        <w:t xml:space="preserve">The output </w:t>
      </w:r>
      <w:r w:rsidR="00774F50" w:rsidRPr="007D233A">
        <w:rPr>
          <w:sz w:val="20"/>
          <w:szCs w:val="20"/>
        </w:rPr>
        <w:t>data in Table 11</w:t>
      </w:r>
      <w:r w:rsidRPr="007D233A">
        <w:rPr>
          <w:sz w:val="20"/>
          <w:szCs w:val="20"/>
        </w:rPr>
        <w:t xml:space="preserve"> evidence</w:t>
      </w:r>
      <w:r w:rsidR="00774F50" w:rsidRPr="007D233A">
        <w:rPr>
          <w:sz w:val="20"/>
          <w:szCs w:val="20"/>
        </w:rPr>
        <w:t>s</w:t>
      </w:r>
      <w:r w:rsidRPr="007D233A">
        <w:rPr>
          <w:sz w:val="20"/>
          <w:szCs w:val="20"/>
        </w:rPr>
        <w:t xml:space="preserve"> that there is unidirectional relationship between livestock GDP and </w:t>
      </w:r>
      <w:r w:rsidR="00774F50" w:rsidRPr="007D233A">
        <w:rPr>
          <w:color w:val="000000"/>
          <w:sz w:val="20"/>
          <w:szCs w:val="20"/>
        </w:rPr>
        <w:t>deposit money banks loans and advances to agriculture</w:t>
      </w:r>
      <w:r w:rsidRPr="007D233A">
        <w:rPr>
          <w:sz w:val="20"/>
          <w:szCs w:val="20"/>
        </w:rPr>
        <w:t xml:space="preserve"> at </w:t>
      </w:r>
      <w:r w:rsidR="00774F50" w:rsidRPr="007D233A">
        <w:rPr>
          <w:sz w:val="20"/>
          <w:szCs w:val="20"/>
        </w:rPr>
        <w:t xml:space="preserve">a </w:t>
      </w:r>
      <w:r w:rsidRPr="007D233A">
        <w:rPr>
          <w:sz w:val="20"/>
          <w:szCs w:val="20"/>
        </w:rPr>
        <w:t xml:space="preserve">5% level of significance. This is to say that livestock GDP has significant effect on </w:t>
      </w:r>
      <w:r w:rsidR="00774F50" w:rsidRPr="007D233A">
        <w:rPr>
          <w:color w:val="000000"/>
          <w:sz w:val="20"/>
          <w:szCs w:val="20"/>
        </w:rPr>
        <w:t>deposit money banks loans and advances to agriculture</w:t>
      </w:r>
      <w:r w:rsidRPr="007D233A">
        <w:rPr>
          <w:sz w:val="20"/>
          <w:szCs w:val="20"/>
        </w:rPr>
        <w:t xml:space="preserve"> whereas livestock GDP is not significantly affected by </w:t>
      </w:r>
      <w:r w:rsidR="00774F50" w:rsidRPr="007D233A">
        <w:rPr>
          <w:color w:val="000000"/>
          <w:sz w:val="20"/>
          <w:szCs w:val="20"/>
        </w:rPr>
        <w:t>deposit money banks loans and advances to agriculture</w:t>
      </w:r>
      <w:r w:rsidRPr="007D233A">
        <w:rPr>
          <w:sz w:val="20"/>
          <w:szCs w:val="20"/>
        </w:rPr>
        <w:t>. Furthermore, implicit price deflator for livestock GDP significantly influenced livestock GDP.</w:t>
      </w:r>
    </w:p>
    <w:p w:rsidR="00767F1E" w:rsidRPr="007D233A" w:rsidRDefault="00767F1E" w:rsidP="007D233A">
      <w:pPr>
        <w:jc w:val="both"/>
        <w:rPr>
          <w:sz w:val="20"/>
          <w:szCs w:val="20"/>
        </w:rPr>
      </w:pPr>
    </w:p>
    <w:p w:rsidR="004B134D" w:rsidRPr="007D233A" w:rsidRDefault="004B134D" w:rsidP="00EC3413">
      <w:pPr>
        <w:jc w:val="center"/>
        <w:rPr>
          <w:sz w:val="20"/>
          <w:szCs w:val="20"/>
        </w:rPr>
      </w:pPr>
      <w:r w:rsidRPr="007D233A">
        <w:rPr>
          <w:b/>
          <w:sz w:val="20"/>
          <w:szCs w:val="20"/>
        </w:rPr>
        <w:t>Table</w:t>
      </w:r>
      <w:r w:rsidR="00774F50" w:rsidRPr="007D233A">
        <w:rPr>
          <w:sz w:val="20"/>
          <w:szCs w:val="20"/>
        </w:rPr>
        <w:t>11</w:t>
      </w:r>
      <w:r w:rsidRPr="007D233A">
        <w:rPr>
          <w:sz w:val="20"/>
          <w:szCs w:val="20"/>
        </w:rPr>
        <w:t>: Granger Causality Test for L</w:t>
      </w:r>
      <w:r w:rsidRPr="007D233A">
        <w:rPr>
          <w:rFonts w:eastAsia="TimesNewRomanPSMT"/>
          <w:sz w:val="20"/>
          <w:szCs w:val="20"/>
        </w:rPr>
        <w:t xml:space="preserve">GDP, </w:t>
      </w:r>
      <w:r w:rsidR="00774F50" w:rsidRPr="007D233A">
        <w:rPr>
          <w:color w:val="000000"/>
          <w:sz w:val="20"/>
          <w:szCs w:val="20"/>
        </w:rPr>
        <w:t>DMBLA</w:t>
      </w:r>
      <w:r w:rsidRPr="007D233A">
        <w:rPr>
          <w:rFonts w:eastAsia="TimesNewRomanPSMT"/>
          <w:sz w:val="20"/>
          <w:szCs w:val="20"/>
        </w:rPr>
        <w:t>, IPDL and INT</w:t>
      </w:r>
    </w:p>
    <w:tbl>
      <w:tblPr>
        <w:tblW w:w="5000" w:type="pct"/>
        <w:tblBorders>
          <w:top w:val="single" w:sz="4" w:space="0" w:color="auto"/>
          <w:bottom w:val="single" w:sz="4" w:space="0" w:color="auto"/>
        </w:tblBorders>
        <w:tblLook w:val="04A0"/>
      </w:tblPr>
      <w:tblGrid>
        <w:gridCol w:w="4437"/>
        <w:gridCol w:w="1122"/>
        <w:gridCol w:w="1401"/>
        <w:gridCol w:w="1000"/>
        <w:gridCol w:w="2003"/>
      </w:tblGrid>
      <w:tr w:rsidR="004B134D" w:rsidRPr="007D233A" w:rsidTr="00EC3413">
        <w:tc>
          <w:tcPr>
            <w:tcW w:w="2227" w:type="pct"/>
            <w:tcBorders>
              <w:top w:val="single" w:sz="4" w:space="0" w:color="auto"/>
              <w:bottom w:val="single" w:sz="4" w:space="0" w:color="auto"/>
            </w:tcBorders>
            <w:shd w:val="clear" w:color="auto" w:fill="auto"/>
          </w:tcPr>
          <w:p w:rsidR="004B134D" w:rsidRPr="007D233A" w:rsidRDefault="004B134D" w:rsidP="007D233A">
            <w:pPr>
              <w:jc w:val="both"/>
              <w:rPr>
                <w:sz w:val="20"/>
                <w:szCs w:val="20"/>
              </w:rPr>
            </w:pPr>
            <w:r w:rsidRPr="007D233A">
              <w:rPr>
                <w:color w:val="000000"/>
                <w:sz w:val="20"/>
                <w:szCs w:val="20"/>
              </w:rPr>
              <w:t>Null Hypothesis:</w:t>
            </w:r>
          </w:p>
        </w:tc>
        <w:tc>
          <w:tcPr>
            <w:tcW w:w="563" w:type="pct"/>
            <w:tcBorders>
              <w:top w:val="single" w:sz="4" w:space="0" w:color="auto"/>
              <w:bottom w:val="single" w:sz="4" w:space="0" w:color="auto"/>
            </w:tcBorders>
            <w:shd w:val="clear" w:color="auto" w:fill="auto"/>
          </w:tcPr>
          <w:p w:rsidR="004B134D" w:rsidRPr="007D233A" w:rsidRDefault="004B134D" w:rsidP="007D233A">
            <w:pPr>
              <w:jc w:val="both"/>
              <w:rPr>
                <w:sz w:val="20"/>
                <w:szCs w:val="20"/>
              </w:rPr>
            </w:pPr>
            <w:r w:rsidRPr="007D233A">
              <w:rPr>
                <w:color w:val="000000"/>
                <w:sz w:val="20"/>
                <w:szCs w:val="20"/>
              </w:rPr>
              <w:t>Obs</w:t>
            </w:r>
          </w:p>
        </w:tc>
        <w:tc>
          <w:tcPr>
            <w:tcW w:w="703" w:type="pct"/>
            <w:tcBorders>
              <w:top w:val="single" w:sz="4" w:space="0" w:color="auto"/>
              <w:bottom w:val="single" w:sz="4" w:space="0" w:color="auto"/>
            </w:tcBorders>
            <w:shd w:val="clear" w:color="auto" w:fill="auto"/>
          </w:tcPr>
          <w:p w:rsidR="004B134D" w:rsidRPr="007D233A" w:rsidRDefault="004B134D" w:rsidP="007D233A">
            <w:pPr>
              <w:jc w:val="both"/>
              <w:rPr>
                <w:sz w:val="20"/>
                <w:szCs w:val="20"/>
              </w:rPr>
            </w:pPr>
            <w:r w:rsidRPr="007D233A">
              <w:rPr>
                <w:color w:val="000000"/>
                <w:sz w:val="20"/>
                <w:szCs w:val="20"/>
              </w:rPr>
              <w:t>F-Statistic</w:t>
            </w:r>
          </w:p>
        </w:tc>
        <w:tc>
          <w:tcPr>
            <w:tcW w:w="502" w:type="pct"/>
            <w:tcBorders>
              <w:top w:val="single" w:sz="4" w:space="0" w:color="auto"/>
              <w:bottom w:val="single" w:sz="4" w:space="0" w:color="auto"/>
            </w:tcBorders>
            <w:shd w:val="clear" w:color="auto" w:fill="auto"/>
          </w:tcPr>
          <w:p w:rsidR="004B134D" w:rsidRPr="007D233A" w:rsidRDefault="004B134D" w:rsidP="007D233A">
            <w:pPr>
              <w:jc w:val="both"/>
              <w:rPr>
                <w:sz w:val="20"/>
                <w:szCs w:val="20"/>
              </w:rPr>
            </w:pPr>
            <w:r w:rsidRPr="007D233A">
              <w:rPr>
                <w:color w:val="000000"/>
                <w:sz w:val="20"/>
                <w:szCs w:val="20"/>
              </w:rPr>
              <w:t>Prob.</w:t>
            </w:r>
          </w:p>
        </w:tc>
        <w:tc>
          <w:tcPr>
            <w:tcW w:w="1005" w:type="pct"/>
            <w:tcBorders>
              <w:top w:val="single" w:sz="4" w:space="0" w:color="auto"/>
              <w:bottom w:val="single" w:sz="4" w:space="0" w:color="auto"/>
            </w:tcBorders>
            <w:shd w:val="clear" w:color="auto" w:fill="auto"/>
          </w:tcPr>
          <w:p w:rsidR="004B134D" w:rsidRPr="007D233A" w:rsidRDefault="004B134D" w:rsidP="007D233A">
            <w:pPr>
              <w:jc w:val="both"/>
              <w:rPr>
                <w:sz w:val="20"/>
                <w:szCs w:val="20"/>
              </w:rPr>
            </w:pPr>
            <w:r w:rsidRPr="007D233A">
              <w:rPr>
                <w:color w:val="000000"/>
                <w:sz w:val="20"/>
                <w:szCs w:val="20"/>
              </w:rPr>
              <w:t>Remarks</w:t>
            </w:r>
          </w:p>
        </w:tc>
      </w:tr>
      <w:tr w:rsidR="004B134D" w:rsidRPr="007D233A" w:rsidTr="00EC3413">
        <w:trPr>
          <w:trHeight w:val="337"/>
        </w:trPr>
        <w:tc>
          <w:tcPr>
            <w:tcW w:w="2227" w:type="pct"/>
            <w:tcBorders>
              <w:top w:val="single" w:sz="4" w:space="0" w:color="auto"/>
            </w:tcBorders>
            <w:shd w:val="clear" w:color="auto" w:fill="auto"/>
            <w:vAlign w:val="bottom"/>
          </w:tcPr>
          <w:p w:rsidR="004B134D" w:rsidRPr="007D233A" w:rsidRDefault="00774F50" w:rsidP="007D233A">
            <w:pPr>
              <w:autoSpaceDE w:val="0"/>
              <w:autoSpaceDN w:val="0"/>
              <w:adjustRightInd w:val="0"/>
              <w:jc w:val="both"/>
              <w:rPr>
                <w:color w:val="000000"/>
                <w:sz w:val="20"/>
                <w:szCs w:val="20"/>
              </w:rPr>
            </w:pPr>
            <w:r w:rsidRPr="007D233A">
              <w:rPr>
                <w:color w:val="000000"/>
                <w:sz w:val="20"/>
                <w:szCs w:val="20"/>
              </w:rPr>
              <w:t>DMBLA</w:t>
            </w:r>
            <w:r w:rsidR="004B134D" w:rsidRPr="007D233A">
              <w:rPr>
                <w:color w:val="000000"/>
                <w:sz w:val="20"/>
                <w:szCs w:val="20"/>
              </w:rPr>
              <w:t xml:space="preserve"> does not Granger Cause LGDP</w:t>
            </w:r>
          </w:p>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 xml:space="preserve">LGDP does not Granger Cause </w:t>
            </w:r>
            <w:r w:rsidR="00774F50" w:rsidRPr="007D233A">
              <w:rPr>
                <w:color w:val="000000"/>
                <w:sz w:val="20"/>
                <w:szCs w:val="20"/>
              </w:rPr>
              <w:t>DMBLA</w:t>
            </w:r>
          </w:p>
        </w:tc>
        <w:tc>
          <w:tcPr>
            <w:tcW w:w="563" w:type="pct"/>
            <w:tcBorders>
              <w:top w:val="single" w:sz="4" w:space="0" w:color="auto"/>
            </w:tcBorders>
            <w:shd w:val="clear" w:color="auto" w:fill="auto"/>
            <w:vAlign w:val="bottom"/>
          </w:tcPr>
          <w:p w:rsidR="004B134D" w:rsidRPr="007D233A" w:rsidRDefault="00774F50" w:rsidP="007D233A">
            <w:pPr>
              <w:autoSpaceDE w:val="0"/>
              <w:autoSpaceDN w:val="0"/>
              <w:adjustRightInd w:val="0"/>
              <w:jc w:val="both"/>
              <w:rPr>
                <w:color w:val="000000"/>
                <w:sz w:val="20"/>
                <w:szCs w:val="20"/>
              </w:rPr>
            </w:pPr>
            <w:r w:rsidRPr="007D233A">
              <w:rPr>
                <w:color w:val="000000"/>
                <w:sz w:val="20"/>
                <w:szCs w:val="20"/>
              </w:rPr>
              <w:t> 35</w:t>
            </w:r>
          </w:p>
          <w:p w:rsidR="004B134D" w:rsidRPr="007D233A" w:rsidRDefault="004B134D" w:rsidP="007D233A">
            <w:pPr>
              <w:autoSpaceDE w:val="0"/>
              <w:autoSpaceDN w:val="0"/>
              <w:adjustRightInd w:val="0"/>
              <w:jc w:val="both"/>
              <w:rPr>
                <w:color w:val="000000"/>
                <w:sz w:val="20"/>
                <w:szCs w:val="20"/>
              </w:rPr>
            </w:pPr>
          </w:p>
        </w:tc>
        <w:tc>
          <w:tcPr>
            <w:tcW w:w="703" w:type="pct"/>
            <w:tcBorders>
              <w:top w:val="single" w:sz="4" w:space="0" w:color="auto"/>
            </w:tcBorders>
            <w:shd w:val="clear" w:color="auto" w:fill="auto"/>
            <w:vAlign w:val="bottom"/>
          </w:tcPr>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 xml:space="preserve">    0.00033</w:t>
            </w:r>
          </w:p>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 xml:space="preserve">    6.52746</w:t>
            </w:r>
          </w:p>
        </w:tc>
        <w:tc>
          <w:tcPr>
            <w:tcW w:w="502" w:type="pct"/>
            <w:tcBorders>
              <w:top w:val="single" w:sz="4" w:space="0" w:color="auto"/>
            </w:tcBorders>
            <w:shd w:val="clear" w:color="auto" w:fill="auto"/>
            <w:vAlign w:val="bottom"/>
          </w:tcPr>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0.9857</w:t>
            </w:r>
          </w:p>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0.0158</w:t>
            </w:r>
          </w:p>
        </w:tc>
        <w:tc>
          <w:tcPr>
            <w:tcW w:w="1005" w:type="pct"/>
            <w:tcBorders>
              <w:top w:val="single" w:sz="4" w:space="0" w:color="auto"/>
            </w:tcBorders>
            <w:shd w:val="clear" w:color="auto" w:fill="auto"/>
            <w:vAlign w:val="bottom"/>
          </w:tcPr>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No Causality</w:t>
            </w:r>
          </w:p>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Causality</w:t>
            </w:r>
          </w:p>
        </w:tc>
      </w:tr>
      <w:tr w:rsidR="004B134D" w:rsidRPr="007D233A" w:rsidTr="00EC3413">
        <w:trPr>
          <w:trHeight w:val="337"/>
        </w:trPr>
        <w:tc>
          <w:tcPr>
            <w:tcW w:w="2227" w:type="pct"/>
            <w:shd w:val="clear" w:color="auto" w:fill="auto"/>
            <w:vAlign w:val="bottom"/>
          </w:tcPr>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IPDL does not Granger Cause LGDP</w:t>
            </w:r>
          </w:p>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LGDP does not Granger Cause IPDL</w:t>
            </w:r>
          </w:p>
        </w:tc>
        <w:tc>
          <w:tcPr>
            <w:tcW w:w="563" w:type="pct"/>
            <w:shd w:val="clear" w:color="auto" w:fill="auto"/>
            <w:vAlign w:val="bottom"/>
          </w:tcPr>
          <w:p w:rsidR="004B134D" w:rsidRPr="007D233A" w:rsidRDefault="00774F50" w:rsidP="007D233A">
            <w:pPr>
              <w:autoSpaceDE w:val="0"/>
              <w:autoSpaceDN w:val="0"/>
              <w:adjustRightInd w:val="0"/>
              <w:jc w:val="both"/>
              <w:rPr>
                <w:color w:val="000000"/>
                <w:sz w:val="20"/>
                <w:szCs w:val="20"/>
              </w:rPr>
            </w:pPr>
            <w:r w:rsidRPr="007D233A">
              <w:rPr>
                <w:color w:val="000000"/>
                <w:sz w:val="20"/>
                <w:szCs w:val="20"/>
              </w:rPr>
              <w:t> 35</w:t>
            </w:r>
          </w:p>
          <w:p w:rsidR="004B134D" w:rsidRPr="007D233A" w:rsidRDefault="004B134D" w:rsidP="007D233A">
            <w:pPr>
              <w:autoSpaceDE w:val="0"/>
              <w:autoSpaceDN w:val="0"/>
              <w:adjustRightInd w:val="0"/>
              <w:jc w:val="both"/>
              <w:rPr>
                <w:color w:val="000000"/>
                <w:sz w:val="20"/>
                <w:szCs w:val="20"/>
              </w:rPr>
            </w:pPr>
          </w:p>
        </w:tc>
        <w:tc>
          <w:tcPr>
            <w:tcW w:w="703" w:type="pct"/>
            <w:shd w:val="clear" w:color="auto" w:fill="auto"/>
            <w:vAlign w:val="bottom"/>
          </w:tcPr>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  10.6883</w:t>
            </w:r>
          </w:p>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 xml:space="preserve">    3.42059</w:t>
            </w:r>
          </w:p>
        </w:tc>
        <w:tc>
          <w:tcPr>
            <w:tcW w:w="502" w:type="pct"/>
            <w:shd w:val="clear" w:color="auto" w:fill="auto"/>
            <w:vAlign w:val="bottom"/>
          </w:tcPr>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0.0026</w:t>
            </w:r>
          </w:p>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0.0739</w:t>
            </w:r>
          </w:p>
        </w:tc>
        <w:tc>
          <w:tcPr>
            <w:tcW w:w="1005" w:type="pct"/>
            <w:shd w:val="clear" w:color="auto" w:fill="auto"/>
            <w:vAlign w:val="bottom"/>
          </w:tcPr>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Causality</w:t>
            </w:r>
          </w:p>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No Causality</w:t>
            </w:r>
          </w:p>
        </w:tc>
      </w:tr>
      <w:tr w:rsidR="004B134D" w:rsidRPr="007D233A" w:rsidTr="00EC3413">
        <w:trPr>
          <w:trHeight w:val="337"/>
        </w:trPr>
        <w:tc>
          <w:tcPr>
            <w:tcW w:w="2227" w:type="pct"/>
            <w:shd w:val="clear" w:color="auto" w:fill="auto"/>
            <w:vAlign w:val="bottom"/>
          </w:tcPr>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INT does not Granger Cause LGDP</w:t>
            </w:r>
          </w:p>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LGDP does not Granger Cause INT</w:t>
            </w:r>
          </w:p>
        </w:tc>
        <w:tc>
          <w:tcPr>
            <w:tcW w:w="563" w:type="pct"/>
            <w:shd w:val="clear" w:color="auto" w:fill="auto"/>
            <w:vAlign w:val="bottom"/>
          </w:tcPr>
          <w:p w:rsidR="004B134D" w:rsidRPr="007D233A" w:rsidRDefault="00774F50" w:rsidP="007D233A">
            <w:pPr>
              <w:autoSpaceDE w:val="0"/>
              <w:autoSpaceDN w:val="0"/>
              <w:adjustRightInd w:val="0"/>
              <w:jc w:val="both"/>
              <w:rPr>
                <w:color w:val="000000"/>
                <w:sz w:val="20"/>
                <w:szCs w:val="20"/>
              </w:rPr>
            </w:pPr>
            <w:r w:rsidRPr="007D233A">
              <w:rPr>
                <w:color w:val="000000"/>
                <w:sz w:val="20"/>
                <w:szCs w:val="20"/>
              </w:rPr>
              <w:t> 35</w:t>
            </w:r>
          </w:p>
          <w:p w:rsidR="004B134D" w:rsidRPr="007D233A" w:rsidRDefault="004B134D" w:rsidP="007D233A">
            <w:pPr>
              <w:autoSpaceDE w:val="0"/>
              <w:autoSpaceDN w:val="0"/>
              <w:adjustRightInd w:val="0"/>
              <w:jc w:val="both"/>
              <w:rPr>
                <w:color w:val="000000"/>
                <w:sz w:val="20"/>
                <w:szCs w:val="20"/>
              </w:rPr>
            </w:pPr>
          </w:p>
        </w:tc>
        <w:tc>
          <w:tcPr>
            <w:tcW w:w="703" w:type="pct"/>
            <w:shd w:val="clear" w:color="auto" w:fill="auto"/>
            <w:vAlign w:val="bottom"/>
          </w:tcPr>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    0.70544</w:t>
            </w:r>
          </w:p>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 xml:space="preserve">    0.00225</w:t>
            </w:r>
          </w:p>
        </w:tc>
        <w:tc>
          <w:tcPr>
            <w:tcW w:w="502" w:type="pct"/>
            <w:shd w:val="clear" w:color="auto" w:fill="auto"/>
            <w:vAlign w:val="bottom"/>
          </w:tcPr>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0.4074 0.9625</w:t>
            </w:r>
          </w:p>
        </w:tc>
        <w:tc>
          <w:tcPr>
            <w:tcW w:w="1005" w:type="pct"/>
            <w:shd w:val="clear" w:color="auto" w:fill="auto"/>
            <w:vAlign w:val="bottom"/>
          </w:tcPr>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No Causality</w:t>
            </w:r>
          </w:p>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No Causality</w:t>
            </w:r>
          </w:p>
        </w:tc>
      </w:tr>
    </w:tbl>
    <w:p w:rsidR="004B134D" w:rsidRPr="007D233A" w:rsidRDefault="004B134D" w:rsidP="00EC3413">
      <w:pPr>
        <w:jc w:val="center"/>
        <w:rPr>
          <w:i/>
          <w:sz w:val="20"/>
          <w:szCs w:val="20"/>
        </w:rPr>
      </w:pPr>
      <w:r w:rsidRPr="00EC3413">
        <w:rPr>
          <w:b/>
          <w:i/>
          <w:sz w:val="20"/>
          <w:szCs w:val="20"/>
        </w:rPr>
        <w:t>Source</w:t>
      </w:r>
      <w:r w:rsidRPr="007D233A">
        <w:rPr>
          <w:i/>
          <w:sz w:val="20"/>
          <w:szCs w:val="20"/>
        </w:rPr>
        <w:t xml:space="preserve">: Data output E-views </w:t>
      </w:r>
      <w:r w:rsidR="00774F50" w:rsidRPr="007D233A">
        <w:rPr>
          <w:i/>
          <w:sz w:val="20"/>
          <w:szCs w:val="20"/>
        </w:rPr>
        <w:t>10</w:t>
      </w:r>
      <w:r w:rsidRPr="007D233A">
        <w:rPr>
          <w:i/>
          <w:sz w:val="20"/>
          <w:szCs w:val="20"/>
        </w:rPr>
        <w:t>.0</w:t>
      </w:r>
    </w:p>
    <w:p w:rsidR="004B134D" w:rsidRPr="007D233A" w:rsidRDefault="004B134D" w:rsidP="007D233A">
      <w:pPr>
        <w:jc w:val="both"/>
        <w:rPr>
          <w:sz w:val="20"/>
          <w:szCs w:val="20"/>
        </w:rPr>
      </w:pPr>
    </w:p>
    <w:p w:rsidR="004B134D" w:rsidRDefault="00774F50" w:rsidP="00EC3413">
      <w:pPr>
        <w:ind w:firstLine="357"/>
        <w:jc w:val="both"/>
        <w:rPr>
          <w:sz w:val="20"/>
          <w:szCs w:val="20"/>
        </w:rPr>
      </w:pPr>
      <w:r w:rsidRPr="007D233A">
        <w:rPr>
          <w:sz w:val="20"/>
          <w:szCs w:val="20"/>
        </w:rPr>
        <w:t>In Table 12</w:t>
      </w:r>
      <w:r w:rsidR="004B134D" w:rsidRPr="007D233A">
        <w:rPr>
          <w:sz w:val="20"/>
          <w:szCs w:val="20"/>
        </w:rPr>
        <w:t xml:space="preserve">, forestry GDP granger cause </w:t>
      </w:r>
      <w:r w:rsidRPr="007D233A">
        <w:rPr>
          <w:color w:val="000000"/>
          <w:sz w:val="20"/>
          <w:szCs w:val="20"/>
        </w:rPr>
        <w:t>deposit money banks loans and advances to agriculture</w:t>
      </w:r>
      <w:r w:rsidR="004B134D" w:rsidRPr="007D233A">
        <w:rPr>
          <w:sz w:val="20"/>
          <w:szCs w:val="20"/>
        </w:rPr>
        <w:t xml:space="preserve"> at </w:t>
      </w:r>
      <w:r w:rsidRPr="007D233A">
        <w:rPr>
          <w:sz w:val="20"/>
          <w:szCs w:val="20"/>
        </w:rPr>
        <w:t xml:space="preserve">a </w:t>
      </w:r>
      <w:r w:rsidR="004B134D" w:rsidRPr="007D233A">
        <w:rPr>
          <w:sz w:val="20"/>
          <w:szCs w:val="20"/>
        </w:rPr>
        <w:t xml:space="preserve">5% level of significance. This shows that </w:t>
      </w:r>
      <w:r w:rsidRPr="007D233A">
        <w:rPr>
          <w:color w:val="000000"/>
          <w:sz w:val="20"/>
          <w:szCs w:val="20"/>
        </w:rPr>
        <w:t>deposit money banks loans and advances to agriculture</w:t>
      </w:r>
      <w:r w:rsidR="004B134D" w:rsidRPr="007D233A">
        <w:rPr>
          <w:sz w:val="20"/>
          <w:szCs w:val="20"/>
        </w:rPr>
        <w:t xml:space="preserve"> has no significant effect on forestry GDP on one hand, while forestry GDP has significant effect on </w:t>
      </w:r>
      <w:r w:rsidRPr="007D233A">
        <w:rPr>
          <w:color w:val="000000"/>
          <w:sz w:val="20"/>
          <w:szCs w:val="20"/>
        </w:rPr>
        <w:t>deposit money banks loans and advances to agriculture</w:t>
      </w:r>
      <w:r w:rsidR="004B134D" w:rsidRPr="007D233A">
        <w:rPr>
          <w:sz w:val="20"/>
          <w:szCs w:val="20"/>
        </w:rPr>
        <w:t xml:space="preserve"> on the other hand. A bidirectional relationship was observed between implicit price deflator for forestry GDP and forestry GDP as causality runs in both direction.</w:t>
      </w:r>
    </w:p>
    <w:p w:rsidR="005D3FC7" w:rsidRDefault="005D3FC7" w:rsidP="00EC3413">
      <w:pPr>
        <w:ind w:firstLine="357"/>
        <w:jc w:val="both"/>
        <w:rPr>
          <w:sz w:val="20"/>
          <w:szCs w:val="20"/>
        </w:rPr>
      </w:pPr>
    </w:p>
    <w:p w:rsidR="005D3FC7" w:rsidRPr="007D233A" w:rsidRDefault="005D3FC7" w:rsidP="00EC3413">
      <w:pPr>
        <w:ind w:firstLine="357"/>
        <w:jc w:val="both"/>
        <w:rPr>
          <w:sz w:val="20"/>
          <w:szCs w:val="20"/>
        </w:rPr>
      </w:pPr>
    </w:p>
    <w:p w:rsidR="00767F1E" w:rsidRPr="007D233A" w:rsidRDefault="00767F1E" w:rsidP="007D233A">
      <w:pPr>
        <w:jc w:val="both"/>
        <w:rPr>
          <w:sz w:val="20"/>
          <w:szCs w:val="20"/>
        </w:rPr>
      </w:pPr>
    </w:p>
    <w:p w:rsidR="004B134D" w:rsidRPr="007D233A" w:rsidRDefault="004B134D" w:rsidP="00EC3413">
      <w:pPr>
        <w:jc w:val="center"/>
        <w:rPr>
          <w:sz w:val="20"/>
          <w:szCs w:val="20"/>
        </w:rPr>
      </w:pPr>
      <w:r w:rsidRPr="007D233A">
        <w:rPr>
          <w:b/>
          <w:sz w:val="20"/>
          <w:szCs w:val="20"/>
        </w:rPr>
        <w:lastRenderedPageBreak/>
        <w:t>Table</w:t>
      </w:r>
      <w:r w:rsidR="00774F50" w:rsidRPr="007D233A">
        <w:rPr>
          <w:b/>
          <w:sz w:val="20"/>
          <w:szCs w:val="20"/>
        </w:rPr>
        <w:t xml:space="preserve"> 12</w:t>
      </w:r>
      <w:r w:rsidRPr="007D233A">
        <w:rPr>
          <w:b/>
          <w:sz w:val="20"/>
          <w:szCs w:val="20"/>
        </w:rPr>
        <w:t xml:space="preserve">: </w:t>
      </w:r>
      <w:r w:rsidRPr="007D233A">
        <w:rPr>
          <w:sz w:val="20"/>
          <w:szCs w:val="20"/>
        </w:rPr>
        <w:t>Granger Causality Test for F</w:t>
      </w:r>
      <w:r w:rsidR="00774F50" w:rsidRPr="007D233A">
        <w:rPr>
          <w:rFonts w:eastAsia="TimesNewRomanPSMT"/>
          <w:sz w:val="20"/>
          <w:szCs w:val="20"/>
        </w:rPr>
        <w:t>GDP, DMBL</w:t>
      </w:r>
      <w:r w:rsidRPr="007D233A">
        <w:rPr>
          <w:rFonts w:eastAsia="TimesNewRomanPSMT"/>
          <w:sz w:val="20"/>
          <w:szCs w:val="20"/>
        </w:rPr>
        <w:t>A, IPDF and INT</w:t>
      </w:r>
    </w:p>
    <w:tbl>
      <w:tblPr>
        <w:tblW w:w="5000" w:type="pct"/>
        <w:tblBorders>
          <w:top w:val="single" w:sz="4" w:space="0" w:color="auto"/>
          <w:bottom w:val="single" w:sz="4" w:space="0" w:color="auto"/>
        </w:tblBorders>
        <w:tblLook w:val="04A0"/>
      </w:tblPr>
      <w:tblGrid>
        <w:gridCol w:w="4624"/>
        <w:gridCol w:w="1170"/>
        <w:gridCol w:w="1459"/>
        <w:gridCol w:w="1042"/>
        <w:gridCol w:w="1668"/>
      </w:tblGrid>
      <w:tr w:rsidR="004B134D" w:rsidRPr="007D233A" w:rsidTr="00EC3413">
        <w:tc>
          <w:tcPr>
            <w:tcW w:w="2321" w:type="pct"/>
            <w:tcBorders>
              <w:top w:val="single" w:sz="4" w:space="0" w:color="auto"/>
              <w:bottom w:val="single" w:sz="4" w:space="0" w:color="auto"/>
            </w:tcBorders>
            <w:shd w:val="clear" w:color="auto" w:fill="auto"/>
          </w:tcPr>
          <w:p w:rsidR="004B134D" w:rsidRPr="007D233A" w:rsidRDefault="004B134D" w:rsidP="007D233A">
            <w:pPr>
              <w:jc w:val="both"/>
              <w:rPr>
                <w:sz w:val="20"/>
                <w:szCs w:val="20"/>
              </w:rPr>
            </w:pPr>
            <w:r w:rsidRPr="007D233A">
              <w:rPr>
                <w:color w:val="000000"/>
                <w:sz w:val="20"/>
                <w:szCs w:val="20"/>
              </w:rPr>
              <w:t>Null Hypothesis:</w:t>
            </w:r>
          </w:p>
        </w:tc>
        <w:tc>
          <w:tcPr>
            <w:tcW w:w="587" w:type="pct"/>
            <w:tcBorders>
              <w:top w:val="single" w:sz="4" w:space="0" w:color="auto"/>
              <w:bottom w:val="single" w:sz="4" w:space="0" w:color="auto"/>
            </w:tcBorders>
            <w:shd w:val="clear" w:color="auto" w:fill="auto"/>
          </w:tcPr>
          <w:p w:rsidR="004B134D" w:rsidRPr="007D233A" w:rsidRDefault="004B134D" w:rsidP="007D233A">
            <w:pPr>
              <w:jc w:val="both"/>
              <w:rPr>
                <w:sz w:val="20"/>
                <w:szCs w:val="20"/>
              </w:rPr>
            </w:pPr>
            <w:r w:rsidRPr="007D233A">
              <w:rPr>
                <w:color w:val="000000"/>
                <w:sz w:val="20"/>
                <w:szCs w:val="20"/>
              </w:rPr>
              <w:t>Obs</w:t>
            </w:r>
          </w:p>
        </w:tc>
        <w:tc>
          <w:tcPr>
            <w:tcW w:w="732" w:type="pct"/>
            <w:tcBorders>
              <w:top w:val="single" w:sz="4" w:space="0" w:color="auto"/>
              <w:bottom w:val="single" w:sz="4" w:space="0" w:color="auto"/>
            </w:tcBorders>
            <w:shd w:val="clear" w:color="auto" w:fill="auto"/>
          </w:tcPr>
          <w:p w:rsidR="004B134D" w:rsidRPr="007D233A" w:rsidRDefault="004B134D" w:rsidP="007D233A">
            <w:pPr>
              <w:jc w:val="both"/>
              <w:rPr>
                <w:sz w:val="20"/>
                <w:szCs w:val="20"/>
              </w:rPr>
            </w:pPr>
            <w:r w:rsidRPr="007D233A">
              <w:rPr>
                <w:color w:val="000000"/>
                <w:sz w:val="20"/>
                <w:szCs w:val="20"/>
              </w:rPr>
              <w:t>F-Statistic</w:t>
            </w:r>
          </w:p>
        </w:tc>
        <w:tc>
          <w:tcPr>
            <w:tcW w:w="523" w:type="pct"/>
            <w:tcBorders>
              <w:top w:val="single" w:sz="4" w:space="0" w:color="auto"/>
              <w:bottom w:val="single" w:sz="4" w:space="0" w:color="auto"/>
            </w:tcBorders>
            <w:shd w:val="clear" w:color="auto" w:fill="auto"/>
          </w:tcPr>
          <w:p w:rsidR="004B134D" w:rsidRPr="007D233A" w:rsidRDefault="004B134D" w:rsidP="007D233A">
            <w:pPr>
              <w:jc w:val="both"/>
              <w:rPr>
                <w:sz w:val="20"/>
                <w:szCs w:val="20"/>
              </w:rPr>
            </w:pPr>
            <w:r w:rsidRPr="007D233A">
              <w:rPr>
                <w:color w:val="000000"/>
                <w:sz w:val="20"/>
                <w:szCs w:val="20"/>
              </w:rPr>
              <w:t>Prob.</w:t>
            </w:r>
          </w:p>
        </w:tc>
        <w:tc>
          <w:tcPr>
            <w:tcW w:w="837" w:type="pct"/>
            <w:tcBorders>
              <w:top w:val="single" w:sz="4" w:space="0" w:color="auto"/>
              <w:bottom w:val="single" w:sz="4" w:space="0" w:color="auto"/>
            </w:tcBorders>
            <w:shd w:val="clear" w:color="auto" w:fill="auto"/>
          </w:tcPr>
          <w:p w:rsidR="004B134D" w:rsidRPr="007D233A" w:rsidRDefault="004B134D" w:rsidP="007D233A">
            <w:pPr>
              <w:jc w:val="both"/>
              <w:rPr>
                <w:sz w:val="20"/>
                <w:szCs w:val="20"/>
              </w:rPr>
            </w:pPr>
            <w:r w:rsidRPr="007D233A">
              <w:rPr>
                <w:color w:val="000000"/>
                <w:sz w:val="20"/>
                <w:szCs w:val="20"/>
              </w:rPr>
              <w:t>Remarks</w:t>
            </w:r>
          </w:p>
        </w:tc>
      </w:tr>
      <w:tr w:rsidR="004B134D" w:rsidRPr="007D233A" w:rsidTr="00EC3413">
        <w:trPr>
          <w:trHeight w:val="337"/>
        </w:trPr>
        <w:tc>
          <w:tcPr>
            <w:tcW w:w="2321" w:type="pct"/>
            <w:tcBorders>
              <w:top w:val="single" w:sz="4" w:space="0" w:color="auto"/>
            </w:tcBorders>
            <w:shd w:val="clear" w:color="auto" w:fill="auto"/>
            <w:vAlign w:val="bottom"/>
          </w:tcPr>
          <w:p w:rsidR="004B134D" w:rsidRPr="007D233A" w:rsidRDefault="00774F50" w:rsidP="007D233A">
            <w:pPr>
              <w:autoSpaceDE w:val="0"/>
              <w:autoSpaceDN w:val="0"/>
              <w:adjustRightInd w:val="0"/>
              <w:jc w:val="both"/>
              <w:rPr>
                <w:color w:val="000000"/>
                <w:sz w:val="20"/>
                <w:szCs w:val="20"/>
              </w:rPr>
            </w:pPr>
            <w:r w:rsidRPr="007D233A">
              <w:rPr>
                <w:rFonts w:eastAsia="TimesNewRomanPSMT"/>
                <w:sz w:val="20"/>
                <w:szCs w:val="20"/>
              </w:rPr>
              <w:t>DMBLA</w:t>
            </w:r>
            <w:r w:rsidR="004B134D" w:rsidRPr="007D233A">
              <w:rPr>
                <w:color w:val="000000"/>
                <w:sz w:val="20"/>
                <w:szCs w:val="20"/>
              </w:rPr>
              <w:t xml:space="preserve"> does not Granger Cause FGDP</w:t>
            </w:r>
          </w:p>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 xml:space="preserve">FGDP does not Granger Cause </w:t>
            </w:r>
            <w:r w:rsidR="00774F50" w:rsidRPr="007D233A">
              <w:rPr>
                <w:rFonts w:eastAsia="TimesNewRomanPSMT"/>
                <w:sz w:val="20"/>
                <w:szCs w:val="20"/>
              </w:rPr>
              <w:t>DMBLA</w:t>
            </w:r>
          </w:p>
        </w:tc>
        <w:tc>
          <w:tcPr>
            <w:tcW w:w="587" w:type="pct"/>
            <w:tcBorders>
              <w:top w:val="single" w:sz="4" w:space="0" w:color="auto"/>
            </w:tcBorders>
            <w:shd w:val="clear" w:color="auto" w:fill="auto"/>
            <w:vAlign w:val="bottom"/>
          </w:tcPr>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 34</w:t>
            </w:r>
          </w:p>
          <w:p w:rsidR="004B134D" w:rsidRPr="007D233A" w:rsidRDefault="004B134D" w:rsidP="007D233A">
            <w:pPr>
              <w:autoSpaceDE w:val="0"/>
              <w:autoSpaceDN w:val="0"/>
              <w:adjustRightInd w:val="0"/>
              <w:jc w:val="both"/>
              <w:rPr>
                <w:color w:val="000000"/>
                <w:sz w:val="20"/>
                <w:szCs w:val="20"/>
              </w:rPr>
            </w:pPr>
          </w:p>
        </w:tc>
        <w:tc>
          <w:tcPr>
            <w:tcW w:w="732" w:type="pct"/>
            <w:tcBorders>
              <w:top w:val="single" w:sz="4" w:space="0" w:color="auto"/>
            </w:tcBorders>
            <w:shd w:val="clear" w:color="auto" w:fill="auto"/>
            <w:vAlign w:val="bottom"/>
          </w:tcPr>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 xml:space="preserve">    0.29248</w:t>
            </w:r>
          </w:p>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 xml:space="preserve">    9.56074</w:t>
            </w:r>
          </w:p>
        </w:tc>
        <w:tc>
          <w:tcPr>
            <w:tcW w:w="523" w:type="pct"/>
            <w:tcBorders>
              <w:top w:val="single" w:sz="4" w:space="0" w:color="auto"/>
            </w:tcBorders>
            <w:shd w:val="clear" w:color="auto" w:fill="auto"/>
            <w:vAlign w:val="bottom"/>
          </w:tcPr>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0.5925</w:t>
            </w:r>
          </w:p>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0.0042</w:t>
            </w:r>
          </w:p>
        </w:tc>
        <w:tc>
          <w:tcPr>
            <w:tcW w:w="837" w:type="pct"/>
            <w:tcBorders>
              <w:top w:val="single" w:sz="4" w:space="0" w:color="auto"/>
            </w:tcBorders>
            <w:shd w:val="clear" w:color="auto" w:fill="auto"/>
            <w:vAlign w:val="bottom"/>
          </w:tcPr>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No Causality</w:t>
            </w:r>
          </w:p>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Causality</w:t>
            </w:r>
          </w:p>
        </w:tc>
      </w:tr>
      <w:tr w:rsidR="004B134D" w:rsidRPr="007D233A" w:rsidTr="00EC3413">
        <w:trPr>
          <w:trHeight w:val="337"/>
        </w:trPr>
        <w:tc>
          <w:tcPr>
            <w:tcW w:w="2321" w:type="pct"/>
            <w:shd w:val="clear" w:color="auto" w:fill="auto"/>
            <w:vAlign w:val="bottom"/>
          </w:tcPr>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IPDF does not Granger Cause FGDP</w:t>
            </w:r>
          </w:p>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FGDP does not Granger Cause IPDF</w:t>
            </w:r>
          </w:p>
        </w:tc>
        <w:tc>
          <w:tcPr>
            <w:tcW w:w="587" w:type="pct"/>
            <w:shd w:val="clear" w:color="auto" w:fill="auto"/>
            <w:vAlign w:val="bottom"/>
          </w:tcPr>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 34</w:t>
            </w:r>
          </w:p>
          <w:p w:rsidR="004B134D" w:rsidRPr="007D233A" w:rsidRDefault="004B134D" w:rsidP="007D233A">
            <w:pPr>
              <w:autoSpaceDE w:val="0"/>
              <w:autoSpaceDN w:val="0"/>
              <w:adjustRightInd w:val="0"/>
              <w:jc w:val="both"/>
              <w:rPr>
                <w:color w:val="000000"/>
                <w:sz w:val="20"/>
                <w:szCs w:val="20"/>
              </w:rPr>
            </w:pPr>
          </w:p>
        </w:tc>
        <w:tc>
          <w:tcPr>
            <w:tcW w:w="732" w:type="pct"/>
            <w:shd w:val="clear" w:color="auto" w:fill="auto"/>
            <w:vAlign w:val="bottom"/>
          </w:tcPr>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  13.2126</w:t>
            </w:r>
          </w:p>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 xml:space="preserve">  19.5066</w:t>
            </w:r>
          </w:p>
        </w:tc>
        <w:tc>
          <w:tcPr>
            <w:tcW w:w="523" w:type="pct"/>
            <w:shd w:val="clear" w:color="auto" w:fill="auto"/>
            <w:vAlign w:val="bottom"/>
          </w:tcPr>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0.0010</w:t>
            </w:r>
          </w:p>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0.0001</w:t>
            </w:r>
          </w:p>
        </w:tc>
        <w:tc>
          <w:tcPr>
            <w:tcW w:w="837" w:type="pct"/>
            <w:shd w:val="clear" w:color="auto" w:fill="auto"/>
            <w:vAlign w:val="bottom"/>
          </w:tcPr>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Causality</w:t>
            </w:r>
          </w:p>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Causality</w:t>
            </w:r>
          </w:p>
        </w:tc>
      </w:tr>
      <w:tr w:rsidR="004B134D" w:rsidRPr="007D233A" w:rsidTr="00EC3413">
        <w:trPr>
          <w:trHeight w:val="337"/>
        </w:trPr>
        <w:tc>
          <w:tcPr>
            <w:tcW w:w="2321" w:type="pct"/>
            <w:shd w:val="clear" w:color="auto" w:fill="auto"/>
            <w:vAlign w:val="bottom"/>
          </w:tcPr>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INT does not Granger Cause FGDP</w:t>
            </w:r>
          </w:p>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FGDP does not Granger Cause INT</w:t>
            </w:r>
          </w:p>
        </w:tc>
        <w:tc>
          <w:tcPr>
            <w:tcW w:w="587" w:type="pct"/>
            <w:shd w:val="clear" w:color="auto" w:fill="auto"/>
            <w:vAlign w:val="bottom"/>
          </w:tcPr>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 34</w:t>
            </w:r>
          </w:p>
          <w:p w:rsidR="004B134D" w:rsidRPr="007D233A" w:rsidRDefault="004B134D" w:rsidP="007D233A">
            <w:pPr>
              <w:autoSpaceDE w:val="0"/>
              <w:autoSpaceDN w:val="0"/>
              <w:adjustRightInd w:val="0"/>
              <w:jc w:val="both"/>
              <w:rPr>
                <w:color w:val="000000"/>
                <w:sz w:val="20"/>
                <w:szCs w:val="20"/>
              </w:rPr>
            </w:pPr>
          </w:p>
        </w:tc>
        <w:tc>
          <w:tcPr>
            <w:tcW w:w="732" w:type="pct"/>
            <w:shd w:val="clear" w:color="auto" w:fill="auto"/>
            <w:vAlign w:val="bottom"/>
          </w:tcPr>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   2.01735</w:t>
            </w:r>
          </w:p>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 xml:space="preserve">   0.09322</w:t>
            </w:r>
          </w:p>
        </w:tc>
        <w:tc>
          <w:tcPr>
            <w:tcW w:w="523" w:type="pct"/>
            <w:shd w:val="clear" w:color="auto" w:fill="auto"/>
            <w:vAlign w:val="bottom"/>
          </w:tcPr>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0.1655 0.7622</w:t>
            </w:r>
          </w:p>
        </w:tc>
        <w:tc>
          <w:tcPr>
            <w:tcW w:w="837" w:type="pct"/>
            <w:shd w:val="clear" w:color="auto" w:fill="auto"/>
            <w:vAlign w:val="bottom"/>
          </w:tcPr>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No Causality</w:t>
            </w:r>
          </w:p>
          <w:p w:rsidR="004B134D" w:rsidRPr="007D233A" w:rsidRDefault="004B134D" w:rsidP="007D233A">
            <w:pPr>
              <w:autoSpaceDE w:val="0"/>
              <w:autoSpaceDN w:val="0"/>
              <w:adjustRightInd w:val="0"/>
              <w:jc w:val="both"/>
              <w:rPr>
                <w:color w:val="000000"/>
                <w:sz w:val="20"/>
                <w:szCs w:val="20"/>
              </w:rPr>
            </w:pPr>
            <w:r w:rsidRPr="007D233A">
              <w:rPr>
                <w:color w:val="000000"/>
                <w:sz w:val="20"/>
                <w:szCs w:val="20"/>
              </w:rPr>
              <w:t>No Causality</w:t>
            </w:r>
          </w:p>
        </w:tc>
      </w:tr>
    </w:tbl>
    <w:p w:rsidR="004B134D" w:rsidRPr="007D233A" w:rsidRDefault="004B134D" w:rsidP="00EC3413">
      <w:pPr>
        <w:jc w:val="center"/>
        <w:rPr>
          <w:i/>
          <w:sz w:val="20"/>
          <w:szCs w:val="20"/>
        </w:rPr>
      </w:pPr>
      <w:r w:rsidRPr="00EC3413">
        <w:rPr>
          <w:b/>
          <w:i/>
          <w:sz w:val="20"/>
          <w:szCs w:val="20"/>
        </w:rPr>
        <w:t>Source</w:t>
      </w:r>
      <w:r w:rsidRPr="007D233A">
        <w:rPr>
          <w:i/>
          <w:sz w:val="20"/>
          <w:szCs w:val="20"/>
        </w:rPr>
        <w:t xml:space="preserve">: Data output E-views </w:t>
      </w:r>
      <w:r w:rsidR="00774F50" w:rsidRPr="007D233A">
        <w:rPr>
          <w:i/>
          <w:sz w:val="20"/>
          <w:szCs w:val="20"/>
        </w:rPr>
        <w:t>10</w:t>
      </w:r>
      <w:r w:rsidRPr="007D233A">
        <w:rPr>
          <w:i/>
          <w:sz w:val="20"/>
          <w:szCs w:val="20"/>
        </w:rPr>
        <w:t>.0</w:t>
      </w:r>
    </w:p>
    <w:p w:rsidR="00774F50" w:rsidRPr="007D233A" w:rsidRDefault="00774F50" w:rsidP="007D233A">
      <w:pPr>
        <w:jc w:val="both"/>
        <w:rPr>
          <w:i/>
          <w:sz w:val="20"/>
          <w:szCs w:val="20"/>
        </w:rPr>
      </w:pPr>
    </w:p>
    <w:p w:rsidR="00592468" w:rsidRPr="007D233A" w:rsidRDefault="00774F50" w:rsidP="00D86835">
      <w:pPr>
        <w:autoSpaceDE w:val="0"/>
        <w:autoSpaceDN w:val="0"/>
        <w:adjustRightInd w:val="0"/>
        <w:ind w:firstLine="357"/>
        <w:jc w:val="both"/>
        <w:rPr>
          <w:sz w:val="20"/>
          <w:szCs w:val="20"/>
        </w:rPr>
      </w:pPr>
      <w:r w:rsidRPr="007D233A">
        <w:rPr>
          <w:sz w:val="20"/>
          <w:szCs w:val="20"/>
        </w:rPr>
        <w:t>With respect to discussing the findings, t</w:t>
      </w:r>
      <w:r w:rsidR="000040F3" w:rsidRPr="007D233A">
        <w:rPr>
          <w:sz w:val="20"/>
          <w:szCs w:val="20"/>
        </w:rPr>
        <w:t>he granger causality test has proving that deposit money banks loans and advancesto agriculture has no significant effect on crop production GDP, livestock GDP, and livestock GDP</w:t>
      </w:r>
      <w:r w:rsidRPr="007D233A">
        <w:rPr>
          <w:sz w:val="20"/>
          <w:szCs w:val="20"/>
        </w:rPr>
        <w:t xml:space="preserve">. </w:t>
      </w:r>
      <w:r w:rsidR="000040F3" w:rsidRPr="007D233A">
        <w:rPr>
          <w:sz w:val="20"/>
          <w:szCs w:val="20"/>
        </w:rPr>
        <w:t xml:space="preserve">This may be attributed to the neglect of the agricultural sector and the dependence of Nigeria on a mono-cultural, crude oil-based economy which have not augured well for the well-being of the Nigerian economy. The macroeconomic fundamentals such as interest rate and inflation are not helping matters which </w:t>
      </w:r>
      <w:r w:rsidRPr="007D233A">
        <w:rPr>
          <w:sz w:val="20"/>
          <w:szCs w:val="20"/>
        </w:rPr>
        <w:t>is evident as forestry and livestock output of agriculture were negatively cor</w:t>
      </w:r>
      <w:r w:rsidR="000040F3" w:rsidRPr="007D233A">
        <w:rPr>
          <w:sz w:val="20"/>
          <w:szCs w:val="20"/>
        </w:rPr>
        <w:t>related with interest rate, and this</w:t>
      </w:r>
      <w:r w:rsidRPr="007D233A">
        <w:rPr>
          <w:sz w:val="20"/>
          <w:szCs w:val="20"/>
        </w:rPr>
        <w:t xml:space="preserve"> supports the findings of Udoka, Mbat and Dave </w:t>
      </w:r>
      <w:r w:rsidR="00767F1E" w:rsidRPr="007D233A">
        <w:rPr>
          <w:sz w:val="20"/>
          <w:szCs w:val="20"/>
        </w:rPr>
        <w:t>[28]</w:t>
      </w:r>
      <w:r w:rsidRPr="007D233A">
        <w:rPr>
          <w:sz w:val="20"/>
          <w:szCs w:val="20"/>
        </w:rPr>
        <w:t xml:space="preserve"> and Ayeomini and Aladejana </w:t>
      </w:r>
      <w:r w:rsidR="00767F1E" w:rsidRPr="007D233A">
        <w:rPr>
          <w:sz w:val="20"/>
          <w:szCs w:val="20"/>
        </w:rPr>
        <w:t>[27]</w:t>
      </w:r>
      <w:r w:rsidRPr="007D233A">
        <w:rPr>
          <w:sz w:val="20"/>
          <w:szCs w:val="20"/>
        </w:rPr>
        <w:t xml:space="preserve"> that interest rate charged by </w:t>
      </w:r>
      <w:r w:rsidR="000040F3" w:rsidRPr="007D233A">
        <w:rPr>
          <w:sz w:val="20"/>
          <w:szCs w:val="20"/>
        </w:rPr>
        <w:t>deposit money banks</w:t>
      </w:r>
      <w:r w:rsidRPr="007D233A">
        <w:rPr>
          <w:sz w:val="20"/>
          <w:szCs w:val="20"/>
        </w:rPr>
        <w:t xml:space="preserve"> for loan facilities does improve agriculture production resulting in poor agricultural performance. Implicit price deflator having significant and negative effect on output of agriculture is an insinuation that the level of inflation in the country is not favourable for agricultural growth. Sometimes, when loan are sourced for farming enterprises, the level of inflation would erode the purchasing power of the fund thus farmers having difficulty in repayment of loans.</w:t>
      </w:r>
    </w:p>
    <w:p w:rsidR="00767F1E" w:rsidRPr="007D233A" w:rsidRDefault="00767F1E" w:rsidP="007D233A">
      <w:pPr>
        <w:autoSpaceDE w:val="0"/>
        <w:autoSpaceDN w:val="0"/>
        <w:adjustRightInd w:val="0"/>
        <w:jc w:val="both"/>
        <w:rPr>
          <w:sz w:val="20"/>
          <w:szCs w:val="20"/>
        </w:rPr>
      </w:pPr>
    </w:p>
    <w:p w:rsidR="000040F3" w:rsidRPr="007D233A" w:rsidRDefault="00072595" w:rsidP="007D233A">
      <w:pPr>
        <w:pStyle w:val="ListParagraph"/>
        <w:ind w:left="0"/>
        <w:jc w:val="both"/>
        <w:rPr>
          <w:b/>
          <w:sz w:val="20"/>
          <w:szCs w:val="20"/>
        </w:rPr>
      </w:pPr>
      <w:r w:rsidRPr="007D233A">
        <w:rPr>
          <w:b/>
          <w:sz w:val="20"/>
          <w:szCs w:val="20"/>
        </w:rPr>
        <w:t>CONCLUSION AND POLICY IMPLICATIONS</w:t>
      </w:r>
    </w:p>
    <w:p w:rsidR="00072595" w:rsidRPr="007D233A" w:rsidRDefault="000040F3" w:rsidP="00D86835">
      <w:pPr>
        <w:pStyle w:val="msolistparagraph0"/>
        <w:spacing w:after="0" w:line="240" w:lineRule="auto"/>
        <w:ind w:left="0" w:firstLine="357"/>
        <w:jc w:val="both"/>
        <w:rPr>
          <w:rFonts w:ascii="Times New Roman" w:hAnsi="Times New Roman"/>
          <w:sz w:val="20"/>
          <w:szCs w:val="20"/>
        </w:rPr>
      </w:pPr>
      <w:r w:rsidRPr="007D233A">
        <w:rPr>
          <w:rFonts w:ascii="Times New Roman" w:eastAsia="Times New Roman" w:hAnsi="Times New Roman"/>
          <w:sz w:val="20"/>
          <w:szCs w:val="20"/>
        </w:rPr>
        <w:t xml:space="preserve">The proper functioning of the banking system in pivotal for the growth of agriculture. </w:t>
      </w:r>
      <w:r w:rsidRPr="007D233A">
        <w:rPr>
          <w:rFonts w:ascii="Times New Roman" w:hAnsi="Times New Roman"/>
          <w:sz w:val="20"/>
          <w:szCs w:val="20"/>
        </w:rPr>
        <w:t xml:space="preserve">The rural sector is generally seen as very central to Nigerian’s development strategy, while agriculture continues to play a key role in rural growth.  However, financial markets in Nigeria have continued to be too fragmented and urban biased, thereby being inadequate to meet the rural demands for its services thus the banking system is relied upon to finance productive activities in the country. </w:t>
      </w:r>
      <w:r w:rsidR="00072595" w:rsidRPr="007D233A">
        <w:rPr>
          <w:rFonts w:ascii="Times New Roman" w:hAnsi="Times New Roman"/>
          <w:color w:val="000000"/>
          <w:sz w:val="20"/>
          <w:szCs w:val="20"/>
          <w:lang w:eastAsia="en-GB"/>
        </w:rPr>
        <w:t xml:space="preserve">This study ascertains the effect of </w:t>
      </w:r>
      <w:r w:rsidR="00072595" w:rsidRPr="007D233A">
        <w:rPr>
          <w:rFonts w:ascii="Times New Roman" w:hAnsi="Times New Roman"/>
          <w:sz w:val="20"/>
          <w:szCs w:val="20"/>
        </w:rPr>
        <w:t>deposit money banks loans and advances to agriculture</w:t>
      </w:r>
      <w:r w:rsidR="00072595" w:rsidRPr="007D233A">
        <w:rPr>
          <w:rFonts w:ascii="Times New Roman" w:hAnsi="Times New Roman"/>
          <w:color w:val="000000"/>
          <w:sz w:val="20"/>
          <w:szCs w:val="20"/>
          <w:lang w:eastAsia="en-GB"/>
        </w:rPr>
        <w:t xml:space="preserve"> on agricultural productivity in Nigeria over a period of thirty six years from 1986 to 2021. The results of the analysis revealed that </w:t>
      </w:r>
      <w:r w:rsidR="00072595" w:rsidRPr="007D233A">
        <w:rPr>
          <w:rFonts w:ascii="Times New Roman" w:hAnsi="Times New Roman"/>
          <w:sz w:val="20"/>
          <w:szCs w:val="20"/>
        </w:rPr>
        <w:t>deposit money banks loans and advances to agriculture</w:t>
      </w:r>
      <w:r w:rsidR="00072595" w:rsidRPr="007D233A">
        <w:rPr>
          <w:rFonts w:ascii="Times New Roman" w:eastAsia="Times New Roman" w:hAnsi="Times New Roman"/>
          <w:sz w:val="20"/>
          <w:szCs w:val="20"/>
        </w:rPr>
        <w:t xml:space="preserve"> has no significant effect on </w:t>
      </w:r>
      <w:r w:rsidR="00072595" w:rsidRPr="007D233A">
        <w:rPr>
          <w:rFonts w:ascii="Times New Roman" w:hAnsi="Times New Roman"/>
          <w:sz w:val="20"/>
          <w:szCs w:val="20"/>
        </w:rPr>
        <w:t>crop production GDP, livestock GDP, and livestock GDP</w:t>
      </w:r>
      <w:r w:rsidR="00072595" w:rsidRPr="007D233A">
        <w:rPr>
          <w:rFonts w:ascii="Times New Roman" w:eastAsia="Times New Roman" w:hAnsi="Times New Roman"/>
          <w:sz w:val="20"/>
          <w:szCs w:val="20"/>
        </w:rPr>
        <w:t xml:space="preserve">. </w:t>
      </w:r>
      <w:r w:rsidRPr="007D233A">
        <w:rPr>
          <w:rFonts w:ascii="Times New Roman" w:hAnsi="Times New Roman"/>
          <w:sz w:val="20"/>
          <w:szCs w:val="20"/>
        </w:rPr>
        <w:t>The results of this study have shown the importance of agricultural financing in spurring economic growth and development in general.</w:t>
      </w:r>
    </w:p>
    <w:p w:rsidR="00767F1E" w:rsidRPr="007D233A" w:rsidRDefault="00767F1E" w:rsidP="007D233A">
      <w:pPr>
        <w:pStyle w:val="msolistparagraph0"/>
        <w:spacing w:after="0" w:line="240" w:lineRule="auto"/>
        <w:ind w:left="0"/>
        <w:jc w:val="both"/>
        <w:rPr>
          <w:rFonts w:ascii="Times New Roman" w:hAnsi="Times New Roman"/>
          <w:sz w:val="20"/>
          <w:szCs w:val="20"/>
        </w:rPr>
      </w:pPr>
    </w:p>
    <w:p w:rsidR="00072595" w:rsidRPr="007D233A" w:rsidRDefault="00072595" w:rsidP="00D86835">
      <w:pPr>
        <w:pStyle w:val="msolistparagraph0"/>
        <w:spacing w:after="0" w:line="240" w:lineRule="auto"/>
        <w:ind w:left="0" w:firstLine="357"/>
        <w:jc w:val="both"/>
        <w:rPr>
          <w:rFonts w:ascii="Times New Roman" w:eastAsia="Times New Roman" w:hAnsi="Times New Roman"/>
          <w:sz w:val="20"/>
          <w:szCs w:val="20"/>
        </w:rPr>
      </w:pPr>
      <w:r w:rsidRPr="007D233A">
        <w:rPr>
          <w:rFonts w:ascii="Times New Roman" w:eastAsia="Times New Roman" w:hAnsi="Times New Roman"/>
          <w:sz w:val="20"/>
          <w:szCs w:val="20"/>
        </w:rPr>
        <w:t xml:space="preserve">Taking into consideration the findings of this study, there is the critical need for </w:t>
      </w:r>
      <w:r w:rsidRPr="007D233A">
        <w:rPr>
          <w:rFonts w:ascii="Times New Roman" w:hAnsi="Times New Roman"/>
          <w:sz w:val="20"/>
          <w:szCs w:val="20"/>
        </w:rPr>
        <w:t>deposit money banks</w:t>
      </w:r>
      <w:r w:rsidRPr="007D233A">
        <w:rPr>
          <w:rFonts w:ascii="Times New Roman" w:eastAsia="Times New Roman" w:hAnsi="Times New Roman"/>
          <w:sz w:val="20"/>
          <w:szCs w:val="20"/>
        </w:rPr>
        <w:t xml:space="preserve">to increase loans and advances to agricultural enterprises through reduction in interest rate charged, which in turn permits for greater economic growth and development.The management of </w:t>
      </w:r>
      <w:r w:rsidRPr="007D233A">
        <w:rPr>
          <w:rFonts w:ascii="Times New Roman" w:hAnsi="Times New Roman"/>
          <w:sz w:val="20"/>
          <w:szCs w:val="20"/>
        </w:rPr>
        <w:t>deposit money banks</w:t>
      </w:r>
      <w:r w:rsidRPr="007D233A">
        <w:rPr>
          <w:rFonts w:ascii="Times New Roman" w:eastAsia="Times New Roman" w:hAnsi="Times New Roman"/>
          <w:sz w:val="20"/>
          <w:szCs w:val="20"/>
        </w:rPr>
        <w:t>should strengthen their policies on credits and interest rates on such credits. Reliable, effective and efficient supervision, regulation and audit technique would lead to the actualization of this.</w:t>
      </w:r>
      <w:r w:rsidRPr="007D233A">
        <w:rPr>
          <w:rFonts w:ascii="Times New Roman" w:hAnsi="Times New Roman"/>
          <w:sz w:val="20"/>
          <w:szCs w:val="20"/>
        </w:rPr>
        <w:t>Deposit money banks</w:t>
      </w:r>
      <w:r w:rsidRPr="007D233A">
        <w:rPr>
          <w:rFonts w:ascii="Times New Roman" w:eastAsia="Times New Roman" w:hAnsi="Times New Roman"/>
          <w:sz w:val="20"/>
          <w:szCs w:val="20"/>
        </w:rPr>
        <w:t xml:space="preserve"> should lower in the interest rate charged on loans and accepted collaterals to encourage more farmer especially, rural farmers to have access to finance for agricultural production.The Central Bank of Nigeria should reduce the monetary policy rate to a single digit (range of say 5% to 9%) as against the current rate of 14% to ease the interest rate charged by </w:t>
      </w:r>
      <w:r w:rsidRPr="007D233A">
        <w:rPr>
          <w:rFonts w:ascii="Times New Roman" w:hAnsi="Times New Roman"/>
          <w:sz w:val="20"/>
          <w:szCs w:val="20"/>
        </w:rPr>
        <w:t xml:space="preserve">deposit money </w:t>
      </w:r>
      <w:r w:rsidRPr="007D233A">
        <w:rPr>
          <w:rFonts w:ascii="Times New Roman" w:eastAsia="Times New Roman" w:hAnsi="Times New Roman"/>
          <w:sz w:val="20"/>
          <w:szCs w:val="20"/>
        </w:rPr>
        <w:t>banks.</w:t>
      </w:r>
    </w:p>
    <w:p w:rsidR="00B33B93" w:rsidRPr="007D233A" w:rsidRDefault="00B33B93" w:rsidP="007D233A">
      <w:pPr>
        <w:pStyle w:val="msolistparagraph0"/>
        <w:spacing w:after="0" w:line="240" w:lineRule="auto"/>
        <w:ind w:left="0"/>
        <w:jc w:val="both"/>
        <w:rPr>
          <w:rFonts w:ascii="Times New Roman" w:eastAsia="Times New Roman" w:hAnsi="Times New Roman"/>
          <w:sz w:val="20"/>
          <w:szCs w:val="20"/>
        </w:rPr>
      </w:pPr>
    </w:p>
    <w:p w:rsidR="00072595" w:rsidRPr="007D233A" w:rsidRDefault="00072595" w:rsidP="00D86835">
      <w:pPr>
        <w:jc w:val="center"/>
        <w:rPr>
          <w:b/>
          <w:sz w:val="20"/>
          <w:szCs w:val="20"/>
        </w:rPr>
      </w:pPr>
      <w:r w:rsidRPr="007D233A">
        <w:rPr>
          <w:b/>
          <w:sz w:val="20"/>
          <w:szCs w:val="20"/>
        </w:rPr>
        <w:t>REFERENCES</w:t>
      </w:r>
    </w:p>
    <w:p w:rsidR="00767F1E" w:rsidRPr="007D233A" w:rsidRDefault="00767F1E" w:rsidP="00530A71">
      <w:pPr>
        <w:pStyle w:val="ListParagraph"/>
        <w:numPr>
          <w:ilvl w:val="0"/>
          <w:numId w:val="4"/>
        </w:numPr>
        <w:ind w:left="357" w:hanging="357"/>
        <w:jc w:val="both"/>
        <w:rPr>
          <w:sz w:val="20"/>
          <w:szCs w:val="20"/>
        </w:rPr>
      </w:pPr>
      <w:r w:rsidRPr="007D233A">
        <w:rPr>
          <w:sz w:val="20"/>
          <w:szCs w:val="20"/>
        </w:rPr>
        <w:t>Eboh, E. C., Ujah, O. C. &amp; Nzeh, C. E. (2009). Lessons of the global economic crisis for Nigeria’s agricultural sector strategy. African Institute for Applied Economics, Research paper, Enugu.</w:t>
      </w:r>
    </w:p>
    <w:p w:rsidR="00767F1E" w:rsidRPr="007D233A" w:rsidRDefault="00767F1E" w:rsidP="00530A71">
      <w:pPr>
        <w:pStyle w:val="ListParagraph"/>
        <w:numPr>
          <w:ilvl w:val="0"/>
          <w:numId w:val="4"/>
        </w:numPr>
        <w:ind w:left="357" w:hanging="357"/>
        <w:jc w:val="both"/>
        <w:rPr>
          <w:sz w:val="20"/>
          <w:szCs w:val="20"/>
        </w:rPr>
      </w:pPr>
      <w:r w:rsidRPr="007D233A">
        <w:rPr>
          <w:sz w:val="20"/>
          <w:szCs w:val="20"/>
        </w:rPr>
        <w:t xml:space="preserve">Ariyo, A. (1999). Appropriateness of development financing mix of Sub-Saharan African economics. </w:t>
      </w:r>
      <w:r w:rsidRPr="007D233A">
        <w:rPr>
          <w:i/>
          <w:sz w:val="20"/>
          <w:szCs w:val="20"/>
        </w:rPr>
        <w:t>Nigerian Journal of Economic and Social Studies, 41</w:t>
      </w:r>
      <w:r w:rsidRPr="007D233A">
        <w:rPr>
          <w:sz w:val="20"/>
          <w:szCs w:val="20"/>
        </w:rPr>
        <w:t>(1), 159-173.</w:t>
      </w:r>
    </w:p>
    <w:p w:rsidR="00767F1E" w:rsidRPr="007D233A" w:rsidRDefault="00767F1E" w:rsidP="00530A71">
      <w:pPr>
        <w:pStyle w:val="ListParagraph"/>
        <w:numPr>
          <w:ilvl w:val="0"/>
          <w:numId w:val="4"/>
        </w:numPr>
        <w:ind w:left="357" w:hanging="357"/>
        <w:jc w:val="both"/>
        <w:rPr>
          <w:sz w:val="20"/>
          <w:szCs w:val="20"/>
        </w:rPr>
      </w:pPr>
      <w:r w:rsidRPr="007D233A">
        <w:rPr>
          <w:sz w:val="20"/>
          <w:szCs w:val="20"/>
        </w:rPr>
        <w:t xml:space="preserve">Oboh, V. U. &amp; Ekpebu, I. D. </w:t>
      </w:r>
      <w:r w:rsidRPr="00FD32F3">
        <w:rPr>
          <w:sz w:val="20"/>
          <w:szCs w:val="20"/>
        </w:rPr>
        <w:t>(2011).</w:t>
      </w:r>
      <w:r w:rsidRPr="007D233A">
        <w:rPr>
          <w:sz w:val="20"/>
          <w:szCs w:val="20"/>
        </w:rPr>
        <w:t xml:space="preserve"> Determinants of formal agricultural credit allocation tothe farm sector by arable crop farmers in Benue State, Nigeria. </w:t>
      </w:r>
      <w:r w:rsidRPr="007D233A">
        <w:rPr>
          <w:i/>
          <w:sz w:val="20"/>
          <w:szCs w:val="20"/>
        </w:rPr>
        <w:t>African Journal of Agricultural Research, 6</w:t>
      </w:r>
      <w:r w:rsidRPr="007D233A">
        <w:rPr>
          <w:sz w:val="20"/>
          <w:szCs w:val="20"/>
        </w:rPr>
        <w:t>(1), 181-185.</w:t>
      </w:r>
    </w:p>
    <w:p w:rsidR="00767F1E" w:rsidRPr="007D233A" w:rsidRDefault="00767F1E" w:rsidP="00530A71">
      <w:pPr>
        <w:pStyle w:val="ListParagraph"/>
        <w:numPr>
          <w:ilvl w:val="0"/>
          <w:numId w:val="4"/>
        </w:numPr>
        <w:ind w:left="357" w:hanging="357"/>
        <w:jc w:val="both"/>
        <w:rPr>
          <w:sz w:val="20"/>
          <w:szCs w:val="20"/>
        </w:rPr>
      </w:pPr>
      <w:r w:rsidRPr="007D233A">
        <w:rPr>
          <w:sz w:val="20"/>
          <w:szCs w:val="20"/>
        </w:rPr>
        <w:t xml:space="preserve">Ishola S. A., Olaleye S.O, Ajayi E.O. &amp; Femi, E. (2013). Government expenditure on agricultural sector and economic growth in Nigeria (1981 – 2010). </w:t>
      </w:r>
      <w:r w:rsidRPr="007D233A">
        <w:rPr>
          <w:i/>
          <w:sz w:val="20"/>
          <w:szCs w:val="20"/>
        </w:rPr>
        <w:t>Journal of Humanities and Social Science, 8</w:t>
      </w:r>
      <w:r w:rsidRPr="007D233A">
        <w:rPr>
          <w:sz w:val="20"/>
          <w:szCs w:val="20"/>
        </w:rPr>
        <w:t>(4), 62-67.</w:t>
      </w:r>
    </w:p>
    <w:p w:rsidR="00767F1E" w:rsidRPr="007D233A" w:rsidRDefault="00767F1E" w:rsidP="00530A71">
      <w:pPr>
        <w:pStyle w:val="ListParagraph"/>
        <w:numPr>
          <w:ilvl w:val="0"/>
          <w:numId w:val="4"/>
        </w:numPr>
        <w:ind w:left="357" w:hanging="357"/>
        <w:jc w:val="both"/>
        <w:rPr>
          <w:sz w:val="20"/>
          <w:szCs w:val="20"/>
        </w:rPr>
      </w:pPr>
      <w:r w:rsidRPr="007D233A">
        <w:rPr>
          <w:sz w:val="20"/>
          <w:szCs w:val="20"/>
        </w:rPr>
        <w:t xml:space="preserve">Schumpeter, J.A. </w:t>
      </w:r>
      <w:r w:rsidRPr="00FD32F3">
        <w:rPr>
          <w:sz w:val="20"/>
          <w:szCs w:val="20"/>
        </w:rPr>
        <w:t>(1973).</w:t>
      </w:r>
      <w:r w:rsidRPr="007D233A">
        <w:rPr>
          <w:sz w:val="20"/>
          <w:szCs w:val="20"/>
        </w:rPr>
        <w:t xml:space="preserve">  The </w:t>
      </w:r>
      <w:r w:rsidRPr="007D233A">
        <w:rPr>
          <w:i/>
          <w:sz w:val="20"/>
          <w:szCs w:val="20"/>
        </w:rPr>
        <w:t>theory of economic development: an enquiry into profits, capital, interest and the business cycle</w:t>
      </w:r>
      <w:r w:rsidRPr="007D233A">
        <w:rPr>
          <w:sz w:val="20"/>
          <w:szCs w:val="20"/>
        </w:rPr>
        <w:t>, Cambridge, M.A.: Harvard University Press.</w:t>
      </w:r>
    </w:p>
    <w:p w:rsidR="00767F1E" w:rsidRPr="007D233A" w:rsidRDefault="00767F1E" w:rsidP="00530A71">
      <w:pPr>
        <w:pStyle w:val="ListParagraph"/>
        <w:numPr>
          <w:ilvl w:val="0"/>
          <w:numId w:val="4"/>
        </w:numPr>
        <w:ind w:left="357" w:hanging="357"/>
        <w:jc w:val="both"/>
        <w:rPr>
          <w:sz w:val="20"/>
          <w:szCs w:val="20"/>
        </w:rPr>
      </w:pPr>
      <w:r w:rsidRPr="007D233A">
        <w:rPr>
          <w:sz w:val="20"/>
          <w:szCs w:val="20"/>
        </w:rPr>
        <w:t xml:space="preserve">Goldsmith, R.W. (1969). </w:t>
      </w:r>
      <w:r w:rsidRPr="007D233A">
        <w:rPr>
          <w:i/>
          <w:sz w:val="20"/>
          <w:szCs w:val="20"/>
        </w:rPr>
        <w:t xml:space="preserve">Financial structure and development, </w:t>
      </w:r>
      <w:r w:rsidRPr="007D233A">
        <w:rPr>
          <w:sz w:val="20"/>
          <w:szCs w:val="20"/>
        </w:rPr>
        <w:t>New Haven, CT: Yale University Press.</w:t>
      </w:r>
    </w:p>
    <w:p w:rsidR="00767F1E" w:rsidRPr="007D233A" w:rsidRDefault="00767F1E" w:rsidP="00530A71">
      <w:pPr>
        <w:pStyle w:val="ListParagraph"/>
        <w:numPr>
          <w:ilvl w:val="0"/>
          <w:numId w:val="4"/>
        </w:numPr>
        <w:ind w:left="357" w:hanging="357"/>
        <w:jc w:val="both"/>
        <w:rPr>
          <w:sz w:val="20"/>
          <w:szCs w:val="20"/>
        </w:rPr>
      </w:pPr>
      <w:r w:rsidRPr="007D233A">
        <w:rPr>
          <w:sz w:val="20"/>
          <w:szCs w:val="20"/>
        </w:rPr>
        <w:t xml:space="preserve">McKinnon, R.I. (1973).  </w:t>
      </w:r>
      <w:r w:rsidRPr="007D233A">
        <w:rPr>
          <w:i/>
          <w:sz w:val="20"/>
          <w:szCs w:val="20"/>
        </w:rPr>
        <w:t xml:space="preserve">Money and capital in economic development. </w:t>
      </w:r>
      <w:r w:rsidRPr="007D233A">
        <w:rPr>
          <w:sz w:val="20"/>
          <w:szCs w:val="20"/>
        </w:rPr>
        <w:t>Washington, D.C. Brookings Institution.</w:t>
      </w:r>
    </w:p>
    <w:p w:rsidR="00767F1E" w:rsidRPr="007D233A" w:rsidRDefault="00767F1E" w:rsidP="00530A71">
      <w:pPr>
        <w:pStyle w:val="ListParagraph"/>
        <w:numPr>
          <w:ilvl w:val="0"/>
          <w:numId w:val="4"/>
        </w:numPr>
        <w:ind w:left="357" w:hanging="357"/>
        <w:jc w:val="both"/>
        <w:rPr>
          <w:sz w:val="20"/>
          <w:szCs w:val="20"/>
        </w:rPr>
      </w:pPr>
      <w:r w:rsidRPr="007D233A">
        <w:rPr>
          <w:sz w:val="20"/>
          <w:szCs w:val="20"/>
        </w:rPr>
        <w:t xml:space="preserve">Shaw, E. S. (1973). </w:t>
      </w:r>
      <w:r w:rsidRPr="007D233A">
        <w:rPr>
          <w:i/>
          <w:sz w:val="20"/>
          <w:szCs w:val="20"/>
        </w:rPr>
        <w:t>Financial deepening in economic development.</w:t>
      </w:r>
      <w:r w:rsidRPr="007D233A">
        <w:rPr>
          <w:sz w:val="20"/>
          <w:szCs w:val="20"/>
        </w:rPr>
        <w:t xml:space="preserve"> New York: Oxford University Press.</w:t>
      </w:r>
    </w:p>
    <w:p w:rsidR="00767F1E" w:rsidRPr="007D233A" w:rsidRDefault="00767F1E" w:rsidP="00530A71">
      <w:pPr>
        <w:pStyle w:val="ListParagraph"/>
        <w:numPr>
          <w:ilvl w:val="0"/>
          <w:numId w:val="4"/>
        </w:numPr>
        <w:ind w:left="357" w:hanging="357"/>
        <w:jc w:val="both"/>
        <w:rPr>
          <w:sz w:val="20"/>
          <w:szCs w:val="20"/>
        </w:rPr>
      </w:pPr>
      <w:r w:rsidRPr="007D233A">
        <w:rPr>
          <w:sz w:val="20"/>
          <w:szCs w:val="20"/>
        </w:rPr>
        <w:t xml:space="preserve">Akin E.S. &amp; Adofu, I. (2007). Interest rate deregulation and investment in Nigeria. </w:t>
      </w:r>
      <w:r w:rsidRPr="007D233A">
        <w:rPr>
          <w:i/>
          <w:sz w:val="20"/>
          <w:szCs w:val="20"/>
        </w:rPr>
        <w:t>Journal of Economic and Management Studies, 2</w:t>
      </w:r>
      <w:r w:rsidRPr="007D233A">
        <w:rPr>
          <w:sz w:val="20"/>
          <w:szCs w:val="20"/>
        </w:rPr>
        <w:t>(1), 33-41.</w:t>
      </w:r>
    </w:p>
    <w:p w:rsidR="00767F1E" w:rsidRPr="007D233A" w:rsidRDefault="00767F1E" w:rsidP="00530A71">
      <w:pPr>
        <w:pStyle w:val="ListParagraph"/>
        <w:numPr>
          <w:ilvl w:val="0"/>
          <w:numId w:val="4"/>
        </w:numPr>
        <w:ind w:left="357" w:hanging="357"/>
        <w:jc w:val="both"/>
        <w:rPr>
          <w:sz w:val="20"/>
          <w:szCs w:val="20"/>
        </w:rPr>
      </w:pPr>
      <w:r w:rsidRPr="007D233A">
        <w:rPr>
          <w:sz w:val="20"/>
          <w:szCs w:val="20"/>
        </w:rPr>
        <w:t xml:space="preserve">Bencivenga, V.R. &amp; Smith, B.D. (1991).  Financial intermediation and endogenous growth. </w:t>
      </w:r>
      <w:r w:rsidRPr="007D233A">
        <w:rPr>
          <w:i/>
          <w:sz w:val="20"/>
          <w:szCs w:val="20"/>
        </w:rPr>
        <w:t>Review of Economics Studies, 58</w:t>
      </w:r>
      <w:r w:rsidRPr="007D233A">
        <w:rPr>
          <w:sz w:val="20"/>
          <w:szCs w:val="20"/>
        </w:rPr>
        <w:t>(6), 195-209.</w:t>
      </w:r>
    </w:p>
    <w:p w:rsidR="00767F1E" w:rsidRPr="007D233A" w:rsidRDefault="00767F1E" w:rsidP="00530A71">
      <w:pPr>
        <w:pStyle w:val="ListParagraph"/>
        <w:numPr>
          <w:ilvl w:val="0"/>
          <w:numId w:val="4"/>
        </w:numPr>
        <w:ind w:left="357" w:hanging="357"/>
        <w:jc w:val="both"/>
        <w:rPr>
          <w:sz w:val="20"/>
          <w:szCs w:val="20"/>
        </w:rPr>
      </w:pPr>
      <w:r w:rsidRPr="007D233A">
        <w:rPr>
          <w:sz w:val="20"/>
          <w:szCs w:val="20"/>
        </w:rPr>
        <w:lastRenderedPageBreak/>
        <w:t>Yesufu, A.O. &amp; Yesufu, T.K. (2006).  Organic page information for international trade and finance. In Peltzer, L. (ed.) (2006): New Developments in Macroeconomics Research, Nova Science Publishers, Incorporation, 101-121.</w:t>
      </w:r>
    </w:p>
    <w:p w:rsidR="00767F1E" w:rsidRPr="007D233A" w:rsidRDefault="00767F1E" w:rsidP="00530A71">
      <w:pPr>
        <w:pStyle w:val="ListParagraph"/>
        <w:numPr>
          <w:ilvl w:val="0"/>
          <w:numId w:val="4"/>
        </w:numPr>
        <w:ind w:left="357" w:hanging="357"/>
        <w:jc w:val="both"/>
        <w:rPr>
          <w:sz w:val="20"/>
          <w:szCs w:val="20"/>
        </w:rPr>
      </w:pPr>
      <w:r w:rsidRPr="007D233A">
        <w:rPr>
          <w:sz w:val="20"/>
          <w:szCs w:val="20"/>
        </w:rPr>
        <w:t xml:space="preserve">Obi-Nwosu, V. O., Ananwude, A. C. &amp; Ezeaku, C. N. (2022). The effect of commercial banks credit on agricultural sector’s contribution to real gross domestic product: Evidence from Nigeria 1986 to 2020. </w:t>
      </w:r>
      <w:r w:rsidRPr="007D233A">
        <w:rPr>
          <w:i/>
          <w:sz w:val="20"/>
          <w:szCs w:val="20"/>
        </w:rPr>
        <w:t>International Journal of Trend in Scientific Research and Development, 6</w:t>
      </w:r>
      <w:r w:rsidRPr="007D233A">
        <w:rPr>
          <w:sz w:val="20"/>
          <w:szCs w:val="20"/>
        </w:rPr>
        <w:t>(2), 458-465.</w:t>
      </w:r>
    </w:p>
    <w:p w:rsidR="00767F1E" w:rsidRPr="007D233A" w:rsidRDefault="00767F1E" w:rsidP="00530A71">
      <w:pPr>
        <w:pStyle w:val="ListParagraph"/>
        <w:numPr>
          <w:ilvl w:val="0"/>
          <w:numId w:val="4"/>
        </w:numPr>
        <w:ind w:left="357" w:hanging="357"/>
        <w:jc w:val="both"/>
        <w:rPr>
          <w:sz w:val="20"/>
          <w:szCs w:val="20"/>
        </w:rPr>
      </w:pPr>
      <w:r w:rsidRPr="007D233A">
        <w:rPr>
          <w:sz w:val="20"/>
          <w:szCs w:val="20"/>
        </w:rPr>
        <w:t xml:space="preserve">Okore, O. A. &amp; Nwadiubu, A. O. (2022). Agricultural financing and agricultural output in Nigeria: 1986 – 2020. </w:t>
      </w:r>
      <w:r w:rsidRPr="007D233A">
        <w:rPr>
          <w:i/>
          <w:sz w:val="20"/>
          <w:szCs w:val="20"/>
        </w:rPr>
        <w:t>Journal of Accounting and Financial Management, 8</w:t>
      </w:r>
      <w:r w:rsidRPr="007D233A">
        <w:rPr>
          <w:sz w:val="20"/>
          <w:szCs w:val="20"/>
        </w:rPr>
        <w:t>(3), 31-42.</w:t>
      </w:r>
    </w:p>
    <w:p w:rsidR="00767F1E" w:rsidRPr="007D233A" w:rsidRDefault="00767F1E" w:rsidP="00530A71">
      <w:pPr>
        <w:pStyle w:val="ListParagraph"/>
        <w:numPr>
          <w:ilvl w:val="0"/>
          <w:numId w:val="4"/>
        </w:numPr>
        <w:ind w:left="357" w:hanging="357"/>
        <w:jc w:val="both"/>
        <w:rPr>
          <w:sz w:val="20"/>
          <w:szCs w:val="20"/>
        </w:rPr>
      </w:pPr>
      <w:r w:rsidRPr="007D233A">
        <w:rPr>
          <w:sz w:val="20"/>
          <w:szCs w:val="20"/>
        </w:rPr>
        <w:t xml:space="preserve">Onuegbu, A. N., Ikeora, J. J. E. &amp; Ogini, P. (2022). Deposit money bank credit and agricultural output in Nigeria. </w:t>
      </w:r>
      <w:r w:rsidRPr="007D233A">
        <w:rPr>
          <w:i/>
          <w:sz w:val="20"/>
          <w:szCs w:val="20"/>
        </w:rPr>
        <w:t>International Journal of Innovative Finance and Economics Research, 1</w:t>
      </w:r>
      <w:r w:rsidRPr="007D233A">
        <w:rPr>
          <w:sz w:val="20"/>
          <w:szCs w:val="20"/>
        </w:rPr>
        <w:t>0(1), 49-67.</w:t>
      </w:r>
    </w:p>
    <w:p w:rsidR="00767F1E" w:rsidRPr="007D233A" w:rsidRDefault="00767F1E" w:rsidP="00530A71">
      <w:pPr>
        <w:pStyle w:val="ListParagraph"/>
        <w:numPr>
          <w:ilvl w:val="0"/>
          <w:numId w:val="4"/>
        </w:numPr>
        <w:ind w:left="357" w:hanging="357"/>
        <w:jc w:val="both"/>
        <w:rPr>
          <w:sz w:val="20"/>
          <w:szCs w:val="20"/>
        </w:rPr>
      </w:pPr>
      <w:r w:rsidRPr="007D233A">
        <w:rPr>
          <w:sz w:val="20"/>
          <w:szCs w:val="20"/>
        </w:rPr>
        <w:t xml:space="preserve">Adewale, A. T., Lawal, O. A., Aberu, F. &amp;Toriola, A.K. (2022). Effect of credit to farmers and agricultural productivity in Nigeria. </w:t>
      </w:r>
      <w:r w:rsidRPr="007D233A">
        <w:rPr>
          <w:i/>
          <w:sz w:val="20"/>
          <w:szCs w:val="20"/>
        </w:rPr>
        <w:t>East Asian Journal of Multidisciplinary Research, 1</w:t>
      </w:r>
      <w:r w:rsidRPr="007D233A">
        <w:rPr>
          <w:sz w:val="20"/>
          <w:szCs w:val="20"/>
        </w:rPr>
        <w:t>(3), 377-388.</w:t>
      </w:r>
    </w:p>
    <w:p w:rsidR="00767F1E" w:rsidRPr="007D233A" w:rsidRDefault="00767F1E" w:rsidP="00530A71">
      <w:pPr>
        <w:pStyle w:val="ListParagraph"/>
        <w:numPr>
          <w:ilvl w:val="0"/>
          <w:numId w:val="4"/>
        </w:numPr>
        <w:ind w:left="357" w:hanging="357"/>
        <w:jc w:val="both"/>
        <w:rPr>
          <w:sz w:val="20"/>
          <w:szCs w:val="20"/>
        </w:rPr>
      </w:pPr>
      <w:r w:rsidRPr="007D233A">
        <w:rPr>
          <w:sz w:val="20"/>
          <w:szCs w:val="20"/>
        </w:rPr>
        <w:t xml:space="preserve">Ngong, C. A., Onyejiaku, C., Fonchamnyo, D. C. &amp; Onwumere, J. U. J. (2022). Has bank credit really impacted agricultural productivity in the Central African Economic and Monetary Community? </w:t>
      </w:r>
      <w:r w:rsidRPr="007D233A">
        <w:rPr>
          <w:i/>
          <w:sz w:val="20"/>
          <w:szCs w:val="20"/>
        </w:rPr>
        <w:t>Asian Journal of Economics and Banking, 1</w:t>
      </w:r>
      <w:r w:rsidRPr="007D233A">
        <w:rPr>
          <w:sz w:val="20"/>
          <w:szCs w:val="20"/>
        </w:rPr>
        <w:t>(33), 1-19.</w:t>
      </w:r>
    </w:p>
    <w:p w:rsidR="00767F1E" w:rsidRPr="007D233A" w:rsidRDefault="00767F1E" w:rsidP="00530A71">
      <w:pPr>
        <w:pStyle w:val="ListParagraph"/>
        <w:numPr>
          <w:ilvl w:val="0"/>
          <w:numId w:val="4"/>
        </w:numPr>
        <w:ind w:left="357" w:hanging="357"/>
        <w:jc w:val="both"/>
        <w:rPr>
          <w:sz w:val="20"/>
          <w:szCs w:val="20"/>
        </w:rPr>
      </w:pPr>
      <w:r w:rsidRPr="007D233A">
        <w:rPr>
          <w:sz w:val="20"/>
          <w:szCs w:val="20"/>
        </w:rPr>
        <w:t xml:space="preserve">Marafa, A. A. (2021). Agricultural financing and productivity nexus in Nigeria: An ARDL analysis. </w:t>
      </w:r>
      <w:r w:rsidRPr="007D233A">
        <w:rPr>
          <w:i/>
          <w:sz w:val="20"/>
          <w:szCs w:val="20"/>
        </w:rPr>
        <w:t>NOUN Journal of Management and International Development, 6</w:t>
      </w:r>
      <w:r w:rsidRPr="007D233A">
        <w:rPr>
          <w:sz w:val="20"/>
          <w:szCs w:val="20"/>
        </w:rPr>
        <w:t>(1), 241-259.</w:t>
      </w:r>
    </w:p>
    <w:p w:rsidR="00767F1E" w:rsidRPr="007D233A" w:rsidRDefault="00767F1E" w:rsidP="00530A71">
      <w:pPr>
        <w:pStyle w:val="ListParagraph"/>
        <w:numPr>
          <w:ilvl w:val="0"/>
          <w:numId w:val="4"/>
        </w:numPr>
        <w:ind w:left="357" w:hanging="357"/>
        <w:jc w:val="both"/>
        <w:rPr>
          <w:sz w:val="20"/>
          <w:szCs w:val="20"/>
        </w:rPr>
      </w:pPr>
      <w:r w:rsidRPr="007D233A">
        <w:rPr>
          <w:sz w:val="20"/>
          <w:szCs w:val="20"/>
        </w:rPr>
        <w:t xml:space="preserve">Uremadu, S. O., Ehimare, A. O. &amp; Okhuebor, A. I. (2019). A review of impact of government expenditure and bank credit on agricultural productivity of Nigeria. </w:t>
      </w:r>
      <w:r w:rsidRPr="007D233A">
        <w:rPr>
          <w:i/>
          <w:sz w:val="20"/>
          <w:szCs w:val="20"/>
        </w:rPr>
        <w:t>Annals of Social Sciences &amp; Management Studies, 3</w:t>
      </w:r>
      <w:r w:rsidRPr="007D233A">
        <w:rPr>
          <w:sz w:val="20"/>
          <w:szCs w:val="20"/>
        </w:rPr>
        <w:t>(4), 103-112.</w:t>
      </w:r>
    </w:p>
    <w:p w:rsidR="00767F1E" w:rsidRPr="007D233A" w:rsidRDefault="00767F1E" w:rsidP="00530A71">
      <w:pPr>
        <w:pStyle w:val="ListParagraph"/>
        <w:numPr>
          <w:ilvl w:val="0"/>
          <w:numId w:val="4"/>
        </w:numPr>
        <w:ind w:left="357" w:hanging="357"/>
        <w:jc w:val="both"/>
        <w:rPr>
          <w:sz w:val="20"/>
          <w:szCs w:val="20"/>
        </w:rPr>
      </w:pPr>
      <w:r w:rsidRPr="007D233A">
        <w:rPr>
          <w:sz w:val="20"/>
          <w:szCs w:val="20"/>
        </w:rPr>
        <w:t xml:space="preserve">Oyelade, A. O. (2019). Impact of commercial bank credit on agricultural output in Nigeria. </w:t>
      </w:r>
      <w:r w:rsidRPr="007D233A">
        <w:rPr>
          <w:i/>
          <w:sz w:val="20"/>
          <w:szCs w:val="20"/>
        </w:rPr>
        <w:t>Review of innovation and competitiveness, 5</w:t>
      </w:r>
      <w:r w:rsidRPr="007D233A">
        <w:rPr>
          <w:sz w:val="20"/>
          <w:szCs w:val="20"/>
        </w:rPr>
        <w:t>(1), 5-20.</w:t>
      </w:r>
    </w:p>
    <w:p w:rsidR="00767F1E" w:rsidRPr="007D233A" w:rsidRDefault="00767F1E" w:rsidP="00530A71">
      <w:pPr>
        <w:pStyle w:val="ListParagraph"/>
        <w:numPr>
          <w:ilvl w:val="0"/>
          <w:numId w:val="4"/>
        </w:numPr>
        <w:ind w:left="357" w:hanging="357"/>
        <w:jc w:val="both"/>
        <w:rPr>
          <w:sz w:val="20"/>
          <w:szCs w:val="20"/>
        </w:rPr>
      </w:pPr>
      <w:r w:rsidRPr="007D233A">
        <w:rPr>
          <w:sz w:val="20"/>
          <w:szCs w:val="20"/>
        </w:rPr>
        <w:t xml:space="preserve">Bulama,Y. M., Shettima, B. G., Bukar, U. &amp; Tachia, J. S. (2019). Impact of the Bank of Agriculture (BOA) in agricultural financing: A case study of Maiduguri branch, Borno State, Nigeria. </w:t>
      </w:r>
      <w:r w:rsidRPr="007D233A">
        <w:rPr>
          <w:i/>
          <w:sz w:val="20"/>
          <w:szCs w:val="20"/>
        </w:rPr>
        <w:t>FUDMA Journal of Agriculture and Agricultural Technology, 5</w:t>
      </w:r>
      <w:r w:rsidRPr="007D233A">
        <w:rPr>
          <w:sz w:val="20"/>
          <w:szCs w:val="20"/>
        </w:rPr>
        <w:t>(1), 47-56.</w:t>
      </w:r>
    </w:p>
    <w:p w:rsidR="00767F1E" w:rsidRPr="007D233A" w:rsidRDefault="00767F1E" w:rsidP="00530A71">
      <w:pPr>
        <w:pStyle w:val="ListParagraph"/>
        <w:numPr>
          <w:ilvl w:val="0"/>
          <w:numId w:val="4"/>
        </w:numPr>
        <w:ind w:left="357" w:hanging="357"/>
        <w:jc w:val="both"/>
        <w:rPr>
          <w:sz w:val="20"/>
          <w:szCs w:val="20"/>
        </w:rPr>
      </w:pPr>
      <w:r w:rsidRPr="007D233A">
        <w:rPr>
          <w:sz w:val="20"/>
          <w:szCs w:val="20"/>
        </w:rPr>
        <w:t xml:space="preserve">Enilolobo, O. S. &amp;Ode-Omenka, L. C. (2018). The impact of credits on agricultural output in Nigeria. </w:t>
      </w:r>
      <w:r w:rsidRPr="007D233A">
        <w:rPr>
          <w:i/>
          <w:sz w:val="20"/>
          <w:szCs w:val="20"/>
        </w:rPr>
        <w:t>International Journal of Economics, Commerce and Management, 6</w:t>
      </w:r>
      <w:r w:rsidRPr="007D233A">
        <w:rPr>
          <w:sz w:val="20"/>
          <w:szCs w:val="20"/>
        </w:rPr>
        <w:t>(12), 232-247.</w:t>
      </w:r>
    </w:p>
    <w:p w:rsidR="00767F1E" w:rsidRPr="007D233A" w:rsidRDefault="00767F1E" w:rsidP="00530A71">
      <w:pPr>
        <w:pStyle w:val="ListParagraph"/>
        <w:numPr>
          <w:ilvl w:val="0"/>
          <w:numId w:val="4"/>
        </w:numPr>
        <w:ind w:left="357" w:hanging="357"/>
        <w:jc w:val="both"/>
        <w:rPr>
          <w:sz w:val="20"/>
          <w:szCs w:val="20"/>
        </w:rPr>
      </w:pPr>
      <w:r w:rsidRPr="007D233A">
        <w:rPr>
          <w:sz w:val="20"/>
          <w:szCs w:val="20"/>
        </w:rPr>
        <w:t xml:space="preserve">Samson, A. &amp;Obademi, O. (2018). The determinants and impact of access to agricultural credit on productivity by farmers in Nigeria; Evidence from Oyo State, Nigeria. </w:t>
      </w:r>
      <w:r w:rsidRPr="007D233A">
        <w:rPr>
          <w:i/>
          <w:sz w:val="20"/>
          <w:szCs w:val="20"/>
        </w:rPr>
        <w:t>Advances in Social Sciences Research Journal, 5</w:t>
      </w:r>
      <w:r w:rsidRPr="007D233A">
        <w:rPr>
          <w:sz w:val="20"/>
          <w:szCs w:val="20"/>
        </w:rPr>
        <w:t>(3) 252-265.</w:t>
      </w:r>
    </w:p>
    <w:p w:rsidR="00767F1E" w:rsidRPr="007D233A" w:rsidRDefault="00767F1E" w:rsidP="00530A71">
      <w:pPr>
        <w:pStyle w:val="ListParagraph"/>
        <w:numPr>
          <w:ilvl w:val="0"/>
          <w:numId w:val="4"/>
        </w:numPr>
        <w:ind w:left="357" w:hanging="357"/>
        <w:jc w:val="both"/>
        <w:rPr>
          <w:sz w:val="20"/>
          <w:szCs w:val="20"/>
        </w:rPr>
      </w:pPr>
      <w:r w:rsidRPr="007D233A">
        <w:rPr>
          <w:sz w:val="20"/>
          <w:szCs w:val="20"/>
        </w:rPr>
        <w:t xml:space="preserve">Ajayi, M. A., Nageri, K. I. &amp;Akolo, C. S. (2017). Impact of agricultural financing policy and deposit money bank loan on agricultural sector productivity in Nigeria. </w:t>
      </w:r>
      <w:r w:rsidRPr="007D233A">
        <w:rPr>
          <w:i/>
          <w:sz w:val="20"/>
          <w:szCs w:val="20"/>
        </w:rPr>
        <w:t>Amity Journal of Agribusiness, 2</w:t>
      </w:r>
      <w:r w:rsidRPr="007D233A">
        <w:rPr>
          <w:sz w:val="20"/>
          <w:szCs w:val="20"/>
        </w:rPr>
        <w:t>(1), 1-11.</w:t>
      </w:r>
    </w:p>
    <w:p w:rsidR="00767F1E" w:rsidRPr="007D233A" w:rsidRDefault="00767F1E" w:rsidP="00530A71">
      <w:pPr>
        <w:pStyle w:val="ListParagraph"/>
        <w:numPr>
          <w:ilvl w:val="0"/>
          <w:numId w:val="4"/>
        </w:numPr>
        <w:ind w:left="357" w:hanging="357"/>
        <w:jc w:val="both"/>
        <w:rPr>
          <w:sz w:val="20"/>
          <w:szCs w:val="20"/>
        </w:rPr>
      </w:pPr>
      <w:r w:rsidRPr="007D233A">
        <w:rPr>
          <w:sz w:val="20"/>
          <w:szCs w:val="20"/>
        </w:rPr>
        <w:t xml:space="preserve">Ogbuabor, J. E. &amp; Nwosu, C. A. (2017). The impact of deposit money bank’s agricultural credit on agricultural productivity in Nigeria: Evidence from an error correction model. </w:t>
      </w:r>
      <w:r w:rsidRPr="007D233A">
        <w:rPr>
          <w:i/>
          <w:sz w:val="20"/>
          <w:szCs w:val="20"/>
        </w:rPr>
        <w:t>International Journal of Economics and Financial Issues, 7</w:t>
      </w:r>
      <w:r w:rsidRPr="007D233A">
        <w:rPr>
          <w:sz w:val="20"/>
          <w:szCs w:val="20"/>
        </w:rPr>
        <w:t>(2), 513-517.</w:t>
      </w:r>
    </w:p>
    <w:p w:rsidR="00767F1E" w:rsidRPr="007D233A" w:rsidRDefault="00767F1E" w:rsidP="00530A71">
      <w:pPr>
        <w:pStyle w:val="ListParagraph"/>
        <w:numPr>
          <w:ilvl w:val="0"/>
          <w:numId w:val="4"/>
        </w:numPr>
        <w:ind w:left="357" w:hanging="357"/>
        <w:jc w:val="both"/>
        <w:rPr>
          <w:sz w:val="20"/>
          <w:szCs w:val="20"/>
        </w:rPr>
      </w:pPr>
      <w:r w:rsidRPr="007D233A">
        <w:rPr>
          <w:sz w:val="20"/>
          <w:szCs w:val="20"/>
        </w:rPr>
        <w:t xml:space="preserve">Anetor, F. O., Ogbechie, C., Kelikume, I. &amp;Ikpesu, F. (2016). Credit supply and agricultural production in Nigeria: A Vector Autoregressive (VAR) approach. </w:t>
      </w:r>
      <w:r w:rsidRPr="007D233A">
        <w:rPr>
          <w:i/>
          <w:sz w:val="20"/>
          <w:szCs w:val="20"/>
        </w:rPr>
        <w:t>Journal of Economics and Sustainable Development, 7</w:t>
      </w:r>
      <w:r w:rsidRPr="007D233A">
        <w:rPr>
          <w:sz w:val="20"/>
          <w:szCs w:val="20"/>
        </w:rPr>
        <w:t>(2), 131-143.</w:t>
      </w:r>
    </w:p>
    <w:p w:rsidR="00767F1E" w:rsidRPr="007D233A" w:rsidRDefault="00767F1E" w:rsidP="00530A71">
      <w:pPr>
        <w:pStyle w:val="ListParagraph"/>
        <w:numPr>
          <w:ilvl w:val="0"/>
          <w:numId w:val="4"/>
        </w:numPr>
        <w:ind w:left="357" w:hanging="357"/>
        <w:jc w:val="both"/>
        <w:rPr>
          <w:sz w:val="20"/>
          <w:szCs w:val="20"/>
        </w:rPr>
      </w:pPr>
      <w:r w:rsidRPr="007D233A">
        <w:rPr>
          <w:sz w:val="20"/>
          <w:szCs w:val="20"/>
        </w:rPr>
        <w:t xml:space="preserve">Agunuwa, K. V., Inaya, L. &amp; Proso, T. (2015). Impact of commercial banks’ credit on agricultural productivity in Nigeria (Time Series Analysis 1980 - 2013). </w:t>
      </w:r>
      <w:r w:rsidRPr="007D233A">
        <w:rPr>
          <w:i/>
          <w:sz w:val="20"/>
          <w:szCs w:val="20"/>
        </w:rPr>
        <w:t>International Journal of Academic Research in Business and Social Sciences, 5</w:t>
      </w:r>
      <w:r w:rsidRPr="007D233A">
        <w:rPr>
          <w:sz w:val="20"/>
          <w:szCs w:val="20"/>
        </w:rPr>
        <w:t>(11), 337-350.</w:t>
      </w:r>
    </w:p>
    <w:p w:rsidR="00767F1E" w:rsidRPr="007D233A" w:rsidRDefault="00767F1E" w:rsidP="00530A71">
      <w:pPr>
        <w:pStyle w:val="ListParagraph"/>
        <w:numPr>
          <w:ilvl w:val="0"/>
          <w:numId w:val="4"/>
        </w:numPr>
        <w:ind w:left="357" w:hanging="357"/>
        <w:jc w:val="both"/>
        <w:rPr>
          <w:sz w:val="20"/>
          <w:szCs w:val="20"/>
        </w:rPr>
      </w:pPr>
      <w:r w:rsidRPr="007D233A">
        <w:rPr>
          <w:sz w:val="20"/>
          <w:szCs w:val="20"/>
        </w:rPr>
        <w:t xml:space="preserve">Ayeomoni, I.O.&amp; Aladejana, S.A. (2016): Agricultural credit and economic growth nexus: Evidence from Nigeria. </w:t>
      </w:r>
      <w:r w:rsidRPr="007D233A">
        <w:rPr>
          <w:i/>
          <w:sz w:val="20"/>
          <w:szCs w:val="20"/>
        </w:rPr>
        <w:t>International Journal of Academic Research in Accounting, Finance and Management Sciences, 6</w:t>
      </w:r>
      <w:r w:rsidRPr="007D233A">
        <w:rPr>
          <w:sz w:val="20"/>
          <w:szCs w:val="20"/>
        </w:rPr>
        <w:t>(2), 146-158.</w:t>
      </w:r>
    </w:p>
    <w:p w:rsidR="00767F1E" w:rsidRPr="007D233A" w:rsidRDefault="00767F1E" w:rsidP="00530A71">
      <w:pPr>
        <w:pStyle w:val="ListParagraph"/>
        <w:numPr>
          <w:ilvl w:val="0"/>
          <w:numId w:val="4"/>
        </w:numPr>
        <w:ind w:left="357" w:hanging="357"/>
        <w:jc w:val="both"/>
        <w:rPr>
          <w:sz w:val="20"/>
          <w:szCs w:val="20"/>
        </w:rPr>
      </w:pPr>
      <w:r w:rsidRPr="007D233A">
        <w:rPr>
          <w:sz w:val="20"/>
          <w:szCs w:val="20"/>
        </w:rPr>
        <w:t>Udoka, C.O., Mbah, D.O. &amp; Duke, S.</w:t>
      </w:r>
      <w:bookmarkStart w:id="0" w:name="_GoBack"/>
      <w:bookmarkEnd w:id="0"/>
      <w:r w:rsidRPr="007D233A">
        <w:rPr>
          <w:sz w:val="20"/>
          <w:szCs w:val="20"/>
        </w:rPr>
        <w:t xml:space="preserve">B. (2016).  The effect of commercial banks’ credit on agricultural production in Nigeria.  </w:t>
      </w:r>
      <w:r w:rsidRPr="007D233A">
        <w:rPr>
          <w:i/>
          <w:sz w:val="20"/>
          <w:szCs w:val="20"/>
        </w:rPr>
        <w:t>Journal of Finance and Accounting, 4</w:t>
      </w:r>
      <w:r w:rsidRPr="007D233A">
        <w:rPr>
          <w:sz w:val="20"/>
          <w:szCs w:val="20"/>
        </w:rPr>
        <w:t>(1), 1-10.</w:t>
      </w:r>
    </w:p>
    <w:sectPr w:rsidR="00767F1E" w:rsidRPr="007D233A" w:rsidSect="00921C89">
      <w:footerReference w:type="default" r:id="rId12"/>
      <w:pgSz w:w="11907" w:h="16839" w:code="9"/>
      <w:pgMar w:top="1440" w:right="1080" w:bottom="1440" w:left="1080" w:header="720" w:footer="720" w:gutter="0"/>
      <w:pgNumType w:start="12"/>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56EE" w:rsidRDefault="005E56EE" w:rsidP="00072595">
      <w:r>
        <w:separator/>
      </w:r>
    </w:p>
  </w:endnote>
  <w:endnote w:type="continuationSeparator" w:id="1">
    <w:p w:rsidR="005E56EE" w:rsidRDefault="005E56EE" w:rsidP="000725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TimesNewRomanPSMT">
    <w:altName w:val="MS Mincho"/>
    <w:panose1 w:val="00000000000000000000"/>
    <w:charset w:val="80"/>
    <w:family w:val="auto"/>
    <w:notTrueType/>
    <w:pitch w:val="default"/>
    <w:sig w:usb0="00000007" w:usb1="08070000" w:usb2="00000010" w:usb3="00000000" w:csb0="0002000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AA0" w:rsidRPr="00CC2D82" w:rsidRDefault="00437AA0" w:rsidP="00437AA0">
    <w:pPr>
      <w:pStyle w:val="Footer"/>
      <w:pBdr>
        <w:top w:val="single" w:sz="4" w:space="1" w:color="D9D9D9" w:themeColor="background1" w:themeShade="D9"/>
      </w:pBdr>
      <w:rPr>
        <w:color w:val="0070C0"/>
      </w:rPr>
    </w:pPr>
    <w:r w:rsidRPr="00484F8F">
      <w:rPr>
        <w:i/>
        <w:iCs/>
        <w:color w:val="0070C0"/>
        <w:sz w:val="14"/>
      </w:rPr>
      <w:t>IASR Multidisciplinary Journal</w:t>
    </w:r>
    <w:r w:rsidRPr="00CC2D82">
      <w:rPr>
        <w:i/>
        <w:iCs/>
        <w:color w:val="0070C0"/>
        <w:sz w:val="14"/>
      </w:rPr>
      <w:t xml:space="preserve">; Volume: </w:t>
    </w:r>
    <w:r>
      <w:rPr>
        <w:i/>
        <w:iCs/>
        <w:color w:val="0070C0"/>
        <w:sz w:val="14"/>
      </w:rPr>
      <w:t>2; Issue: 5</w:t>
    </w:r>
    <w:r w:rsidRPr="00CC2D82">
      <w:rPr>
        <w:i/>
        <w:iCs/>
        <w:color w:val="0070C0"/>
        <w:sz w:val="16"/>
        <w:szCs w:val="16"/>
      </w:rPr>
      <w:t xml:space="preserve">|| </w:t>
    </w:r>
    <w:r>
      <w:rPr>
        <w:i/>
        <w:iCs/>
        <w:color w:val="0070C0"/>
        <w:sz w:val="16"/>
        <w:szCs w:val="16"/>
      </w:rPr>
      <w:t>Sept-Oct</w:t>
    </w:r>
    <w:r w:rsidRPr="00CC2D82">
      <w:rPr>
        <w:i/>
        <w:iCs/>
        <w:color w:val="0070C0"/>
        <w:sz w:val="16"/>
        <w:szCs w:val="16"/>
      </w:rPr>
      <w:t xml:space="preserve"> 202</w:t>
    </w:r>
    <w:r>
      <w:rPr>
        <w:i/>
        <w:iCs/>
        <w:color w:val="0070C0"/>
        <w:sz w:val="16"/>
        <w:szCs w:val="16"/>
      </w:rPr>
      <w:t>2</w:t>
    </w:r>
    <w:r w:rsidRPr="00CC2D82">
      <w:rPr>
        <w:i/>
        <w:iCs/>
        <w:color w:val="0070C0"/>
        <w:sz w:val="16"/>
        <w:szCs w:val="16"/>
      </w:rPr>
      <w:t xml:space="preserve">||                          </w:t>
    </w:r>
    <w:r>
      <w:rPr>
        <w:i/>
        <w:iCs/>
        <w:color w:val="0070C0"/>
        <w:sz w:val="16"/>
        <w:szCs w:val="16"/>
      </w:rPr>
      <w:tab/>
    </w:r>
    <w:r w:rsidRPr="00CC2D82">
      <w:rPr>
        <w:b/>
        <w:bCs/>
        <w:color w:val="0070C0"/>
        <w:sz w:val="16"/>
        <w:szCs w:val="14"/>
      </w:rPr>
      <w:t xml:space="preserve">| </w:t>
    </w:r>
    <w:r w:rsidRPr="00CC2D82">
      <w:rPr>
        <w:b/>
        <w:bCs/>
        <w:color w:val="0070C0"/>
        <w:spacing w:val="60"/>
        <w:sz w:val="16"/>
        <w:szCs w:val="14"/>
      </w:rPr>
      <w:t>Page-</w:t>
    </w:r>
    <w:r w:rsidR="00520E15" w:rsidRPr="00CC2D82">
      <w:rPr>
        <w:b/>
        <w:bCs/>
        <w:color w:val="0070C0"/>
        <w:sz w:val="16"/>
        <w:szCs w:val="14"/>
      </w:rPr>
      <w:fldChar w:fldCharType="begin"/>
    </w:r>
    <w:r w:rsidRPr="00CC2D82">
      <w:rPr>
        <w:b/>
        <w:bCs/>
        <w:color w:val="0070C0"/>
        <w:sz w:val="16"/>
        <w:szCs w:val="14"/>
      </w:rPr>
      <w:instrText xml:space="preserve"> PAGE   \* MERGEFORMAT </w:instrText>
    </w:r>
    <w:r w:rsidR="00520E15" w:rsidRPr="00CC2D82">
      <w:rPr>
        <w:b/>
        <w:bCs/>
        <w:color w:val="0070C0"/>
        <w:sz w:val="16"/>
        <w:szCs w:val="14"/>
      </w:rPr>
      <w:fldChar w:fldCharType="separate"/>
    </w:r>
    <w:r w:rsidR="00921C89">
      <w:rPr>
        <w:b/>
        <w:bCs/>
        <w:noProof/>
        <w:color w:val="0070C0"/>
        <w:sz w:val="16"/>
        <w:szCs w:val="14"/>
      </w:rPr>
      <w:t>12</w:t>
    </w:r>
    <w:r w:rsidR="00520E15" w:rsidRPr="00CC2D82">
      <w:rPr>
        <w:b/>
        <w:bCs/>
        <w:color w:val="0070C0"/>
        <w:sz w:val="16"/>
        <w:szCs w:val="14"/>
      </w:rPr>
      <w:fldChar w:fldCharType="end"/>
    </w:r>
  </w:p>
  <w:p w:rsidR="007D233A" w:rsidRPr="00437AA0" w:rsidRDefault="007D233A" w:rsidP="00437AA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56EE" w:rsidRDefault="005E56EE" w:rsidP="00072595">
      <w:r>
        <w:separator/>
      </w:r>
    </w:p>
  </w:footnote>
  <w:footnote w:type="continuationSeparator" w:id="1">
    <w:p w:rsidR="005E56EE" w:rsidRDefault="005E56EE" w:rsidP="000725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3F375C"/>
    <w:multiLevelType w:val="hybridMultilevel"/>
    <w:tmpl w:val="5520473E"/>
    <w:lvl w:ilvl="0" w:tplc="BBD2E492">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946E40"/>
    <w:multiLevelType w:val="hybridMultilevel"/>
    <w:tmpl w:val="AC52713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nsid w:val="58C95100"/>
    <w:multiLevelType w:val="hybridMultilevel"/>
    <w:tmpl w:val="DFD6CA3E"/>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
    <w:nsid w:val="5E577399"/>
    <w:multiLevelType w:val="hybridMultilevel"/>
    <w:tmpl w:val="EAB83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317D93"/>
    <w:rsid w:val="000040F3"/>
    <w:rsid w:val="00012B1C"/>
    <w:rsid w:val="00013A32"/>
    <w:rsid w:val="00072595"/>
    <w:rsid w:val="000A48F0"/>
    <w:rsid w:val="000C1EC3"/>
    <w:rsid w:val="000E3C5D"/>
    <w:rsid w:val="0016088D"/>
    <w:rsid w:val="001B421D"/>
    <w:rsid w:val="0021295B"/>
    <w:rsid w:val="00240E6C"/>
    <w:rsid w:val="00264802"/>
    <w:rsid w:val="0028021C"/>
    <w:rsid w:val="00283FFC"/>
    <w:rsid w:val="002847F8"/>
    <w:rsid w:val="00287270"/>
    <w:rsid w:val="002974A5"/>
    <w:rsid w:val="002C1461"/>
    <w:rsid w:val="002C5396"/>
    <w:rsid w:val="002F2C0C"/>
    <w:rsid w:val="00317D93"/>
    <w:rsid w:val="00356B35"/>
    <w:rsid w:val="003A5188"/>
    <w:rsid w:val="00414B86"/>
    <w:rsid w:val="00422FA8"/>
    <w:rsid w:val="00437AA0"/>
    <w:rsid w:val="00453D62"/>
    <w:rsid w:val="004858E4"/>
    <w:rsid w:val="004A6991"/>
    <w:rsid w:val="004B134D"/>
    <w:rsid w:val="004C1F3F"/>
    <w:rsid w:val="004E7CEE"/>
    <w:rsid w:val="00520E15"/>
    <w:rsid w:val="00530A71"/>
    <w:rsid w:val="0056208F"/>
    <w:rsid w:val="00592468"/>
    <w:rsid w:val="005B7AA4"/>
    <w:rsid w:val="005D3FC7"/>
    <w:rsid w:val="005E56EE"/>
    <w:rsid w:val="00607BDF"/>
    <w:rsid w:val="00634E72"/>
    <w:rsid w:val="00646680"/>
    <w:rsid w:val="006674EA"/>
    <w:rsid w:val="006A1408"/>
    <w:rsid w:val="006A53A3"/>
    <w:rsid w:val="00727A60"/>
    <w:rsid w:val="00744AB1"/>
    <w:rsid w:val="00767F1E"/>
    <w:rsid w:val="00774F50"/>
    <w:rsid w:val="007B2AF8"/>
    <w:rsid w:val="007B3A7E"/>
    <w:rsid w:val="007D233A"/>
    <w:rsid w:val="00853AB0"/>
    <w:rsid w:val="00870D9F"/>
    <w:rsid w:val="008833C9"/>
    <w:rsid w:val="0089726C"/>
    <w:rsid w:val="00907BD3"/>
    <w:rsid w:val="00910F52"/>
    <w:rsid w:val="00921C89"/>
    <w:rsid w:val="009634B5"/>
    <w:rsid w:val="009B095D"/>
    <w:rsid w:val="009C73FE"/>
    <w:rsid w:val="009D31FE"/>
    <w:rsid w:val="00A56D91"/>
    <w:rsid w:val="00A61930"/>
    <w:rsid w:val="00A72BB8"/>
    <w:rsid w:val="00A93987"/>
    <w:rsid w:val="00AE6207"/>
    <w:rsid w:val="00B06E41"/>
    <w:rsid w:val="00B33B93"/>
    <w:rsid w:val="00B859A4"/>
    <w:rsid w:val="00BA0FD0"/>
    <w:rsid w:val="00BC7B34"/>
    <w:rsid w:val="00C0235A"/>
    <w:rsid w:val="00C950DA"/>
    <w:rsid w:val="00CB1271"/>
    <w:rsid w:val="00D24B98"/>
    <w:rsid w:val="00D258B7"/>
    <w:rsid w:val="00D54DDA"/>
    <w:rsid w:val="00D61F60"/>
    <w:rsid w:val="00D6391E"/>
    <w:rsid w:val="00D86835"/>
    <w:rsid w:val="00D87F01"/>
    <w:rsid w:val="00E80C8D"/>
    <w:rsid w:val="00EC2756"/>
    <w:rsid w:val="00EC3413"/>
    <w:rsid w:val="00F337F7"/>
    <w:rsid w:val="00FC3E4A"/>
    <w:rsid w:val="00FD32F3"/>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BDF"/>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2756"/>
    <w:pPr>
      <w:ind w:left="720"/>
      <w:contextualSpacing/>
    </w:pPr>
  </w:style>
  <w:style w:type="paragraph" w:customStyle="1" w:styleId="msolistparagraph0">
    <w:name w:val="msolistparagraph"/>
    <w:basedOn w:val="Normal"/>
    <w:rsid w:val="000040F3"/>
    <w:pPr>
      <w:spacing w:after="160" w:line="256" w:lineRule="auto"/>
      <w:ind w:left="720"/>
      <w:contextualSpacing/>
    </w:pPr>
    <w:rPr>
      <w:rFonts w:ascii="Calibri" w:eastAsia="Calibri" w:hAnsi="Calibri"/>
      <w:sz w:val="22"/>
      <w:szCs w:val="22"/>
      <w:lang w:eastAsia="en-US"/>
    </w:rPr>
  </w:style>
  <w:style w:type="paragraph" w:styleId="Header">
    <w:name w:val="header"/>
    <w:basedOn w:val="Normal"/>
    <w:link w:val="HeaderChar"/>
    <w:uiPriority w:val="99"/>
    <w:unhideWhenUsed/>
    <w:rsid w:val="00072595"/>
    <w:pPr>
      <w:tabs>
        <w:tab w:val="center" w:pos="4513"/>
        <w:tab w:val="right" w:pos="9026"/>
      </w:tabs>
    </w:pPr>
    <w:rPr>
      <w:rFonts w:ascii="Calibri" w:eastAsia="Calibri" w:hAnsi="Calibri"/>
      <w:sz w:val="22"/>
      <w:szCs w:val="22"/>
      <w:lang w:val="en-US" w:eastAsia="en-US"/>
    </w:rPr>
  </w:style>
  <w:style w:type="character" w:customStyle="1" w:styleId="HeaderChar">
    <w:name w:val="Header Char"/>
    <w:basedOn w:val="DefaultParagraphFont"/>
    <w:link w:val="Header"/>
    <w:uiPriority w:val="99"/>
    <w:rsid w:val="00072595"/>
    <w:rPr>
      <w:rFonts w:ascii="Calibri" w:eastAsia="Calibri" w:hAnsi="Calibri" w:cs="Times New Roman"/>
    </w:rPr>
  </w:style>
  <w:style w:type="paragraph" w:styleId="Footer">
    <w:name w:val="footer"/>
    <w:basedOn w:val="Normal"/>
    <w:link w:val="FooterChar"/>
    <w:uiPriority w:val="99"/>
    <w:unhideWhenUsed/>
    <w:rsid w:val="00072595"/>
    <w:pPr>
      <w:tabs>
        <w:tab w:val="center" w:pos="4680"/>
        <w:tab w:val="right" w:pos="9360"/>
      </w:tabs>
    </w:pPr>
  </w:style>
  <w:style w:type="character" w:customStyle="1" w:styleId="FooterChar">
    <w:name w:val="Footer Char"/>
    <w:basedOn w:val="DefaultParagraphFont"/>
    <w:link w:val="Footer"/>
    <w:uiPriority w:val="99"/>
    <w:rsid w:val="00072595"/>
    <w:rPr>
      <w:rFonts w:ascii="Times New Roman" w:eastAsia="Times New Roman" w:hAnsi="Times New Roman" w:cs="Times New Roman"/>
      <w:sz w:val="24"/>
      <w:szCs w:val="24"/>
      <w:lang w:val="en-GB" w:eastAsia="en-GB"/>
    </w:rPr>
  </w:style>
  <w:style w:type="paragraph" w:styleId="BalloonText">
    <w:name w:val="Balloon Text"/>
    <w:basedOn w:val="Normal"/>
    <w:link w:val="BalloonTextChar"/>
    <w:uiPriority w:val="99"/>
    <w:semiHidden/>
    <w:unhideWhenUsed/>
    <w:rsid w:val="00287270"/>
    <w:rPr>
      <w:rFonts w:ascii="Tahoma" w:hAnsi="Tahoma" w:cs="Tahoma"/>
      <w:sz w:val="16"/>
      <w:szCs w:val="16"/>
    </w:rPr>
  </w:style>
  <w:style w:type="character" w:customStyle="1" w:styleId="BalloonTextChar">
    <w:name w:val="Balloon Text Char"/>
    <w:basedOn w:val="DefaultParagraphFont"/>
    <w:link w:val="BalloonText"/>
    <w:uiPriority w:val="99"/>
    <w:semiHidden/>
    <w:rsid w:val="00287270"/>
    <w:rPr>
      <w:rFonts w:ascii="Tahoma" w:eastAsia="Times New Roman" w:hAnsi="Tahoma" w:cs="Tahoma"/>
      <w:sz w:val="16"/>
      <w:szCs w:val="16"/>
      <w:lang w:val="en-GB" w:eastAsia="en-GB"/>
    </w:rPr>
  </w:style>
  <w:style w:type="character" w:styleId="Hyperlink">
    <w:name w:val="Hyperlink"/>
    <w:basedOn w:val="DefaultParagraphFont"/>
    <w:uiPriority w:val="99"/>
    <w:unhideWhenUsed/>
    <w:rsid w:val="007D233A"/>
    <w:rPr>
      <w:color w:val="0563C1" w:themeColor="hyperlink"/>
      <w:u w:val="single"/>
    </w:rPr>
  </w:style>
  <w:style w:type="paragraph" w:styleId="Revision">
    <w:name w:val="Revision"/>
    <w:hidden/>
    <w:uiPriority w:val="99"/>
    <w:semiHidden/>
    <w:rsid w:val="00530A71"/>
    <w:pPr>
      <w:spacing w:after="0" w:line="240" w:lineRule="auto"/>
    </w:pPr>
    <w:rPr>
      <w:rFonts w:ascii="Times New Roman" w:eastAsia="Times New Roman" w:hAnsi="Times New Roman" w:cs="Times New Roman"/>
      <w:sz w:val="24"/>
      <w:szCs w:val="24"/>
      <w:lang w:val="en-GB" w:eastAsia="en-GB"/>
    </w:rPr>
  </w:style>
  <w:style w:type="table" w:customStyle="1" w:styleId="TableGrid1">
    <w:name w:val="Table Grid1"/>
    <w:basedOn w:val="TableNormal"/>
    <w:uiPriority w:val="59"/>
    <w:rsid w:val="002974A5"/>
    <w:pPr>
      <w:spacing w:after="0" w:line="240" w:lineRule="auto"/>
      <w:jc w:val="both"/>
    </w:pPr>
    <w:rPr>
      <w:lang w:val="en-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39"/>
    <w:rsid w:val="002974A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iasrpublication.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5477E-FEBF-40ED-A3E5-3E658C264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4987</TotalTime>
  <Pages>11</Pages>
  <Words>7896</Words>
  <Characters>45008</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HABIBI</cp:lastModifiedBy>
  <cp:revision>51</cp:revision>
  <dcterms:created xsi:type="dcterms:W3CDTF">2022-10-08T22:05:00Z</dcterms:created>
  <dcterms:modified xsi:type="dcterms:W3CDTF">2022-11-05T05:33:00Z</dcterms:modified>
</cp:coreProperties>
</file>