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41A11" w14:textId="6CA79794" w:rsidR="00413A2F" w:rsidRPr="001074FF" w:rsidRDefault="00413A2F" w:rsidP="00413A2F">
      <w:pPr>
        <w:pStyle w:val="Footer"/>
        <w:tabs>
          <w:tab w:val="clear" w:pos="4320"/>
          <w:tab w:val="clear" w:pos="8640"/>
        </w:tabs>
        <w:spacing w:line="480" w:lineRule="auto"/>
        <w:jc w:val="center"/>
        <w:rPr>
          <w:b/>
          <w:sz w:val="32"/>
          <w:szCs w:val="32"/>
        </w:rPr>
      </w:pPr>
      <w:r w:rsidRPr="001074FF">
        <w:rPr>
          <w:b/>
          <w:sz w:val="32"/>
          <w:szCs w:val="32"/>
        </w:rPr>
        <w:t>Chung-Kennedy filter and edge detection for kinetic analysis</w:t>
      </w:r>
    </w:p>
    <w:p w14:paraId="26FE811B" w14:textId="0CABA6A1" w:rsidR="001074FF" w:rsidRDefault="001074FF" w:rsidP="00413A2F">
      <w:pPr>
        <w:pStyle w:val="Footer"/>
        <w:tabs>
          <w:tab w:val="clear" w:pos="4320"/>
          <w:tab w:val="clear" w:pos="8640"/>
        </w:tabs>
        <w:spacing w:line="480" w:lineRule="auto"/>
        <w:jc w:val="center"/>
        <w:rPr>
          <w:b/>
        </w:rPr>
      </w:pPr>
    </w:p>
    <w:p w14:paraId="30241C58" w14:textId="595FCEBA" w:rsidR="001074FF" w:rsidRDefault="001074FF" w:rsidP="001074FF">
      <w:pPr>
        <w:pStyle w:val="Footer"/>
        <w:tabs>
          <w:tab w:val="clear" w:pos="4320"/>
          <w:tab w:val="clear" w:pos="8640"/>
        </w:tabs>
        <w:spacing w:line="480" w:lineRule="auto"/>
        <w:rPr>
          <w:bCs/>
        </w:rPr>
      </w:pPr>
      <w:r w:rsidRPr="001074FF">
        <w:rPr>
          <w:bCs/>
        </w:rPr>
        <w:t>T</w:t>
      </w:r>
      <w:r>
        <w:rPr>
          <w:bCs/>
        </w:rPr>
        <w:t>his manual is written by Pengning Xu</w:t>
      </w:r>
      <w:r w:rsidR="00954EAF">
        <w:rPr>
          <w:bCs/>
        </w:rPr>
        <w:t>. Last modified Sept 10, 2022.</w:t>
      </w:r>
    </w:p>
    <w:p w14:paraId="50E41754" w14:textId="77777777" w:rsidR="00954EAF" w:rsidRPr="001074FF" w:rsidRDefault="00954EAF" w:rsidP="001074FF">
      <w:pPr>
        <w:pStyle w:val="Footer"/>
        <w:tabs>
          <w:tab w:val="clear" w:pos="4320"/>
          <w:tab w:val="clear" w:pos="8640"/>
        </w:tabs>
        <w:spacing w:line="480" w:lineRule="auto"/>
        <w:rPr>
          <w:bCs/>
        </w:rPr>
      </w:pPr>
    </w:p>
    <w:p w14:paraId="1CA45E5F" w14:textId="77777777" w:rsidR="001074FF" w:rsidRPr="003132D0" w:rsidRDefault="001074FF" w:rsidP="001074FF">
      <w:pPr>
        <w:pStyle w:val="Footer"/>
        <w:tabs>
          <w:tab w:val="clear" w:pos="4320"/>
          <w:tab w:val="clear" w:pos="8640"/>
        </w:tabs>
        <w:spacing w:line="480" w:lineRule="auto"/>
        <w:rPr>
          <w:b/>
        </w:rPr>
      </w:pPr>
    </w:p>
    <w:p w14:paraId="43A951FF" w14:textId="4E267742" w:rsidR="00413A2F" w:rsidRPr="00921A05" w:rsidRDefault="00A66838" w:rsidP="00413A2F">
      <w:pPr>
        <w:pStyle w:val="Subtitle"/>
      </w:pPr>
      <w:r>
        <w:t>1</w:t>
      </w:r>
      <w:r w:rsidR="00413A2F">
        <w:t xml:space="preserve">.1 Introduction to </w:t>
      </w:r>
      <w:r w:rsidR="00413A2F" w:rsidRPr="00E75B12">
        <w:t>Chung-Kennedy filter and edge detection</w:t>
      </w:r>
    </w:p>
    <w:p w14:paraId="51BB8A96" w14:textId="13D96B8C" w:rsidR="00413A2F" w:rsidRDefault="00413A2F" w:rsidP="00413A2F">
      <w:pPr>
        <w:pStyle w:val="Body1"/>
      </w:pPr>
      <w:r>
        <w:t xml:space="preserve">The Chung-Kennedy filter, later referred as the CK filter, was invented for reducing background noise in signal processing </w:t>
      </w:r>
      <w:r>
        <w:fldChar w:fldCharType="begin"/>
      </w:r>
      <w:r>
        <w:instrText xml:space="preserve"> ADDIN EN.CITE &lt;EndNote&gt;&lt;Cite&gt;&lt;Author&gt;Chung&lt;/Author&gt;&lt;Year&gt;1991&lt;/Year&gt;&lt;RecNum&gt;214&lt;/RecNum&gt;&lt;DisplayText&gt;(Chung &amp;amp; Kennedy, 1991)&lt;/DisplayText&gt;&lt;record&gt;&lt;rec-number&gt;214&lt;/rec-number&gt;&lt;foreign-keys&gt;&lt;key app="EN" db-id="fwx2wvwsaxdsa9es2zoxz2fywx50wsa5eesv" timestamp="1609399031"&gt;214&lt;/key&gt;&lt;key app="ENWeb" db-id=""&gt;0&lt;/key&gt;&lt;/foreign-keys&gt;&lt;ref-type name="Journal Article"&gt;17&lt;/ref-type&gt;&lt;contributors&gt;&lt;authors&gt;&lt;author&gt;Chung, S. H.&lt;/author&gt;&lt;author&gt;Kennedy, R. A.&lt;/author&gt;&lt;/authors&gt;&lt;/contributors&gt;&lt;titles&gt;&lt;title&gt;Forward-backward nonlinear filtering technique for extracting small biological signals from noise&lt;/title&gt;&lt;secondary-title&gt;J Neurosci Methods&lt;/secondary-title&gt;&lt;/titles&gt;&lt;periodical&gt;&lt;full-title&gt;J Neurosci Methods&lt;/full-title&gt;&lt;/periodical&gt;&lt;dates&gt;&lt;year&gt;1991&lt;/year&gt;&lt;/dates&gt;&lt;urls&gt;&lt;/urls&gt;&lt;/record&gt;&lt;/Cite&gt;&lt;/EndNote&gt;</w:instrText>
      </w:r>
      <w:r>
        <w:fldChar w:fldCharType="separate"/>
      </w:r>
      <w:r>
        <w:rPr>
          <w:noProof/>
        </w:rPr>
        <w:t>(Chung &amp; Kennedy, 1991)</w:t>
      </w:r>
      <w:r>
        <w:fldChar w:fldCharType="end"/>
      </w:r>
      <w:r>
        <w:t xml:space="preserve"> and later introduced into single molecule FRET trajectory smoothing by Gilad Haran </w:t>
      </w:r>
      <w:r>
        <w:fldChar w:fldCharType="begin"/>
      </w:r>
      <w:r>
        <w:instrText xml:space="preserve"> ADDIN EN.CITE &lt;EndNote&gt;&lt;Cite&gt;&lt;Author&gt;Haran&lt;/Author&gt;&lt;Year&gt;2004&lt;/Year&gt;&lt;RecNum&gt;222&lt;/RecNum&gt;&lt;DisplayText&gt;(Haran, 2004)&lt;/DisplayText&gt;&lt;record&gt;&lt;rec-number&gt;222&lt;/rec-number&gt;&lt;foreign-keys&gt;&lt;key app="EN" db-id="tzexx0wz45awtye2aaexe5xpv02x55dfprze" timestamp="1610267260"&gt;222&lt;/key&gt;&lt;key app="ENWeb" db-id=""&gt;0&lt;/key&gt;&lt;/foreign-keys&gt;&lt;ref-type name="Journal Article"&gt;17&lt;/ref-type&gt;&lt;contributors&gt;&lt;authors&gt;&lt;author&gt;Haran, Gilad&lt;/author&gt;&lt;/authors&gt;&lt;/contributors&gt;&lt;titles&gt;&lt;title&gt;Noise reduction in single-molecule fluorescence trajectories of folding proteins&lt;/title&gt;&lt;secondary-title&gt;Chemical Physics&lt;/secondary-title&gt;&lt;/titles&gt;&lt;periodical&gt;&lt;full-title&gt;Chemical Physics&lt;/full-title&gt;&lt;/periodical&gt;&lt;pages&gt;137-145&lt;/pages&gt;&lt;volume&gt;307&lt;/volume&gt;&lt;number&gt;2-3&lt;/number&gt;&lt;section&gt;137&lt;/section&gt;&lt;dates&gt;&lt;year&gt;2004&lt;/year&gt;&lt;/dates&gt;&lt;isbn&gt;03010104&lt;/isbn&gt;&lt;label&gt;Introduce Chung-Kennedy filter to smFRET&lt;/label&gt;&lt;urls&gt;&lt;/urls&gt;&lt;electronic-resource-num&gt;10.1016/j.chemphys.2004.05.017&lt;/electronic-resource-num&gt;&lt;/record&gt;&lt;/Cite&gt;&lt;/EndNote&gt;</w:instrText>
      </w:r>
      <w:r>
        <w:fldChar w:fldCharType="separate"/>
      </w:r>
      <w:r>
        <w:rPr>
          <w:noProof/>
        </w:rPr>
        <w:t>(Haran, 2004)</w:t>
      </w:r>
      <w:r>
        <w:fldChar w:fldCharType="end"/>
      </w:r>
      <w:r>
        <w:t xml:space="preserve">. </w:t>
      </w:r>
      <w:r w:rsidRPr="00C44A78">
        <w:t>To briefly describe the theory of CK filter, intensity at</w:t>
      </w:r>
      <w:r>
        <w:t xml:space="preserve"> </w:t>
      </w:r>
      <w:r w:rsidRPr="00C44A78">
        <w:t xml:space="preserve">data point </w:t>
      </w:r>
      <m:oMath>
        <m:r>
          <w:rPr>
            <w:rFonts w:ascii="Cambria Math" w:hAnsi="Cambria Math" w:cs="Arial"/>
            <w:sz w:val="28"/>
            <w:szCs w:val="28"/>
          </w:rPr>
          <m:t>i</m:t>
        </m:r>
      </m:oMath>
      <w:r w:rsidRPr="00C44A78">
        <w:t xml:space="preserve">, </w:t>
      </w:r>
      <m:oMath>
        <m:r>
          <w:rPr>
            <w:rFonts w:ascii="Cambria Math" w:hAnsi="Cambria Math" w:cs="Arial"/>
            <w:sz w:val="28"/>
            <w:szCs w:val="28"/>
          </w:rPr>
          <m:t>I</m:t>
        </m:r>
        <m:d>
          <m:dPr>
            <m:ctrlPr>
              <w:rPr>
                <w:rFonts w:ascii="Cambria Math" w:eastAsiaTheme="minorEastAsia" w:hAnsi="Cambria Math" w:cs="Arial"/>
                <w:i/>
                <w:sz w:val="28"/>
                <w:szCs w:val="28"/>
                <w:lang w:eastAsia="zh-CN"/>
              </w:rPr>
            </m:ctrlPr>
          </m:dPr>
          <m:e>
            <m:r>
              <w:rPr>
                <w:rFonts w:ascii="Cambria Math" w:hAnsi="Cambria Math" w:cs="Arial"/>
                <w:sz w:val="28"/>
                <w:szCs w:val="28"/>
              </w:rPr>
              <m:t>i</m:t>
            </m:r>
          </m:e>
        </m:d>
      </m:oMath>
      <w:r w:rsidRPr="00C44A78">
        <w:t>, can be represented by a weighted combination of average intensities before</w:t>
      </w:r>
      <w:r>
        <w:t xml:space="preserve"> </w:t>
      </w:r>
      <w:r w:rsidRPr="00C44A78">
        <w:t>and after the original data point,</w:t>
      </w:r>
    </w:p>
    <w:p w14:paraId="22C08C5D" w14:textId="77777777" w:rsidR="00413A2F" w:rsidRPr="0037183F" w:rsidRDefault="00000000" w:rsidP="00413A2F">
      <w:pPr>
        <w:autoSpaceDE w:val="0"/>
        <w:autoSpaceDN w:val="0"/>
        <w:adjustRightInd w:val="0"/>
        <w:rPr>
          <w:rFonts w:ascii="Arial" w:eastAsiaTheme="minorEastAsia" w:hAnsi="Arial" w:cs="Arial"/>
        </w:rPr>
      </w:pPr>
      <m:oMathPara>
        <m:oMathParaPr>
          <m:jc m:val="right"/>
        </m:oMathParaPr>
        <m:oMath>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N</m:t>
              </m:r>
            </m:sub>
            <m:sup>
              <m:r>
                <w:rPr>
                  <w:rFonts w:ascii="Cambria Math" w:hAnsi="Cambria Math" w:cs="Arial"/>
                </w:rPr>
                <m:t>f</m:t>
              </m:r>
            </m:sup>
          </m:sSubSup>
          <m:r>
            <w:rPr>
              <w:rFonts w:ascii="Cambria Math" w:hAnsi="Cambria Math" w:cs="Arial"/>
            </w:rPr>
            <m:t>=</m:t>
          </m:r>
          <m:f>
            <m:fPr>
              <m:ctrlPr>
                <w:rPr>
                  <w:rFonts w:ascii="Cambria Math" w:eastAsiaTheme="minorEastAsia" w:hAnsi="Cambria Math" w:cs="Arial"/>
                  <w:i/>
                  <w:lang w:eastAsia="zh-CN"/>
                </w:rPr>
              </m:ctrlPr>
            </m:fPr>
            <m:num>
              <m:r>
                <w:rPr>
                  <w:rFonts w:ascii="Cambria Math" w:hAnsi="Cambria Math" w:cs="Arial"/>
                </w:rPr>
                <m:t>1</m:t>
              </m:r>
            </m:num>
            <m:den>
              <m:r>
                <w:rPr>
                  <w:rFonts w:ascii="Cambria Math" w:hAnsi="Cambria Math" w:cs="Arial"/>
                </w:rPr>
                <m:t>N</m:t>
              </m:r>
            </m:den>
          </m:f>
          <m:nary>
            <m:naryPr>
              <m:chr m:val="∑"/>
              <m:limLoc m:val="undOvr"/>
              <m:grow m:val="1"/>
              <m:ctrlPr>
                <w:rPr>
                  <w:rFonts w:ascii="Cambria Math" w:eastAsiaTheme="minorEastAsia" w:hAnsi="Cambria Math" w:cs="Arial"/>
                  <w:i/>
                  <w:lang w:eastAsia="zh-CN"/>
                </w:rPr>
              </m:ctrlPr>
            </m:naryPr>
            <m:sub>
              <m:r>
                <w:rPr>
                  <w:rFonts w:ascii="Cambria Math" w:hAnsi="Cambria Math" w:cs="Arial"/>
                </w:rPr>
                <m:t>j=i-N</m:t>
              </m:r>
            </m:sub>
            <m:sup>
              <m:r>
                <w:rPr>
                  <w:rFonts w:ascii="Cambria Math" w:hAnsi="Cambria Math" w:cs="Arial"/>
                </w:rPr>
                <m:t>i-1</m:t>
              </m:r>
            </m:sup>
            <m:e>
              <m:r>
                <w:rPr>
                  <w:rFonts w:ascii="Cambria Math" w:hAnsi="Cambria Math" w:cs="Arial"/>
                </w:rPr>
                <m:t>I</m:t>
              </m:r>
              <m:d>
                <m:dPr>
                  <m:ctrlPr>
                    <w:rPr>
                      <w:rFonts w:ascii="Cambria Math" w:eastAsiaTheme="minorEastAsia" w:hAnsi="Cambria Math" w:cs="Arial"/>
                      <w:i/>
                      <w:lang w:eastAsia="zh-CN"/>
                    </w:rPr>
                  </m:ctrlPr>
                </m:dPr>
                <m:e>
                  <m:r>
                    <w:rPr>
                      <w:rFonts w:ascii="Cambria Math" w:hAnsi="Cambria Math" w:cs="Arial"/>
                    </w:rPr>
                    <m:t>j</m:t>
                  </m:r>
                </m:e>
              </m:d>
            </m:e>
          </m:nary>
          <m:r>
            <w:rPr>
              <w:rFonts w:ascii="Cambria Math" w:eastAsiaTheme="minorEastAsia" w:hAnsi="Cambria Math" w:cs="Arial"/>
              <w:lang w:eastAsia="zh-CN"/>
            </w:rPr>
            <m:t xml:space="preserve">                                                        (4.1)</m:t>
          </m:r>
        </m:oMath>
      </m:oMathPara>
    </w:p>
    <w:p w14:paraId="4FD58687" w14:textId="77777777" w:rsidR="00413A2F" w:rsidRPr="0037183F" w:rsidRDefault="00413A2F" w:rsidP="00413A2F">
      <w:pPr>
        <w:autoSpaceDE w:val="0"/>
        <w:autoSpaceDN w:val="0"/>
        <w:adjustRightInd w:val="0"/>
        <w:rPr>
          <w:rFonts w:ascii="Arial" w:eastAsiaTheme="minorEastAsia" w:hAnsi="Arial" w:cs="Arial"/>
        </w:rPr>
      </w:pPr>
    </w:p>
    <w:p w14:paraId="4D96D277" w14:textId="77777777" w:rsidR="00413A2F" w:rsidRPr="0037183F" w:rsidRDefault="00000000" w:rsidP="00413A2F">
      <w:pPr>
        <w:autoSpaceDE w:val="0"/>
        <w:autoSpaceDN w:val="0"/>
        <w:adjustRightInd w:val="0"/>
        <w:rPr>
          <w:rFonts w:ascii="Arial" w:hAnsi="Arial" w:cs="Arial"/>
        </w:rPr>
      </w:pPr>
      <m:oMathPara>
        <m:oMathParaPr>
          <m:jc m:val="right"/>
        </m:oMathParaPr>
        <m:oMath>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N</m:t>
              </m:r>
            </m:sub>
            <m:sup>
              <m:r>
                <w:rPr>
                  <w:rFonts w:ascii="Cambria Math" w:hAnsi="Cambria Math" w:cs="Arial"/>
                </w:rPr>
                <m:t>b</m:t>
              </m:r>
            </m:sup>
          </m:sSubSup>
          <m:r>
            <w:rPr>
              <w:rFonts w:ascii="Cambria Math" w:hAnsi="Cambria Math" w:cs="Arial"/>
            </w:rPr>
            <m:t>=</m:t>
          </m:r>
          <m:f>
            <m:fPr>
              <m:ctrlPr>
                <w:rPr>
                  <w:rFonts w:ascii="Cambria Math" w:eastAsiaTheme="minorEastAsia" w:hAnsi="Cambria Math" w:cs="Arial"/>
                  <w:i/>
                  <w:lang w:eastAsia="zh-CN"/>
                </w:rPr>
              </m:ctrlPr>
            </m:fPr>
            <m:num>
              <m:r>
                <w:rPr>
                  <w:rFonts w:ascii="Cambria Math" w:hAnsi="Cambria Math" w:cs="Arial"/>
                </w:rPr>
                <m:t>1</m:t>
              </m:r>
            </m:num>
            <m:den>
              <m:r>
                <w:rPr>
                  <w:rFonts w:ascii="Cambria Math" w:hAnsi="Cambria Math" w:cs="Arial"/>
                </w:rPr>
                <m:t>N</m:t>
              </m:r>
            </m:den>
          </m:f>
          <m:nary>
            <m:naryPr>
              <m:chr m:val="∑"/>
              <m:limLoc m:val="undOvr"/>
              <m:grow m:val="1"/>
              <m:ctrlPr>
                <w:rPr>
                  <w:rFonts w:ascii="Cambria Math" w:eastAsiaTheme="minorEastAsia" w:hAnsi="Cambria Math" w:cs="Arial"/>
                  <w:i/>
                  <w:lang w:eastAsia="zh-CN"/>
                </w:rPr>
              </m:ctrlPr>
            </m:naryPr>
            <m:sub>
              <m:r>
                <w:rPr>
                  <w:rFonts w:ascii="Cambria Math" w:hAnsi="Cambria Math" w:cs="Arial"/>
                </w:rPr>
                <m:t>j=i+N</m:t>
              </m:r>
            </m:sub>
            <m:sup>
              <m:r>
                <w:rPr>
                  <w:rFonts w:ascii="Cambria Math" w:hAnsi="Cambria Math" w:cs="Arial"/>
                </w:rPr>
                <m:t>i+1</m:t>
              </m:r>
            </m:sup>
            <m:e>
              <m:r>
                <w:rPr>
                  <w:rFonts w:ascii="Cambria Math" w:hAnsi="Cambria Math" w:cs="Arial"/>
                </w:rPr>
                <m:t>I</m:t>
              </m:r>
              <m:d>
                <m:dPr>
                  <m:ctrlPr>
                    <w:rPr>
                      <w:rFonts w:ascii="Cambria Math" w:eastAsiaTheme="minorEastAsia" w:hAnsi="Cambria Math" w:cs="Arial"/>
                      <w:i/>
                      <w:lang w:eastAsia="zh-CN"/>
                    </w:rPr>
                  </m:ctrlPr>
                </m:dPr>
                <m:e>
                  <m:r>
                    <w:rPr>
                      <w:rFonts w:ascii="Cambria Math" w:hAnsi="Cambria Math" w:cs="Arial"/>
                    </w:rPr>
                    <m:t>j</m:t>
                  </m:r>
                </m:e>
              </m:d>
              <m:r>
                <w:rPr>
                  <w:rFonts w:ascii="Cambria Math" w:eastAsiaTheme="minorEastAsia" w:hAnsi="Cambria Math" w:cs="Arial"/>
                  <w:lang w:eastAsia="zh-CN"/>
                </w:rPr>
                <m:t xml:space="preserve">                                                        (4.2)</m:t>
              </m:r>
            </m:e>
          </m:nary>
        </m:oMath>
      </m:oMathPara>
    </w:p>
    <w:p w14:paraId="2E150EE0" w14:textId="77777777" w:rsidR="00413A2F" w:rsidRPr="0037183F" w:rsidRDefault="00413A2F" w:rsidP="00413A2F">
      <w:pPr>
        <w:autoSpaceDE w:val="0"/>
        <w:autoSpaceDN w:val="0"/>
        <w:adjustRightInd w:val="0"/>
        <w:rPr>
          <w:rFonts w:ascii="Arial" w:hAnsi="Arial" w:cs="Arial"/>
        </w:rPr>
      </w:pPr>
    </w:p>
    <w:p w14:paraId="78E87393" w14:textId="77777777" w:rsidR="00413A2F" w:rsidRPr="00C44A78" w:rsidRDefault="00000000" w:rsidP="00413A2F">
      <w:pPr>
        <w:autoSpaceDE w:val="0"/>
        <w:autoSpaceDN w:val="0"/>
        <w:adjustRightInd w:val="0"/>
        <w:rPr>
          <w:rFonts w:ascii="Arial" w:hAnsi="Arial" w:cs="Arial"/>
          <w:sz w:val="28"/>
          <w:szCs w:val="28"/>
        </w:rPr>
      </w:pPr>
      <m:oMathPara>
        <m:oMathParaPr>
          <m:jc m:val="right"/>
        </m:oMathParaPr>
        <m:oMath>
          <m:acc>
            <m:accPr>
              <m:ctrlPr>
                <w:rPr>
                  <w:rFonts w:ascii="Cambria Math" w:eastAsiaTheme="minorEastAsia" w:hAnsi="Cambria Math" w:cs="Arial"/>
                  <w:i/>
                  <w:lang w:eastAsia="zh-CN"/>
                </w:rPr>
              </m:ctrlPr>
            </m:accPr>
            <m:e>
              <m:r>
                <w:rPr>
                  <w:rFonts w:ascii="Cambria Math" w:hAnsi="Cambria Math" w:cs="Arial"/>
                </w:rPr>
                <m:t>I</m:t>
              </m:r>
            </m:e>
          </m:acc>
          <m:d>
            <m:dPr>
              <m:ctrlPr>
                <w:rPr>
                  <w:rFonts w:ascii="Cambria Math" w:eastAsiaTheme="minorEastAsia" w:hAnsi="Cambria Math" w:cs="Arial"/>
                  <w:i/>
                  <w:lang w:eastAsia="zh-CN"/>
                </w:rPr>
              </m:ctrlPr>
            </m:dPr>
            <m:e>
              <m:r>
                <w:rPr>
                  <w:rFonts w:ascii="Cambria Math" w:hAnsi="Cambria Math" w:cs="Arial"/>
                </w:rPr>
                <m:t>ⅈ</m:t>
              </m:r>
            </m:e>
          </m:d>
          <m:r>
            <w:rPr>
              <w:rFonts w:ascii="Cambria Math" w:hAnsi="Cambria Math" w:cs="Arial"/>
            </w:rPr>
            <m:t>=</m:t>
          </m:r>
          <m:sSub>
            <m:sSubPr>
              <m:ctrlPr>
                <w:rPr>
                  <w:rFonts w:ascii="Cambria Math" w:eastAsiaTheme="minorEastAsia" w:hAnsi="Cambria Math" w:cs="Arial"/>
                  <w:i/>
                  <w:lang w:eastAsia="zh-CN"/>
                </w:rPr>
              </m:ctrlPr>
            </m:sSubPr>
            <m:e>
              <m:r>
                <w:rPr>
                  <w:rFonts w:ascii="Cambria Math" w:hAnsi="Cambria Math" w:cs="Arial"/>
                </w:rPr>
                <m:t>f</m:t>
              </m:r>
            </m:e>
            <m:sub>
              <m:r>
                <w:rPr>
                  <w:rFonts w:ascii="Cambria Math" w:hAnsi="Cambria Math" w:cs="Arial"/>
                </w:rPr>
                <m:t>N</m:t>
              </m:r>
            </m:sub>
          </m:sSub>
          <m:d>
            <m:dPr>
              <m:ctrlPr>
                <w:rPr>
                  <w:rFonts w:ascii="Cambria Math" w:eastAsiaTheme="minorEastAsia" w:hAnsi="Cambria Math" w:cs="Arial"/>
                  <w:i/>
                  <w:lang w:eastAsia="zh-CN"/>
                </w:rPr>
              </m:ctrlPr>
            </m:dPr>
            <m:e>
              <m:r>
                <w:rPr>
                  <w:rFonts w:ascii="Cambria Math" w:hAnsi="Cambria Math" w:cs="Arial"/>
                </w:rPr>
                <m:t>ⅈ</m:t>
              </m:r>
            </m:e>
          </m:d>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N</m:t>
              </m:r>
            </m:sub>
            <m:sup>
              <m:r>
                <w:rPr>
                  <w:rFonts w:ascii="Cambria Math" w:hAnsi="Cambria Math" w:cs="Arial"/>
                </w:rPr>
                <m:t>f</m:t>
              </m:r>
            </m:sup>
          </m:sSubSup>
          <m:d>
            <m:dPr>
              <m:ctrlPr>
                <w:rPr>
                  <w:rFonts w:ascii="Cambria Math" w:eastAsiaTheme="minorEastAsia" w:hAnsi="Cambria Math" w:cs="Arial"/>
                  <w:i/>
                  <w:lang w:eastAsia="zh-CN"/>
                </w:rPr>
              </m:ctrlPr>
            </m:dPr>
            <m:e>
              <m:r>
                <w:rPr>
                  <w:rFonts w:ascii="Cambria Math" w:hAnsi="Cambria Math" w:cs="Arial"/>
                </w:rPr>
                <m:t>ⅈ</m:t>
              </m:r>
            </m:e>
          </m:d>
          <m:r>
            <w:rPr>
              <w:rFonts w:ascii="Cambria Math" w:hAnsi="Cambria Math" w:cs="Arial"/>
            </w:rPr>
            <m:t>+</m:t>
          </m:r>
          <m:sSub>
            <m:sSubPr>
              <m:ctrlPr>
                <w:rPr>
                  <w:rFonts w:ascii="Cambria Math" w:eastAsiaTheme="minorEastAsia" w:hAnsi="Cambria Math" w:cs="Arial"/>
                  <w:i/>
                  <w:lang w:eastAsia="zh-CN"/>
                </w:rPr>
              </m:ctrlPr>
            </m:sSubPr>
            <m:e>
              <m:r>
                <w:rPr>
                  <w:rFonts w:ascii="Cambria Math" w:hAnsi="Cambria Math" w:cs="Arial"/>
                </w:rPr>
                <m:t>b</m:t>
              </m:r>
            </m:e>
            <m:sub>
              <m:r>
                <w:rPr>
                  <w:rFonts w:ascii="Cambria Math" w:hAnsi="Cambria Math" w:cs="Arial"/>
                </w:rPr>
                <m:t>N</m:t>
              </m:r>
            </m:sub>
          </m:sSub>
          <m:d>
            <m:dPr>
              <m:ctrlPr>
                <w:rPr>
                  <w:rFonts w:ascii="Cambria Math" w:eastAsiaTheme="minorEastAsia" w:hAnsi="Cambria Math" w:cs="Arial"/>
                  <w:i/>
                  <w:lang w:eastAsia="zh-CN"/>
                </w:rPr>
              </m:ctrlPr>
            </m:dPr>
            <m:e>
              <m:r>
                <w:rPr>
                  <w:rFonts w:ascii="Cambria Math" w:hAnsi="Cambria Math" w:cs="Arial"/>
                </w:rPr>
                <m:t>ⅈ</m:t>
              </m:r>
            </m:e>
          </m:d>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N</m:t>
              </m:r>
            </m:sub>
            <m:sup>
              <m:r>
                <w:rPr>
                  <w:rFonts w:ascii="Cambria Math" w:hAnsi="Cambria Math" w:cs="Arial"/>
                </w:rPr>
                <m:t>b</m:t>
              </m:r>
            </m:sup>
          </m:sSubSup>
          <m:d>
            <m:dPr>
              <m:ctrlPr>
                <w:rPr>
                  <w:rFonts w:ascii="Cambria Math" w:eastAsiaTheme="minorEastAsia" w:hAnsi="Cambria Math" w:cs="Arial"/>
                  <w:i/>
                  <w:lang w:eastAsia="zh-CN"/>
                </w:rPr>
              </m:ctrlPr>
            </m:dPr>
            <m:e>
              <m:r>
                <w:rPr>
                  <w:rFonts w:ascii="Cambria Math" w:hAnsi="Cambria Math" w:cs="Arial"/>
                </w:rPr>
                <m:t>ⅈ</m:t>
              </m:r>
            </m:e>
          </m:d>
          <m:r>
            <w:rPr>
              <w:rFonts w:ascii="Cambria Math" w:eastAsiaTheme="minorEastAsia" w:hAnsi="Cambria Math" w:cs="Arial"/>
              <w:lang w:eastAsia="zh-CN"/>
            </w:rPr>
            <m:t xml:space="preserve">                                         (4.3)</m:t>
          </m:r>
        </m:oMath>
      </m:oMathPara>
    </w:p>
    <w:p w14:paraId="08A6C431" w14:textId="77777777" w:rsidR="00413A2F" w:rsidRDefault="00413A2F" w:rsidP="00413A2F">
      <w:pPr>
        <w:pStyle w:val="Body1"/>
        <w:ind w:firstLine="0"/>
      </w:pPr>
      <w:r w:rsidRPr="00C44A78">
        <w:t xml:space="preserve">where </w:t>
      </w:r>
      <m:oMath>
        <m:r>
          <w:rPr>
            <w:rFonts w:ascii="Cambria Math" w:hAnsi="Cambria Math" w:cs="Arial"/>
            <w:sz w:val="28"/>
            <w:szCs w:val="28"/>
          </w:rPr>
          <m:t>N</m:t>
        </m:r>
      </m:oMath>
      <w:r w:rsidRPr="00C44A78">
        <w:t>, named Mean Window in our program, is a parameter which determines the size of</w:t>
      </w:r>
      <w:r>
        <w:t xml:space="preserve"> </w:t>
      </w:r>
      <w:r w:rsidRPr="00C44A78">
        <w:t xml:space="preserve">window for averaging. </w:t>
      </w:r>
      <w:r>
        <w:t>The</w:t>
      </w:r>
      <w:r w:rsidRPr="00C44A78">
        <w:t xml:space="preserve"> forward weight and backward weight are</w:t>
      </w:r>
      <w:r>
        <w:t xml:space="preserve"> </w:t>
      </w:r>
      <w:r w:rsidRPr="00C44A78">
        <w:t>given by the donor and acceptor intensities</w:t>
      </w:r>
    </w:p>
    <w:p w14:paraId="00C153F6" w14:textId="77777777" w:rsidR="00413A2F" w:rsidRPr="00C44A78" w:rsidRDefault="00000000" w:rsidP="00413A2F">
      <w:pPr>
        <w:autoSpaceDE w:val="0"/>
        <w:autoSpaceDN w:val="0"/>
        <w:adjustRightInd w:val="0"/>
        <w:rPr>
          <w:rFonts w:ascii="Arial" w:hAnsi="Arial" w:cs="Arial"/>
          <w:sz w:val="28"/>
          <w:szCs w:val="28"/>
        </w:rPr>
      </w:pPr>
      <m:oMathPara>
        <m:oMathParaPr>
          <m:jc m:val="right"/>
        </m:oMathParaPr>
        <m:oMath>
          <m:sSub>
            <m:sSubPr>
              <m:ctrlPr>
                <w:rPr>
                  <w:rFonts w:ascii="Cambria Math" w:eastAsiaTheme="minorEastAsia" w:hAnsi="Cambria Math" w:cs="Arial"/>
                  <w:i/>
                  <w:lang w:eastAsia="zh-CN"/>
                </w:rPr>
              </m:ctrlPr>
            </m:sSubPr>
            <m:e>
              <m:r>
                <w:rPr>
                  <w:rFonts w:ascii="Cambria Math" w:hAnsi="Cambria Math" w:cs="Arial"/>
                </w:rPr>
                <m:t>f</m:t>
              </m:r>
            </m:e>
            <m:sub>
              <m:r>
                <w:rPr>
                  <w:rFonts w:ascii="Cambria Math" w:hAnsi="Cambria Math" w:cs="Arial"/>
                </w:rPr>
                <m:t>k</m:t>
              </m:r>
            </m:sub>
          </m:sSub>
          <m:d>
            <m:dPr>
              <m:ctrlPr>
                <w:rPr>
                  <w:rFonts w:ascii="Cambria Math" w:eastAsiaTheme="minorEastAsia" w:hAnsi="Cambria Math" w:cs="Arial"/>
                  <w:i/>
                  <w:lang w:eastAsia="zh-CN"/>
                </w:rPr>
              </m:ctrlPr>
            </m:dPr>
            <m:e>
              <m:r>
                <w:rPr>
                  <w:rFonts w:ascii="Cambria Math" w:hAnsi="Cambria Math" w:cs="Arial"/>
                </w:rPr>
                <m:t>ⅈ</m:t>
              </m:r>
            </m:e>
          </m:d>
          <m:r>
            <w:rPr>
              <w:rFonts w:ascii="Cambria Math" w:hAnsi="Cambria Math" w:cs="Arial"/>
            </w:rPr>
            <m:t>=C</m:t>
          </m:r>
          <m:sSup>
            <m:sSupPr>
              <m:ctrlPr>
                <w:rPr>
                  <w:rFonts w:ascii="Cambria Math" w:eastAsiaTheme="minorEastAsia" w:hAnsi="Cambria Math" w:cs="Arial"/>
                  <w:i/>
                  <w:lang w:eastAsia="zh-CN"/>
                </w:rPr>
              </m:ctrlPr>
            </m:sSupPr>
            <m:e>
              <m:d>
                <m:dPr>
                  <m:begChr m:val="{"/>
                  <m:endChr m:val="}"/>
                  <m:ctrlPr>
                    <w:rPr>
                      <w:rFonts w:ascii="Cambria Math" w:eastAsiaTheme="minorEastAsia" w:hAnsi="Cambria Math" w:cs="Arial"/>
                      <w:i/>
                      <w:lang w:eastAsia="zh-CN"/>
                    </w:rPr>
                  </m:ctrlPr>
                </m:dPr>
                <m:e>
                  <m:nary>
                    <m:naryPr>
                      <m:chr m:val="∑"/>
                      <m:limLoc m:val="undOvr"/>
                      <m:grow m:val="1"/>
                      <m:ctrlPr>
                        <w:rPr>
                          <w:rFonts w:ascii="Cambria Math" w:eastAsiaTheme="minorEastAsia" w:hAnsi="Cambria Math" w:cs="Arial"/>
                          <w:i/>
                          <w:lang w:eastAsia="zh-CN"/>
                        </w:rPr>
                      </m:ctrlPr>
                    </m:naryPr>
                    <m:sub>
                      <m:r>
                        <w:rPr>
                          <w:rFonts w:ascii="Cambria Math" w:hAnsi="Cambria Math" w:cs="Arial"/>
                        </w:rPr>
                        <m:t>j=0</m:t>
                      </m:r>
                    </m:sub>
                    <m:sup>
                      <m:r>
                        <w:rPr>
                          <w:rFonts w:ascii="Cambria Math" w:hAnsi="Cambria Math" w:cs="Arial"/>
                        </w:rPr>
                        <m:t>M-1</m:t>
                      </m:r>
                    </m:sup>
                    <m:e>
                      <m:d>
                        <m:dPr>
                          <m:begChr m:val="["/>
                          <m:endChr m:val="]"/>
                          <m:ctrlPr>
                            <w:rPr>
                              <w:rFonts w:ascii="Cambria Math" w:eastAsiaTheme="minorEastAsia" w:hAnsi="Cambria Math" w:cs="Arial"/>
                              <w:i/>
                              <w:lang w:eastAsia="zh-CN"/>
                            </w:rPr>
                          </m:ctrlPr>
                        </m:dPr>
                        <m:e>
                          <m:sSup>
                            <m:sSupPr>
                              <m:ctrlPr>
                                <w:rPr>
                                  <w:rFonts w:ascii="Cambria Math" w:eastAsiaTheme="minorEastAsia" w:hAnsi="Cambria Math" w:cs="Arial"/>
                                  <w:i/>
                                  <w:lang w:eastAsia="zh-CN"/>
                                </w:rPr>
                              </m:ctrlPr>
                            </m:sSupPr>
                            <m:e>
                              <m:d>
                                <m:dPr>
                                  <m:ctrlPr>
                                    <w:rPr>
                                      <w:rFonts w:ascii="Cambria Math" w:eastAsiaTheme="minorEastAsia" w:hAnsi="Cambria Math" w:cs="Arial"/>
                                      <w:i/>
                                      <w:lang w:eastAsia="zh-CN"/>
                                    </w:rPr>
                                  </m:ctrlPr>
                                </m:dPr>
                                <m:e>
                                  <m:sSub>
                                    <m:sSubPr>
                                      <m:ctrlPr>
                                        <w:rPr>
                                          <w:rFonts w:ascii="Cambria Math" w:eastAsiaTheme="minorEastAsia" w:hAnsi="Cambria Math" w:cs="Arial"/>
                                          <w:i/>
                                          <w:lang w:eastAsia="zh-CN"/>
                                        </w:rPr>
                                      </m:ctrlPr>
                                    </m:sSubPr>
                                    <m:e>
                                      <m:r>
                                        <w:rPr>
                                          <w:rFonts w:ascii="Cambria Math" w:hAnsi="Cambria Math" w:cs="Arial"/>
                                        </w:rPr>
                                        <m:t>I</m:t>
                                      </m:r>
                                    </m:e>
                                    <m:sub>
                                      <m:r>
                                        <w:rPr>
                                          <w:rFonts w:ascii="Cambria Math" w:hAnsi="Cambria Math" w:cs="Arial"/>
                                        </w:rPr>
                                        <m:t>d</m:t>
                                      </m:r>
                                    </m:sub>
                                  </m:sSub>
                                  <m:d>
                                    <m:dPr>
                                      <m:ctrlPr>
                                        <w:rPr>
                                          <w:rFonts w:ascii="Cambria Math" w:eastAsiaTheme="minorEastAsia" w:hAnsi="Cambria Math" w:cs="Arial"/>
                                          <w:i/>
                                          <w:lang w:eastAsia="zh-CN"/>
                                        </w:rPr>
                                      </m:ctrlPr>
                                    </m:dPr>
                                    <m:e>
                                      <m:r>
                                        <w:rPr>
                                          <w:rFonts w:ascii="Cambria Math" w:hAnsi="Cambria Math" w:cs="Arial"/>
                                        </w:rPr>
                                        <m:t>i-j</m:t>
                                      </m:r>
                                    </m:e>
                                  </m:d>
                                  <m:r>
                                    <w:rPr>
                                      <w:rFonts w:ascii="Cambria Math" w:hAnsi="Cambria Math" w:cs="Arial"/>
                                    </w:rPr>
                                    <m:t>-</m:t>
                                  </m:r>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d,N</m:t>
                                      </m:r>
                                    </m:sub>
                                    <m:sup>
                                      <m:r>
                                        <w:rPr>
                                          <w:rFonts w:ascii="Cambria Math" w:hAnsi="Cambria Math" w:cs="Arial"/>
                                        </w:rPr>
                                        <m:t>f</m:t>
                                      </m:r>
                                    </m:sup>
                                  </m:sSubSup>
                                  <m:d>
                                    <m:dPr>
                                      <m:ctrlPr>
                                        <w:rPr>
                                          <w:rFonts w:ascii="Cambria Math" w:eastAsiaTheme="minorEastAsia" w:hAnsi="Cambria Math" w:cs="Arial"/>
                                          <w:i/>
                                          <w:lang w:eastAsia="zh-CN"/>
                                        </w:rPr>
                                      </m:ctrlPr>
                                    </m:dPr>
                                    <m:e>
                                      <m:r>
                                        <w:rPr>
                                          <w:rFonts w:ascii="Cambria Math" w:hAnsi="Cambria Math" w:cs="Arial"/>
                                        </w:rPr>
                                        <m:t>ⅈ-j</m:t>
                                      </m:r>
                                    </m:e>
                                  </m:d>
                                </m:e>
                              </m:d>
                            </m:e>
                            <m:sup>
                              <m:r>
                                <w:rPr>
                                  <w:rFonts w:ascii="Cambria Math" w:hAnsi="Cambria Math" w:cs="Arial"/>
                                </w:rPr>
                                <m:t>2</m:t>
                              </m:r>
                            </m:sup>
                          </m:sSup>
                          <m:r>
                            <w:rPr>
                              <w:rFonts w:ascii="Cambria Math" w:hAnsi="Cambria Math" w:cs="Arial"/>
                            </w:rPr>
                            <m:t>+</m:t>
                          </m:r>
                          <m:sSup>
                            <m:sSupPr>
                              <m:ctrlPr>
                                <w:rPr>
                                  <w:rFonts w:ascii="Cambria Math" w:eastAsiaTheme="minorEastAsia" w:hAnsi="Cambria Math" w:cs="Arial"/>
                                  <w:i/>
                                  <w:lang w:eastAsia="zh-CN"/>
                                </w:rPr>
                              </m:ctrlPr>
                            </m:sSupPr>
                            <m:e>
                              <m:d>
                                <m:dPr>
                                  <m:ctrlPr>
                                    <w:rPr>
                                      <w:rFonts w:ascii="Cambria Math" w:eastAsiaTheme="minorEastAsia" w:hAnsi="Cambria Math" w:cs="Arial"/>
                                      <w:i/>
                                      <w:lang w:eastAsia="zh-CN"/>
                                    </w:rPr>
                                  </m:ctrlPr>
                                </m:dPr>
                                <m:e>
                                  <m:sSub>
                                    <m:sSubPr>
                                      <m:ctrlPr>
                                        <w:rPr>
                                          <w:rFonts w:ascii="Cambria Math" w:eastAsiaTheme="minorEastAsia" w:hAnsi="Cambria Math" w:cs="Arial"/>
                                          <w:i/>
                                          <w:lang w:eastAsia="zh-CN"/>
                                        </w:rPr>
                                      </m:ctrlPr>
                                    </m:sSubPr>
                                    <m:e>
                                      <m:r>
                                        <w:rPr>
                                          <w:rFonts w:ascii="Cambria Math" w:hAnsi="Cambria Math" w:cs="Arial"/>
                                        </w:rPr>
                                        <m:t>I</m:t>
                                      </m:r>
                                    </m:e>
                                    <m:sub>
                                      <m:r>
                                        <w:rPr>
                                          <w:rFonts w:ascii="Cambria Math" w:hAnsi="Cambria Math" w:cs="Arial"/>
                                        </w:rPr>
                                        <m:t>a</m:t>
                                      </m:r>
                                    </m:sub>
                                  </m:sSub>
                                  <m:d>
                                    <m:dPr>
                                      <m:ctrlPr>
                                        <w:rPr>
                                          <w:rFonts w:ascii="Cambria Math" w:eastAsiaTheme="minorEastAsia" w:hAnsi="Cambria Math" w:cs="Arial"/>
                                          <w:i/>
                                          <w:lang w:eastAsia="zh-CN"/>
                                        </w:rPr>
                                      </m:ctrlPr>
                                    </m:dPr>
                                    <m:e>
                                      <m:r>
                                        <w:rPr>
                                          <w:rFonts w:ascii="Cambria Math" w:hAnsi="Cambria Math" w:cs="Arial"/>
                                        </w:rPr>
                                        <m:t>ⅈ-j</m:t>
                                      </m:r>
                                    </m:e>
                                  </m:d>
                                  <m:r>
                                    <w:rPr>
                                      <w:rFonts w:ascii="Cambria Math" w:hAnsi="Cambria Math" w:cs="Arial"/>
                                    </w:rPr>
                                    <m:t>-</m:t>
                                  </m:r>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a,N</m:t>
                                      </m:r>
                                    </m:sub>
                                    <m:sup>
                                      <m:r>
                                        <w:rPr>
                                          <w:rFonts w:ascii="Cambria Math" w:hAnsi="Cambria Math" w:cs="Arial"/>
                                        </w:rPr>
                                        <m:t>f</m:t>
                                      </m:r>
                                    </m:sup>
                                  </m:sSubSup>
                                  <m:d>
                                    <m:dPr>
                                      <m:ctrlPr>
                                        <w:rPr>
                                          <w:rFonts w:ascii="Cambria Math" w:eastAsiaTheme="minorEastAsia" w:hAnsi="Cambria Math" w:cs="Arial"/>
                                          <w:i/>
                                          <w:lang w:eastAsia="zh-CN"/>
                                        </w:rPr>
                                      </m:ctrlPr>
                                    </m:dPr>
                                    <m:e>
                                      <m:r>
                                        <w:rPr>
                                          <w:rFonts w:ascii="Cambria Math" w:hAnsi="Cambria Math" w:cs="Arial"/>
                                        </w:rPr>
                                        <m:t>ⅈ-j</m:t>
                                      </m:r>
                                    </m:e>
                                  </m:d>
                                </m:e>
                              </m:d>
                            </m:e>
                            <m:sup>
                              <m:r>
                                <w:rPr>
                                  <w:rFonts w:ascii="Cambria Math" w:hAnsi="Cambria Math" w:cs="Arial"/>
                                </w:rPr>
                                <m:t>2</m:t>
                              </m:r>
                            </m:sup>
                          </m:sSup>
                        </m:e>
                      </m:d>
                    </m:e>
                  </m:nary>
                </m:e>
              </m:d>
            </m:e>
            <m:sup>
              <m:r>
                <w:rPr>
                  <w:rFonts w:ascii="Cambria Math" w:hAnsi="Cambria Math" w:cs="Arial"/>
                </w:rPr>
                <m:t>-p</m:t>
              </m:r>
            </m:sup>
          </m:sSup>
          <m:r>
            <w:rPr>
              <w:rFonts w:ascii="Cambria Math" w:eastAsiaTheme="minorEastAsia" w:hAnsi="Cambria Math" w:cs="Arial"/>
              <w:lang w:eastAsia="zh-CN"/>
            </w:rPr>
            <m:t xml:space="preserve">  (4.4)</m:t>
          </m:r>
        </m:oMath>
      </m:oMathPara>
    </w:p>
    <w:p w14:paraId="13BEB4C6" w14:textId="77777777" w:rsidR="00413A2F" w:rsidRPr="00C44A78" w:rsidRDefault="00413A2F" w:rsidP="00413A2F">
      <w:pPr>
        <w:autoSpaceDE w:val="0"/>
        <w:autoSpaceDN w:val="0"/>
        <w:adjustRightInd w:val="0"/>
        <w:rPr>
          <w:rFonts w:ascii="Arial" w:hAnsi="Arial" w:cs="Arial"/>
          <w:sz w:val="28"/>
          <w:szCs w:val="28"/>
        </w:rPr>
      </w:pPr>
    </w:p>
    <w:p w14:paraId="1629D072" w14:textId="77777777" w:rsidR="00413A2F" w:rsidRPr="00C44A78" w:rsidRDefault="00000000" w:rsidP="00413A2F">
      <w:pPr>
        <w:autoSpaceDE w:val="0"/>
        <w:autoSpaceDN w:val="0"/>
        <w:adjustRightInd w:val="0"/>
        <w:rPr>
          <w:rFonts w:ascii="Arial" w:hAnsi="Arial" w:cs="Arial"/>
          <w:sz w:val="28"/>
          <w:szCs w:val="28"/>
        </w:rPr>
      </w:pPr>
      <m:oMathPara>
        <m:oMathParaPr>
          <m:jc m:val="right"/>
        </m:oMathParaPr>
        <m:oMath>
          <m:sSub>
            <m:sSubPr>
              <m:ctrlPr>
                <w:rPr>
                  <w:rFonts w:ascii="Cambria Math" w:eastAsiaTheme="minorEastAsia" w:hAnsi="Cambria Math" w:cs="Arial"/>
                  <w:i/>
                  <w:lang w:eastAsia="zh-CN"/>
                </w:rPr>
              </m:ctrlPr>
            </m:sSubPr>
            <m:e>
              <m:r>
                <w:rPr>
                  <w:rFonts w:ascii="Cambria Math" w:hAnsi="Cambria Math" w:cs="Arial"/>
                </w:rPr>
                <m:t>b</m:t>
              </m:r>
            </m:e>
            <m:sub>
              <m:r>
                <w:rPr>
                  <w:rFonts w:ascii="Cambria Math" w:hAnsi="Cambria Math" w:cs="Arial"/>
                </w:rPr>
                <m:t>k</m:t>
              </m:r>
            </m:sub>
          </m:sSub>
          <m:d>
            <m:dPr>
              <m:ctrlPr>
                <w:rPr>
                  <w:rFonts w:ascii="Cambria Math" w:eastAsiaTheme="minorEastAsia" w:hAnsi="Cambria Math" w:cs="Arial"/>
                  <w:i/>
                  <w:lang w:eastAsia="zh-CN"/>
                </w:rPr>
              </m:ctrlPr>
            </m:dPr>
            <m:e>
              <m:r>
                <w:rPr>
                  <w:rFonts w:ascii="Cambria Math" w:hAnsi="Cambria Math" w:cs="Arial"/>
                </w:rPr>
                <m:t>ⅈ</m:t>
              </m:r>
            </m:e>
          </m:d>
          <m:r>
            <w:rPr>
              <w:rFonts w:ascii="Cambria Math" w:hAnsi="Cambria Math" w:cs="Arial"/>
            </w:rPr>
            <m:t>=C</m:t>
          </m:r>
          <m:sSup>
            <m:sSupPr>
              <m:ctrlPr>
                <w:rPr>
                  <w:rFonts w:ascii="Cambria Math" w:eastAsiaTheme="minorEastAsia" w:hAnsi="Cambria Math" w:cs="Arial"/>
                  <w:i/>
                  <w:lang w:eastAsia="zh-CN"/>
                </w:rPr>
              </m:ctrlPr>
            </m:sSupPr>
            <m:e>
              <m:d>
                <m:dPr>
                  <m:begChr m:val="{"/>
                  <m:endChr m:val="}"/>
                  <m:ctrlPr>
                    <w:rPr>
                      <w:rFonts w:ascii="Cambria Math" w:eastAsiaTheme="minorEastAsia" w:hAnsi="Cambria Math" w:cs="Arial"/>
                      <w:i/>
                      <w:lang w:eastAsia="zh-CN"/>
                    </w:rPr>
                  </m:ctrlPr>
                </m:dPr>
                <m:e>
                  <m:nary>
                    <m:naryPr>
                      <m:chr m:val="∑"/>
                      <m:limLoc m:val="undOvr"/>
                      <m:grow m:val="1"/>
                      <m:ctrlPr>
                        <w:rPr>
                          <w:rFonts w:ascii="Cambria Math" w:eastAsiaTheme="minorEastAsia" w:hAnsi="Cambria Math" w:cs="Arial"/>
                          <w:i/>
                          <w:lang w:eastAsia="zh-CN"/>
                        </w:rPr>
                      </m:ctrlPr>
                    </m:naryPr>
                    <m:sub>
                      <m:r>
                        <w:rPr>
                          <w:rFonts w:ascii="Cambria Math" w:hAnsi="Cambria Math" w:cs="Arial"/>
                        </w:rPr>
                        <m:t>j=0</m:t>
                      </m:r>
                    </m:sub>
                    <m:sup>
                      <m:r>
                        <w:rPr>
                          <w:rFonts w:ascii="Cambria Math" w:hAnsi="Cambria Math" w:cs="Arial"/>
                        </w:rPr>
                        <m:t>M-1</m:t>
                      </m:r>
                    </m:sup>
                    <m:e>
                      <m:d>
                        <m:dPr>
                          <m:begChr m:val="["/>
                          <m:endChr m:val="]"/>
                          <m:ctrlPr>
                            <w:rPr>
                              <w:rFonts w:ascii="Cambria Math" w:eastAsiaTheme="minorEastAsia" w:hAnsi="Cambria Math" w:cs="Arial"/>
                              <w:i/>
                              <w:lang w:eastAsia="zh-CN"/>
                            </w:rPr>
                          </m:ctrlPr>
                        </m:dPr>
                        <m:e>
                          <m:sSup>
                            <m:sSupPr>
                              <m:ctrlPr>
                                <w:rPr>
                                  <w:rFonts w:ascii="Cambria Math" w:eastAsiaTheme="minorEastAsia" w:hAnsi="Cambria Math" w:cs="Arial"/>
                                  <w:i/>
                                  <w:lang w:eastAsia="zh-CN"/>
                                </w:rPr>
                              </m:ctrlPr>
                            </m:sSupPr>
                            <m:e>
                              <m:d>
                                <m:dPr>
                                  <m:ctrlPr>
                                    <w:rPr>
                                      <w:rFonts w:ascii="Cambria Math" w:eastAsiaTheme="minorEastAsia" w:hAnsi="Cambria Math" w:cs="Arial"/>
                                      <w:i/>
                                      <w:lang w:eastAsia="zh-CN"/>
                                    </w:rPr>
                                  </m:ctrlPr>
                                </m:dPr>
                                <m:e>
                                  <m:sSub>
                                    <m:sSubPr>
                                      <m:ctrlPr>
                                        <w:rPr>
                                          <w:rFonts w:ascii="Cambria Math" w:eastAsiaTheme="minorEastAsia" w:hAnsi="Cambria Math" w:cs="Arial"/>
                                          <w:i/>
                                          <w:lang w:eastAsia="zh-CN"/>
                                        </w:rPr>
                                      </m:ctrlPr>
                                    </m:sSubPr>
                                    <m:e>
                                      <m:r>
                                        <w:rPr>
                                          <w:rFonts w:ascii="Cambria Math" w:hAnsi="Cambria Math" w:cs="Arial"/>
                                        </w:rPr>
                                        <m:t>I</m:t>
                                      </m:r>
                                    </m:e>
                                    <m:sub>
                                      <m:r>
                                        <w:rPr>
                                          <w:rFonts w:ascii="Cambria Math" w:hAnsi="Cambria Math" w:cs="Arial"/>
                                        </w:rPr>
                                        <m:t>d</m:t>
                                      </m:r>
                                    </m:sub>
                                  </m:sSub>
                                  <m:d>
                                    <m:dPr>
                                      <m:ctrlPr>
                                        <w:rPr>
                                          <w:rFonts w:ascii="Cambria Math" w:eastAsiaTheme="minorEastAsia" w:hAnsi="Cambria Math" w:cs="Arial"/>
                                          <w:i/>
                                          <w:lang w:eastAsia="zh-CN"/>
                                        </w:rPr>
                                      </m:ctrlPr>
                                    </m:dPr>
                                    <m:e>
                                      <m:r>
                                        <w:rPr>
                                          <w:rFonts w:ascii="Cambria Math" w:hAnsi="Cambria Math" w:cs="Arial"/>
                                        </w:rPr>
                                        <m:t>i-j</m:t>
                                      </m:r>
                                    </m:e>
                                  </m:d>
                                  <m:r>
                                    <w:rPr>
                                      <w:rFonts w:ascii="Cambria Math" w:hAnsi="Cambria Math" w:cs="Arial"/>
                                    </w:rPr>
                                    <m:t>-</m:t>
                                  </m:r>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d,N</m:t>
                                      </m:r>
                                    </m:sub>
                                    <m:sup>
                                      <m:r>
                                        <w:rPr>
                                          <w:rFonts w:ascii="Cambria Math" w:hAnsi="Cambria Math" w:cs="Arial"/>
                                        </w:rPr>
                                        <m:t>b</m:t>
                                      </m:r>
                                    </m:sup>
                                  </m:sSubSup>
                                  <m:d>
                                    <m:dPr>
                                      <m:ctrlPr>
                                        <w:rPr>
                                          <w:rFonts w:ascii="Cambria Math" w:eastAsiaTheme="minorEastAsia" w:hAnsi="Cambria Math" w:cs="Arial"/>
                                          <w:i/>
                                          <w:lang w:eastAsia="zh-CN"/>
                                        </w:rPr>
                                      </m:ctrlPr>
                                    </m:dPr>
                                    <m:e>
                                      <m:r>
                                        <w:rPr>
                                          <w:rFonts w:ascii="Cambria Math" w:hAnsi="Cambria Math" w:cs="Arial"/>
                                        </w:rPr>
                                        <m:t>ⅈ-j</m:t>
                                      </m:r>
                                    </m:e>
                                  </m:d>
                                </m:e>
                              </m:d>
                            </m:e>
                            <m:sup>
                              <m:r>
                                <w:rPr>
                                  <w:rFonts w:ascii="Cambria Math" w:hAnsi="Cambria Math" w:cs="Arial"/>
                                </w:rPr>
                                <m:t>2</m:t>
                              </m:r>
                            </m:sup>
                          </m:sSup>
                          <m:r>
                            <w:rPr>
                              <w:rFonts w:ascii="Cambria Math" w:hAnsi="Cambria Math" w:cs="Arial"/>
                            </w:rPr>
                            <m:t>+</m:t>
                          </m:r>
                          <m:sSup>
                            <m:sSupPr>
                              <m:ctrlPr>
                                <w:rPr>
                                  <w:rFonts w:ascii="Cambria Math" w:eastAsiaTheme="minorEastAsia" w:hAnsi="Cambria Math" w:cs="Arial"/>
                                  <w:i/>
                                  <w:lang w:eastAsia="zh-CN"/>
                                </w:rPr>
                              </m:ctrlPr>
                            </m:sSupPr>
                            <m:e>
                              <m:d>
                                <m:dPr>
                                  <m:ctrlPr>
                                    <w:rPr>
                                      <w:rFonts w:ascii="Cambria Math" w:eastAsiaTheme="minorEastAsia" w:hAnsi="Cambria Math" w:cs="Arial"/>
                                      <w:i/>
                                      <w:lang w:eastAsia="zh-CN"/>
                                    </w:rPr>
                                  </m:ctrlPr>
                                </m:dPr>
                                <m:e>
                                  <m:sSub>
                                    <m:sSubPr>
                                      <m:ctrlPr>
                                        <w:rPr>
                                          <w:rFonts w:ascii="Cambria Math" w:eastAsiaTheme="minorEastAsia" w:hAnsi="Cambria Math" w:cs="Arial"/>
                                          <w:i/>
                                          <w:lang w:eastAsia="zh-CN"/>
                                        </w:rPr>
                                      </m:ctrlPr>
                                    </m:sSubPr>
                                    <m:e>
                                      <m:r>
                                        <w:rPr>
                                          <w:rFonts w:ascii="Cambria Math" w:hAnsi="Cambria Math" w:cs="Arial"/>
                                        </w:rPr>
                                        <m:t>I</m:t>
                                      </m:r>
                                    </m:e>
                                    <m:sub>
                                      <m:r>
                                        <w:rPr>
                                          <w:rFonts w:ascii="Cambria Math" w:hAnsi="Cambria Math" w:cs="Arial"/>
                                        </w:rPr>
                                        <m:t>a</m:t>
                                      </m:r>
                                    </m:sub>
                                  </m:sSub>
                                  <m:d>
                                    <m:dPr>
                                      <m:ctrlPr>
                                        <w:rPr>
                                          <w:rFonts w:ascii="Cambria Math" w:eastAsiaTheme="minorEastAsia" w:hAnsi="Cambria Math" w:cs="Arial"/>
                                          <w:i/>
                                          <w:lang w:eastAsia="zh-CN"/>
                                        </w:rPr>
                                      </m:ctrlPr>
                                    </m:dPr>
                                    <m:e>
                                      <m:r>
                                        <w:rPr>
                                          <w:rFonts w:ascii="Cambria Math" w:hAnsi="Cambria Math" w:cs="Arial"/>
                                        </w:rPr>
                                        <m:t>ⅈ-j</m:t>
                                      </m:r>
                                    </m:e>
                                  </m:d>
                                  <m:r>
                                    <w:rPr>
                                      <w:rFonts w:ascii="Cambria Math" w:hAnsi="Cambria Math" w:cs="Arial"/>
                                    </w:rPr>
                                    <m:t>-</m:t>
                                  </m:r>
                                  <m:sSubSup>
                                    <m:sSubSupPr>
                                      <m:ctrlPr>
                                        <w:rPr>
                                          <w:rFonts w:ascii="Cambria Math" w:eastAsiaTheme="minorEastAsia" w:hAnsi="Cambria Math" w:cs="Arial"/>
                                          <w:i/>
                                          <w:lang w:eastAsia="zh-CN"/>
                                        </w:rPr>
                                      </m:ctrlPr>
                                    </m:sSubSupPr>
                                    <m:e>
                                      <m:acc>
                                        <m:accPr>
                                          <m:ctrlPr>
                                            <w:rPr>
                                              <w:rFonts w:ascii="Cambria Math" w:eastAsiaTheme="minorEastAsia" w:hAnsi="Cambria Math" w:cs="Arial"/>
                                              <w:i/>
                                              <w:lang w:eastAsia="zh-CN"/>
                                            </w:rPr>
                                          </m:ctrlPr>
                                        </m:accPr>
                                        <m:e>
                                          <m:r>
                                            <w:rPr>
                                              <w:rFonts w:ascii="Cambria Math" w:hAnsi="Cambria Math" w:cs="Arial"/>
                                            </w:rPr>
                                            <m:t>I</m:t>
                                          </m:r>
                                        </m:e>
                                      </m:acc>
                                    </m:e>
                                    <m:sub>
                                      <m:r>
                                        <w:rPr>
                                          <w:rFonts w:ascii="Cambria Math" w:hAnsi="Cambria Math" w:cs="Arial"/>
                                        </w:rPr>
                                        <m:t>a,N</m:t>
                                      </m:r>
                                    </m:sub>
                                    <m:sup>
                                      <m:r>
                                        <w:rPr>
                                          <w:rFonts w:ascii="Cambria Math" w:hAnsi="Cambria Math" w:cs="Arial"/>
                                        </w:rPr>
                                        <m:t>b</m:t>
                                      </m:r>
                                    </m:sup>
                                  </m:sSubSup>
                                  <m:d>
                                    <m:dPr>
                                      <m:ctrlPr>
                                        <w:rPr>
                                          <w:rFonts w:ascii="Cambria Math" w:eastAsiaTheme="minorEastAsia" w:hAnsi="Cambria Math" w:cs="Arial"/>
                                          <w:i/>
                                          <w:lang w:eastAsia="zh-CN"/>
                                        </w:rPr>
                                      </m:ctrlPr>
                                    </m:dPr>
                                    <m:e>
                                      <m:r>
                                        <w:rPr>
                                          <w:rFonts w:ascii="Cambria Math" w:hAnsi="Cambria Math" w:cs="Arial"/>
                                        </w:rPr>
                                        <m:t>ⅈ-j</m:t>
                                      </m:r>
                                    </m:e>
                                  </m:d>
                                </m:e>
                              </m:d>
                            </m:e>
                            <m:sup>
                              <m:r>
                                <w:rPr>
                                  <w:rFonts w:ascii="Cambria Math" w:hAnsi="Cambria Math" w:cs="Arial"/>
                                </w:rPr>
                                <m:t>2</m:t>
                              </m:r>
                            </m:sup>
                          </m:sSup>
                        </m:e>
                      </m:d>
                    </m:e>
                  </m:nary>
                </m:e>
              </m:d>
            </m:e>
            <m:sup>
              <m:r>
                <w:rPr>
                  <w:rFonts w:ascii="Cambria Math" w:hAnsi="Cambria Math" w:cs="Arial"/>
                </w:rPr>
                <m:t>-p</m:t>
              </m:r>
            </m:sup>
          </m:sSup>
          <m:r>
            <w:rPr>
              <w:rFonts w:ascii="Cambria Math" w:eastAsiaTheme="minorEastAsia" w:hAnsi="Cambria Math" w:cs="Arial"/>
              <w:lang w:eastAsia="zh-CN"/>
            </w:rPr>
            <m:t xml:space="preserve">  (4.5)</m:t>
          </m:r>
        </m:oMath>
      </m:oMathPara>
    </w:p>
    <w:p w14:paraId="5D2E7373" w14:textId="77777777" w:rsidR="00413A2F" w:rsidRDefault="00413A2F" w:rsidP="00413A2F">
      <w:pPr>
        <w:autoSpaceDE w:val="0"/>
        <w:autoSpaceDN w:val="0"/>
        <w:adjustRightInd w:val="0"/>
        <w:rPr>
          <w:rFonts w:ascii="Arial" w:hAnsi="Arial" w:cs="Arial"/>
        </w:rPr>
      </w:pPr>
    </w:p>
    <w:p w14:paraId="5A0FF6A7" w14:textId="77777777" w:rsidR="00413A2F" w:rsidRDefault="00413A2F" w:rsidP="00413A2F">
      <w:pPr>
        <w:pStyle w:val="Body1"/>
        <w:ind w:firstLine="0"/>
      </w:pPr>
      <w:r w:rsidRPr="00C44A78">
        <w:t xml:space="preserve">where </w:t>
      </w:r>
      <m:oMath>
        <m:r>
          <w:rPr>
            <w:rFonts w:ascii="Cambria Math" w:hAnsi="Cambria Math" w:cs="Arial"/>
            <w:sz w:val="28"/>
            <w:szCs w:val="28"/>
          </w:rPr>
          <m:t>M</m:t>
        </m:r>
      </m:oMath>
      <w:r w:rsidRPr="00C44A78">
        <w:t>, named Predictor Window in our program, is a parameter which determines the size of</w:t>
      </w:r>
      <w:r>
        <w:t xml:space="preserve"> </w:t>
      </w:r>
      <w:r w:rsidRPr="00C44A78">
        <w:t xml:space="preserve">the window over which the predictors are to be compared. </w:t>
      </w:r>
      <m:oMath>
        <m:r>
          <w:rPr>
            <w:rFonts w:ascii="Cambria Math" w:hAnsi="Cambria Math" w:cs="Arial"/>
            <w:sz w:val="28"/>
            <w:szCs w:val="28"/>
          </w:rPr>
          <m:t>p</m:t>
        </m:r>
      </m:oMath>
      <w:r w:rsidRPr="00C44A78">
        <w:t>, named exponent in our program, is</w:t>
      </w:r>
      <w:r>
        <w:t xml:space="preserve"> </w:t>
      </w:r>
      <w:r w:rsidRPr="00C44A78">
        <w:t xml:space="preserve">a weighting factor that amplify nonzero weights; </w:t>
      </w:r>
      <m:oMath>
        <m:r>
          <w:rPr>
            <w:rFonts w:ascii="Cambria Math" w:hAnsi="Cambria Math" w:cs="Arial"/>
            <w:sz w:val="28"/>
            <w:szCs w:val="28"/>
          </w:rPr>
          <m:t>C</m:t>
        </m:r>
      </m:oMath>
      <w:r w:rsidRPr="00C44A78">
        <w:t xml:space="preserve"> is a normalization </w:t>
      </w:r>
      <w:r w:rsidRPr="00810E91">
        <w:t xml:space="preserve">factor that is calculated at each data point </w:t>
      </w:r>
      <w:r w:rsidRPr="00810E91">
        <w:rPr>
          <w:i/>
          <w:iCs/>
        </w:rPr>
        <w:t xml:space="preserve">i </w:t>
      </w:r>
      <w:r w:rsidRPr="00810E91">
        <w:t xml:space="preserve">such that </w:t>
      </w:r>
      <m:oMath>
        <m:sSub>
          <m:sSubPr>
            <m:ctrlPr>
              <w:rPr>
                <w:rFonts w:ascii="Cambria Math" w:eastAsiaTheme="minorEastAsia" w:hAnsi="Cambria Math" w:cs="Arial"/>
                <w:i/>
                <w:lang w:eastAsia="zh-CN"/>
              </w:rPr>
            </m:ctrlPr>
          </m:sSubPr>
          <m:e>
            <m:r>
              <w:rPr>
                <w:rFonts w:ascii="Cambria Math" w:hAnsi="Cambria Math" w:cs="Arial"/>
              </w:rPr>
              <m:t>f</m:t>
            </m:r>
          </m:e>
          <m:sub>
            <m:r>
              <w:rPr>
                <w:rFonts w:ascii="Cambria Math" w:hAnsi="Cambria Math" w:cs="Arial"/>
              </w:rPr>
              <m:t>k</m:t>
            </m:r>
          </m:sub>
        </m:sSub>
        <m:d>
          <m:dPr>
            <m:ctrlPr>
              <w:rPr>
                <w:rFonts w:ascii="Cambria Math" w:eastAsiaTheme="minorEastAsia" w:hAnsi="Cambria Math" w:cs="Arial"/>
                <w:i/>
                <w:lang w:eastAsia="zh-CN"/>
              </w:rPr>
            </m:ctrlPr>
          </m:dPr>
          <m:e>
            <m:r>
              <w:rPr>
                <w:rFonts w:ascii="Cambria Math" w:hAnsi="Cambria Math" w:cs="Arial"/>
              </w:rPr>
              <m:t>ⅈ</m:t>
            </m:r>
          </m:e>
        </m:d>
        <m:r>
          <w:rPr>
            <w:rFonts w:ascii="Cambria Math" w:eastAsiaTheme="minorEastAsia" w:hAnsi="Cambria Math" w:cs="Arial"/>
            <w:lang w:eastAsia="zh-CN"/>
          </w:rPr>
          <m:t>+</m:t>
        </m:r>
        <m:sSub>
          <m:sSubPr>
            <m:ctrlPr>
              <w:rPr>
                <w:rFonts w:ascii="Cambria Math" w:eastAsiaTheme="minorEastAsia" w:hAnsi="Cambria Math" w:cs="Arial"/>
                <w:i/>
                <w:lang w:eastAsia="zh-CN"/>
              </w:rPr>
            </m:ctrlPr>
          </m:sSubPr>
          <m:e>
            <m:r>
              <w:rPr>
                <w:rFonts w:ascii="Cambria Math" w:hAnsi="Cambria Math" w:cs="Arial"/>
              </w:rPr>
              <m:t>b</m:t>
            </m:r>
          </m:e>
          <m:sub>
            <m:r>
              <w:rPr>
                <w:rFonts w:ascii="Cambria Math" w:hAnsi="Cambria Math" w:cs="Arial"/>
              </w:rPr>
              <m:t>k</m:t>
            </m:r>
          </m:sub>
        </m:sSub>
        <m:d>
          <m:dPr>
            <m:ctrlPr>
              <w:rPr>
                <w:rFonts w:ascii="Cambria Math" w:eastAsiaTheme="minorEastAsia" w:hAnsi="Cambria Math" w:cs="Arial"/>
                <w:i/>
                <w:lang w:eastAsia="zh-CN"/>
              </w:rPr>
            </m:ctrlPr>
          </m:dPr>
          <m:e>
            <m:r>
              <w:rPr>
                <w:rFonts w:ascii="Cambria Math" w:hAnsi="Cambria Math" w:cs="Arial"/>
              </w:rPr>
              <m:t>ⅈ</m:t>
            </m:r>
          </m:e>
        </m:d>
        <m:r>
          <w:rPr>
            <w:rFonts w:ascii="Cambria Math" w:eastAsiaTheme="minorEastAsia" w:hAnsi="Cambria Math" w:cs="Arial"/>
            <w:lang w:eastAsia="zh-CN"/>
          </w:rPr>
          <m:t>=1</m:t>
        </m:r>
      </m:oMath>
      <w:r w:rsidRPr="00C44A78">
        <w:t>.</w:t>
      </w:r>
    </w:p>
    <w:p w14:paraId="31764E2B" w14:textId="383A99BD" w:rsidR="00413A2F" w:rsidRDefault="00413A2F" w:rsidP="00413A2F">
      <w:pPr>
        <w:pStyle w:val="Body1"/>
      </w:pPr>
      <w:r>
        <w:t xml:space="preserve">Similarly, a variant of the filter using a backward/forward window can be used to calculate the standard deviation of data points around a time point to determine whether that time point is a transition edge between distinct FRET states </w:t>
      </w:r>
      <w:r>
        <w:fldChar w:fldCharType="begin"/>
      </w:r>
      <w:r>
        <w:instrText xml:space="preserve"> ADDIN EN.CITE &lt;EndNote&gt;&lt;Cite&gt;&lt;Author&gt;Gauer&lt;/Author&gt;&lt;Year&gt;2016&lt;/Year&gt;&lt;RecNum&gt;51&lt;/RecNum&gt;&lt;DisplayText&gt;(Gauer et al., 2016)&lt;/DisplayText&gt;&lt;record&gt;&lt;rec-number&gt;51&lt;/rec-number&gt;&lt;foreign-keys&gt;&lt;key app="EN" db-id="tzexx0wz45awtye2aaexe5xpv02x55dfprze" timestamp="1554177843"&gt;51&lt;/key&gt;&lt;key app="ENWeb" db-id=""&gt;0&lt;/key&gt;&lt;/foreign-keys&gt;&lt;ref-type name="Journal Article"&gt;17&lt;/ref-type&gt;&lt;contributors&gt;&lt;authors&gt;&lt;author&gt;Gauer, J. W.&lt;/author&gt;&lt;author&gt;LeBlanc, S.&lt;/author&gt;&lt;author&gt;Hao, P.&lt;/author&gt;&lt;author&gt;Qiu, R.&lt;/author&gt;&lt;author&gt;Case, B. C.&lt;/author&gt;&lt;author&gt;Sakato, M.&lt;/author&gt;&lt;author&gt;Hingorani, M. M.&lt;/author&gt;&lt;author&gt;Erie, D. A.&lt;/author&gt;&lt;author&gt;Weninger, K. R.&lt;/author&gt;&lt;/authors&gt;&lt;/contributors&gt;&lt;auth-address&gt;University of North Carolina at Chapel Hill, Chapel Hill, NC, United States.&amp;#xD;North Carolina State University, Raleigh, NC, United States.&amp;#xD;Wesleyan University, Middletown, CT, United States.&amp;#xD;University of North Carolina at Chapel Hill, Chapel Hill, NC, United States. Electronic address: derie@email.unc.edu.&amp;#xD;North Carolina State University, Raleigh, NC, United States. Electronic address: krwening@ncsu.edu.&lt;/auth-address&gt;&lt;titles&gt;&lt;title&gt;Single-Molecule FRET to Measure Conformational Dynamics of DNA Mismatch Repair Proteins&lt;/title&gt;&lt;secondary-title&gt;Methods Enzymol&lt;/secondary-title&gt;&lt;/titles&gt;&lt;periodical&gt;&lt;full-title&gt;Methods Enzymol&lt;/full-title&gt;&lt;/periodical&gt;&lt;pages&gt;285-315&lt;/pages&gt;&lt;volume&gt;581&lt;/volume&gt;&lt;keywords&gt;&lt;keyword&gt;ATPase&lt;/keyword&gt;&lt;keyword&gt;DNA mismatch repair&lt;/keyword&gt;&lt;keyword&gt;Enzyme kinetics&lt;/keyword&gt;&lt;keyword&gt;Fret&lt;/keyword&gt;&lt;keyword&gt;Single-molecule fluorescence&lt;/keyword&gt;&lt;keyword&gt;TIRF microscopy&lt;/keyword&gt;&lt;keyword&gt;Transient kinetics&lt;/keyword&gt;&lt;keyword&gt;smFRET&lt;/keyword&gt;&lt;/keywords&gt;&lt;dates&gt;&lt;year&gt;2016&lt;/year&gt;&lt;/dates&gt;&lt;isbn&gt;1557-7988 (Electronic)&amp;#xD;0076-6879 (Linking)&lt;/isbn&gt;&lt;accession-num&gt;27793283&lt;/accession-num&gt;&lt;label&gt;Edge detection&lt;/label&gt;&lt;urls&gt;&lt;related-urls&gt;&lt;url&gt;https://www.ncbi.nlm.nih.gov/pubmed/27793283&lt;/url&gt;&lt;/related-urls&gt;&lt;/urls&gt;&lt;electronic-resource-num&gt;10.1016/bs.mie.2016.08.012&lt;/electronic-resource-num&gt;&lt;/record&gt;&lt;/Cite&gt;&lt;/EndNote&gt;</w:instrText>
      </w:r>
      <w:r>
        <w:fldChar w:fldCharType="separate"/>
      </w:r>
      <w:r>
        <w:rPr>
          <w:noProof/>
        </w:rPr>
        <w:t>(Gauer et al., 2016)</w:t>
      </w:r>
      <w:r>
        <w:fldChar w:fldCharType="end"/>
      </w:r>
      <w:r>
        <w:t>. Here we developed a full MATLAB package based on the CK filter and CK detection that first, provides a visual platform for users who want to perform kinetic or FRET analysis of their smFRET trajectories; second, allows users to batch analyze traces with the optimal parameters of their choices; third, promotes an alternative approach compared to more widely used Hidden Markov Model (HMM) for single molecule time trace analysis. This software package is available for free download from Keith Weninger</w:t>
      </w:r>
      <w:r w:rsidR="0064188E">
        <w:t xml:space="preserve"> Lab</w:t>
      </w:r>
      <w:r>
        <w:t xml:space="preserve"> website at NC State University. This software can run properly in </w:t>
      </w:r>
      <w:r w:rsidRPr="00AF048F">
        <w:t>MATLAB 2020</w:t>
      </w:r>
      <w:r w:rsidRPr="00DF142B">
        <w:t>b</w:t>
      </w:r>
      <w:r w:rsidRPr="00AF048F">
        <w:t xml:space="preserve">.  </w:t>
      </w:r>
    </w:p>
    <w:p w14:paraId="22A197DF" w14:textId="77777777" w:rsidR="00413A2F" w:rsidRDefault="00413A2F" w:rsidP="00413A2F">
      <w:pPr>
        <w:rPr>
          <w:b/>
        </w:rPr>
      </w:pPr>
    </w:p>
    <w:p w14:paraId="2C4C0E18" w14:textId="2074EF16" w:rsidR="00413A2F" w:rsidRDefault="00A66838" w:rsidP="00413A2F">
      <w:pPr>
        <w:pStyle w:val="Subtitle"/>
      </w:pPr>
      <w:r>
        <w:t>1</w:t>
      </w:r>
      <w:r w:rsidR="00413A2F">
        <w:t xml:space="preserve">.2 Guidelines to use Chung-Kennedy </w:t>
      </w:r>
      <w:r w:rsidR="00413A2F" w:rsidRPr="00E75B12">
        <w:t>filter and edge detection</w:t>
      </w:r>
      <w:r w:rsidR="00413A2F">
        <w:t xml:space="preserve"> MATLAB package</w:t>
      </w:r>
    </w:p>
    <w:p w14:paraId="7CC57E84" w14:textId="75B9C155" w:rsidR="00413A2F" w:rsidRPr="00BA6815" w:rsidRDefault="00A66838" w:rsidP="00413A2F">
      <w:pPr>
        <w:pStyle w:val="Subtitle"/>
      </w:pPr>
      <w:r>
        <w:t>1</w:t>
      </w:r>
      <w:r w:rsidR="00413A2F">
        <w:t>.2.1 General workflow</w:t>
      </w:r>
    </w:p>
    <w:p w14:paraId="3F9378F3" w14:textId="1D730368" w:rsidR="00413A2F" w:rsidRDefault="00413A2F" w:rsidP="00413A2F">
      <w:pPr>
        <w:pStyle w:val="Body1"/>
      </w:pPr>
      <w:r>
        <w:t xml:space="preserve">For visualization of FRET traces and transition analysis, use the MATLAB app called “FRETtraceviewer.mlapp”. The schematic workflow is shown in Fig </w:t>
      </w:r>
      <w:r w:rsidR="00954EAF">
        <w:t>1</w:t>
      </w:r>
      <w:r>
        <w:t>.1. For more details check section 1.2.3. Furthermore, some helpful points are listed below:</w:t>
      </w:r>
    </w:p>
    <w:p w14:paraId="1793EACE" w14:textId="77777777" w:rsidR="00413A2F" w:rsidRDefault="00413A2F" w:rsidP="00413A2F">
      <w:pPr>
        <w:pStyle w:val="Body1"/>
        <w:numPr>
          <w:ilvl w:val="0"/>
          <w:numId w:val="1"/>
        </w:numPr>
      </w:pPr>
      <w:r>
        <w:t>Trace files must follow specific file name rules and data arrangement rules. See section 1.2.2 for more details.</w:t>
      </w:r>
    </w:p>
    <w:p w14:paraId="20A3A33A" w14:textId="77777777" w:rsidR="00413A2F" w:rsidRDefault="00413A2F" w:rsidP="00413A2F">
      <w:pPr>
        <w:pStyle w:val="Body1"/>
        <w:numPr>
          <w:ilvl w:val="0"/>
          <w:numId w:val="1"/>
        </w:numPr>
      </w:pPr>
      <w:r>
        <w:lastRenderedPageBreak/>
        <w:t>Check the boxes in the bottom-right “Toolkit option” first before adjusting the parameters in the bottom-middle tab.</w:t>
      </w:r>
    </w:p>
    <w:p w14:paraId="40B99900" w14:textId="0135CF0B" w:rsidR="00413A2F" w:rsidRDefault="00413A2F" w:rsidP="00413A2F">
      <w:pPr>
        <w:pStyle w:val="Body1"/>
        <w:numPr>
          <w:ilvl w:val="0"/>
          <w:numId w:val="1"/>
        </w:numPr>
      </w:pPr>
      <w:r>
        <w:t xml:space="preserve">Using the “Refresh Figure” button or restarting the program may solve many error that may be </w:t>
      </w:r>
      <w:r w:rsidR="00954EAF">
        <w:t>encountered</w:t>
      </w:r>
      <w:r>
        <w:t>.</w:t>
      </w:r>
    </w:p>
    <w:p w14:paraId="2B2F5FEE" w14:textId="77777777" w:rsidR="00413A2F" w:rsidRDefault="00413A2F" w:rsidP="00413A2F">
      <w:pPr>
        <w:pStyle w:val="Body1"/>
        <w:ind w:firstLine="0"/>
        <w:jc w:val="center"/>
      </w:pPr>
      <w:r>
        <w:rPr>
          <w:noProof/>
        </w:rPr>
        <w:drawing>
          <wp:inline distT="0" distB="0" distL="0" distR="0" wp14:anchorId="09999101" wp14:editId="635C966C">
            <wp:extent cx="3026410" cy="3771900"/>
            <wp:effectExtent l="0" t="0" r="2540" b="0"/>
            <wp:docPr id="1" name="Picture 1"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ext&#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26410" cy="3771900"/>
                    </a:xfrm>
                    <a:prstGeom prst="rect">
                      <a:avLst/>
                    </a:prstGeom>
                    <a:noFill/>
                    <a:ln>
                      <a:noFill/>
                    </a:ln>
                  </pic:spPr>
                </pic:pic>
              </a:graphicData>
            </a:graphic>
          </wp:inline>
        </w:drawing>
      </w:r>
    </w:p>
    <w:p w14:paraId="537FF983" w14:textId="609358AE" w:rsidR="00413A2F" w:rsidRDefault="00413A2F" w:rsidP="00413A2F">
      <w:pPr>
        <w:pStyle w:val="Body1"/>
        <w:ind w:firstLine="0"/>
        <w:rPr>
          <w:sz w:val="23"/>
          <w:szCs w:val="23"/>
        </w:rPr>
      </w:pPr>
      <w:r w:rsidRPr="00CC24D4">
        <w:rPr>
          <w:b/>
          <w:bCs/>
          <w:sz w:val="23"/>
          <w:szCs w:val="23"/>
        </w:rPr>
        <w:t xml:space="preserve">Figure </w:t>
      </w:r>
      <w:r w:rsidR="00A66838">
        <w:rPr>
          <w:b/>
          <w:bCs/>
          <w:sz w:val="23"/>
          <w:szCs w:val="23"/>
        </w:rPr>
        <w:t>1</w:t>
      </w:r>
      <w:r w:rsidRPr="00CC24D4">
        <w:rPr>
          <w:b/>
          <w:bCs/>
          <w:sz w:val="23"/>
          <w:szCs w:val="23"/>
        </w:rPr>
        <w:t>.1</w:t>
      </w:r>
      <w:r>
        <w:rPr>
          <w:sz w:val="23"/>
          <w:szCs w:val="23"/>
        </w:rPr>
        <w:t xml:space="preserve"> Workflow of “FRETtraceviewer.mlapp”. To visualize the FRET trajectories, a user must input or import the file setting. Then user could choose the filter by checking correspondent boxes, adjust various parameters to achieve the optimal results and repeat the optimization cycle several times for multiple traces. The user will finally export all the parameter settings when finished.</w:t>
      </w:r>
    </w:p>
    <w:p w14:paraId="6F93FE70" w14:textId="77777777" w:rsidR="00413A2F" w:rsidRDefault="00413A2F" w:rsidP="00413A2F">
      <w:pPr>
        <w:pStyle w:val="Body1"/>
        <w:ind w:firstLine="0"/>
      </w:pPr>
    </w:p>
    <w:p w14:paraId="1B950574" w14:textId="77777777" w:rsidR="00413A2F" w:rsidRDefault="00413A2F" w:rsidP="00413A2F">
      <w:pPr>
        <w:pStyle w:val="Body1"/>
      </w:pPr>
      <w:r>
        <w:t>Use the MATLAB script called “main.m” to perform batch transition analysis of multiple traces and to generate a text file containing dwell position, duration, and average FRET. For more details check section 1.2.4. Furthermore, some helpful points include:</w:t>
      </w:r>
    </w:p>
    <w:p w14:paraId="3EFEE2DF" w14:textId="77777777" w:rsidR="00413A2F" w:rsidRDefault="00413A2F" w:rsidP="00413A2F">
      <w:pPr>
        <w:pStyle w:val="Body1"/>
        <w:numPr>
          <w:ilvl w:val="0"/>
          <w:numId w:val="1"/>
        </w:numPr>
      </w:pPr>
      <w:r>
        <w:lastRenderedPageBreak/>
        <w:t>Trace files must follow specific file name rules and data arrangement rules. See section 1.2.2 for more details.</w:t>
      </w:r>
    </w:p>
    <w:p w14:paraId="53525389" w14:textId="77777777" w:rsidR="00413A2F" w:rsidRDefault="00413A2F" w:rsidP="00413A2F">
      <w:pPr>
        <w:pStyle w:val="Body1"/>
        <w:numPr>
          <w:ilvl w:val="0"/>
          <w:numId w:val="1"/>
        </w:numPr>
      </w:pPr>
      <w:r>
        <w:t>The parameter setting file from the MATLAB app is required.</w:t>
      </w:r>
    </w:p>
    <w:p w14:paraId="185B9666" w14:textId="77777777" w:rsidR="00413A2F" w:rsidRDefault="00413A2F" w:rsidP="00413A2F">
      <w:pPr>
        <w:pStyle w:val="Body1"/>
        <w:numPr>
          <w:ilvl w:val="0"/>
          <w:numId w:val="1"/>
        </w:numPr>
      </w:pPr>
      <w:r>
        <w:t>Place ALL the MATLAB scripts in the same folder along with the parameter setting file and data files.</w:t>
      </w:r>
    </w:p>
    <w:p w14:paraId="0CA5828D" w14:textId="77777777" w:rsidR="00413A2F" w:rsidRPr="001C42B1" w:rsidRDefault="00413A2F" w:rsidP="00413A2F">
      <w:pPr>
        <w:pStyle w:val="Body1"/>
        <w:numPr>
          <w:ilvl w:val="0"/>
          <w:numId w:val="1"/>
        </w:numPr>
      </w:pPr>
      <w:r>
        <w:t>The two-sample t-test filter has not been added into the batch analysis at this time.</w:t>
      </w:r>
    </w:p>
    <w:p w14:paraId="448E173E" w14:textId="4D580D2E" w:rsidR="00413A2F" w:rsidRPr="00D90B88" w:rsidRDefault="00A66838" w:rsidP="00413A2F">
      <w:pPr>
        <w:pStyle w:val="Subtitle"/>
      </w:pPr>
      <w:r>
        <w:t>1</w:t>
      </w:r>
      <w:r w:rsidR="00413A2F">
        <w:t xml:space="preserve">.2.2 </w:t>
      </w:r>
      <w:r w:rsidR="00954EAF">
        <w:t>Before using CK edge detection package, generate</w:t>
      </w:r>
      <w:r w:rsidR="00413A2F">
        <w:t xml:space="preserve"> trace data in the appropriate format</w:t>
      </w:r>
    </w:p>
    <w:p w14:paraId="1A1E6BF5" w14:textId="50F952A2" w:rsidR="00413A2F" w:rsidRDefault="00413A2F" w:rsidP="00413A2F">
      <w:pPr>
        <w:pStyle w:val="Body1"/>
      </w:pPr>
      <w:r>
        <w:t xml:space="preserve">The first step in the analysis pipeline is to </w:t>
      </w:r>
      <w:r w:rsidR="00954EAF">
        <w:t>generate</w:t>
      </w:r>
      <w:r>
        <w:t xml:space="preserve"> your trace data in the appropriate format. In Keith Weninger lab we use “.traces” format files to view all the traces in a single video and Igor files to view individual trace. For external use, export individual trace data into a three-column txt file. The first column should be the time points axis. The second column should be donor emission intensity. The third column should be acceptor emission intensity. Make sure the three columns are the same size. File name of each trace follow rules of “prefix + number + suffix” or “prefix + number + infix + number + suffix”. For example, you can name your trace file as “trace15.txt” or “video1trace15.txt”.</w:t>
      </w:r>
    </w:p>
    <w:p w14:paraId="1C2065F4" w14:textId="6A159DBC" w:rsidR="00413A2F" w:rsidRDefault="00A66838" w:rsidP="00413A2F">
      <w:pPr>
        <w:pStyle w:val="Subtitle"/>
      </w:pPr>
      <w:r>
        <w:t>1</w:t>
      </w:r>
      <w:r w:rsidR="00413A2F">
        <w:t>.2.3 View traces and test kinetic analysis parameters with “FRETtraceviewer.mlapp”</w:t>
      </w:r>
    </w:p>
    <w:p w14:paraId="21F41437" w14:textId="162538CA" w:rsidR="00413A2F" w:rsidRPr="001E2758" w:rsidRDefault="00413A2F" w:rsidP="00413A2F">
      <w:pPr>
        <w:pStyle w:val="Body1"/>
        <w:rPr>
          <w:b/>
          <w:bCs/>
        </w:rPr>
      </w:pPr>
      <w:r>
        <w:t xml:space="preserve">The second step is to analyze traces with the MATLAB app program named “FRETtraceviewer.mlapp”. </w:t>
      </w:r>
      <w:r w:rsidR="0075112D">
        <w:t xml:space="preserve">You must add the path containing </w:t>
      </w:r>
      <w:r w:rsidR="0075112D">
        <w:t>FRETtraceviewer.mlapp</w:t>
      </w:r>
      <w:r w:rsidR="0075112D">
        <w:t xml:space="preserve"> with the MATLAB set path browser. </w:t>
      </w:r>
      <w:r>
        <w:t xml:space="preserve">If this is the first time you open your trace files, input the “FilenamePrefix”, “FilenameInfix”, “FilenameSuffix”, and “Timestep” manually in the bottom-left corner. </w:t>
      </w:r>
      <w:r w:rsidR="00954EAF">
        <w:t>For the example data provided with this distribution,</w:t>
      </w:r>
      <w:r w:rsidR="00954EAF" w:rsidRPr="00954EAF">
        <w:t xml:space="preserve"> </w:t>
      </w:r>
      <w:r w:rsidR="00954EAF">
        <w:t>“FilenamePrefix”</w:t>
      </w:r>
      <w:r w:rsidR="00954EAF">
        <w:t xml:space="preserve"> is Evo</w:t>
      </w:r>
      <w:r w:rsidR="00954EAF">
        <w:t>, “FilenameInfix”</w:t>
      </w:r>
      <w:r w:rsidR="00954EAF">
        <w:t xml:space="preserve"> is trace</w:t>
      </w:r>
      <w:r w:rsidR="00954EAF">
        <w:t>, “FilenameSuffix”</w:t>
      </w:r>
      <w:r w:rsidR="00954EAF">
        <w:t xml:space="preserve"> is .itx</w:t>
      </w:r>
      <w:r w:rsidR="00954EAF">
        <w:t xml:space="preserve">, and “Timestep” </w:t>
      </w:r>
      <w:r w:rsidR="00954EAF">
        <w:t xml:space="preserve">is 0.01. Otherwise, if you </w:t>
      </w:r>
      <w:r w:rsidR="00954EAF">
        <w:lastRenderedPageBreak/>
        <w:t>have already opend your trace files, you will have</w:t>
      </w:r>
      <w:r>
        <w:t xml:space="preserve"> a “Settings.mat” file </w:t>
      </w:r>
      <w:r w:rsidR="00954EAF">
        <w:t xml:space="preserve"> and you can</w:t>
      </w:r>
      <w:r>
        <w:t xml:space="preserve"> use the “Load Settings” button to import your settings. Next use the “Open File” button to view your trace data</w:t>
      </w:r>
      <w:r w:rsidR="00954EAF">
        <w:t>. Select your data in the windows that opens.</w:t>
      </w:r>
      <w:r>
        <w:t xml:space="preserve"> </w:t>
      </w:r>
      <w:r w:rsidR="0075112D">
        <w:t xml:space="preserve">The app main window will display donor and acceptor intensities (green and red) and FRET efficiency ratio (magenta) vs. time (in seconds). There are 2 copies of each, which will be used later. </w:t>
      </w:r>
      <w:r>
        <w:t>Use the “Next Trace” button and “Last Trace” button to view the different traces</w:t>
      </w:r>
      <w:r w:rsidR="00954EAF">
        <w:t xml:space="preserve"> in the same folder</w:t>
      </w:r>
      <w:r>
        <w:t xml:space="preserve"> (if you follow the file naming rules above). Use the “Save Settings” button to save all the settings. Saving settings in a file is important because it allows you to do the batch analysis with MATLAB scripts package as well as quickly reload the parameters you use into the MATLAB app. Use the “Quit” button to exit the program. </w:t>
      </w:r>
    </w:p>
    <w:p w14:paraId="2BB83BE7" w14:textId="48C9F28D" w:rsidR="00413A2F" w:rsidRPr="006B7415" w:rsidRDefault="00413A2F" w:rsidP="00413A2F">
      <w:pPr>
        <w:pStyle w:val="Body1"/>
        <w:rPr>
          <w:u w:val="single"/>
        </w:rPr>
      </w:pPr>
      <w:r w:rsidRPr="006B7415">
        <w:rPr>
          <w:u w:val="single"/>
        </w:rPr>
        <w:t xml:space="preserve">I. Toolkit Option </w:t>
      </w:r>
      <w:r w:rsidR="00D425E0" w:rsidRPr="006B7415">
        <w:rPr>
          <w:u w:val="single"/>
        </w:rPr>
        <w:t>Panel (lower right)</w:t>
      </w:r>
    </w:p>
    <w:p w14:paraId="55DED00D" w14:textId="2D004924" w:rsidR="00413A2F" w:rsidRDefault="00413A2F" w:rsidP="00413A2F">
      <w:pPr>
        <w:pStyle w:val="Body1"/>
      </w:pPr>
      <w:r>
        <w:t xml:space="preserve">In the bottom-right corner, there is a section called “Toolkit Option”. Check the boxes of the tool you want to apply.  When you click the “Refresh Figure” button, you will see the change in your FRET trace figures. Checking the “Bad data filter” will show accepted data points in the black-and-white color bar above the figure. Checking the “CK filter” box will show smoothed donor traces, acceptor traces, and FRET traces in the third and fourth figures. Checking the “CK edge” box will show the identified transition edges in all four figures. Checking the “CK edge analysis” will show the standard deviation of donor traces, acceptor traces, and FRET traces in the third and fourth figures. Checking the “t-test” box will change the color of edges rejected by two-sample t-test from black to red. Detailed explanation of each tool is listed below. Pushing “Cut Edge” button eliminates the edges in the bad data region or edges deemed bad by the two-sample t-test. </w:t>
      </w:r>
    </w:p>
    <w:p w14:paraId="656FBF29" w14:textId="77777777" w:rsidR="00D425E0" w:rsidRPr="006B7415" w:rsidRDefault="00413A2F" w:rsidP="00413A2F">
      <w:pPr>
        <w:pStyle w:val="Body1"/>
        <w:rPr>
          <w:u w:val="single"/>
        </w:rPr>
      </w:pPr>
      <w:r w:rsidRPr="006B7415">
        <w:rPr>
          <w:u w:val="single"/>
        </w:rPr>
        <w:t xml:space="preserve">II. </w:t>
      </w:r>
      <w:r w:rsidR="00D425E0" w:rsidRPr="006B7415">
        <w:rPr>
          <w:u w:val="single"/>
        </w:rPr>
        <w:t>Mulit-tab panel lower center</w:t>
      </w:r>
    </w:p>
    <w:p w14:paraId="5FE07955" w14:textId="7F8682B2" w:rsidR="00413A2F" w:rsidRDefault="00413A2F" w:rsidP="00D425E0">
      <w:pPr>
        <w:pStyle w:val="Body1"/>
        <w:numPr>
          <w:ilvl w:val="0"/>
          <w:numId w:val="2"/>
        </w:numPr>
      </w:pPr>
      <w:r>
        <w:lastRenderedPageBreak/>
        <w:t>Trace display</w:t>
      </w:r>
      <w:r w:rsidR="00D425E0">
        <w:t xml:space="preserve"> tab</w:t>
      </w:r>
    </w:p>
    <w:p w14:paraId="419BA053" w14:textId="29EDAB68" w:rsidR="00413A2F" w:rsidRDefault="00413A2F" w:rsidP="00413A2F">
      <w:pPr>
        <w:pStyle w:val="Body1"/>
      </w:pPr>
      <w:r>
        <w:t xml:space="preserve">The bottom-middle “Trace display” tab allows you to specify the start time and the end time of all FRET traces as well as the lower limit and upper limit of donor/acceptor intensity that is displayed in the figures. Check the boxes </w:t>
      </w:r>
      <w:r w:rsidR="0075112D">
        <w:t xml:space="preserve">and </w:t>
      </w:r>
      <w:r>
        <w:t xml:space="preserve">input the intended value. </w:t>
      </w:r>
      <w:r w:rsidR="0075112D">
        <w:t xml:space="preserve">Push the ‘Refresh Figure” button in the ‘Toolkit Option” panel to cause the changes to take effect. </w:t>
      </w:r>
      <w:r>
        <w:t>The “Trace display” parameter</w:t>
      </w:r>
      <w:r w:rsidR="00D425E0">
        <w:t>s</w:t>
      </w:r>
      <w:r>
        <w:t xml:space="preserve"> will not be exported into the setting file.</w:t>
      </w:r>
    </w:p>
    <w:p w14:paraId="0A625FF4" w14:textId="30368625" w:rsidR="00413A2F" w:rsidRDefault="00413A2F" w:rsidP="00D425E0">
      <w:pPr>
        <w:pStyle w:val="Body1"/>
        <w:numPr>
          <w:ilvl w:val="0"/>
          <w:numId w:val="2"/>
        </w:numPr>
      </w:pPr>
      <w:r>
        <w:t>CK filter</w:t>
      </w:r>
      <w:r w:rsidR="00D425E0">
        <w:t xml:space="preserve"> tab</w:t>
      </w:r>
    </w:p>
    <w:p w14:paraId="7B07D846" w14:textId="0C07C130" w:rsidR="00413A2F" w:rsidRDefault="00413A2F" w:rsidP="00413A2F">
      <w:pPr>
        <w:pStyle w:val="Body1"/>
      </w:pPr>
      <w:r>
        <w:t xml:space="preserve">The “CK filter” tab </w:t>
      </w:r>
      <w:r w:rsidR="00B31808">
        <w:t xml:space="preserve">in the bottom </w:t>
      </w:r>
      <w:r>
        <w:t>allows you to specify mean window size, predictor window size, and exponent values of the CK filter algorithm. Mean window size determines the average intensity values for linear combination. Typically, one mean window size is used in this nonlinear filter. Predictor window size determines the weight factor of the linear combination. Exponent value determines the sharpness of the transition. Higher values means sharper transitions. Donor and acceptor intensity traces will be smoothed</w:t>
      </w:r>
      <w:r w:rsidRPr="003C1E14">
        <w:t xml:space="preserve"> </w:t>
      </w:r>
      <w:r>
        <w:t>accordingly, and then smoothed FRET traces will be calculated from the equation Ia / (Ia + Id). Empirically, mean window size should usually be between 3 and 20, predictor window size should typically be between 3 and 20, and common exponent values should be between 1 and 50.</w:t>
      </w:r>
    </w:p>
    <w:p w14:paraId="7700DDF4" w14:textId="729627C5" w:rsidR="00413A2F" w:rsidRDefault="00413A2F" w:rsidP="00D425E0">
      <w:pPr>
        <w:pStyle w:val="Body1"/>
        <w:numPr>
          <w:ilvl w:val="0"/>
          <w:numId w:val="2"/>
        </w:numPr>
      </w:pPr>
      <w:r>
        <w:t xml:space="preserve">CK edge detection </w:t>
      </w:r>
      <w:r w:rsidR="00D425E0">
        <w:t>tab</w:t>
      </w:r>
    </w:p>
    <w:p w14:paraId="774FC276" w14:textId="6367C90B" w:rsidR="00413A2F" w:rsidRDefault="00413A2F" w:rsidP="00413A2F">
      <w:pPr>
        <w:pStyle w:val="Body1"/>
      </w:pPr>
      <w:r>
        <w:t xml:space="preserve">The bottom middle “CK edge detection” tab allows you to specify mean window size, Donor &amp; Acceptor MinPeakHeight (DA MPH), and FRET MinPeakHeight (FRET MPH) of the CK edge detection. Empirically, mean window size should typically be between 3 and 20. DA MPH and FRET MPH is the threshold above which the local maxima of standard deviation will be considered to be a transition edge. Choose either “Donor + Acceptor” or “FRET” as the edge criteria in the “CK edge option” box. By checking the “CK edge analysis” box in the bottom </w:t>
      </w:r>
      <w:r>
        <w:lastRenderedPageBreak/>
        <w:t xml:space="preserve">right, you can see the standard deviation plot in the third and fourth figure, which helps determine the suitable CK edge option and MPH value to use. </w:t>
      </w:r>
      <w:r w:rsidR="00D425E0">
        <w:t xml:space="preserve"> Note that the threshold is displayed on the graphs as the black dashed horizontal line.</w:t>
      </w:r>
    </w:p>
    <w:p w14:paraId="49E42D91" w14:textId="6CDC5C54" w:rsidR="00413A2F" w:rsidRDefault="00413A2F" w:rsidP="00D425E0">
      <w:pPr>
        <w:pStyle w:val="Body1"/>
        <w:numPr>
          <w:ilvl w:val="0"/>
          <w:numId w:val="2"/>
        </w:numPr>
      </w:pPr>
      <w:r>
        <w:t xml:space="preserve"> bad data filter</w:t>
      </w:r>
      <w:r w:rsidR="00D425E0">
        <w:t xml:space="preserve"> tab</w:t>
      </w:r>
    </w:p>
    <w:p w14:paraId="51B4E187" w14:textId="77777777" w:rsidR="00413A2F" w:rsidRDefault="00413A2F" w:rsidP="00413A2F">
      <w:pPr>
        <w:pStyle w:val="Body1"/>
      </w:pPr>
      <w:r>
        <w:t>The bottom-middle “bad data” tab allows you to filter out photobleaching and photoblinking data points in the FRET trace as well as unwanted head and tail sections. Filter results will be shown in the black-and-white color bar above the figure. Black section indicates rejected data points and white section indicates accepted data points. “Confidence Level” is a percentage threshold for determining the data points that are “bad”. “Blink Cap” is the smallest window size that is permitted for consecutive rejected or accepted data points. “Lower Limit” and “Up Limit” set up the donor and acceptor intensity range that is acceptable. “Exclude Head” and “Exclude Tail” reject the data points on both ends of the trajectory in case of alternative laser excitation.</w:t>
      </w:r>
    </w:p>
    <w:p w14:paraId="233CC752" w14:textId="2FC94B3F" w:rsidR="00413A2F" w:rsidRDefault="00413A2F" w:rsidP="00D425E0">
      <w:pPr>
        <w:pStyle w:val="Body1"/>
        <w:numPr>
          <w:ilvl w:val="0"/>
          <w:numId w:val="2"/>
        </w:numPr>
      </w:pPr>
      <w:r>
        <w:t>two-sample t-test filter</w:t>
      </w:r>
      <w:r w:rsidR="00D425E0">
        <w:t xml:space="preserve"> tab</w:t>
      </w:r>
    </w:p>
    <w:p w14:paraId="6DB74F02" w14:textId="1F989E77" w:rsidR="00413A2F" w:rsidRDefault="00413A2F" w:rsidP="00413A2F">
      <w:pPr>
        <w:pStyle w:val="Body1"/>
      </w:pPr>
      <w:r>
        <w:t>The bottom-middle “ttest2 filter” tab allows you to apply the two-sample t-test on the forward and backward windows around each potential transition edge locations. Transition edges are accepted if the significance level (alpha) of the t-test comparing these data windows examining the FRET states before and after the potential transition edge is above the specified value. Accepted edges will be shown in black line while rejected edges in red. Push the “plot p-value in the second graph” to display the p-values of t-test (marked in blue stars) on each potential edge in the second figure.</w:t>
      </w:r>
    </w:p>
    <w:p w14:paraId="3D03EB2F" w14:textId="729D0FA1" w:rsidR="00D425E0" w:rsidRDefault="00D425E0" w:rsidP="00D425E0">
      <w:pPr>
        <w:pStyle w:val="Body1"/>
        <w:numPr>
          <w:ilvl w:val="0"/>
          <w:numId w:val="2"/>
        </w:numPr>
      </w:pPr>
      <w:r>
        <w:t>.traces file tab</w:t>
      </w:r>
    </w:p>
    <w:p w14:paraId="54985260" w14:textId="0FF72D0D" w:rsidR="00D425E0" w:rsidRDefault="00D425E0" w:rsidP="00D425E0">
      <w:pPr>
        <w:pStyle w:val="Body1"/>
      </w:pPr>
      <w:r>
        <w:lastRenderedPageBreak/>
        <w:t>This is for viewing all the traces in a single .traces file.  You would indicate suffix as .traces as the file to open in the first step if you have . traces files.</w:t>
      </w:r>
    </w:p>
    <w:p w14:paraId="188815FB" w14:textId="62DEBCF9" w:rsidR="00D425E0" w:rsidRPr="006B7415" w:rsidRDefault="00D425E0" w:rsidP="00D425E0">
      <w:pPr>
        <w:pStyle w:val="Body1"/>
        <w:rPr>
          <w:u w:val="single"/>
        </w:rPr>
      </w:pPr>
      <w:r w:rsidRPr="006B7415">
        <w:rPr>
          <w:u w:val="single"/>
        </w:rPr>
        <w:t>III. Save setting after adjusting CK filter parameters with this app</w:t>
      </w:r>
    </w:p>
    <w:p w14:paraId="46A7F759" w14:textId="3E3D4565" w:rsidR="00D425E0" w:rsidRPr="001E2758" w:rsidRDefault="00D425E0" w:rsidP="00D425E0">
      <w:pPr>
        <w:pStyle w:val="Body1"/>
        <w:rPr>
          <w:b/>
          <w:bCs/>
        </w:rPr>
      </w:pPr>
      <w:r>
        <w:t>After you have adjusted data filter and CK filter parameters and verified they work for many traces using this viewer app, then u</w:t>
      </w:r>
      <w:r>
        <w:t>se the “Save Settings” button to save all the settings</w:t>
      </w:r>
      <w:r>
        <w:t xml:space="preserve"> into a .mat file</w:t>
      </w:r>
      <w:r>
        <w:t xml:space="preserve">. </w:t>
      </w:r>
      <w:r>
        <w:t>This .mat settings</w:t>
      </w:r>
      <w:r>
        <w:t xml:space="preserve"> file is </w:t>
      </w:r>
      <w:r>
        <w:t>used</w:t>
      </w:r>
      <w:r>
        <w:t xml:space="preserve"> to do the batch analysis with </w:t>
      </w:r>
      <w:r>
        <w:t xml:space="preserve">another </w:t>
      </w:r>
      <w:r>
        <w:t xml:space="preserve">MATLAB scripts package. </w:t>
      </w:r>
      <w:r w:rsidR="0088364C">
        <w:t xml:space="preserve">You may overwrite a previous settings.mat file if you want. </w:t>
      </w:r>
      <w:r>
        <w:t xml:space="preserve">Use the “Quit” button to exit the program. </w:t>
      </w:r>
    </w:p>
    <w:p w14:paraId="1604867C" w14:textId="77777777" w:rsidR="00D425E0" w:rsidRDefault="00D425E0" w:rsidP="00D425E0">
      <w:pPr>
        <w:pStyle w:val="Body1"/>
      </w:pPr>
    </w:p>
    <w:p w14:paraId="2C5EDEBD" w14:textId="755F251F" w:rsidR="00413A2F" w:rsidRDefault="00A66838" w:rsidP="00413A2F">
      <w:pPr>
        <w:pStyle w:val="Subtitle"/>
      </w:pPr>
      <w:r>
        <w:t>1</w:t>
      </w:r>
      <w:r w:rsidR="00413A2F">
        <w:t>.2.4 Batch analyze traces and export results with MATLAB scripts package</w:t>
      </w:r>
    </w:p>
    <w:p w14:paraId="4E93B86C" w14:textId="5098E9F7" w:rsidR="00413A2F" w:rsidRDefault="006B7415" w:rsidP="00413A2F">
      <w:pPr>
        <w:pStyle w:val="Body1"/>
      </w:pPr>
      <w:r>
        <w:t xml:space="preserve">Batch analysis is performed using a set of 4 matlab scripts: main.m, FRET_ck.m, CKedgedetection.m, baddatafilter.m.  </w:t>
      </w:r>
      <w:r w:rsidR="00413A2F">
        <w:t>The</w:t>
      </w:r>
      <w:r>
        <w:t>se</w:t>
      </w:r>
      <w:r w:rsidR="00413A2F">
        <w:t xml:space="preserve"> scripts will import the parameter settings from</w:t>
      </w:r>
      <w:r>
        <w:t xml:space="preserve"> the settings.mat file in</w:t>
      </w:r>
      <w:r w:rsidR="00413A2F">
        <w:t xml:space="preserve"> step 1.2.2 and export all the properties of each individual dwell including file name, start time, dwell time, average FRET, average FRET of next dwell, standard deviation of FRET</w:t>
      </w:r>
      <w:r>
        <w:t xml:space="preserve"> into a new text file called ‘All</w:t>
      </w:r>
      <w:r w:rsidR="00962C3E">
        <w:t>D</w:t>
      </w:r>
      <w:r>
        <w:t>wells.txt’ for further kinetic analysis</w:t>
      </w:r>
      <w:r w:rsidR="00413A2F">
        <w:t>.</w:t>
      </w:r>
    </w:p>
    <w:p w14:paraId="58627765" w14:textId="5D1AD59B" w:rsidR="0085187C" w:rsidRDefault="00413A2F" w:rsidP="00140D8C">
      <w:pPr>
        <w:pStyle w:val="Body1"/>
      </w:pPr>
      <w:r>
        <w:t>To run</w:t>
      </w:r>
      <w:r w:rsidR="006B7415">
        <w:t xml:space="preserve"> batch analysis</w:t>
      </w:r>
      <w:r>
        <w:t>, put all the traces</w:t>
      </w:r>
      <w:r w:rsidR="006B7415">
        <w:t xml:space="preserve"> (either .itx, .txt, or .traces files), the 4</w:t>
      </w:r>
      <w:r>
        <w:t xml:space="preserve"> MATLAB scripts</w:t>
      </w:r>
      <w:r w:rsidR="006B7415">
        <w:t xml:space="preserve">, and </w:t>
      </w:r>
      <w:r>
        <w:t xml:space="preserve">the “Settings.mat” file from step 1.2.2 in the same folder. Open “main.m” in MATLAB, press F5 to run the script. </w:t>
      </w:r>
      <w:r w:rsidR="004D4AD0">
        <w:t>The traces files should follow the naming convetion in section 1.2.2 where there is a movie number first in the name and a molecule number later in the name. The batch analysis will progress through all traces between a first and last file you specifiy following movie number and all traces in that movie. Upon staring main.m, a</w:t>
      </w:r>
      <w:r>
        <w:t xml:space="preserve"> new window will pop up</w:t>
      </w:r>
      <w:r w:rsidR="004D4AD0">
        <w:t xml:space="preserve"> where you</w:t>
      </w:r>
      <w:r>
        <w:t xml:space="preserve"> select the file you want to start with and click yes. </w:t>
      </w:r>
      <w:r w:rsidR="00962C3E">
        <w:t>Next a window pops up where you s</w:t>
      </w:r>
      <w:r>
        <w:t xml:space="preserve">elect the last file to analyze and click yes. </w:t>
      </w:r>
      <w:r w:rsidR="00962C3E">
        <w:t>A</w:t>
      </w:r>
      <w:r>
        <w:t xml:space="preserve"> wait bar will </w:t>
      </w:r>
      <w:r w:rsidR="00962C3E">
        <w:t>then appear, and</w:t>
      </w:r>
      <w:r>
        <w:t xml:space="preserve"> the </w:t>
      </w:r>
      <w:r w:rsidR="00962C3E">
        <w:lastRenderedPageBreak/>
        <w:t>analysis</w:t>
      </w:r>
      <w:r>
        <w:t xml:space="preserve"> </w:t>
      </w:r>
      <w:r w:rsidR="00962C3E">
        <w:t>will be</w:t>
      </w:r>
      <w:r>
        <w:t xml:space="preserve"> running. After the program finishes, a new text file </w:t>
      </w:r>
      <w:r w:rsidR="00962C3E">
        <w:t xml:space="preserve">AllDwells.txt </w:t>
      </w:r>
      <w:r>
        <w:t xml:space="preserve">will </w:t>
      </w:r>
      <w:r w:rsidR="00962C3E">
        <w:t>appear</w:t>
      </w:r>
      <w:r>
        <w:t xml:space="preserve"> in the data folder including all the results mentioned above.</w:t>
      </w:r>
      <w:r w:rsidR="0085187C">
        <w:t xml:space="preserve"> </w:t>
      </w:r>
    </w:p>
    <w:p w14:paraId="5015616C" w14:textId="77777777" w:rsidR="00413A2F" w:rsidRDefault="00413A2F" w:rsidP="00413A2F"/>
    <w:p w14:paraId="4E0FE4C9" w14:textId="437B9C73" w:rsidR="00413A2F" w:rsidRDefault="00A66838" w:rsidP="001074FF">
      <w:pPr>
        <w:pStyle w:val="Subtitle"/>
      </w:pPr>
      <w:r>
        <w:t>1</w:t>
      </w:r>
      <w:r w:rsidR="00413A2F">
        <w:t xml:space="preserve">.3 Implementation of CK </w:t>
      </w:r>
      <w:r w:rsidR="00413A2F" w:rsidRPr="00E75B12">
        <w:t>filter and edge detection</w:t>
      </w:r>
      <w:r w:rsidR="001074FF">
        <w:t xml:space="preserve"> </w:t>
      </w:r>
      <w:r w:rsidR="00140D8C">
        <w:t>for generating kinetic rates using sample data</w:t>
      </w:r>
    </w:p>
    <w:p w14:paraId="48023495" w14:textId="576C071E" w:rsidR="006376F8" w:rsidRDefault="006376F8" w:rsidP="00413A2F">
      <w:pPr>
        <w:pStyle w:val="Body1"/>
      </w:pPr>
      <w:r>
        <w:t xml:space="preserve">To </w:t>
      </w:r>
      <w:r w:rsidR="00415915">
        <w:t>find</w:t>
      </w:r>
      <w:r>
        <w:t xml:space="preserve"> the kinetic </w:t>
      </w:r>
      <w:r w:rsidR="00415915">
        <w:t>rates</w:t>
      </w:r>
      <w:r>
        <w:t xml:space="preserve">, put the script </w:t>
      </w:r>
      <w:r w:rsidRPr="008F6537">
        <w:t>‘AllstateKinetics.m’</w:t>
      </w:r>
      <w:r>
        <w:t xml:space="preserve"> in the same folder with the </w:t>
      </w:r>
      <w:r>
        <w:t>‘</w:t>
      </w:r>
      <w:r w:rsidRPr="008F6537">
        <w:t>Settings.mat</w:t>
      </w:r>
      <w:r>
        <w:t>’</w:t>
      </w:r>
      <w:r>
        <w:t xml:space="preserve"> and the </w:t>
      </w:r>
      <w:r w:rsidRPr="008F6537">
        <w:t>‘</w:t>
      </w:r>
      <w:r w:rsidRPr="00A029DA">
        <w:t>AllDwells</w:t>
      </w:r>
      <w:r>
        <w:t>.txt’</w:t>
      </w:r>
      <w:r w:rsidRPr="008F6537">
        <w:t xml:space="preserve"> text file</w:t>
      </w:r>
      <w:r>
        <w:t xml:space="preserve">. </w:t>
      </w:r>
      <w:r w:rsidR="00415915">
        <w:t xml:space="preserve">You must specify parameters used for the specific kinetic model you desire, such as total number of FRET states and value range of each FRET state, in </w:t>
      </w:r>
      <w:r w:rsidR="00415915" w:rsidRPr="008F6537">
        <w:t>‘AllstateKinetics.m’</w:t>
      </w:r>
      <w:r w:rsidR="00415915">
        <w:t xml:space="preserve"> (see details below)</w:t>
      </w:r>
      <w:r w:rsidR="00415915">
        <w:t xml:space="preserve">. In </w:t>
      </w:r>
      <w:r w:rsidR="00415915" w:rsidRPr="008F6537">
        <w:t>AllstateKinetics.m</w:t>
      </w:r>
      <w:r w:rsidR="00415915">
        <w:t xml:space="preserve"> </w:t>
      </w:r>
      <w:r w:rsidR="00415915">
        <w:t>between lines 51 and 157, there are several sets of parameters we have</w:t>
      </w:r>
      <w:r w:rsidR="00415915">
        <w:t xml:space="preserve"> previously</w:t>
      </w:r>
      <w:r w:rsidR="00415915">
        <w:t xml:space="preserve"> used</w:t>
      </w:r>
      <w:r w:rsidR="00415915">
        <w:t>, which</w:t>
      </w:r>
      <w:r w:rsidR="00415915">
        <w:t xml:space="preserve"> are commented out. Incorrect selection of parameters matching your model will result in errors.  </w:t>
      </w:r>
      <w:r w:rsidR="00415915">
        <w:t xml:space="preserve">After selecting model parameters in </w:t>
      </w:r>
      <w:r w:rsidRPr="008F6537">
        <w:t>AllstateKinetics.m</w:t>
      </w:r>
      <w:r w:rsidR="00415915">
        <w:t xml:space="preserve">, </w:t>
      </w:r>
      <w:r>
        <w:t xml:space="preserve">press F5 to run. Select the </w:t>
      </w:r>
      <w:r w:rsidRPr="00A029DA">
        <w:t>AllDwells</w:t>
      </w:r>
      <w:r>
        <w:t>.txt</w:t>
      </w:r>
      <w:r>
        <w:t xml:space="preserve"> file in the window that opens. </w:t>
      </w:r>
      <w:r w:rsidR="00415915">
        <w:t xml:space="preserve">If there is not enough data, there will be errors from fitting. You will need to use a larger dataset. Successful completion of the </w:t>
      </w:r>
      <w:r w:rsidR="00415915" w:rsidRPr="008F6537">
        <w:t>AllstateKinetics.m</w:t>
      </w:r>
      <w:r w:rsidR="00415915">
        <w:t xml:space="preserve"> analysis results in a new textfile Kinetics.txt containing the discovered rates and .png files of the fitted dwelltime histograms being saved in the same folder.</w:t>
      </w:r>
    </w:p>
    <w:p w14:paraId="51C15CE5" w14:textId="35806EA9" w:rsidR="004F0D74" w:rsidRDefault="00D62E2A" w:rsidP="00413A2F">
      <w:pPr>
        <w:pStyle w:val="Body1"/>
      </w:pPr>
      <w:r w:rsidRPr="00D62E2A">
        <w:t>Sample data are included with this distribution in the folder ‘(C</w:t>
      </w:r>
      <w:r>
        <w:t>T</w:t>
      </w:r>
      <w:r w:rsidRPr="00D62E2A">
        <w:t>G)15 Sample Trace</w:t>
      </w:r>
      <w:r>
        <w:t>s</w:t>
      </w:r>
      <w:r w:rsidRPr="00D62E2A">
        <w:t xml:space="preserve"> </w:t>
      </w:r>
      <w:r>
        <w:t>(</w:t>
      </w:r>
      <w:r w:rsidRPr="00D62E2A">
        <w:t>Clean</w:t>
      </w:r>
      <w:r>
        <w:t>)</w:t>
      </w:r>
      <w:r w:rsidRPr="00D62E2A">
        <w:t xml:space="preserve">’. The results of an example analysis of these data </w:t>
      </w:r>
      <w:r w:rsidR="00415915">
        <w:t>are</w:t>
      </w:r>
      <w:r w:rsidRPr="00D62E2A">
        <w:t xml:space="preserve"> in the folder ‘(C</w:t>
      </w:r>
      <w:r>
        <w:t>T</w:t>
      </w:r>
      <w:r w:rsidRPr="00D62E2A">
        <w:t>G)15 Sample Trace</w:t>
      </w:r>
      <w:r>
        <w:t>s</w:t>
      </w:r>
      <w:r w:rsidRPr="00D62E2A">
        <w:t xml:space="preserve"> </w:t>
      </w:r>
      <w:r>
        <w:t>(</w:t>
      </w:r>
      <w:r w:rsidRPr="00D62E2A">
        <w:t>Analyzed</w:t>
      </w:r>
      <w:r>
        <w:t>)</w:t>
      </w:r>
      <w:r w:rsidRPr="00D62E2A">
        <w:t>’, and the set of parameters used for this analysis is in the file ‘</w:t>
      </w:r>
      <w:r w:rsidRPr="008F6537">
        <w:t>Settings.mat</w:t>
      </w:r>
      <w:r w:rsidRPr="00D62E2A">
        <w:t>’</w:t>
      </w:r>
      <w:r>
        <w:t xml:space="preserve">. </w:t>
      </w:r>
      <w:r w:rsidR="008F6537" w:rsidRPr="008F6537">
        <w:t xml:space="preserve">To generate the kinetic rates, you can perform your own analysis on the information </w:t>
      </w:r>
      <w:r>
        <w:t>from</w:t>
      </w:r>
      <w:r w:rsidR="008F6537" w:rsidRPr="008F6537">
        <w:t xml:space="preserve"> the ‘</w:t>
      </w:r>
      <w:r w:rsidR="00A029DA" w:rsidRPr="00A029DA">
        <w:t>AllDwells</w:t>
      </w:r>
      <w:r w:rsidR="008F6537" w:rsidRPr="008F6537">
        <w:t>’ text file. This will require pooling dwell times from each FRET state and perform the exponential fitting. The sequence of transitions is also available in the ‘</w:t>
      </w:r>
      <w:r w:rsidRPr="00A029DA">
        <w:t>AllDwells</w:t>
      </w:r>
      <w:r w:rsidR="008F6537" w:rsidRPr="008F6537">
        <w:t xml:space="preserve">’ text file, which is needed to calculate the ‘branching ratios’ for systems with more than 2 states </w:t>
      </w:r>
      <w:r w:rsidR="00A029DA">
        <w:fldChar w:fldCharType="begin"/>
      </w:r>
      <w:r w:rsidR="00A029DA">
        <w:instrText xml:space="preserve"> ADDIN EN.CITE &lt;EndNote&gt;&lt;Cite&gt;&lt;Author&gt;Kinz-Thompson&lt;/Author&gt;&lt;Year&gt;2016&lt;/Year&gt;&lt;RecNum&gt;497&lt;/RecNum&gt;&lt;DisplayText&gt;(Kinz-Thompson, Bailey, &amp;amp; Gonzalez, 2016)&lt;/DisplayText&gt;&lt;record&gt;&lt;rec-number&gt;497&lt;/rec-number&gt;&lt;foreign-keys&gt;&lt;key app="EN" db-id="tzexx0wz45awtye2aaexe5xpv02x55dfprze" timestamp="1661962328"&gt;497&lt;/key&gt;&lt;key app="ENWeb" db-id=""&gt;0&lt;/key&gt;&lt;/foreign-keys&gt;&lt;ref-type name="Journal Article"&gt;17&lt;/ref-type&gt;&lt;contributors&gt;&lt;authors&gt;&lt;author&gt;Kinz-Thompson, C. D.&lt;/author&gt;&lt;author&gt;Bailey, N. A.&lt;/author&gt;&lt;author&gt;Gonzalez, R. L., Jr.&lt;/author&gt;&lt;/authors&gt;&lt;/contributors&gt;&lt;auth-address&gt;Columbia University, New York, NY, United States.&amp;#xD;Columbia University, New York, NY, United States. Electronic address: rlg2118@columbia.edu.&lt;/auth-address&gt;&lt;titles&gt;&lt;title&gt;Precisely and Accurately Inferring Single-Molecule Rate Constants&lt;/title&gt;&lt;secondary-title&gt;Methods Enzymol&lt;/secondary-title&gt;&lt;/titles&gt;&lt;periodical&gt;&lt;full-title&gt;Methods Enzymol&lt;/full-title&gt;&lt;/periodical&gt;&lt;pages&gt;187-225&lt;/pages&gt;&lt;volume&gt;581&lt;/volume&gt;&lt;edition&gt;2016/10/30&lt;/edition&gt;&lt;keywords&gt;&lt;keyword&gt;Algorithms&lt;/keyword&gt;&lt;keyword&gt;Bayes Theorem&lt;/keyword&gt;&lt;keyword&gt;Fluorescence Resonance Energy Transfer/*methods&lt;/keyword&gt;&lt;keyword&gt;Kinetics&lt;/keyword&gt;&lt;keyword&gt;Single Molecule Imaging/*methods&lt;/keyword&gt;&lt;keyword&gt;*Bayesian inference&lt;/keyword&gt;&lt;keyword&gt;*Dwell time distribution analysis&lt;/keyword&gt;&lt;keyword&gt;*Fluorescence resonance energy transfer&lt;/keyword&gt;&lt;keyword&gt;*Hidden Markov model&lt;/keyword&gt;&lt;keyword&gt;*Markovian reactions&lt;/keyword&gt;&lt;keyword&gt;*Single-molecule rate constant&lt;/keyword&gt;&lt;/keywords&gt;&lt;dates&gt;&lt;year&gt;2016&lt;/year&gt;&lt;/dates&gt;&lt;isbn&gt;1557-7988 (Electronic)&amp;#xD;0076-6879 (Linking)&lt;/isbn&gt;&lt;accession-num&gt;27793280&lt;/accession-num&gt;&lt;urls&gt;&lt;related-urls&gt;&lt;url&gt;https://www.ncbi.nlm.nih.gov/pubmed/27793280&lt;/url&gt;&lt;/related-urls&gt;&lt;/urls&gt;&lt;custom2&gt;PMC5746875&lt;/custom2&gt;&lt;electronic-resource-num&gt;10.1016/bs.mie.2016.08.021&lt;/electronic-resource-num&gt;&lt;/record&gt;&lt;/Cite&gt;&lt;/EndNote&gt;</w:instrText>
      </w:r>
      <w:r w:rsidR="00A029DA">
        <w:fldChar w:fldCharType="separate"/>
      </w:r>
      <w:r w:rsidR="00A029DA">
        <w:rPr>
          <w:noProof/>
        </w:rPr>
        <w:t>(Kinz-Thompson, Bailey, &amp; Gonzalez, 2016)</w:t>
      </w:r>
      <w:r w:rsidR="00A029DA">
        <w:fldChar w:fldCharType="end"/>
      </w:r>
      <w:r w:rsidR="008F6537" w:rsidRPr="008F6537">
        <w:t xml:space="preserve">. Included with the current distribution are the custom </w:t>
      </w:r>
      <w:r w:rsidR="008F6537" w:rsidRPr="008F6537">
        <w:lastRenderedPageBreak/>
        <w:t>MATLAB script we use to import the dwell information from the ‘</w:t>
      </w:r>
      <w:r w:rsidRPr="00A029DA">
        <w:t>AllDwells</w:t>
      </w:r>
      <w:r w:rsidR="008F6537" w:rsidRPr="008F6537">
        <w:t>’ text files and perform the kinetic analysis</w:t>
      </w:r>
      <w:r>
        <w:t>.</w:t>
      </w:r>
      <w:r w:rsidR="008F6537" w:rsidRPr="008F6537">
        <w:t xml:space="preserve"> The custom script is named ‘AllstateKinetics.m’. </w:t>
      </w:r>
      <w:r w:rsidR="006376F8">
        <w:t>You must specify</w:t>
      </w:r>
      <w:r w:rsidR="00F36925">
        <w:t xml:space="preserve"> parameters used </w:t>
      </w:r>
      <w:r w:rsidR="006376F8">
        <w:t>for the specific kinetic model you desire</w:t>
      </w:r>
      <w:r w:rsidR="00F36925">
        <w:t xml:space="preserve">, such as total number of FRET states and value range of each FRET state, in </w:t>
      </w:r>
      <w:r w:rsidR="00F36925" w:rsidRPr="008F6537">
        <w:t>‘AllstateKinetics.m’</w:t>
      </w:r>
      <w:r w:rsidR="00F36925">
        <w:t>.</w:t>
      </w:r>
      <w:r w:rsidR="00415915">
        <w:t xml:space="preserve"> In this script between lines 51 and 157, there are several sets of parameters we have used that are commented out. Incorrect selection of parameters matching your model will result in errors. </w:t>
      </w:r>
      <w:r w:rsidR="00F36925">
        <w:t xml:space="preserve"> </w:t>
      </w:r>
      <w:r w:rsidR="008F6537" w:rsidRPr="008F6537">
        <w:t xml:space="preserve">Note, </w:t>
      </w:r>
      <w:r w:rsidR="00415915">
        <w:t>this analysis</w:t>
      </w:r>
      <w:r w:rsidR="008F6537" w:rsidRPr="008F6537">
        <w:t xml:space="preserve"> </w:t>
      </w:r>
      <w:r w:rsidR="004F0D74">
        <w:t xml:space="preserve">also </w:t>
      </w:r>
      <w:r w:rsidR="008F6537" w:rsidRPr="008F6537">
        <w:t xml:space="preserve">requires </w:t>
      </w:r>
      <w:r w:rsidR="004F0D74">
        <w:t>‘</w:t>
      </w:r>
      <w:r w:rsidR="004F0D74" w:rsidRPr="008F6537">
        <w:t>Settings.mat</w:t>
      </w:r>
      <w:r w:rsidR="004F0D74">
        <w:t>’</w:t>
      </w:r>
      <w:r w:rsidR="00F36925">
        <w:t xml:space="preserve"> being</w:t>
      </w:r>
      <w:r w:rsidR="004F0D74">
        <w:t xml:space="preserve"> </w:t>
      </w:r>
      <w:r w:rsidR="00F36925">
        <w:t xml:space="preserve">included in the same trace folder </w:t>
      </w:r>
      <w:r w:rsidR="008F6537" w:rsidRPr="008F6537">
        <w:t>to run</w:t>
      </w:r>
      <w:r w:rsidR="00F36925">
        <w:t xml:space="preserve"> </w:t>
      </w:r>
      <w:r w:rsidR="00F36925" w:rsidRPr="008F6537">
        <w:t>‘AllstateKinetics.m’</w:t>
      </w:r>
      <w:r w:rsidR="004F0D74">
        <w:t xml:space="preserve">. </w:t>
      </w:r>
      <w:r w:rsidR="00F36925">
        <w:t xml:space="preserve">After running </w:t>
      </w:r>
      <w:r w:rsidR="00F36925" w:rsidRPr="008F6537">
        <w:t>‘AllstateKinetics.m’</w:t>
      </w:r>
      <w:r w:rsidR="00F36925">
        <w:t xml:space="preserve">, you should find a new text file named ‘Kinetics’ in the same data folder. ‘Kinetics.txt’ contains the three </w:t>
      </w:r>
      <w:r w:rsidR="00B31808">
        <w:t>columns</w:t>
      </w:r>
      <w:r w:rsidR="00F36925">
        <w:t xml:space="preserve"> of information: transition label, rates (or inverse of lifetime), and number of labeled transitions.</w:t>
      </w:r>
    </w:p>
    <w:p w14:paraId="0870EBEA" w14:textId="19926A50" w:rsidR="001074FF" w:rsidRDefault="004F0D74" w:rsidP="00413A2F">
      <w:pPr>
        <w:pStyle w:val="Body1"/>
      </w:pPr>
      <w:r>
        <w:t xml:space="preserve">To improve the kinetic rates, you could apply a correction factor in the exponential fitting based on the effective trajectory length excluding photoblinking and photobleaching regions. </w:t>
      </w:r>
      <w:r w:rsidR="00852962">
        <w:t>To obtain the correction factor, run the MATLAB script ‘</w:t>
      </w:r>
      <w:r w:rsidR="00852962" w:rsidRPr="00852962">
        <w:t>getGooddataLength</w:t>
      </w:r>
      <w:r w:rsidR="00852962">
        <w:t>.m’, which will generate</w:t>
      </w:r>
      <w:r>
        <w:t xml:space="preserve"> </w:t>
      </w:r>
      <w:r w:rsidR="00852962">
        <w:t xml:space="preserve">a text file named </w:t>
      </w:r>
      <w:r>
        <w:t>‘</w:t>
      </w:r>
      <w:r w:rsidR="008F6537" w:rsidRPr="008F6537">
        <w:t>ObsWindowLength.txt</w:t>
      </w:r>
      <w:r>
        <w:t>’</w:t>
      </w:r>
      <w:r w:rsidR="008F6537" w:rsidRPr="008F6537">
        <w:t xml:space="preserve">. </w:t>
      </w:r>
      <w:r w:rsidR="00852962">
        <w:t>Put ‘</w:t>
      </w:r>
      <w:r w:rsidR="00852962" w:rsidRPr="008F6537">
        <w:t>ObsWindowLength.txt</w:t>
      </w:r>
      <w:r w:rsidR="00852962">
        <w:t xml:space="preserve">’ together with </w:t>
      </w:r>
      <w:r w:rsidR="00852962" w:rsidRPr="008F6537">
        <w:t>‘</w:t>
      </w:r>
      <w:r w:rsidR="00852962" w:rsidRPr="00A029DA">
        <w:t>AllDwells</w:t>
      </w:r>
      <w:r w:rsidR="00852962">
        <w:t>.txt</w:t>
      </w:r>
      <w:r w:rsidR="00852962" w:rsidRPr="008F6537">
        <w:t>’</w:t>
      </w:r>
      <w:r w:rsidR="00852962">
        <w:t xml:space="preserve"> and run </w:t>
      </w:r>
      <w:r w:rsidR="00852962" w:rsidRPr="008F6537">
        <w:t>‘AllstateKinetics.m’</w:t>
      </w:r>
      <w:r w:rsidR="00852962">
        <w:t xml:space="preserve"> with generate the refined kinetic rates.</w:t>
      </w:r>
    </w:p>
    <w:p w14:paraId="71D3A0DD" w14:textId="736305DB" w:rsidR="00413A2F" w:rsidRDefault="00413A2F" w:rsidP="00413A2F">
      <w:pPr>
        <w:rPr>
          <w:b/>
        </w:rPr>
      </w:pPr>
    </w:p>
    <w:p w14:paraId="38E498DF" w14:textId="08F90DAA" w:rsidR="00681518" w:rsidRDefault="00681518" w:rsidP="00413A2F">
      <w:pPr>
        <w:rPr>
          <w:b/>
        </w:rPr>
      </w:pPr>
      <w:r>
        <w:rPr>
          <w:b/>
          <w:noProof/>
        </w:rPr>
        <w:lastRenderedPageBreak/>
        <w:drawing>
          <wp:inline distT="0" distB="0" distL="0" distR="0" wp14:anchorId="2AB6E865" wp14:editId="2F130D7C">
            <wp:extent cx="5943600" cy="3600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600450"/>
                    </a:xfrm>
                    <a:prstGeom prst="rect">
                      <a:avLst/>
                    </a:prstGeom>
                    <a:noFill/>
                    <a:ln>
                      <a:noFill/>
                    </a:ln>
                  </pic:spPr>
                </pic:pic>
              </a:graphicData>
            </a:graphic>
          </wp:inline>
        </w:drawing>
      </w:r>
    </w:p>
    <w:p w14:paraId="72170922" w14:textId="77777777" w:rsidR="00681518" w:rsidRDefault="00681518" w:rsidP="00413A2F">
      <w:pPr>
        <w:pStyle w:val="EndNoteCategoryHeading"/>
      </w:pPr>
      <w:r>
        <w:drawing>
          <wp:inline distT="0" distB="0" distL="0" distR="0" wp14:anchorId="168483AD" wp14:editId="23879768">
            <wp:extent cx="5943600" cy="3600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600450"/>
                    </a:xfrm>
                    <a:prstGeom prst="rect">
                      <a:avLst/>
                    </a:prstGeom>
                    <a:noFill/>
                    <a:ln>
                      <a:noFill/>
                    </a:ln>
                  </pic:spPr>
                </pic:pic>
              </a:graphicData>
            </a:graphic>
          </wp:inline>
        </w:drawing>
      </w:r>
    </w:p>
    <w:p w14:paraId="40FFAF5F" w14:textId="5188399C" w:rsidR="00681518" w:rsidRDefault="00681518" w:rsidP="00413A2F">
      <w:pPr>
        <w:pStyle w:val="EndNoteCategoryHeading"/>
      </w:pPr>
      <w:r>
        <w:lastRenderedPageBreak/>
        <w:drawing>
          <wp:inline distT="0" distB="0" distL="0" distR="0" wp14:anchorId="584D34F2" wp14:editId="3D9D6799">
            <wp:extent cx="5943600" cy="3600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00450"/>
                    </a:xfrm>
                    <a:prstGeom prst="rect">
                      <a:avLst/>
                    </a:prstGeom>
                    <a:noFill/>
                    <a:ln>
                      <a:noFill/>
                    </a:ln>
                  </pic:spPr>
                </pic:pic>
              </a:graphicData>
            </a:graphic>
          </wp:inline>
        </w:drawing>
      </w:r>
    </w:p>
    <w:p w14:paraId="58C3C0DF" w14:textId="6B316FAA" w:rsidR="00681518" w:rsidRDefault="00681518" w:rsidP="00413A2F">
      <w:pPr>
        <w:pStyle w:val="EndNoteCategoryHeading"/>
      </w:pPr>
      <w:r>
        <w:drawing>
          <wp:inline distT="0" distB="0" distL="0" distR="0" wp14:anchorId="542E25CA" wp14:editId="355078A7">
            <wp:extent cx="5943600" cy="3600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600450"/>
                    </a:xfrm>
                    <a:prstGeom prst="rect">
                      <a:avLst/>
                    </a:prstGeom>
                    <a:noFill/>
                    <a:ln>
                      <a:noFill/>
                    </a:ln>
                  </pic:spPr>
                </pic:pic>
              </a:graphicData>
            </a:graphic>
          </wp:inline>
        </w:drawing>
      </w:r>
    </w:p>
    <w:p w14:paraId="242D55D9" w14:textId="4242CDF5" w:rsidR="00681518" w:rsidRDefault="00681518" w:rsidP="00413A2F">
      <w:pPr>
        <w:pStyle w:val="EndNoteCategoryHeading"/>
      </w:pPr>
      <w:r>
        <w:lastRenderedPageBreak/>
        <w:drawing>
          <wp:inline distT="0" distB="0" distL="0" distR="0" wp14:anchorId="6FCAEC00" wp14:editId="4AC9FEDA">
            <wp:extent cx="5943600" cy="3600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00450"/>
                    </a:xfrm>
                    <a:prstGeom prst="rect">
                      <a:avLst/>
                    </a:prstGeom>
                    <a:noFill/>
                    <a:ln>
                      <a:noFill/>
                    </a:ln>
                  </pic:spPr>
                </pic:pic>
              </a:graphicData>
            </a:graphic>
          </wp:inline>
        </w:drawing>
      </w:r>
    </w:p>
    <w:p w14:paraId="219CBDAE" w14:textId="47EE5864" w:rsidR="00681518" w:rsidRDefault="00681518" w:rsidP="00681518">
      <w:pPr>
        <w:pStyle w:val="Body1"/>
        <w:ind w:firstLine="0"/>
        <w:rPr>
          <w:sz w:val="23"/>
          <w:szCs w:val="23"/>
        </w:rPr>
      </w:pPr>
      <w:r w:rsidRPr="00CC24D4">
        <w:rPr>
          <w:b/>
          <w:bCs/>
          <w:sz w:val="23"/>
          <w:szCs w:val="23"/>
        </w:rPr>
        <w:t xml:space="preserve">Figure </w:t>
      </w:r>
      <w:r>
        <w:rPr>
          <w:b/>
          <w:bCs/>
          <w:sz w:val="23"/>
          <w:szCs w:val="23"/>
        </w:rPr>
        <w:t>1</w:t>
      </w:r>
      <w:r w:rsidRPr="00CC24D4">
        <w:rPr>
          <w:b/>
          <w:bCs/>
          <w:sz w:val="23"/>
          <w:szCs w:val="23"/>
        </w:rPr>
        <w:t>.</w:t>
      </w:r>
      <w:r>
        <w:rPr>
          <w:b/>
          <w:bCs/>
          <w:sz w:val="23"/>
          <w:szCs w:val="23"/>
        </w:rPr>
        <w:t>2</w:t>
      </w:r>
      <w:r>
        <w:rPr>
          <w:sz w:val="23"/>
          <w:szCs w:val="23"/>
        </w:rPr>
        <w:t xml:space="preserve"> Schematics of trace visualization and analysis using “FRETtraceviewer.mlapp”. </w:t>
      </w:r>
    </w:p>
    <w:p w14:paraId="7E50B949" w14:textId="77777777" w:rsidR="00681518" w:rsidRDefault="00681518" w:rsidP="00413A2F">
      <w:pPr>
        <w:pStyle w:val="EndNoteCategoryHeading"/>
      </w:pPr>
    </w:p>
    <w:p w14:paraId="43653EC0" w14:textId="7A432E36" w:rsidR="00413A2F" w:rsidRDefault="00413A2F" w:rsidP="00413A2F">
      <w:pPr>
        <w:pStyle w:val="EndNoteCategoryHeading"/>
      </w:pPr>
      <w:r w:rsidRPr="007C0E7D">
        <w:t>References</w:t>
      </w:r>
    </w:p>
    <w:p w14:paraId="3887EFC9" w14:textId="77777777" w:rsidR="00413A2F" w:rsidRPr="00413A2F" w:rsidRDefault="00413A2F" w:rsidP="00413A2F">
      <w:pPr>
        <w:pStyle w:val="EndNoteBibliography"/>
        <w:ind w:left="720" w:hanging="720"/>
      </w:pPr>
      <w:r>
        <w:fldChar w:fldCharType="begin"/>
      </w:r>
      <w:r>
        <w:instrText xml:space="preserve"> ADDIN EN.REFLIST </w:instrText>
      </w:r>
      <w:r>
        <w:fldChar w:fldCharType="separate"/>
      </w:r>
      <w:r w:rsidRPr="00413A2F">
        <w:t xml:space="preserve">Chung, S. H., &amp; Kennedy, R. A. (1991). Forward-backward nonlinear filtering technique for extracting small biological signals from noise. </w:t>
      </w:r>
      <w:r w:rsidRPr="00413A2F">
        <w:rPr>
          <w:i/>
        </w:rPr>
        <w:t>J Neurosci Methods</w:t>
      </w:r>
      <w:r w:rsidRPr="00413A2F">
        <w:t xml:space="preserve">. </w:t>
      </w:r>
    </w:p>
    <w:p w14:paraId="384B6481" w14:textId="77777777" w:rsidR="00413A2F" w:rsidRPr="00413A2F" w:rsidRDefault="00413A2F" w:rsidP="00413A2F">
      <w:pPr>
        <w:pStyle w:val="EndNoteBibliography"/>
        <w:ind w:left="720" w:hanging="720"/>
      </w:pPr>
      <w:r w:rsidRPr="00413A2F">
        <w:t xml:space="preserve">Gauer, J. W., LeBlanc, S., Hao, P., Qiu, R., Case, B. C., Sakato, M., . . . Weninger, K. R. (2016). Single-Molecule FRET to Measure Conformational Dynamics of DNA Mismatch Repair Proteins. </w:t>
      </w:r>
      <w:r w:rsidRPr="00413A2F">
        <w:rPr>
          <w:i/>
        </w:rPr>
        <w:t>Methods Enzymol, 581</w:t>
      </w:r>
      <w:r w:rsidRPr="00413A2F">
        <w:t>, 285-315. doi:10.1016/bs.mie.2016.08.012</w:t>
      </w:r>
    </w:p>
    <w:p w14:paraId="0EF8CA64" w14:textId="77777777" w:rsidR="00413A2F" w:rsidRPr="00413A2F" w:rsidRDefault="00413A2F" w:rsidP="00413A2F">
      <w:pPr>
        <w:pStyle w:val="EndNoteBibliography"/>
        <w:ind w:left="720" w:hanging="720"/>
      </w:pPr>
      <w:r w:rsidRPr="00413A2F">
        <w:t xml:space="preserve">Haran, G. (2004). Noise reduction in single-molecule fluorescence trajectories of folding proteins. </w:t>
      </w:r>
      <w:r w:rsidRPr="00413A2F">
        <w:rPr>
          <w:i/>
        </w:rPr>
        <w:t>Chemical Physics, 307</w:t>
      </w:r>
      <w:r w:rsidRPr="00413A2F">
        <w:t>(2-3), 137-145. doi:10.1016/j.chemphys.2004.05.017</w:t>
      </w:r>
    </w:p>
    <w:p w14:paraId="1B6AEB98" w14:textId="77777777" w:rsidR="00413A2F" w:rsidRPr="00413A2F" w:rsidRDefault="00413A2F" w:rsidP="00413A2F">
      <w:pPr>
        <w:pStyle w:val="EndNoteBibliography"/>
        <w:ind w:left="720" w:hanging="720"/>
      </w:pPr>
      <w:r w:rsidRPr="00413A2F">
        <w:t xml:space="preserve">Juette, M. F., Terry, D. S., Wasserman, M. R., Altman, R. B., Zhou, Z., Zhao, H., &amp; Blanchard, S. C. (2016). Single-molecule imaging of non-equilibrium molecular ensembles on the millisecond timescale. </w:t>
      </w:r>
      <w:r w:rsidRPr="00413A2F">
        <w:rPr>
          <w:i/>
        </w:rPr>
        <w:t>Nat Methods, 13</w:t>
      </w:r>
      <w:r w:rsidRPr="00413A2F">
        <w:t>(4), 341-344. doi:10.1038/nmeth.3769</w:t>
      </w:r>
    </w:p>
    <w:p w14:paraId="557E33F3" w14:textId="77777777" w:rsidR="00413A2F" w:rsidRPr="00413A2F" w:rsidRDefault="00413A2F" w:rsidP="00413A2F">
      <w:pPr>
        <w:pStyle w:val="EndNoteBibliography"/>
        <w:ind w:left="720" w:hanging="720"/>
      </w:pPr>
      <w:r w:rsidRPr="00413A2F">
        <w:t xml:space="preserve">Kinz-Thompson, C. D., Bailey, N. A., &amp; Gonzalez, R. L., Jr. (2016). Precisely and Accurately Inferring Single-Molecule Rate Constants. </w:t>
      </w:r>
      <w:r w:rsidRPr="00413A2F">
        <w:rPr>
          <w:i/>
        </w:rPr>
        <w:t>Methods Enzymol, 581</w:t>
      </w:r>
      <w:r w:rsidRPr="00413A2F">
        <w:t>, 187-225. doi:10.1016/bs.mie.2016.08.021</w:t>
      </w:r>
    </w:p>
    <w:p w14:paraId="2E78612E" w14:textId="08D4599B" w:rsidR="00FB2304" w:rsidRDefault="00413A2F">
      <w:r>
        <w:fldChar w:fldCharType="end"/>
      </w:r>
    </w:p>
    <w:sectPr w:rsidR="00FB23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4A187B"/>
    <w:multiLevelType w:val="hybridMultilevel"/>
    <w:tmpl w:val="9CC497F2"/>
    <w:lvl w:ilvl="0" w:tplc="56F42FF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78581506"/>
    <w:multiLevelType w:val="hybridMultilevel"/>
    <w:tmpl w:val="42C4B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45155366">
    <w:abstractNumId w:val="1"/>
  </w:num>
  <w:num w:numId="2" w16cid:durableId="2017152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zexx0wz45awtye2aaexe5xpv02x55dfprze&quot;&gt;Pengning all Ref&lt;record-ids&gt;&lt;item&gt;51&lt;/item&gt;&lt;item&gt;222&lt;/item&gt;&lt;item&gt;298&lt;/item&gt;&lt;item&gt;497&lt;/item&gt;&lt;/record-ids&gt;&lt;/item&gt;&lt;/Libraries&gt;"/>
  </w:docVars>
  <w:rsids>
    <w:rsidRoot w:val="00413A2F"/>
    <w:rsid w:val="001074FF"/>
    <w:rsid w:val="00140D8C"/>
    <w:rsid w:val="001D3E58"/>
    <w:rsid w:val="00413A2F"/>
    <w:rsid w:val="00415915"/>
    <w:rsid w:val="004D4AD0"/>
    <w:rsid w:val="004F0D74"/>
    <w:rsid w:val="006376F8"/>
    <w:rsid w:val="0064188E"/>
    <w:rsid w:val="00681518"/>
    <w:rsid w:val="006B7415"/>
    <w:rsid w:val="0075112D"/>
    <w:rsid w:val="0085187C"/>
    <w:rsid w:val="00852962"/>
    <w:rsid w:val="0088364C"/>
    <w:rsid w:val="008F6537"/>
    <w:rsid w:val="00954EAF"/>
    <w:rsid w:val="00962C3E"/>
    <w:rsid w:val="00992122"/>
    <w:rsid w:val="00A029DA"/>
    <w:rsid w:val="00A66838"/>
    <w:rsid w:val="00B31808"/>
    <w:rsid w:val="00C91A91"/>
    <w:rsid w:val="00D425E0"/>
    <w:rsid w:val="00D62E2A"/>
    <w:rsid w:val="00F36925"/>
    <w:rsid w:val="00F43DE7"/>
    <w:rsid w:val="00FB2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0C1D9"/>
  <w15:chartTrackingRefBased/>
  <w15:docId w15:val="{BCFB7E7E-E8D7-4DA3-9BC9-91FEE108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3A2F"/>
    <w:pPr>
      <w:spacing w:after="0" w:line="240" w:lineRule="auto"/>
    </w:pPr>
    <w:rPr>
      <w:rFonts w:ascii="Times New Roman" w:eastAsia="SimSu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A2F"/>
    <w:pPr>
      <w:tabs>
        <w:tab w:val="center" w:pos="4320"/>
        <w:tab w:val="right" w:pos="8640"/>
      </w:tabs>
    </w:pPr>
  </w:style>
  <w:style w:type="character" w:customStyle="1" w:styleId="FooterChar">
    <w:name w:val="Footer Char"/>
    <w:basedOn w:val="DefaultParagraphFont"/>
    <w:link w:val="Footer"/>
    <w:uiPriority w:val="99"/>
    <w:rsid w:val="00413A2F"/>
    <w:rPr>
      <w:rFonts w:ascii="Times New Roman" w:eastAsia="SimSun" w:hAnsi="Times New Roman" w:cs="Times New Roman"/>
      <w:sz w:val="24"/>
      <w:szCs w:val="24"/>
      <w:lang w:eastAsia="en-US"/>
    </w:rPr>
  </w:style>
  <w:style w:type="paragraph" w:customStyle="1" w:styleId="Body1">
    <w:name w:val="Body 1"/>
    <w:basedOn w:val="Normal"/>
    <w:link w:val="Body1Char"/>
    <w:qFormat/>
    <w:rsid w:val="00413A2F"/>
    <w:pPr>
      <w:spacing w:line="480" w:lineRule="auto"/>
      <w:ind w:firstLine="720"/>
    </w:pPr>
  </w:style>
  <w:style w:type="paragraph" w:styleId="Subtitle">
    <w:name w:val="Subtitle"/>
    <w:basedOn w:val="Footer"/>
    <w:next w:val="Normal"/>
    <w:link w:val="SubtitleChar"/>
    <w:qFormat/>
    <w:rsid w:val="00413A2F"/>
    <w:pPr>
      <w:tabs>
        <w:tab w:val="clear" w:pos="4320"/>
        <w:tab w:val="clear" w:pos="8640"/>
      </w:tabs>
      <w:spacing w:line="480" w:lineRule="auto"/>
    </w:pPr>
    <w:rPr>
      <w:b/>
    </w:rPr>
  </w:style>
  <w:style w:type="character" w:customStyle="1" w:styleId="SubtitleChar">
    <w:name w:val="Subtitle Char"/>
    <w:basedOn w:val="DefaultParagraphFont"/>
    <w:link w:val="Subtitle"/>
    <w:rsid w:val="00413A2F"/>
    <w:rPr>
      <w:rFonts w:ascii="Times New Roman" w:eastAsia="SimSun" w:hAnsi="Times New Roman" w:cs="Times New Roman"/>
      <w:b/>
      <w:sz w:val="24"/>
      <w:szCs w:val="24"/>
      <w:lang w:eastAsia="en-US"/>
    </w:rPr>
  </w:style>
  <w:style w:type="character" w:customStyle="1" w:styleId="Body1Char">
    <w:name w:val="Body 1 Char"/>
    <w:basedOn w:val="DefaultParagraphFont"/>
    <w:link w:val="Body1"/>
    <w:rsid w:val="00413A2F"/>
    <w:rPr>
      <w:rFonts w:ascii="Times New Roman" w:eastAsia="SimSun" w:hAnsi="Times New Roman" w:cs="Times New Roman"/>
      <w:sz w:val="24"/>
      <w:szCs w:val="24"/>
      <w:lang w:eastAsia="en-US"/>
    </w:rPr>
  </w:style>
  <w:style w:type="character" w:styleId="Hyperlink">
    <w:name w:val="Hyperlink"/>
    <w:basedOn w:val="DefaultParagraphFont"/>
    <w:uiPriority w:val="99"/>
    <w:rsid w:val="00413A2F"/>
    <w:rPr>
      <w:color w:val="0563C1" w:themeColor="hyperlink"/>
      <w:u w:val="single"/>
    </w:rPr>
  </w:style>
  <w:style w:type="paragraph" w:customStyle="1" w:styleId="EndNoteBibliography">
    <w:name w:val="EndNote Bibliography"/>
    <w:basedOn w:val="Normal"/>
    <w:link w:val="EndNoteBibliographyChar"/>
    <w:rsid w:val="00413A2F"/>
    <w:rPr>
      <w:noProof/>
    </w:rPr>
  </w:style>
  <w:style w:type="character" w:customStyle="1" w:styleId="EndNoteBibliographyChar">
    <w:name w:val="EndNote Bibliography Char"/>
    <w:basedOn w:val="DefaultParagraphFont"/>
    <w:link w:val="EndNoteBibliography"/>
    <w:rsid w:val="00413A2F"/>
    <w:rPr>
      <w:rFonts w:ascii="Times New Roman" w:eastAsia="SimSun" w:hAnsi="Times New Roman" w:cs="Times New Roman"/>
      <w:noProof/>
      <w:sz w:val="24"/>
      <w:szCs w:val="24"/>
      <w:lang w:eastAsia="en-US"/>
    </w:rPr>
  </w:style>
  <w:style w:type="paragraph" w:customStyle="1" w:styleId="EndNoteCategoryHeading">
    <w:name w:val="EndNote Category Heading"/>
    <w:basedOn w:val="Normal"/>
    <w:link w:val="EndNoteCategoryHeadingChar"/>
    <w:rsid w:val="00413A2F"/>
    <w:pPr>
      <w:spacing w:before="120" w:after="120"/>
    </w:pPr>
    <w:rPr>
      <w:b/>
      <w:noProof/>
    </w:rPr>
  </w:style>
  <w:style w:type="character" w:customStyle="1" w:styleId="EndNoteCategoryHeadingChar">
    <w:name w:val="EndNote Category Heading Char"/>
    <w:basedOn w:val="DefaultParagraphFont"/>
    <w:link w:val="EndNoteCategoryHeading"/>
    <w:rsid w:val="00413A2F"/>
    <w:rPr>
      <w:rFonts w:ascii="Times New Roman" w:eastAsia="SimSun" w:hAnsi="Times New Roman" w:cs="Times New Roman"/>
      <w:b/>
      <w:noProof/>
      <w:sz w:val="24"/>
      <w:szCs w:val="24"/>
      <w:lang w:eastAsia="en-US"/>
    </w:rPr>
  </w:style>
  <w:style w:type="paragraph" w:customStyle="1" w:styleId="EndNoteBibliographyTitle">
    <w:name w:val="EndNote Bibliography Title"/>
    <w:basedOn w:val="Normal"/>
    <w:link w:val="EndNoteBibliographyTitleChar"/>
    <w:rsid w:val="00413A2F"/>
    <w:pPr>
      <w:jc w:val="center"/>
    </w:pPr>
    <w:rPr>
      <w:noProof/>
    </w:rPr>
  </w:style>
  <w:style w:type="character" w:customStyle="1" w:styleId="EndNoteBibliographyTitleChar">
    <w:name w:val="EndNote Bibliography Title Char"/>
    <w:basedOn w:val="Body1Char"/>
    <w:link w:val="EndNoteBibliographyTitle"/>
    <w:rsid w:val="00413A2F"/>
    <w:rPr>
      <w:rFonts w:ascii="Times New Roman" w:eastAsia="SimSun" w:hAnsi="Times New Roman" w:cs="Times New Roman"/>
      <w:noProof/>
      <w:sz w:val="24"/>
      <w:szCs w:val="24"/>
      <w:lang w:eastAsia="en-US"/>
    </w:rPr>
  </w:style>
  <w:style w:type="paragraph" w:styleId="Revision">
    <w:name w:val="Revision"/>
    <w:hidden/>
    <w:uiPriority w:val="99"/>
    <w:semiHidden/>
    <w:rsid w:val="006B7415"/>
    <w:pPr>
      <w:spacing w:after="0" w:line="240" w:lineRule="auto"/>
    </w:pPr>
    <w:rPr>
      <w:rFonts w:ascii="Times New Roman" w:eastAsia="SimSu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13</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Pengning Xu</dc:creator>
  <cp:keywords/>
  <dc:description/>
  <cp:lastModifiedBy>Keith Weninger</cp:lastModifiedBy>
  <cp:revision>14</cp:revision>
  <dcterms:created xsi:type="dcterms:W3CDTF">2022-10-07T18:00:00Z</dcterms:created>
  <dcterms:modified xsi:type="dcterms:W3CDTF">2022-10-10T18:55:00Z</dcterms:modified>
</cp:coreProperties>
</file>