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tblpY="930"/>
        <w:tblW w:w="139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6"/>
        <w:gridCol w:w="2378"/>
        <w:gridCol w:w="9974"/>
      </w:tblGrid>
      <w:tr w:rsidR="00FB2674" w:rsidRPr="00E77A9C" w14:paraId="396CE7E5" w14:textId="18BBB2B3" w:rsidTr="00F2635C">
        <w:trPr>
          <w:trHeight w:val="424"/>
        </w:trPr>
        <w:tc>
          <w:tcPr>
            <w:tcW w:w="1576" w:type="dxa"/>
            <w:shd w:val="clear" w:color="auto" w:fill="7F7F7F" w:themeFill="text1" w:themeFillTint="80"/>
          </w:tcPr>
          <w:p w14:paraId="01DB5A90" w14:textId="4BAAA80A" w:rsidR="00FB2674" w:rsidRPr="00E77A9C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Test Name</w:t>
            </w:r>
          </w:p>
        </w:tc>
        <w:tc>
          <w:tcPr>
            <w:tcW w:w="2378" w:type="dxa"/>
            <w:shd w:val="clear" w:color="auto" w:fill="7F7F7F" w:themeFill="text1" w:themeFillTint="80"/>
          </w:tcPr>
          <w:p w14:paraId="7DCC7A58" w14:textId="741A36E8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Tested Parameter</w:t>
            </w:r>
          </w:p>
        </w:tc>
        <w:tc>
          <w:tcPr>
            <w:tcW w:w="9974" w:type="dxa"/>
            <w:shd w:val="clear" w:color="auto" w:fill="7F7F7F" w:themeFill="text1" w:themeFillTint="80"/>
          </w:tcPr>
          <w:p w14:paraId="73C32FD3" w14:textId="47936D14" w:rsidR="00FB2674" w:rsidRPr="00E77A9C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Description</w:t>
            </w:r>
          </w:p>
        </w:tc>
      </w:tr>
      <w:tr w:rsidR="00FB2674" w:rsidRPr="00E02411" w14:paraId="4A88AE87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3282E088" w14:textId="4B96D462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 1e19</w:t>
            </w:r>
          </w:p>
        </w:tc>
        <w:tc>
          <w:tcPr>
            <w:tcW w:w="2378" w:type="dxa"/>
            <w:shd w:val="clear" w:color="auto" w:fill="E7E6E6" w:themeFill="background2"/>
          </w:tcPr>
          <w:p w14:paraId="16FE930C" w14:textId="3C2C02A1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 BC, viscosity: 1e19</w:t>
            </w:r>
          </w:p>
        </w:tc>
        <w:tc>
          <w:tcPr>
            <w:tcW w:w="9974" w:type="dxa"/>
            <w:shd w:val="clear" w:color="auto" w:fill="E7E6E6" w:themeFill="background2"/>
          </w:tcPr>
          <w:p w14:paraId="61EC8A76" w14:textId="60DCC39E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The numerical simulation is similar to the reference scenario. The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internal boundary condition modulate the velocity of the mantle plume and thus the amount of new melt generated over time</w:t>
            </w:r>
          </w:p>
        </w:tc>
      </w:tr>
      <w:tr w:rsidR="00FB2674" w:rsidRPr="00E77A9C" w14:paraId="498099E7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3289E38B" w14:textId="007F39FA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 1e20</w:t>
            </w:r>
          </w:p>
        </w:tc>
        <w:tc>
          <w:tcPr>
            <w:tcW w:w="2378" w:type="dxa"/>
            <w:shd w:val="clear" w:color="auto" w:fill="E7E6E6" w:themeFill="background2"/>
          </w:tcPr>
          <w:p w14:paraId="4822DE55" w14:textId="6318A30E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 BC, viscosity: 1e20</w:t>
            </w:r>
          </w:p>
        </w:tc>
        <w:tc>
          <w:tcPr>
            <w:tcW w:w="9974" w:type="dxa"/>
            <w:shd w:val="clear" w:color="auto" w:fill="E7E6E6" w:themeFill="background2"/>
          </w:tcPr>
          <w:p w14:paraId="6EEB0736" w14:textId="368AA70C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Intermediate viscosity within the internal boundary condition produce a weaker plume flux and thus less melting. This, inhibits all the processes in the reference state</w:t>
            </w:r>
          </w:p>
        </w:tc>
      </w:tr>
      <w:tr w:rsidR="00FB2674" w:rsidRPr="00E02411" w14:paraId="3637CF8E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47813193" w14:textId="58488ED7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 1e21</w:t>
            </w:r>
          </w:p>
        </w:tc>
        <w:tc>
          <w:tcPr>
            <w:tcW w:w="2378" w:type="dxa"/>
            <w:shd w:val="clear" w:color="auto" w:fill="E7E6E6" w:themeFill="background2"/>
          </w:tcPr>
          <w:p w14:paraId="4071ADDF" w14:textId="4A8328A2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Winkler BC, viscosity: 1e21</w:t>
            </w:r>
          </w:p>
        </w:tc>
        <w:tc>
          <w:tcPr>
            <w:tcW w:w="9974" w:type="dxa"/>
            <w:shd w:val="clear" w:color="auto" w:fill="E7E6E6" w:themeFill="background2"/>
          </w:tcPr>
          <w:p w14:paraId="42579D3C" w14:textId="65245A30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The plume it is extremely weak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w.r.t.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the reference scenarios, and the amount of melt is negligible. To account high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viscosity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it is necessary to account for an extra pressure source to introduce the integrated buoyancy force generated by the plume</w:t>
            </w:r>
          </w:p>
        </w:tc>
      </w:tr>
      <w:tr w:rsidR="00FB2674" w:rsidRPr="00E02411" w14:paraId="2EC5093D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6725888D" w14:textId="38F3C126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R_2000_4000</w:t>
            </w:r>
          </w:p>
        </w:tc>
        <w:tc>
          <w:tcPr>
            <w:tcW w:w="2378" w:type="dxa"/>
            <w:shd w:val="clear" w:color="auto" w:fill="E7E6E6" w:themeFill="background2"/>
          </w:tcPr>
          <w:p w14:paraId="7435ED09" w14:textId="4FCAE09B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X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axis  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2000 – 4000 km </w:t>
            </w:r>
          </w:p>
        </w:tc>
        <w:tc>
          <w:tcPr>
            <w:tcW w:w="9974" w:type="dxa"/>
            <w:shd w:val="clear" w:color="auto" w:fill="E7E6E6" w:themeFill="background2"/>
          </w:tcPr>
          <w:p w14:paraId="25F478A5" w14:textId="4B267F46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There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no significant difference w.r.t the reference scenarios. </w:t>
            </w:r>
          </w:p>
        </w:tc>
      </w:tr>
      <w:tr w:rsidR="00FB2674" w:rsidRPr="00E02411" w14:paraId="1FD5E14B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4FA6E908" w14:textId="21E2F8E2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R_4000_2000</w:t>
            </w:r>
          </w:p>
        </w:tc>
        <w:tc>
          <w:tcPr>
            <w:tcW w:w="2378" w:type="dxa"/>
            <w:shd w:val="clear" w:color="auto" w:fill="E7E6E6" w:themeFill="background2"/>
          </w:tcPr>
          <w:p w14:paraId="6E3247DD" w14:textId="1B5046A7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X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axis  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4000 – 2000 km </w:t>
            </w:r>
          </w:p>
        </w:tc>
        <w:tc>
          <w:tcPr>
            <w:tcW w:w="9974" w:type="dxa"/>
            <w:shd w:val="clear" w:color="auto" w:fill="E7E6E6" w:themeFill="background2"/>
          </w:tcPr>
          <w:p w14:paraId="5146AFDF" w14:textId="55F7C025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The age of the plate becomes old enough to prevent the generation of melt and sub-lithospheric mantle circulation, confirming the importance of the age of the plate at the top of the plume</w:t>
            </w:r>
          </w:p>
        </w:tc>
      </w:tr>
      <w:tr w:rsidR="00FB2674" w:rsidRPr="00E02411" w14:paraId="01A039EE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463A3C7B" w14:textId="39F7DD86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R_4000_4000</w:t>
            </w:r>
          </w:p>
        </w:tc>
        <w:tc>
          <w:tcPr>
            <w:tcW w:w="2378" w:type="dxa"/>
            <w:shd w:val="clear" w:color="auto" w:fill="E7E6E6" w:themeFill="background2"/>
          </w:tcPr>
          <w:p w14:paraId="6B9047C0" w14:textId="38F25B89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X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axis  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4000 – 4000 km </w:t>
            </w:r>
          </w:p>
        </w:tc>
        <w:tc>
          <w:tcPr>
            <w:tcW w:w="9974" w:type="dxa"/>
            <w:shd w:val="clear" w:color="auto" w:fill="E7E6E6" w:themeFill="background2"/>
          </w:tcPr>
          <w:p w14:paraId="432F1E0A" w14:textId="48A5EE6E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The age of the plate is too old to allow production of new melt. Small gravitational instabilities are generated in the right most area of the model</w:t>
            </w:r>
          </w:p>
        </w:tc>
      </w:tr>
      <w:tr w:rsidR="00FB2674" w:rsidRPr="00E77A9C" w14:paraId="41A45A00" w14:textId="77777777" w:rsidTr="00F2635C">
        <w:trPr>
          <w:trHeight w:val="424"/>
        </w:trPr>
        <w:tc>
          <w:tcPr>
            <w:tcW w:w="1576" w:type="dxa"/>
            <w:shd w:val="clear" w:color="auto" w:fill="E7E6E6" w:themeFill="background2"/>
          </w:tcPr>
          <w:p w14:paraId="1890DD93" w14:textId="7049FD17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R_permeable</w:t>
            </w:r>
            <w:proofErr w:type="spellEnd"/>
          </w:p>
        </w:tc>
        <w:tc>
          <w:tcPr>
            <w:tcW w:w="2378" w:type="dxa"/>
            <w:shd w:val="clear" w:color="auto" w:fill="E7E6E6" w:themeFill="background2"/>
          </w:tcPr>
          <w:p w14:paraId="7EEEF692" w14:textId="77777777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Lateral Internal permeable </w:t>
            </w:r>
          </w:p>
          <w:p w14:paraId="1BD36F0C" w14:textId="42510BB0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BC</w:t>
            </w:r>
          </w:p>
        </w:tc>
        <w:tc>
          <w:tcPr>
            <w:tcW w:w="9974" w:type="dxa"/>
            <w:shd w:val="clear" w:color="auto" w:fill="E7E6E6" w:themeFill="background2"/>
          </w:tcPr>
          <w:p w14:paraId="08911A23" w14:textId="191D8065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</w:p>
        </w:tc>
      </w:tr>
      <w:tr w:rsidR="00FB2674" w:rsidRPr="00E02411" w14:paraId="01ADFF54" w14:textId="77777777" w:rsidTr="00F2635C">
        <w:trPr>
          <w:trHeight w:val="424"/>
        </w:trPr>
        <w:tc>
          <w:tcPr>
            <w:tcW w:w="1576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025AFBF1" w14:textId="66901105" w:rsid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Refer_Win_3D</w:t>
            </w:r>
          </w:p>
        </w:tc>
        <w:tc>
          <w:tcPr>
            <w:tcW w:w="237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59C74756" w14:textId="50DDF4CA" w:rsidR="00FB2674" w:rsidRPr="00FB2674" w:rsidRDefault="00FB2674" w:rsidP="00F263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3D numerical simulation with Winkler 1e20</w:t>
            </w:r>
          </w:p>
        </w:tc>
        <w:tc>
          <w:tcPr>
            <w:tcW w:w="9974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777FECD8" w14:textId="288E8438" w:rsidR="00FB2674" w:rsidRDefault="00FB2674" w:rsidP="00F2635C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The 3D numerical experiments nicely reproduce most of the main feature, the amount of eruption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significant low, as a consequence of the weak plume that is generated in 3D, and further work is required. </w:t>
            </w:r>
          </w:p>
        </w:tc>
      </w:tr>
    </w:tbl>
    <w:p w14:paraId="4A06DDD6" w14:textId="6F4421F4" w:rsidR="00A54DAD" w:rsidRPr="00F2635C" w:rsidRDefault="00185E65" w:rsidP="00FB2674">
      <w:pPr>
        <w:jc w:val="both"/>
        <w:rPr>
          <w:b/>
          <w:bCs/>
          <w:lang w:val="en-GB"/>
        </w:rPr>
      </w:pPr>
      <w:r w:rsidRPr="00F2635C">
        <w:rPr>
          <w:rFonts w:ascii="Times New Roman" w:hAnsi="Times New Roman" w:cs="Times New Roman"/>
          <w:b/>
          <w:sz w:val="24"/>
          <w:szCs w:val="24"/>
          <w:lang w:val="en-GB"/>
        </w:rPr>
        <w:t>Table S</w:t>
      </w:r>
      <w:r w:rsidR="00E02411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 w:rsidR="00F2635C" w:rsidRPr="00F2635C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bookmarkStart w:id="0" w:name="_GoBack"/>
      <w:bookmarkEnd w:id="0"/>
    </w:p>
    <w:sectPr w:rsidR="00A54DAD" w:rsidRPr="00F2635C" w:rsidSect="00451B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F886D" w14:textId="77777777" w:rsidR="005F20F2" w:rsidRDefault="005F20F2" w:rsidP="009328F1">
      <w:pPr>
        <w:spacing w:after="0" w:line="240" w:lineRule="auto"/>
      </w:pPr>
      <w:r>
        <w:separator/>
      </w:r>
    </w:p>
  </w:endnote>
  <w:endnote w:type="continuationSeparator" w:id="0">
    <w:p w14:paraId="18CD5213" w14:textId="77777777" w:rsidR="005F20F2" w:rsidRDefault="005F20F2" w:rsidP="0093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5293D" w14:textId="77777777" w:rsidR="005F20F2" w:rsidRDefault="005F20F2" w:rsidP="009328F1">
      <w:pPr>
        <w:spacing w:after="0" w:line="240" w:lineRule="auto"/>
      </w:pPr>
      <w:r>
        <w:separator/>
      </w:r>
    </w:p>
  </w:footnote>
  <w:footnote w:type="continuationSeparator" w:id="0">
    <w:p w14:paraId="110ADBB4" w14:textId="77777777" w:rsidR="005F20F2" w:rsidRDefault="005F20F2" w:rsidP="00932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YwMDA3NjW0NDEyMDZV0lEKTi0uzszPAykwqgUATxEmiywAAAA="/>
  </w:docVars>
  <w:rsids>
    <w:rsidRoot w:val="009F2A1D"/>
    <w:rsid w:val="00003F09"/>
    <w:rsid w:val="00005A11"/>
    <w:rsid w:val="000074AF"/>
    <w:rsid w:val="00092741"/>
    <w:rsid w:val="000A724C"/>
    <w:rsid w:val="000C4EF1"/>
    <w:rsid w:val="00185E65"/>
    <w:rsid w:val="00213678"/>
    <w:rsid w:val="0021548F"/>
    <w:rsid w:val="00264405"/>
    <w:rsid w:val="00266580"/>
    <w:rsid w:val="002C48D4"/>
    <w:rsid w:val="002C4BEE"/>
    <w:rsid w:val="002E09BD"/>
    <w:rsid w:val="00322930"/>
    <w:rsid w:val="003F4D71"/>
    <w:rsid w:val="004172B0"/>
    <w:rsid w:val="00434FDD"/>
    <w:rsid w:val="00451B4E"/>
    <w:rsid w:val="0045601E"/>
    <w:rsid w:val="00463B54"/>
    <w:rsid w:val="00481675"/>
    <w:rsid w:val="004909F0"/>
    <w:rsid w:val="004B7E44"/>
    <w:rsid w:val="004F0B74"/>
    <w:rsid w:val="004F3F59"/>
    <w:rsid w:val="00534BE5"/>
    <w:rsid w:val="00564323"/>
    <w:rsid w:val="005653A0"/>
    <w:rsid w:val="005D11F1"/>
    <w:rsid w:val="005F20F2"/>
    <w:rsid w:val="005F2186"/>
    <w:rsid w:val="00620840"/>
    <w:rsid w:val="00631476"/>
    <w:rsid w:val="006367FD"/>
    <w:rsid w:val="006451DB"/>
    <w:rsid w:val="00675280"/>
    <w:rsid w:val="00680AA0"/>
    <w:rsid w:val="006C3229"/>
    <w:rsid w:val="006E06FF"/>
    <w:rsid w:val="0076238C"/>
    <w:rsid w:val="00770E0F"/>
    <w:rsid w:val="00795D48"/>
    <w:rsid w:val="007A721A"/>
    <w:rsid w:val="007D24D0"/>
    <w:rsid w:val="00827D33"/>
    <w:rsid w:val="00844DE1"/>
    <w:rsid w:val="008D0D9F"/>
    <w:rsid w:val="008D6E4E"/>
    <w:rsid w:val="009257AD"/>
    <w:rsid w:val="009328F1"/>
    <w:rsid w:val="00980E9F"/>
    <w:rsid w:val="009D498D"/>
    <w:rsid w:val="009F2A1D"/>
    <w:rsid w:val="00A454C2"/>
    <w:rsid w:val="00A54DAD"/>
    <w:rsid w:val="00A91BDA"/>
    <w:rsid w:val="00AC1C0C"/>
    <w:rsid w:val="00B03019"/>
    <w:rsid w:val="00B179CA"/>
    <w:rsid w:val="00B31187"/>
    <w:rsid w:val="00B451C2"/>
    <w:rsid w:val="00B514EA"/>
    <w:rsid w:val="00BA6431"/>
    <w:rsid w:val="00BD17FD"/>
    <w:rsid w:val="00C07601"/>
    <w:rsid w:val="00C47901"/>
    <w:rsid w:val="00C97468"/>
    <w:rsid w:val="00CA503B"/>
    <w:rsid w:val="00CB2F9C"/>
    <w:rsid w:val="00CC4FA1"/>
    <w:rsid w:val="00CD64BC"/>
    <w:rsid w:val="00CE2718"/>
    <w:rsid w:val="00D10F23"/>
    <w:rsid w:val="00D16016"/>
    <w:rsid w:val="00D1721E"/>
    <w:rsid w:val="00D2153C"/>
    <w:rsid w:val="00D242CB"/>
    <w:rsid w:val="00D34886"/>
    <w:rsid w:val="00D734A2"/>
    <w:rsid w:val="00DB5A19"/>
    <w:rsid w:val="00DD3C20"/>
    <w:rsid w:val="00E02411"/>
    <w:rsid w:val="00E44A86"/>
    <w:rsid w:val="00E77A9C"/>
    <w:rsid w:val="00EA5F69"/>
    <w:rsid w:val="00EE295F"/>
    <w:rsid w:val="00EE32F7"/>
    <w:rsid w:val="00F2635C"/>
    <w:rsid w:val="00F83B8E"/>
    <w:rsid w:val="00F92D20"/>
    <w:rsid w:val="00FB2674"/>
    <w:rsid w:val="00FD53E9"/>
    <w:rsid w:val="00FF4147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C5E03"/>
  <w15:chartTrackingRefBased/>
  <w15:docId w15:val="{6D253B1A-FD0B-40E1-A00A-A323049A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E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28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28F1"/>
  </w:style>
  <w:style w:type="paragraph" w:styleId="Fuzeile">
    <w:name w:val="footer"/>
    <w:basedOn w:val="Standard"/>
    <w:link w:val="FuzeileZchn"/>
    <w:uiPriority w:val="99"/>
    <w:unhideWhenUsed/>
    <w:rsid w:val="009328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2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Piccolo, Andrea</dc:creator>
  <cp:keywords/>
  <dc:description/>
  <cp:lastModifiedBy>Yamirka Rojas-Agramonte</cp:lastModifiedBy>
  <cp:revision>5</cp:revision>
  <dcterms:created xsi:type="dcterms:W3CDTF">2021-12-12T16:43:00Z</dcterms:created>
  <dcterms:modified xsi:type="dcterms:W3CDTF">2022-07-28T07:39:00Z</dcterms:modified>
</cp:coreProperties>
</file>