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C21" w:rsidRPr="00A5334C" w:rsidRDefault="00307C21" w:rsidP="00A5334C">
      <w:pPr>
        <w:pStyle w:val="berschrift1"/>
        <w:spacing w:before="120"/>
        <w:rPr>
          <w:rFonts w:asciiTheme="minorHAnsi" w:hAnsiTheme="minorHAnsi" w:cstheme="minorHAnsi"/>
        </w:rPr>
      </w:pPr>
      <w:r w:rsidRPr="00A5334C">
        <w:rPr>
          <w:rFonts w:asciiTheme="minorHAnsi" w:hAnsiTheme="minorHAnsi" w:cstheme="minorHAnsi"/>
        </w:rPr>
        <w:t>Verzeichnis der Themenbereiche</w:t>
      </w:r>
    </w:p>
    <w:p w:rsidR="00307C21" w:rsidRPr="00A5334C" w:rsidRDefault="00307C21" w:rsidP="00307C21">
      <w:pPr>
        <w:jc w:val="both"/>
        <w:rPr>
          <w:rFonts w:eastAsia="Arial" w:cstheme="minorHAnsi"/>
          <w:sz w:val="20"/>
          <w:szCs w:val="20"/>
        </w:rPr>
      </w:pPr>
      <w:r w:rsidRPr="00A5334C">
        <w:rPr>
          <w:rFonts w:eastAsia="Arial" w:cstheme="minorHAnsi"/>
          <w:sz w:val="20"/>
          <w:szCs w:val="20"/>
        </w:rPr>
        <w:t>Für eine bessere Übersichtlichkeit wurden die relevanten Themenbereiche zu Clustern zusammen</w:t>
      </w:r>
      <w:r w:rsidRPr="00A5334C">
        <w:rPr>
          <w:rFonts w:eastAsia="Arial" w:cstheme="minorHAnsi"/>
          <w:sz w:val="20"/>
          <w:szCs w:val="20"/>
        </w:rPr>
        <w:softHyphen/>
        <w:t>gefasst. Weder das Clustering noch die Reihenfolge, in der die Themenbereiche hier aufgeführt sind, folgen einer Bewertung oder Gewichtung der aufgeführten Aspekte.</w:t>
      </w:r>
    </w:p>
    <w:tbl>
      <w:tblPr>
        <w:tblW w:w="949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7088"/>
      </w:tblGrid>
      <w:tr w:rsidR="00307C21" w:rsidRPr="00A5334C" w:rsidTr="00EE78AE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instrText xml:space="preserve"> REF Grundlagen_Konzepte \h  \* MERGEFORMAT </w:instrText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t>Grundlagen und übergreifende Konzepte</w:t>
            </w:r>
          </w:p>
          <w:p w:rsidR="00307C21" w:rsidRPr="00A5334C" w:rsidRDefault="00307C21" w:rsidP="00EE78AE">
            <w:pPr>
              <w:spacing w:before="60" w:after="60" w:line="240" w:lineRule="auto"/>
              <w:rPr>
                <w:rFonts w:eastAsia="Arial" w:cstheme="minorHAnsi"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end"/>
            </w:r>
          </w:p>
        </w:tc>
        <w:tc>
          <w:tcPr>
            <w:tcW w:w="708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i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i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i/>
                <w:sz w:val="18"/>
                <w:szCs w:val="18"/>
                <w:lang w:eastAsia="de-DE"/>
              </w:rPr>
              <w:instrText xml:space="preserve"> REF Allg_Grundlagen \h </w:instrText>
            </w:r>
            <w:r w:rsidRPr="00A5334C">
              <w:rPr>
                <w:rFonts w:eastAsia="Arial" w:cstheme="minorHAnsi"/>
                <w:bCs/>
                <w:i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i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i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Allgemeine Grundsätze und Konzepte des Forschungsdatenmanagements</w:t>
            </w:r>
            <w:r w:rsidRPr="00A5334C">
              <w:rPr>
                <w:rFonts w:eastAsia="Arial" w:cstheme="minorHAnsi"/>
                <w:bCs/>
                <w:i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tabs>
                <w:tab w:val="left" w:pos="6600"/>
              </w:tabs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REF FDMPolicies \h 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proofErr w:type="spellStart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Forschungsdatenpolicies</w:t>
            </w:r>
            <w:proofErr w:type="spellEnd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DMPs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Datenmanagementpläne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 xml:space="preserve"> (DMPs)</w:t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bCs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REF FAIR \h 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FAIR-Prinzipien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  <w:lang w:val="en-US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val="en-US"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val="en-US" w:eastAsia="de-DE"/>
              </w:rPr>
              <w:instrText xml:space="preserve"> REF OPENx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val="en-US"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val="en-US"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val="en-US"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val="en-US" w:eastAsia="de-DE"/>
              </w:rPr>
              <w:t>Open X (Open Data, Open Source, Open Science, etc.)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val="en-US"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Arial" w:cstheme="minorHAnsi"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instrText xml:space="preserve"> REF ArbeitmitDaten \h </w:instrText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t>Arbeiten mit Daten</w:t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end"/>
            </w:r>
          </w:p>
        </w:tc>
        <w:tc>
          <w:tcPr>
            <w:tcW w:w="708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OrdungStruktur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 xml:space="preserve">Ordnung und Struktur, </w:t>
            </w:r>
            <w:proofErr w:type="spellStart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Versionierung</w:t>
            </w:r>
            <w:proofErr w:type="spellEnd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Daten_Datenformate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 xml:space="preserve">Daten, Datentypen, Datenformate 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DatenspeicherBackUp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Datenspeicherung und Back-Up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Datensicherheit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 xml:space="preserve">Datensicherheit 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color w:val="000000"/>
                <w:sz w:val="18"/>
                <w:szCs w:val="18"/>
                <w:lang w:eastAsia="de-DE"/>
              </w:rPr>
              <w:instrText xml:space="preserve"> REF Datenqualität \h </w:instrTex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t>Datenqualität</w: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Tools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Tools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SoftwareCoding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 xml:space="preserve">(Forschungs-)Software und </w:t>
            </w:r>
            <w:proofErr w:type="spellStart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Coding</w:t>
            </w:r>
            <w:proofErr w:type="spellEnd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E1F2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instrText xml:space="preserve"> REF DatendokumentationMetadaten \h </w:instrText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t xml:space="preserve">Dokumentation und </w:t>
            </w:r>
          </w:p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t>Metadaten</w:t>
            </w:r>
          </w:p>
          <w:p w:rsidR="00307C21" w:rsidRPr="00A5334C" w:rsidRDefault="00307C21" w:rsidP="00EE78AE">
            <w:pPr>
              <w:spacing w:before="60" w:after="60" w:line="240" w:lineRule="auto"/>
              <w:rPr>
                <w:rFonts w:eastAsia="Arial" w:cstheme="minorHAnsi"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end"/>
            </w:r>
          </w:p>
        </w:tc>
        <w:tc>
          <w:tcPr>
            <w:tcW w:w="708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Datendokumentation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Datendokumentation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E1F2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Metadaten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Metadaten und Metadatenstandards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9E1F2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bCs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REF PIs \h 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 xml:space="preserve">Persistente </w:t>
            </w:r>
            <w:proofErr w:type="spellStart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Identifikatoren</w:t>
            </w:r>
            <w:proofErr w:type="spellEnd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rPr>
          <w:trHeight w:val="295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bCs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REF Ontologien \h 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proofErr w:type="spellStart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 xml:space="preserve"> und kontrollierte Vokabulare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instrText xml:space="preserve"> REF Langzeitarchivierung_Pub_Nachn \h  \* MERGEFORMAT </w:instrText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t>Langzeitarchivierung, Publikation, Nachnutzung</w:t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end"/>
            </w:r>
          </w:p>
        </w:tc>
        <w:tc>
          <w:tcPr>
            <w:tcW w:w="708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color w:val="000000"/>
                <w:sz w:val="18"/>
                <w:szCs w:val="18"/>
                <w:lang w:eastAsia="de-DE"/>
              </w:rPr>
              <w:instrText xml:space="preserve"> REF Langzeitarchivierung \h </w:instrTex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t>Langzeitarchivierung von Daten</w: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instrText xml:space="preserve"> REF Publikationswege \h  \* MERGEFORMAT </w:instrTex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t>Publikationswege für Daten</w: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instrText xml:space="preserve"> REF Repositorien \h  \* MERGEFORMAT </w:instrTex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t>Repositorien</w: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instrText xml:space="preserve"> REF Daten_nachnutzen \h  \* MERGEFORMAT </w:instrTex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t>Daten nachnutzen</w:t>
            </w:r>
            <w:r w:rsidRPr="00A5334C">
              <w:rPr>
                <w:rFonts w:eastAsia="Arial" w:cstheme="minorHAnsi"/>
                <w:bCs/>
                <w:color w:val="000000"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Arial" w:cstheme="minorHAnsi"/>
                <w:b/>
                <w:bCs/>
                <w:color w:val="000000"/>
                <w:sz w:val="18"/>
                <w:szCs w:val="18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instrText xml:space="preserve"> REF Recht_Ethik \h  \* MERGEFORMAT </w:instrText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t>Recht und Ethik</w:t>
            </w:r>
            <w:r w:rsidRPr="00A5334C">
              <w:rPr>
                <w:rFonts w:eastAsia="Arial" w:cstheme="minorHAnsi"/>
                <w:b/>
                <w:bCs/>
                <w:color w:val="000000"/>
                <w:sz w:val="18"/>
                <w:szCs w:val="18"/>
                <w:lang w:eastAsia="de-DE"/>
              </w:rPr>
              <w:fldChar w:fldCharType="end"/>
            </w:r>
          </w:p>
        </w:tc>
        <w:tc>
          <w:tcPr>
            <w:tcW w:w="708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Allg_rechtl_Aspekte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Allgemeine rechtliche Aspekte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CE4D6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Datenschutz_personenbezogene_Daten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Datenschutz und personenbezogene Daten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CE4D6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Informierte_Einwilligung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Informierte Einwilligung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CE4D6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Anonym_Pseudo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 xml:space="preserve">Anonymisierung und </w:t>
            </w:r>
            <w:proofErr w:type="spellStart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Pseudonymisierung</w:t>
            </w:r>
            <w:proofErr w:type="spellEnd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</w:rPr>
              <w:instrText xml:space="preserve"> REF Ethik_GWP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6"/>
                <w:szCs w:val="16"/>
                <w:lang w:eastAsia="de-DE"/>
              </w:rPr>
              <w:t xml:space="preserve">Ethische Aspekte und Gute Wissenschaftliche Praxis (GWP) 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CCFF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Unterstützungsstrukturen \h </w:instrText>
            </w:r>
            <w:r w:rsidRPr="00A5334C">
              <w:rPr>
                <w:rFonts w:eastAsia="Arial" w:cstheme="minorHAnsi"/>
                <w:b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/>
                <w:bCs/>
                <w:sz w:val="18"/>
                <w:szCs w:val="18"/>
                <w:lang w:eastAsia="de-DE"/>
              </w:rPr>
              <w:t>Unterstützungsstrukturen</w:t>
            </w:r>
            <w:r w:rsidRPr="00A5334C">
              <w:rPr>
                <w:rFonts w:eastAsia="Arial" w:cstheme="minorHAnsi"/>
                <w:b/>
                <w:bCs/>
                <w:sz w:val="18"/>
                <w:szCs w:val="18"/>
                <w:lang w:eastAsia="de-DE"/>
              </w:rPr>
              <w:fldChar w:fldCharType="end"/>
            </w:r>
          </w:p>
        </w:tc>
        <w:tc>
          <w:tcPr>
            <w:tcW w:w="708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CFF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Rollen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 xml:space="preserve">Rollen im Datenmanagement / Data </w:t>
            </w:r>
            <w:proofErr w:type="spellStart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Stewardship</w:t>
            </w:r>
            <w:proofErr w:type="spellEnd"/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CFF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CFF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Infrastrukturen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Relevante Infrastrukturen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CFF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CFF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Didaktik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Didaktik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  <w:tr w:rsidR="00307C21" w:rsidRPr="00A5334C" w:rsidTr="00EE78AE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</w:tcPr>
          <w:p w:rsidR="00307C21" w:rsidRPr="00A5334C" w:rsidRDefault="00307C21" w:rsidP="00EE78AE">
            <w:pPr>
              <w:spacing w:before="60" w:after="60" w:line="240" w:lineRule="auto"/>
              <w:rPr>
                <w:rFonts w:eastAsia="Times New Roman" w:cstheme="minorHAnsi"/>
                <w:sz w:val="18"/>
                <w:szCs w:val="18"/>
                <w:lang w:eastAsia="de-DE"/>
              </w:rPr>
            </w:pPr>
          </w:p>
        </w:tc>
        <w:tc>
          <w:tcPr>
            <w:tcW w:w="70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CCFF"/>
          </w:tcPr>
          <w:p w:rsidR="00307C21" w:rsidRPr="00A5334C" w:rsidRDefault="00307C21" w:rsidP="00EE78AE">
            <w:pPr>
              <w:spacing w:before="40" w:after="40" w:line="240" w:lineRule="auto"/>
              <w:rPr>
                <w:rFonts w:eastAsia="Arial" w:cstheme="minorHAnsi"/>
                <w:sz w:val="18"/>
                <w:szCs w:val="18"/>
              </w:rPr>
            </w:pP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begin"/>
            </w:r>
            <w:r w:rsidRPr="00A5334C">
              <w:rPr>
                <w:rFonts w:eastAsia="Arial" w:cstheme="minorHAnsi"/>
                <w:sz w:val="18"/>
                <w:szCs w:val="18"/>
                <w:lang w:eastAsia="de-DE"/>
              </w:rPr>
              <w:instrText xml:space="preserve"> REF Beratung \h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instrText xml:space="preserve"> \* MERGEFORMAT </w:instrTex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separate"/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t>Beratung</w:t>
            </w:r>
            <w:r w:rsidRPr="00A5334C">
              <w:rPr>
                <w:rFonts w:eastAsia="Arial" w:cstheme="minorHAnsi"/>
                <w:bCs/>
                <w:sz w:val="18"/>
                <w:szCs w:val="18"/>
                <w:lang w:eastAsia="de-DE"/>
              </w:rPr>
              <w:fldChar w:fldCharType="end"/>
            </w:r>
          </w:p>
        </w:tc>
      </w:tr>
    </w:tbl>
    <w:p w:rsidR="00307C21" w:rsidRDefault="00307C21" w:rsidP="00307C21">
      <w:pPr>
        <w:rPr>
          <w:rStyle w:val="berschrift1Zchn"/>
        </w:rPr>
        <w:sectPr w:rsidR="00307C21" w:rsidSect="00CB1E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080" w:bottom="1440" w:left="1080" w:header="709" w:footer="709" w:gutter="0"/>
          <w:pgNumType w:start="1"/>
          <w:cols w:space="708"/>
          <w:titlePg/>
          <w:docGrid w:linePitch="360"/>
        </w:sectPr>
      </w:pPr>
    </w:p>
    <w:tbl>
      <w:tblPr>
        <w:tblW w:w="1502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3224"/>
        <w:gridCol w:w="3225"/>
        <w:gridCol w:w="3225"/>
        <w:gridCol w:w="3225"/>
      </w:tblGrid>
      <w:tr w:rsidR="00307C21" w:rsidRPr="00A5334C" w:rsidTr="00EE78A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70AD47" w:themeColor="accent6" w:fill="70AD47" w:themeFill="accent6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b/>
                <w:bCs/>
                <w:sz w:val="16"/>
                <w:szCs w:val="20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20"/>
                <w:lang w:eastAsia="de-DE"/>
              </w:rPr>
              <w:lastRenderedPageBreak/>
              <w:t> </w:t>
            </w:r>
            <w:r w:rsidRPr="00A5334C">
              <w:rPr>
                <w:rFonts w:eastAsia="Arial" w:cstheme="minorHAnsi"/>
                <w:b/>
                <w:bCs/>
                <w:sz w:val="16"/>
                <w:szCs w:val="20"/>
                <w:lang w:eastAsia="de-DE"/>
              </w:rPr>
              <w:t>FDM Themenbereich</w:t>
            </w:r>
          </w:p>
        </w:tc>
        <w:tc>
          <w:tcPr>
            <w:tcW w:w="322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70AD47" w:themeColor="accent6" w:fill="70AD47" w:themeFill="accent6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b/>
                <w:bCs/>
                <w:sz w:val="16"/>
                <w:szCs w:val="20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20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20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20"/>
                <w:lang w:eastAsia="de-DE"/>
              </w:rPr>
              <w:br/>
              <w:t xml:space="preserve">Bachelor </w:t>
            </w:r>
          </w:p>
        </w:tc>
        <w:tc>
          <w:tcPr>
            <w:tcW w:w="322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70AD47" w:themeColor="accent6" w:fill="70AD47" w:themeFill="accent6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b/>
                <w:bCs/>
                <w:sz w:val="16"/>
                <w:szCs w:val="20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20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20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20"/>
                <w:lang w:eastAsia="de-DE"/>
              </w:rPr>
              <w:br/>
              <w:t>Master</w:t>
            </w:r>
          </w:p>
        </w:tc>
        <w:tc>
          <w:tcPr>
            <w:tcW w:w="322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70AD47" w:themeColor="accent6" w:fill="70AD47" w:themeFill="accent6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b/>
                <w:bCs/>
                <w:sz w:val="16"/>
                <w:szCs w:val="20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20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20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20"/>
                <w:lang w:eastAsia="de-DE"/>
              </w:rPr>
              <w:br/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20"/>
                <w:lang w:eastAsia="de-DE"/>
              </w:rPr>
              <w:t>PhD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70AD47" w:themeColor="accent6" w:fill="70AD47" w:themeFill="accent6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b/>
                <w:bCs/>
                <w:sz w:val="16"/>
                <w:szCs w:val="20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20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20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20"/>
                <w:lang w:eastAsia="de-DE"/>
              </w:rPr>
              <w:br/>
              <w:t>Data Stewards</w:t>
            </w:r>
          </w:p>
        </w:tc>
      </w:tr>
      <w:tr w:rsidR="00307C21" w:rsidRPr="00A5334C" w:rsidTr="00EE78AE">
        <w:trPr>
          <w:trHeight w:val="28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8D08D" w:themeColor="accent6" w:themeTint="99" w:fill="A8D08D" w:themeFill="accent6" w:themeFillTint="99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b/>
                <w:bCs/>
                <w:color w:val="000000"/>
                <w:sz w:val="16"/>
                <w:szCs w:val="16"/>
              </w:rPr>
            </w:pPr>
            <w:bookmarkStart w:id="0" w:name="Grundlagen_Konzepte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Grundlagen und übergreifende Konzepte</w:t>
            </w:r>
            <w:bookmarkEnd w:id="0"/>
          </w:p>
        </w:tc>
        <w:tc>
          <w:tcPr>
            <w:tcW w:w="322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8D08D" w:themeColor="accent6" w:themeTint="99" w:fill="A8D08D" w:themeFill="accent6" w:themeFillTint="99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sz w:val="16"/>
                <w:szCs w:val="16"/>
              </w:rPr>
            </w:pP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8D08D" w:themeColor="accent6" w:themeTint="99" w:fill="A8D08D" w:themeFill="accent6" w:themeFillTint="99"/>
            <w:vAlign w:val="center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color w:val="000000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wie Bachelor +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8D08D" w:themeColor="accent6" w:themeTint="99" w:fill="A8D08D" w:themeFill="accent6" w:themeFillTint="99"/>
            <w:vAlign w:val="center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wie Bachelor + Master+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8D08D" w:themeColor="accent6" w:themeTint="99" w:fill="A8D08D" w:themeFill="accent6" w:themeFillTint="99"/>
            <w:vAlign w:val="center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Bachelor + Master+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PhD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</w:t>
            </w:r>
          </w:p>
        </w:tc>
      </w:tr>
      <w:tr w:rsidR="00307C21" w:rsidRPr="00A5334C" w:rsidTr="00EE78AE"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sz w:val="16"/>
                <w:szCs w:val="16"/>
              </w:rPr>
            </w:pPr>
            <w:bookmarkStart w:id="1" w:name="Allg_Grundlagen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Allgemeine Grundsätze und Konzepte des Forschungsdaten-managements</w:t>
            </w:r>
            <w:bookmarkEnd w:id="1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i/>
                <w:iCs/>
                <w:sz w:val="16"/>
                <w:szCs w:val="16"/>
                <w:lang w:eastAsia="de-DE"/>
              </w:rPr>
              <w:t>Inhalte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Definitionen von Forschungsdatenmanagement (FDM) und Forschungsdaten;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Forschungsdatenlebenszyklus (FDL-Zyklus) und dessen Stationen; Relevanz von FDM; Geschichte des FDM; aktuelle Entwicklungen im FDM; wichtige Akteure; relevante Begriffe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 xml:space="preserve"> </w:t>
            </w:r>
          </w:p>
        </w:tc>
        <w:tc>
          <w:tcPr>
            <w:tcW w:w="322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</w:rPr>
            </w:pPr>
            <w:bookmarkStart w:id="2" w:name="_GoBack"/>
            <w:bookmarkEnd w:id="2"/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... die Relevanz und Vor- und Nachteile von FDM für die Forschung allgemein sowie für die eigene Forschung beschreiben. [SK 2,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SeK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1]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... die Definition von Forschungsdaten wiedergeben und verschiedene Formen von Forschungsdaten benennen. [SK 1]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... den FDL-Zyklus beschreiben und dessen Stationen benennen. [SK 1]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... Maßnahmen für gutes FDM in verschiedenen Stationen des FDL-Zyklus beschreiben. [SK 2]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... die Relevanz und Vor- und Nachteile von FDM diskutieren. [SK 2,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2,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SeK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2]</w:t>
            </w:r>
            <w:r w:rsidRPr="00A5334C">
              <w:rPr>
                <w:rFonts w:cstheme="minorHAnsi"/>
                <w:sz w:val="16"/>
                <w:szCs w:val="16"/>
                <w:lang w:eastAsia="de-DE"/>
              </w:rPr>
              <w:br/>
              <w:t>... allgemeine Problemstellungen im Bereich des FDM benennen. [SK 2]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... eigene Tätigkeiten in einem Forschungsprozess den Stationen des FDL-Zyklus zuordnen. [SK 2,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SeK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2]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... Maßnahmen für gutes FDM in verschiedenen Stationen des FDL-Zyklus beschreiben und diese begründen. [SK 3]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... allgemeine und spezifische Problemstellungen im Bereich des FDM erkennen und beschreiben. [SK 4]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... aktuelle Entwicklungen/ Initiativen, z. B. NFDI, EOSC benennen [SK 1]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...vermitteln, was FDM beinhaltet und weshalb es für Forschungsprozesse von Bedeutung ist. [SK 2, MK 3,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... vermitteln, welche Maßnahmen für gutes FDM an den Stationen des FDL-Zyklus von Bedeutung sind. [SK 3, MK 3,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...bezüglich sinnvoller Maßnahmen für gutes FDM an den Stationen des FDL-Zyklusberaten. [SK 3, MK 3,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... die Relevanz und Vor- und Nachteile von FDM für die Forschung allgemein sowie für die eigene Forschung aufzeigen und vermitteln. [SK 2,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3,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SeK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... zu den verschiedenen Aspekten des FDM (Daten, Datenlebenszyklus, Metadaten, FAIR-Prinzipien, Repositorien, Datenmanagementplan, Datenpublikation und -zitation, aktuelle Entwicklungen/ Initiativen: NFDI, EOSC, u. a. Orientierung geben. [SK 2, MK 2,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3] 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  <w:lang w:eastAsia="de-DE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... die Relevanz von FDM für gute wissenschaftliche Praxis vermitteln. [SK 4]</w:t>
            </w:r>
          </w:p>
          <w:p w:rsidR="00307C21" w:rsidRPr="00A5334C" w:rsidRDefault="00307C21" w:rsidP="00EE78AE">
            <w:pPr>
              <w:pStyle w:val="KeinLeerraum"/>
              <w:spacing w:after="40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... Problemstellungen im Bereich des FDM erkennen, analysieren und Lösungsstrategien entwickeln. [SK 5, MK 6]</w:t>
            </w:r>
          </w:p>
        </w:tc>
      </w:tr>
      <w:tr w:rsidR="00307C21" w:rsidRPr="00A5334C" w:rsidTr="00EE78AE"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sz w:val="16"/>
                <w:szCs w:val="16"/>
              </w:rPr>
            </w:pPr>
            <w:bookmarkStart w:id="3" w:name="FDMPolicies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Forschungsdaten-</w:t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Policies</w:t>
            </w:r>
            <w:bookmarkEnd w:id="3"/>
            <w:proofErr w:type="spellEnd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iCs/>
                <w:sz w:val="16"/>
                <w:szCs w:val="16"/>
                <w:lang w:eastAsia="de-DE"/>
              </w:rPr>
              <w:t>Inhalte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 xml:space="preserve">Definition: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Policy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/Leitlinie; Funktionen einer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Policy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; Formen von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(fachspezifisch, institutionell,...); typische Inhalte einer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Policy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; Entwicklung der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Forschungsdaten-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(im deutschsprachigen Raum); Handlungsempfehlungen für die Entwicklung von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</w:p>
        </w:tc>
        <w:tc>
          <w:tcPr>
            <w:tcW w:w="322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erklären, was eine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Policy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ist.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...beschreiben, was eine Forschungsdaten-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Policy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ist.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Funktion einer Forschungsdaten-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Policy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beschreiben. [SK 2]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den Unterschied zwischen disziplinären und institutionellen Forschungsdaten-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erläutern.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Forschungsdaten-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kritisch diskutieren. [SK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SeK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Formen von Forschungsdaten-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vergleichend beschreiben. [SK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...wichtige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benennen und deren Inhalte kritisch diskutieren. [SK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relevante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erkennen und hieraus einen Handlungsrahmen für ihr FDM ableiten. [SK 5,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5,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SeK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5, MK 4]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unterschiedliche Forschungsdaten-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benennen und deren wichtigsten Inhalte an andere vermitteln.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fachspezifische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benennen und deren wichtigsten Inhalte an andere vermitteln.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eigenständig Informationen zu Richtlinien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recherchieren und bedarfsgerecht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 xml:space="preserve">für verschiedene Zielgruppen aufbereiten. [SK 4, MK 5,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relevante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/Leitlinien Forschungsprojekten zuordnen und hierzu beraten. [SK 4, MK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aus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Policies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einen Handlungsrahmen für FDM-Maßnahmen ableiten sowie entsprechend schulen und beraten. [SK 5,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5,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SeK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5]</w:t>
            </w:r>
          </w:p>
        </w:tc>
      </w:tr>
      <w:tr w:rsidR="00307C21" w:rsidRPr="00A5334C" w:rsidTr="00EE78AE"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sz w:val="16"/>
                <w:szCs w:val="16"/>
              </w:rPr>
            </w:pPr>
            <w:bookmarkStart w:id="4" w:name="DMPs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lastRenderedPageBreak/>
              <w:t>Datenmanagementpläne</w:t>
            </w:r>
            <w:bookmarkEnd w:id="4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i/>
                <w:iCs/>
                <w:sz w:val="16"/>
                <w:szCs w:val="16"/>
                <w:lang w:eastAsia="de-DE"/>
              </w:rPr>
              <w:t>Inhalte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 xml:space="preserve">Definition Datenmanagementplan (DMP); Funktionen eines DMP; Bestandteile eines DMP; Vor- und Nachteile eines DMP; Kriterien für die Qualität eines DMP; Vorgaben von Drittmittelgebern und anderen; unterstützende Werkzeuge; Unterstützungsstrukturen an den Institutionen </w:t>
            </w:r>
          </w:p>
        </w:tc>
        <w:tc>
          <w:tcPr>
            <w:tcW w:w="322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beschreiben, was ein DMP ist.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Komponenten eines DMP aufzählen.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die Relevanz eines DMP als Planungsinstrument beschreiben. [SK 2]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 Anleitung einfache DMPs für eigene Projekte erstellen. [SK 2, 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Vor- und Nachteile eines DMP kritisch diskutieren.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Relevanz und das Konzept eines DMP erläutern und kritisch diskutieren. [SK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eigenständig einen DMP (nach Förderer-Richtlinien) erstellen. [MK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Werkzeuge zum Erstellen von DMPs benennen.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Werkzeuge zum Erstellen von DMPs für eigene Projekte anwenden. [MK 3]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Relevanz und die Bestandteile eines DMP aufzeigen und vermitteln. [SK 3, </w:t>
            </w:r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MK 3,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3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Erwartungen der verschiedenen Förderinstitutionen und deren Förderziele im Hinblick auf DMPs aufzeigen und vermitteln. [SK 3, </w:t>
            </w:r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MK 3,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3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beschreiben, nach welchen Kriterien Förderanträge begutachtet werden.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über Werkzeuge zum Erstellen von DMPs informieren und deren Anwendung vermitteln. [SK 3, MK 3, SoK3]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DMP-Vorlagen erstellen. [SK 5, MK 6]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einen (projektspezifischen) DPM erstellen. [SK 3, MK 6]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bzgl. der Erstellung von (projektspezifischen) DMPs beraten. [SK 5, MK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Best-Practice-Beispiele für die Verwendung von DMPs aus Sicht von Forscher*innen aufzeigen.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nationalen und internationalen Perspektiven in Bezug auf DMPs beschreiben.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relevante (nationale und internationale) Arbeitsgruppen zu DPMs benennen.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unterschiedliche Formen des Projektmanagements und die Kombination mit dem DMP benennen. [SK 3, MK 3]</w:t>
            </w:r>
          </w:p>
        </w:tc>
      </w:tr>
      <w:tr w:rsidR="00307C21" w:rsidRPr="00A5334C" w:rsidTr="00EE78AE"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b/>
                <w:bCs/>
                <w:sz w:val="16"/>
                <w:szCs w:val="16"/>
              </w:rPr>
            </w:pPr>
            <w:bookmarkStart w:id="5" w:name="FAIR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FAIR-Prinzipien</w:t>
            </w:r>
            <w:bookmarkEnd w:id="5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lastRenderedPageBreak/>
              <w:t>Inhalte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Grundsätze, die nachnutzbare Forschungsdaten erfüllen müssen; nachhaltiges FDM sichern; Bezug der FAIR-Prinzipien auf die Datenhaltung; sowie Infrastrukturen und Services</w:t>
            </w:r>
          </w:p>
        </w:tc>
        <w:tc>
          <w:tcPr>
            <w:tcW w:w="322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FAIR-Prinzipien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einzelnen Aspekte von FAIR beschreiben.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Vor- und Nachteile von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FAIRen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Daten diskutieren. [SK 2,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…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FAIRness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von Daten einschätzen. [SK 3, MK 2]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… die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FAIRness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von Daten kritisch beurteilen.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… eigenständig Schritte unternehmen, eigene Daten zu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FAIRifizieren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 [MK 5]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FAIR-Prinzipien beschreiben und an andere vermitteln. [SK 2,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… Vor- und Nachteile sowie Schwierigkeiten bei der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FAIRifizierung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von Daten aufzeigen und vermitteln. [SK 4,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… bzgl. der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FAIRifizierung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von Daten Orientierung geben und projektspezifisch beraten [SK 5, MK 5,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3]. </w:t>
            </w:r>
          </w:p>
        </w:tc>
      </w:tr>
      <w:tr w:rsidR="00307C21" w:rsidRPr="00A5334C" w:rsidTr="00EE78AE">
        <w:tc>
          <w:tcPr>
            <w:tcW w:w="2127" w:type="dxa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60" w:line="240" w:lineRule="auto"/>
              <w:rPr>
                <w:rFonts w:eastAsia="Arial" w:cstheme="minorHAnsi"/>
                <w:sz w:val="16"/>
                <w:szCs w:val="16"/>
                <w:lang w:val="en-US"/>
              </w:rPr>
            </w:pPr>
            <w:bookmarkStart w:id="6" w:name="OPENx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val="en-US" w:eastAsia="de-DE"/>
              </w:rPr>
              <w:lastRenderedPageBreak/>
              <w:t>Open X (Open Data, Open Source, Open Science, etc.)</w:t>
            </w:r>
            <w:bookmarkEnd w:id="6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val="en-US" w:eastAsia="de-DE"/>
              </w:rPr>
              <w:br/>
            </w:r>
            <w:proofErr w:type="spellStart"/>
            <w:r w:rsidRPr="00A5334C">
              <w:rPr>
                <w:rFonts w:eastAsia="Arial" w:cstheme="minorHAnsi"/>
                <w:b/>
                <w:i/>
                <w:sz w:val="16"/>
                <w:szCs w:val="16"/>
                <w:lang w:val="en-US" w:eastAsia="de-DE"/>
              </w:rPr>
              <w:t>Inhalte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>:</w:t>
            </w:r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br/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>Begriff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 xml:space="preserve"> Open Science; </w:t>
            </w:r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br/>
              <w:t>Open Science-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>Inhalte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 xml:space="preserve">: Open Access, Open Data, Open Source;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>Vor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 xml:space="preserve">-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>Nachteile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 xml:space="preserve">;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>ethische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 xml:space="preserve">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>Aspekte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>, FAIR vs. Open, Open Data-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>Plattformen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 xml:space="preserve">, Grad der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>Offenheit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val="en-US" w:eastAsia="de-DE"/>
              </w:rPr>
              <w:t xml:space="preserve"> (5 Sterne-Modell)</w:t>
            </w:r>
          </w:p>
        </w:tc>
        <w:tc>
          <w:tcPr>
            <w:tcW w:w="322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i/>
                <w:iCs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das Konzept "Open Science" erläutern.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Begriffe Open Access, Open Data, Open Source als Bereiche </w:t>
            </w:r>
            <w:r w:rsidRPr="00A5334C">
              <w:rPr>
                <w:rFonts w:eastAsia="Arial" w:cstheme="minorHAnsi"/>
                <w:iCs/>
                <w:sz w:val="16"/>
                <w:szCs w:val="16"/>
                <w:lang w:eastAsia="de-DE"/>
              </w:rPr>
              <w:t>bzw. Praktiken</w:t>
            </w:r>
            <w:r w:rsidRPr="00A5334C">
              <w:rPr>
                <w:rFonts w:eastAsia="Arial" w:cstheme="minorHAnsi"/>
                <w:i/>
                <w:iCs/>
                <w:sz w:val="16"/>
                <w:szCs w:val="16"/>
                <w:lang w:eastAsia="de-DE"/>
              </w:rPr>
              <w:t xml:space="preserve">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der Open Science beschreiben.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Vor- und Nachteile von Open Science </w:t>
            </w:r>
            <w:r w:rsidRPr="00A5334C">
              <w:rPr>
                <w:rFonts w:eastAsia="Arial" w:cstheme="minorHAnsi"/>
                <w:iCs/>
                <w:sz w:val="16"/>
                <w:szCs w:val="16"/>
                <w:lang w:eastAsia="de-DE"/>
              </w:rPr>
              <w:t>und zugehöriger Praktiken</w:t>
            </w:r>
            <w:r w:rsidRPr="00A5334C">
              <w:rPr>
                <w:rFonts w:eastAsia="Arial" w:cstheme="minorHAnsi"/>
                <w:i/>
                <w:iCs/>
                <w:sz w:val="16"/>
                <w:szCs w:val="16"/>
                <w:lang w:eastAsia="de-DE"/>
              </w:rPr>
              <w:t xml:space="preserve">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benennen. [SK 2]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zwischen den Konzepten "FAIR" und "Open" differenzieren.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beurteilen, ob eine Veröffentlichung frei zugänglich ist. [SK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Plattformen für offene Daten finden. [MK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beschreiben, was erforderlich ist, um Forschungsdaten offen zugänglich zu machen. [SK 3]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beschreiben, was die Öffnung des Forschungskreislaufs im Sinne von Open Science</w:t>
            </w:r>
            <w:r w:rsidRPr="00A5334C">
              <w:rPr>
                <w:rFonts w:eastAsia="Arial" w:cstheme="minorHAnsi"/>
                <w:i/>
                <w:iCs/>
                <w:color w:val="FF0000"/>
                <w:sz w:val="16"/>
                <w:szCs w:val="16"/>
                <w:lang w:eastAsia="de-DE"/>
              </w:rPr>
              <w:t xml:space="preserve">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bedeutet. [SK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beschreiben, wo Herausforderungen bei der Öffnung des Forschungskreislaufs im Sinne von Open Science liegen.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erläutern, welche Open Science-Praktiken für einzelne Schritte in einem beispielhaften Forschungskreislauf anwendbar sind.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den Grad der Offenheit von Daten mithilfe des 5-Sterne-Modells beurteilen. [SK 5]</w:t>
            </w:r>
          </w:p>
        </w:tc>
        <w:tc>
          <w:tcPr>
            <w:tcW w:w="322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beschreiben, was die Öffnung des Forschungskreislaufs im Sinne von Open Science im Einzelnen</w:t>
            </w:r>
            <w:r w:rsidRPr="00A5334C">
              <w:rPr>
                <w:rFonts w:eastAsia="Arial" w:cstheme="minorHAnsi"/>
                <w:color w:val="FF0000"/>
                <w:sz w:val="16"/>
                <w:szCs w:val="16"/>
                <w:lang w:eastAsia="de-DE"/>
              </w:rPr>
              <w:t xml:space="preserve">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(in einzelnen Etappen des Forschungskreislaufs)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bedeutet. [SK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zu Open Science-Praktiken Orientierung geben und projektspezifisch beraten. [SK 5, MK 3, SoK3]</w:t>
            </w:r>
          </w:p>
        </w:tc>
      </w:tr>
    </w:tbl>
    <w:p w:rsidR="00307C21" w:rsidRPr="00A5334C" w:rsidRDefault="00307C21" w:rsidP="00307C21">
      <w:pPr>
        <w:rPr>
          <w:rStyle w:val="berschrift1Zchn"/>
          <w:rFonts w:asciiTheme="minorHAnsi" w:hAnsiTheme="minorHAnsi" w:cstheme="minorHAnsi"/>
          <w:sz w:val="14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3224"/>
        <w:gridCol w:w="3225"/>
        <w:gridCol w:w="3225"/>
        <w:gridCol w:w="3225"/>
      </w:tblGrid>
      <w:tr w:rsidR="00307C21" w:rsidRPr="00A5334C" w:rsidTr="00EE78AE">
        <w:trPr>
          <w:trHeight w:val="593"/>
        </w:trPr>
        <w:tc>
          <w:tcPr>
            <w:tcW w:w="2127" w:type="dxa"/>
            <w:shd w:val="clear" w:color="FFC000" w:themeColor="accent4" w:fill="FFC000" w:themeFill="accent4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 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FDM Themenbereich</w:t>
            </w:r>
          </w:p>
        </w:tc>
        <w:tc>
          <w:tcPr>
            <w:tcW w:w="3224" w:type="dxa"/>
            <w:shd w:val="clear" w:color="FFC000" w:themeColor="accent4" w:fill="FFC000" w:themeFill="accent4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 xml:space="preserve">Bachelor </w:t>
            </w:r>
          </w:p>
        </w:tc>
        <w:tc>
          <w:tcPr>
            <w:tcW w:w="3225" w:type="dxa"/>
            <w:shd w:val="clear" w:color="FFC000" w:themeColor="accent4" w:fill="FFC000" w:themeFill="accent4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>Master</w:t>
            </w:r>
          </w:p>
        </w:tc>
        <w:tc>
          <w:tcPr>
            <w:tcW w:w="3225" w:type="dxa"/>
            <w:shd w:val="clear" w:color="FFC000" w:themeColor="accent4" w:fill="FFC000" w:themeFill="accent4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PhD</w:t>
            </w:r>
            <w:proofErr w:type="spellEnd"/>
          </w:p>
        </w:tc>
        <w:tc>
          <w:tcPr>
            <w:tcW w:w="3225" w:type="dxa"/>
            <w:shd w:val="clear" w:color="FFC000" w:themeColor="accent4" w:fill="FFC000" w:themeFill="accent4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>Data Stewards</w:t>
            </w:r>
          </w:p>
        </w:tc>
      </w:tr>
      <w:tr w:rsidR="00307C21" w:rsidRPr="00A5334C" w:rsidTr="00EE78AE">
        <w:trPr>
          <w:trHeight w:val="253"/>
        </w:trPr>
        <w:tc>
          <w:tcPr>
            <w:tcW w:w="2127" w:type="dxa"/>
            <w:shd w:val="clear" w:color="FFD966" w:themeColor="accent4" w:themeTint="99" w:fill="FFD966" w:themeFill="accent4" w:themeFillTint="99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</w:rPr>
            </w:pPr>
            <w:bookmarkStart w:id="7" w:name="ArbeitmitDaten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Arbeiten mit Daten</w:t>
            </w:r>
            <w:bookmarkEnd w:id="7"/>
          </w:p>
        </w:tc>
        <w:tc>
          <w:tcPr>
            <w:tcW w:w="3224" w:type="dxa"/>
            <w:shd w:val="clear" w:color="FFD966" w:themeColor="accent4" w:themeTint="99" w:fill="FFD966" w:themeFill="accent4" w:themeFillTint="99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</w:p>
        </w:tc>
        <w:tc>
          <w:tcPr>
            <w:tcW w:w="3225" w:type="dxa"/>
            <w:shd w:val="clear" w:color="FFD966" w:themeColor="accent4" w:themeTint="99" w:fill="FFD966" w:themeFill="accent4" w:themeFillTint="99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color w:val="000000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wie Bachelor +</w:t>
            </w:r>
          </w:p>
        </w:tc>
        <w:tc>
          <w:tcPr>
            <w:tcW w:w="3225" w:type="dxa"/>
            <w:shd w:val="clear" w:color="FFD966" w:themeColor="accent4" w:themeTint="99" w:fill="FFD966" w:themeFill="accent4" w:themeFillTint="99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Bachelor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 Master +</w:t>
            </w:r>
          </w:p>
        </w:tc>
        <w:tc>
          <w:tcPr>
            <w:tcW w:w="3225" w:type="dxa"/>
            <w:shd w:val="clear" w:color="FFD966" w:themeColor="accent4" w:themeTint="99" w:fill="FFD966" w:themeFill="accent4" w:themeFillTint="99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Bachelor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 Master +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PhD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FF2CC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sz w:val="16"/>
                <w:szCs w:val="16"/>
              </w:rPr>
            </w:pPr>
            <w:bookmarkStart w:id="8" w:name="OrdungStruktur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Ordnung und Struktur, </w:t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Versionierung</w:t>
            </w:r>
            <w:bookmarkEnd w:id="8"/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i/>
                <w:iCs/>
                <w:sz w:val="16"/>
                <w:szCs w:val="16"/>
                <w:lang w:eastAsia="de-DE"/>
              </w:rPr>
              <w:t>Inhalte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 xml:space="preserve">Konzepte für logische Ordnerstrukturen; Dateibenennungskonventionen; Umbenennungswerkzeuge; Vorteile eines strukturierten Arbeitens; Bedeutung eines strukturieren Vorgehens für Kollaborationen; Definition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: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Versionierungsmethoden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/-konzepte;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Versionierungswerkzeuge</w:t>
            </w:r>
            <w:proofErr w:type="spellEnd"/>
          </w:p>
        </w:tc>
        <w:tc>
          <w:tcPr>
            <w:tcW w:w="3224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beschreiben, was eine Dateibenennungskonvention ist.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Relevanz strukturierter Dateibenennung beschreiben.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...Kriterien für eine gute Benennungskonvention 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unter Anleitung Benennungskonventionen entwickeln und auf eigene (und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kollaborativ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) genutzte Forschungsdaten anwenden.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die allgemeinen Merkmale einer effizienten Ordnerstruktur beschreiben.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den Nutzen einer klaren, nachvollziehbaren Ordnerstruktur erläutern.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unter Anleitung eine Ordnerstruktur für eigene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kollaborative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Forschungsdaten entwerfen.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 Anleitung Ordnerstrukturen und Benennungskonventionen dokumentieren.  [SK 3, MK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den Zweck und Nutzen von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beschreiben.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einfache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Versionierungsmethoden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für Forschungsdaten benennen.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unterstützende Werkzeuge (Umbenennungswerkzeuge) benennen.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erläutern, warum Rohdaten separat gespeichert werden sollten. [SK 2]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eigenständig Benennungskonventionen entwickeln und auf eigene (und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kollaborativ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) genutzte Forschungsdaten anwenden. [MK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Dateibenennungen und Dateibenennungskonventionen kritisch bewerten.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eigenständig eine Ordnerstruktur für eigene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kollaborative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Forschungsdaten entwerfen und auf eigene (und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kollaborativ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) genutzte Forschungsdaten anwenden. [SK3, 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verschiedene Ordnerstrukturen für Dateien kritisch bewerten.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Ordnerstrukturen und Benennungskonventionen dokumentieren.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Methoden und Werkzeuge für die Versionskontrolle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einfache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Versionierungsmethoden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auf eigene Forschungsdatendaten anwenden. [MK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unterstützende Werkzeuge (Umbenennungswerkzeuge) auf eigene Dateien anwenden. [SK 2]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Ordnerstrukturen aufbauen, Benennungskonventionen entwickeln und diese in angemessener Form dokumentieren. [SK 4, 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einfache und komplexe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Versionierungsmethoden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auf eigene Forschungsdaten anwenden.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Versionierungswerkzeuge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für individuelle Arbeitsprozesse einsetzen.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 xml:space="preserve">...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Versionierungswerkzeuge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für die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kollaborative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Zusammenarbeit und Automatisierung gemeinsamer Arbeitsprozesse einsetzen. [MK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den Nutzen von systematischen, klaren Dateibenennungen und Ablagestrukturen aufzeigen und an Dritte vermitteln. [SK 1, MK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Konzepte und unterstützende Werkzeuge zum Aufbau von effizienten Ordnerstrukturen aufzeigen und vermitteln. [SK 2,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Konzepte und unterstützende Werkzeuge zur systematischen Dateibenennung aufzeigen und vermitteln. [MK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 xml:space="preserve">... verschiedene Konzepte zum Anlegen von Ordnerstrukturen bewerten und Dritte bzgl. des Aufbaus von Ordnerstrukturen beratend unterstützen. [SK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verschiedene Konzepte zum Anlegen von Benennungskonventionen bewerten und Dritte bzgl. der Entwicklung von Benennungskonventionen beratend unterstützen. [SK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allgemeine Konzepte der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beschreiben und an Dritte vermitteln.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einfache und komplexe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-methoden an Dritte vermitteln und hierzu beraten. [SK 2,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...Dritte bzgl. der Nutzung von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Versionierungswerkzeuge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anleiten und beraten. [SK 2,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...Dokumentationsformen aufzeigen, vermitteln und entsprechend beraten. [SK 3, MK 3;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FF2CC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9" w:name="Daten_Datenformate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lastRenderedPageBreak/>
              <w:t xml:space="preserve">Daten, Datentypen, Datenformate </w:t>
            </w:r>
            <w:bookmarkEnd w:id="9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i/>
                <w:iCs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b/>
                <w:bCs/>
                <w:i/>
                <w:i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Datentypen, Datenformate, Dateiformate; geeignete Datenformate wählen; wichtige Tools für Formaterkennung und -validierung; Datenstandards</w:t>
            </w:r>
          </w:p>
        </w:tc>
        <w:tc>
          <w:tcPr>
            <w:tcW w:w="3224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Unterschiede zwischen den Begriffen: Datentypen und Datenformaten/Dateiformaten und Dateityp beschreiben.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einfache Datentypen nennen. [SK 1]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... verschiedene Dateiformate identifizieren und Dateitypen zuordnen.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den Unterschied zwischen quantitativen und qualitativen Daten beschreiben. [SK 2] 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beschreiben, was ein Datenstandard ist.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geeignete Dateiformate für die Archivierung und Nachnutzung nennen.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die Vor- und Nachteile verschiedener Dateiformate (im Hinblick auch Interoperabilität und Nachnutzung) gegenüberstellen. [SK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 Anleitung geeignete Formate für Archivierung und Nachnutzung auswählen.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eigene Daten unter Anleitung in nachnutzbaren Formaten anlegen oder in entsprechende Formate überführen.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sich mit Fragen zur Nachhaltigkeit von Dateiformaten kritisch auseinandersetzen. [SK 4]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unter Anleitung Werkzeuge zur Dateiformaterkennung und -validierung nutzen.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unter Anleitung angemessene Verfahrensweisen für quantitative und qualitative Daten zuordnen. [SK 3, MK 3] 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i/>
                <w:iCs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Besonderheiten von verschiedenen Daten- und Dateitypen, auch hinsichtlich ihrer </w:t>
            </w:r>
            <w:proofErr w:type="spellStart"/>
            <w:proofErr w:type="gram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Prozessierung,beschreiben</w:t>
            </w:r>
            <w:proofErr w:type="spellEnd"/>
            <w:proofErr w:type="gram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 [SK 2]</w:t>
            </w:r>
            <w:r w:rsidRPr="00A5334C">
              <w:rPr>
                <w:rFonts w:eastAsia="Arial" w:cstheme="minorHAnsi"/>
                <w:i/>
                <w:iCs/>
                <w:sz w:val="16"/>
                <w:szCs w:val="16"/>
                <w:lang w:eastAsia="de-DE"/>
              </w:rPr>
              <w:t xml:space="preserve">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geeignete Formate für Archivierung und Nachnutzung auswählen. [MK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eigene Daten eigenständig in nachnutzbaren Formaten anlegen oder in entsprechende Formate überführen. [MK 4]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... Werkzeuge zur Dateiformaterkennung und -validierung eigenständig nutzen. [MK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i/>
                <w:iCs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unter Anleitung angemessene Verfahrensweisen für quantitative und qualitative Daten zuordnen. [SK 3, MK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eigenständig angemessene Verfahrensweisen für quantitative und qualitative Daten auswählen. [SK 4, MK 4] 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anhand von Beispielen erklären, was Daten sind.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Unterschiede zwischen Datentypen, Dateiformaten und -typen vermitteln.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Unterschiede zwischen Daten, Informationen und Wissen darstellen. [SK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vermitteln, warum bestimmte Dateiformate im Hinblick auf Nachnutzbarkeit und Interoperabilität von Forschungsdaten besser oder schlechter geeignet sind. [SK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bezüglich der Auswahl sinnvoller Dateiformate beraten. [SK 3,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vermitteln was Datenintegration ist.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Wege für automatisches Einlesen von Daten in verschiedene Formate beschreiben.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den Nutzen/die Funktion von Datenstandards erläutern.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Schwierigkeiten bei der Etablierung von Standards für Daten darlegen. [SK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zu grundlegenden Anfragen zu geeigneten Dateiformaten, vorhandenen Datenstandards und angemessenen Verfahrensweisen mit verschiedenen Daten Orientierung geben bzw. ggf. an ausgewiesenes Personal weiterleiten. [SK 5, MK 5]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FF2CC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10" w:name="DatenspeicherBackUp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lastRenderedPageBreak/>
              <w:t>Datenspeicherung und Backup</w:t>
            </w:r>
            <w:bookmarkEnd w:id="10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i/>
                <w:iCs/>
                <w:sz w:val="16"/>
                <w:szCs w:val="16"/>
                <w:lang w:eastAsia="de-DE"/>
              </w:rPr>
              <w:t>Inhalte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 xml:space="preserve">verschiedene Speichersysteme (Vor- und Nachteile); Backup-Strategien; Backup-Dienste; 3-2-1-Regel </w:t>
            </w:r>
          </w:p>
        </w:tc>
        <w:tc>
          <w:tcPr>
            <w:tcW w:w="3224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Speichersysteme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erklären, was ein Backup ist.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darstellen, warum man Backups nutzen sollte.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3-2-1-Regel in eigenen Worten wiedergeben. [SK 2]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beschreiben, für welche Anforderungen und Anwendungsszenarien welche Speichersysteme geeignet sind.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den Nutzen und die Risiken verschiedener Speichersysteme und unterschiedlicher Speicherorganisation aufzählen.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 Anleitung eine eigene Backup-Strategie entwickeln und anwenden.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3-2-1-Regel auf ihre eigenen Daten anwenden.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institutionelle Backup-Lösungen auflisten. [SK 1]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können bei gegebenen Anforderungen ein geeignetes Speichersystem auswählen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eine eigene Backup-Strategie entwickeln und anwenden.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andere Forschende dabei unterstützen, ein bestehendes Speichersystem und eine bestehende Backup-Strategie zu nutzen. [MK 3]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zu Strategien für ein sicheres Backup schulen und beraten. [SK 3, MK3,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lokalen Backup-Dienste aufzeigen und Vor- und Nachteile einzelner Dienste gegenüberstellen. [SK 2]</w:t>
            </w:r>
            <w:r w:rsidRPr="00A5334C">
              <w:rPr>
                <w:rFonts w:eastAsia="Arial" w:cstheme="minorHAnsi"/>
                <w:color w:val="FF0000"/>
                <w:sz w:val="16"/>
                <w:szCs w:val="16"/>
                <w:lang w:eastAsia="de-DE"/>
              </w:rPr>
              <w:t xml:space="preserve">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jeweils geeignetsten Speichersysteme für spezifische Anforderungen und Anwendungsszenarien auswählen. [SK 4, 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jeweiligen Vorteile und Risiken der verschiedenen Speichersysteme und unterschiedliche Speicherorganisation in einem spezifischen Kontext beurteilen. [SK 5, MK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Kriterien benennen, die verschiedene Speichersysteme als geeignet für verschiedene Anwendungen und Szenarien kennzeichnen. [SK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Vorteile und Risiken verschiedener Speichersysteme beurteilen. [SK 5]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FF2CC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11" w:name="Datensicherhei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Datensicherheit </w:t>
            </w:r>
            <w:bookmarkEnd w:id="11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Zugangskontrolle/Zugriffskontrolle/Zugriffsrechte; Richtlinien; Datensicherheitsmaßnahmen</w:t>
            </w:r>
          </w:p>
        </w:tc>
        <w:tc>
          <w:tcPr>
            <w:tcW w:w="3224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allgemeine Anforderungen an Datenschutz und Zugangskontrolle 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Beispiele für Richtlinien zu Zugangskontrollen nennen. [SK 1]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den Inhalt von Richtlinien in Bezug auf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Datenschutz beschreiben.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den Inhalt von Richtlinien in Bezug auf Zugriffskontrolle beschreiben.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Verwendung von Richtlinien in Bezug auf Datenschutz erläutern.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die Verwendung von Richtlinien in Bezug auf Zugriffskontrolle erläutern.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darlegen, warum Datenschutz im Kontext des FDM notwendig ist. [SK 2]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den Inhalt von Richtlinien in Bezug auf Datenschutz und Zugriffskontrollen auf eigene Daten anwenden. [SK 3, MK 3]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Lehrende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beschreiben aufgrund welcher Aspekte, die Sicherheit von Daten ein wichtiger Bestandteil des FDM ist und diese Aspekte an andere vermitteln. [SK 2,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beschreiben, warum die Verteilung und Aktualisierung von Zugriffsrechten wichtige Aspekte des FDM sind und dies an andere vermitteln. [SK 3,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 xml:space="preserve">... Methoden zur Erhöhung der Sicherheit von Forschungsdaten erläutern, anwenden und vermitteln. [SK 2, MK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Methoden zur Einrichtung von Zugriffsrechten und deren Vergabekriterien erläutern und vermitteln. [SK 2, MK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Anfragen zur Datensicherheit beantworten und anderen hierzu Orientierung geben. [SK 5, MK 5]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FF2CC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color w:val="000000"/>
                <w:sz w:val="16"/>
                <w:szCs w:val="16"/>
              </w:rPr>
            </w:pPr>
            <w:bookmarkStart w:id="12" w:name="Datenqualität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lastRenderedPageBreak/>
              <w:t>Datenqualität</w:t>
            </w:r>
            <w:bookmarkEnd w:id="12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color w:val="000000"/>
                <w:sz w:val="16"/>
                <w:szCs w:val="16"/>
                <w:lang w:eastAsia="de-DE"/>
              </w:rPr>
              <w:t xml:space="preserve">Inhalte: </w:t>
            </w:r>
          </w:p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color w:val="000000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Bedeutung von Daten für Information und Wissen; Qualitätsbegriff; Modelle/Kriterien zur Bewertung von Datenqualität; Qualität tabellarischer Daten </w:t>
            </w:r>
          </w:p>
        </w:tc>
        <w:tc>
          <w:tcPr>
            <w:tcW w:w="3224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Datenqualität und ihre Parameter definieren. [SK 1]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Aspekte von Datenqualität (inhaltsbezogen, kontextbezogen, darstellungsbezogen und zugangsbezogen) erläutern.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Maßnahmen zur Qualitätsverbesserung von Daten aufzählen. [MK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Strategien zur Fehlervermeidung beim Umgang mit Daten beschreiben. [SK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Daten strukturiert in Tabellenform ablegen, so dass sie von Analysewerkzeugen gut verwertet werden können. [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MK 3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] 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den Begriff "Datenqualität" bezogen auf ihre Daten erläutern. [MK3]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qualitative Mängel in eignen und fremden Daten identifizieren. [MK 4]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identifizierte Qualitätsmängel in ihren Daten unter Anleitung korrigieren. [SK 3, 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Strategien zur Fehlervermeidung beim Umgang mit Daten beschreiben und anwenden. [SK 3]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identifizierte Qualitätsmängel in ihren Daten eigenständig korrigieren.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Qualität von Daten bezogen auf ihren Verwendungszweck bewerten. [MK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Daten entsprechend den Standards guter Datenqualität erzeugen. [MK 6] 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Maßnahmen zur Qualitätsverbesserung von Daten erläutern und vermitteln. [SK 3, MK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Qualität von Daten bewerten. [SK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Strategien und Prozesse zur Qualitätsverbesserung von Daten entwickeln und hierzu beraten. [MK 6]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FF2CC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13" w:name="Tools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Tools</w:t>
            </w:r>
            <w:bookmarkEnd w:id="13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FDM-Tools</w:t>
            </w:r>
          </w:p>
        </w:tc>
        <w:tc>
          <w:tcPr>
            <w:tcW w:w="3224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hilfreiche Tools zum Datenmanagement (in verschiedenen Forschungsphasen) benennen. [SK 1]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... ihren individuellen Ansprüchen und Aufgaben entsprechende Tools recherchieren. [SK 1]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...... verschiedene hilfreiche Tools zum Datenmanagement unter Anleitung (in verschiedenen Forschungsphasen) anwenden. [MK 3]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sich bewusst und begründet für oder gegen Tools entscheiden.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eigenständig verschiedene hilfreiche Tools zum Datenmanagement (in verschiedenen Forschungsphasen) anwenden. [MK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unter Zuhilfenahme der Grundfunktionen des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Versionierungssystem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Git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GitHub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oder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GitLab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) Projekte unter Anleitung anlegen,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kollaborativ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betreiben.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 xml:space="preserve">… zu verschiedene hilfreichen Tools zum Datenmanagement (in verschiedenen Forschungsphasen) beraten und schulen. [SK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 xml:space="preserve">... projektspezifisch und zu individuellen Ansprüchen und Aufgaben bezüglich passender Tools Orientierung bieten. [SK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Mk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unter Zuhilfenahme der Grundfunktionen des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Versionierungssystem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Git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GitHub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oder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GitLab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) Projekte anlegen,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kollaborativ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betreiben, abschließen und andere hierzu beraten. [MK 6]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</w:p>
        </w:tc>
      </w:tr>
      <w:tr w:rsidR="00307C21" w:rsidRPr="00A5334C" w:rsidTr="00EE78AE">
        <w:tc>
          <w:tcPr>
            <w:tcW w:w="2127" w:type="dxa"/>
            <w:shd w:val="clear" w:color="000000" w:fill="FFF2CC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14" w:name="SoftwareCoding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(Forschungs-)Software &amp; </w:t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Coding</w:t>
            </w:r>
            <w:bookmarkEnd w:id="14"/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Daten auswerten; geeignete Software nutzen; Grundkenntnisse der Programmierung</w:t>
            </w:r>
          </w:p>
        </w:tc>
        <w:tc>
          <w:tcPr>
            <w:tcW w:w="3224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 xml:space="preserve">Lernende können...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geeignete Software für die Auswertung von Daten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 Zuhilfenahme geeigneter Software aus vorliegenden Daten grundlegende Kennwerte berechnen.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 Zuhilfenahme geeigneter Software vorliegende Daten grafisch darstellen. [MK 3]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unter Zuhilfenahme geeigneter Software (selbst erhobene) Daten analysieren. [MK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unter Zuhilfenahme geeigneter Software (selbst erhobene) Daten grafisch auswerten. [MK 4] 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 xml:space="preserve">Lernende können...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mit geeigneter Software nachhaltig und effizient mit Daten umgehen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in einer Programmiersprache</w:t>
            </w:r>
            <w:r w:rsidRPr="00A5334C">
              <w:rPr>
                <w:rFonts w:eastAsia="Arial" w:cstheme="minorHAnsi"/>
                <w:color w:val="FF0000"/>
                <w:sz w:val="16"/>
                <w:szCs w:val="16"/>
                <w:lang w:eastAsia="de-DE"/>
              </w:rPr>
              <w:t xml:space="preserve">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unter Zuhilfenahme der grundlegenden Programmierstrukturen (Eingabe, Ausgabe, Berechnungen, Schleife, Verzweigung, Unterprogramme mit Schnittstelle) eigene Auswertungsprogramme entwickeln. [MK 6]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wesentlichen Grundlagen zum Aufbau und Nutzung von Datenbanksystemen wiedergeben und anwenden. [SK 3, MK 4]</w:t>
            </w:r>
          </w:p>
        </w:tc>
        <w:tc>
          <w:tcPr>
            <w:tcW w:w="3225" w:type="dxa"/>
            <w:shd w:val="clear" w:color="000000" w:fill="FFF2CC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lastRenderedPageBreak/>
              <w:t xml:space="preserve">... mit Forschungssoftware (z. B. Datenauswertungsprogrammen,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Versionierungssoftware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, Archivierungssoftware) nachhaltig umgehen.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mit Daten effizient umgehen und Konzepte für Automatisierung und Reproduzierbarkeit erstellen. [MK 6]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Forschende geeignete Forschungssoftware empfehlen bzw. zu weiterführenden Anliegen auf entsprechende Kontaktstellen verweisen. [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Forschende bei der Entwicklung von nachhaltigen Konzepten für die (Nach-)Nutzung von Forschungssoftware sowie den Daten und Ergebnissen beraten. [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6]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Grundlagen der Betriebssysteme sowie Grundlagen der Programmierung vermitteln. [MK 6]</w:t>
            </w:r>
          </w:p>
        </w:tc>
      </w:tr>
    </w:tbl>
    <w:p w:rsidR="00307C21" w:rsidRPr="00A5334C" w:rsidRDefault="00307C21" w:rsidP="00307C21">
      <w:pPr>
        <w:rPr>
          <w:rStyle w:val="berschrift1Zchn"/>
          <w:rFonts w:asciiTheme="minorHAnsi" w:hAnsiTheme="minorHAnsi" w:cstheme="minorHAnsi"/>
          <w:sz w:val="16"/>
          <w:szCs w:val="16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3224"/>
        <w:gridCol w:w="3225"/>
        <w:gridCol w:w="3225"/>
        <w:gridCol w:w="3225"/>
      </w:tblGrid>
      <w:tr w:rsidR="00307C21" w:rsidRPr="00A5334C" w:rsidTr="00EE78AE">
        <w:tc>
          <w:tcPr>
            <w:tcW w:w="2127" w:type="dxa"/>
            <w:shd w:val="clear" w:color="5B9BD5" w:themeColor="accent1" w:fill="5B9BD5" w:themeFill="accent1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 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FDM Themenbereich</w:t>
            </w:r>
          </w:p>
        </w:tc>
        <w:tc>
          <w:tcPr>
            <w:tcW w:w="3224" w:type="dxa"/>
            <w:shd w:val="clear" w:color="5B9BD5" w:themeColor="accent1" w:fill="5B9BD5" w:themeFill="accent1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 xml:space="preserve">Bachelor </w:t>
            </w:r>
          </w:p>
        </w:tc>
        <w:tc>
          <w:tcPr>
            <w:tcW w:w="3225" w:type="dxa"/>
            <w:shd w:val="clear" w:color="5B9BD5" w:themeColor="accent1" w:fill="5B9BD5" w:themeFill="accent1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  <w:color w:val="000000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>Master</w:t>
            </w:r>
          </w:p>
        </w:tc>
        <w:tc>
          <w:tcPr>
            <w:tcW w:w="3225" w:type="dxa"/>
            <w:shd w:val="clear" w:color="5B9BD5" w:themeColor="accent1" w:fill="5B9BD5" w:themeFill="accent1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PhD</w:t>
            </w:r>
            <w:proofErr w:type="spellEnd"/>
          </w:p>
        </w:tc>
        <w:tc>
          <w:tcPr>
            <w:tcW w:w="3225" w:type="dxa"/>
            <w:shd w:val="clear" w:color="5B9BD5" w:themeColor="accent1" w:fill="5B9BD5" w:themeFill="accent1"/>
          </w:tcPr>
          <w:p w:rsidR="00307C21" w:rsidRPr="00A5334C" w:rsidRDefault="00307C21" w:rsidP="00EE78AE">
            <w:pPr>
              <w:pStyle w:val="KeinLeerraum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>Data Stewards</w:t>
            </w:r>
          </w:p>
        </w:tc>
      </w:tr>
      <w:tr w:rsidR="00307C21" w:rsidRPr="00A5334C" w:rsidTr="00EE78AE">
        <w:trPr>
          <w:trHeight w:val="253"/>
        </w:trPr>
        <w:tc>
          <w:tcPr>
            <w:tcW w:w="2127" w:type="dxa"/>
            <w:shd w:val="clear" w:color="9CC2E5" w:themeColor="accent1" w:themeTint="99" w:fill="9CC2E5" w:themeFill="accent1" w:themeFillTint="99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</w:pPr>
            <w:bookmarkStart w:id="15" w:name="DatendokumentationMetadaten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 xml:space="preserve">Dokumentation und </w:t>
            </w:r>
          </w:p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color w:val="000000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Metadaten</w:t>
            </w:r>
            <w:bookmarkEnd w:id="15"/>
          </w:p>
        </w:tc>
        <w:tc>
          <w:tcPr>
            <w:tcW w:w="3224" w:type="dxa"/>
            <w:shd w:val="clear" w:color="9CC2E5" w:themeColor="accent1" w:themeTint="99" w:fill="9CC2E5" w:themeFill="accent1" w:themeFillTint="99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</w:p>
        </w:tc>
        <w:tc>
          <w:tcPr>
            <w:tcW w:w="3225" w:type="dxa"/>
            <w:shd w:val="clear" w:color="9CC2E5" w:themeColor="accent1" w:themeTint="99" w:fill="9CC2E5" w:themeFill="accent1" w:themeFillTint="99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color w:val="000000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wie Bachelor+</w:t>
            </w:r>
          </w:p>
        </w:tc>
        <w:tc>
          <w:tcPr>
            <w:tcW w:w="3225" w:type="dxa"/>
            <w:shd w:val="clear" w:color="9CC2E5" w:themeColor="accent1" w:themeTint="99" w:fill="9CC2E5" w:themeFill="accent1" w:themeFillTint="99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Bachelor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 Master +</w:t>
            </w:r>
          </w:p>
        </w:tc>
        <w:tc>
          <w:tcPr>
            <w:tcW w:w="3225" w:type="dxa"/>
            <w:shd w:val="clear" w:color="9CC2E5" w:themeColor="accent1" w:themeTint="99" w:fill="9CC2E5" w:themeFill="accent1" w:themeFillTint="99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Bachelor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 Master +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PhD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+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D9E1F2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sz w:val="16"/>
                <w:szCs w:val="16"/>
              </w:rPr>
            </w:pPr>
            <w:bookmarkStart w:id="16" w:name="Datendokumentation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Datendokumentation</w:t>
            </w:r>
            <w:bookmarkEnd w:id="16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i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i/>
                <w:sz w:val="16"/>
                <w:szCs w:val="16"/>
                <w:lang w:eastAsia="de-DE"/>
              </w:rPr>
              <w:t>Inhalte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Vorteile einer Datendokumentation; typische Inhalte einer Datendokumentation; verschiedene Formen einer Datendokumentation</w:t>
            </w:r>
          </w:p>
        </w:tc>
        <w:tc>
          <w:tcPr>
            <w:tcW w:w="3224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beschreiben, was eine Datendokumentation ist.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erläutern, welche Funktionen eine Datendokumentation erfüllt.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Komponenten/Inhalte einer Datendokumentation beschreiben.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angeleitet einfache Datendokumentationen für eigene Forschungsdaten formulieren.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Werkzeuge und Methoden zur Dokumentation benennen. [SK 1]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nachvollziehbare Argumente und Kriterien für eine nachhaltige Datendokumentation benennen.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anhand von Beispielen Vor- und Nachteile verschiedener Dokumentationsformen beschreiben. [SK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eigenständig einfache Datendokumentationen erstellen. [MK 3]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eine komplexe Datendokumentation erstellen.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eine Datendokumentation für ihre eigenen Forschungsdaten erstellen. [MK 6]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Inhalte und Bedeutung einer Datendokumentation vermitteln. [SK 3, MK 3,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vermitteln, wieso die Datendokumentation wichtig für die Nachnutzung von Daten ist. [SK 2,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einen nachvollziehbaren Workflow für Datendokumentationen erarbeiten und vermitteln. [SK 4, MK 5,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verschiedene Werkzeuge und Methoden zur Datendokumentation benennen und deren Nutzung anleiten. [SK 3, MK 3,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Dritte bzgl. ihrer Datendokumentationen beratend unterstützen. [SK 4, 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lastRenderedPageBreak/>
              <w:t>... Vorlagen für Datendokumentationen entwickeln. [SK 5, MK 5]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D9E1F2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17" w:name="Metadaten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lastRenderedPageBreak/>
              <w:t>Metadaten und Metadatenstandards</w:t>
            </w:r>
            <w:bookmarkEnd w:id="17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 xml:space="preserve">Inhalte: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Definition Metadaten; Formen von Metadaten; Metadatenstandards; Funktion von Metadaten; Möglichkeiten der Speicherung von Metadaten; Metadatenformate; Interoperabilität von Metadaten</w:t>
            </w:r>
          </w:p>
        </w:tc>
        <w:tc>
          <w:tcPr>
            <w:tcW w:w="3224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die Begriffe Metadaten, Normdaten und kontrolliertes Vokabular erläutern.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den Nutzen der Verwendung von Metadaten beschreiben.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erläutern, was ein Metadatenstandard ist.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erläutern, welche Funktionen Metadaten (insb. für die Nachnutzung von Daten) haben. [SK 1]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Lernende können…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verschiedene Metadatenstandards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unter Anleitung Metadatenstandards finden. [MK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ihre Daten auf Basis vorgegebener, einfacher Standards mit Metadaten beschreiben.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Metadaten auslesen. [MK 3]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Lernende können…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eigenständig nach Metadatenstandards recherchieren.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passende (disziplinspezifische) Metadatenstandards auswählen.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ihre Daten eigenständig auf Basis vorhandener Standards beschreiben.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Metadatenformate benennen und beschreiben. [SK 5]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Lernende können…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Begriffe Metadaten, Normdaten und kontrolliertes Vokabular erläutern.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vermitteln, welche verschiedenen Metadatenstandards existieren. [SK 2, MK2,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vermitteln, wofür Metadatenstandards verwendet werden.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vermitteln, wie und wo passende (disziplinspezifische) Metadatenstandards gefunden werden. [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gängige Metadatenvokabulare anwenden.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maßgebliche Initiativen und Projekte zum Thema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bzgl. der Auswahl von Metadatenstandards projektspezifisch beratend unterstützen. [SK 4, MK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D9E1F2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sz w:val="16"/>
                <w:szCs w:val="16"/>
              </w:rPr>
            </w:pPr>
            <w:bookmarkStart w:id="18" w:name="PIs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Persistente </w:t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Identifikatoren</w:t>
            </w:r>
            <w:bookmarkEnd w:id="18"/>
            <w:proofErr w:type="spellEnd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 xml:space="preserve">Definition persistente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Identifikatoren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(PID); Vor- und Nachteile von PIDs; Funktionen von PIDs; nähere Beschreibung ausgewählter PIDs; Aufbau von PIDs</w:t>
            </w:r>
          </w:p>
        </w:tc>
        <w:tc>
          <w:tcPr>
            <w:tcW w:w="3224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… beschreiben, was ein PID ist. [SK 1]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... Funktionen von PIDs beschreiben.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Beispiele für verschiedene PIDs benennen. [SK 1]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den allgemeinen Aufbau eines PID beschreiben.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den Nutzen von PID beschreiben.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PIDs für die die Recherche nutzen. [MK 2]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PIDs zu Recherche- und zu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Referenzierungszwecken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nutzen.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für die eigene Person/eigene Daten PIDs anlegen.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PIDs für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kollaboratives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Arbeiten nutzen.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den Nutzen von PIDs kritisch diskutieren. [SK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Funktionen von PIDs vermitteln.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zur Auswahl und Nutzung von PIDs beraten.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D9E1F2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sz w:val="16"/>
                <w:szCs w:val="16"/>
              </w:rPr>
            </w:pPr>
            <w:bookmarkStart w:id="19" w:name="Ontologien"/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 und kontrollierte Vokabulare</w:t>
            </w:r>
            <w:bookmarkEnd w:id="19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; Vokabulare; Terminologien; Verzeichnisse</w:t>
            </w:r>
          </w:p>
        </w:tc>
        <w:tc>
          <w:tcPr>
            <w:tcW w:w="3224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Rolle von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und Vokabularen erklären. [SK 1]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Verwendung von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und Vokabularen als solche einordnen.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domänenrelevante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als solche einordnen. [SK 3]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zur Beschreibung von Ressourcen exemplarisch anwenden. [MK 3]</w:t>
            </w:r>
          </w:p>
        </w:tc>
        <w:tc>
          <w:tcPr>
            <w:tcW w:w="3225" w:type="dxa"/>
            <w:shd w:val="clear" w:color="000000" w:fill="D9E1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Verwendung von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allgemein beschreiben.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den Nutzen von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beschreiben und vermitteln.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entwickeln. [MK 6]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 xml:space="preserve">... bzgl. der Entwicklung von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Ontologien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projektspezifisch beratend unterstützen. [SK 4, MK 4]</w:t>
            </w:r>
          </w:p>
        </w:tc>
      </w:tr>
    </w:tbl>
    <w:p w:rsidR="00307C21" w:rsidRPr="00A5334C" w:rsidRDefault="00307C21" w:rsidP="00307C21">
      <w:pPr>
        <w:rPr>
          <w:rStyle w:val="berschrift1Zchn"/>
          <w:rFonts w:asciiTheme="minorHAnsi" w:hAnsiTheme="minorHAnsi" w:cstheme="minorHAnsi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3224"/>
        <w:gridCol w:w="3225"/>
        <w:gridCol w:w="3225"/>
        <w:gridCol w:w="3225"/>
      </w:tblGrid>
      <w:tr w:rsidR="00307C21" w:rsidRPr="00A5334C" w:rsidTr="00EE78AE">
        <w:tc>
          <w:tcPr>
            <w:tcW w:w="2127" w:type="dxa"/>
            <w:shd w:val="clear" w:color="A6A6A6" w:themeColor="background1" w:themeShade="A6" w:fill="A6A6A6" w:themeFill="background1" w:themeFillShade="A6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color w:val="000000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 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FDM Themenbereich</w:t>
            </w:r>
          </w:p>
        </w:tc>
        <w:tc>
          <w:tcPr>
            <w:tcW w:w="3224" w:type="dxa"/>
            <w:shd w:val="clear" w:color="A6A6A6" w:themeColor="background1" w:themeShade="A6" w:fill="A6A6A6" w:themeFill="background1" w:themeFillShade="A6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 xml:space="preserve">Bachelor </w:t>
            </w:r>
          </w:p>
        </w:tc>
        <w:tc>
          <w:tcPr>
            <w:tcW w:w="3225" w:type="dxa"/>
            <w:shd w:val="clear" w:color="A6A6A6" w:themeColor="background1" w:themeShade="A6" w:fill="A6A6A6" w:themeFill="background1" w:themeFillShade="A6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>Master</w:t>
            </w:r>
          </w:p>
        </w:tc>
        <w:tc>
          <w:tcPr>
            <w:tcW w:w="3225" w:type="dxa"/>
            <w:shd w:val="clear" w:color="A6A6A6" w:themeColor="background1" w:themeShade="A6" w:fill="A6A6A6" w:themeFill="background1" w:themeFillShade="A6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PhD</w:t>
            </w:r>
            <w:proofErr w:type="spellEnd"/>
          </w:p>
        </w:tc>
        <w:tc>
          <w:tcPr>
            <w:tcW w:w="3225" w:type="dxa"/>
            <w:shd w:val="clear" w:color="A6A6A6" w:themeColor="background1" w:themeShade="A6" w:fill="A6A6A6" w:themeFill="background1" w:themeFillShade="A6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>Data Stewards</w:t>
            </w:r>
          </w:p>
        </w:tc>
      </w:tr>
      <w:tr w:rsidR="00307C21" w:rsidRPr="00A5334C" w:rsidTr="00EE78AE">
        <w:trPr>
          <w:trHeight w:val="454"/>
        </w:trPr>
        <w:tc>
          <w:tcPr>
            <w:tcW w:w="2127" w:type="dxa"/>
            <w:shd w:val="clear" w:color="BFBFBF" w:themeColor="background1" w:themeShade="BF" w:fill="BFBFBF" w:themeFill="background1" w:themeFillShade="BF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b/>
                <w:sz w:val="16"/>
                <w:szCs w:val="16"/>
              </w:rPr>
            </w:pPr>
            <w:bookmarkStart w:id="20" w:name="Langzeitarchivierung_Pub_Nachn"/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t>Langzeitarchivierung, Publikation, Nachnutzung</w:t>
            </w:r>
            <w:bookmarkEnd w:id="20"/>
          </w:p>
        </w:tc>
        <w:tc>
          <w:tcPr>
            <w:tcW w:w="3224" w:type="dxa"/>
            <w:shd w:val="clear" w:color="BFBFBF" w:themeColor="background1" w:themeShade="BF" w:fill="BFBFBF" w:themeFill="background1" w:themeFillShade="BF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225" w:type="dxa"/>
            <w:shd w:val="clear" w:color="BFBFBF" w:themeColor="background1" w:themeShade="BF" w:fill="BFBFBF" w:themeFill="background1" w:themeFillShade="BF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cstheme="minorHAnsi"/>
                <w:sz w:val="16"/>
                <w:szCs w:val="16"/>
                <w:lang w:eastAsia="de-DE"/>
              </w:rPr>
              <w:t>wie Bachelor+</w:t>
            </w:r>
          </w:p>
        </w:tc>
        <w:tc>
          <w:tcPr>
            <w:tcW w:w="3225" w:type="dxa"/>
            <w:shd w:val="clear" w:color="BFBFBF" w:themeColor="background1" w:themeShade="BF" w:fill="BFBFBF" w:themeFill="background1" w:themeFillShade="BF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Bachelor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 Master +</w:t>
            </w:r>
          </w:p>
        </w:tc>
        <w:tc>
          <w:tcPr>
            <w:tcW w:w="3225" w:type="dxa"/>
            <w:shd w:val="clear" w:color="BFBFBF" w:themeColor="background1" w:themeShade="BF" w:fill="BFBFBF" w:themeFill="background1" w:themeFillShade="BF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Bachelor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 Master +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PhD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+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2F2F2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color w:val="000000"/>
                <w:sz w:val="16"/>
                <w:szCs w:val="16"/>
              </w:rPr>
            </w:pPr>
            <w:bookmarkStart w:id="21" w:name="Langzeitarchivierung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Langzeitarchivierung von Daten</w:t>
            </w:r>
            <w:bookmarkEnd w:id="21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color w:val="000000"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br/>
              <w:t>Anforderungen an Langzeitarchivierung (LZA); Kriterien für LZA; institutionelle und außerinstitutionelle Möglichkeiten der LZA; technische Aspekte der LZA</w:t>
            </w:r>
          </w:p>
        </w:tc>
        <w:tc>
          <w:tcPr>
            <w:tcW w:w="3224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Kriterien nennen, nach denen Forschungsdaten für eine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LZA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ausgewählt werden sollten.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sich mit Fragen zur Nachhaltigkeit von Forschungsdaten kritisch auseinandersetzen. [SK 2]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besondere Vorkehrungen beschreiben, die getroffen werden müssen, damit Daten für längere Zeit verfügbar und nachnutzbar sein können.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besondere Anforderungen für eine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LZA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von Forschungsdaten beschreiben.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Wege, Daten langfristig zu archivieren beschreiben. [SK1]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institutionelle Lösungen (Repositorien) 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 Anleitung institutionelle Lösungen anwenden. [SK 3]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Lernende können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erklären, warum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LZA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von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Forschungsdaten von Bedeutung ist. [SK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Kriterien nennen, nach denen Repositorien für eine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LZA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ausgewählt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werden sollten. [SK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passende Repositorien für eine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LZA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eigenständig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auswählen. [SK 5]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Lernende können...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besondere Anforderungen einer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LZA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von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Forschungsdaten beschreiben und vermitteln.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bezüglich besonderer Anforderungen an eine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LZA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von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Forschungsdaten beraten. [SK 2,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technische Aspekte, die für eine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LZA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zu berücksichtigt sind, erläutern. [SK 2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]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darlegen, welche Vorkehrungen getroffen werden müssen, damit Daten für längere Zeit verfügbar sein können und ihre Authentizität und </w:t>
            </w:r>
            <w:proofErr w:type="gram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Integrität  erhalten</w:t>
            </w:r>
            <w:proofErr w:type="gram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bleibt. [SK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projektspezifisch bzgl. passender Repositorien für eine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LZAvon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Forschungsdaten beraten. [SK 5,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3]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2F2F2"/>
          </w:tcPr>
          <w:p w:rsidR="00307C21" w:rsidRPr="00A5334C" w:rsidRDefault="00307C21" w:rsidP="00EE78AE">
            <w:pPr>
              <w:spacing w:after="240" w:line="240" w:lineRule="auto"/>
              <w:rPr>
                <w:rFonts w:eastAsia="Arial" w:cstheme="minorHAnsi"/>
                <w:b/>
                <w:bCs/>
                <w:color w:val="000000"/>
                <w:sz w:val="16"/>
                <w:szCs w:val="16"/>
              </w:rPr>
            </w:pPr>
            <w:bookmarkStart w:id="22" w:name="Publikationswege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Publikationswege für Daten</w:t>
            </w:r>
            <w:bookmarkEnd w:id="22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color w:val="000000"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br/>
              <w:t>Vor- und Nachteile verschiedener Publikationswege;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br/>
              <w:t>Daten publizieren;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br/>
              <w:t>verschiedene Arten von Repositorien</w:t>
            </w:r>
          </w:p>
        </w:tc>
        <w:tc>
          <w:tcPr>
            <w:tcW w:w="3224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 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erläutern, was eine Datenpublikation ist.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Bestandteile einer Datenpublikation 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Publikationswege für Daten 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Vor- und Nachteile einer Datenpublikation aufzählen. [SK 2]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Vor- und Nachteile einer Datenpublikation diskutieren. [SK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...eigene Daten unter Anleitung publizieren. [MK 3]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Lernende können...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den Nutzen und die Vorbehalte einer Datenpublikation kritisch diskutieren.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 die Sinnhaftigkeit von Datenveröffentlichungen in spezifischen Fällen abwägen und bewerten. [SK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erläutern, welche Zusatzinformationen für einen Datensatz von Bedeutung sind. [SK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erläutern, in welchen Zusammenhängen die Rechte Dritter beachtet werden müssen. [SK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...eigenständig Daten publizieren. [MK 4]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den Nutzen von Datenpublikationen vermitteln. [SK 2, MK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Vor- und Nachteile verschiedener Publikationswege für Daten projektbezogen vermitteln. [SK 2, 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bezüglich der Beachtung von Rechten Dritter bei Datenpublikationen Orientierung bieten. [SK 3, MK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... erläutern und vermitteln, welche Zusatzinformationen für einen Datensatz von Bedeutung sind. [SK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color w:val="000000"/>
                <w:sz w:val="16"/>
                <w:szCs w:val="16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lastRenderedPageBreak/>
              <w:t xml:space="preserve">...andere anleiten, eigenständig Daten zu publizieren. [MK 4, </w:t>
            </w:r>
            <w:proofErr w:type="spellStart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 xml:space="preserve"> 3]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2F2F2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color w:val="000000"/>
                <w:sz w:val="16"/>
                <w:szCs w:val="16"/>
              </w:rPr>
            </w:pPr>
            <w:bookmarkStart w:id="23" w:name="Repositorien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lastRenderedPageBreak/>
              <w:t>Repositorien</w:t>
            </w:r>
            <w:bookmarkEnd w:id="23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color w:val="000000"/>
                <w:sz w:val="16"/>
                <w:szCs w:val="16"/>
                <w:lang w:eastAsia="de-DE"/>
              </w:rPr>
              <w:t xml:space="preserve">Inhalte: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br/>
              <w:t>Definition Repositorien; verschiedene Formen von Repositorien; Vor- und Nachteile verschiedener Repositorien; Funktionen von Repositorien</w:t>
            </w:r>
          </w:p>
        </w:tc>
        <w:tc>
          <w:tcPr>
            <w:tcW w:w="3224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erläutern, was ein Repositorium ist.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...verschiedene Arten von Repositorien benennen.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Vor- und Nachteile verschiedener Datenrepositorien benennen.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 Anleitung nach und in Repositorien nach Daten suchen. [MK 2]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nach und in Repositorien nach Daten suchen. [MK 3]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Kriterien für die Auswahl eines Repositoriums nennen. [SK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eigenständig Repositorien für Datennachnutzung und Veröffentlichung eigener Daten auswählen. [MK 4]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Aufgaben von Repositorien und ihre organisatorische Einbindung in existierende Prozesse darstellen und vermitteln. [SK 2, 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zu wichtigen technischen, rechtlichen und organisatorischen Anforderungen für den Betrieb von Repositorien beraten und Orientierung geben bzw. an hierzu ausgewiesenes Fachpersonal verweisen.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Vor- und Nachteile verschiedener Datenrepositorien projektbezogen darlegen.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Repositorien in der Forschungsdatenlandschaft verorten. [SK 3]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2F2F2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color w:val="000000"/>
                <w:sz w:val="16"/>
                <w:szCs w:val="16"/>
              </w:rPr>
            </w:pPr>
            <w:bookmarkStart w:id="24" w:name="Daten_nachnutzen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Daten nachnutzen</w:t>
            </w:r>
            <w:bookmarkEnd w:id="24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color w:val="000000"/>
                <w:sz w:val="16"/>
                <w:szCs w:val="16"/>
                <w:lang w:eastAsia="de-DE"/>
              </w:rPr>
              <w:t xml:space="preserve">Inhalte: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br/>
              <w:t xml:space="preserve">Vor- und Nachteile der Datennachnutzung; Datenzitiermethoden; relevante Lizenzen; Datenquellen; Recherchetools; Recherchestrategien </w:t>
            </w:r>
          </w:p>
        </w:tc>
        <w:tc>
          <w:tcPr>
            <w:tcW w:w="3224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Vor- und Nachteile der Nachnutzung von Daten benennen.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Voraussetzungen zur Nachnutzung von Daten benennen.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Informationsquellen für das Recherchieren nach Forschungsdaten benennen. [SK 1]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 Anleitung Forschungsdaten recherchieren. [MK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 Anleitung Regeln des Zitierens von Forschungsdaten anwenden. [MK 2]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Informationsquellen, Recherche-Tools und -strategien für das Recherchieren nach Forschungsdaten benennen und nutzen.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für eigene Projekte relevante Forschungsdaten recherchieren.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…nachgenutzte Daten eigenständig korrekt zitieren. [MK 3]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verschiedene Informationsquellen, Recherchewerkzeuge und -strategien für das Recherchieren nach Forschungsdaten benennen, nutzen und kritisch bewerten. [SK 4, MK 4]</w:t>
            </w:r>
          </w:p>
        </w:tc>
        <w:tc>
          <w:tcPr>
            <w:tcW w:w="3225" w:type="dxa"/>
            <w:shd w:val="clear" w:color="000000" w:fill="F2F2F2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Lernende können...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verschiedene Informationsquellen, Recherche-Tools und -strategien für das Recherchieren nach Forschungsdaten beschreiben und an Dritte zielgruppengerecht vermitteln. [SK 4, MK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4]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regeln der Datenzitation nennen und zielgruppengerecht an Dritte vermitteln. [SK 3,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bezüglich der Nachnutzbarkeit von Daten beraten und Orientierung geben. [MK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</w:tc>
      </w:tr>
    </w:tbl>
    <w:p w:rsidR="00307C21" w:rsidRPr="00A5334C" w:rsidRDefault="00307C21" w:rsidP="00307C21">
      <w:pPr>
        <w:rPr>
          <w:rStyle w:val="berschrift1Zchn"/>
          <w:rFonts w:asciiTheme="minorHAnsi" w:hAnsiTheme="minorHAnsi" w:cstheme="minorHAnsi"/>
          <w:sz w:val="16"/>
          <w:szCs w:val="16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3224"/>
        <w:gridCol w:w="3225"/>
        <w:gridCol w:w="3225"/>
        <w:gridCol w:w="3225"/>
      </w:tblGrid>
      <w:tr w:rsidR="00307C21" w:rsidRPr="00A5334C" w:rsidTr="00EE78AE">
        <w:trPr>
          <w:trHeight w:val="660"/>
        </w:trPr>
        <w:tc>
          <w:tcPr>
            <w:tcW w:w="2127" w:type="dxa"/>
            <w:shd w:val="clear" w:color="F4B083" w:themeColor="accent2" w:themeTint="99" w:fill="F4B083" w:themeFill="accent2" w:themeFillTint="99"/>
            <w:noWrap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b/>
                <w:sz w:val="16"/>
                <w:szCs w:val="16"/>
              </w:rPr>
            </w:pPr>
            <w:r w:rsidRPr="00A5334C">
              <w:rPr>
                <w:rFonts w:cstheme="minorHAnsi"/>
                <w:b/>
                <w:color w:val="000000"/>
                <w:sz w:val="16"/>
                <w:szCs w:val="16"/>
                <w:lang w:eastAsia="de-DE"/>
              </w:rPr>
              <w:t> </w:t>
            </w:r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t>FDM Themenbereich</w:t>
            </w:r>
          </w:p>
        </w:tc>
        <w:tc>
          <w:tcPr>
            <w:tcW w:w="3224" w:type="dxa"/>
            <w:shd w:val="clear" w:color="F4B083" w:themeColor="accent2" w:themeTint="99" w:fill="F4B083" w:themeFill="accent2" w:themeFillTint="99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b/>
                <w:sz w:val="16"/>
                <w:szCs w:val="16"/>
              </w:rPr>
            </w:pPr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t>Lernziele [Kompetenzbereiche, Niveaustufe]</w:t>
            </w:r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br/>
              <w:t xml:space="preserve">Bachelor </w:t>
            </w:r>
          </w:p>
        </w:tc>
        <w:tc>
          <w:tcPr>
            <w:tcW w:w="3225" w:type="dxa"/>
            <w:shd w:val="clear" w:color="F4B083" w:themeColor="accent2" w:themeTint="99" w:fill="F4B083" w:themeFill="accent2" w:themeFillTint="99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b/>
                <w:sz w:val="16"/>
                <w:szCs w:val="16"/>
              </w:rPr>
            </w:pPr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t>Lernziele [Kompetenzbereiche, Niveaustufe]</w:t>
            </w:r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br/>
              <w:t>Master</w:t>
            </w:r>
          </w:p>
        </w:tc>
        <w:tc>
          <w:tcPr>
            <w:tcW w:w="3225" w:type="dxa"/>
            <w:shd w:val="clear" w:color="F4B083" w:themeColor="accent2" w:themeTint="99" w:fill="F4B083" w:themeFill="accent2" w:themeFillTint="99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b/>
                <w:sz w:val="16"/>
                <w:szCs w:val="16"/>
              </w:rPr>
            </w:pPr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t>Lernziele [Kompetenzbereiche, Niveaustufe]</w:t>
            </w:r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br/>
            </w:r>
            <w:proofErr w:type="spellStart"/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t>PhD</w:t>
            </w:r>
            <w:proofErr w:type="spellEnd"/>
          </w:p>
        </w:tc>
        <w:tc>
          <w:tcPr>
            <w:tcW w:w="3225" w:type="dxa"/>
            <w:shd w:val="clear" w:color="F4B083" w:themeColor="accent2" w:themeTint="99" w:fill="F4B083" w:themeFill="accent2" w:themeFillTint="99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b/>
                <w:sz w:val="16"/>
                <w:szCs w:val="16"/>
              </w:rPr>
            </w:pPr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t>Lernziele [Kompetenzbereiche, Niveaustufe]</w:t>
            </w:r>
            <w:r w:rsidRPr="00A5334C">
              <w:rPr>
                <w:rFonts w:cstheme="minorHAnsi"/>
                <w:b/>
                <w:sz w:val="16"/>
                <w:szCs w:val="16"/>
                <w:lang w:eastAsia="de-DE"/>
              </w:rPr>
              <w:br/>
              <w:t>Data Stewards</w:t>
            </w:r>
          </w:p>
        </w:tc>
      </w:tr>
      <w:tr w:rsidR="00307C21" w:rsidRPr="00A5334C" w:rsidTr="00EE78AE">
        <w:trPr>
          <w:trHeight w:val="253"/>
        </w:trPr>
        <w:tc>
          <w:tcPr>
            <w:tcW w:w="2127" w:type="dxa"/>
            <w:shd w:val="clear" w:color="F7CAAC" w:themeColor="accent2" w:themeTint="66" w:fill="F7CAAC" w:themeFill="accent2" w:themeFillTint="66"/>
            <w:noWrap/>
            <w:vAlign w:val="center"/>
          </w:tcPr>
          <w:p w:rsidR="00307C21" w:rsidRPr="00A5334C" w:rsidRDefault="00307C21" w:rsidP="00EE78AE">
            <w:pPr>
              <w:spacing w:after="240" w:line="240" w:lineRule="auto"/>
              <w:ind w:right="633"/>
              <w:rPr>
                <w:rFonts w:eastAsia="Arial" w:cstheme="minorHAnsi"/>
              </w:rPr>
            </w:pPr>
            <w:bookmarkStart w:id="25" w:name="Recht_Ethik"/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Recht und Ethik</w:t>
            </w:r>
            <w:bookmarkEnd w:id="25"/>
          </w:p>
        </w:tc>
        <w:tc>
          <w:tcPr>
            <w:tcW w:w="3224" w:type="dxa"/>
            <w:shd w:val="clear" w:color="F7CAAC" w:themeColor="accent2" w:themeTint="66" w:fill="F7CAAC" w:themeFill="accent2" w:themeFillTint="66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</w:p>
        </w:tc>
        <w:tc>
          <w:tcPr>
            <w:tcW w:w="3225" w:type="dxa"/>
            <w:shd w:val="clear" w:color="F7CAAC" w:themeColor="accent2" w:themeTint="66" w:fill="F7CAAC" w:themeFill="accent2" w:themeFillTint="66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color w:val="000000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wie Bachelor +</w:t>
            </w:r>
          </w:p>
        </w:tc>
        <w:tc>
          <w:tcPr>
            <w:tcW w:w="3225" w:type="dxa"/>
            <w:shd w:val="clear" w:color="F7CAAC" w:themeColor="accent2" w:themeTint="66" w:fill="F7CAAC" w:themeFill="accent2" w:themeFillTint="66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Bachelor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 Master + </w:t>
            </w:r>
          </w:p>
        </w:tc>
        <w:tc>
          <w:tcPr>
            <w:tcW w:w="3225" w:type="dxa"/>
            <w:shd w:val="clear" w:color="F7CAAC" w:themeColor="accent2" w:themeTint="66" w:fill="F7CAAC" w:themeFill="accent2" w:themeFillTint="66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Bachelor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 Master +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PhD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+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CE4D6"/>
          </w:tcPr>
          <w:p w:rsidR="00307C21" w:rsidRPr="00A5334C" w:rsidRDefault="00307C21" w:rsidP="00EE78AE">
            <w:pPr>
              <w:spacing w:after="240" w:line="240" w:lineRule="auto"/>
              <w:ind w:right="633"/>
              <w:rPr>
                <w:rFonts w:eastAsia="Arial" w:cstheme="minorHAnsi"/>
                <w:sz w:val="16"/>
                <w:szCs w:val="16"/>
              </w:rPr>
            </w:pPr>
            <w:bookmarkStart w:id="26" w:name="Allg_rechtl_Aspekte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Allgemeine rechtliche Aspekte</w:t>
            </w:r>
            <w:bookmarkEnd w:id="26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i/>
                <w:sz w:val="16"/>
                <w:szCs w:val="16"/>
                <w:lang w:eastAsia="de-DE"/>
              </w:rPr>
              <w:lastRenderedPageBreak/>
              <w:t>Inhalte: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Forschungsdatenmanagement (FDM) tangierende Rechtsbereiche; Grundlagen des Urheberrechts; Lizenzrecht und Lizenzsysteme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</w:p>
        </w:tc>
        <w:tc>
          <w:tcPr>
            <w:tcW w:w="3224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 xml:space="preserve">Lernende können...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die das FDM tangierenden Rechtsbereiche aufzählen.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Rolle von Urheberrecht und Lizenzrecht im FDM erläutern.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relevante Lizenzsysteme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Eigenschaften offener und restriktiver Lizenzen beschreiben. [SK 2]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 xml:space="preserve">Lernende können...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unter Anleitung eine geeignete Lizenz für die Veröffentlichung von eigenen Forschungsdaten auswählen. [SK 4, MK 4]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das Urheberrecht betreffende Regeln auf ihr Forschungsvorhaben anwenden. [SK 4, 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eine geeignete Lizenz für die Veröffentlichung von eigenen Forschungsdaten auswählen. [SK 4, 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ihre Publikation für die ausgewählte Lizenz im Hinblick auf Urheber- und Lizenzrecht rechtssicher aufbereiten. [SK 6, MK 6]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Initiativen, Akteure und Ansprechpartner*innen zu Rechtsaspekten des FDM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verschiedenen Ebenen der gesetzlichen Regelungen, die beim FDM bedeutend sind, skizzieren und vermitteln. [SK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an den unterschiedlichen Stellen des Forschungskreislaufs zu beachtenden rechtlichen Aspekte bestimmen und entsprechend beraten und schulen. [MK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für eine Open-Science-Veröffentlichung benötigten rechtlichen Aspekte bestimmen.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bzgl. der rechtlichen Aspekte einer Open-Science-Veröffentlichung Orientierung geben. [SK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zu grundlegenden Anfragen zum Urheberrecht Orientierung geben und ggf. an ausgewiesenes Personal weiterleiten. [SK 5, MK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zu grundlegenden Anfragen zum Lizenzrecht Orientierung geben und ggf. an ausgewiesenes Personal weiterleiten. [SK 5, MK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aktuellen rechtlichen Entwicklungen bzgl. FDM skizzieren und zu Grundlagen schulen. [SK 4, 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</w:p>
        </w:tc>
      </w:tr>
      <w:tr w:rsidR="00307C21" w:rsidRPr="00A5334C" w:rsidTr="00EE78AE">
        <w:tc>
          <w:tcPr>
            <w:tcW w:w="2127" w:type="dxa"/>
            <w:shd w:val="clear" w:color="000000" w:fill="FCE4D6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27" w:name="Datenschutz_personenbezogene_Daten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lastRenderedPageBreak/>
              <w:t>Datenschutz und personenbezogene Daten</w:t>
            </w:r>
            <w:bookmarkEnd w:id="27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DGSVO; personenbezogene Daten; Grundlagen-Methoden zum Schutz personenbezogener Daten</w:t>
            </w:r>
          </w:p>
        </w:tc>
        <w:tc>
          <w:tcPr>
            <w:tcW w:w="3224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Beweggründe für einen besonderen Schutz personenbezogener Daten 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Rechtsgrundlagen zum Schutz personenbezogener Daten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darstellen, was personenbezogene und sensible Daten sind und entsprechende Beispiele nennen. [SK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Methoden und Maßnahmen benennen, die die Identität von Forschungsteilnehmenden schützen.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die Hinweispflichten, die für die Erhebung personenbezogener Daten für Forschungszwecke gelten, 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Bedeutung der Datensicherheit für den Datenschutz erläutern. [SK 2]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erkennen, ob ihre eigenen Forschungsdaten personenbezogene Daten enthalten. [SK 3, 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unter Anleitung für die eigene Forschung geeignete Methoden anwenden, die die Identität der Forschungsteilnehmenden schützen. [MK 4]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für die eigene Forschung geeignete Methoden auswählen und anwenden, die die Identität der Forschungsteilnehmenden schützen. [MK 4]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relevante Initiativen, Akteure und Ansprechpartner*innen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aktuelle rechtlichen Entwicklungen skizzieren und vermitteln.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anderen bezüglich Methoden und Maßnahmen, die für eine Verarbeitung und Publikation personenbezogener Daten erforderlichen sind, Orientierung geben. [SK 4, 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zu grundlegenden Anfragen zum Datenschutz Orientierung geben und ggf. an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ausgewiesenes Personal weiterleiten. [SK 5, MK 5]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CE4D6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28" w:name="Informierte_Einwilligung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lastRenderedPageBreak/>
              <w:t>Informierte Einwilligung</w:t>
            </w:r>
            <w:bookmarkEnd w:id="28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Informierte Einwilligung</w:t>
            </w:r>
          </w:p>
        </w:tc>
        <w:tc>
          <w:tcPr>
            <w:tcW w:w="3224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Inhalte und Bedeutung einer informierten Einwilligung beschreiben. [SK 2]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mithilfe von Vorlagen eine informierte Einwilligung für eigene Forschungsarbeiten verfassen. [MK 5]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eigenständig bewerten, ob sie eine informierte Einwilligung für ihr Forschungsvorhaben einholen müssen. [MK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mithilfe von Vorlagen eine informierte Einwilligung für eigene Forschungsarbeiten verfassen. [MK 5]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Inhalte und Bedeutung einer informierten Einwilligung vermitteln. [SK 4, 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bezüglich der Inhalte einer informierten Einwilligung Orientierung geben. [SK 4, MK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…Vorlagen für Informierte Einwilligungen entwerfen. [SK, MK 5]</w:t>
            </w:r>
          </w:p>
        </w:tc>
      </w:tr>
      <w:tr w:rsidR="00307C21" w:rsidRPr="00A5334C" w:rsidTr="00EE78AE">
        <w:tc>
          <w:tcPr>
            <w:tcW w:w="2127" w:type="dxa"/>
            <w:shd w:val="clear" w:color="000000" w:fill="FCE4D6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29" w:name="Anonym_Pseudo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Anonymisierung und </w:t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Pseudonymisierung</w:t>
            </w:r>
            <w:bookmarkEnd w:id="29"/>
            <w:proofErr w:type="spellEnd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Defintionen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; Unterschied Anonymisierung/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Pseudonymisierung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; Verfahren der Anonymisierung/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Pseudonymisierung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; Grad der Anonymisierung; Maßnahmen als Voraussetzung für Archivierung und Publikation</w:t>
            </w:r>
          </w:p>
        </w:tc>
        <w:tc>
          <w:tcPr>
            <w:tcW w:w="3224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die Definitionen der Begriffe Anonymisierung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Pseudonymisierung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wiedergeben.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den Unterschied zwischen Anonymisierung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Pseudonymisierung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erläutern.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direkt identifizierende Attribute in einem Datensatz erkennen. [SK 2, MK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verschiedene Verfahren zur Anonymisierung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Pseudonymisierung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von Daten beschreiben. [SK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Verfahren zur Anonymisierung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Pseudonymisierung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unter Anleitung auf eigene Daten anwenden. [MK 3]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Verfahren zur Anonymisierung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Pseudonymisierung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unter Anleitung auf eigene Daten anwenden. [MK 3]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verschiedene Verfahren zur Anonymisierung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Pseudonymisierung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von Daten eigenständig auf eigene Daten anwenden. [SK 3, MK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eigenständig den Grad der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Anonymisierbarkeit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ihrer Daten bezogen auf den Informationsgehalt beurteilen. [SK 5]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verschiedene Verfahren zur Anonymisierung und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Pseudonymisierung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von Daten beschreiben und Grundlagen vermitteln. [SK 3,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bzgl. der Auswahl eines geeigneten Verfahrens Orientierung geben. [SK 3, 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zur Beurteilung des Grads der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Anonymisierbarkeit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von Forschungsdaten bezogen auf den Informationsgehalt Orientierung geben. [SK 4, MK 4]</w:t>
            </w:r>
          </w:p>
        </w:tc>
      </w:tr>
      <w:tr w:rsidR="00307C21" w:rsidRPr="00A5334C" w:rsidTr="00EE78AE">
        <w:trPr>
          <w:trHeight w:val="2338"/>
        </w:trPr>
        <w:tc>
          <w:tcPr>
            <w:tcW w:w="2127" w:type="dxa"/>
            <w:shd w:val="clear" w:color="000000" w:fill="FCE4D6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30" w:name="Ethik_GWP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Ethische Aspekte und </w:t>
            </w:r>
            <w:bookmarkEnd w:id="30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Gute Wissenschaftliche Praxis (GWP)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Ethische Grundlagen zum Umgang mit Daten; Auskunft zu ethischen Aspekten; Gute Wissenschaftliche Praxis; Umgang mit wissenschaftlichem Fehlverhalten; CARE-Prinzipien; </w:t>
            </w:r>
          </w:p>
        </w:tc>
        <w:tc>
          <w:tcPr>
            <w:tcW w:w="3224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ethische Dimensionen im Umgang mit Daten benennen. [SK 1]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...einen verantwortungsvollen Umgang mit Daten beschreiben.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Grundprinzipien Guter Wissenschaftlicher Praxis erläutern.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CARE-Prinzipien beschreiben. [SK 2]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angeben, in welchen Forschungszusammenhängen eine Auskunft zu ethischen Aspekten nötig ist. [SK 2]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einstufen, ob und welche ethischen Dimensionen in eigenen Projekten eine Rolle spielen und diese diskutieren. [MK 4]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den Umgang mit Daten aus ethischer Perspektive hinterfragen. [MK 5]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einstufen, ob in eigenen Forschungszusammenhängen eine Auskunft zu ethischen Aspekten nötig ist. [SK 4]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...eine Auskunft zu ethischen Aspekten der eigenen Forschungsprojekte selbständig formulieren. [MK 4]</w:t>
            </w:r>
          </w:p>
        </w:tc>
        <w:tc>
          <w:tcPr>
            <w:tcW w:w="3225" w:type="dxa"/>
            <w:shd w:val="clear" w:color="000000" w:fill="FCE4D6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können…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… Initiativen, Akteure und Ansprechpartner*innen zu Ethikaspekten mit Bezug auf Forschungsdaten benennen.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an den unterschiedlichen Stellen des Forschungskreislaufs zu beachtenden ethischen Aspekte benennen.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relevanten Vorgaben der Forschungsförderer benennen und Forschende hierzu beraten. [SK 3, MK 3]</w:t>
            </w:r>
          </w:p>
        </w:tc>
      </w:tr>
    </w:tbl>
    <w:p w:rsidR="00307C21" w:rsidRPr="00A5334C" w:rsidRDefault="00307C21" w:rsidP="00307C21">
      <w:pPr>
        <w:rPr>
          <w:rStyle w:val="berschrift1Zchn"/>
          <w:rFonts w:asciiTheme="minorHAnsi" w:hAnsiTheme="minorHAnsi" w:cstheme="minorHAnsi"/>
          <w:sz w:val="16"/>
          <w:szCs w:val="16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3224"/>
        <w:gridCol w:w="3225"/>
        <w:gridCol w:w="3225"/>
        <w:gridCol w:w="3225"/>
      </w:tblGrid>
      <w:tr w:rsidR="00307C21" w:rsidRPr="00A5334C" w:rsidTr="00EE78AE">
        <w:tc>
          <w:tcPr>
            <w:tcW w:w="2127" w:type="dxa"/>
            <w:shd w:val="clear" w:color="FFA3FF" w:fill="FFA3FF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de-DE"/>
              </w:rPr>
              <w:t> 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FDM Themenbereich</w:t>
            </w:r>
          </w:p>
        </w:tc>
        <w:tc>
          <w:tcPr>
            <w:tcW w:w="3224" w:type="dxa"/>
            <w:shd w:val="clear" w:color="FFA3FF" w:fill="FFA3FF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 xml:space="preserve">Bachelor </w:t>
            </w:r>
          </w:p>
        </w:tc>
        <w:tc>
          <w:tcPr>
            <w:tcW w:w="3225" w:type="dxa"/>
            <w:shd w:val="clear" w:color="FFA3FF" w:fill="FFA3FF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>Master</w:t>
            </w:r>
          </w:p>
        </w:tc>
        <w:tc>
          <w:tcPr>
            <w:tcW w:w="3225" w:type="dxa"/>
            <w:shd w:val="clear" w:color="FFA3FF" w:fill="FFA3FF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PhD</w:t>
            </w:r>
            <w:proofErr w:type="spellEnd"/>
          </w:p>
        </w:tc>
        <w:tc>
          <w:tcPr>
            <w:tcW w:w="3225" w:type="dxa"/>
            <w:shd w:val="clear" w:color="FFA3FF" w:fill="FFA3FF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Lernziele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[Kompetenzbereiche, Niveaustufe]</w:t>
            </w:r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br/>
              <w:t>Data Stewards</w:t>
            </w:r>
          </w:p>
        </w:tc>
      </w:tr>
      <w:tr w:rsidR="00307C21" w:rsidRPr="00A5334C" w:rsidTr="00EE78AE">
        <w:trPr>
          <w:trHeight w:val="253"/>
        </w:trPr>
        <w:tc>
          <w:tcPr>
            <w:tcW w:w="2127" w:type="dxa"/>
            <w:shd w:val="clear" w:color="FFC2FF" w:fill="FFC2FF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</w:rPr>
            </w:pPr>
            <w:bookmarkStart w:id="31" w:name="Unterstützungsstrukturen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Unterstützungsstrukturen</w:t>
            </w:r>
            <w:bookmarkEnd w:id="31"/>
          </w:p>
        </w:tc>
        <w:tc>
          <w:tcPr>
            <w:tcW w:w="3224" w:type="dxa"/>
            <w:shd w:val="clear" w:color="FFC2FF" w:fill="FFC2FF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</w:p>
        </w:tc>
        <w:tc>
          <w:tcPr>
            <w:tcW w:w="3225" w:type="dxa"/>
            <w:shd w:val="clear" w:color="FFC2FF" w:fill="FFC2FF"/>
            <w:vAlign w:val="center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color w:val="000000"/>
              </w:rPr>
            </w:pP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wie Bachelor +</w:t>
            </w:r>
          </w:p>
        </w:tc>
        <w:tc>
          <w:tcPr>
            <w:tcW w:w="3225" w:type="dxa"/>
            <w:shd w:val="clear" w:color="FFC2FF" w:fill="FFC2FF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Bachelor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 Master +</w:t>
            </w:r>
          </w:p>
        </w:tc>
        <w:tc>
          <w:tcPr>
            <w:tcW w:w="3225" w:type="dxa"/>
            <w:shd w:val="clear" w:color="FFC2FF" w:fill="FFC2FF"/>
            <w:vAlign w:val="center"/>
          </w:tcPr>
          <w:p w:rsidR="00307C21" w:rsidRPr="00A5334C" w:rsidRDefault="00307C21" w:rsidP="00EE78AE">
            <w:pPr>
              <w:pStyle w:val="KeinLeerraum"/>
              <w:rPr>
                <w:rFonts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wie </w:t>
            </w:r>
            <w:r w:rsidRPr="00A5334C">
              <w:rPr>
                <w:rFonts w:eastAsia="Arial" w:cstheme="minorHAnsi"/>
                <w:color w:val="000000"/>
                <w:sz w:val="16"/>
                <w:szCs w:val="16"/>
                <w:lang w:eastAsia="de-DE"/>
              </w:rPr>
              <w:t>Bachelor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+ Master + </w:t>
            </w:r>
            <w:proofErr w:type="spellStart"/>
            <w:r w:rsidRPr="00A5334C">
              <w:rPr>
                <w:rFonts w:cstheme="minorHAnsi"/>
                <w:sz w:val="16"/>
                <w:szCs w:val="16"/>
                <w:lang w:eastAsia="de-DE"/>
              </w:rPr>
              <w:t>PhD</w:t>
            </w:r>
            <w:proofErr w:type="spellEnd"/>
            <w:r w:rsidRPr="00A5334C">
              <w:rPr>
                <w:rFonts w:cstheme="minorHAnsi"/>
                <w:sz w:val="16"/>
                <w:szCs w:val="16"/>
                <w:lang w:eastAsia="de-DE"/>
              </w:rPr>
              <w:t xml:space="preserve"> +</w:t>
            </w:r>
          </w:p>
        </w:tc>
      </w:tr>
      <w:tr w:rsidR="00307C21" w:rsidRPr="00A5334C" w:rsidTr="00EE78AE">
        <w:tc>
          <w:tcPr>
            <w:tcW w:w="2127" w:type="dxa"/>
            <w:shd w:val="clear" w:color="FFE5FF" w:fill="FFE5FF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b/>
                <w:bCs/>
                <w:sz w:val="16"/>
                <w:szCs w:val="16"/>
              </w:rPr>
            </w:pPr>
            <w:bookmarkStart w:id="32" w:name="Rollen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 xml:space="preserve">Rollen im Datenmanagement / Data </w:t>
            </w:r>
            <w:proofErr w:type="spellStart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Stewardship</w:t>
            </w:r>
            <w:bookmarkEnd w:id="32"/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Handlungsfelder im FDM; typische Problemstellungen im beruflichen Zusammenhang</w:t>
            </w:r>
          </w:p>
        </w:tc>
        <w:tc>
          <w:tcPr>
            <w:tcW w:w="3224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Nicht relevant; ggf. Berufsorientierung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Nicht relevant; ggf. Berufsorientierung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Nicht relevant; ggf. Berufsorientierung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verschiedenen Handlungsfelder und Rollen im FDM beschreiben. [SK 2]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... Problemstellungen im Bereich FDM in ihrem beruflichen Alltag zu analysieren. [MK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zu Problemstellungen im Bereich FDM in ihrem beruflichen Alltag Lösungsstrategien entwickeln. [MK 6]</w:t>
            </w:r>
          </w:p>
        </w:tc>
      </w:tr>
      <w:tr w:rsidR="00307C21" w:rsidRPr="00A5334C" w:rsidTr="00EE78AE">
        <w:tc>
          <w:tcPr>
            <w:tcW w:w="2127" w:type="dxa"/>
            <w:shd w:val="clear" w:color="FFE5FF" w:fill="FFE5FF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33" w:name="Infrastrukturen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Relevante Infrastrukturen</w:t>
            </w:r>
            <w:bookmarkEnd w:id="33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Typische institutionelle wie außerinstitutionelle FDM-relevante Services</w:t>
            </w:r>
          </w:p>
        </w:tc>
        <w:tc>
          <w:tcPr>
            <w:tcW w:w="3224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Ansprechpersonen/Abteilungen zum FDM an ihren Institutionen benennen. [SK 2]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Ansprechpersonen/Abteilungen zum FDM an ihren Institutionen benennen und Services unter Anleitung anwenden. [SK 3]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Ansprechpersonen/Abteilungen zum FDM an ihren Institutionen benennen und Services eigenständig Anleitung anwenden. [SK 3]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typische Services zum FDM an Hochschulen/Universitäten oder anderen Forschungseinrichtungen benennen. [SK 2] 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... die Dienste der eigenen Einrichtung bzw. einer Beispieleinrichtung zum Umgang mit Forschungsdaten beschreiben.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eigenständig nach Ansprechpersonen für verschiedene FDM-relevante Services recherchieren. [MK 3]</w:t>
            </w:r>
          </w:p>
        </w:tc>
      </w:tr>
      <w:tr w:rsidR="00307C21" w:rsidRPr="00A5334C" w:rsidTr="00EE78AE">
        <w:tc>
          <w:tcPr>
            <w:tcW w:w="2127" w:type="dxa"/>
            <w:shd w:val="clear" w:color="FFE5FF" w:fill="FFE5FF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34" w:name="Didaktik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t>Didaktik</w:t>
            </w:r>
            <w:bookmarkEnd w:id="34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Grundlagen der Lehrveranstaltungsplanung; Lernpsychologische Grundlagen; Motivation und Aktivierung von Lernenden; Präsentationsformen; Einsatz von didaktischen Methoden; Feedback geben und nehmen</w:t>
            </w:r>
          </w:p>
        </w:tc>
        <w:tc>
          <w:tcPr>
            <w:tcW w:w="3224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Nicht relevant; ggf. relevant für Tutor*innen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Nicht relevant; ggf. relevant für Tutor*innen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highlight w:val="yellow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FDM-relevante Inhalte für eigene Fachveranstaltungen identifizieren und vermitteln. [MK 3]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Lernende können...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Bedingungen für ein anregendes Lehren wiedergeben. [SK 1]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Konzepte zum Lernprozess skizzieren (z. B. Döring).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eigene Schulungen auf Basis vorhandener Konzepte und Methoden entwickeln.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3-Z-Formel auf eigene Schulungskonzepte anwenden [MK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inhaltliche und organisatorische Aspekte eines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Workshopaufbaus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bewerten. [MK 5]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unterschiedliche didaktische Methoden und deren Ziele voneinander unterscheiden. [SK 4]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lastRenderedPageBreak/>
              <w:t>... verschiedene didaktische Methode in ihren Schulungen so einsetzen, dass sie einen Beitrag zum Lernerfolg leisten. [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6]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die Unterschiede zwischen den Funktionsweisen und Anwendungsbereichen von Evaluation und Feedback benennen. [SK 2]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geeignete/vorhandene Evaluations- und Feedback-Methoden für ihre Schulungen anwenden. [MK oder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eigene Evaluations- und Feedbackmethoden für ihre Schulungen entwickeln und anwenden. [MK oder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6]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eigenständig Schulungskonzepte für verschiedene Zielgruppen entwickeln. [MK 6,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4]</w:t>
            </w:r>
          </w:p>
        </w:tc>
      </w:tr>
      <w:tr w:rsidR="00307C21" w:rsidRPr="00A5334C" w:rsidTr="00EE78AE">
        <w:tc>
          <w:tcPr>
            <w:tcW w:w="2127" w:type="dxa"/>
            <w:shd w:val="clear" w:color="FFE5FF" w:fill="FFE5FF"/>
          </w:tcPr>
          <w:p w:rsidR="00307C21" w:rsidRPr="00A5334C" w:rsidRDefault="00307C21" w:rsidP="00EE78AE">
            <w:pPr>
              <w:spacing w:after="0" w:line="240" w:lineRule="auto"/>
              <w:rPr>
                <w:rFonts w:eastAsia="Arial" w:cstheme="minorHAnsi"/>
                <w:sz w:val="16"/>
                <w:szCs w:val="16"/>
              </w:rPr>
            </w:pPr>
            <w:bookmarkStart w:id="35" w:name="Beratung"/>
            <w:r w:rsidRPr="00A5334C">
              <w:rPr>
                <w:rFonts w:eastAsia="Arial" w:cstheme="minorHAnsi"/>
                <w:b/>
                <w:bCs/>
                <w:sz w:val="16"/>
                <w:szCs w:val="16"/>
                <w:lang w:eastAsia="de-DE"/>
              </w:rPr>
              <w:lastRenderedPageBreak/>
              <w:t>Beratung</w:t>
            </w:r>
            <w:bookmarkEnd w:id="35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</w:r>
            <w:r w:rsidRPr="00A5334C">
              <w:rPr>
                <w:rFonts w:eastAsia="Arial" w:cstheme="minorHAnsi"/>
                <w:b/>
                <w:i/>
                <w:sz w:val="16"/>
                <w:szCs w:val="16"/>
                <w:lang w:eastAsia="de-DE"/>
              </w:rPr>
              <w:t>Inhalte:</w:t>
            </w: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br/>
              <w:t>Grundlagen der Beratung; Methoden und Ansätze in der Beratungsarbeit</w:t>
            </w:r>
          </w:p>
        </w:tc>
        <w:tc>
          <w:tcPr>
            <w:tcW w:w="3224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Nicht relevant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Nicht relevant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Nicht relevant</w:t>
            </w:r>
          </w:p>
        </w:tc>
        <w:tc>
          <w:tcPr>
            <w:tcW w:w="3225" w:type="dxa"/>
            <w:shd w:val="clear" w:color="FFE5FF" w:fill="FFE5FF"/>
          </w:tcPr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Lernende können... 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... zwischen verschiedenen Ansätzen und Methoden für die Beratung differenzieren. [SK4, MK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geeignete Ansätze und Methoden für unterschiedliche Beratungssettings anwenden. [SK 3,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  <w:lang w:eastAsia="de-DE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verschiedene Zielgruppen zu generischen und auf das FDM bezogenen Anliegen und Konzepten beraten. [SK 3, MK 3,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3]</w:t>
            </w:r>
          </w:p>
          <w:p w:rsidR="00307C21" w:rsidRPr="00A5334C" w:rsidRDefault="00307C21" w:rsidP="00EE78AE">
            <w:pPr>
              <w:spacing w:after="40" w:line="240" w:lineRule="auto"/>
              <w:rPr>
                <w:rFonts w:eastAsia="Arial" w:cstheme="minorHAnsi"/>
                <w:sz w:val="16"/>
                <w:szCs w:val="16"/>
              </w:rPr>
            </w:pPr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... Grenzen der Beratungsleistung aufzeigen und auf weitere Anlaufstellen (z. B. bei fachlichen oder rechtlichen Anliegen) verweisen. [SK 4,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SeK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5, </w:t>
            </w:r>
            <w:proofErr w:type="spellStart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>SoK</w:t>
            </w:r>
            <w:proofErr w:type="spellEnd"/>
            <w:r w:rsidRPr="00A5334C">
              <w:rPr>
                <w:rFonts w:eastAsia="Arial" w:cstheme="minorHAnsi"/>
                <w:sz w:val="16"/>
                <w:szCs w:val="16"/>
                <w:lang w:eastAsia="de-DE"/>
              </w:rPr>
              <w:t xml:space="preserve"> 5]</w:t>
            </w:r>
          </w:p>
        </w:tc>
      </w:tr>
    </w:tbl>
    <w:p w:rsidR="00307C21" w:rsidRDefault="00307C21" w:rsidP="00307C21">
      <w:pPr>
        <w:rPr>
          <w:rStyle w:val="berschrift1Zchn"/>
        </w:rPr>
      </w:pPr>
    </w:p>
    <w:p w:rsidR="00666548" w:rsidRDefault="001B0A1E"/>
    <w:sectPr w:rsidR="00666548" w:rsidSect="00307C21">
      <w:footerReference w:type="default" r:id="rId13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A1E" w:rsidRDefault="001B0A1E" w:rsidP="00307C21">
      <w:pPr>
        <w:spacing w:after="0" w:line="240" w:lineRule="auto"/>
      </w:pPr>
      <w:r>
        <w:separator/>
      </w:r>
    </w:p>
  </w:endnote>
  <w:endnote w:type="continuationSeparator" w:id="0">
    <w:p w:rsidR="001B0A1E" w:rsidRDefault="001B0A1E" w:rsidP="00307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9F4" w:rsidRDefault="006079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C21" w:rsidRDefault="00307C21" w:rsidP="00307C21">
    <w:pPr>
      <w:keepNext/>
      <w:keepLines/>
      <w:spacing w:after="60"/>
      <w:rPr>
        <w:sz w:val="14"/>
        <w:szCs w:val="14"/>
      </w:rPr>
    </w:pPr>
    <w:r>
      <w:rPr>
        <w:b/>
        <w:sz w:val="14"/>
        <w:szCs w:val="14"/>
      </w:rPr>
      <w:t>Codierung der Kompetenzbereiche</w:t>
    </w:r>
    <w:r>
      <w:rPr>
        <w:sz w:val="14"/>
        <w:szCs w:val="14"/>
      </w:rPr>
      <w:t xml:space="preserve">: SK = Sachkompetenz; MK = Methodenkompetenz; </w:t>
    </w:r>
    <w:proofErr w:type="spellStart"/>
    <w:r>
      <w:rPr>
        <w:sz w:val="14"/>
        <w:szCs w:val="14"/>
      </w:rPr>
      <w:t>SoK</w:t>
    </w:r>
    <w:proofErr w:type="spellEnd"/>
    <w:r>
      <w:rPr>
        <w:sz w:val="14"/>
        <w:szCs w:val="14"/>
      </w:rPr>
      <w:t xml:space="preserve"> = Sozialkompetenz; </w:t>
    </w:r>
    <w:proofErr w:type="spellStart"/>
    <w:r>
      <w:rPr>
        <w:sz w:val="14"/>
        <w:szCs w:val="14"/>
      </w:rPr>
      <w:t>SeK</w:t>
    </w:r>
    <w:proofErr w:type="spellEnd"/>
    <w:r>
      <w:rPr>
        <w:sz w:val="14"/>
        <w:szCs w:val="14"/>
      </w:rPr>
      <w:t xml:space="preserve"> = Selbstkompetenz</w:t>
    </w:r>
  </w:p>
  <w:p w:rsidR="00307C21" w:rsidRDefault="00307C21" w:rsidP="00307C21">
    <w:pPr>
      <w:keepNext/>
      <w:keepLines/>
      <w:spacing w:after="60"/>
      <w:rPr>
        <w:sz w:val="14"/>
        <w:szCs w:val="14"/>
      </w:rPr>
    </w:pPr>
    <w:r>
      <w:rPr>
        <w:b/>
        <w:sz w:val="14"/>
        <w:szCs w:val="14"/>
      </w:rPr>
      <w:t>Codierung der Lernniveaustufen</w:t>
    </w:r>
    <w:r>
      <w:rPr>
        <w:sz w:val="14"/>
        <w:szCs w:val="14"/>
      </w:rPr>
      <w:t>: 1 = Erinnern/Wissen; 2 = Verstehen; 3 = Anwenden; 4 = Analysieren; 5 = Beurteilen; 6 = Erschaffen</w:t>
    </w:r>
  </w:p>
  <w:sdt>
    <w:sdtPr>
      <w:id w:val="618271090"/>
      <w:docPartObj>
        <w:docPartGallery w:val="Page Numbers (Bottom of Page)"/>
        <w:docPartUnique/>
      </w:docPartObj>
    </w:sdtPr>
    <w:sdtEndPr/>
    <w:sdtContent>
      <w:p w:rsidR="00CB1E62" w:rsidRDefault="008A77C4" w:rsidP="009C0B1E">
        <w:pPr>
          <w:pStyle w:val="Fuzeile"/>
          <w:jc w:val="center"/>
        </w:pPr>
        <w:r w:rsidRPr="00CB1E62">
          <w:rPr>
            <w:sz w:val="18"/>
            <w:szCs w:val="18"/>
          </w:rPr>
          <w:fldChar w:fldCharType="begin"/>
        </w:r>
        <w:r w:rsidRPr="00CB1E62">
          <w:rPr>
            <w:sz w:val="18"/>
            <w:szCs w:val="18"/>
          </w:rPr>
          <w:instrText>PAGE   \* MERGEFORMAT</w:instrText>
        </w:r>
        <w:r w:rsidRPr="00CB1E62">
          <w:rPr>
            <w:sz w:val="18"/>
            <w:szCs w:val="18"/>
          </w:rPr>
          <w:fldChar w:fldCharType="separate"/>
        </w:r>
        <w:r w:rsidR="00307C21">
          <w:rPr>
            <w:noProof/>
            <w:sz w:val="18"/>
            <w:szCs w:val="18"/>
          </w:rPr>
          <w:t>2</w:t>
        </w:r>
        <w:r w:rsidRPr="00CB1E62">
          <w:rPr>
            <w:sz w:val="18"/>
            <w:szCs w:val="18"/>
          </w:rPr>
          <w:fldChar w:fldCharType="end"/>
        </w:r>
      </w:p>
    </w:sdtContent>
  </w:sdt>
  <w:p w:rsidR="00CB1E62" w:rsidRDefault="001B0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9F4" w:rsidRDefault="006079F4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C21" w:rsidRDefault="00307C21" w:rsidP="00307C21">
    <w:pPr>
      <w:keepNext/>
      <w:keepLines/>
      <w:spacing w:after="60"/>
      <w:rPr>
        <w:sz w:val="14"/>
        <w:szCs w:val="14"/>
      </w:rPr>
    </w:pPr>
    <w:r>
      <w:rPr>
        <w:b/>
        <w:sz w:val="14"/>
        <w:szCs w:val="14"/>
      </w:rPr>
      <w:t>Codierung der Kompetenzbereiche</w:t>
    </w:r>
    <w:r>
      <w:rPr>
        <w:sz w:val="14"/>
        <w:szCs w:val="14"/>
      </w:rPr>
      <w:t xml:space="preserve">: SK = Sachkompetenz; MK = Methodenkompetenz; </w:t>
    </w:r>
    <w:proofErr w:type="spellStart"/>
    <w:r>
      <w:rPr>
        <w:sz w:val="14"/>
        <w:szCs w:val="14"/>
      </w:rPr>
      <w:t>SoK</w:t>
    </w:r>
    <w:proofErr w:type="spellEnd"/>
    <w:r>
      <w:rPr>
        <w:sz w:val="14"/>
        <w:szCs w:val="14"/>
      </w:rPr>
      <w:t xml:space="preserve"> = Sozialkompetenz; </w:t>
    </w:r>
    <w:proofErr w:type="spellStart"/>
    <w:r>
      <w:rPr>
        <w:sz w:val="14"/>
        <w:szCs w:val="14"/>
      </w:rPr>
      <w:t>SeK</w:t>
    </w:r>
    <w:proofErr w:type="spellEnd"/>
    <w:r>
      <w:rPr>
        <w:sz w:val="14"/>
        <w:szCs w:val="14"/>
      </w:rPr>
      <w:t xml:space="preserve"> = Selbstkompetenz</w:t>
    </w:r>
  </w:p>
  <w:p w:rsidR="00307C21" w:rsidRDefault="00307C21" w:rsidP="00307C21">
    <w:pPr>
      <w:keepNext/>
      <w:keepLines/>
      <w:spacing w:after="60"/>
      <w:rPr>
        <w:sz w:val="14"/>
        <w:szCs w:val="14"/>
      </w:rPr>
    </w:pPr>
    <w:r>
      <w:rPr>
        <w:b/>
        <w:sz w:val="14"/>
        <w:szCs w:val="14"/>
      </w:rPr>
      <w:t>Codierung der Lernniveaustufen</w:t>
    </w:r>
    <w:r>
      <w:rPr>
        <w:sz w:val="14"/>
        <w:szCs w:val="14"/>
      </w:rPr>
      <w:t>: 1 = Erinnern/Wissen; 2 = Verstehen; 3 = Anwenden; 4 = Analysieren; 5 = Beurteilen; 6 = Erschaffen</w:t>
    </w:r>
  </w:p>
  <w:p w:rsidR="00307C21" w:rsidRDefault="00307C21" w:rsidP="00307C21">
    <w:pPr>
      <w:pStyle w:val="Fuzeile"/>
      <w:jc w:val="right"/>
    </w:pPr>
  </w:p>
  <w:p w:rsidR="00307C21" w:rsidRDefault="00307C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A1E" w:rsidRDefault="001B0A1E" w:rsidP="00307C21">
      <w:pPr>
        <w:spacing w:after="0" w:line="240" w:lineRule="auto"/>
      </w:pPr>
      <w:r>
        <w:separator/>
      </w:r>
    </w:p>
  </w:footnote>
  <w:footnote w:type="continuationSeparator" w:id="0">
    <w:p w:rsidR="001B0A1E" w:rsidRDefault="001B0A1E" w:rsidP="00307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9F4" w:rsidRDefault="006079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FB" w:rsidRDefault="008A77C4">
    <w:pPr>
      <w:pStyle w:val="Kopfzeile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Lernzielmatrix zum Themenbereich </w:t>
    </w:r>
    <w:r w:rsidR="00A5334C">
      <w:rPr>
        <w:rFonts w:ascii="Arial" w:hAnsi="Arial" w:cs="Arial"/>
        <w:sz w:val="16"/>
        <w:szCs w:val="16"/>
      </w:rPr>
      <w:t>Forschungsdatenmanagement (FDM)</w:t>
    </w:r>
  </w:p>
  <w:p w:rsidR="005E4BFB" w:rsidRDefault="001B0A1E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C21" w:rsidRPr="00A5334C" w:rsidRDefault="00307C21" w:rsidP="00307C21">
    <w:pPr>
      <w:pStyle w:val="Kopfzeile"/>
      <w:pBdr>
        <w:bottom w:val="single" w:sz="6" w:space="1" w:color="auto"/>
      </w:pBdr>
      <w:rPr>
        <w:rFonts w:cstheme="minorHAnsi"/>
        <w:sz w:val="16"/>
        <w:szCs w:val="16"/>
      </w:rPr>
    </w:pPr>
    <w:r w:rsidRPr="00A5334C">
      <w:rPr>
        <w:rFonts w:cstheme="minorHAnsi"/>
        <w:sz w:val="16"/>
        <w:szCs w:val="16"/>
      </w:rPr>
      <w:t>Lernzielmatrix zum Themenbereich Forschungsdatenmanagement (FDM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026D8"/>
    <w:multiLevelType w:val="hybridMultilevel"/>
    <w:tmpl w:val="A6DA62BC"/>
    <w:lvl w:ilvl="0" w:tplc="3F4A7EF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EA0C0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C4698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5E60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07CD9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51EF2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2C60F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96CBC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3C68A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1DE1F3D"/>
    <w:multiLevelType w:val="hybridMultilevel"/>
    <w:tmpl w:val="19B20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92C18"/>
    <w:multiLevelType w:val="hybridMultilevel"/>
    <w:tmpl w:val="89EA5536"/>
    <w:lvl w:ilvl="0" w:tplc="5882F8B0">
      <w:start w:val="1"/>
      <w:numFmt w:val="decimal"/>
      <w:lvlText w:val="%1."/>
      <w:lvlJc w:val="left"/>
      <w:pPr>
        <w:ind w:left="720" w:hanging="360"/>
      </w:pPr>
    </w:lvl>
    <w:lvl w:ilvl="1" w:tplc="2910A246">
      <w:start w:val="1"/>
      <w:numFmt w:val="lowerLetter"/>
      <w:lvlText w:val="%2."/>
      <w:lvlJc w:val="left"/>
      <w:pPr>
        <w:ind w:left="1440" w:hanging="360"/>
      </w:pPr>
    </w:lvl>
    <w:lvl w:ilvl="2" w:tplc="FFC48852">
      <w:start w:val="1"/>
      <w:numFmt w:val="lowerRoman"/>
      <w:lvlText w:val="%3."/>
      <w:lvlJc w:val="right"/>
      <w:pPr>
        <w:ind w:left="2160" w:hanging="180"/>
      </w:pPr>
    </w:lvl>
    <w:lvl w:ilvl="3" w:tplc="2F903252">
      <w:start w:val="1"/>
      <w:numFmt w:val="decimal"/>
      <w:lvlText w:val="%4."/>
      <w:lvlJc w:val="left"/>
      <w:pPr>
        <w:ind w:left="2880" w:hanging="360"/>
      </w:pPr>
    </w:lvl>
    <w:lvl w:ilvl="4" w:tplc="DD6C0B46">
      <w:start w:val="1"/>
      <w:numFmt w:val="lowerLetter"/>
      <w:lvlText w:val="%5."/>
      <w:lvlJc w:val="left"/>
      <w:pPr>
        <w:ind w:left="3600" w:hanging="360"/>
      </w:pPr>
    </w:lvl>
    <w:lvl w:ilvl="5" w:tplc="F446BCBA">
      <w:start w:val="1"/>
      <w:numFmt w:val="lowerRoman"/>
      <w:lvlText w:val="%6."/>
      <w:lvlJc w:val="right"/>
      <w:pPr>
        <w:ind w:left="4320" w:hanging="180"/>
      </w:pPr>
    </w:lvl>
    <w:lvl w:ilvl="6" w:tplc="DB5269C2">
      <w:start w:val="1"/>
      <w:numFmt w:val="decimal"/>
      <w:lvlText w:val="%7."/>
      <w:lvlJc w:val="left"/>
      <w:pPr>
        <w:ind w:left="5040" w:hanging="360"/>
      </w:pPr>
    </w:lvl>
    <w:lvl w:ilvl="7" w:tplc="C1A0B0A8">
      <w:start w:val="1"/>
      <w:numFmt w:val="lowerLetter"/>
      <w:lvlText w:val="%8."/>
      <w:lvlJc w:val="left"/>
      <w:pPr>
        <w:ind w:left="5760" w:hanging="360"/>
      </w:pPr>
    </w:lvl>
    <w:lvl w:ilvl="8" w:tplc="CF4ADC3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85038"/>
    <w:multiLevelType w:val="hybridMultilevel"/>
    <w:tmpl w:val="5B2860AE"/>
    <w:lvl w:ilvl="0" w:tplc="71B244D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D3EEE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C784B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FA2B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46D2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FECDC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60E5C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1264D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02E7F1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21"/>
    <w:rsid w:val="001B0A1E"/>
    <w:rsid w:val="00262C11"/>
    <w:rsid w:val="00307C21"/>
    <w:rsid w:val="006079F4"/>
    <w:rsid w:val="00721B11"/>
    <w:rsid w:val="008A77C4"/>
    <w:rsid w:val="00A5334C"/>
    <w:rsid w:val="00B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B33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07C21"/>
    <w:pPr>
      <w:spacing w:after="20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307C21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07C2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07C2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07C2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307C2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307C2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307C2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307C2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307C2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7C21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07C21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07C21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07C21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307C21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307C21"/>
    <w:rPr>
      <w:rFonts w:ascii="Arial" w:eastAsia="Arial" w:hAnsi="Arial" w:cs="Arial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307C21"/>
    <w:rPr>
      <w:rFonts w:ascii="Arial" w:eastAsia="Arial" w:hAnsi="Arial" w:cs="Arial"/>
      <w:b/>
      <w:bCs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307C21"/>
    <w:rPr>
      <w:rFonts w:ascii="Arial" w:eastAsia="Arial" w:hAnsi="Arial" w:cs="Arial"/>
      <w:i/>
      <w:iCs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307C21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bsatz-Standardschriftart"/>
    <w:uiPriority w:val="9"/>
    <w:rsid w:val="00307C2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sid w:val="00307C2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sid w:val="00307C2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sid w:val="00307C2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sid w:val="00307C2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sid w:val="00307C2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sid w:val="00307C2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sid w:val="00307C2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sid w:val="00307C2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sid w:val="00307C21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sid w:val="00307C21"/>
    <w:rPr>
      <w:sz w:val="24"/>
      <w:szCs w:val="24"/>
    </w:rPr>
  </w:style>
  <w:style w:type="character" w:customStyle="1" w:styleId="QuoteChar">
    <w:name w:val="Quote Char"/>
    <w:uiPriority w:val="29"/>
    <w:rsid w:val="00307C21"/>
    <w:rPr>
      <w:i/>
    </w:rPr>
  </w:style>
  <w:style w:type="character" w:customStyle="1" w:styleId="IntenseQuoteChar">
    <w:name w:val="Intense Quote Char"/>
    <w:uiPriority w:val="30"/>
    <w:rsid w:val="00307C21"/>
    <w:rPr>
      <w:i/>
    </w:rPr>
  </w:style>
  <w:style w:type="character" w:customStyle="1" w:styleId="HeaderChar">
    <w:name w:val="Header Char"/>
    <w:basedOn w:val="Absatz-Standardschriftart"/>
    <w:uiPriority w:val="99"/>
    <w:rsid w:val="00307C21"/>
  </w:style>
  <w:style w:type="character" w:customStyle="1" w:styleId="CaptionChar">
    <w:name w:val="Caption Char"/>
    <w:uiPriority w:val="99"/>
    <w:rsid w:val="00307C21"/>
  </w:style>
  <w:style w:type="character" w:customStyle="1" w:styleId="FootnoteTextChar">
    <w:name w:val="Footnote Text Char"/>
    <w:uiPriority w:val="99"/>
    <w:rsid w:val="00307C21"/>
    <w:rPr>
      <w:sz w:val="18"/>
    </w:rPr>
  </w:style>
  <w:style w:type="character" w:customStyle="1" w:styleId="EndnoteTextChar">
    <w:name w:val="Endnote Text Char"/>
    <w:uiPriority w:val="99"/>
    <w:rsid w:val="00307C21"/>
    <w:rPr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307C21"/>
    <w:pPr>
      <w:spacing w:before="3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sid w:val="00307C21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7C21"/>
    <w:pPr>
      <w:spacing w:before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7C2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307C21"/>
    <w:pPr>
      <w:ind w:left="720" w:right="720"/>
    </w:pPr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07C21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07C2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07C21"/>
    <w:rPr>
      <w:i/>
      <w:shd w:val="clear" w:color="auto" w:fill="F2F2F2"/>
    </w:rPr>
  </w:style>
  <w:style w:type="paragraph" w:styleId="Kopfzeile">
    <w:name w:val="header"/>
    <w:basedOn w:val="Standard"/>
    <w:link w:val="KopfzeileZchn"/>
    <w:uiPriority w:val="99"/>
    <w:unhideWhenUsed/>
    <w:rsid w:val="00307C2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07C21"/>
  </w:style>
  <w:style w:type="paragraph" w:styleId="Fuzeile">
    <w:name w:val="footer"/>
    <w:basedOn w:val="Standard"/>
    <w:link w:val="FuzeileZchn"/>
    <w:uiPriority w:val="99"/>
    <w:unhideWhenUsed/>
    <w:rsid w:val="00307C2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07C21"/>
  </w:style>
  <w:style w:type="character" w:customStyle="1" w:styleId="FooterChar">
    <w:name w:val="Footer Char"/>
    <w:uiPriority w:val="99"/>
    <w:rsid w:val="00307C21"/>
  </w:style>
  <w:style w:type="paragraph" w:styleId="Beschriftung">
    <w:name w:val="caption"/>
    <w:basedOn w:val="Standard"/>
    <w:next w:val="Standard"/>
    <w:uiPriority w:val="35"/>
    <w:semiHidden/>
    <w:unhideWhenUsed/>
    <w:qFormat/>
    <w:rsid w:val="00307C21"/>
    <w:rPr>
      <w:b/>
      <w:bCs/>
      <w:color w:val="5B9BD5" w:themeColor="accent1"/>
      <w:sz w:val="18"/>
      <w:szCs w:val="18"/>
    </w:rPr>
  </w:style>
  <w:style w:type="table" w:styleId="Tabellenraster">
    <w:name w:val="Table Grid"/>
    <w:basedOn w:val="NormaleTabelle"/>
    <w:uiPriority w:val="59"/>
    <w:rsid w:val="00307C2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rsid w:val="00307C2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rsid w:val="00307C2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rsid w:val="00307C2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sid w:val="00307C21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307C21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07C21"/>
    <w:pPr>
      <w:spacing w:after="40" w:line="240" w:lineRule="auto"/>
    </w:pPr>
    <w:rPr>
      <w:sz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07C21"/>
    <w:rPr>
      <w:sz w:val="18"/>
    </w:rPr>
  </w:style>
  <w:style w:type="character" w:styleId="Funotenzeichen">
    <w:name w:val="footnote reference"/>
    <w:uiPriority w:val="99"/>
    <w:unhideWhenUsed/>
    <w:rsid w:val="00307C21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307C21"/>
    <w:pPr>
      <w:spacing w:after="0"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07C21"/>
    <w:rPr>
      <w:sz w:val="20"/>
    </w:rPr>
  </w:style>
  <w:style w:type="character" w:styleId="Endnotenzeichen">
    <w:name w:val="endnote reference"/>
    <w:uiPriority w:val="99"/>
    <w:semiHidden/>
    <w:unhideWhenUsed/>
    <w:rsid w:val="00307C21"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rsid w:val="00307C21"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rsid w:val="00307C21"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rsid w:val="00307C21"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rsid w:val="00307C21"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rsid w:val="00307C21"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rsid w:val="00307C21"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rsid w:val="00307C21"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rsid w:val="00307C21"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rsid w:val="00307C21"/>
    <w:pPr>
      <w:spacing w:after="57"/>
      <w:ind w:left="2268"/>
    </w:pPr>
  </w:style>
  <w:style w:type="paragraph" w:styleId="Inhaltsverzeichnisberschrift">
    <w:name w:val="TOC Heading"/>
    <w:uiPriority w:val="39"/>
    <w:unhideWhenUsed/>
    <w:rsid w:val="00307C21"/>
    <w:pPr>
      <w:spacing w:after="200" w:line="276" w:lineRule="auto"/>
    </w:pPr>
  </w:style>
  <w:style w:type="paragraph" w:styleId="Abbildungsverzeichnis">
    <w:name w:val="table of figures"/>
    <w:basedOn w:val="Standard"/>
    <w:next w:val="Standard"/>
    <w:uiPriority w:val="99"/>
    <w:unhideWhenUsed/>
    <w:rsid w:val="00307C21"/>
    <w:pPr>
      <w:spacing w:after="0"/>
    </w:pPr>
  </w:style>
  <w:style w:type="paragraph" w:styleId="KeinLeerraum">
    <w:name w:val="No Spacing"/>
    <w:basedOn w:val="Standard"/>
    <w:uiPriority w:val="1"/>
    <w:qFormat/>
    <w:rsid w:val="00307C21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307C21"/>
    <w:pPr>
      <w:ind w:left="720"/>
      <w:contextualSpacing/>
    </w:pPr>
  </w:style>
  <w:style w:type="table" w:styleId="Gitternetztabelle4Akzent3">
    <w:name w:val="Grid Table 4 Accent 3"/>
    <w:basedOn w:val="NormaleTabelle"/>
    <w:uiPriority w:val="49"/>
    <w:rsid w:val="00307C2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4" w:space="0" w:color="000000"/>
          <w:insideV w:val="none" w:sz="4" w:space="0" w:color="000000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07C2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07C21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07C21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7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7C21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0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07C21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307C2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6707</Words>
  <Characters>42260</Characters>
  <Application>Microsoft Office Word</Application>
  <DocSecurity>0</DocSecurity>
  <Lines>352</Lines>
  <Paragraphs>97</Paragraphs>
  <ScaleCrop>false</ScaleCrop>
  <Company/>
  <LinksUpToDate>false</LinksUpToDate>
  <CharactersWithSpaces>48870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2022-09-01T14:18:00Z</dcterms:created>
  <dcterms:modified xsi:type="dcterms:W3CDTF">2022-09-01T14:23:00Z</dcterms:modified>
</cp:coreProperties>
</file>