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Spatial Design of</w:t>
      </w:r>
      <w:r>
        <w:rPr>
          <w:spacing w:val="-1"/>
        </w:rPr>
        <w:t> </w:t>
      </w:r>
      <w:r>
        <w:rPr/>
        <w:t>Protests:</w:t>
      </w:r>
      <w:r>
        <w:rPr>
          <w:spacing w:val="-1"/>
        </w:rPr>
        <w:t> </w:t>
      </w:r>
      <w:r>
        <w:rPr/>
        <w:t>Exploring the Literary</w:t>
      </w:r>
      <w:r>
        <w:rPr>
          <w:spacing w:val="-3"/>
        </w:rPr>
        <w:t> </w:t>
      </w:r>
      <w:r>
        <w:rPr/>
        <w:t>Lineage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Protest</w:t>
      </w:r>
      <w:r>
        <w:rPr>
          <w:spacing w:val="-3"/>
        </w:rPr>
        <w:t> </w:t>
      </w:r>
      <w:r>
        <w:rPr/>
        <w:t>Sites</w:t>
      </w:r>
    </w:p>
    <w:p>
      <w:pPr>
        <w:pStyle w:val="BodyText"/>
        <w:rPr>
          <w:b/>
          <w:sz w:val="30"/>
        </w:rPr>
      </w:pPr>
    </w:p>
    <w:p>
      <w:pPr>
        <w:pStyle w:val="BodyText"/>
        <w:spacing w:before="174"/>
        <w:ind w:left="184" w:right="170"/>
        <w:jc w:val="center"/>
      </w:pPr>
      <w:r>
        <w:rPr/>
        <w:t>Apsara</w:t>
      </w:r>
      <w:r>
        <w:rPr>
          <w:spacing w:val="-2"/>
        </w:rPr>
        <w:t> </w:t>
      </w:r>
      <w:r>
        <w:rPr/>
        <w:t>Bala¹ and</w:t>
      </w:r>
      <w:r>
        <w:rPr>
          <w:spacing w:val="-1"/>
        </w:rPr>
        <w:t> </w:t>
      </w:r>
      <w:r>
        <w:rPr/>
        <w:t>Nirmala</w:t>
      </w:r>
      <w:r>
        <w:rPr>
          <w:spacing w:val="-2"/>
        </w:rPr>
        <w:t> </w:t>
      </w:r>
      <w:r>
        <w:rPr/>
        <w:t>Menon²</w:t>
      </w:r>
    </w:p>
    <w:p>
      <w:pPr>
        <w:pStyle w:val="BodyText"/>
        <w:rPr>
          <w:sz w:val="26"/>
        </w:rPr>
      </w:pPr>
    </w:p>
    <w:p>
      <w:pPr>
        <w:pStyle w:val="BodyText"/>
        <w:spacing w:line="480" w:lineRule="auto" w:before="177"/>
        <w:ind w:left="196" w:right="175" w:firstLine="1"/>
        <w:jc w:val="center"/>
      </w:pPr>
      <w:r>
        <w:rPr/>
        <w:t>1: Doctoral Student, Digital Humanities and Publishing Studies Research Group, SHSS, IIT</w:t>
      </w:r>
      <w:r>
        <w:rPr>
          <w:spacing w:val="-57"/>
        </w:rPr>
        <w:t> </w:t>
      </w:r>
      <w:r>
        <w:rPr/>
        <w:t>Indore.</w:t>
      </w:r>
      <w:r>
        <w:rPr>
          <w:spacing w:val="-4"/>
        </w:rPr>
        <w:t> </w:t>
      </w:r>
      <w:r>
        <w:rPr/>
        <w:t>Email: </w:t>
      </w:r>
      <w:r>
        <w:rPr>
          <w:color w:val="0000FF"/>
          <w:u w:val="single" w:color="0000FF"/>
        </w:rPr>
        <w:t>phd2101161002@iiti.ac.in</w:t>
      </w:r>
      <w:r>
        <w:rPr/>
        <w:t>;</w:t>
      </w:r>
      <w:r>
        <w:rPr>
          <w:spacing w:val="-1"/>
        </w:rPr>
        <w:t> </w:t>
      </w:r>
      <w:r>
        <w:rPr/>
        <w:t>2: Professor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Head, SHSS,</w:t>
      </w:r>
      <w:r>
        <w:rPr>
          <w:spacing w:val="-1"/>
        </w:rPr>
        <w:t> </w:t>
      </w:r>
      <w:r>
        <w:rPr/>
        <w:t>IIT</w:t>
      </w:r>
      <w:r>
        <w:rPr>
          <w:spacing w:val="-1"/>
        </w:rPr>
        <w:t> </w:t>
      </w:r>
      <w:r>
        <w:rPr/>
        <w:t>Indore.</w:t>
      </w:r>
      <w:r>
        <w:rPr>
          <w:spacing w:val="-3"/>
        </w:rPr>
        <w:t> </w:t>
      </w:r>
      <w:r>
        <w:rPr/>
        <w:t>Email:</w:t>
      </w:r>
    </w:p>
    <w:p>
      <w:pPr>
        <w:pStyle w:val="BodyText"/>
        <w:ind w:left="186" w:right="170"/>
        <w:jc w:val="center"/>
      </w:pPr>
      <w:hyperlink r:id="rId5">
        <w:r>
          <w:rPr>
            <w:color w:val="0000FF"/>
            <w:u w:val="single" w:color="0000FF"/>
          </w:rPr>
          <w:t>nmenon@iiti.ac.in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9"/>
        </w:rPr>
      </w:pPr>
    </w:p>
    <w:p>
      <w:pPr>
        <w:pStyle w:val="Heading1"/>
        <w:spacing w:before="90"/>
      </w:pPr>
      <w:r>
        <w:rPr/>
        <w:t>Abstract</w:t>
      </w:r>
      <w:r>
        <w:rPr>
          <w:spacing w:val="-4"/>
        </w:rPr>
        <w:t> </w:t>
      </w:r>
      <w:r>
        <w:rPr/>
        <w:t>–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2"/>
        <w:rPr>
          <w:b/>
          <w:sz w:val="22"/>
        </w:rPr>
      </w:pPr>
    </w:p>
    <w:p>
      <w:pPr>
        <w:pStyle w:val="BodyText"/>
        <w:spacing w:line="480" w:lineRule="auto" w:before="1"/>
        <w:ind w:left="100" w:right="119" w:firstLine="360"/>
      </w:pPr>
      <w:r>
        <w:rPr/>
        <w:t>The increasing scale of interest to research in the field of protest has addressed the</w:t>
      </w:r>
      <w:r>
        <w:rPr>
          <w:spacing w:val="1"/>
        </w:rPr>
        <w:t> </w:t>
      </w:r>
      <w:r>
        <w:rPr/>
        <w:t>different aspects of the collective action (social, cultural, political, etc.), but little gained</w:t>
      </w:r>
      <w:r>
        <w:rPr>
          <w:spacing w:val="1"/>
        </w:rPr>
        <w:t> </w:t>
      </w:r>
      <w:r>
        <w:rPr/>
        <w:t>attention to the ‘space’ in which the materialization and manifestation take place. Public</w:t>
      </w:r>
      <w:r>
        <w:rPr>
          <w:spacing w:val="1"/>
        </w:rPr>
        <w:t> </w:t>
      </w:r>
      <w:r>
        <w:rPr/>
        <w:t>spaces as a practical as well as symbolic place connect citizens and have always been central</w:t>
      </w:r>
      <w:r>
        <w:rPr>
          <w:spacing w:val="-57"/>
        </w:rPr>
        <w:t> </w:t>
      </w:r>
      <w:r>
        <w:rPr/>
        <w:t>to social movements and political protests. But the growing hostility and colonial attitude</w:t>
      </w:r>
      <w:r>
        <w:rPr>
          <w:spacing w:val="1"/>
        </w:rPr>
        <w:t> </w:t>
      </w:r>
      <w:r>
        <w:rPr/>
        <w:t>towards protests coupled with the rhetoric of disruption have affected the evolvability of the</w:t>
      </w:r>
      <w:r>
        <w:rPr>
          <w:spacing w:val="1"/>
        </w:rPr>
        <w:t> </w:t>
      </w:r>
      <w:r>
        <w:rPr/>
        <w:t>phenomena. In this way, from Tahrir Square to Occupy Wall Street, Tiananmen Square to</w:t>
      </w:r>
      <w:r>
        <w:rPr>
          <w:spacing w:val="1"/>
        </w:rPr>
        <w:t> </w:t>
      </w:r>
      <w:r>
        <w:rPr/>
        <w:t>Shaheen Bagh, and Farmers’ protests, accompanying a multidisciplinary approach the</w:t>
      </w:r>
      <w:r>
        <w:rPr>
          <w:spacing w:val="1"/>
        </w:rPr>
        <w:t> </w:t>
      </w:r>
      <w:r>
        <w:rPr/>
        <w:t>research efforts have involved discussion on protest, public space, people, literature, and</w:t>
      </w:r>
      <w:r>
        <w:rPr>
          <w:spacing w:val="1"/>
        </w:rPr>
        <w:t> </w:t>
      </w:r>
      <w:r>
        <w:rPr/>
        <w:t>architecture. The accessibility of the public in the central space (Delhi) that had the</w:t>
      </w:r>
      <w:r>
        <w:rPr>
          <w:spacing w:val="1"/>
        </w:rPr>
        <w:t> </w:t>
      </w:r>
      <w:r>
        <w:rPr/>
        <w:t>opportunity in holding the state power accountable and respond to their demands became</w:t>
      </w:r>
      <w:r>
        <w:rPr>
          <w:spacing w:val="1"/>
        </w:rPr>
        <w:t> </w:t>
      </w:r>
      <w:r>
        <w:rPr/>
        <w:t>obsolete (Guha, 2007). The displacement of the designated space for protest also distanced</w:t>
      </w:r>
      <w:r>
        <w:rPr>
          <w:spacing w:val="1"/>
        </w:rPr>
        <w:t> </w:t>
      </w:r>
      <w:r>
        <w:rPr/>
        <w:t>the visibility of the dissent from those in power. This unacceptance that the central space</w:t>
      </w:r>
      <w:r>
        <w:rPr>
          <w:spacing w:val="1"/>
        </w:rPr>
        <w:t> </w:t>
      </w:r>
      <w:r>
        <w:rPr/>
        <w:t>possesses has laid bare the socio-spatial inequalities between government and citizens. Thus,</w:t>
      </w:r>
      <w:r>
        <w:rPr>
          <w:spacing w:val="-57"/>
        </w:rPr>
        <w:t> </w:t>
      </w:r>
      <w:r>
        <w:rPr/>
        <w:t>with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exploration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spatial</w:t>
      </w:r>
      <w:r>
        <w:rPr>
          <w:spacing w:val="-1"/>
        </w:rPr>
        <w:t> </w:t>
      </w:r>
      <w:r>
        <w:rPr/>
        <w:t>nitty-gritty</w:t>
      </w:r>
      <w:r>
        <w:rPr>
          <w:spacing w:val="1"/>
        </w:rPr>
        <w:t> </w:t>
      </w:r>
      <w:r>
        <w:rPr/>
        <w:t>of</w:t>
      </w:r>
      <w:r>
        <w:rPr>
          <w:spacing w:val="-5"/>
        </w:rPr>
        <w:t> </w:t>
      </w:r>
      <w:r>
        <w:rPr/>
        <w:t>protest,</w:t>
      </w:r>
      <w:r>
        <w:rPr>
          <w:spacing w:val="-1"/>
        </w:rPr>
        <w:t> </w:t>
      </w:r>
      <w:r>
        <w:rPr/>
        <w:t>this research</w:t>
      </w:r>
      <w:r>
        <w:rPr>
          <w:spacing w:val="1"/>
        </w:rPr>
        <w:t> </w:t>
      </w:r>
      <w:r>
        <w:rPr/>
        <w:t>focuses</w:t>
      </w:r>
      <w:r>
        <w:rPr>
          <w:spacing w:val="-4"/>
        </w:rPr>
        <w:t> </w:t>
      </w:r>
      <w:r>
        <w:rPr/>
        <w:t>on</w:t>
      </w:r>
      <w:r>
        <w:rPr>
          <w:spacing w:val="-2"/>
        </w:rPr>
        <w:t> </w:t>
      </w:r>
      <w:r>
        <w:rPr/>
        <w:t>securing</w:t>
      </w:r>
      <w:r>
        <w:rPr>
          <w:spacing w:val="-1"/>
        </w:rPr>
        <w:t> </w:t>
      </w:r>
      <w:r>
        <w:rPr/>
        <w:t>the</w:t>
      </w:r>
    </w:p>
    <w:p>
      <w:pPr>
        <w:spacing w:after="0" w:line="480" w:lineRule="auto"/>
        <w:sectPr>
          <w:type w:val="continuous"/>
          <w:pgSz w:w="11910" w:h="16840"/>
          <w:pgMar w:top="1360" w:bottom="280" w:left="1340" w:right="1360"/>
        </w:sectPr>
      </w:pPr>
    </w:p>
    <w:p>
      <w:pPr>
        <w:pStyle w:val="BodyText"/>
        <w:spacing w:line="480" w:lineRule="auto" w:before="60"/>
        <w:ind w:left="100" w:right="985"/>
      </w:pPr>
      <w:r>
        <w:rPr/>
        <w:t>availability, accessibility, and reachability of public spaces in the inclusion of all the</w:t>
      </w:r>
      <w:r>
        <w:rPr>
          <w:spacing w:val="-57"/>
        </w:rPr>
        <w:t> </w:t>
      </w:r>
      <w:r>
        <w:rPr/>
        <w:t>members</w:t>
      </w:r>
      <w:r>
        <w:rPr>
          <w:spacing w:val="-3"/>
        </w:rPr>
        <w:t> </w:t>
      </w:r>
      <w:r>
        <w:rPr/>
        <w:t>of society.</w:t>
      </w:r>
    </w:p>
    <w:p>
      <w:pPr>
        <w:pStyle w:val="BodyText"/>
        <w:spacing w:before="5"/>
      </w:pPr>
    </w:p>
    <w:p>
      <w:pPr>
        <w:pStyle w:val="BodyText"/>
        <w:spacing w:line="480" w:lineRule="auto"/>
        <w:ind w:left="100" w:right="179" w:firstLine="300"/>
      </w:pPr>
      <w:r>
        <w:rPr/>
        <w:t>The research poses questions on the importance of a particular space for protests and the</w:t>
      </w:r>
      <w:r>
        <w:rPr>
          <w:spacing w:val="1"/>
        </w:rPr>
        <w:t> </w:t>
      </w:r>
      <w:r>
        <w:rPr/>
        <w:t>criticism against the designation of spaces for the same. The aim of the study includes</w:t>
      </w:r>
      <w:r>
        <w:rPr>
          <w:spacing w:val="1"/>
        </w:rPr>
        <w:t> </w:t>
      </w:r>
      <w:r>
        <w:rPr/>
        <w:t>analyzing the spatial aspect of protests and the role of accessible public spaces and</w:t>
      </w:r>
      <w:r>
        <w:rPr>
          <w:spacing w:val="1"/>
        </w:rPr>
        <w:t> </w:t>
      </w:r>
      <w:r>
        <w:rPr/>
        <w:t>governmental interventions in them. As a part of the methodology, the research</w:t>
      </w:r>
      <w:r>
        <w:rPr>
          <w:spacing w:val="1"/>
        </w:rPr>
        <w:t> </w:t>
      </w:r>
      <w:r>
        <w:rPr/>
        <w:t>accommodates textual analysis (literature that has acknowledged/ described/ philosophized</w:t>
      </w:r>
      <w:r>
        <w:rPr>
          <w:spacing w:val="1"/>
        </w:rPr>
        <w:t> </w:t>
      </w:r>
      <w:r>
        <w:rPr/>
        <w:t>the spatial aspect of the protests) while intending to explore all the spatial viewpoints for</w:t>
      </w:r>
      <w:r>
        <w:rPr>
          <w:spacing w:val="1"/>
        </w:rPr>
        <w:t> </w:t>
      </w:r>
      <w:r>
        <w:rPr/>
        <w:t>protests. The simultaneous mapping method helps in visualizing the historical displacement</w:t>
      </w:r>
      <w:r>
        <w:rPr>
          <w:spacing w:val="1"/>
        </w:rPr>
        <w:t> </w:t>
      </w:r>
      <w:r>
        <w:rPr/>
        <w:t>and transformation of accessibility – from Rajpath to Farmers’ protest taking place at the</w:t>
      </w:r>
      <w:r>
        <w:rPr>
          <w:spacing w:val="1"/>
        </w:rPr>
        <w:t> </w:t>
      </w:r>
      <w:r>
        <w:rPr/>
        <w:t>edges of the city due to spatial denial (Zuberi, 2020). The paper, therefore, constitutes a two-</w:t>
      </w:r>
      <w:r>
        <w:rPr>
          <w:spacing w:val="-57"/>
        </w:rPr>
        <w:t> </w:t>
      </w:r>
      <w:r>
        <w:rPr/>
        <w:t>part analysis – theorizing the public space in relation to protests and the practical part that</w:t>
      </w:r>
      <w:r>
        <w:rPr>
          <w:spacing w:val="1"/>
        </w:rPr>
        <w:t> </w:t>
      </w:r>
      <w:r>
        <w:rPr/>
        <w:t>comes with mapping out public spaces on an urban cityscape. The designation of places for</w:t>
      </w:r>
      <w:r>
        <w:rPr>
          <w:spacing w:val="1"/>
        </w:rPr>
        <w:t> </w:t>
      </w:r>
      <w:r>
        <w:rPr/>
        <w:t>protest, the shrinking of public spaces, and calling upon restrictions can land on monitoring</w:t>
      </w:r>
      <w:r>
        <w:rPr>
          <w:spacing w:val="1"/>
        </w:rPr>
        <w:t> </w:t>
      </w:r>
      <w:r>
        <w:rPr/>
        <w:t>and controlling the designated spaces granting only permissive accessibility (Mantri, 2021).</w:t>
      </w:r>
      <w:r>
        <w:rPr>
          <w:spacing w:val="1"/>
        </w:rPr>
        <w:t> </w:t>
      </w:r>
      <w:r>
        <w:rPr/>
        <w:t>Also, the acceleration of privatized public spaces having the illusion of access has steadily</w:t>
      </w:r>
      <w:r>
        <w:rPr>
          <w:spacing w:val="1"/>
        </w:rPr>
        <w:t> </w:t>
      </w:r>
      <w:r>
        <w:rPr/>
        <w:t>replaced the real public spaces. This study in connecting and analyzing the relation of public</w:t>
      </w:r>
      <w:r>
        <w:rPr>
          <w:spacing w:val="-57"/>
        </w:rPr>
        <w:t> </w:t>
      </w:r>
      <w:r>
        <w:rPr/>
        <w:t>spaces with protests, in this way, tries to explore the myriad intricacies growing around the</w:t>
      </w:r>
      <w:r>
        <w:rPr>
          <w:spacing w:val="1"/>
        </w:rPr>
        <w:t> </w:t>
      </w:r>
      <w:r>
        <w:rPr/>
        <w:t>notion.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spacing w:line="480" w:lineRule="auto"/>
        <w:ind w:left="100" w:right="178" w:firstLine="420"/>
      </w:pPr>
      <w:r>
        <w:rPr/>
        <w:t>Public space, literature, people, and architecture can be viewed from a wide range of</w:t>
      </w:r>
      <w:r>
        <w:rPr>
          <w:spacing w:val="1"/>
        </w:rPr>
        <w:t> </w:t>
      </w:r>
      <w:r>
        <w:rPr/>
        <w:t>perspectives, but here protest is the key concept to tie them up in one unified whole. This</w:t>
      </w:r>
      <w:r>
        <w:rPr>
          <w:spacing w:val="1"/>
        </w:rPr>
        <w:t> </w:t>
      </w:r>
      <w:r>
        <w:rPr/>
        <w:t>research becomes pertinent for being devoted to a social cause in talking about the</w:t>
      </w:r>
      <w:r>
        <w:rPr>
          <w:spacing w:val="1"/>
        </w:rPr>
        <w:t> </w:t>
      </w:r>
      <w:r>
        <w:rPr/>
        <w:t>accessibility of public spaces through a discussion on protests and providing scope for future</w:t>
      </w:r>
      <w:r>
        <w:rPr>
          <w:spacing w:val="-57"/>
        </w:rPr>
        <w:t> </w:t>
      </w:r>
      <w:r>
        <w:rPr/>
        <w:t>research</w:t>
      </w:r>
      <w:r>
        <w:rPr>
          <w:spacing w:val="-4"/>
        </w:rPr>
        <w:t> </w:t>
      </w:r>
      <w:r>
        <w:rPr/>
        <w:t>to work on many unpacked/ unheard</w:t>
      </w:r>
      <w:r>
        <w:rPr>
          <w:spacing w:val="-3"/>
        </w:rPr>
        <w:t> </w:t>
      </w:r>
      <w:r>
        <w:rPr/>
        <w:t>stories</w:t>
      </w:r>
      <w:r>
        <w:rPr>
          <w:spacing w:val="-3"/>
        </w:rPr>
        <w:t> </w:t>
      </w:r>
      <w:r>
        <w:rPr/>
        <w:t>from</w:t>
      </w:r>
      <w:r>
        <w:rPr>
          <w:spacing w:val="-1"/>
        </w:rPr>
        <w:t> </w:t>
      </w:r>
      <w:r>
        <w:rPr/>
        <w:t>the protest</w:t>
      </w:r>
      <w:r>
        <w:rPr>
          <w:spacing w:val="2"/>
        </w:rPr>
        <w:t> </w:t>
      </w:r>
      <w:r>
        <w:rPr/>
        <w:t>sites.</w:t>
      </w:r>
      <w:r>
        <w:rPr>
          <w:spacing w:val="2"/>
        </w:rPr>
        <w:t> </w:t>
      </w:r>
      <w:r>
        <w:rPr/>
        <w:t>Again, the</w:t>
      </w:r>
    </w:p>
    <w:p>
      <w:pPr>
        <w:spacing w:after="0" w:line="480" w:lineRule="auto"/>
        <w:sectPr>
          <w:pgSz w:w="11910" w:h="16840"/>
          <w:pgMar w:top="1360" w:bottom="280" w:left="1340" w:right="1360"/>
        </w:sectPr>
      </w:pPr>
    </w:p>
    <w:p>
      <w:pPr>
        <w:pStyle w:val="BodyText"/>
        <w:spacing w:line="480" w:lineRule="auto" w:before="60"/>
        <w:ind w:left="100" w:right="825"/>
      </w:pPr>
      <w:r>
        <w:rPr/>
        <w:t>multidisciplinary approach running along with a multilingual analysis of literature has</w:t>
      </w:r>
      <w:r>
        <w:rPr>
          <w:spacing w:val="-57"/>
        </w:rPr>
        <w:t> </w:t>
      </w:r>
      <w:r>
        <w:rPr/>
        <w:t>doubled up for</w:t>
      </w:r>
      <w:r>
        <w:rPr>
          <w:spacing w:val="-3"/>
        </w:rPr>
        <w:t> </w:t>
      </w:r>
      <w:r>
        <w:rPr/>
        <w:t>the inclusion of multiple perspectives</w:t>
      </w:r>
      <w:r>
        <w:rPr>
          <w:spacing w:val="-3"/>
        </w:rPr>
        <w:t> </w:t>
      </w:r>
      <w:r>
        <w:rPr/>
        <w:t>in the</w:t>
      </w:r>
      <w:r>
        <w:rPr>
          <w:spacing w:val="-3"/>
        </w:rPr>
        <w:t> </w:t>
      </w:r>
      <w:r>
        <w:rPr/>
        <w:t>study.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34"/>
        </w:rPr>
      </w:pPr>
    </w:p>
    <w:p>
      <w:pPr>
        <w:pStyle w:val="BodyText"/>
        <w:spacing w:line="480" w:lineRule="auto"/>
        <w:ind w:left="100" w:right="1285"/>
      </w:pPr>
      <w:r>
        <w:rPr>
          <w:b/>
        </w:rPr>
        <w:t>Keywords – </w:t>
      </w:r>
      <w:r>
        <w:rPr/>
        <w:t>Occupy Movements, Public space, Accountability and accessibility,</w:t>
      </w:r>
      <w:r>
        <w:rPr>
          <w:spacing w:val="-57"/>
        </w:rPr>
        <w:t> </w:t>
      </w:r>
      <w:r>
        <w:rPr/>
        <w:t>Displacement,</w:t>
      </w:r>
      <w:r>
        <w:rPr>
          <w:spacing w:val="-1"/>
        </w:rPr>
        <w:t> </w:t>
      </w:r>
      <w:r>
        <w:rPr/>
        <w:t>Protesters,</w:t>
      </w:r>
      <w:r>
        <w:rPr>
          <w:spacing w:val="2"/>
        </w:rPr>
        <w:t> </w:t>
      </w:r>
      <w:r>
        <w:rPr/>
        <w:t>Socio-spatial inequalities, Urban</w:t>
      </w:r>
      <w:r>
        <w:rPr>
          <w:spacing w:val="-1"/>
        </w:rPr>
        <w:t> </w:t>
      </w:r>
      <w:r>
        <w:rPr/>
        <w:t>design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30"/>
        </w:rPr>
      </w:pPr>
    </w:p>
    <w:p>
      <w:pPr>
        <w:pStyle w:val="Heading1"/>
      </w:pPr>
      <w:r>
        <w:rPr/>
        <w:t>Works Cited</w:t>
      </w:r>
      <w:r>
        <w:rPr>
          <w:spacing w:val="-2"/>
        </w:rPr>
        <w:t> </w:t>
      </w:r>
      <w:r>
        <w:rPr/>
        <w:t>–</w:t>
      </w:r>
    </w:p>
    <w:p>
      <w:pPr>
        <w:pStyle w:val="BodyText"/>
        <w:rPr>
          <w:b/>
          <w:sz w:val="26"/>
        </w:rPr>
      </w:pPr>
    </w:p>
    <w:p>
      <w:pPr>
        <w:pStyle w:val="BodyText"/>
        <w:spacing w:line="480" w:lineRule="auto" w:before="176"/>
        <w:ind w:left="100" w:right="111"/>
      </w:pPr>
      <w:r>
        <w:rPr/>
        <w:t>“From Kingsway to Rajpath: How Independent India Made a British Imperial City Its Own.”</w:t>
      </w:r>
      <w:r>
        <w:rPr>
          <w:spacing w:val="1"/>
        </w:rPr>
        <w:t> </w:t>
      </w:r>
      <w:r>
        <w:rPr/>
        <w:t>The Indian</w:t>
      </w:r>
      <w:r>
        <w:rPr>
          <w:spacing w:val="-5"/>
        </w:rPr>
        <w:t> </w:t>
      </w:r>
      <w:r>
        <w:rPr/>
        <w:t>Express,</w:t>
      </w:r>
      <w:r>
        <w:rPr>
          <w:spacing w:val="-2"/>
        </w:rPr>
        <w:t> </w:t>
      </w:r>
      <w:r>
        <w:rPr/>
        <w:t>17 May</w:t>
      </w:r>
      <w:r>
        <w:rPr>
          <w:spacing w:val="-2"/>
        </w:rPr>
        <w:t> </w:t>
      </w:r>
      <w:r>
        <w:rPr/>
        <w:t>2021,</w:t>
      </w:r>
      <w:r>
        <w:rPr>
          <w:spacing w:val="-3"/>
        </w:rPr>
        <w:t> </w:t>
      </w:r>
      <w:r>
        <w:rPr>
          <w:color w:val="0000FF"/>
          <w:u w:val="single" w:color="0000FF"/>
        </w:rPr>
        <w:t>https://indianexpress.com/article/research/from-kingsway-</w:t>
      </w:r>
    </w:p>
    <w:p>
      <w:pPr>
        <w:pStyle w:val="BodyText"/>
        <w:ind w:left="100"/>
      </w:pPr>
      <w:r>
        <w:rPr>
          <w:color w:val="0000FF"/>
          <w:u w:val="single" w:color="0000FF"/>
        </w:rPr>
        <w:t>to-rajpath-india-gate-how-independent-india-made-a-british-imperial-city-its-own-7315789/</w:t>
      </w:r>
      <w:r>
        <w:rPr/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spacing w:line="480" w:lineRule="auto" w:before="0"/>
        <w:ind w:left="100" w:right="451" w:firstLine="0"/>
        <w:jc w:val="left"/>
        <w:rPr>
          <w:sz w:val="24"/>
        </w:rPr>
      </w:pPr>
      <w:r>
        <w:rPr>
          <w:sz w:val="24"/>
        </w:rPr>
        <w:t>Guha, Ramachandra. </w:t>
      </w:r>
      <w:r>
        <w:rPr>
          <w:i/>
          <w:sz w:val="24"/>
        </w:rPr>
        <w:t>India After Gandhi: The History of the World’s Largest Democracy</w:t>
      </w:r>
      <w:r>
        <w:rPr>
          <w:sz w:val="24"/>
        </w:rPr>
        <w:t>.</w:t>
      </w:r>
      <w:r>
        <w:rPr>
          <w:spacing w:val="-57"/>
          <w:sz w:val="24"/>
        </w:rPr>
        <w:t> </w:t>
      </w:r>
      <w:r>
        <w:rPr>
          <w:sz w:val="24"/>
        </w:rPr>
        <w:t>Picador</w:t>
      </w:r>
      <w:r>
        <w:rPr>
          <w:spacing w:val="1"/>
          <w:sz w:val="24"/>
        </w:rPr>
        <w:t> </w:t>
      </w:r>
      <w:r>
        <w:rPr>
          <w:sz w:val="24"/>
        </w:rPr>
        <w:t>India, 2017.</w:t>
      </w:r>
    </w:p>
    <w:p>
      <w:pPr>
        <w:spacing w:line="480" w:lineRule="auto" w:before="202"/>
        <w:ind w:left="100" w:right="517" w:firstLine="0"/>
        <w:jc w:val="left"/>
        <w:rPr>
          <w:sz w:val="24"/>
        </w:rPr>
      </w:pPr>
      <w:r>
        <w:rPr>
          <w:sz w:val="24"/>
        </w:rPr>
        <w:t>Hatuka, Tali. </w:t>
      </w:r>
      <w:r>
        <w:rPr>
          <w:i/>
          <w:sz w:val="24"/>
        </w:rPr>
        <w:t>The Design of Protest: Choreographing Political Demonstrations in Public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Space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First edition, University of Texas Press, 2018.</w:t>
      </w:r>
    </w:p>
    <w:p>
      <w:pPr>
        <w:spacing w:before="199"/>
        <w:ind w:left="100" w:right="0" w:firstLine="0"/>
        <w:jc w:val="left"/>
        <w:rPr>
          <w:sz w:val="24"/>
        </w:rPr>
      </w:pPr>
      <w:r>
        <w:rPr>
          <w:sz w:val="24"/>
        </w:rPr>
        <w:t>Lefebvre,</w:t>
      </w:r>
      <w:r>
        <w:rPr>
          <w:spacing w:val="-1"/>
          <w:sz w:val="24"/>
        </w:rPr>
        <w:t> </w:t>
      </w:r>
      <w:r>
        <w:rPr>
          <w:sz w:val="24"/>
        </w:rPr>
        <w:t>Henri. </w:t>
      </w:r>
      <w:r>
        <w:rPr>
          <w:i/>
          <w:sz w:val="24"/>
        </w:rPr>
        <w:t>The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Production of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Space</w:t>
      </w:r>
      <w:r>
        <w:rPr>
          <w:sz w:val="24"/>
        </w:rPr>
        <w:t>. Blackwell,</w:t>
      </w:r>
      <w:r>
        <w:rPr>
          <w:spacing w:val="-1"/>
          <w:sz w:val="24"/>
        </w:rPr>
        <w:t> </w:t>
      </w:r>
      <w:r>
        <w:rPr>
          <w:sz w:val="24"/>
        </w:rPr>
        <w:t>1991.</w:t>
      </w:r>
    </w:p>
    <w:p>
      <w:pPr>
        <w:pStyle w:val="BodyText"/>
        <w:rPr>
          <w:sz w:val="26"/>
        </w:rPr>
      </w:pPr>
    </w:p>
    <w:p>
      <w:pPr>
        <w:spacing w:line="480" w:lineRule="auto" w:before="176"/>
        <w:ind w:left="100" w:right="324" w:firstLine="0"/>
        <w:jc w:val="left"/>
        <w:rPr>
          <w:sz w:val="24"/>
        </w:rPr>
      </w:pPr>
      <w:r>
        <w:rPr>
          <w:sz w:val="24"/>
        </w:rPr>
        <w:t>Mantri, Mamta. </w:t>
      </w:r>
      <w:r>
        <w:rPr>
          <w:i/>
          <w:sz w:val="24"/>
        </w:rPr>
        <w:t>Cities and Protests: Perspectives in Spatial Criticism</w:t>
      </w:r>
      <w:r>
        <w:rPr>
          <w:sz w:val="24"/>
        </w:rPr>
        <w:t>. Cambridge Scholars</w:t>
      </w:r>
      <w:r>
        <w:rPr>
          <w:spacing w:val="-57"/>
          <w:sz w:val="24"/>
        </w:rPr>
        <w:t> </w:t>
      </w:r>
      <w:r>
        <w:rPr>
          <w:sz w:val="24"/>
        </w:rPr>
        <w:t>Publishing;</w:t>
      </w:r>
      <w:r>
        <w:rPr>
          <w:spacing w:val="-1"/>
          <w:sz w:val="24"/>
        </w:rPr>
        <w:t> </w:t>
      </w:r>
      <w:r>
        <w:rPr>
          <w:sz w:val="24"/>
        </w:rPr>
        <w:t>Unabridged edition, 23 July 2021.</w:t>
      </w:r>
    </w:p>
    <w:p>
      <w:pPr>
        <w:pStyle w:val="BodyText"/>
        <w:spacing w:line="480" w:lineRule="auto" w:before="202"/>
        <w:ind w:left="100" w:right="1035"/>
      </w:pPr>
      <w:r>
        <w:rPr/>
        <w:t>Mehrotra, Neha. “How Jantar Mantar Killed the Spirit of Protest.”</w:t>
      </w:r>
      <w:r>
        <w:rPr>
          <w:spacing w:val="1"/>
        </w:rPr>
        <w:t> </w:t>
      </w:r>
      <w:r>
        <w:rPr/>
        <w:t>Https://Www.Outlookindia.Com/, 2 Feb. 2022,</w:t>
      </w:r>
      <w:r>
        <w:rPr>
          <w:spacing w:val="1"/>
        </w:rPr>
        <w:t> </w:t>
      </w:r>
      <w:r>
        <w:rPr>
          <w:color w:val="0000FF"/>
          <w:u w:val="single" w:color="0000FF"/>
        </w:rPr>
        <w:t>https://</w:t>
      </w:r>
      <w:hyperlink r:id="rId6">
        <w:r>
          <w:rPr>
            <w:color w:val="0000FF"/>
            <w:u w:val="single" w:color="0000FF"/>
          </w:rPr>
          <w:t>www.outlookindia.com/website/story/how-jantar-mantar-killed-the-spirit-of-</w:t>
        </w:r>
      </w:hyperlink>
    </w:p>
    <w:p>
      <w:pPr>
        <w:pStyle w:val="BodyText"/>
        <w:ind w:left="100"/>
      </w:pPr>
      <w:r>
        <w:rPr>
          <w:color w:val="0000FF"/>
          <w:u w:val="single" w:color="0000FF"/>
        </w:rPr>
        <w:t>protest/299180</w:t>
      </w:r>
      <w:r>
        <w:rPr/>
        <w:t>.</w:t>
      </w:r>
    </w:p>
    <w:p>
      <w:pPr>
        <w:spacing w:after="0"/>
        <w:sectPr>
          <w:pgSz w:w="11910" w:h="16840"/>
          <w:pgMar w:top="1360" w:bottom="280" w:left="1340" w:right="1360"/>
        </w:sectPr>
      </w:pPr>
    </w:p>
    <w:p>
      <w:pPr>
        <w:spacing w:line="480" w:lineRule="auto" w:before="60"/>
        <w:ind w:left="100" w:right="604" w:firstLine="0"/>
        <w:jc w:val="left"/>
        <w:rPr>
          <w:sz w:val="24"/>
        </w:rPr>
      </w:pPr>
      <w:r>
        <w:rPr>
          <w:sz w:val="24"/>
        </w:rPr>
        <w:t>Phadke, Shilpa, et al. </w:t>
      </w:r>
      <w:r>
        <w:rPr>
          <w:i/>
          <w:sz w:val="24"/>
        </w:rPr>
        <w:t>Why Loiter?: Women and Risk on Mumbai Streets</w:t>
      </w:r>
      <w:r>
        <w:rPr>
          <w:sz w:val="24"/>
        </w:rPr>
        <w:t>. Penguin Books</w:t>
      </w:r>
      <w:r>
        <w:rPr>
          <w:spacing w:val="-57"/>
          <w:sz w:val="24"/>
        </w:rPr>
        <w:t> </w:t>
      </w:r>
      <w:r>
        <w:rPr>
          <w:sz w:val="24"/>
        </w:rPr>
        <w:t>India,</w:t>
      </w:r>
      <w:r>
        <w:rPr>
          <w:spacing w:val="-1"/>
          <w:sz w:val="24"/>
        </w:rPr>
        <w:t> </w:t>
      </w:r>
      <w:r>
        <w:rPr>
          <w:sz w:val="24"/>
        </w:rPr>
        <w:t>2011.</w:t>
      </w:r>
    </w:p>
    <w:p>
      <w:pPr>
        <w:pStyle w:val="BodyText"/>
        <w:spacing w:line="480" w:lineRule="auto" w:before="200"/>
        <w:ind w:left="100" w:right="205"/>
      </w:pPr>
      <w:r>
        <w:rPr/>
        <w:t>“The Purpose of the Occupation Movement and the Danger of Fetishizing Space.” CITY, 19</w:t>
      </w:r>
      <w:r>
        <w:rPr>
          <w:spacing w:val="-57"/>
        </w:rPr>
        <w:t> </w:t>
      </w:r>
      <w:r>
        <w:rPr/>
        <w:t>Nov.</w:t>
      </w:r>
      <w:r>
        <w:rPr>
          <w:spacing w:val="-1"/>
        </w:rPr>
        <w:t> </w:t>
      </w:r>
      <w:r>
        <w:rPr/>
        <w:t>2011,</w:t>
      </w:r>
      <w:r>
        <w:rPr>
          <w:spacing w:val="-1"/>
        </w:rPr>
        <w:t> </w:t>
      </w:r>
      <w:r>
        <w:rPr>
          <w:color w:val="0000FF"/>
          <w:u w:val="single" w:color="0000FF"/>
        </w:rPr>
        <w:t>https://</w:t>
      </w:r>
      <w:hyperlink r:id="rId7">
        <w:r>
          <w:rPr>
            <w:color w:val="0000FF"/>
            <w:u w:val="single" w:color="0000FF"/>
          </w:rPr>
          <w:t>www.city-analysis.net/2011/11/19/the-purpose-of-the-occupation-</w:t>
        </w:r>
      </w:hyperlink>
    </w:p>
    <w:p>
      <w:pPr>
        <w:pStyle w:val="BodyText"/>
        <w:ind w:left="100"/>
      </w:pPr>
      <w:r>
        <w:rPr>
          <w:color w:val="0000FF"/>
          <w:u w:val="single" w:color="0000FF"/>
        </w:rPr>
        <w:t>movement-and-the-danger-of-fetishizing-space/</w:t>
      </w:r>
      <w:r>
        <w:rPr/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1"/>
        </w:rPr>
      </w:pPr>
    </w:p>
    <w:p>
      <w:pPr>
        <w:pStyle w:val="BodyText"/>
        <w:spacing w:line="480" w:lineRule="auto"/>
        <w:ind w:left="100" w:right="271"/>
      </w:pPr>
      <w:r>
        <w:rPr/>
        <w:t>“To Pit People’s Protest against Infrastructure Is to Diminish Urban Life and Democracy.”</w:t>
      </w:r>
      <w:r>
        <w:rPr>
          <w:spacing w:val="1"/>
        </w:rPr>
        <w:t> </w:t>
      </w:r>
      <w:r>
        <w:rPr/>
        <w:t>The Indian</w:t>
      </w:r>
      <w:r>
        <w:rPr>
          <w:spacing w:val="-4"/>
        </w:rPr>
        <w:t> </w:t>
      </w:r>
      <w:r>
        <w:rPr/>
        <w:t>Express,</w:t>
      </w:r>
      <w:r>
        <w:rPr>
          <w:spacing w:val="-1"/>
        </w:rPr>
        <w:t> </w:t>
      </w:r>
      <w:r>
        <w:rPr/>
        <w:t>14</w:t>
      </w:r>
      <w:r>
        <w:rPr>
          <w:spacing w:val="1"/>
        </w:rPr>
        <w:t> </w:t>
      </w:r>
      <w:r>
        <w:rPr/>
        <w:t>Dec.</w:t>
      </w:r>
      <w:r>
        <w:rPr>
          <w:spacing w:val="-1"/>
        </w:rPr>
        <w:t> </w:t>
      </w:r>
      <w:r>
        <w:rPr/>
        <w:t>2020,</w:t>
      </w:r>
      <w:r>
        <w:rPr>
          <w:spacing w:val="-1"/>
        </w:rPr>
        <w:t> </w:t>
      </w:r>
      <w:r>
        <w:rPr>
          <w:color w:val="0000FF"/>
          <w:u w:val="single" w:color="0000FF"/>
        </w:rPr>
        <w:t>https://indianexpress.com/article/opinion/columns/delhi-</w:t>
      </w:r>
    </w:p>
    <w:p>
      <w:pPr>
        <w:pStyle w:val="BodyText"/>
        <w:ind w:left="100"/>
      </w:pPr>
      <w:r>
        <w:rPr>
          <w:color w:val="0000FF"/>
          <w:u w:val="single" w:color="0000FF"/>
        </w:rPr>
        <w:t>protests-ramlila-maida-jantar-mantar-farmers-borders-dissent-7103634/</w:t>
      </w:r>
      <w:r>
        <w:rPr/>
        <w:t>.</w:t>
      </w:r>
    </w:p>
    <w:sectPr>
      <w:pgSz w:w="11910" w:h="16840"/>
      <w:pgMar w:top="1360" w:bottom="280" w:left="134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4"/>
      <w:ind w:left="191" w:right="170"/>
      <w:jc w:val="center"/>
    </w:pPr>
    <w:rPr>
      <w:rFonts w:ascii="Times New Roman" w:hAnsi="Times New Roman" w:eastAsia="Times New Roman" w:cs="Times New Roman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nmenon@iiti.ac.in" TargetMode="External"/><Relationship Id="rId6" Type="http://schemas.openxmlformats.org/officeDocument/2006/relationships/hyperlink" Target="http://www.outlookindia.com/website/story/how-jantar-mantar-killed-the-spirit-of-" TargetMode="External"/><Relationship Id="rId7" Type="http://schemas.openxmlformats.org/officeDocument/2006/relationships/hyperlink" Target="http://www.city-analysis.net/2011/11/19/the-purpose-of-the-occupation-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APSARA</dc:creator>
  <dc:title>Microsoft Word - Abstract for Spatial Humanities Conference</dc:title>
  <dcterms:created xsi:type="dcterms:W3CDTF">2022-02-28T04:45:44Z</dcterms:created>
  <dcterms:modified xsi:type="dcterms:W3CDTF">2022-02-28T04:45:44Z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2022-02-27T00:00:00Z</vt:filetime>
  </property>
  <property fmtid="{D5CDD505-2E9C-101B-9397-08002B2CF9AE}" pid="3" name="LastSaved">
    <vt:filetime>2022-02-28T00:00:00Z</vt:filetime>
  </property>
</Properties>
</file>