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F12" w:rsidRPr="007D7A29" w:rsidRDefault="00106F12" w:rsidP="00106F12">
      <w:pPr>
        <w:spacing w:line="276" w:lineRule="auto"/>
        <w:rPr>
          <w:rFonts w:ascii="Arial" w:hAnsi="Arial" w:cs="Arial"/>
          <w:b/>
          <w:bCs/>
          <w:sz w:val="23"/>
          <w:szCs w:val="23"/>
        </w:rPr>
      </w:pPr>
      <w:r>
        <w:rPr>
          <w:rFonts w:ascii="Arial" w:hAnsi="Arial" w:cs="Arial"/>
          <w:b/>
          <w:bCs/>
          <w:sz w:val="23"/>
          <w:szCs w:val="23"/>
        </w:rPr>
        <w:t>144</w:t>
      </w:r>
      <w:r w:rsidRPr="007D7A29">
        <w:rPr>
          <w:rFonts w:ascii="Arial" w:hAnsi="Arial" w:cs="Arial"/>
          <w:b/>
          <w:bCs/>
          <w:sz w:val="23"/>
          <w:szCs w:val="23"/>
        </w:rPr>
        <w:t>. SARS-CoV-2 vaccine response in ANCA associated vasculitis patients</w:t>
      </w:r>
    </w:p>
    <w:p w:rsidR="00106F12" w:rsidRPr="00A3080E" w:rsidRDefault="00106F12" w:rsidP="00106F12">
      <w:pPr>
        <w:spacing w:line="276" w:lineRule="auto"/>
        <w:rPr>
          <w:rFonts w:ascii="Arial" w:hAnsi="Arial" w:cs="Arial"/>
          <w:sz w:val="23"/>
          <w:szCs w:val="23"/>
        </w:rPr>
      </w:pPr>
    </w:p>
    <w:p w:rsidR="00106F12" w:rsidRPr="00A3080E" w:rsidRDefault="00106F12" w:rsidP="00106F12">
      <w:pPr>
        <w:spacing w:line="276" w:lineRule="auto"/>
        <w:rPr>
          <w:rFonts w:ascii="Arial" w:hAnsi="Arial" w:cs="Arial"/>
          <w:sz w:val="23"/>
          <w:szCs w:val="23"/>
          <w:vertAlign w:val="superscript"/>
        </w:rPr>
      </w:pPr>
      <w:r w:rsidRPr="00A3080E">
        <w:rPr>
          <w:rStyle w:val="AbstractBookPresentingAuthor"/>
          <w:rFonts w:ascii="Arial" w:hAnsi="Arial" w:cs="Arial"/>
          <w:sz w:val="23"/>
          <w:szCs w:val="23"/>
        </w:rPr>
        <w:t>Lauren Floyd</w:t>
      </w:r>
      <w:r w:rsidRPr="00A3080E">
        <w:rPr>
          <w:rStyle w:val="AbstractBookPresentingAuthor"/>
          <w:rFonts w:ascii="Arial" w:hAnsi="Arial" w:cs="Arial"/>
          <w:sz w:val="23"/>
          <w:szCs w:val="23"/>
          <w:vertAlign w:val="superscript"/>
        </w:rPr>
        <w:t>1</w:t>
      </w:r>
      <w:r w:rsidRPr="00A3080E">
        <w:rPr>
          <w:rFonts w:ascii="Arial" w:hAnsi="Arial" w:cs="Arial"/>
          <w:sz w:val="23"/>
          <w:szCs w:val="23"/>
        </w:rPr>
        <w:t>, Mohamed Elsayed</w:t>
      </w:r>
      <w:r w:rsidRPr="00A3080E">
        <w:rPr>
          <w:rFonts w:ascii="Arial" w:hAnsi="Arial" w:cs="Arial"/>
          <w:sz w:val="23"/>
          <w:szCs w:val="23"/>
          <w:vertAlign w:val="superscript"/>
        </w:rPr>
        <w:t>1</w:t>
      </w:r>
      <w:r w:rsidRPr="00A3080E">
        <w:rPr>
          <w:rFonts w:ascii="Arial" w:hAnsi="Arial" w:cs="Arial"/>
          <w:sz w:val="23"/>
          <w:szCs w:val="23"/>
        </w:rPr>
        <w:t>, Tobias Seibt</w:t>
      </w:r>
      <w:r w:rsidRPr="00A3080E">
        <w:rPr>
          <w:rFonts w:ascii="Arial" w:hAnsi="Arial" w:cs="Arial"/>
          <w:sz w:val="23"/>
          <w:szCs w:val="23"/>
          <w:vertAlign w:val="superscript"/>
        </w:rPr>
        <w:t>2</w:t>
      </w:r>
      <w:r w:rsidRPr="00A3080E">
        <w:rPr>
          <w:rFonts w:ascii="Arial" w:hAnsi="Arial" w:cs="Arial"/>
          <w:sz w:val="23"/>
          <w:szCs w:val="23"/>
        </w:rPr>
        <w:t>, Anke von Bergwelt-Baildon</w:t>
      </w:r>
      <w:r w:rsidRPr="00A3080E">
        <w:rPr>
          <w:rFonts w:ascii="Arial" w:hAnsi="Arial" w:cs="Arial"/>
          <w:sz w:val="23"/>
          <w:szCs w:val="23"/>
          <w:vertAlign w:val="superscript"/>
        </w:rPr>
        <w:t>2</w:t>
      </w:r>
      <w:r w:rsidRPr="00A3080E">
        <w:rPr>
          <w:rFonts w:ascii="Arial" w:hAnsi="Arial" w:cs="Arial"/>
          <w:sz w:val="23"/>
          <w:szCs w:val="23"/>
        </w:rPr>
        <w:t>, Philip Seo</w:t>
      </w:r>
      <w:r w:rsidRPr="00A3080E">
        <w:rPr>
          <w:rFonts w:ascii="Arial" w:hAnsi="Arial" w:cs="Arial"/>
          <w:sz w:val="23"/>
          <w:szCs w:val="23"/>
          <w:vertAlign w:val="superscript"/>
        </w:rPr>
        <w:t>3</w:t>
      </w:r>
      <w:r w:rsidRPr="00A3080E">
        <w:rPr>
          <w:rFonts w:ascii="Arial" w:hAnsi="Arial" w:cs="Arial"/>
          <w:sz w:val="23"/>
          <w:szCs w:val="23"/>
        </w:rPr>
        <w:t>, Brendan  Antiochos</w:t>
      </w:r>
      <w:r w:rsidRPr="00A3080E">
        <w:rPr>
          <w:rFonts w:ascii="Arial" w:hAnsi="Arial" w:cs="Arial"/>
          <w:sz w:val="23"/>
          <w:szCs w:val="23"/>
          <w:vertAlign w:val="superscript"/>
        </w:rPr>
        <w:t>3</w:t>
      </w:r>
      <w:r w:rsidRPr="00A3080E">
        <w:rPr>
          <w:rFonts w:ascii="Arial" w:hAnsi="Arial" w:cs="Arial"/>
          <w:sz w:val="23"/>
          <w:szCs w:val="23"/>
        </w:rPr>
        <w:t>, Sam Kant</w:t>
      </w:r>
      <w:r w:rsidRPr="00A3080E">
        <w:rPr>
          <w:rFonts w:ascii="Arial" w:hAnsi="Arial" w:cs="Arial"/>
          <w:sz w:val="23"/>
          <w:szCs w:val="23"/>
          <w:vertAlign w:val="superscript"/>
        </w:rPr>
        <w:t>3</w:t>
      </w:r>
      <w:r w:rsidRPr="00A3080E">
        <w:rPr>
          <w:rFonts w:ascii="Arial" w:hAnsi="Arial" w:cs="Arial"/>
          <w:sz w:val="23"/>
          <w:szCs w:val="23"/>
        </w:rPr>
        <w:t>, Adam Morris</w:t>
      </w:r>
      <w:r w:rsidRPr="00A3080E">
        <w:rPr>
          <w:rFonts w:ascii="Arial" w:hAnsi="Arial" w:cs="Arial"/>
          <w:sz w:val="23"/>
          <w:szCs w:val="23"/>
          <w:vertAlign w:val="superscript"/>
        </w:rPr>
        <w:t>1</w:t>
      </w:r>
      <w:r w:rsidRPr="00A3080E">
        <w:rPr>
          <w:rFonts w:ascii="Arial" w:hAnsi="Arial" w:cs="Arial"/>
          <w:sz w:val="23"/>
          <w:szCs w:val="23"/>
        </w:rPr>
        <w:t>, Ajay Dhaygude</w:t>
      </w:r>
      <w:r w:rsidRPr="00A3080E">
        <w:rPr>
          <w:rFonts w:ascii="Arial" w:hAnsi="Arial" w:cs="Arial"/>
          <w:sz w:val="23"/>
          <w:szCs w:val="23"/>
          <w:vertAlign w:val="superscript"/>
        </w:rPr>
        <w:t>1</w:t>
      </w:r>
      <w:r w:rsidRPr="00A3080E">
        <w:rPr>
          <w:rFonts w:ascii="Arial" w:hAnsi="Arial" w:cs="Arial"/>
          <w:sz w:val="23"/>
          <w:szCs w:val="23"/>
        </w:rPr>
        <w:t>, Ulf Schönermarck</w:t>
      </w:r>
      <w:r w:rsidRPr="00A3080E">
        <w:rPr>
          <w:rFonts w:ascii="Arial" w:hAnsi="Arial" w:cs="Arial"/>
          <w:sz w:val="23"/>
          <w:szCs w:val="23"/>
          <w:vertAlign w:val="superscript"/>
        </w:rPr>
        <w:t>2</w:t>
      </w:r>
      <w:r w:rsidRPr="00A3080E">
        <w:rPr>
          <w:rFonts w:ascii="Arial" w:hAnsi="Arial" w:cs="Arial"/>
          <w:sz w:val="23"/>
          <w:szCs w:val="23"/>
        </w:rPr>
        <w:t>,  Duvuru Geetha</w:t>
      </w:r>
      <w:r w:rsidRPr="00A3080E">
        <w:rPr>
          <w:rFonts w:ascii="Arial" w:hAnsi="Arial" w:cs="Arial"/>
          <w:sz w:val="23"/>
          <w:szCs w:val="23"/>
          <w:vertAlign w:val="superscript"/>
        </w:rPr>
        <w:t>3</w:t>
      </w:r>
    </w:p>
    <w:p w:rsidR="00106F12" w:rsidRPr="007D7A29" w:rsidRDefault="00106F12" w:rsidP="00106F12">
      <w:pPr>
        <w:spacing w:line="276" w:lineRule="auto"/>
        <w:rPr>
          <w:rFonts w:ascii="Arial" w:hAnsi="Arial" w:cs="Arial"/>
          <w:i/>
          <w:iCs/>
          <w:sz w:val="23"/>
          <w:szCs w:val="23"/>
        </w:rPr>
      </w:pPr>
      <w:r w:rsidRPr="007D7A29">
        <w:rPr>
          <w:rFonts w:ascii="Arial" w:hAnsi="Arial" w:cs="Arial"/>
          <w:i/>
          <w:iCs/>
          <w:sz w:val="23"/>
          <w:szCs w:val="23"/>
          <w:vertAlign w:val="superscript"/>
        </w:rPr>
        <w:t>1</w:t>
      </w:r>
      <w:r w:rsidRPr="007D7A29">
        <w:rPr>
          <w:rFonts w:ascii="Arial" w:hAnsi="Arial" w:cs="Arial"/>
          <w:i/>
          <w:iCs/>
          <w:sz w:val="23"/>
          <w:szCs w:val="23"/>
        </w:rPr>
        <w:t xml:space="preserve">Department of Nephrology, Royal Preston Hospital, Lancashire Teaching Hospitals NHS Foundation Trust, Preston, United Kingdom, </w:t>
      </w:r>
      <w:r w:rsidRPr="007D7A29">
        <w:rPr>
          <w:rFonts w:ascii="Arial" w:hAnsi="Arial" w:cs="Arial"/>
          <w:i/>
          <w:iCs/>
          <w:sz w:val="23"/>
          <w:szCs w:val="23"/>
          <w:vertAlign w:val="superscript"/>
        </w:rPr>
        <w:t>2</w:t>
      </w:r>
      <w:r w:rsidRPr="007D7A29">
        <w:rPr>
          <w:rFonts w:ascii="Arial" w:hAnsi="Arial" w:cs="Arial"/>
          <w:i/>
          <w:iCs/>
          <w:sz w:val="23"/>
          <w:szCs w:val="23"/>
        </w:rPr>
        <w:t xml:space="preserve">Nephrology Division, Medizinische Klinik und Poliklinik IV, Klinikum der Universität München - Campus Großhadern, Munich, Germany , </w:t>
      </w:r>
      <w:r w:rsidRPr="007D7A29">
        <w:rPr>
          <w:rFonts w:ascii="Arial" w:hAnsi="Arial" w:cs="Arial"/>
          <w:i/>
          <w:iCs/>
          <w:sz w:val="23"/>
          <w:szCs w:val="23"/>
          <w:vertAlign w:val="superscript"/>
        </w:rPr>
        <w:t>3</w:t>
      </w:r>
      <w:r w:rsidRPr="007D7A29">
        <w:rPr>
          <w:rFonts w:ascii="Arial" w:hAnsi="Arial" w:cs="Arial"/>
          <w:i/>
          <w:iCs/>
          <w:sz w:val="23"/>
          <w:szCs w:val="23"/>
        </w:rPr>
        <w:t>Division of Nephrology, Department of Medicine, Johns Hopkins University, Baltimore, USA</w:t>
      </w:r>
    </w:p>
    <w:p w:rsidR="00106F12" w:rsidRPr="00A3080E" w:rsidRDefault="00106F12" w:rsidP="00106F12">
      <w:pPr>
        <w:spacing w:line="276" w:lineRule="auto"/>
        <w:rPr>
          <w:rFonts w:ascii="Arial" w:hAnsi="Arial" w:cs="Arial"/>
          <w:sz w:val="23"/>
          <w:szCs w:val="23"/>
        </w:rPr>
      </w:pPr>
    </w:p>
    <w:p w:rsidR="00106F12" w:rsidRDefault="00106F12" w:rsidP="00106F12">
      <w:pPr>
        <w:spacing w:line="276" w:lineRule="auto"/>
        <w:rPr>
          <w:rFonts w:ascii="Arial" w:hAnsi="Arial" w:cs="Arial"/>
          <w:sz w:val="23"/>
          <w:szCs w:val="23"/>
          <w:lang w:eastAsia="en-GB"/>
        </w:rPr>
      </w:pPr>
      <w:r w:rsidRPr="00A10EC1">
        <w:rPr>
          <w:rFonts w:ascii="Arial" w:hAnsi="Arial" w:cs="Arial"/>
          <w:b/>
          <w:sz w:val="23"/>
          <w:szCs w:val="23"/>
        </w:rPr>
        <w:t>Background:</w:t>
      </w:r>
      <w:r>
        <w:rPr>
          <w:rFonts w:ascii="Arial" w:hAnsi="Arial" w:cs="Arial"/>
          <w:sz w:val="23"/>
          <w:szCs w:val="23"/>
        </w:rPr>
        <w:t xml:space="preserve"> </w:t>
      </w:r>
      <w:r w:rsidRPr="00A3080E">
        <w:rPr>
          <w:rFonts w:ascii="Arial" w:hAnsi="Arial" w:cs="Arial"/>
          <w:sz w:val="23"/>
          <w:szCs w:val="23"/>
        </w:rPr>
        <w:t xml:space="preserve">The development of COVID-19 vaccines and mass vaccination is a landmark achievement of modern medicine. Management of patients with anti-neutrophil cytoplasmic autoantibodies (ANCA) </w:t>
      </w:r>
      <w:r w:rsidRPr="00A3080E">
        <w:rPr>
          <w:rFonts w:ascii="Arial" w:hAnsi="Arial" w:cs="Arial"/>
          <w:sz w:val="23"/>
          <w:szCs w:val="23"/>
          <w:lang w:eastAsia="en-GB"/>
        </w:rPr>
        <w:t xml:space="preserve">associated vasculitis (AAV) during the pandemic has been challenging. Immunosuppressive (IS) medications to control vasculitis are associated with severe COVID-19 infection and may impair immune response to the vaccine. </w:t>
      </w:r>
      <w:r w:rsidRPr="00A3080E">
        <w:rPr>
          <w:rFonts w:ascii="Arial" w:hAnsi="Arial" w:cs="Arial"/>
          <w:sz w:val="23"/>
          <w:szCs w:val="23"/>
        </w:rPr>
        <w:t xml:space="preserve">In this study we aim to identify correlations between humoral response to the vaccine and IS </w:t>
      </w:r>
      <w:r w:rsidRPr="00A3080E">
        <w:rPr>
          <w:rFonts w:ascii="Arial" w:hAnsi="Arial" w:cs="Arial"/>
          <w:sz w:val="23"/>
          <w:szCs w:val="23"/>
          <w:lang w:eastAsia="en-GB"/>
        </w:rPr>
        <w:t>medications used in the management of AAV.</w:t>
      </w:r>
    </w:p>
    <w:p w:rsidR="00106F12" w:rsidRPr="00A3080E" w:rsidRDefault="00106F12" w:rsidP="00106F12">
      <w:pPr>
        <w:spacing w:line="276" w:lineRule="auto"/>
        <w:rPr>
          <w:rFonts w:ascii="Arial" w:hAnsi="Arial" w:cs="Arial"/>
          <w:sz w:val="23"/>
          <w:szCs w:val="23"/>
        </w:rPr>
      </w:pPr>
    </w:p>
    <w:p w:rsidR="00106F12" w:rsidRPr="007D7A29" w:rsidRDefault="00106F12" w:rsidP="00106F12">
      <w:pPr>
        <w:spacing w:line="276" w:lineRule="auto"/>
        <w:rPr>
          <w:rFonts w:ascii="Arial" w:hAnsi="Arial" w:cs="Arial"/>
          <w:sz w:val="23"/>
          <w:szCs w:val="23"/>
        </w:rPr>
      </w:pPr>
      <w:r w:rsidRPr="00A10EC1">
        <w:rPr>
          <w:rFonts w:ascii="Arial" w:hAnsi="Arial" w:cs="Arial"/>
          <w:b/>
          <w:sz w:val="23"/>
          <w:szCs w:val="23"/>
        </w:rPr>
        <w:t>Methods:</w:t>
      </w:r>
      <w:r>
        <w:rPr>
          <w:rFonts w:ascii="Arial" w:hAnsi="Arial" w:cs="Arial"/>
          <w:sz w:val="23"/>
          <w:szCs w:val="23"/>
        </w:rPr>
        <w:t xml:space="preserve"> </w:t>
      </w:r>
      <w:r w:rsidRPr="00A3080E">
        <w:rPr>
          <w:rFonts w:ascii="Arial" w:hAnsi="Arial" w:cs="Arial"/>
          <w:sz w:val="23"/>
          <w:szCs w:val="23"/>
          <w:lang w:eastAsia="en-GB"/>
        </w:rPr>
        <w:t>A multicentre cross-sectional study was carried out across 3 centres, John Hopkins Hospital, Vasculitis centre, Baltimore USA, Royal Preston Hospital, UK and The University Hospital, Munich, Germany.  One hundred and fifty-nine patients were included. Serum a</w:t>
      </w:r>
      <w:r w:rsidRPr="00A3080E">
        <w:rPr>
          <w:rFonts w:ascii="Arial" w:hAnsi="Arial" w:cs="Arial"/>
          <w:sz w:val="23"/>
          <w:szCs w:val="23"/>
        </w:rPr>
        <w:t xml:space="preserve">nti-spike IgG enzyme immunoassays were performed between </w:t>
      </w:r>
      <w:r w:rsidRPr="00A3080E">
        <w:rPr>
          <w:rFonts w:ascii="Arial" w:eastAsia="Times New Roman" w:hAnsi="Arial" w:cs="Arial"/>
          <w:sz w:val="23"/>
          <w:szCs w:val="23"/>
          <w:lang w:eastAsia="en-GB"/>
        </w:rPr>
        <w:t>11</w:t>
      </w:r>
      <w:r w:rsidRPr="00A3080E">
        <w:rPr>
          <w:rFonts w:ascii="Arial" w:eastAsia="Times New Roman" w:hAnsi="Arial" w:cs="Arial"/>
          <w:sz w:val="23"/>
          <w:szCs w:val="23"/>
          <w:vertAlign w:val="superscript"/>
          <w:lang w:eastAsia="en-GB"/>
        </w:rPr>
        <w:t>th</w:t>
      </w:r>
      <w:r w:rsidRPr="00A3080E">
        <w:rPr>
          <w:rFonts w:ascii="Arial" w:eastAsia="Times New Roman" w:hAnsi="Arial" w:cs="Arial"/>
          <w:sz w:val="23"/>
          <w:szCs w:val="23"/>
          <w:lang w:eastAsia="en-GB"/>
        </w:rPr>
        <w:t xml:space="preserve"> March 2021 and 19</w:t>
      </w:r>
      <w:r w:rsidRPr="00A3080E">
        <w:rPr>
          <w:rFonts w:ascii="Arial" w:eastAsia="Times New Roman" w:hAnsi="Arial" w:cs="Arial"/>
          <w:sz w:val="23"/>
          <w:szCs w:val="23"/>
          <w:vertAlign w:val="superscript"/>
          <w:lang w:eastAsia="en-GB"/>
        </w:rPr>
        <w:t>th</w:t>
      </w:r>
      <w:r w:rsidRPr="00A3080E">
        <w:rPr>
          <w:rFonts w:ascii="Arial" w:eastAsia="Times New Roman" w:hAnsi="Arial" w:cs="Arial"/>
          <w:sz w:val="23"/>
          <w:szCs w:val="23"/>
          <w:lang w:eastAsia="en-GB"/>
        </w:rPr>
        <w:t xml:space="preserve"> August 2021.</w:t>
      </w:r>
      <w:r w:rsidRPr="00A3080E">
        <w:rPr>
          <w:rFonts w:ascii="Arial" w:hAnsi="Arial" w:cs="Arial"/>
          <w:sz w:val="23"/>
          <w:szCs w:val="23"/>
        </w:rPr>
        <w:t xml:space="preserve"> The cut off titre for positive humoral response was between &gt;0.8 to &gt;1.24 u/ml depending on the assays.</w:t>
      </w:r>
    </w:p>
    <w:p w:rsidR="00106F12" w:rsidRDefault="00106F12" w:rsidP="00106F12">
      <w:pPr>
        <w:spacing w:line="276" w:lineRule="auto"/>
        <w:rPr>
          <w:rFonts w:ascii="Arial" w:hAnsi="Arial" w:cs="Arial"/>
          <w:sz w:val="23"/>
          <w:szCs w:val="23"/>
        </w:rPr>
      </w:pPr>
    </w:p>
    <w:p w:rsidR="00106F12" w:rsidRPr="007D7A29" w:rsidRDefault="00106F12" w:rsidP="00106F12">
      <w:pPr>
        <w:spacing w:line="276" w:lineRule="auto"/>
        <w:rPr>
          <w:rFonts w:ascii="Arial" w:eastAsiaTheme="majorEastAsia" w:hAnsi="Arial" w:cs="Arial"/>
          <w:sz w:val="23"/>
          <w:szCs w:val="23"/>
        </w:rPr>
      </w:pPr>
      <w:r w:rsidRPr="00A10EC1">
        <w:rPr>
          <w:rFonts w:ascii="Arial" w:hAnsi="Arial" w:cs="Arial"/>
          <w:b/>
          <w:sz w:val="23"/>
          <w:szCs w:val="23"/>
        </w:rPr>
        <w:t>Results</w:t>
      </w:r>
      <w:r w:rsidRPr="00A10EC1">
        <w:rPr>
          <w:rFonts w:ascii="Arial" w:eastAsiaTheme="majorEastAsia" w:hAnsi="Arial" w:cs="Arial"/>
          <w:b/>
          <w:sz w:val="23"/>
          <w:szCs w:val="23"/>
        </w:rPr>
        <w:t>:</w:t>
      </w:r>
      <w:r>
        <w:rPr>
          <w:rFonts w:ascii="Arial" w:eastAsiaTheme="majorEastAsia" w:hAnsi="Arial" w:cs="Arial"/>
          <w:sz w:val="23"/>
          <w:szCs w:val="23"/>
        </w:rPr>
        <w:t xml:space="preserve"> </w:t>
      </w:r>
      <w:r w:rsidRPr="00A3080E">
        <w:rPr>
          <w:rFonts w:ascii="Arial" w:hAnsi="Arial" w:cs="Arial"/>
          <w:sz w:val="23"/>
          <w:szCs w:val="23"/>
          <w:shd w:val="clear" w:color="auto" w:fill="FFFFFF"/>
        </w:rPr>
        <w:t xml:space="preserve">Of the 159 patients included; mean age 65 </w:t>
      </w:r>
      <w:r w:rsidRPr="00A3080E">
        <w:rPr>
          <w:rFonts w:ascii="Arial" w:hAnsi="Arial" w:cs="Arial"/>
          <w:sz w:val="23"/>
          <w:szCs w:val="23"/>
        </w:rPr>
        <w:t xml:space="preserve">± </w:t>
      </w:r>
      <w:r w:rsidRPr="00A3080E">
        <w:rPr>
          <w:rFonts w:ascii="Arial" w:hAnsi="Arial" w:cs="Arial"/>
          <w:sz w:val="23"/>
          <w:szCs w:val="23"/>
          <w:shd w:val="clear" w:color="auto" w:fill="FFFFFF"/>
        </w:rPr>
        <w:t>14 years, 5</w:t>
      </w:r>
      <w:r w:rsidRPr="00A3080E">
        <w:rPr>
          <w:rFonts w:ascii="Arial" w:hAnsi="Arial" w:cs="Arial"/>
          <w:sz w:val="23"/>
          <w:szCs w:val="23"/>
          <w:lang w:eastAsia="en-GB"/>
        </w:rPr>
        <w:t xml:space="preserve">5% developed detectable SARS-CoV-2 </w:t>
      </w:r>
      <w:r w:rsidRPr="00A3080E">
        <w:rPr>
          <w:rFonts w:ascii="Arial" w:eastAsia="Times New Roman" w:hAnsi="Arial" w:cs="Arial"/>
          <w:sz w:val="23"/>
          <w:szCs w:val="23"/>
          <w:lang w:eastAsia="en-GB"/>
        </w:rPr>
        <w:t xml:space="preserve">anti-spike antibodies. </w:t>
      </w:r>
      <w:r w:rsidRPr="00A3080E">
        <w:rPr>
          <w:rFonts w:ascii="Arial" w:hAnsi="Arial" w:cs="Arial"/>
          <w:sz w:val="23"/>
          <w:szCs w:val="23"/>
        </w:rPr>
        <w:t xml:space="preserve">The use of Rituximab (RTX) was shown to be significant for a poor humoral response to COVID-19 vaccines (p= 0.01). For every 1g increase in the cumulative dose of RTX given, antibody seropositivity reduced by 10% (as shown in Table 1). Multivariate analysis demonstrated CD19 reconstitution was significantly associated </w:t>
      </w:r>
      <w:r w:rsidRPr="00A3080E">
        <w:rPr>
          <w:rFonts w:ascii="Arial" w:hAnsi="Arial" w:cs="Arial"/>
          <w:sz w:val="23"/>
          <w:szCs w:val="23"/>
          <w:shd w:val="clear" w:color="auto" w:fill="FFFFFF"/>
        </w:rPr>
        <w:t xml:space="preserve">with antibody production (p &lt;0.001). </w:t>
      </w:r>
      <w:r w:rsidRPr="00A3080E">
        <w:rPr>
          <w:rFonts w:ascii="Arial" w:hAnsi="Arial" w:cs="Arial"/>
          <w:sz w:val="23"/>
          <w:szCs w:val="23"/>
        </w:rPr>
        <w:t xml:space="preserve"> Those that received RTX over 6 months prior to vaccination had a seven-fold increase in antibody production.</w:t>
      </w:r>
    </w:p>
    <w:p w:rsidR="00106F12" w:rsidRDefault="00106F12" w:rsidP="00106F12">
      <w:pPr>
        <w:spacing w:line="276" w:lineRule="auto"/>
        <w:rPr>
          <w:rFonts w:ascii="Arial" w:hAnsi="Arial" w:cs="Arial"/>
          <w:sz w:val="23"/>
          <w:szCs w:val="23"/>
        </w:rPr>
      </w:pPr>
    </w:p>
    <w:p w:rsidR="00106F12" w:rsidRPr="00A3080E" w:rsidRDefault="00106F12" w:rsidP="00106F12">
      <w:pPr>
        <w:spacing w:line="276" w:lineRule="auto"/>
        <w:rPr>
          <w:rFonts w:ascii="Arial" w:hAnsi="Arial" w:cs="Arial"/>
          <w:sz w:val="23"/>
          <w:szCs w:val="23"/>
        </w:rPr>
      </w:pPr>
      <w:r w:rsidRPr="00A10EC1">
        <w:rPr>
          <w:rFonts w:ascii="Arial" w:hAnsi="Arial" w:cs="Arial"/>
          <w:b/>
          <w:sz w:val="23"/>
          <w:szCs w:val="23"/>
        </w:rPr>
        <w:t>Conclusions:</w:t>
      </w:r>
      <w:r>
        <w:rPr>
          <w:rFonts w:ascii="Arial" w:hAnsi="Arial" w:cs="Arial"/>
          <w:sz w:val="23"/>
          <w:szCs w:val="23"/>
        </w:rPr>
        <w:t xml:space="preserve"> </w:t>
      </w:r>
      <w:r w:rsidRPr="00A3080E">
        <w:rPr>
          <w:rFonts w:ascii="Arial" w:hAnsi="Arial" w:cs="Arial"/>
          <w:sz w:val="23"/>
          <w:szCs w:val="23"/>
          <w:lang w:eastAsia="en-GB"/>
        </w:rPr>
        <w:t>Our study has demonstrated a significant correlation with B cell depleting agents (Rituximab) and SARS-CoV-2 anti-spike antibody production following vaccination. We recommend CD 19 counts as a reliable marker for prediction of antibody production.  Decisions to delay or change maintenance treatments should be made on balance with the risk of relapse and other risk factors. We recommend considering</w:t>
      </w:r>
      <w:r w:rsidRPr="00A3080E">
        <w:rPr>
          <w:rFonts w:ascii="Arial" w:hAnsi="Arial" w:cs="Arial"/>
          <w:sz w:val="23"/>
          <w:szCs w:val="23"/>
        </w:rPr>
        <w:t xml:space="preserve"> other immunosuppressive treatments such as Azathioprine as maintenance treatment, especially in those who are vulnerable to hospitalisation or severe COVID-19 infection.</w:t>
      </w:r>
    </w:p>
    <w:p w:rsidR="00106F12" w:rsidRDefault="00106F12" w:rsidP="00106F12">
      <w:pPr>
        <w:spacing w:line="276" w:lineRule="auto"/>
        <w:rPr>
          <w:rFonts w:ascii="Arial" w:hAnsi="Arial" w:cs="Arial"/>
          <w:sz w:val="23"/>
          <w:szCs w:val="23"/>
        </w:rPr>
      </w:pPr>
    </w:p>
    <w:p w:rsidR="00106F12" w:rsidRPr="00A3080E" w:rsidRDefault="00106F12" w:rsidP="00106F12">
      <w:pPr>
        <w:spacing w:line="276" w:lineRule="auto"/>
        <w:rPr>
          <w:rFonts w:ascii="Arial" w:hAnsi="Arial" w:cs="Arial"/>
          <w:sz w:val="23"/>
          <w:szCs w:val="23"/>
        </w:rPr>
      </w:pPr>
      <w:r w:rsidRPr="00A10EC1">
        <w:rPr>
          <w:rFonts w:ascii="Arial" w:hAnsi="Arial" w:cs="Arial"/>
          <w:b/>
          <w:sz w:val="23"/>
          <w:szCs w:val="23"/>
        </w:rPr>
        <w:t>Disclosures:</w:t>
      </w:r>
      <w:r>
        <w:rPr>
          <w:rFonts w:ascii="Arial" w:hAnsi="Arial" w:cs="Arial"/>
          <w:sz w:val="23"/>
          <w:szCs w:val="23"/>
        </w:rPr>
        <w:t xml:space="preserve"> </w:t>
      </w:r>
      <w:r w:rsidRPr="00A3080E">
        <w:rPr>
          <w:rFonts w:ascii="Arial" w:hAnsi="Arial" w:cs="Arial"/>
          <w:sz w:val="23"/>
          <w:szCs w:val="23"/>
        </w:rPr>
        <w:t>DG is a consultant to ChemoCentryx and Aurinia Inc. The other authors have no other disclosures or competing interests.</w:t>
      </w:r>
    </w:p>
    <w:p w:rsidR="00106F12" w:rsidRPr="00A3080E" w:rsidRDefault="00106F12" w:rsidP="00106F12">
      <w:pPr>
        <w:spacing w:line="276" w:lineRule="auto"/>
        <w:rPr>
          <w:rFonts w:ascii="Arial" w:hAnsi="Arial" w:cs="Arial"/>
          <w:sz w:val="23"/>
          <w:szCs w:val="23"/>
        </w:rPr>
      </w:pPr>
    </w:p>
    <w:p w:rsidR="00106F12" w:rsidRDefault="00106F12" w:rsidP="00106F12">
      <w:pPr>
        <w:spacing w:line="276" w:lineRule="auto"/>
        <w:rPr>
          <w:rFonts w:ascii="Arial" w:hAnsi="Arial" w:cs="Arial"/>
          <w:sz w:val="23"/>
          <w:szCs w:val="23"/>
        </w:rPr>
      </w:pPr>
      <w:r w:rsidRPr="00A3080E">
        <w:rPr>
          <w:rFonts w:ascii="Arial" w:hAnsi="Arial" w:cs="Arial"/>
          <w:noProof/>
          <w:sz w:val="23"/>
          <w:szCs w:val="23"/>
        </w:rPr>
        <w:lastRenderedPageBreak/>
        <w:drawing>
          <wp:inline distT="0" distB="0" distL="0" distR="0" wp14:anchorId="243493AF" wp14:editId="101274DF">
            <wp:extent cx="4200086" cy="6007100"/>
            <wp:effectExtent l="0" t="0" r="0" b="0"/>
            <wp:docPr id="131" name="Picture 13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Tabl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07386" cy="6017541"/>
                    </a:xfrm>
                    <a:prstGeom prst="rect">
                      <a:avLst/>
                    </a:prstGeom>
                    <a:noFill/>
                    <a:ln>
                      <a:noFill/>
                    </a:ln>
                  </pic:spPr>
                </pic:pic>
              </a:graphicData>
            </a:graphic>
          </wp:inline>
        </w:drawing>
      </w:r>
    </w:p>
    <w:p w:rsidR="00106F12" w:rsidRDefault="00106F12" w:rsidP="00106F12">
      <w:pPr>
        <w:spacing w:line="276" w:lineRule="auto"/>
        <w:rPr>
          <w:rFonts w:ascii="Arial" w:hAnsi="Arial" w:cs="Arial"/>
          <w:sz w:val="23"/>
          <w:szCs w:val="23"/>
        </w:rPr>
      </w:pPr>
    </w:p>
    <w:p w:rsidR="00696CAB" w:rsidRDefault="00106F12">
      <w:bookmarkStart w:id="0" w:name="_GoBack"/>
      <w:bookmarkEnd w:id="0"/>
    </w:p>
    <w:sectPr w:rsidR="00696CAB" w:rsidSect="00B7712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F12"/>
    <w:rsid w:val="00001C3B"/>
    <w:rsid w:val="00027A3D"/>
    <w:rsid w:val="00063A19"/>
    <w:rsid w:val="0007271F"/>
    <w:rsid w:val="00076532"/>
    <w:rsid w:val="000921FC"/>
    <w:rsid w:val="000C5548"/>
    <w:rsid w:val="000D7CE2"/>
    <w:rsid w:val="0010162B"/>
    <w:rsid w:val="00106F12"/>
    <w:rsid w:val="00107CCF"/>
    <w:rsid w:val="0014060E"/>
    <w:rsid w:val="0014487E"/>
    <w:rsid w:val="00145F3E"/>
    <w:rsid w:val="00170EAC"/>
    <w:rsid w:val="0018650F"/>
    <w:rsid w:val="001A597D"/>
    <w:rsid w:val="001B6ED8"/>
    <w:rsid w:val="001D7C49"/>
    <w:rsid w:val="001E05D3"/>
    <w:rsid w:val="00207285"/>
    <w:rsid w:val="0021069C"/>
    <w:rsid w:val="0021092D"/>
    <w:rsid w:val="0021790C"/>
    <w:rsid w:val="00217EF4"/>
    <w:rsid w:val="002349C6"/>
    <w:rsid w:val="00267F94"/>
    <w:rsid w:val="0028199E"/>
    <w:rsid w:val="00293466"/>
    <w:rsid w:val="002A4E15"/>
    <w:rsid w:val="002A63DA"/>
    <w:rsid w:val="002B1469"/>
    <w:rsid w:val="002B7C3E"/>
    <w:rsid w:val="002D0010"/>
    <w:rsid w:val="002D2DC1"/>
    <w:rsid w:val="002E1DDB"/>
    <w:rsid w:val="0030379F"/>
    <w:rsid w:val="00312D6B"/>
    <w:rsid w:val="00320C43"/>
    <w:rsid w:val="00324D36"/>
    <w:rsid w:val="00367C94"/>
    <w:rsid w:val="00373665"/>
    <w:rsid w:val="0037791B"/>
    <w:rsid w:val="00377AD1"/>
    <w:rsid w:val="00386A35"/>
    <w:rsid w:val="003C2F7D"/>
    <w:rsid w:val="003E20F0"/>
    <w:rsid w:val="003E6134"/>
    <w:rsid w:val="00420255"/>
    <w:rsid w:val="004263B3"/>
    <w:rsid w:val="00436C49"/>
    <w:rsid w:val="00441518"/>
    <w:rsid w:val="00441CB4"/>
    <w:rsid w:val="00485EE1"/>
    <w:rsid w:val="004A68B1"/>
    <w:rsid w:val="004B1AD9"/>
    <w:rsid w:val="004F104F"/>
    <w:rsid w:val="004F2DE1"/>
    <w:rsid w:val="004F56AB"/>
    <w:rsid w:val="00556415"/>
    <w:rsid w:val="00570AA4"/>
    <w:rsid w:val="005811D8"/>
    <w:rsid w:val="00581C9F"/>
    <w:rsid w:val="005879BC"/>
    <w:rsid w:val="00590320"/>
    <w:rsid w:val="005A43E1"/>
    <w:rsid w:val="005C383A"/>
    <w:rsid w:val="005E64A9"/>
    <w:rsid w:val="005F2D00"/>
    <w:rsid w:val="006123B1"/>
    <w:rsid w:val="006257FE"/>
    <w:rsid w:val="0067592F"/>
    <w:rsid w:val="0069375F"/>
    <w:rsid w:val="006D372B"/>
    <w:rsid w:val="006E4B50"/>
    <w:rsid w:val="006F5A85"/>
    <w:rsid w:val="006F5B73"/>
    <w:rsid w:val="00741A34"/>
    <w:rsid w:val="00745B67"/>
    <w:rsid w:val="00763DD9"/>
    <w:rsid w:val="00766527"/>
    <w:rsid w:val="00783C66"/>
    <w:rsid w:val="00796201"/>
    <w:rsid w:val="00797FDD"/>
    <w:rsid w:val="007A6E2D"/>
    <w:rsid w:val="007D182E"/>
    <w:rsid w:val="008174AB"/>
    <w:rsid w:val="00832FE8"/>
    <w:rsid w:val="008361ED"/>
    <w:rsid w:val="00840D43"/>
    <w:rsid w:val="00842D05"/>
    <w:rsid w:val="00870064"/>
    <w:rsid w:val="00874EE0"/>
    <w:rsid w:val="0087546A"/>
    <w:rsid w:val="00881C85"/>
    <w:rsid w:val="00896D66"/>
    <w:rsid w:val="008D1557"/>
    <w:rsid w:val="008D520F"/>
    <w:rsid w:val="0091747E"/>
    <w:rsid w:val="00922B3D"/>
    <w:rsid w:val="00956EB9"/>
    <w:rsid w:val="00962AD9"/>
    <w:rsid w:val="00977D35"/>
    <w:rsid w:val="009A5838"/>
    <w:rsid w:val="009C2C51"/>
    <w:rsid w:val="009C5532"/>
    <w:rsid w:val="009C6525"/>
    <w:rsid w:val="009C74C5"/>
    <w:rsid w:val="009E612E"/>
    <w:rsid w:val="009F30D6"/>
    <w:rsid w:val="00A01E0A"/>
    <w:rsid w:val="00A17A87"/>
    <w:rsid w:val="00A304F4"/>
    <w:rsid w:val="00A338D6"/>
    <w:rsid w:val="00A34248"/>
    <w:rsid w:val="00A63CD9"/>
    <w:rsid w:val="00A9014F"/>
    <w:rsid w:val="00A964C5"/>
    <w:rsid w:val="00AA7EE3"/>
    <w:rsid w:val="00AB227C"/>
    <w:rsid w:val="00AB2C9B"/>
    <w:rsid w:val="00AB7F46"/>
    <w:rsid w:val="00AD0BA8"/>
    <w:rsid w:val="00AD47E1"/>
    <w:rsid w:val="00AE3601"/>
    <w:rsid w:val="00AF633B"/>
    <w:rsid w:val="00AF6D71"/>
    <w:rsid w:val="00B01483"/>
    <w:rsid w:val="00B1531D"/>
    <w:rsid w:val="00B22C24"/>
    <w:rsid w:val="00B45382"/>
    <w:rsid w:val="00B537E0"/>
    <w:rsid w:val="00B65875"/>
    <w:rsid w:val="00B7712C"/>
    <w:rsid w:val="00B85063"/>
    <w:rsid w:val="00B90C42"/>
    <w:rsid w:val="00BB6E58"/>
    <w:rsid w:val="00BC56CD"/>
    <w:rsid w:val="00BF3FA9"/>
    <w:rsid w:val="00C07613"/>
    <w:rsid w:val="00C10A3B"/>
    <w:rsid w:val="00C14533"/>
    <w:rsid w:val="00C17A68"/>
    <w:rsid w:val="00C26A67"/>
    <w:rsid w:val="00C355FE"/>
    <w:rsid w:val="00C37D3A"/>
    <w:rsid w:val="00C53F2F"/>
    <w:rsid w:val="00C603C0"/>
    <w:rsid w:val="00C9240E"/>
    <w:rsid w:val="00C95193"/>
    <w:rsid w:val="00CB63F0"/>
    <w:rsid w:val="00CD4A55"/>
    <w:rsid w:val="00CD6E0C"/>
    <w:rsid w:val="00D1776A"/>
    <w:rsid w:val="00D370D0"/>
    <w:rsid w:val="00D37FDD"/>
    <w:rsid w:val="00D45DC1"/>
    <w:rsid w:val="00D55F2C"/>
    <w:rsid w:val="00D61DB1"/>
    <w:rsid w:val="00D80DC0"/>
    <w:rsid w:val="00D84FAF"/>
    <w:rsid w:val="00DB270C"/>
    <w:rsid w:val="00DC7EC9"/>
    <w:rsid w:val="00DE7681"/>
    <w:rsid w:val="00DF4B05"/>
    <w:rsid w:val="00E128D8"/>
    <w:rsid w:val="00E368EC"/>
    <w:rsid w:val="00E4087B"/>
    <w:rsid w:val="00E70B11"/>
    <w:rsid w:val="00E73BAB"/>
    <w:rsid w:val="00EB7F5C"/>
    <w:rsid w:val="00EC1BB6"/>
    <w:rsid w:val="00EC52DB"/>
    <w:rsid w:val="00EF7AE4"/>
    <w:rsid w:val="00F17A29"/>
    <w:rsid w:val="00F35950"/>
    <w:rsid w:val="00F83EA7"/>
    <w:rsid w:val="00F87EFD"/>
    <w:rsid w:val="00F90D62"/>
    <w:rsid w:val="00FA1EE5"/>
    <w:rsid w:val="00FF2B9D"/>
    <w:rsid w:val="00FF6CD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B0EA63-1756-A445-B086-5CF9733B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6F12"/>
    <w:rPr>
      <w:rFonts w:eastAsiaTheme="minorEastAsia"/>
      <w:sz w:val="22"/>
      <w:szCs w:val="22"/>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tractBookPresentingAuthor">
    <w:name w:val="Abstract Book Presenting Author"/>
    <w:basedOn w:val="DefaultParagraphFont"/>
    <w:rsid w:val="00106F12"/>
    <w:rPr>
      <w:rFonts w:ascii="Calibri Light" w:hAnsi="Calibri Light"/>
      <w:b/>
      <w:vanish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2505</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Deirdre O'Connor</dc:creator>
  <cp:keywords/>
  <dc:description/>
  <cp:lastModifiedBy>Deirdre O'Connor</cp:lastModifiedBy>
  <cp:revision>1</cp:revision>
  <dcterms:created xsi:type="dcterms:W3CDTF">2022-03-31T12:37:00Z</dcterms:created>
  <dcterms:modified xsi:type="dcterms:W3CDTF">2022-03-31T12:38:00Z</dcterms:modified>
</cp:coreProperties>
</file>