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84D" w:rsidRPr="006122DC" w:rsidRDefault="001D284D" w:rsidP="001D284D">
      <w:pPr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670492">
        <w:rPr>
          <w:rFonts w:ascii="Arial" w:hAnsi="Arial" w:cs="Arial"/>
          <w:b/>
          <w:bCs/>
          <w:sz w:val="23"/>
          <w:szCs w:val="23"/>
        </w:rPr>
        <w:t>140.</w:t>
      </w:r>
      <w:r w:rsidRPr="006122DC">
        <w:rPr>
          <w:rFonts w:ascii="Arial" w:hAnsi="Arial" w:cs="Arial"/>
          <w:b/>
          <w:bCs/>
          <w:sz w:val="23"/>
          <w:szCs w:val="23"/>
        </w:rPr>
        <w:t xml:space="preserve"> Circulating levels of Annexin A1 are associated with severity of COVID-19</w:t>
      </w: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  <w:vertAlign w:val="superscript"/>
        </w:rPr>
      </w:pPr>
      <w:r w:rsidRPr="00A3080E">
        <w:rPr>
          <w:rStyle w:val="AbstractBookPresentingAuthor"/>
          <w:rFonts w:ascii="Arial" w:hAnsi="Arial" w:cs="Arial"/>
          <w:sz w:val="23"/>
          <w:szCs w:val="23"/>
        </w:rPr>
        <w:t>Matthias Busch</w:t>
      </w:r>
      <w:r w:rsidRPr="00A3080E">
        <w:rPr>
          <w:rStyle w:val="AbstractBookPresentingAuthor"/>
          <w:rFonts w:ascii="Arial" w:hAnsi="Arial" w:cs="Arial"/>
          <w:sz w:val="23"/>
          <w:szCs w:val="23"/>
          <w:vertAlign w:val="superscript"/>
        </w:rPr>
        <w:t>1</w:t>
      </w:r>
      <w:r w:rsidRPr="00A3080E">
        <w:rPr>
          <w:rFonts w:ascii="Arial" w:hAnsi="Arial" w:cs="Arial"/>
          <w:sz w:val="23"/>
          <w:szCs w:val="23"/>
        </w:rPr>
        <w:t>, Jean Amiral</w:t>
      </w:r>
      <w:r w:rsidRPr="00A3080E">
        <w:rPr>
          <w:rFonts w:ascii="Arial" w:hAnsi="Arial" w:cs="Arial"/>
          <w:sz w:val="23"/>
          <w:szCs w:val="23"/>
          <w:vertAlign w:val="superscript"/>
        </w:rPr>
        <w:t>2</w:t>
      </w:r>
      <w:r w:rsidRPr="00A3080E">
        <w:rPr>
          <w:rFonts w:ascii="Arial" w:hAnsi="Arial" w:cs="Arial"/>
          <w:sz w:val="23"/>
          <w:szCs w:val="23"/>
        </w:rPr>
        <w:t>, Sjoerd Timmermans</w:t>
      </w:r>
      <w:r w:rsidRPr="00A3080E">
        <w:rPr>
          <w:rFonts w:ascii="Arial" w:hAnsi="Arial" w:cs="Arial"/>
          <w:sz w:val="23"/>
          <w:szCs w:val="23"/>
          <w:vertAlign w:val="superscript"/>
        </w:rPr>
        <w:t>1</w:t>
      </w:r>
      <w:r w:rsidRPr="00A3080E">
        <w:rPr>
          <w:rFonts w:ascii="Arial" w:hAnsi="Arial" w:cs="Arial"/>
          <w:sz w:val="23"/>
          <w:szCs w:val="23"/>
        </w:rPr>
        <w:t>, Joop Aendekerk</w:t>
      </w:r>
      <w:r w:rsidRPr="00A3080E">
        <w:rPr>
          <w:rFonts w:ascii="Arial" w:hAnsi="Arial" w:cs="Arial"/>
          <w:sz w:val="23"/>
          <w:szCs w:val="23"/>
          <w:vertAlign w:val="superscript"/>
        </w:rPr>
        <w:t>1</w:t>
      </w:r>
      <w:r w:rsidRPr="00A3080E">
        <w:rPr>
          <w:rFonts w:ascii="Arial" w:hAnsi="Arial" w:cs="Arial"/>
          <w:sz w:val="23"/>
          <w:szCs w:val="23"/>
        </w:rPr>
        <w:t>, Pieter van Paassen</w:t>
      </w:r>
      <w:r w:rsidRPr="00A3080E">
        <w:rPr>
          <w:rFonts w:ascii="Arial" w:hAnsi="Arial" w:cs="Arial"/>
          <w:sz w:val="23"/>
          <w:szCs w:val="23"/>
          <w:vertAlign w:val="superscript"/>
        </w:rPr>
        <w:t>1</w:t>
      </w:r>
      <w:r w:rsidRPr="00A3080E">
        <w:rPr>
          <w:rFonts w:ascii="Arial" w:hAnsi="Arial" w:cs="Arial"/>
          <w:sz w:val="23"/>
          <w:szCs w:val="23"/>
        </w:rPr>
        <w:t>, Chris Reutelingsperger</w:t>
      </w:r>
      <w:r w:rsidRPr="00A3080E">
        <w:rPr>
          <w:rFonts w:ascii="Arial" w:hAnsi="Arial" w:cs="Arial"/>
          <w:sz w:val="23"/>
          <w:szCs w:val="23"/>
          <w:vertAlign w:val="superscript"/>
        </w:rPr>
        <w:t>3</w:t>
      </w:r>
    </w:p>
    <w:p w:rsidR="001D284D" w:rsidRPr="006122DC" w:rsidRDefault="001D284D" w:rsidP="001D284D">
      <w:pPr>
        <w:spacing w:line="276" w:lineRule="auto"/>
        <w:rPr>
          <w:rFonts w:ascii="Arial" w:hAnsi="Arial" w:cs="Arial"/>
          <w:i/>
          <w:iCs/>
          <w:sz w:val="23"/>
          <w:szCs w:val="23"/>
        </w:rPr>
      </w:pPr>
      <w:r w:rsidRPr="006122DC">
        <w:rPr>
          <w:rFonts w:ascii="Arial" w:hAnsi="Arial" w:cs="Arial"/>
          <w:i/>
          <w:iCs/>
          <w:sz w:val="23"/>
          <w:szCs w:val="23"/>
          <w:vertAlign w:val="superscript"/>
        </w:rPr>
        <w:t>1</w:t>
      </w:r>
      <w:r w:rsidRPr="006122DC">
        <w:rPr>
          <w:rFonts w:ascii="Arial" w:hAnsi="Arial" w:cs="Arial"/>
          <w:i/>
          <w:iCs/>
          <w:sz w:val="23"/>
          <w:szCs w:val="23"/>
        </w:rPr>
        <w:t xml:space="preserve">Department of Nephrology and Clinical Immunology, Maastricht, Netherlands, </w:t>
      </w:r>
      <w:r w:rsidRPr="006122DC">
        <w:rPr>
          <w:rFonts w:ascii="Arial" w:hAnsi="Arial" w:cs="Arial"/>
          <w:i/>
          <w:iCs/>
          <w:sz w:val="23"/>
          <w:szCs w:val="23"/>
          <w:vertAlign w:val="superscript"/>
        </w:rPr>
        <w:t>2</w:t>
      </w:r>
      <w:r w:rsidRPr="006122DC">
        <w:rPr>
          <w:rFonts w:ascii="Arial" w:hAnsi="Arial" w:cs="Arial"/>
          <w:i/>
          <w:iCs/>
          <w:sz w:val="23"/>
          <w:szCs w:val="23"/>
        </w:rPr>
        <w:t xml:space="preserve">Scientific-Hemostasis, Franconville, France, </w:t>
      </w:r>
      <w:r w:rsidRPr="006122DC">
        <w:rPr>
          <w:rFonts w:ascii="Arial" w:hAnsi="Arial" w:cs="Arial"/>
          <w:i/>
          <w:iCs/>
          <w:sz w:val="23"/>
          <w:szCs w:val="23"/>
          <w:vertAlign w:val="superscript"/>
        </w:rPr>
        <w:t>3</w:t>
      </w:r>
      <w:r w:rsidRPr="006122DC">
        <w:rPr>
          <w:rFonts w:ascii="Arial" w:hAnsi="Arial" w:cs="Arial"/>
          <w:i/>
          <w:iCs/>
          <w:sz w:val="23"/>
          <w:szCs w:val="23"/>
        </w:rPr>
        <w:t>Department of Biochemistry, Cardiovascular Research Institute, Maastricht, Netherlands</w:t>
      </w: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  <w:r w:rsidRPr="00A10EC1">
        <w:rPr>
          <w:rFonts w:ascii="Arial" w:hAnsi="Arial" w:cs="Arial"/>
          <w:b/>
          <w:sz w:val="23"/>
          <w:szCs w:val="23"/>
        </w:rPr>
        <w:t xml:space="preserve">Background: </w:t>
      </w:r>
      <w:r w:rsidRPr="00A3080E">
        <w:rPr>
          <w:rFonts w:ascii="Arial" w:hAnsi="Arial" w:cs="Arial"/>
          <w:sz w:val="23"/>
          <w:szCs w:val="23"/>
        </w:rPr>
        <w:t xml:space="preserve">Coronavirus disease 2019 (COVID-19)–associated coagulopathy is driven by excessive Neutrophil Extracellular Trap (NET) formation, complement, and contact activation. The triangular relationship with its multiple amplifying feedback loops might include Annexin A1 (AnxA1), a pro-resolving inhibitor of neutrophil infiltration and activation. </w:t>
      </w: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</w:p>
    <w:p w:rsidR="001D284D" w:rsidRPr="006122DC" w:rsidRDefault="001D284D" w:rsidP="001D284D">
      <w:pPr>
        <w:spacing w:line="276" w:lineRule="auto"/>
        <w:rPr>
          <w:rFonts w:ascii="Arial" w:hAnsi="Arial" w:cs="Arial"/>
          <w:i/>
          <w:iCs/>
          <w:sz w:val="23"/>
          <w:szCs w:val="23"/>
        </w:rPr>
      </w:pPr>
      <w:r w:rsidRPr="00A10EC1">
        <w:rPr>
          <w:rFonts w:ascii="Arial" w:hAnsi="Arial" w:cs="Arial"/>
          <w:b/>
          <w:sz w:val="23"/>
          <w:szCs w:val="23"/>
        </w:rPr>
        <w:t>Methods:</w:t>
      </w:r>
      <w:r>
        <w:rPr>
          <w:rFonts w:ascii="Arial" w:hAnsi="Arial" w:cs="Arial"/>
          <w:i/>
          <w:iCs/>
          <w:sz w:val="23"/>
          <w:szCs w:val="23"/>
        </w:rPr>
        <w:t xml:space="preserve"> </w:t>
      </w:r>
      <w:r w:rsidRPr="00A3080E">
        <w:rPr>
          <w:rFonts w:ascii="Arial" w:hAnsi="Arial" w:cs="Arial"/>
          <w:sz w:val="23"/>
          <w:szCs w:val="23"/>
        </w:rPr>
        <w:t xml:space="preserve">We measured serum AnxA1 levels in 228 consecutive patients presented in our hospital during the first wave (21st March to 29th April 2020) with COVID-19. Disease severity was classified as mild (not admitted), moderate (admitted; requiring oxygen via nasal cannula) and severe patients (admitted; requiring oxygen via a face mask, or invasive ventilation or deceasing ≤7 days). AnxA1 levels at presentation and during follow-up were measured with an in-house developed ELISA. AnxA1 level were correlated with inflammatory markers (neutrophil count, C-reactive protein, Complement 5 and neutrophil lymphocyte ratio (NL-ratio)). Differences in endothelial as well as coagulation activation markers and circulating extracellular histone release were assessed between patients with normal and high AnxA1 levels. </w:t>
      </w: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  <w:r w:rsidRPr="00A10EC1">
        <w:rPr>
          <w:rFonts w:ascii="Arial" w:hAnsi="Arial" w:cs="Arial"/>
          <w:b/>
          <w:sz w:val="23"/>
          <w:szCs w:val="23"/>
        </w:rPr>
        <w:t>Results</w:t>
      </w:r>
      <w:r w:rsidRPr="00A3080E">
        <w:rPr>
          <w:rFonts w:ascii="Arial" w:hAnsi="Arial" w:cs="Arial"/>
          <w:sz w:val="23"/>
          <w:szCs w:val="23"/>
        </w:rPr>
        <w:t>:</w:t>
      </w:r>
      <w:r>
        <w:rPr>
          <w:rFonts w:ascii="Arial" w:hAnsi="Arial" w:cs="Arial"/>
          <w:sz w:val="23"/>
          <w:szCs w:val="23"/>
        </w:rPr>
        <w:t xml:space="preserve"> </w:t>
      </w:r>
      <w:r w:rsidRPr="00A3080E">
        <w:rPr>
          <w:rFonts w:ascii="Arial" w:hAnsi="Arial" w:cs="Arial"/>
          <w:sz w:val="23"/>
          <w:szCs w:val="23"/>
        </w:rPr>
        <w:t>Patients with moderate and severe COVID-19 had significantly increased baseline AnxA1 levels as compared to healthy controls (</w:t>
      </w:r>
      <w:r w:rsidRPr="00A3080E">
        <w:rPr>
          <w:rFonts w:ascii="Arial" w:hAnsi="Arial" w:cs="Arial"/>
          <w:i/>
          <w:sz w:val="23"/>
          <w:szCs w:val="23"/>
        </w:rPr>
        <w:t>p</w:t>
      </w:r>
      <w:r w:rsidRPr="00A3080E">
        <w:rPr>
          <w:rFonts w:ascii="Arial" w:hAnsi="Arial" w:cs="Arial"/>
          <w:sz w:val="23"/>
          <w:szCs w:val="23"/>
        </w:rPr>
        <w:t>&lt;0.0001) and mild patients (</w:t>
      </w:r>
      <w:r w:rsidRPr="00A3080E">
        <w:rPr>
          <w:rFonts w:ascii="Arial" w:hAnsi="Arial" w:cs="Arial"/>
          <w:i/>
          <w:sz w:val="23"/>
          <w:szCs w:val="23"/>
        </w:rPr>
        <w:t>p</w:t>
      </w:r>
      <w:r w:rsidRPr="00A3080E">
        <w:rPr>
          <w:rFonts w:ascii="Arial" w:hAnsi="Arial" w:cs="Arial"/>
          <w:sz w:val="23"/>
          <w:szCs w:val="23"/>
        </w:rPr>
        <w:t xml:space="preserve">=0.01) (Figure 1A). AnxA1 levels increased during follow-up (Figure 1B). </w:t>
      </w: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  <w:r w:rsidRPr="00A3080E">
        <w:rPr>
          <w:rFonts w:ascii="Arial" w:hAnsi="Arial" w:cs="Arial"/>
          <w:sz w:val="23"/>
          <w:szCs w:val="23"/>
        </w:rPr>
        <w:t>Positive corelations between baseline AnxA1 levels and baseline neutrophil count (rs(98)=0.294, p&lt;0.0001), C-reactive protein (rs(98)=0.200, p&lt;0.004) and C5a (rs(98)=0.192, p&lt;0.008) were only weak or not found (</w:t>
      </w:r>
      <w:r w:rsidRPr="00A3080E">
        <w:rPr>
          <w:rFonts w:ascii="Arial" w:hAnsi="Arial" w:cs="Arial"/>
          <w:sz w:val="23"/>
          <w:szCs w:val="23"/>
          <w:lang w:val="en-US"/>
        </w:rPr>
        <w:t>NL-ratio (r</w:t>
      </w:r>
      <w:r w:rsidRPr="00A3080E">
        <w:rPr>
          <w:rFonts w:ascii="Arial" w:hAnsi="Arial" w:cs="Arial"/>
          <w:sz w:val="23"/>
          <w:szCs w:val="23"/>
          <w:vertAlign w:val="subscript"/>
          <w:lang w:val="en-US"/>
        </w:rPr>
        <w:t>s</w:t>
      </w:r>
      <w:r w:rsidRPr="00A3080E">
        <w:rPr>
          <w:rFonts w:ascii="Arial" w:hAnsi="Arial" w:cs="Arial"/>
          <w:sz w:val="23"/>
          <w:szCs w:val="23"/>
          <w:lang w:val="en-US"/>
        </w:rPr>
        <w:t>(98)=0.055, p=0.457)</w:t>
      </w:r>
      <w:r w:rsidRPr="00A3080E">
        <w:rPr>
          <w:rFonts w:ascii="Arial" w:hAnsi="Arial" w:cs="Arial"/>
          <w:sz w:val="23"/>
          <w:szCs w:val="23"/>
        </w:rPr>
        <w:t xml:space="preserve">. </w:t>
      </w: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  <w:r w:rsidRPr="00A3080E">
        <w:rPr>
          <w:rFonts w:ascii="Arial" w:hAnsi="Arial" w:cs="Arial"/>
          <w:sz w:val="23"/>
          <w:szCs w:val="23"/>
        </w:rPr>
        <w:t>Severe patients with elevated AnxA1 levels (&gt;33,8 ng/ml) had significantly higher von Willebrand factor:antigen (</w:t>
      </w:r>
      <w:r w:rsidRPr="00A3080E">
        <w:rPr>
          <w:rFonts w:ascii="Arial" w:hAnsi="Arial" w:cs="Arial"/>
          <w:i/>
          <w:sz w:val="23"/>
          <w:szCs w:val="23"/>
        </w:rPr>
        <w:t>p</w:t>
      </w:r>
      <w:r w:rsidRPr="00A3080E">
        <w:rPr>
          <w:rFonts w:ascii="Arial" w:hAnsi="Arial" w:cs="Arial"/>
          <w:sz w:val="23"/>
          <w:szCs w:val="23"/>
        </w:rPr>
        <w:t>=0.006), FIXa:antithrombin (</w:t>
      </w:r>
      <w:r w:rsidRPr="00A3080E">
        <w:rPr>
          <w:rFonts w:ascii="Arial" w:hAnsi="Arial" w:cs="Arial"/>
          <w:i/>
          <w:sz w:val="23"/>
          <w:szCs w:val="23"/>
        </w:rPr>
        <w:t>p</w:t>
      </w:r>
      <w:r w:rsidRPr="00A3080E">
        <w:rPr>
          <w:rFonts w:ascii="Arial" w:hAnsi="Arial" w:cs="Arial"/>
          <w:sz w:val="23"/>
          <w:szCs w:val="23"/>
        </w:rPr>
        <w:t>=0.026), FXIa:antithrombin (</w:t>
      </w:r>
      <w:r w:rsidRPr="00A3080E">
        <w:rPr>
          <w:rFonts w:ascii="Arial" w:hAnsi="Arial" w:cs="Arial"/>
          <w:i/>
          <w:sz w:val="23"/>
          <w:szCs w:val="23"/>
        </w:rPr>
        <w:t>p</w:t>
      </w:r>
      <w:r w:rsidRPr="00A3080E">
        <w:rPr>
          <w:rFonts w:ascii="Arial" w:hAnsi="Arial" w:cs="Arial"/>
          <w:sz w:val="23"/>
          <w:szCs w:val="23"/>
        </w:rPr>
        <w:t xml:space="preserve">=0.036) levels at baseline compared to severe patients with normal AnxA1, respectively. No significant differences between these groups were found for complement 5a (p=0.159), plasma kallikrein:C1-esterase inhibitor (p=0.673) and thrombin:antithrombin (p=0.989) levels. Circulating extracellular histones at baseline or follow-up tend to be more frequently detectable in severe patients with elevated AnxA1 (n=21, 51.2%) compared to patients with normal AnxA1 (n=19, 32.8%; p=0.149). </w:t>
      </w: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  <w:r w:rsidRPr="00A10EC1">
        <w:rPr>
          <w:rFonts w:ascii="Arial" w:hAnsi="Arial" w:cs="Arial"/>
          <w:b/>
          <w:sz w:val="23"/>
          <w:szCs w:val="23"/>
        </w:rPr>
        <w:t>Conclusion:</w:t>
      </w:r>
      <w:r>
        <w:rPr>
          <w:rFonts w:ascii="Arial" w:hAnsi="Arial" w:cs="Arial"/>
          <w:sz w:val="23"/>
          <w:szCs w:val="23"/>
        </w:rPr>
        <w:t xml:space="preserve"> </w:t>
      </w:r>
      <w:r w:rsidRPr="00A3080E">
        <w:rPr>
          <w:rFonts w:ascii="Arial" w:hAnsi="Arial" w:cs="Arial"/>
          <w:sz w:val="23"/>
          <w:szCs w:val="23"/>
        </w:rPr>
        <w:t xml:space="preserve">We conclude that serum AnxA1 levels are increased in patients with moderate and severe COVID-19 and are positively associated with the extent of endothelial activation/injury, coagulation activation and NET formation in severe COVID-19. The clinical significance of these findings in terof prognostic or therapeutic targets has to be further elucidated.  </w:t>
      </w:r>
    </w:p>
    <w:p w:rsidR="001D284D" w:rsidRPr="00A3080E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</w:p>
    <w:p w:rsidR="001D284D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  <w:r w:rsidRPr="00A10EC1">
        <w:rPr>
          <w:rFonts w:ascii="Arial" w:hAnsi="Arial" w:cs="Arial"/>
          <w:b/>
          <w:sz w:val="23"/>
          <w:szCs w:val="23"/>
        </w:rPr>
        <w:lastRenderedPageBreak/>
        <w:t>Disclosures</w:t>
      </w:r>
      <w:r w:rsidRPr="00A3080E">
        <w:rPr>
          <w:rFonts w:ascii="Arial" w:hAnsi="Arial" w:cs="Arial"/>
          <w:sz w:val="23"/>
          <w:szCs w:val="23"/>
        </w:rPr>
        <w:t>: The authors have no disclosures to report.</w:t>
      </w:r>
    </w:p>
    <w:p w:rsidR="001D284D" w:rsidRDefault="001D284D" w:rsidP="001D284D">
      <w:pPr>
        <w:spacing w:line="276" w:lineRule="auto"/>
        <w:rPr>
          <w:rFonts w:ascii="Arial" w:hAnsi="Arial" w:cs="Arial"/>
          <w:sz w:val="23"/>
          <w:szCs w:val="23"/>
        </w:rPr>
      </w:pPr>
    </w:p>
    <w:p w:rsidR="001D284D" w:rsidRDefault="001D284D" w:rsidP="001D284D">
      <w:pPr>
        <w:spacing w:line="276" w:lineRule="auto"/>
        <w:rPr>
          <w:rFonts w:ascii="Arial" w:hAnsi="Arial" w:cs="Arial"/>
          <w:i/>
          <w:iCs/>
          <w:sz w:val="23"/>
          <w:szCs w:val="23"/>
        </w:rPr>
      </w:pPr>
      <w:r w:rsidRPr="00A10EC1">
        <w:rPr>
          <w:rFonts w:ascii="Arial" w:hAnsi="Arial" w:cs="Arial"/>
          <w:b/>
          <w:sz w:val="23"/>
          <w:szCs w:val="23"/>
        </w:rPr>
        <w:t>Figure 1.</w:t>
      </w:r>
      <w:r w:rsidRPr="00A3080E">
        <w:rPr>
          <w:rFonts w:ascii="Arial" w:hAnsi="Arial" w:cs="Arial"/>
          <w:sz w:val="23"/>
          <w:szCs w:val="23"/>
        </w:rPr>
        <w:t xml:space="preserve"> Baseline Annexin A1 levels in healthy controls and patients with mild, moderate and severe COVID-19, respectively. Differences between groups were analysed by a Mann Whitney U test. (A) Annexin A1 levels were significantly higher at baseline in patients with moderate and severe COVID-19 when compared to healthy controls and/or patients with mild COVID-19. (B) During the course of disease Annexin A1 levels further increased in patients with moderate and severe COVID-19. </w:t>
      </w:r>
      <w:r w:rsidRPr="00A3080E">
        <w:rPr>
          <w:rFonts w:ascii="Arial" w:hAnsi="Arial" w:cs="Arial"/>
          <w:i/>
          <w:iCs/>
          <w:sz w:val="23"/>
          <w:szCs w:val="23"/>
        </w:rPr>
        <w:t>Abbreviations: AnxA1, Annexin A1. HC, healthy controls.</w:t>
      </w:r>
    </w:p>
    <w:p w:rsidR="001D284D" w:rsidRDefault="001D284D" w:rsidP="001D284D">
      <w:pPr>
        <w:spacing w:line="276" w:lineRule="auto"/>
        <w:rPr>
          <w:rFonts w:ascii="Arial" w:hAnsi="Arial" w:cs="Arial"/>
          <w:b/>
          <w:bCs/>
          <w:sz w:val="23"/>
          <w:szCs w:val="23"/>
        </w:rPr>
      </w:pPr>
      <w:r>
        <w:rPr>
          <w:noProof/>
        </w:rPr>
        <w:drawing>
          <wp:inline distT="0" distB="0" distL="0" distR="0" wp14:anchorId="28874FE6" wp14:editId="6A10F75B">
            <wp:extent cx="6153148" cy="2744470"/>
            <wp:effectExtent l="0" t="0" r="0" b="0"/>
            <wp:docPr id="119" name="Picture 119" descr="Chart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59" t="18318" r="13251" b="24365"/>
                    <a:stretch>
                      <a:fillRect/>
                    </a:stretch>
                  </pic:blipFill>
                  <pic:spPr>
                    <a:xfrm>
                      <a:off x="0" y="0"/>
                      <a:ext cx="6153148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84D" w:rsidRDefault="001D284D" w:rsidP="001D284D">
      <w:pPr>
        <w:spacing w:line="276" w:lineRule="auto"/>
        <w:rPr>
          <w:rFonts w:ascii="Arial" w:hAnsi="Arial" w:cs="Arial"/>
          <w:b/>
          <w:bCs/>
          <w:sz w:val="23"/>
          <w:szCs w:val="23"/>
        </w:rPr>
      </w:pPr>
    </w:p>
    <w:p w:rsidR="001D284D" w:rsidRDefault="001D284D" w:rsidP="001D284D">
      <w:pPr>
        <w:spacing w:line="276" w:lineRule="auto"/>
        <w:rPr>
          <w:rFonts w:ascii="Arial" w:hAnsi="Arial" w:cs="Arial"/>
          <w:b/>
          <w:bCs/>
          <w:sz w:val="23"/>
          <w:szCs w:val="23"/>
        </w:rPr>
      </w:pPr>
    </w:p>
    <w:p w:rsidR="001D284D" w:rsidRDefault="001D284D" w:rsidP="001D284D">
      <w:pPr>
        <w:spacing w:line="276" w:lineRule="auto"/>
        <w:rPr>
          <w:rFonts w:ascii="Arial" w:hAnsi="Arial" w:cs="Arial"/>
          <w:b/>
          <w:bCs/>
          <w:sz w:val="23"/>
          <w:szCs w:val="23"/>
        </w:rPr>
      </w:pPr>
    </w:p>
    <w:p w:rsidR="00696CAB" w:rsidRDefault="001D284D">
      <w:bookmarkStart w:id="0" w:name="_GoBack"/>
      <w:bookmarkEnd w:id="0"/>
    </w:p>
    <w:sectPr w:rsidR="00696CAB" w:rsidSect="00B7712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4D"/>
    <w:rsid w:val="00001C3B"/>
    <w:rsid w:val="00027A3D"/>
    <w:rsid w:val="00063A19"/>
    <w:rsid w:val="0007271F"/>
    <w:rsid w:val="00076532"/>
    <w:rsid w:val="000921FC"/>
    <w:rsid w:val="000C5548"/>
    <w:rsid w:val="000D7CE2"/>
    <w:rsid w:val="0010162B"/>
    <w:rsid w:val="00107CCF"/>
    <w:rsid w:val="0014060E"/>
    <w:rsid w:val="0014487E"/>
    <w:rsid w:val="00145F3E"/>
    <w:rsid w:val="00170EAC"/>
    <w:rsid w:val="0018650F"/>
    <w:rsid w:val="001A597D"/>
    <w:rsid w:val="001B6ED8"/>
    <w:rsid w:val="001D284D"/>
    <w:rsid w:val="001D7C49"/>
    <w:rsid w:val="001E05D3"/>
    <w:rsid w:val="00207285"/>
    <w:rsid w:val="0021069C"/>
    <w:rsid w:val="0021092D"/>
    <w:rsid w:val="0021790C"/>
    <w:rsid w:val="00217EF4"/>
    <w:rsid w:val="002349C6"/>
    <w:rsid w:val="00267F94"/>
    <w:rsid w:val="0028199E"/>
    <w:rsid w:val="00293466"/>
    <w:rsid w:val="002A4E15"/>
    <w:rsid w:val="002A63DA"/>
    <w:rsid w:val="002B1469"/>
    <w:rsid w:val="002B7C3E"/>
    <w:rsid w:val="002D0010"/>
    <w:rsid w:val="002D2DC1"/>
    <w:rsid w:val="002E1DDB"/>
    <w:rsid w:val="0030379F"/>
    <w:rsid w:val="00312D6B"/>
    <w:rsid w:val="00320C43"/>
    <w:rsid w:val="00324D36"/>
    <w:rsid w:val="00367C94"/>
    <w:rsid w:val="00373665"/>
    <w:rsid w:val="0037791B"/>
    <w:rsid w:val="00377AD1"/>
    <w:rsid w:val="00386A35"/>
    <w:rsid w:val="003C2F7D"/>
    <w:rsid w:val="003E20F0"/>
    <w:rsid w:val="003E6134"/>
    <w:rsid w:val="00420255"/>
    <w:rsid w:val="004263B3"/>
    <w:rsid w:val="00436C49"/>
    <w:rsid w:val="00441518"/>
    <w:rsid w:val="00441CB4"/>
    <w:rsid w:val="00485EE1"/>
    <w:rsid w:val="004A68B1"/>
    <w:rsid w:val="004B1AD9"/>
    <w:rsid w:val="004F104F"/>
    <w:rsid w:val="004F2DE1"/>
    <w:rsid w:val="004F56AB"/>
    <w:rsid w:val="00556415"/>
    <w:rsid w:val="00570AA4"/>
    <w:rsid w:val="005811D8"/>
    <w:rsid w:val="00581C9F"/>
    <w:rsid w:val="005879BC"/>
    <w:rsid w:val="00590320"/>
    <w:rsid w:val="005A43E1"/>
    <w:rsid w:val="005C383A"/>
    <w:rsid w:val="005E64A9"/>
    <w:rsid w:val="005F2D00"/>
    <w:rsid w:val="006123B1"/>
    <w:rsid w:val="006257FE"/>
    <w:rsid w:val="0067592F"/>
    <w:rsid w:val="0069375F"/>
    <w:rsid w:val="006D372B"/>
    <w:rsid w:val="006E4B50"/>
    <w:rsid w:val="006F5A85"/>
    <w:rsid w:val="006F5B73"/>
    <w:rsid w:val="00741A34"/>
    <w:rsid w:val="00745B67"/>
    <w:rsid w:val="00763DD9"/>
    <w:rsid w:val="00766527"/>
    <w:rsid w:val="00783C66"/>
    <w:rsid w:val="00796201"/>
    <w:rsid w:val="00797FDD"/>
    <w:rsid w:val="007A6E2D"/>
    <w:rsid w:val="007D182E"/>
    <w:rsid w:val="008174AB"/>
    <w:rsid w:val="00832FE8"/>
    <w:rsid w:val="008361ED"/>
    <w:rsid w:val="00840D43"/>
    <w:rsid w:val="00842D05"/>
    <w:rsid w:val="00870064"/>
    <w:rsid w:val="00874EE0"/>
    <w:rsid w:val="0087546A"/>
    <w:rsid w:val="00881C85"/>
    <w:rsid w:val="00896D66"/>
    <w:rsid w:val="008D1557"/>
    <w:rsid w:val="008D520F"/>
    <w:rsid w:val="0091747E"/>
    <w:rsid w:val="00922B3D"/>
    <w:rsid w:val="00956EB9"/>
    <w:rsid w:val="00962AD9"/>
    <w:rsid w:val="00977D35"/>
    <w:rsid w:val="009A5838"/>
    <w:rsid w:val="009C2C51"/>
    <w:rsid w:val="009C5532"/>
    <w:rsid w:val="009C6525"/>
    <w:rsid w:val="009C74C5"/>
    <w:rsid w:val="009E612E"/>
    <w:rsid w:val="009F30D6"/>
    <w:rsid w:val="00A01E0A"/>
    <w:rsid w:val="00A17A87"/>
    <w:rsid w:val="00A304F4"/>
    <w:rsid w:val="00A338D6"/>
    <w:rsid w:val="00A34248"/>
    <w:rsid w:val="00A63CD9"/>
    <w:rsid w:val="00A9014F"/>
    <w:rsid w:val="00A964C5"/>
    <w:rsid w:val="00AA7EE3"/>
    <w:rsid w:val="00AB227C"/>
    <w:rsid w:val="00AB2C9B"/>
    <w:rsid w:val="00AB7F46"/>
    <w:rsid w:val="00AD0BA8"/>
    <w:rsid w:val="00AD47E1"/>
    <w:rsid w:val="00AE3601"/>
    <w:rsid w:val="00AF633B"/>
    <w:rsid w:val="00AF6D71"/>
    <w:rsid w:val="00B01483"/>
    <w:rsid w:val="00B1531D"/>
    <w:rsid w:val="00B22C24"/>
    <w:rsid w:val="00B45382"/>
    <w:rsid w:val="00B537E0"/>
    <w:rsid w:val="00B65875"/>
    <w:rsid w:val="00B7712C"/>
    <w:rsid w:val="00B85063"/>
    <w:rsid w:val="00B90C42"/>
    <w:rsid w:val="00BB6E58"/>
    <w:rsid w:val="00BC56CD"/>
    <w:rsid w:val="00BF3FA9"/>
    <w:rsid w:val="00C07613"/>
    <w:rsid w:val="00C10A3B"/>
    <w:rsid w:val="00C14533"/>
    <w:rsid w:val="00C17A68"/>
    <w:rsid w:val="00C26A67"/>
    <w:rsid w:val="00C355FE"/>
    <w:rsid w:val="00C37D3A"/>
    <w:rsid w:val="00C53F2F"/>
    <w:rsid w:val="00C603C0"/>
    <w:rsid w:val="00C9240E"/>
    <w:rsid w:val="00C95193"/>
    <w:rsid w:val="00CB63F0"/>
    <w:rsid w:val="00CD4A55"/>
    <w:rsid w:val="00CD6E0C"/>
    <w:rsid w:val="00D1776A"/>
    <w:rsid w:val="00D370D0"/>
    <w:rsid w:val="00D37FDD"/>
    <w:rsid w:val="00D45DC1"/>
    <w:rsid w:val="00D55F2C"/>
    <w:rsid w:val="00D61DB1"/>
    <w:rsid w:val="00D80DC0"/>
    <w:rsid w:val="00D84FAF"/>
    <w:rsid w:val="00DB270C"/>
    <w:rsid w:val="00DC7EC9"/>
    <w:rsid w:val="00DE7681"/>
    <w:rsid w:val="00DF4B05"/>
    <w:rsid w:val="00E128D8"/>
    <w:rsid w:val="00E368EC"/>
    <w:rsid w:val="00E4087B"/>
    <w:rsid w:val="00E70B11"/>
    <w:rsid w:val="00E73BAB"/>
    <w:rsid w:val="00EB7F5C"/>
    <w:rsid w:val="00EC1BB6"/>
    <w:rsid w:val="00EC52DB"/>
    <w:rsid w:val="00EF7AE4"/>
    <w:rsid w:val="00F17A29"/>
    <w:rsid w:val="00F35950"/>
    <w:rsid w:val="00F83EA7"/>
    <w:rsid w:val="00F87EFD"/>
    <w:rsid w:val="00F90D62"/>
    <w:rsid w:val="00FA1EE5"/>
    <w:rsid w:val="00FF2B9D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245FCD-DC8A-334C-84AF-716A182D1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284D"/>
    <w:rPr>
      <w:rFonts w:eastAsiaTheme="minorEastAsia"/>
      <w:sz w:val="22"/>
      <w:szCs w:val="22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tractBookPresentingAuthor">
    <w:name w:val="Abstract Book Presenting Author"/>
    <w:basedOn w:val="DefaultParagraphFont"/>
    <w:rsid w:val="001D284D"/>
    <w:rPr>
      <w:rFonts w:ascii="Calibri Light" w:hAnsi="Calibri Light"/>
      <w:b/>
      <w:vanish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Deirdre O'Connor</dc:creator>
  <cp:keywords/>
  <dc:description/>
  <cp:lastModifiedBy>Deirdre O'Connor</cp:lastModifiedBy>
  <cp:revision>1</cp:revision>
  <dcterms:created xsi:type="dcterms:W3CDTF">2022-03-31T12:37:00Z</dcterms:created>
  <dcterms:modified xsi:type="dcterms:W3CDTF">2022-03-31T12:37:00Z</dcterms:modified>
</cp:coreProperties>
</file>