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40B3" w:rsidRDefault="000840B3" w:rsidP="000840B3">
      <w:pPr>
        <w:spacing w:line="276" w:lineRule="auto"/>
        <w:rPr>
          <w:rFonts w:ascii="Arial" w:eastAsia="FrutigerLTPro-Condensed" w:hAnsi="Arial" w:cs="Arial"/>
          <w:b/>
          <w:bCs/>
          <w:sz w:val="23"/>
          <w:szCs w:val="23"/>
          <w:lang w:val="en-US"/>
        </w:rPr>
      </w:pPr>
      <w:r>
        <w:rPr>
          <w:rFonts w:ascii="Arial" w:eastAsia="FrutigerLTPro-Condensed" w:hAnsi="Arial" w:cs="Arial"/>
          <w:b/>
          <w:bCs/>
          <w:sz w:val="23"/>
          <w:szCs w:val="23"/>
          <w:lang w:val="en-US"/>
        </w:rPr>
        <w:t>75</w:t>
      </w:r>
      <w:r w:rsidRPr="008F5EE5">
        <w:rPr>
          <w:rFonts w:ascii="Arial" w:eastAsia="FrutigerLTPro-Condensed" w:hAnsi="Arial" w:cs="Arial"/>
          <w:b/>
          <w:bCs/>
          <w:sz w:val="23"/>
          <w:szCs w:val="23"/>
          <w:lang w:val="en-US"/>
        </w:rPr>
        <w:t xml:space="preserve">. Methylation and Transcriptome Signatures of Monocytes Reveal Novel Pathways Involved in Giant Cell Arteritis Pathogenesis </w:t>
      </w:r>
    </w:p>
    <w:p w:rsidR="000840B3" w:rsidRPr="008F5EE5" w:rsidRDefault="000840B3" w:rsidP="000840B3">
      <w:pPr>
        <w:spacing w:line="276" w:lineRule="auto"/>
        <w:rPr>
          <w:rFonts w:ascii="Arial" w:eastAsia="FrutigerLTPro-Condensed" w:hAnsi="Arial" w:cs="Arial"/>
          <w:b/>
          <w:bCs/>
          <w:sz w:val="23"/>
          <w:szCs w:val="23"/>
          <w:lang w:val="en-US"/>
        </w:rPr>
      </w:pPr>
    </w:p>
    <w:p w:rsidR="000840B3" w:rsidRPr="002E73DB" w:rsidRDefault="000840B3" w:rsidP="000840B3">
      <w:pPr>
        <w:pStyle w:val="AbstractBookAuthors"/>
        <w:spacing w:line="276" w:lineRule="auto"/>
        <w:rPr>
          <w:rFonts w:ascii="Arial" w:hAnsi="Arial" w:cs="Arial"/>
          <w:sz w:val="23"/>
          <w:szCs w:val="23"/>
          <w:vertAlign w:val="superscript"/>
          <w:lang w:val="es-ES"/>
        </w:rPr>
      </w:pPr>
      <w:r w:rsidRPr="002E73DB">
        <w:rPr>
          <w:rStyle w:val="AbstractBookPresentingAuthor"/>
          <w:rFonts w:ascii="Arial" w:hAnsi="Arial" w:cs="Arial"/>
          <w:sz w:val="23"/>
          <w:szCs w:val="23"/>
          <w:lang w:val="es-ES"/>
        </w:rPr>
        <w:t>Elkyn Fabián Estupian Moreno</w:t>
      </w:r>
      <w:r w:rsidRPr="002E73DB">
        <w:rPr>
          <w:rStyle w:val="AbstractBookPresentingAuthor"/>
          <w:rFonts w:ascii="Arial" w:hAnsi="Arial" w:cs="Arial"/>
          <w:sz w:val="23"/>
          <w:szCs w:val="23"/>
          <w:vertAlign w:val="superscript"/>
          <w:lang w:val="es-ES"/>
        </w:rPr>
        <w:t>1</w:t>
      </w:r>
      <w:r w:rsidRPr="002E73DB">
        <w:rPr>
          <w:rFonts w:ascii="Arial" w:hAnsi="Arial" w:cs="Arial"/>
          <w:sz w:val="23"/>
          <w:szCs w:val="23"/>
          <w:lang w:val="es-ES"/>
        </w:rPr>
        <w:t>, Lourdes Ortiz-Fernández</w:t>
      </w:r>
      <w:r w:rsidRPr="002E73DB">
        <w:rPr>
          <w:rFonts w:ascii="Arial" w:hAnsi="Arial" w:cs="Arial"/>
          <w:sz w:val="23"/>
          <w:szCs w:val="23"/>
          <w:vertAlign w:val="superscript"/>
          <w:lang w:val="es-ES"/>
        </w:rPr>
        <w:t>1</w:t>
      </w:r>
      <w:r w:rsidRPr="002E73DB">
        <w:rPr>
          <w:rFonts w:ascii="Arial" w:hAnsi="Arial" w:cs="Arial"/>
          <w:sz w:val="23"/>
          <w:szCs w:val="23"/>
          <w:lang w:val="es-ES"/>
        </w:rPr>
        <w:t>, Tianlu Li</w:t>
      </w:r>
      <w:r w:rsidRPr="002E73DB">
        <w:rPr>
          <w:rFonts w:ascii="Arial" w:hAnsi="Arial" w:cs="Arial"/>
          <w:sz w:val="23"/>
          <w:szCs w:val="23"/>
          <w:vertAlign w:val="superscript"/>
          <w:lang w:val="es-ES"/>
        </w:rPr>
        <w:t>2</w:t>
      </w:r>
      <w:r w:rsidRPr="002E73DB">
        <w:rPr>
          <w:rFonts w:ascii="Arial" w:hAnsi="Arial" w:cs="Arial"/>
          <w:sz w:val="23"/>
          <w:szCs w:val="23"/>
          <w:lang w:val="es-ES"/>
        </w:rPr>
        <w:t>, Laura Ciudad</w:t>
      </w:r>
      <w:r w:rsidRPr="002E73DB">
        <w:rPr>
          <w:rFonts w:ascii="Arial" w:hAnsi="Arial" w:cs="Arial"/>
          <w:sz w:val="23"/>
          <w:szCs w:val="23"/>
          <w:vertAlign w:val="superscript"/>
          <w:lang w:val="es-ES"/>
        </w:rPr>
        <w:t>2</w:t>
      </w:r>
      <w:r w:rsidRPr="002E73DB">
        <w:rPr>
          <w:rFonts w:ascii="Arial" w:hAnsi="Arial" w:cs="Arial"/>
          <w:sz w:val="23"/>
          <w:szCs w:val="23"/>
          <w:lang w:val="es-ES"/>
        </w:rPr>
        <w:t xml:space="preserve">, </w:t>
      </w:r>
      <w:proofErr w:type="gramStart"/>
      <w:r w:rsidRPr="002E73DB">
        <w:rPr>
          <w:rFonts w:ascii="Arial" w:hAnsi="Arial" w:cs="Arial"/>
          <w:sz w:val="23"/>
          <w:szCs w:val="23"/>
          <w:lang w:val="es-ES"/>
        </w:rPr>
        <w:t>Eduardo  Andrés</w:t>
      </w:r>
      <w:proofErr w:type="gramEnd"/>
      <w:r w:rsidRPr="002E73DB">
        <w:rPr>
          <w:rFonts w:ascii="Arial" w:hAnsi="Arial" w:cs="Arial"/>
          <w:sz w:val="23"/>
          <w:szCs w:val="23"/>
          <w:lang w:val="es-ES"/>
        </w:rPr>
        <w:t>-León</w:t>
      </w:r>
      <w:r w:rsidRPr="002E73DB">
        <w:rPr>
          <w:rFonts w:ascii="Arial" w:hAnsi="Arial" w:cs="Arial"/>
          <w:sz w:val="23"/>
          <w:szCs w:val="23"/>
          <w:vertAlign w:val="superscript"/>
          <w:lang w:val="es-ES"/>
        </w:rPr>
        <w:t>1</w:t>
      </w:r>
      <w:r w:rsidRPr="002E73DB">
        <w:rPr>
          <w:rFonts w:ascii="Arial" w:hAnsi="Arial" w:cs="Arial"/>
          <w:sz w:val="23"/>
          <w:szCs w:val="23"/>
          <w:lang w:val="es-ES"/>
        </w:rPr>
        <w:t>, Laura Carmen Terron-Camero</w:t>
      </w:r>
      <w:r w:rsidRPr="002E73DB">
        <w:rPr>
          <w:rFonts w:ascii="Arial" w:hAnsi="Arial" w:cs="Arial"/>
          <w:sz w:val="23"/>
          <w:szCs w:val="23"/>
          <w:vertAlign w:val="superscript"/>
          <w:lang w:val="es-ES"/>
        </w:rPr>
        <w:t>1</w:t>
      </w:r>
      <w:r w:rsidRPr="002E73DB">
        <w:rPr>
          <w:rFonts w:ascii="Arial" w:hAnsi="Arial" w:cs="Arial"/>
          <w:sz w:val="23"/>
          <w:szCs w:val="23"/>
          <w:lang w:val="es-ES"/>
        </w:rPr>
        <w:t>, Sergio Prieto-González</w:t>
      </w:r>
      <w:r w:rsidRPr="002E73DB">
        <w:rPr>
          <w:rFonts w:ascii="Arial" w:hAnsi="Arial" w:cs="Arial"/>
          <w:sz w:val="23"/>
          <w:szCs w:val="23"/>
          <w:vertAlign w:val="superscript"/>
          <w:lang w:val="es-ES"/>
        </w:rPr>
        <w:t>3</w:t>
      </w:r>
      <w:r w:rsidRPr="002E73DB">
        <w:rPr>
          <w:rFonts w:ascii="Arial" w:hAnsi="Arial" w:cs="Arial"/>
          <w:sz w:val="23"/>
          <w:szCs w:val="23"/>
          <w:lang w:val="es-ES"/>
        </w:rPr>
        <w:t>, Georgina Espígol-Frigolé</w:t>
      </w:r>
      <w:r w:rsidRPr="002E73DB">
        <w:rPr>
          <w:rFonts w:ascii="Arial" w:hAnsi="Arial" w:cs="Arial"/>
          <w:sz w:val="23"/>
          <w:szCs w:val="23"/>
          <w:vertAlign w:val="superscript"/>
          <w:lang w:val="es-ES"/>
        </w:rPr>
        <w:t>3</w:t>
      </w:r>
      <w:r w:rsidRPr="002E73DB">
        <w:rPr>
          <w:rFonts w:ascii="Arial" w:hAnsi="Arial" w:cs="Arial"/>
          <w:sz w:val="23"/>
          <w:szCs w:val="23"/>
          <w:lang w:val="es-ES"/>
        </w:rPr>
        <w:t>, José Hernández-Rodríguez</w:t>
      </w:r>
      <w:r w:rsidRPr="002E73DB">
        <w:rPr>
          <w:rFonts w:ascii="Arial" w:hAnsi="Arial" w:cs="Arial"/>
          <w:sz w:val="23"/>
          <w:szCs w:val="23"/>
          <w:vertAlign w:val="superscript"/>
          <w:lang w:val="es-ES"/>
        </w:rPr>
        <w:t>3</w:t>
      </w:r>
      <w:r w:rsidRPr="002E73DB">
        <w:rPr>
          <w:rFonts w:ascii="Arial" w:hAnsi="Arial" w:cs="Arial"/>
          <w:sz w:val="23"/>
          <w:szCs w:val="23"/>
          <w:lang w:val="es-ES"/>
        </w:rPr>
        <w:t>, María C. Cid</w:t>
      </w:r>
      <w:r w:rsidRPr="002E73DB">
        <w:rPr>
          <w:rFonts w:ascii="Arial" w:hAnsi="Arial" w:cs="Arial"/>
          <w:sz w:val="23"/>
          <w:szCs w:val="23"/>
          <w:vertAlign w:val="superscript"/>
          <w:lang w:val="es-ES"/>
        </w:rPr>
        <w:t>3</w:t>
      </w:r>
      <w:r w:rsidRPr="002E73DB">
        <w:rPr>
          <w:rFonts w:ascii="Arial" w:hAnsi="Arial" w:cs="Arial"/>
          <w:sz w:val="23"/>
          <w:szCs w:val="23"/>
          <w:lang w:val="es-ES"/>
        </w:rPr>
        <w:t>, Ana Márquez</w:t>
      </w:r>
      <w:r w:rsidRPr="002E73DB">
        <w:rPr>
          <w:rFonts w:ascii="Arial" w:hAnsi="Arial" w:cs="Arial"/>
          <w:sz w:val="23"/>
          <w:szCs w:val="23"/>
          <w:vertAlign w:val="superscript"/>
          <w:lang w:val="es-ES"/>
        </w:rPr>
        <w:t>1,4</w:t>
      </w:r>
      <w:r w:rsidRPr="002E73DB">
        <w:rPr>
          <w:rFonts w:ascii="Arial" w:hAnsi="Arial" w:cs="Arial"/>
          <w:sz w:val="23"/>
          <w:szCs w:val="23"/>
          <w:lang w:val="es-ES"/>
        </w:rPr>
        <w:t>, Esteban  Ballestar</w:t>
      </w:r>
      <w:r w:rsidRPr="002E73DB">
        <w:rPr>
          <w:rFonts w:ascii="Arial" w:hAnsi="Arial" w:cs="Arial"/>
          <w:sz w:val="23"/>
          <w:szCs w:val="23"/>
          <w:vertAlign w:val="superscript"/>
          <w:lang w:val="es-ES"/>
        </w:rPr>
        <w:t>2</w:t>
      </w:r>
      <w:r w:rsidRPr="002E73DB">
        <w:rPr>
          <w:rFonts w:ascii="Arial" w:hAnsi="Arial" w:cs="Arial"/>
          <w:sz w:val="23"/>
          <w:szCs w:val="23"/>
          <w:lang w:val="es-ES"/>
        </w:rPr>
        <w:t>, Javier  Martin</w:t>
      </w:r>
      <w:r w:rsidRPr="002E73DB">
        <w:rPr>
          <w:rFonts w:ascii="Arial" w:hAnsi="Arial" w:cs="Arial"/>
          <w:sz w:val="23"/>
          <w:szCs w:val="23"/>
          <w:vertAlign w:val="superscript"/>
          <w:lang w:val="es-ES"/>
        </w:rPr>
        <w:t>1</w:t>
      </w:r>
    </w:p>
    <w:p w:rsidR="000840B3" w:rsidRPr="002E73DB" w:rsidRDefault="000840B3" w:rsidP="000840B3">
      <w:pPr>
        <w:pStyle w:val="AbstractBookAffiliations"/>
        <w:spacing w:line="276" w:lineRule="auto"/>
        <w:rPr>
          <w:rFonts w:ascii="Arial" w:eastAsia="FrutigerLTPro-Condensed" w:hAnsi="Arial" w:cs="Arial"/>
          <w:sz w:val="23"/>
          <w:szCs w:val="23"/>
          <w:lang w:val="es-ES"/>
        </w:rPr>
      </w:pPr>
      <w:r w:rsidRPr="002E73DB">
        <w:rPr>
          <w:rFonts w:ascii="Arial" w:eastAsia="FrutigerLTPro-Condensed" w:hAnsi="Arial" w:cs="Arial"/>
          <w:sz w:val="23"/>
          <w:szCs w:val="23"/>
          <w:vertAlign w:val="superscript"/>
          <w:lang w:val="es-ES"/>
        </w:rPr>
        <w:t>1</w:t>
      </w:r>
      <w:r w:rsidRPr="002E73DB">
        <w:rPr>
          <w:rFonts w:ascii="Arial" w:eastAsia="FrutigerLTPro-Condensed" w:hAnsi="Arial" w:cs="Arial"/>
          <w:sz w:val="23"/>
          <w:szCs w:val="23"/>
          <w:lang w:val="es-ES"/>
        </w:rPr>
        <w:t xml:space="preserve">Institute of Parasitology and Biomedicine López-Neyra (IPBLN), Spanish National Research Council (CSIC), Granada, Spain, </w:t>
      </w:r>
      <w:r w:rsidRPr="002E73DB">
        <w:rPr>
          <w:rFonts w:ascii="Arial" w:eastAsia="FrutigerLTPro-Condensed" w:hAnsi="Arial" w:cs="Arial"/>
          <w:sz w:val="23"/>
          <w:szCs w:val="23"/>
          <w:vertAlign w:val="superscript"/>
          <w:lang w:val="es-ES"/>
        </w:rPr>
        <w:t>2</w:t>
      </w:r>
      <w:r w:rsidRPr="002E73DB">
        <w:rPr>
          <w:rFonts w:ascii="Arial" w:eastAsia="FrutigerLTPro-Condensed" w:hAnsi="Arial" w:cs="Arial"/>
          <w:sz w:val="23"/>
          <w:szCs w:val="23"/>
          <w:lang w:val="es-ES"/>
        </w:rPr>
        <w:t xml:space="preserve">Epigenetics and Immune Disease Group, Josep Carreras Research Institute (IJC), Badalona, Barcelona, Spain, </w:t>
      </w:r>
      <w:r w:rsidRPr="002E73DB">
        <w:rPr>
          <w:rFonts w:ascii="Arial" w:eastAsia="FrutigerLTPro-Condensed" w:hAnsi="Arial" w:cs="Arial"/>
          <w:sz w:val="23"/>
          <w:szCs w:val="23"/>
          <w:vertAlign w:val="superscript"/>
          <w:lang w:val="es-ES"/>
        </w:rPr>
        <w:t>3</w:t>
      </w:r>
      <w:r w:rsidRPr="002E73DB">
        <w:rPr>
          <w:rFonts w:ascii="Arial" w:eastAsia="FrutigerLTPro-Condensed" w:hAnsi="Arial" w:cs="Arial"/>
          <w:sz w:val="23"/>
          <w:szCs w:val="23"/>
          <w:lang w:val="es-ES"/>
        </w:rPr>
        <w:t xml:space="preserve">Department of Autoimmune Diseases, Hospital Clinic, IDIBAPS, University of Barcelona, Barcelona, Spain, </w:t>
      </w:r>
      <w:r w:rsidRPr="002E73DB">
        <w:rPr>
          <w:rFonts w:ascii="Arial" w:eastAsia="FrutigerLTPro-Condensed" w:hAnsi="Arial" w:cs="Arial"/>
          <w:sz w:val="23"/>
          <w:szCs w:val="23"/>
          <w:vertAlign w:val="superscript"/>
          <w:lang w:val="es-ES"/>
        </w:rPr>
        <w:t>4</w:t>
      </w:r>
      <w:r w:rsidRPr="002E73DB">
        <w:rPr>
          <w:rFonts w:ascii="Arial" w:eastAsia="FrutigerLTPro-Condensed" w:hAnsi="Arial" w:cs="Arial"/>
          <w:sz w:val="23"/>
          <w:szCs w:val="23"/>
          <w:lang w:val="es-ES"/>
        </w:rPr>
        <w:t xml:space="preserve">Unidad de Enfermedades Autoinmunes Sistémicas, Hospital Clínico San Cecilio, Instituto de Investigación Biosanitaria de Granada </w:t>
      </w:r>
      <w:proofErr w:type="gramStart"/>
      <w:r w:rsidRPr="002E73DB">
        <w:rPr>
          <w:rFonts w:ascii="Arial" w:eastAsia="FrutigerLTPro-Condensed" w:hAnsi="Arial" w:cs="Arial"/>
          <w:sz w:val="23"/>
          <w:szCs w:val="23"/>
          <w:lang w:val="es-ES"/>
        </w:rPr>
        <w:t>ibs.GRANADA</w:t>
      </w:r>
      <w:proofErr w:type="gramEnd"/>
      <w:r w:rsidRPr="002E73DB">
        <w:rPr>
          <w:rFonts w:ascii="Arial" w:eastAsia="FrutigerLTPro-Condensed" w:hAnsi="Arial" w:cs="Arial"/>
          <w:sz w:val="23"/>
          <w:szCs w:val="23"/>
          <w:lang w:val="es-ES"/>
        </w:rPr>
        <w:t>, Granada, Spain</w:t>
      </w:r>
    </w:p>
    <w:p w:rsidR="000840B3" w:rsidRPr="002E73DB" w:rsidRDefault="000840B3" w:rsidP="000840B3">
      <w:pPr>
        <w:pStyle w:val="AbstractBookBaseParagraph"/>
        <w:spacing w:line="276" w:lineRule="auto"/>
        <w:rPr>
          <w:rFonts w:ascii="Arial" w:eastAsia="FrutigerLTPro-Condensed" w:hAnsi="Arial" w:cs="Arial"/>
          <w:sz w:val="23"/>
          <w:szCs w:val="23"/>
          <w:lang w:val="es-ES"/>
        </w:rPr>
      </w:pPr>
    </w:p>
    <w:p w:rsidR="000840B3" w:rsidRPr="00A3080E" w:rsidRDefault="000840B3" w:rsidP="000840B3">
      <w:pPr>
        <w:shd w:val="clear" w:color="auto" w:fill="FFFFFF"/>
        <w:spacing w:line="276" w:lineRule="auto"/>
        <w:rPr>
          <w:rFonts w:ascii="Arial" w:eastAsia="Arial" w:hAnsi="Arial" w:cs="Arial"/>
          <w:sz w:val="23"/>
          <w:szCs w:val="23"/>
        </w:rPr>
      </w:pPr>
      <w:r w:rsidRPr="00087EC9">
        <w:rPr>
          <w:rFonts w:ascii="Arial" w:eastAsia="Arial" w:hAnsi="Arial" w:cs="Arial"/>
          <w:b/>
          <w:sz w:val="23"/>
          <w:szCs w:val="23"/>
        </w:rPr>
        <w:t>Background:</w:t>
      </w:r>
      <w:r w:rsidRPr="00A3080E">
        <w:rPr>
          <w:rFonts w:ascii="Arial" w:eastAsia="Arial" w:hAnsi="Arial" w:cs="Arial"/>
          <w:sz w:val="23"/>
          <w:szCs w:val="23"/>
        </w:rPr>
        <w:t xml:space="preserve"> Giant cell arteritis (GCA) is an immune-mediated large-vessel vasculitis with a complex etiology mediated by the interplay between both genetic and epigenetic factors. Several immune cells have been linked to its pathophysiology, including CD14+ monocytes that are crucial in the systemic and local inflammatory processes. Considering that the integration of -omics data has proven to be effective in yielding insight into our understanding of the molecular bases of complex diseases, we aimed to perform an integrative analysis of DNA methylation and gene expression profiling of CD14+ monocytes in GCA.</w:t>
      </w:r>
    </w:p>
    <w:p w:rsidR="000840B3" w:rsidRPr="00A3080E" w:rsidRDefault="000840B3" w:rsidP="000840B3">
      <w:pPr>
        <w:shd w:val="clear" w:color="auto" w:fill="FFFFFF"/>
        <w:spacing w:line="276" w:lineRule="auto"/>
        <w:rPr>
          <w:rFonts w:ascii="Arial" w:eastAsia="Arial" w:hAnsi="Arial" w:cs="Arial"/>
          <w:sz w:val="23"/>
          <w:szCs w:val="23"/>
        </w:rPr>
      </w:pPr>
    </w:p>
    <w:p w:rsidR="000840B3" w:rsidRPr="00A3080E" w:rsidRDefault="000840B3" w:rsidP="000840B3">
      <w:pPr>
        <w:shd w:val="clear" w:color="auto" w:fill="FFFFFF"/>
        <w:spacing w:line="276" w:lineRule="auto"/>
        <w:rPr>
          <w:rFonts w:ascii="Arial" w:eastAsia="Arial" w:hAnsi="Arial" w:cs="Arial"/>
          <w:sz w:val="23"/>
          <w:szCs w:val="23"/>
        </w:rPr>
      </w:pPr>
      <w:r w:rsidRPr="00087EC9">
        <w:rPr>
          <w:rFonts w:ascii="Arial" w:eastAsia="Arial" w:hAnsi="Arial" w:cs="Arial"/>
          <w:b/>
          <w:sz w:val="23"/>
          <w:szCs w:val="23"/>
        </w:rPr>
        <w:t>Methods:</w:t>
      </w:r>
      <w:r w:rsidRPr="00A3080E">
        <w:rPr>
          <w:rFonts w:ascii="Arial" w:eastAsia="Arial" w:hAnsi="Arial" w:cs="Arial"/>
          <w:sz w:val="23"/>
          <w:szCs w:val="23"/>
        </w:rPr>
        <w:t xml:space="preserve"> CD14+ monocytes were positively sorted by flow cytometry from whole blood of 31 healthy controls and 82 GCA patients within three different clinical status (active, in remission with glucocorticoid (GC) treatment, and in remission without treatment). Subsequently, DNA methylation profiling with the Illumina Infinium Methylation EPIC array and RNA-sequencing were carried out for an epigenome- and transcriptome-wide association study, respectively. MatrixEQTL R package was used to determine the correlation among DNA methylation changes and gene expression alterations.</w:t>
      </w:r>
    </w:p>
    <w:p w:rsidR="000840B3" w:rsidRPr="00A3080E" w:rsidRDefault="000840B3" w:rsidP="000840B3">
      <w:pPr>
        <w:shd w:val="clear" w:color="auto" w:fill="FFFFFF"/>
        <w:spacing w:line="276" w:lineRule="auto"/>
        <w:rPr>
          <w:rFonts w:ascii="Arial" w:eastAsia="Arial" w:hAnsi="Arial" w:cs="Arial"/>
          <w:sz w:val="23"/>
          <w:szCs w:val="23"/>
        </w:rPr>
      </w:pPr>
    </w:p>
    <w:p w:rsidR="000840B3" w:rsidRPr="00A3080E" w:rsidRDefault="000840B3" w:rsidP="000840B3">
      <w:pPr>
        <w:shd w:val="clear" w:color="auto" w:fill="FFFFFF"/>
        <w:spacing w:line="276" w:lineRule="auto"/>
        <w:rPr>
          <w:rFonts w:ascii="Arial" w:eastAsia="Arial" w:hAnsi="Arial" w:cs="Arial"/>
          <w:sz w:val="23"/>
          <w:szCs w:val="23"/>
        </w:rPr>
      </w:pPr>
      <w:r w:rsidRPr="00087EC9">
        <w:rPr>
          <w:rFonts w:ascii="Arial" w:eastAsia="Arial" w:hAnsi="Arial" w:cs="Arial"/>
          <w:b/>
          <w:sz w:val="23"/>
          <w:szCs w:val="23"/>
        </w:rPr>
        <w:t>Results:</w:t>
      </w:r>
      <w:r w:rsidRPr="00A3080E">
        <w:rPr>
          <w:rFonts w:ascii="Arial" w:eastAsia="Arial" w:hAnsi="Arial" w:cs="Arial"/>
          <w:sz w:val="23"/>
          <w:szCs w:val="23"/>
        </w:rPr>
        <w:t xml:space="preserve"> The results revealed a profound dysregulation in both the methylome and gene expression landscape of CD14+ monocytes of GCA patients. In particular, monocytes from patients with active disease showed a more pro-inflammatory phenotype compared to controls and patients in remission. As examples, response to interleukin-6 (IL-6) and IL-1 as well as IL-11, that emerged as a new cytokine pathway implicated in GCA, were dysregulated in monocytes from active patients. Furthermore, monocytes from patients in remission with treatment presented an anti-inflammatory phenotype when comparing with controls and patients in remission without treatment, with overexpression of glucocorticoid receptor-target genes and downregulation of genes involved in crucial pathways of the inflammatory process. Finally, the integrative analysis allowed identifying new genes with a potential role in GCA pathogenesis, such as </w:t>
      </w:r>
      <w:r w:rsidRPr="00A3080E">
        <w:rPr>
          <w:rFonts w:ascii="Arial" w:eastAsia="Arial" w:hAnsi="Arial" w:cs="Arial"/>
          <w:i/>
          <w:sz w:val="23"/>
          <w:szCs w:val="23"/>
        </w:rPr>
        <w:t>ITGA7</w:t>
      </w:r>
      <w:r w:rsidRPr="00A3080E">
        <w:rPr>
          <w:rFonts w:ascii="Arial" w:eastAsia="Arial" w:hAnsi="Arial" w:cs="Arial"/>
          <w:sz w:val="23"/>
          <w:szCs w:val="23"/>
        </w:rPr>
        <w:t xml:space="preserve"> and </w:t>
      </w:r>
      <w:r w:rsidRPr="00A3080E">
        <w:rPr>
          <w:rFonts w:ascii="Arial" w:eastAsia="Arial" w:hAnsi="Arial" w:cs="Arial"/>
          <w:i/>
          <w:sz w:val="23"/>
          <w:szCs w:val="23"/>
        </w:rPr>
        <w:t>CD63</w:t>
      </w:r>
      <w:r w:rsidRPr="00A3080E">
        <w:rPr>
          <w:rFonts w:ascii="Arial" w:eastAsia="Arial" w:hAnsi="Arial" w:cs="Arial"/>
          <w:sz w:val="23"/>
          <w:szCs w:val="23"/>
        </w:rPr>
        <w:t xml:space="preserve">, as well as genes mediating the molecular response to GC in GCA, including </w:t>
      </w:r>
      <w:r w:rsidRPr="00A3080E">
        <w:rPr>
          <w:rFonts w:ascii="Arial" w:eastAsia="Arial" w:hAnsi="Arial" w:cs="Arial"/>
          <w:i/>
          <w:sz w:val="23"/>
          <w:szCs w:val="23"/>
        </w:rPr>
        <w:t>FKBP5</w:t>
      </w:r>
      <w:r w:rsidRPr="00A3080E">
        <w:rPr>
          <w:rFonts w:ascii="Arial" w:eastAsia="Arial" w:hAnsi="Arial" w:cs="Arial"/>
          <w:sz w:val="23"/>
          <w:szCs w:val="23"/>
        </w:rPr>
        <w:t xml:space="preserve">, </w:t>
      </w:r>
      <w:r w:rsidRPr="00A3080E">
        <w:rPr>
          <w:rFonts w:ascii="Arial" w:eastAsia="Arial" w:hAnsi="Arial" w:cs="Arial"/>
          <w:i/>
          <w:sz w:val="23"/>
          <w:szCs w:val="23"/>
        </w:rPr>
        <w:t>ETS2</w:t>
      </w:r>
      <w:r w:rsidRPr="00A3080E">
        <w:rPr>
          <w:rFonts w:ascii="Arial" w:eastAsia="Arial" w:hAnsi="Arial" w:cs="Arial"/>
          <w:sz w:val="23"/>
          <w:szCs w:val="23"/>
        </w:rPr>
        <w:t xml:space="preserve">, </w:t>
      </w:r>
      <w:r w:rsidRPr="00A3080E">
        <w:rPr>
          <w:rFonts w:ascii="Arial" w:eastAsia="Arial" w:hAnsi="Arial" w:cs="Arial"/>
          <w:i/>
          <w:sz w:val="23"/>
          <w:szCs w:val="23"/>
        </w:rPr>
        <w:t>ZBTB16</w:t>
      </w:r>
      <w:r w:rsidRPr="00A3080E">
        <w:rPr>
          <w:rFonts w:ascii="Arial" w:eastAsia="Arial" w:hAnsi="Arial" w:cs="Arial"/>
          <w:sz w:val="23"/>
          <w:szCs w:val="23"/>
        </w:rPr>
        <w:t>,</w:t>
      </w:r>
      <w:r w:rsidRPr="00A3080E">
        <w:rPr>
          <w:rFonts w:ascii="Arial" w:eastAsia="Arial" w:hAnsi="Arial" w:cs="Arial"/>
          <w:i/>
          <w:sz w:val="23"/>
          <w:szCs w:val="23"/>
        </w:rPr>
        <w:t xml:space="preserve"> </w:t>
      </w:r>
      <w:r w:rsidRPr="00A3080E">
        <w:rPr>
          <w:rFonts w:ascii="Arial" w:eastAsia="Arial" w:hAnsi="Arial" w:cs="Arial"/>
          <w:sz w:val="23"/>
          <w:szCs w:val="23"/>
        </w:rPr>
        <w:t xml:space="preserve">and </w:t>
      </w:r>
      <w:r w:rsidRPr="00A3080E">
        <w:rPr>
          <w:rFonts w:ascii="Arial" w:eastAsia="Arial" w:hAnsi="Arial" w:cs="Arial"/>
          <w:i/>
          <w:sz w:val="23"/>
          <w:szCs w:val="23"/>
        </w:rPr>
        <w:t>ADAMTS2</w:t>
      </w:r>
      <w:r w:rsidRPr="00A3080E">
        <w:rPr>
          <w:rFonts w:ascii="Arial" w:eastAsia="Arial" w:hAnsi="Arial" w:cs="Arial"/>
          <w:sz w:val="23"/>
          <w:szCs w:val="23"/>
        </w:rPr>
        <w:t>.</w:t>
      </w:r>
    </w:p>
    <w:p w:rsidR="000840B3" w:rsidRPr="00A3080E" w:rsidRDefault="000840B3" w:rsidP="000840B3">
      <w:pPr>
        <w:shd w:val="clear" w:color="auto" w:fill="FFFFFF"/>
        <w:spacing w:line="276" w:lineRule="auto"/>
        <w:rPr>
          <w:rFonts w:ascii="Arial" w:eastAsia="Arial" w:hAnsi="Arial" w:cs="Arial"/>
          <w:sz w:val="23"/>
          <w:szCs w:val="23"/>
        </w:rPr>
      </w:pPr>
    </w:p>
    <w:p w:rsidR="000840B3" w:rsidRPr="00A3080E" w:rsidRDefault="000840B3" w:rsidP="000840B3">
      <w:pPr>
        <w:shd w:val="clear" w:color="auto" w:fill="FFFFFF"/>
        <w:spacing w:line="276" w:lineRule="auto"/>
        <w:rPr>
          <w:rFonts w:ascii="Arial" w:eastAsia="Arial" w:hAnsi="Arial" w:cs="Arial"/>
          <w:sz w:val="23"/>
          <w:szCs w:val="23"/>
        </w:rPr>
      </w:pPr>
      <w:r w:rsidRPr="00087EC9">
        <w:rPr>
          <w:rFonts w:ascii="Arial" w:eastAsia="Arial" w:hAnsi="Arial" w:cs="Arial"/>
          <w:b/>
          <w:sz w:val="23"/>
          <w:szCs w:val="23"/>
        </w:rPr>
        <w:lastRenderedPageBreak/>
        <w:t>Conclusions:</w:t>
      </w:r>
      <w:r w:rsidRPr="00A3080E">
        <w:rPr>
          <w:rFonts w:ascii="Arial" w:eastAsia="Arial" w:hAnsi="Arial" w:cs="Arial"/>
          <w:sz w:val="23"/>
          <w:szCs w:val="23"/>
        </w:rPr>
        <w:t xml:space="preserve"> Overall, the first analysis of the methylation and transcriptomic profiles of monocytes from GCA patients has provided evidence of genes and pathways that contribute to the pathogenic role of this cell type in GCA as well as to the molecular response to GC treatment.</w:t>
      </w:r>
    </w:p>
    <w:p w:rsidR="000840B3" w:rsidRPr="00A3080E" w:rsidRDefault="000840B3" w:rsidP="000840B3">
      <w:pPr>
        <w:spacing w:before="240" w:after="240" w:line="276" w:lineRule="auto"/>
        <w:rPr>
          <w:rFonts w:ascii="Arial" w:hAnsi="Arial" w:cs="Arial"/>
          <w:sz w:val="23"/>
          <w:szCs w:val="23"/>
        </w:rPr>
      </w:pPr>
      <w:r w:rsidRPr="00087EC9">
        <w:rPr>
          <w:rFonts w:ascii="Arial" w:eastAsia="Arial" w:hAnsi="Arial" w:cs="Arial"/>
          <w:b/>
          <w:sz w:val="23"/>
          <w:szCs w:val="23"/>
        </w:rPr>
        <w:t>Disclosures:</w:t>
      </w:r>
      <w:r w:rsidRPr="00A3080E">
        <w:rPr>
          <w:rFonts w:ascii="Arial" w:eastAsia="Arial" w:hAnsi="Arial" w:cs="Arial"/>
          <w:sz w:val="23"/>
          <w:szCs w:val="23"/>
        </w:rPr>
        <w:t xml:space="preserve"> The authors declare no conflicts of interest. This work has been performed as part of the HELICAL Innovative Training Network, a European Commission funded project under the Horizon 2020 research and innovation programme under the Marie Skłodowska-Curie grant agreement No. 813545.</w:t>
      </w:r>
    </w:p>
    <w:p w:rsidR="00696CAB" w:rsidRDefault="000840B3">
      <w:bookmarkStart w:id="0" w:name="_GoBack"/>
      <w:bookmarkEnd w:id="0"/>
    </w:p>
    <w:sectPr w:rsidR="00696CAB" w:rsidSect="00B7712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LTPro-Condensed">
    <w:panose1 w:val="020B06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0B3"/>
    <w:rsid w:val="00001C3B"/>
    <w:rsid w:val="00027A3D"/>
    <w:rsid w:val="00063A19"/>
    <w:rsid w:val="0007271F"/>
    <w:rsid w:val="00076532"/>
    <w:rsid w:val="000840B3"/>
    <w:rsid w:val="000921FC"/>
    <w:rsid w:val="000C5548"/>
    <w:rsid w:val="000D7CE2"/>
    <w:rsid w:val="0010162B"/>
    <w:rsid w:val="00107CCF"/>
    <w:rsid w:val="0014060E"/>
    <w:rsid w:val="0014487E"/>
    <w:rsid w:val="00145F3E"/>
    <w:rsid w:val="00170EAC"/>
    <w:rsid w:val="0018650F"/>
    <w:rsid w:val="001A597D"/>
    <w:rsid w:val="001B6ED8"/>
    <w:rsid w:val="001D7C49"/>
    <w:rsid w:val="001E05D3"/>
    <w:rsid w:val="00207285"/>
    <w:rsid w:val="0021069C"/>
    <w:rsid w:val="0021092D"/>
    <w:rsid w:val="0021790C"/>
    <w:rsid w:val="00217EF4"/>
    <w:rsid w:val="002349C6"/>
    <w:rsid w:val="00267F94"/>
    <w:rsid w:val="0028199E"/>
    <w:rsid w:val="00293466"/>
    <w:rsid w:val="002A4E15"/>
    <w:rsid w:val="002A63DA"/>
    <w:rsid w:val="002B1469"/>
    <w:rsid w:val="002B7C3E"/>
    <w:rsid w:val="002D0010"/>
    <w:rsid w:val="002D2DC1"/>
    <w:rsid w:val="002E1DDB"/>
    <w:rsid w:val="0030379F"/>
    <w:rsid w:val="00312D6B"/>
    <w:rsid w:val="00320C43"/>
    <w:rsid w:val="00324D36"/>
    <w:rsid w:val="00367C94"/>
    <w:rsid w:val="00373665"/>
    <w:rsid w:val="0037791B"/>
    <w:rsid w:val="00377AD1"/>
    <w:rsid w:val="00386A35"/>
    <w:rsid w:val="003C2F7D"/>
    <w:rsid w:val="003E20F0"/>
    <w:rsid w:val="003E6134"/>
    <w:rsid w:val="00420255"/>
    <w:rsid w:val="004263B3"/>
    <w:rsid w:val="00436C49"/>
    <w:rsid w:val="00441518"/>
    <w:rsid w:val="00441CB4"/>
    <w:rsid w:val="00485EE1"/>
    <w:rsid w:val="004A68B1"/>
    <w:rsid w:val="004B1AD9"/>
    <w:rsid w:val="004F104F"/>
    <w:rsid w:val="004F2DE1"/>
    <w:rsid w:val="004F56AB"/>
    <w:rsid w:val="00556415"/>
    <w:rsid w:val="00570AA4"/>
    <w:rsid w:val="005811D8"/>
    <w:rsid w:val="00581C9F"/>
    <w:rsid w:val="005879BC"/>
    <w:rsid w:val="005A43E1"/>
    <w:rsid w:val="005C383A"/>
    <w:rsid w:val="005E64A9"/>
    <w:rsid w:val="005F2D00"/>
    <w:rsid w:val="006123B1"/>
    <w:rsid w:val="006257FE"/>
    <w:rsid w:val="0067592F"/>
    <w:rsid w:val="0069375F"/>
    <w:rsid w:val="006D372B"/>
    <w:rsid w:val="006E4B50"/>
    <w:rsid w:val="006F5A85"/>
    <w:rsid w:val="006F5B73"/>
    <w:rsid w:val="00741A34"/>
    <w:rsid w:val="00745B67"/>
    <w:rsid w:val="00763DD9"/>
    <w:rsid w:val="00766527"/>
    <w:rsid w:val="00783C66"/>
    <w:rsid w:val="00796201"/>
    <w:rsid w:val="00797FDD"/>
    <w:rsid w:val="007A6E2D"/>
    <w:rsid w:val="007D182E"/>
    <w:rsid w:val="008174AB"/>
    <w:rsid w:val="00832FE8"/>
    <w:rsid w:val="008361ED"/>
    <w:rsid w:val="00840D43"/>
    <w:rsid w:val="00842D05"/>
    <w:rsid w:val="00870064"/>
    <w:rsid w:val="00874EE0"/>
    <w:rsid w:val="0087546A"/>
    <w:rsid w:val="00881C85"/>
    <w:rsid w:val="00896D66"/>
    <w:rsid w:val="008D1557"/>
    <w:rsid w:val="008D520F"/>
    <w:rsid w:val="0091747E"/>
    <w:rsid w:val="00922B3D"/>
    <w:rsid w:val="00956EB9"/>
    <w:rsid w:val="00962AD9"/>
    <w:rsid w:val="00977D35"/>
    <w:rsid w:val="009A5838"/>
    <w:rsid w:val="009C2C51"/>
    <w:rsid w:val="009C5532"/>
    <w:rsid w:val="009C6525"/>
    <w:rsid w:val="009C74C5"/>
    <w:rsid w:val="009E612E"/>
    <w:rsid w:val="009F30D6"/>
    <w:rsid w:val="00A01E0A"/>
    <w:rsid w:val="00A17A87"/>
    <w:rsid w:val="00A304F4"/>
    <w:rsid w:val="00A338D6"/>
    <w:rsid w:val="00A34248"/>
    <w:rsid w:val="00A63CD9"/>
    <w:rsid w:val="00A9014F"/>
    <w:rsid w:val="00A964C5"/>
    <w:rsid w:val="00AA7EE3"/>
    <w:rsid w:val="00AB227C"/>
    <w:rsid w:val="00AB2C9B"/>
    <w:rsid w:val="00AB7F46"/>
    <w:rsid w:val="00AD0BA8"/>
    <w:rsid w:val="00AD47E1"/>
    <w:rsid w:val="00AE3601"/>
    <w:rsid w:val="00AF633B"/>
    <w:rsid w:val="00AF6D71"/>
    <w:rsid w:val="00B01483"/>
    <w:rsid w:val="00B1531D"/>
    <w:rsid w:val="00B22C24"/>
    <w:rsid w:val="00B45382"/>
    <w:rsid w:val="00B537E0"/>
    <w:rsid w:val="00B65875"/>
    <w:rsid w:val="00B7712C"/>
    <w:rsid w:val="00B85063"/>
    <w:rsid w:val="00B90C42"/>
    <w:rsid w:val="00BB6E58"/>
    <w:rsid w:val="00BC56CD"/>
    <w:rsid w:val="00BF3FA9"/>
    <w:rsid w:val="00C07613"/>
    <w:rsid w:val="00C10A3B"/>
    <w:rsid w:val="00C14533"/>
    <w:rsid w:val="00C17A68"/>
    <w:rsid w:val="00C26A67"/>
    <w:rsid w:val="00C355FE"/>
    <w:rsid w:val="00C37D3A"/>
    <w:rsid w:val="00C53F2F"/>
    <w:rsid w:val="00C603C0"/>
    <w:rsid w:val="00C9240E"/>
    <w:rsid w:val="00C95193"/>
    <w:rsid w:val="00CB63F0"/>
    <w:rsid w:val="00CD4A55"/>
    <w:rsid w:val="00CD6E0C"/>
    <w:rsid w:val="00D1776A"/>
    <w:rsid w:val="00D370D0"/>
    <w:rsid w:val="00D37FDD"/>
    <w:rsid w:val="00D45DC1"/>
    <w:rsid w:val="00D55F2C"/>
    <w:rsid w:val="00D61DB1"/>
    <w:rsid w:val="00D80DC0"/>
    <w:rsid w:val="00D84FAF"/>
    <w:rsid w:val="00DB270C"/>
    <w:rsid w:val="00DC7EC9"/>
    <w:rsid w:val="00DE7681"/>
    <w:rsid w:val="00DF4B05"/>
    <w:rsid w:val="00E128D8"/>
    <w:rsid w:val="00E368EC"/>
    <w:rsid w:val="00E4087B"/>
    <w:rsid w:val="00E70B11"/>
    <w:rsid w:val="00E73BAB"/>
    <w:rsid w:val="00EB7F5C"/>
    <w:rsid w:val="00EC1BB6"/>
    <w:rsid w:val="00EC52DB"/>
    <w:rsid w:val="00EF7AE4"/>
    <w:rsid w:val="00F17A29"/>
    <w:rsid w:val="00F35950"/>
    <w:rsid w:val="00F83EA7"/>
    <w:rsid w:val="00F87EFD"/>
    <w:rsid w:val="00F90D62"/>
    <w:rsid w:val="00FA1EE5"/>
    <w:rsid w:val="00FF2B9D"/>
    <w:rsid w:val="00FF6C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BE6DBB-2D71-D84E-A5E5-51BDA9FFA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40B3"/>
    <w:rPr>
      <w:rFonts w:eastAsiaTheme="minorEastAsia"/>
      <w:sz w:val="22"/>
      <w:szCs w:val="22"/>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BookBaseParagraph">
    <w:name w:val="Abstract Book Base Paragraph"/>
    <w:basedOn w:val="Normal"/>
    <w:rsid w:val="000840B3"/>
  </w:style>
  <w:style w:type="paragraph" w:customStyle="1" w:styleId="AbstractBookAuthors">
    <w:name w:val="Abstract Book Authors"/>
    <w:basedOn w:val="AbstractBookBaseParagraph"/>
    <w:rsid w:val="000840B3"/>
    <w:rPr>
      <w:rFonts w:ascii="Calibri Light" w:hAnsi="Calibri Light"/>
    </w:rPr>
  </w:style>
  <w:style w:type="paragraph" w:customStyle="1" w:styleId="AbstractBookAffiliations">
    <w:name w:val="Abstract Book Affiliations"/>
    <w:basedOn w:val="AbstractBookBaseParagraph"/>
    <w:rsid w:val="000840B3"/>
    <w:pPr>
      <w:spacing w:after="144"/>
    </w:pPr>
    <w:rPr>
      <w:rFonts w:ascii="Calibri Light" w:hAnsi="Calibri Light"/>
      <w:i/>
      <w:sz w:val="20"/>
    </w:rPr>
  </w:style>
  <w:style w:type="character" w:customStyle="1" w:styleId="AbstractBookPresentingAuthor">
    <w:name w:val="Abstract Book Presenting Author"/>
    <w:basedOn w:val="DefaultParagraphFont"/>
    <w:rsid w:val="000840B3"/>
    <w:rPr>
      <w:rFonts w:ascii="Calibri Light" w:hAnsi="Calibri Light"/>
      <w:b/>
      <w:vanish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3168</Characters>
  <Application>Microsoft Office Word</Application>
  <DocSecurity>0</DocSecurity>
  <Lines>26</Lines>
  <Paragraphs>7</Paragraphs>
  <ScaleCrop>false</ScaleCrop>
  <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Deirdre O'Connor</dc:creator>
  <cp:keywords/>
  <dc:description/>
  <cp:lastModifiedBy>Deirdre O'Connor</cp:lastModifiedBy>
  <cp:revision>1</cp:revision>
  <dcterms:created xsi:type="dcterms:W3CDTF">2022-03-29T12:55:00Z</dcterms:created>
  <dcterms:modified xsi:type="dcterms:W3CDTF">2022-03-29T13:08:00Z</dcterms:modified>
</cp:coreProperties>
</file>