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D10475" w14:textId="77777777" w:rsidR="00085FA2" w:rsidRDefault="00B0710D" w:rsidP="003A468C">
      <w:pPr>
        <w:jc w:val="center"/>
        <w:rPr>
          <w:noProof/>
          <w:sz w:val="60"/>
          <w:szCs w:val="60"/>
          <w:lang w:val="en-US"/>
        </w:rPr>
      </w:pPr>
      <w:r w:rsidRPr="00085FA2">
        <w:rPr>
          <w:noProof/>
          <w:sz w:val="60"/>
          <w:szCs w:val="60"/>
          <w:lang w:val="en-US"/>
        </w:rPr>
        <w:t>Correlates of Protection Against</w:t>
      </w:r>
    </w:p>
    <w:p w14:paraId="4BB1A591" w14:textId="36D38B6D" w:rsidR="00085FA2" w:rsidRDefault="00B0710D" w:rsidP="003A468C">
      <w:pPr>
        <w:jc w:val="center"/>
        <w:rPr>
          <w:noProof/>
          <w:sz w:val="60"/>
          <w:szCs w:val="60"/>
          <w:lang w:val="en-US"/>
        </w:rPr>
      </w:pPr>
      <w:r w:rsidRPr="00085FA2">
        <w:rPr>
          <w:noProof/>
          <w:sz w:val="60"/>
          <w:szCs w:val="60"/>
          <w:lang w:val="en-US"/>
        </w:rPr>
        <w:t xml:space="preserve"> </w:t>
      </w:r>
      <w:r w:rsidR="00085FA2">
        <w:rPr>
          <w:noProof/>
          <w:sz w:val="60"/>
          <w:szCs w:val="60"/>
          <w:lang w:val="en-US"/>
        </w:rPr>
        <w:t>SARS CoV-2</w:t>
      </w:r>
      <w:r w:rsidRPr="00085FA2">
        <w:rPr>
          <w:noProof/>
          <w:sz w:val="60"/>
          <w:szCs w:val="60"/>
          <w:lang w:val="en-US"/>
        </w:rPr>
        <w:t xml:space="preserve"> Infection and </w:t>
      </w:r>
    </w:p>
    <w:p w14:paraId="4A8996D7" w14:textId="55341FB7" w:rsidR="00B0710D" w:rsidRPr="00085FA2" w:rsidRDefault="00085FA2" w:rsidP="003A468C">
      <w:pPr>
        <w:jc w:val="center"/>
        <w:rPr>
          <w:noProof/>
          <w:sz w:val="60"/>
          <w:szCs w:val="60"/>
          <w:lang w:val="en-US"/>
        </w:rPr>
      </w:pPr>
      <w:r>
        <w:rPr>
          <w:noProof/>
          <w:sz w:val="60"/>
          <w:szCs w:val="60"/>
          <w:lang w:val="en-US"/>
        </w:rPr>
        <w:t xml:space="preserve">Covid 19 </w:t>
      </w:r>
      <w:r w:rsidR="00B0710D" w:rsidRPr="00085FA2">
        <w:rPr>
          <w:noProof/>
          <w:sz w:val="60"/>
          <w:szCs w:val="60"/>
          <w:lang w:val="en-US"/>
        </w:rPr>
        <w:t>Disease</w:t>
      </w:r>
    </w:p>
    <w:p w14:paraId="042E2CF6" w14:textId="77777777" w:rsidR="00E84EAB" w:rsidRPr="00085FA2" w:rsidRDefault="00E84EAB" w:rsidP="00E84EAB">
      <w:pPr>
        <w:spacing w:line="480" w:lineRule="auto"/>
        <w:jc w:val="center"/>
        <w:rPr>
          <w:noProof/>
          <w:sz w:val="16"/>
          <w:szCs w:val="16"/>
          <w:lang w:val="en-US"/>
        </w:rPr>
      </w:pPr>
    </w:p>
    <w:p w14:paraId="24BB0F26" w14:textId="10D1AEBB" w:rsidR="00B0710D" w:rsidRPr="00085FA2" w:rsidRDefault="00B0710D" w:rsidP="00B0710D">
      <w:pPr>
        <w:pStyle w:val="NoSpacing"/>
        <w:ind w:left="3600" w:firstLine="720"/>
        <w:rPr>
          <w:b/>
          <w:bCs/>
          <w:noProof/>
          <w:sz w:val="28"/>
          <w:szCs w:val="28"/>
          <w:lang w:val="en-US"/>
        </w:rPr>
      </w:pPr>
      <w:r w:rsidRPr="00085FA2">
        <w:rPr>
          <w:b/>
          <w:bCs/>
          <w:noProof/>
          <w:sz w:val="28"/>
          <w:szCs w:val="28"/>
          <w:lang w:val="en-US"/>
        </w:rPr>
        <w:t>David Goldblatt</w:t>
      </w:r>
    </w:p>
    <w:p w14:paraId="5AAFD64C" w14:textId="25780989" w:rsidR="00C97D9C" w:rsidRPr="003A468C" w:rsidRDefault="00C97D9C" w:rsidP="00B0710D">
      <w:pPr>
        <w:pStyle w:val="NoSpacing"/>
        <w:ind w:left="3600" w:firstLine="720"/>
        <w:rPr>
          <w:lang w:val="en-US"/>
        </w:rPr>
      </w:pPr>
      <w:r w:rsidRPr="003A468C">
        <w:rPr>
          <w:lang w:val="en-US"/>
        </w:rPr>
        <w:t>Great</w:t>
      </w:r>
      <w:r w:rsidR="00085FA2" w:rsidRPr="003A468C">
        <w:rPr>
          <w:lang w:val="en-US"/>
        </w:rPr>
        <w:t xml:space="preserve"> Ormond Street Institute of Child Health</w:t>
      </w:r>
    </w:p>
    <w:p w14:paraId="091286C5" w14:textId="660143FC" w:rsidR="00085FA2" w:rsidRPr="003A468C" w:rsidRDefault="00085FA2" w:rsidP="00B0710D">
      <w:pPr>
        <w:pStyle w:val="NoSpacing"/>
        <w:ind w:left="3600" w:firstLine="720"/>
        <w:rPr>
          <w:lang w:val="en-US"/>
        </w:rPr>
      </w:pPr>
      <w:r w:rsidRPr="003A468C">
        <w:rPr>
          <w:lang w:val="en-US"/>
        </w:rPr>
        <w:t>University of College London</w:t>
      </w:r>
    </w:p>
    <w:p w14:paraId="599A0BFD" w14:textId="1B85C92E" w:rsidR="00085FA2" w:rsidRPr="003A468C" w:rsidRDefault="00085FA2" w:rsidP="00B0710D">
      <w:pPr>
        <w:pStyle w:val="NoSpacing"/>
        <w:ind w:left="3600" w:firstLine="720"/>
        <w:rPr>
          <w:lang w:val="en-US"/>
        </w:rPr>
      </w:pPr>
      <w:r w:rsidRPr="003A468C">
        <w:rPr>
          <w:lang w:val="en-US"/>
        </w:rPr>
        <w:t>30 Guilford St., London WC1N 1EH</w:t>
      </w:r>
    </w:p>
    <w:p w14:paraId="76839CE3" w14:textId="0C8E57E3" w:rsidR="00085FA2" w:rsidRPr="003A468C" w:rsidRDefault="00085FA2" w:rsidP="00B0710D">
      <w:pPr>
        <w:pStyle w:val="NoSpacing"/>
        <w:ind w:left="3600" w:firstLine="720"/>
        <w:rPr>
          <w:lang w:val="en-US"/>
        </w:rPr>
      </w:pPr>
      <w:r w:rsidRPr="003A468C">
        <w:rPr>
          <w:lang w:val="en-US"/>
        </w:rPr>
        <w:t>UK</w:t>
      </w:r>
    </w:p>
    <w:p w14:paraId="572901B1" w14:textId="4BAE9C47" w:rsidR="00B0710D" w:rsidRPr="00085FA2" w:rsidRDefault="00B84E64" w:rsidP="00B0710D">
      <w:pPr>
        <w:pStyle w:val="NoSpacing"/>
        <w:ind w:left="3600" w:firstLine="720"/>
        <w:rPr>
          <w:noProof/>
          <w:lang w:val="en-US"/>
        </w:rPr>
      </w:pPr>
      <w:hyperlink r:id="rId7" w:history="1">
        <w:r w:rsidR="00C97D9C" w:rsidRPr="00085FA2">
          <w:rPr>
            <w:rStyle w:val="Hyperlink"/>
            <w:noProof/>
            <w:lang w:val="en-US"/>
          </w:rPr>
          <w:t>d.goldblatt@acl.ac.uk</w:t>
        </w:r>
      </w:hyperlink>
    </w:p>
    <w:p w14:paraId="2A686A9C" w14:textId="3AD2C7FA" w:rsidR="00E84EAB" w:rsidRPr="00085FA2" w:rsidRDefault="00E84EAB" w:rsidP="00B0710D">
      <w:pPr>
        <w:pStyle w:val="NoSpacing"/>
        <w:ind w:left="3600" w:firstLine="720"/>
        <w:rPr>
          <w:noProof/>
          <w:lang w:val="en-US"/>
        </w:rPr>
      </w:pPr>
    </w:p>
    <w:p w14:paraId="434E93A4" w14:textId="21344A69" w:rsidR="00E84EAB" w:rsidRDefault="00E84EAB" w:rsidP="00B0710D">
      <w:pPr>
        <w:pStyle w:val="NoSpacing"/>
        <w:ind w:left="3600" w:firstLine="720"/>
        <w:rPr>
          <w:b/>
          <w:bCs/>
          <w:noProof/>
          <w:sz w:val="28"/>
          <w:szCs w:val="28"/>
          <w:lang w:val="en-US"/>
        </w:rPr>
      </w:pPr>
      <w:r w:rsidRPr="00085FA2">
        <w:rPr>
          <w:b/>
          <w:bCs/>
          <w:noProof/>
          <w:sz w:val="28"/>
          <w:szCs w:val="28"/>
          <w:lang w:val="en-US"/>
        </w:rPr>
        <w:t>Galit Alter</w:t>
      </w:r>
    </w:p>
    <w:p w14:paraId="6E1767A6" w14:textId="474BCFD9" w:rsidR="00085FA2" w:rsidRDefault="00085FA2" w:rsidP="00B0710D">
      <w:pPr>
        <w:pStyle w:val="NoSpacing"/>
        <w:ind w:left="3600" w:firstLine="720"/>
        <w:rPr>
          <w:noProof/>
          <w:lang w:val="en-US"/>
        </w:rPr>
      </w:pPr>
      <w:r w:rsidRPr="003A468C">
        <w:rPr>
          <w:noProof/>
          <w:lang w:val="en-US"/>
        </w:rPr>
        <w:t>Professor</w:t>
      </w:r>
      <w:r>
        <w:rPr>
          <w:noProof/>
          <w:lang w:val="en-US"/>
        </w:rPr>
        <w:t xml:space="preserve"> of Medicine</w:t>
      </w:r>
    </w:p>
    <w:p w14:paraId="42718563" w14:textId="4889D4FD" w:rsidR="00085FA2" w:rsidRDefault="00085FA2" w:rsidP="00B0710D">
      <w:pPr>
        <w:pStyle w:val="NoSpacing"/>
        <w:ind w:left="3600" w:firstLine="720"/>
        <w:rPr>
          <w:noProof/>
          <w:lang w:val="en-US"/>
        </w:rPr>
      </w:pPr>
      <w:r>
        <w:rPr>
          <w:noProof/>
          <w:lang w:val="en-US"/>
        </w:rPr>
        <w:t>Massachusetts General Hospital</w:t>
      </w:r>
    </w:p>
    <w:p w14:paraId="6ABCC400" w14:textId="103FA7AD" w:rsidR="00085FA2" w:rsidRDefault="00085FA2" w:rsidP="00B0710D">
      <w:pPr>
        <w:pStyle w:val="NoSpacing"/>
        <w:ind w:left="3600" w:firstLine="720"/>
        <w:rPr>
          <w:noProof/>
          <w:lang w:val="en-US"/>
        </w:rPr>
      </w:pPr>
      <w:r>
        <w:rPr>
          <w:noProof/>
          <w:lang w:val="en-US"/>
        </w:rPr>
        <w:t>Ragon Institute</w:t>
      </w:r>
      <w:r w:rsidR="00BE7D2F">
        <w:rPr>
          <w:noProof/>
          <w:lang w:val="en-US"/>
        </w:rPr>
        <w:t xml:space="preserve"> of MGH, MIT and Harvard</w:t>
      </w:r>
    </w:p>
    <w:p w14:paraId="751041CE" w14:textId="4B19888A" w:rsidR="00BE7D2F" w:rsidRDefault="00BE7D2F" w:rsidP="00B0710D">
      <w:pPr>
        <w:pStyle w:val="NoSpacing"/>
        <w:ind w:left="3600" w:firstLine="720"/>
        <w:rPr>
          <w:noProof/>
          <w:lang w:val="en-US"/>
        </w:rPr>
      </w:pPr>
      <w:r>
        <w:rPr>
          <w:noProof/>
          <w:lang w:val="en-US"/>
        </w:rPr>
        <w:t>400 Technology Square</w:t>
      </w:r>
    </w:p>
    <w:p w14:paraId="2D97EACE" w14:textId="4D8A7852" w:rsidR="00BE7D2F" w:rsidRPr="003A468C" w:rsidRDefault="00BE7D2F" w:rsidP="00B0710D">
      <w:pPr>
        <w:pStyle w:val="NoSpacing"/>
        <w:ind w:left="3600" w:firstLine="720"/>
        <w:rPr>
          <w:noProof/>
          <w:lang w:val="en-US"/>
        </w:rPr>
      </w:pPr>
      <w:r>
        <w:rPr>
          <w:noProof/>
          <w:lang w:val="en-US"/>
        </w:rPr>
        <w:t>Cambridge, MA 02139</w:t>
      </w:r>
    </w:p>
    <w:p w14:paraId="72A48D49" w14:textId="6DC1DFC7" w:rsidR="00E84EAB" w:rsidRPr="00085FA2" w:rsidRDefault="00B84E64" w:rsidP="00B0710D">
      <w:pPr>
        <w:pStyle w:val="NoSpacing"/>
        <w:ind w:left="3600" w:firstLine="720"/>
        <w:rPr>
          <w:noProof/>
          <w:lang w:val="en-US"/>
        </w:rPr>
      </w:pPr>
      <w:hyperlink r:id="rId8" w:history="1">
        <w:r w:rsidR="0046611F" w:rsidRPr="00085FA2">
          <w:rPr>
            <w:rStyle w:val="Hyperlink"/>
            <w:noProof/>
            <w:lang w:val="en-US"/>
          </w:rPr>
          <w:t>galter@mgh.harvard.edu</w:t>
        </w:r>
      </w:hyperlink>
    </w:p>
    <w:p w14:paraId="4FE2FEB3" w14:textId="5251F21E" w:rsidR="00E84EAB" w:rsidRPr="00085FA2" w:rsidRDefault="00E84EAB" w:rsidP="00B0710D">
      <w:pPr>
        <w:pStyle w:val="NoSpacing"/>
        <w:ind w:left="3600" w:firstLine="720"/>
        <w:rPr>
          <w:noProof/>
          <w:lang w:val="en-US"/>
        </w:rPr>
      </w:pPr>
    </w:p>
    <w:p w14:paraId="2CC2419D" w14:textId="6258C58D" w:rsidR="00E84EAB" w:rsidRPr="00085FA2" w:rsidRDefault="00E84EAB" w:rsidP="0046611F">
      <w:pPr>
        <w:pStyle w:val="NoSpacing"/>
        <w:ind w:left="3600" w:firstLine="720"/>
        <w:rPr>
          <w:b/>
          <w:bCs/>
          <w:noProof/>
          <w:sz w:val="28"/>
          <w:szCs w:val="28"/>
          <w:lang w:val="en-US"/>
        </w:rPr>
      </w:pPr>
      <w:r w:rsidRPr="00085FA2">
        <w:rPr>
          <w:b/>
          <w:bCs/>
          <w:noProof/>
          <w:sz w:val="28"/>
          <w:szCs w:val="28"/>
          <w:lang w:val="en-US"/>
        </w:rPr>
        <w:t>Shane Crotty</w:t>
      </w:r>
    </w:p>
    <w:p w14:paraId="04CA35C8" w14:textId="77777777" w:rsidR="0046611F" w:rsidRPr="003A468C" w:rsidRDefault="0046611F" w:rsidP="0046611F">
      <w:pPr>
        <w:pStyle w:val="NoSpacing"/>
        <w:ind w:left="4320"/>
        <w:rPr>
          <w:lang w:val="en-US"/>
        </w:rPr>
      </w:pPr>
      <w:r w:rsidRPr="003A468C">
        <w:rPr>
          <w:lang w:val="en-US"/>
        </w:rPr>
        <w:t>Center for Infectious Disease and Vaccine Research</w:t>
      </w:r>
    </w:p>
    <w:p w14:paraId="5186A228" w14:textId="77777777" w:rsidR="0046611F" w:rsidRPr="005F60C1" w:rsidRDefault="0046611F" w:rsidP="0046611F">
      <w:pPr>
        <w:pStyle w:val="NoSpacing"/>
        <w:ind w:left="4320"/>
      </w:pPr>
      <w:r w:rsidRPr="003A468C">
        <w:rPr>
          <w:lang w:val="en-US"/>
        </w:rPr>
        <w:t xml:space="preserve"> </w:t>
      </w:r>
      <w:r w:rsidRPr="005F60C1">
        <w:t>La Jolla Institute for Immunology (LJI), La Jolla, CA 92037, USA</w:t>
      </w:r>
    </w:p>
    <w:p w14:paraId="029FA312" w14:textId="4115094D" w:rsidR="0046611F" w:rsidRPr="003A468C" w:rsidRDefault="0046611F" w:rsidP="0046611F">
      <w:pPr>
        <w:pStyle w:val="NoSpacing"/>
        <w:ind w:left="4320"/>
        <w:rPr>
          <w:lang w:val="en-US"/>
        </w:rPr>
      </w:pPr>
      <w:r w:rsidRPr="003A468C">
        <w:rPr>
          <w:lang w:val="en-US"/>
        </w:rPr>
        <w:t>Department of Medicine, Division of Infectious Diseases and Global Public Health, University of California, San Diego (UCSD), La Jolla, CA 92037, USA</w:t>
      </w:r>
    </w:p>
    <w:p w14:paraId="1C516DCD" w14:textId="065BDEBE" w:rsidR="00E84EAB" w:rsidRPr="005F60C1" w:rsidRDefault="00B84E64" w:rsidP="00B0710D">
      <w:pPr>
        <w:pStyle w:val="NoSpacing"/>
        <w:ind w:left="3600" w:firstLine="720"/>
        <w:rPr>
          <w:noProof/>
        </w:rPr>
      </w:pPr>
      <w:hyperlink r:id="rId9" w:history="1">
        <w:r w:rsidR="0046611F" w:rsidRPr="005F60C1">
          <w:rPr>
            <w:rStyle w:val="Hyperlink"/>
            <w:noProof/>
          </w:rPr>
          <w:t>shane@lji.org</w:t>
        </w:r>
      </w:hyperlink>
    </w:p>
    <w:p w14:paraId="1A7107F8" w14:textId="77777777" w:rsidR="0046611F" w:rsidRPr="005F60C1" w:rsidRDefault="0046611F" w:rsidP="00B0710D">
      <w:pPr>
        <w:pStyle w:val="NoSpacing"/>
        <w:ind w:left="3600" w:firstLine="720"/>
        <w:rPr>
          <w:noProof/>
        </w:rPr>
      </w:pPr>
    </w:p>
    <w:p w14:paraId="5B7E20AC" w14:textId="248969DA" w:rsidR="00B0710D" w:rsidRPr="005F60C1" w:rsidRDefault="00B0710D" w:rsidP="00B0710D">
      <w:pPr>
        <w:pStyle w:val="NoSpacing"/>
        <w:rPr>
          <w:noProof/>
        </w:rPr>
      </w:pPr>
    </w:p>
    <w:p w14:paraId="0E81A308" w14:textId="77777777" w:rsidR="00B0710D" w:rsidRPr="005F60C1" w:rsidRDefault="00B0710D" w:rsidP="00B0710D">
      <w:pPr>
        <w:spacing w:after="0" w:line="240" w:lineRule="auto"/>
        <w:ind w:left="4230"/>
        <w:rPr>
          <w:b/>
          <w:noProof/>
          <w:sz w:val="28"/>
          <w:szCs w:val="32"/>
        </w:rPr>
      </w:pPr>
      <w:r w:rsidRPr="005F60C1">
        <w:rPr>
          <w:b/>
          <w:noProof/>
          <w:sz w:val="28"/>
          <w:szCs w:val="32"/>
        </w:rPr>
        <w:t>Stanley A. Plotkin, MD</w:t>
      </w:r>
    </w:p>
    <w:p w14:paraId="1E5825A0" w14:textId="77777777" w:rsidR="00B0710D" w:rsidRPr="00085FA2" w:rsidRDefault="00B0710D" w:rsidP="00B0710D">
      <w:pPr>
        <w:spacing w:after="0" w:line="240" w:lineRule="auto"/>
        <w:ind w:left="4230"/>
        <w:rPr>
          <w:noProof/>
          <w:lang w:val="en-US"/>
        </w:rPr>
      </w:pPr>
      <w:r w:rsidRPr="00085FA2">
        <w:rPr>
          <w:noProof/>
          <w:lang w:val="en-US"/>
        </w:rPr>
        <w:t>Emeritus Professor of Pediatrics</w:t>
      </w:r>
    </w:p>
    <w:p w14:paraId="36A83C0C" w14:textId="77777777" w:rsidR="00B0710D" w:rsidRPr="00085FA2" w:rsidRDefault="00B0710D" w:rsidP="00B0710D">
      <w:pPr>
        <w:spacing w:after="0" w:line="240" w:lineRule="auto"/>
        <w:ind w:left="4230"/>
        <w:rPr>
          <w:noProof/>
          <w:lang w:val="en-US"/>
        </w:rPr>
      </w:pPr>
      <w:r w:rsidRPr="00085FA2">
        <w:rPr>
          <w:noProof/>
          <w:lang w:val="en-US"/>
        </w:rPr>
        <w:t>University of Pennsylvania</w:t>
      </w:r>
    </w:p>
    <w:p w14:paraId="6F1478CA" w14:textId="77777777" w:rsidR="00B0710D" w:rsidRPr="00085FA2" w:rsidRDefault="00B0710D" w:rsidP="00B0710D">
      <w:pPr>
        <w:spacing w:after="0" w:line="240" w:lineRule="auto"/>
        <w:ind w:left="4230"/>
        <w:rPr>
          <w:noProof/>
          <w:lang w:val="en-US"/>
        </w:rPr>
      </w:pPr>
      <w:r w:rsidRPr="00085FA2">
        <w:rPr>
          <w:noProof/>
          <w:lang w:val="en-US"/>
        </w:rPr>
        <w:t>Vaxconsult</w:t>
      </w:r>
    </w:p>
    <w:p w14:paraId="7F6AD4D1" w14:textId="77777777" w:rsidR="00B0710D" w:rsidRPr="00085FA2" w:rsidRDefault="00B0710D" w:rsidP="00B0710D">
      <w:pPr>
        <w:spacing w:after="0" w:line="240" w:lineRule="auto"/>
        <w:ind w:left="4230"/>
        <w:rPr>
          <w:noProof/>
          <w:lang w:val="en-US"/>
        </w:rPr>
      </w:pPr>
      <w:r w:rsidRPr="00085FA2">
        <w:rPr>
          <w:noProof/>
          <w:lang w:val="en-US"/>
        </w:rPr>
        <w:t>4650 Wismer Rd.</w:t>
      </w:r>
    </w:p>
    <w:p w14:paraId="40734472" w14:textId="77777777" w:rsidR="00B0710D" w:rsidRPr="00085FA2" w:rsidRDefault="00B0710D" w:rsidP="00B0710D">
      <w:pPr>
        <w:spacing w:after="0" w:line="240" w:lineRule="auto"/>
        <w:ind w:left="4230"/>
        <w:rPr>
          <w:noProof/>
          <w:lang w:val="en-US"/>
        </w:rPr>
      </w:pPr>
      <w:r w:rsidRPr="00085FA2">
        <w:rPr>
          <w:noProof/>
          <w:lang w:val="en-US"/>
        </w:rPr>
        <w:t>Doylestown, PA 18902</w:t>
      </w:r>
    </w:p>
    <w:p w14:paraId="2115A042" w14:textId="77777777" w:rsidR="00B0710D" w:rsidRPr="005F60C1" w:rsidRDefault="00B0710D" w:rsidP="00B0710D">
      <w:pPr>
        <w:spacing w:after="0" w:line="240" w:lineRule="auto"/>
        <w:ind w:left="4230"/>
        <w:rPr>
          <w:noProof/>
        </w:rPr>
      </w:pPr>
      <w:r w:rsidRPr="005F60C1">
        <w:rPr>
          <w:noProof/>
        </w:rPr>
        <w:t>T-215 297 9321</w:t>
      </w:r>
    </w:p>
    <w:p w14:paraId="55B1CB75" w14:textId="77777777" w:rsidR="00B0710D" w:rsidRPr="005F60C1" w:rsidRDefault="00B84E64" w:rsidP="00B0710D">
      <w:pPr>
        <w:spacing w:after="0" w:line="240" w:lineRule="auto"/>
        <w:ind w:left="4230"/>
        <w:rPr>
          <w:noProof/>
        </w:rPr>
      </w:pPr>
      <w:hyperlink r:id="rId10" w:history="1">
        <w:r w:rsidR="00B0710D" w:rsidRPr="005F60C1">
          <w:rPr>
            <w:rStyle w:val="Hyperlink"/>
            <w:noProof/>
          </w:rPr>
          <w:t>Stanley.plotkin@vaxconsult.com</w:t>
        </w:r>
      </w:hyperlink>
      <w:r w:rsidR="00B0710D" w:rsidRPr="005F60C1">
        <w:rPr>
          <w:noProof/>
        </w:rPr>
        <w:t xml:space="preserve"> </w:t>
      </w:r>
    </w:p>
    <w:p w14:paraId="4AE575EB" w14:textId="77777777" w:rsidR="00F00979" w:rsidRPr="005F60C1" w:rsidRDefault="00F00979" w:rsidP="00F00979">
      <w:pPr>
        <w:spacing w:line="480" w:lineRule="auto"/>
        <w:rPr>
          <w:b/>
          <w:bCs/>
          <w:noProof/>
          <w:sz w:val="24"/>
          <w:szCs w:val="24"/>
        </w:rPr>
      </w:pPr>
      <w:r w:rsidRPr="005F60C1">
        <w:rPr>
          <w:b/>
          <w:bCs/>
          <w:noProof/>
          <w:sz w:val="24"/>
          <w:szCs w:val="24"/>
        </w:rPr>
        <w:lastRenderedPageBreak/>
        <w:t>Introduction</w:t>
      </w:r>
    </w:p>
    <w:p w14:paraId="49160059" w14:textId="6C98ACC9" w:rsidR="000A5C8B" w:rsidRPr="00085FA2" w:rsidRDefault="000A5C8B" w:rsidP="00F00979">
      <w:pPr>
        <w:spacing w:line="480" w:lineRule="auto"/>
        <w:ind w:firstLine="720"/>
        <w:rPr>
          <w:noProof/>
          <w:sz w:val="24"/>
          <w:szCs w:val="24"/>
          <w:lang w:val="en-US"/>
        </w:rPr>
      </w:pPr>
      <w:r w:rsidRPr="00085FA2">
        <w:rPr>
          <w:noProof/>
          <w:sz w:val="24"/>
          <w:szCs w:val="24"/>
          <w:lang w:val="en-US"/>
        </w:rPr>
        <w:t>The worldwide pandemic of COVID-19 has evoked more vaccine development than the world has ever seen, justified by the deaths, disease, economic effects and social disruption</w:t>
      </w:r>
      <w:r w:rsidR="007E0A65" w:rsidRPr="00085FA2">
        <w:rPr>
          <w:noProof/>
          <w:sz w:val="24"/>
          <w:szCs w:val="24"/>
          <w:lang w:val="en-US"/>
        </w:rPr>
        <w:t xml:space="preserve"> resulting from the disease</w:t>
      </w:r>
      <w:r w:rsidRPr="00085FA2">
        <w:rPr>
          <w:noProof/>
          <w:sz w:val="24"/>
          <w:szCs w:val="24"/>
          <w:lang w:val="en-US"/>
        </w:rPr>
        <w:t xml:space="preserve">.   All </w:t>
      </w:r>
      <w:r w:rsidR="007E0A65" w:rsidRPr="00085FA2">
        <w:rPr>
          <w:noProof/>
          <w:sz w:val="24"/>
          <w:szCs w:val="24"/>
          <w:lang w:val="en-US"/>
        </w:rPr>
        <w:t>old and many new</w:t>
      </w:r>
      <w:r w:rsidRPr="00085FA2">
        <w:rPr>
          <w:noProof/>
          <w:sz w:val="24"/>
          <w:szCs w:val="24"/>
          <w:lang w:val="en-US"/>
        </w:rPr>
        <w:t xml:space="preserve"> strategies for vaccine development have been invoked to produce </w:t>
      </w:r>
      <w:r w:rsidR="007E0A65" w:rsidRPr="00085FA2">
        <w:rPr>
          <w:noProof/>
          <w:sz w:val="24"/>
          <w:szCs w:val="24"/>
          <w:lang w:val="en-US"/>
        </w:rPr>
        <w:t xml:space="preserve">COVID-19 </w:t>
      </w:r>
      <w:r w:rsidRPr="00085FA2">
        <w:rPr>
          <w:noProof/>
          <w:sz w:val="24"/>
          <w:szCs w:val="24"/>
          <w:lang w:val="en-US"/>
        </w:rPr>
        <w:t>vaccines</w:t>
      </w:r>
      <w:r w:rsidR="007E0A65" w:rsidRPr="00085FA2">
        <w:rPr>
          <w:noProof/>
          <w:sz w:val="24"/>
          <w:szCs w:val="24"/>
          <w:lang w:val="en-US"/>
        </w:rPr>
        <w:t>.</w:t>
      </w:r>
      <w:r w:rsidRPr="00085FA2">
        <w:rPr>
          <w:noProof/>
          <w:sz w:val="24"/>
          <w:szCs w:val="24"/>
          <w:lang w:val="en-US"/>
        </w:rPr>
        <w:t xml:space="preserve"> </w:t>
      </w:r>
      <w:r w:rsidR="007E0A65" w:rsidRPr="00085FA2">
        <w:rPr>
          <w:noProof/>
          <w:sz w:val="24"/>
          <w:szCs w:val="24"/>
          <w:lang w:val="en-US"/>
        </w:rPr>
        <w:t>M</w:t>
      </w:r>
      <w:r w:rsidRPr="00085FA2">
        <w:rPr>
          <w:noProof/>
          <w:sz w:val="24"/>
          <w:szCs w:val="24"/>
          <w:lang w:val="en-US"/>
        </w:rPr>
        <w:t xml:space="preserve">any of </w:t>
      </w:r>
      <w:r w:rsidR="007E0A65" w:rsidRPr="00085FA2">
        <w:rPr>
          <w:noProof/>
          <w:sz w:val="24"/>
          <w:szCs w:val="24"/>
          <w:lang w:val="en-US"/>
        </w:rPr>
        <w:t>the vaccines have</w:t>
      </w:r>
      <w:r w:rsidR="008263F1" w:rsidRPr="00085FA2">
        <w:rPr>
          <w:noProof/>
          <w:sz w:val="24"/>
          <w:szCs w:val="24"/>
          <w:lang w:val="en-US"/>
        </w:rPr>
        <w:t xml:space="preserve"> been proven effective in classical phase 3 studies, </w:t>
      </w:r>
      <w:r w:rsidR="00925457" w:rsidRPr="00085FA2">
        <w:rPr>
          <w:noProof/>
          <w:sz w:val="24"/>
          <w:szCs w:val="24"/>
          <w:lang w:val="en-US"/>
        </w:rPr>
        <w:t xml:space="preserve">but </w:t>
      </w:r>
      <w:r w:rsidR="008263F1" w:rsidRPr="00085FA2">
        <w:rPr>
          <w:noProof/>
          <w:sz w:val="24"/>
          <w:szCs w:val="24"/>
          <w:lang w:val="en-US"/>
        </w:rPr>
        <w:t>more vaccines are needed</w:t>
      </w:r>
      <w:r w:rsidR="00925457" w:rsidRPr="00085FA2">
        <w:rPr>
          <w:noProof/>
          <w:sz w:val="24"/>
          <w:szCs w:val="24"/>
          <w:lang w:val="en-US"/>
        </w:rPr>
        <w:t xml:space="preserve"> to cover the entire population of the world</w:t>
      </w:r>
      <w:r w:rsidR="008263F1" w:rsidRPr="00085FA2">
        <w:rPr>
          <w:noProof/>
          <w:sz w:val="24"/>
          <w:szCs w:val="24"/>
          <w:lang w:val="en-US"/>
        </w:rPr>
        <w:t xml:space="preserve">.  Soon it will be no longer </w:t>
      </w:r>
      <w:r w:rsidR="002C4208" w:rsidRPr="00085FA2">
        <w:rPr>
          <w:noProof/>
          <w:sz w:val="24"/>
          <w:szCs w:val="24"/>
          <w:lang w:val="en-US"/>
        </w:rPr>
        <w:t xml:space="preserve">be </w:t>
      </w:r>
      <w:r w:rsidR="008263F1" w:rsidRPr="00085FA2">
        <w:rPr>
          <w:noProof/>
          <w:sz w:val="24"/>
          <w:szCs w:val="24"/>
          <w:lang w:val="en-US"/>
        </w:rPr>
        <w:t>ethical or practical to perform phase 3 placebo-controlled studies</w:t>
      </w:r>
      <w:r w:rsidR="002C4208" w:rsidRPr="00085FA2">
        <w:rPr>
          <w:noProof/>
          <w:sz w:val="24"/>
          <w:szCs w:val="24"/>
          <w:lang w:val="en-US"/>
        </w:rPr>
        <w:t>,</w:t>
      </w:r>
      <w:r w:rsidR="008263F1" w:rsidRPr="00085FA2">
        <w:rPr>
          <w:noProof/>
          <w:sz w:val="24"/>
          <w:szCs w:val="24"/>
          <w:lang w:val="en-US"/>
        </w:rPr>
        <w:t xml:space="preserve"> and therefore licensure through demonstration of protective immune responses will be critical.  Thus, identification of correlates of protection against </w:t>
      </w:r>
      <w:r w:rsidR="002C4208" w:rsidRPr="00085FA2">
        <w:rPr>
          <w:noProof/>
          <w:sz w:val="24"/>
          <w:szCs w:val="24"/>
          <w:lang w:val="en-US"/>
        </w:rPr>
        <w:t>SARS-CoV-2</w:t>
      </w:r>
      <w:r w:rsidR="008263F1" w:rsidRPr="00085FA2">
        <w:rPr>
          <w:noProof/>
          <w:sz w:val="24"/>
          <w:szCs w:val="24"/>
          <w:lang w:val="en-US"/>
        </w:rPr>
        <w:t xml:space="preserve"> coronavirus infection is needed for practical and theoretical </w:t>
      </w:r>
      <w:r w:rsidR="00925457" w:rsidRPr="00085FA2">
        <w:rPr>
          <w:noProof/>
          <w:sz w:val="24"/>
          <w:szCs w:val="24"/>
          <w:lang w:val="en-US"/>
        </w:rPr>
        <w:t>reas</w:t>
      </w:r>
      <w:r w:rsidR="00281FE7" w:rsidRPr="00085FA2">
        <w:rPr>
          <w:noProof/>
          <w:sz w:val="24"/>
          <w:szCs w:val="24"/>
          <w:lang w:val="en-US"/>
        </w:rPr>
        <w:t>on</w:t>
      </w:r>
      <w:r w:rsidR="00925457" w:rsidRPr="00085FA2">
        <w:rPr>
          <w:noProof/>
          <w:sz w:val="24"/>
          <w:szCs w:val="24"/>
          <w:lang w:val="en-US"/>
        </w:rPr>
        <w:t>s</w:t>
      </w:r>
      <w:r w:rsidR="00A8307F" w:rsidRPr="00085FA2">
        <w:rPr>
          <w:noProof/>
          <w:sz w:val="24"/>
          <w:szCs w:val="24"/>
          <w:lang w:val="en-US"/>
        </w:rPr>
        <w:t>.</w:t>
      </w:r>
    </w:p>
    <w:p w14:paraId="03A5FA2D" w14:textId="149F3B1B" w:rsidR="004B39F8" w:rsidRPr="00085FA2" w:rsidRDefault="0013741F" w:rsidP="00B0710D">
      <w:pPr>
        <w:spacing w:line="480" w:lineRule="auto"/>
        <w:rPr>
          <w:noProof/>
          <w:sz w:val="24"/>
          <w:szCs w:val="24"/>
          <w:lang w:val="en-US"/>
        </w:rPr>
      </w:pPr>
      <w:r w:rsidRPr="00085FA2">
        <w:rPr>
          <w:noProof/>
          <w:sz w:val="24"/>
          <w:szCs w:val="24"/>
          <w:lang w:val="en-US"/>
        </w:rPr>
        <w:tab/>
        <w:t xml:space="preserve">The </w:t>
      </w:r>
      <w:r w:rsidR="00925457" w:rsidRPr="00085FA2">
        <w:rPr>
          <w:noProof/>
          <w:sz w:val="24"/>
          <w:szCs w:val="24"/>
          <w:lang w:val="en-US"/>
        </w:rPr>
        <w:t>identification</w:t>
      </w:r>
      <w:r w:rsidRPr="00085FA2">
        <w:rPr>
          <w:noProof/>
          <w:sz w:val="24"/>
          <w:szCs w:val="24"/>
          <w:lang w:val="en-US"/>
        </w:rPr>
        <w:t xml:space="preserve"> of a correlate of protection is often an onerous task owing to the complexity of immune responses.  It must be recognized that the immune system has evolved to be redundant, so that protection can be multifactorial.  This fact leads to arguments among scientists who are</w:t>
      </w:r>
      <w:r w:rsidR="00843A02">
        <w:rPr>
          <w:noProof/>
          <w:sz w:val="24"/>
          <w:szCs w:val="24"/>
          <w:lang w:val="en-US"/>
        </w:rPr>
        <w:t xml:space="preserve"> more focused on </w:t>
      </w:r>
      <w:r w:rsidRPr="00085FA2">
        <w:rPr>
          <w:noProof/>
          <w:sz w:val="24"/>
          <w:szCs w:val="24"/>
          <w:lang w:val="en-US"/>
        </w:rPr>
        <w:t xml:space="preserve">one or another part of immunity.  However, while we agree that immunity is usually a composite of different responses, the identification of a measure that correlates with protection is a </w:t>
      </w:r>
      <w:r w:rsidR="00281FE7" w:rsidRPr="00085FA2">
        <w:rPr>
          <w:noProof/>
          <w:sz w:val="24"/>
          <w:szCs w:val="24"/>
          <w:lang w:val="en-US"/>
        </w:rPr>
        <w:t xml:space="preserve">necessary </w:t>
      </w:r>
      <w:r w:rsidRPr="00085FA2">
        <w:rPr>
          <w:noProof/>
          <w:sz w:val="24"/>
          <w:szCs w:val="24"/>
          <w:lang w:val="en-US"/>
        </w:rPr>
        <w:t>practical exercise.  Even if multiple</w:t>
      </w:r>
      <w:r w:rsidR="004B39F8" w:rsidRPr="00085FA2">
        <w:rPr>
          <w:noProof/>
          <w:sz w:val="24"/>
          <w:szCs w:val="24"/>
          <w:lang w:val="en-US"/>
        </w:rPr>
        <w:t xml:space="preserve"> immune</w:t>
      </w:r>
      <w:r w:rsidRPr="00085FA2">
        <w:rPr>
          <w:noProof/>
          <w:sz w:val="24"/>
          <w:szCs w:val="24"/>
          <w:lang w:val="en-US"/>
        </w:rPr>
        <w:t xml:space="preserve"> responses contribute to protection, it is often the case that one response is most important for protection.</w:t>
      </w:r>
      <w:r w:rsidR="004B39F8" w:rsidRPr="00085FA2">
        <w:rPr>
          <w:noProof/>
          <w:sz w:val="24"/>
          <w:szCs w:val="24"/>
          <w:lang w:val="en-US"/>
        </w:rPr>
        <w:t xml:space="preserve">  As the subsequent article will attest, it is likely that protection against coronaviruses results from a composite of antibody and cellular responses, including Fc effector antibodies, mucosal antibodies, </w:t>
      </w:r>
      <w:r w:rsidR="002C4208" w:rsidRPr="00085FA2">
        <w:rPr>
          <w:noProof/>
          <w:sz w:val="24"/>
          <w:szCs w:val="24"/>
          <w:lang w:val="en-US"/>
        </w:rPr>
        <w:t xml:space="preserve">memory B cells, </w:t>
      </w:r>
      <w:r w:rsidR="004B39F8" w:rsidRPr="00085FA2">
        <w:rPr>
          <w:noProof/>
          <w:sz w:val="24"/>
          <w:szCs w:val="24"/>
          <w:lang w:val="en-US"/>
        </w:rPr>
        <w:t>and T cell</w:t>
      </w:r>
      <w:r w:rsidR="002C4208" w:rsidRPr="00085FA2">
        <w:rPr>
          <w:noProof/>
          <w:sz w:val="24"/>
          <w:szCs w:val="24"/>
          <w:lang w:val="en-US"/>
        </w:rPr>
        <w:t>s</w:t>
      </w:r>
      <w:r w:rsidR="004B39F8" w:rsidRPr="00085FA2">
        <w:rPr>
          <w:noProof/>
          <w:sz w:val="24"/>
          <w:szCs w:val="24"/>
          <w:lang w:val="en-US"/>
        </w:rPr>
        <w:t>.  However, in the interests of clarity, the subsequent text will separate immune responses</w:t>
      </w:r>
      <w:r w:rsidR="00444D7A" w:rsidRPr="00085FA2">
        <w:rPr>
          <w:noProof/>
          <w:sz w:val="24"/>
          <w:szCs w:val="24"/>
          <w:lang w:val="en-US"/>
        </w:rPr>
        <w:t xml:space="preserve"> into </w:t>
      </w:r>
      <w:r w:rsidR="002C4208" w:rsidRPr="00085FA2">
        <w:rPr>
          <w:noProof/>
          <w:sz w:val="24"/>
          <w:szCs w:val="24"/>
          <w:lang w:val="en-US"/>
        </w:rPr>
        <w:t xml:space="preserve">four </w:t>
      </w:r>
      <w:r w:rsidR="00444D7A" w:rsidRPr="00085FA2">
        <w:rPr>
          <w:noProof/>
          <w:sz w:val="24"/>
          <w:szCs w:val="24"/>
          <w:lang w:val="en-US"/>
        </w:rPr>
        <w:t xml:space="preserve">parts: neutralizing antibodies, </w:t>
      </w:r>
      <w:r w:rsidR="002C4208" w:rsidRPr="00085FA2">
        <w:rPr>
          <w:noProof/>
          <w:sz w:val="24"/>
          <w:szCs w:val="24"/>
          <w:lang w:val="en-US"/>
        </w:rPr>
        <w:t xml:space="preserve">memory B cells, </w:t>
      </w:r>
      <w:r w:rsidR="00444D7A" w:rsidRPr="00085FA2">
        <w:rPr>
          <w:noProof/>
          <w:sz w:val="24"/>
          <w:szCs w:val="24"/>
          <w:lang w:val="en-US"/>
        </w:rPr>
        <w:t xml:space="preserve">Fc </w:t>
      </w:r>
      <w:r w:rsidR="00444D7A" w:rsidRPr="00085FA2">
        <w:rPr>
          <w:noProof/>
          <w:sz w:val="24"/>
          <w:szCs w:val="24"/>
          <w:lang w:val="en-US"/>
        </w:rPr>
        <w:lastRenderedPageBreak/>
        <w:t xml:space="preserve">effector antibodies, and T cell </w:t>
      </w:r>
      <w:r w:rsidR="00925457" w:rsidRPr="00085FA2">
        <w:rPr>
          <w:noProof/>
          <w:sz w:val="24"/>
          <w:szCs w:val="24"/>
          <w:lang w:val="en-US"/>
        </w:rPr>
        <w:t>functions</w:t>
      </w:r>
      <w:r w:rsidR="00444D7A" w:rsidRPr="00085FA2">
        <w:rPr>
          <w:noProof/>
          <w:sz w:val="24"/>
          <w:szCs w:val="24"/>
          <w:lang w:val="en-US"/>
        </w:rPr>
        <w:t xml:space="preserve">. </w:t>
      </w:r>
      <w:r w:rsidR="00474BFF" w:rsidRPr="00085FA2">
        <w:rPr>
          <w:noProof/>
          <w:sz w:val="24"/>
          <w:szCs w:val="24"/>
          <w:lang w:val="en-US"/>
        </w:rPr>
        <w:t xml:space="preserve"> Conclusions will be drawn as to their relative importance and predictive ability.</w:t>
      </w:r>
    </w:p>
    <w:p w14:paraId="1B130C28" w14:textId="35571608" w:rsidR="00925457" w:rsidRPr="00085FA2" w:rsidRDefault="00925457" w:rsidP="00B0710D">
      <w:pPr>
        <w:spacing w:line="480" w:lineRule="auto"/>
        <w:rPr>
          <w:noProof/>
          <w:sz w:val="24"/>
          <w:szCs w:val="24"/>
          <w:lang w:val="en-US"/>
        </w:rPr>
      </w:pPr>
      <w:r w:rsidRPr="00085FA2">
        <w:rPr>
          <w:noProof/>
          <w:sz w:val="24"/>
          <w:szCs w:val="24"/>
          <w:lang w:val="en-US"/>
        </w:rPr>
        <w:tab/>
        <w:t>Certain principles relating to correlates should be kept in mind</w:t>
      </w:r>
      <w:r w:rsidR="00BE716A" w:rsidRPr="00085FA2">
        <w:rPr>
          <w:noProof/>
          <w:sz w:val="24"/>
          <w:szCs w:val="24"/>
          <w:lang w:val="en-US"/>
        </w:rPr>
        <w:t xml:space="preserve"> when considering the CoP for vaccines against </w:t>
      </w:r>
      <w:r w:rsidR="002C4208" w:rsidRPr="00085FA2">
        <w:rPr>
          <w:noProof/>
          <w:sz w:val="24"/>
          <w:szCs w:val="24"/>
          <w:lang w:val="en-US"/>
        </w:rPr>
        <w:t>SARS-CoV-2</w:t>
      </w:r>
      <w:r w:rsidR="00BE716A" w:rsidRPr="00085FA2">
        <w:rPr>
          <w:noProof/>
          <w:sz w:val="24"/>
          <w:szCs w:val="24"/>
          <w:lang w:val="en-US"/>
        </w:rPr>
        <w:t xml:space="preserve"> coronavirus, the agent of COVID-19 disease.  They are summarized in</w:t>
      </w:r>
      <w:r w:rsidR="001152AD">
        <w:rPr>
          <w:noProof/>
          <w:sz w:val="24"/>
          <w:szCs w:val="24"/>
          <w:lang w:val="en-US"/>
        </w:rPr>
        <w:t xml:space="preserve"> </w:t>
      </w:r>
      <w:r w:rsidR="001152AD" w:rsidRPr="005B4F87">
        <w:rPr>
          <w:b/>
          <w:bCs/>
          <w:noProof/>
          <w:sz w:val="24"/>
          <w:szCs w:val="24"/>
          <w:lang w:val="en-US"/>
        </w:rPr>
        <w:t>Figure 1</w:t>
      </w:r>
      <w:r w:rsidR="00BE716A" w:rsidRPr="00085FA2">
        <w:rPr>
          <w:noProof/>
          <w:sz w:val="24"/>
          <w:szCs w:val="24"/>
          <w:lang w:val="en-US"/>
        </w:rPr>
        <w:t>.</w:t>
      </w:r>
      <w:r w:rsidR="008F5DFA" w:rsidRPr="00085FA2">
        <w:rPr>
          <w:noProof/>
          <w:sz w:val="24"/>
          <w:szCs w:val="24"/>
          <w:lang w:val="en-US"/>
        </w:rPr>
        <w:t xml:space="preserve">  Among the most important with regard to protection against </w:t>
      </w:r>
      <w:r w:rsidR="002C4208" w:rsidRPr="00085FA2">
        <w:rPr>
          <w:noProof/>
          <w:sz w:val="24"/>
          <w:szCs w:val="24"/>
          <w:lang w:val="en-US"/>
        </w:rPr>
        <w:t>SARS-CoV-2</w:t>
      </w:r>
      <w:r w:rsidR="008F5DFA" w:rsidRPr="00085FA2">
        <w:rPr>
          <w:noProof/>
          <w:sz w:val="24"/>
          <w:szCs w:val="24"/>
          <w:lang w:val="en-US"/>
        </w:rPr>
        <w:t>, are that protection against infection is different from protection against disease</w:t>
      </w:r>
      <w:r w:rsidR="00977F0E" w:rsidRPr="00085FA2">
        <w:rPr>
          <w:noProof/>
          <w:sz w:val="24"/>
          <w:szCs w:val="24"/>
          <w:lang w:val="en-US"/>
        </w:rPr>
        <w:t>,</w:t>
      </w:r>
      <w:r w:rsidR="008F5DFA" w:rsidRPr="00085FA2">
        <w:rPr>
          <w:noProof/>
          <w:sz w:val="24"/>
          <w:szCs w:val="24"/>
          <w:lang w:val="en-US"/>
        </w:rPr>
        <w:t xml:space="preserve"> that more than one immune factor may correlate with protection</w:t>
      </w:r>
      <w:r w:rsidR="00977F0E" w:rsidRPr="00085FA2">
        <w:rPr>
          <w:noProof/>
          <w:sz w:val="24"/>
          <w:szCs w:val="24"/>
          <w:lang w:val="en-US"/>
        </w:rPr>
        <w:t>,</w:t>
      </w:r>
      <w:r w:rsidR="008F5DFA" w:rsidRPr="00085FA2">
        <w:rPr>
          <w:noProof/>
          <w:sz w:val="24"/>
          <w:szCs w:val="24"/>
          <w:lang w:val="en-US"/>
        </w:rPr>
        <w:t xml:space="preserve"> and that protection against mucosal infection may depend on different factors tha</w:t>
      </w:r>
      <w:r w:rsidR="00474BFF" w:rsidRPr="00085FA2">
        <w:rPr>
          <w:noProof/>
          <w:sz w:val="24"/>
          <w:szCs w:val="24"/>
          <w:lang w:val="en-US"/>
        </w:rPr>
        <w:t>n</w:t>
      </w:r>
      <w:r w:rsidR="008F5DFA" w:rsidRPr="00085FA2">
        <w:rPr>
          <w:noProof/>
          <w:sz w:val="24"/>
          <w:szCs w:val="24"/>
          <w:lang w:val="en-US"/>
        </w:rPr>
        <w:t xml:space="preserve"> protection against systemic disease.  Moreover,</w:t>
      </w:r>
      <w:r w:rsidR="00B40E18" w:rsidRPr="00085FA2">
        <w:rPr>
          <w:noProof/>
          <w:sz w:val="24"/>
          <w:szCs w:val="24"/>
          <w:lang w:val="en-US"/>
        </w:rPr>
        <w:t xml:space="preserve"> memory may be a </w:t>
      </w:r>
      <w:r w:rsidR="001152AD">
        <w:rPr>
          <w:noProof/>
          <w:sz w:val="24"/>
          <w:szCs w:val="24"/>
          <w:lang w:val="en-US"/>
        </w:rPr>
        <w:t xml:space="preserve">mechanism </w:t>
      </w:r>
      <w:r w:rsidR="00B40E18" w:rsidRPr="00085FA2">
        <w:rPr>
          <w:noProof/>
          <w:sz w:val="24"/>
          <w:szCs w:val="24"/>
          <w:lang w:val="en-US"/>
        </w:rPr>
        <w:t>of protection if</w:t>
      </w:r>
      <w:r w:rsidR="00977F0E" w:rsidRPr="00085FA2">
        <w:rPr>
          <w:noProof/>
          <w:sz w:val="24"/>
          <w:szCs w:val="24"/>
          <w:lang w:val="en-US"/>
        </w:rPr>
        <w:t xml:space="preserve"> it</w:t>
      </w:r>
      <w:r w:rsidR="00B40E18" w:rsidRPr="00085FA2">
        <w:rPr>
          <w:noProof/>
          <w:sz w:val="24"/>
          <w:szCs w:val="24"/>
          <w:lang w:val="en-US"/>
        </w:rPr>
        <w:t xml:space="preserve"> results in rapid induction of immune functions, </w:t>
      </w:r>
      <w:r w:rsidR="00977F0E" w:rsidRPr="00085FA2">
        <w:rPr>
          <w:noProof/>
          <w:sz w:val="24"/>
          <w:szCs w:val="24"/>
          <w:lang w:val="en-US"/>
        </w:rPr>
        <w:t>which</w:t>
      </w:r>
      <w:r w:rsidR="00B40E18" w:rsidRPr="00085FA2">
        <w:rPr>
          <w:noProof/>
          <w:sz w:val="24"/>
          <w:szCs w:val="24"/>
          <w:lang w:val="en-US"/>
        </w:rPr>
        <w:t xml:space="preserve"> in the case of COVID</w:t>
      </w:r>
      <w:r w:rsidR="00606081" w:rsidRPr="00085FA2">
        <w:rPr>
          <w:noProof/>
          <w:sz w:val="24"/>
          <w:szCs w:val="24"/>
          <w:lang w:val="en-US"/>
        </w:rPr>
        <w:t>-19</w:t>
      </w:r>
      <w:r w:rsidR="00B40E18" w:rsidRPr="00085FA2">
        <w:rPr>
          <w:noProof/>
          <w:sz w:val="24"/>
          <w:szCs w:val="24"/>
          <w:lang w:val="en-US"/>
        </w:rPr>
        <w:t xml:space="preserve"> memory must </w:t>
      </w:r>
      <w:r w:rsidR="00FB6733" w:rsidRPr="00085FA2">
        <w:rPr>
          <w:noProof/>
          <w:sz w:val="24"/>
          <w:szCs w:val="24"/>
          <w:lang w:val="en-US"/>
        </w:rPr>
        <w:t xml:space="preserve">likely </w:t>
      </w:r>
      <w:r w:rsidR="00B40E18" w:rsidRPr="00085FA2">
        <w:rPr>
          <w:noProof/>
          <w:sz w:val="24"/>
          <w:szCs w:val="24"/>
          <w:lang w:val="en-US"/>
        </w:rPr>
        <w:t>act within the first week of infection</w:t>
      </w:r>
      <w:r w:rsidR="00FB6733" w:rsidRPr="00085FA2">
        <w:rPr>
          <w:noProof/>
          <w:sz w:val="24"/>
          <w:szCs w:val="24"/>
          <w:lang w:val="en-US"/>
        </w:rPr>
        <w:t xml:space="preserve"> to contribut</w:t>
      </w:r>
      <w:r w:rsidR="00C1429A" w:rsidRPr="00085FA2">
        <w:rPr>
          <w:noProof/>
          <w:sz w:val="24"/>
          <w:szCs w:val="24"/>
          <w:lang w:val="en-US"/>
        </w:rPr>
        <w:t>e</w:t>
      </w:r>
      <w:r w:rsidR="00FB6733" w:rsidRPr="00085FA2">
        <w:rPr>
          <w:noProof/>
          <w:sz w:val="24"/>
          <w:szCs w:val="24"/>
          <w:lang w:val="en-US"/>
        </w:rPr>
        <w:t xml:space="preserve"> to protection</w:t>
      </w:r>
      <w:r w:rsidR="00B40E18" w:rsidRPr="00085FA2">
        <w:rPr>
          <w:noProof/>
          <w:sz w:val="24"/>
          <w:szCs w:val="24"/>
          <w:lang w:val="en-US"/>
        </w:rPr>
        <w:t>.</w:t>
      </w:r>
    </w:p>
    <w:p w14:paraId="481E5050" w14:textId="072C1B25" w:rsidR="00F00979" w:rsidRPr="00085FA2" w:rsidRDefault="00B40E18" w:rsidP="00F00979">
      <w:pPr>
        <w:spacing w:line="480" w:lineRule="auto"/>
        <w:rPr>
          <w:noProof/>
          <w:sz w:val="24"/>
          <w:szCs w:val="24"/>
          <w:lang w:val="en-US"/>
        </w:rPr>
      </w:pPr>
      <w:r w:rsidRPr="00085FA2">
        <w:rPr>
          <w:noProof/>
          <w:sz w:val="24"/>
          <w:szCs w:val="24"/>
          <w:lang w:val="en-US"/>
        </w:rPr>
        <w:tab/>
        <w:t xml:space="preserve">The need for rapid protection </w:t>
      </w:r>
      <w:r w:rsidR="00606081" w:rsidRPr="00085FA2">
        <w:rPr>
          <w:noProof/>
          <w:sz w:val="24"/>
          <w:szCs w:val="24"/>
          <w:lang w:val="en-US"/>
        </w:rPr>
        <w:t xml:space="preserve">of populations </w:t>
      </w:r>
      <w:r w:rsidRPr="00085FA2">
        <w:rPr>
          <w:noProof/>
          <w:sz w:val="24"/>
          <w:szCs w:val="24"/>
          <w:lang w:val="en-US"/>
        </w:rPr>
        <w:t xml:space="preserve">against </w:t>
      </w:r>
      <w:r w:rsidR="00FB6733" w:rsidRPr="00085FA2">
        <w:rPr>
          <w:noProof/>
          <w:sz w:val="24"/>
          <w:szCs w:val="24"/>
          <w:lang w:val="en-US"/>
        </w:rPr>
        <w:t>COVID-19</w:t>
      </w:r>
      <w:r w:rsidRPr="00085FA2">
        <w:rPr>
          <w:noProof/>
          <w:sz w:val="24"/>
          <w:szCs w:val="24"/>
          <w:lang w:val="en-US"/>
        </w:rPr>
        <w:t xml:space="preserve"> has evoked the use of multiple vaccine platforms</w:t>
      </w:r>
      <w:r w:rsidR="00BE2F4D" w:rsidRPr="00085FA2">
        <w:rPr>
          <w:noProof/>
          <w:sz w:val="24"/>
          <w:szCs w:val="24"/>
          <w:lang w:val="en-US"/>
        </w:rPr>
        <w:t>.</w:t>
      </w:r>
      <w:r w:rsidR="002B3215" w:rsidRPr="00085FA2">
        <w:rPr>
          <w:noProof/>
          <w:sz w:val="24"/>
          <w:szCs w:val="24"/>
          <w:lang w:val="en-US"/>
        </w:rPr>
        <w:t xml:space="preserve">  However, </w:t>
      </w:r>
      <w:r w:rsidR="00474BFF" w:rsidRPr="00085FA2">
        <w:rPr>
          <w:noProof/>
          <w:sz w:val="24"/>
          <w:szCs w:val="24"/>
          <w:lang w:val="en-US"/>
        </w:rPr>
        <w:t xml:space="preserve">thus far </w:t>
      </w:r>
      <w:r w:rsidR="002B3215" w:rsidRPr="00085FA2">
        <w:rPr>
          <w:noProof/>
          <w:sz w:val="24"/>
          <w:szCs w:val="24"/>
          <w:lang w:val="en-US"/>
        </w:rPr>
        <w:t>the common feature</w:t>
      </w:r>
      <w:r w:rsidR="00474BFF" w:rsidRPr="00085FA2">
        <w:rPr>
          <w:noProof/>
          <w:sz w:val="24"/>
          <w:szCs w:val="24"/>
          <w:lang w:val="en-US"/>
        </w:rPr>
        <w:t xml:space="preserve"> of those platforms </w:t>
      </w:r>
      <w:r w:rsidR="002B3215" w:rsidRPr="00085FA2">
        <w:rPr>
          <w:noProof/>
          <w:sz w:val="24"/>
          <w:szCs w:val="24"/>
          <w:lang w:val="en-US"/>
        </w:rPr>
        <w:t>that correlate</w:t>
      </w:r>
      <w:r w:rsidR="00606081" w:rsidRPr="00085FA2">
        <w:rPr>
          <w:noProof/>
          <w:sz w:val="24"/>
          <w:szCs w:val="24"/>
          <w:lang w:val="en-US"/>
        </w:rPr>
        <w:t>s</w:t>
      </w:r>
      <w:r w:rsidR="002B3215" w:rsidRPr="00085FA2">
        <w:rPr>
          <w:noProof/>
          <w:sz w:val="24"/>
          <w:szCs w:val="24"/>
          <w:lang w:val="en-US"/>
        </w:rPr>
        <w:t xml:space="preserve"> with protection is the induction of neutralizing antibodies.  Although</w:t>
      </w:r>
      <w:r w:rsidR="00474BFF" w:rsidRPr="00085FA2">
        <w:rPr>
          <w:noProof/>
          <w:sz w:val="24"/>
          <w:szCs w:val="24"/>
          <w:lang w:val="en-US"/>
        </w:rPr>
        <w:t xml:space="preserve"> evidence for</w:t>
      </w:r>
      <w:r w:rsidR="002B3215" w:rsidRPr="00085FA2">
        <w:rPr>
          <w:noProof/>
          <w:sz w:val="24"/>
          <w:szCs w:val="24"/>
          <w:lang w:val="en-US"/>
        </w:rPr>
        <w:t xml:space="preserve"> the primacy of those antibodies for protection will be </w:t>
      </w:r>
      <w:r w:rsidR="00474BFF" w:rsidRPr="00085FA2">
        <w:rPr>
          <w:noProof/>
          <w:sz w:val="24"/>
          <w:szCs w:val="24"/>
          <w:lang w:val="en-US"/>
        </w:rPr>
        <w:t xml:space="preserve">presented </w:t>
      </w:r>
      <w:r w:rsidR="002B3215" w:rsidRPr="00085FA2">
        <w:rPr>
          <w:noProof/>
          <w:sz w:val="24"/>
          <w:szCs w:val="24"/>
          <w:lang w:val="en-US"/>
        </w:rPr>
        <w:t xml:space="preserve">below, we will also </w:t>
      </w:r>
      <w:r w:rsidR="00606081" w:rsidRPr="00085FA2">
        <w:rPr>
          <w:noProof/>
          <w:sz w:val="24"/>
          <w:szCs w:val="24"/>
          <w:lang w:val="en-US"/>
        </w:rPr>
        <w:t xml:space="preserve">summarize the evidence </w:t>
      </w:r>
      <w:r w:rsidR="002B3215" w:rsidRPr="00085FA2">
        <w:rPr>
          <w:noProof/>
          <w:sz w:val="24"/>
          <w:szCs w:val="24"/>
          <w:lang w:val="en-US"/>
        </w:rPr>
        <w:t xml:space="preserve">that </w:t>
      </w:r>
      <w:r w:rsidR="00606081" w:rsidRPr="00085FA2">
        <w:rPr>
          <w:noProof/>
          <w:sz w:val="24"/>
          <w:szCs w:val="24"/>
          <w:lang w:val="en-US"/>
        </w:rPr>
        <w:t xml:space="preserve">memory B cells, antibody </w:t>
      </w:r>
      <w:r w:rsidR="00311404" w:rsidRPr="00085FA2">
        <w:rPr>
          <w:noProof/>
          <w:sz w:val="24"/>
          <w:szCs w:val="24"/>
          <w:lang w:val="en-US"/>
        </w:rPr>
        <w:t xml:space="preserve">Fc </w:t>
      </w:r>
      <w:r w:rsidR="00606081" w:rsidRPr="00085FA2">
        <w:rPr>
          <w:noProof/>
          <w:sz w:val="24"/>
          <w:szCs w:val="24"/>
          <w:lang w:val="en-US"/>
        </w:rPr>
        <w:t>e</w:t>
      </w:r>
      <w:r w:rsidR="00311404" w:rsidRPr="00085FA2">
        <w:rPr>
          <w:noProof/>
          <w:sz w:val="24"/>
          <w:szCs w:val="24"/>
          <w:lang w:val="en-US"/>
        </w:rPr>
        <w:t xml:space="preserve">ffector </w:t>
      </w:r>
      <w:r w:rsidR="00606081" w:rsidRPr="00085FA2">
        <w:rPr>
          <w:noProof/>
          <w:sz w:val="24"/>
          <w:szCs w:val="24"/>
          <w:lang w:val="en-US"/>
        </w:rPr>
        <w:t xml:space="preserve">functions, </w:t>
      </w:r>
      <w:r w:rsidR="00311404" w:rsidRPr="00085FA2">
        <w:rPr>
          <w:noProof/>
          <w:sz w:val="24"/>
          <w:szCs w:val="24"/>
          <w:lang w:val="en-US"/>
        </w:rPr>
        <w:t>and T cell responses</w:t>
      </w:r>
      <w:r w:rsidR="002B3215" w:rsidRPr="00085FA2">
        <w:rPr>
          <w:noProof/>
          <w:sz w:val="24"/>
          <w:szCs w:val="24"/>
          <w:lang w:val="en-US"/>
        </w:rPr>
        <w:t xml:space="preserve"> contribute to protection, </w:t>
      </w:r>
      <w:r w:rsidR="00311404" w:rsidRPr="00085FA2">
        <w:rPr>
          <w:noProof/>
          <w:sz w:val="24"/>
          <w:szCs w:val="24"/>
          <w:lang w:val="en-US"/>
        </w:rPr>
        <w:t>with</w:t>
      </w:r>
      <w:r w:rsidR="002B3215" w:rsidRPr="00085FA2">
        <w:rPr>
          <w:noProof/>
          <w:sz w:val="24"/>
          <w:szCs w:val="24"/>
          <w:lang w:val="en-US"/>
        </w:rPr>
        <w:t xml:space="preserve"> the</w:t>
      </w:r>
      <w:r w:rsidR="00311404" w:rsidRPr="00085FA2">
        <w:rPr>
          <w:noProof/>
          <w:sz w:val="24"/>
          <w:szCs w:val="24"/>
          <w:lang w:val="en-US"/>
        </w:rPr>
        <w:t xml:space="preserve"> relative importance of each being</w:t>
      </w:r>
      <w:r w:rsidR="002B3215" w:rsidRPr="00085FA2">
        <w:rPr>
          <w:noProof/>
          <w:sz w:val="24"/>
          <w:szCs w:val="24"/>
          <w:lang w:val="en-US"/>
        </w:rPr>
        <w:t xml:space="preserve"> dependent on the </w:t>
      </w:r>
      <w:r w:rsidR="00311404" w:rsidRPr="00085FA2">
        <w:rPr>
          <w:noProof/>
          <w:sz w:val="24"/>
          <w:szCs w:val="24"/>
          <w:lang w:val="en-US"/>
        </w:rPr>
        <w:t xml:space="preserve">specific </w:t>
      </w:r>
      <w:r w:rsidR="002B3215" w:rsidRPr="00085FA2">
        <w:rPr>
          <w:noProof/>
          <w:sz w:val="24"/>
          <w:szCs w:val="24"/>
          <w:lang w:val="en-US"/>
        </w:rPr>
        <w:t>vaccine and the population in which it is used.</w:t>
      </w:r>
      <w:r w:rsidR="003A6C89" w:rsidRPr="00085FA2">
        <w:rPr>
          <w:noProof/>
          <w:sz w:val="24"/>
          <w:szCs w:val="24"/>
          <w:lang w:val="en-US"/>
        </w:rPr>
        <w:t xml:space="preserve"> </w:t>
      </w:r>
      <w:r w:rsidR="0042643B">
        <w:rPr>
          <w:noProof/>
          <w:sz w:val="24"/>
          <w:szCs w:val="24"/>
          <w:lang w:val="en-US"/>
        </w:rPr>
        <w:t xml:space="preserve"> Primary contributors to sections were David Goldblatt (neutralizing antibodies), Shane Crotty (memory B cells and T cells), and Galit Alter (Fc functions).</w:t>
      </w:r>
    </w:p>
    <w:p w14:paraId="7D4CB9C3" w14:textId="77777777" w:rsidR="0042643B" w:rsidRDefault="0042643B" w:rsidP="00142204">
      <w:pPr>
        <w:jc w:val="both"/>
        <w:rPr>
          <w:rFonts w:ascii="Arial" w:hAnsi="Arial" w:cs="Arial"/>
          <w:b/>
          <w:bCs/>
          <w:noProof/>
          <w:lang w:val="en-US"/>
        </w:rPr>
      </w:pPr>
    </w:p>
    <w:p w14:paraId="473D8AE9" w14:textId="421A12B6" w:rsidR="00142204" w:rsidRPr="00085FA2" w:rsidRDefault="00142204" w:rsidP="00142204">
      <w:pPr>
        <w:jc w:val="both"/>
        <w:rPr>
          <w:rFonts w:ascii="Arial" w:hAnsi="Arial" w:cs="Arial"/>
          <w:b/>
          <w:bCs/>
          <w:noProof/>
          <w:lang w:val="en-US"/>
        </w:rPr>
      </w:pPr>
      <w:r w:rsidRPr="00085FA2">
        <w:rPr>
          <w:rFonts w:ascii="Arial" w:hAnsi="Arial" w:cs="Arial"/>
          <w:b/>
          <w:bCs/>
          <w:noProof/>
          <w:lang w:val="en-US"/>
        </w:rPr>
        <w:lastRenderedPageBreak/>
        <w:t>Humoral Immunity/Neutrali</w:t>
      </w:r>
      <w:r w:rsidR="00BE2F4D" w:rsidRPr="00085FA2">
        <w:rPr>
          <w:rFonts w:ascii="Arial" w:hAnsi="Arial" w:cs="Arial"/>
          <w:b/>
          <w:bCs/>
          <w:noProof/>
          <w:lang w:val="en-US"/>
        </w:rPr>
        <w:t>z</w:t>
      </w:r>
      <w:r w:rsidRPr="00085FA2">
        <w:rPr>
          <w:rFonts w:ascii="Arial" w:hAnsi="Arial" w:cs="Arial"/>
          <w:b/>
          <w:bCs/>
          <w:noProof/>
          <w:lang w:val="en-US"/>
        </w:rPr>
        <w:t>ing Antibodies.</w:t>
      </w:r>
    </w:p>
    <w:p w14:paraId="1F06D94C" w14:textId="77777777" w:rsidR="00142204" w:rsidRPr="00085FA2" w:rsidRDefault="00142204" w:rsidP="00142204">
      <w:pPr>
        <w:spacing w:line="480" w:lineRule="auto"/>
        <w:ind w:firstLine="720"/>
        <w:rPr>
          <w:rFonts w:eastAsia="Times New Roman" w:cstheme="minorHAnsi"/>
          <w:noProof/>
          <w:color w:val="000000"/>
          <w:sz w:val="24"/>
          <w:szCs w:val="24"/>
          <w:shd w:val="clear" w:color="auto" w:fill="FFFFFF"/>
          <w:lang w:val="en-US"/>
        </w:rPr>
      </w:pPr>
      <w:r w:rsidRPr="00085FA2">
        <w:rPr>
          <w:rFonts w:eastAsia="Times New Roman" w:cstheme="minorHAnsi"/>
          <w:noProof/>
          <w:color w:val="000000"/>
          <w:sz w:val="24"/>
          <w:szCs w:val="24"/>
          <w:shd w:val="clear" w:color="auto" w:fill="FFFFFF"/>
          <w:lang w:val="en-US"/>
        </w:rPr>
        <w:t xml:space="preserve">SARS-CoV-2 is a single-stranded positive-sense RNA virus of approximately 29.9kb and its genome codes for four structural proteins and sixteen non-structural proteins (nsp1−16). </w:t>
      </w:r>
      <w:r w:rsidRPr="00085FA2">
        <w:rPr>
          <w:rFonts w:eastAsia="Times New Roman" w:cstheme="minorHAnsi"/>
          <w:noProof/>
          <w:sz w:val="24"/>
          <w:szCs w:val="24"/>
          <w:lang w:val="en-US"/>
        </w:rPr>
        <w:t xml:space="preserve"> </w:t>
      </w:r>
      <w:r w:rsidRPr="00085FA2">
        <w:rPr>
          <w:rFonts w:eastAsia="Times New Roman" w:cstheme="minorHAnsi"/>
          <w:noProof/>
          <w:color w:val="000000"/>
          <w:sz w:val="24"/>
          <w:szCs w:val="24"/>
          <w:shd w:val="clear" w:color="auto" w:fill="FFFFFF"/>
          <w:lang w:val="en-US"/>
        </w:rPr>
        <w:t xml:space="preserve">The structural nucleocapsid protein (N) forms the capsid outside the genome and the genome is further packed by an envelope which is associated with three structural proteins: membrane protein (M), transmembrane spike protein (S), and envelope protein (E).  The heavily glycosylated S protein is post translationally cleaved by mammalian furin into two subunits, </w:t>
      </w:r>
      <w:r w:rsidRPr="00085FA2">
        <w:rPr>
          <w:rFonts w:cstheme="minorHAnsi"/>
          <w:noProof/>
          <w:sz w:val="24"/>
          <w:szCs w:val="24"/>
          <w:lang w:val="en-US"/>
        </w:rPr>
        <w:t xml:space="preserve">S1 and S2; the S1 subunit contains an amino N terminal Domain (NTD) and a Receptor Binding Domain (RBD) that binds to the host cell surface </w:t>
      </w:r>
      <w:r w:rsidRPr="00085FA2">
        <w:rPr>
          <w:rFonts w:eastAsia="Times New Roman" w:cstheme="minorHAnsi"/>
          <w:noProof/>
          <w:color w:val="000000"/>
          <w:sz w:val="24"/>
          <w:szCs w:val="24"/>
          <w:shd w:val="clear" w:color="auto" w:fill="FFFFFF"/>
          <w:lang w:val="en-US"/>
        </w:rPr>
        <w:t>angiotensin-converting enzyme 2 receptor (</w:t>
      </w:r>
      <w:r w:rsidRPr="00085FA2">
        <w:rPr>
          <w:rFonts w:cstheme="minorHAnsi"/>
          <w:noProof/>
          <w:sz w:val="24"/>
          <w:szCs w:val="24"/>
          <w:lang w:val="en-US"/>
        </w:rPr>
        <w:t>ACE2) while the S2 subunit is responsible for the host-virus membrane fusion. The spike protein transiently undergoes conformational changes under the influence of furin which results in a hinge like lifting of RBD (so called “open” conformation) which facilitates ACE2 binding (reviewed in</w:t>
      </w:r>
      <w:r w:rsidRPr="00085FA2">
        <w:rPr>
          <w:rFonts w:cstheme="minorHAnsi"/>
          <w:noProof/>
          <w:sz w:val="24"/>
          <w:szCs w:val="24"/>
          <w:vertAlign w:val="superscript"/>
          <w:lang w:val="en-US"/>
        </w:rPr>
        <w:t xml:space="preserve">1 </w:t>
      </w:r>
      <w:r w:rsidRPr="00085FA2">
        <w:rPr>
          <w:rFonts w:cstheme="minorHAnsi"/>
          <w:noProof/>
          <w:sz w:val="24"/>
          <w:szCs w:val="24"/>
          <w:lang w:val="en-US"/>
        </w:rPr>
        <w:t xml:space="preserve">). </w:t>
      </w:r>
      <w:r w:rsidRPr="00085FA2">
        <w:rPr>
          <w:rFonts w:eastAsia="Times New Roman" w:cstheme="minorHAnsi"/>
          <w:noProof/>
          <w:color w:val="000000"/>
          <w:sz w:val="24"/>
          <w:szCs w:val="24"/>
          <w:shd w:val="clear" w:color="auto" w:fill="FFFFFF"/>
          <w:lang w:val="en-US"/>
        </w:rPr>
        <w:t xml:space="preserve">SARS-CoV-2 infects host cells through this attachment of S1 to ACE2 followed by fusion of the viral envelope and host cell mediated by S2. </w:t>
      </w:r>
    </w:p>
    <w:p w14:paraId="64CB0B7A" w14:textId="77777777" w:rsidR="00142204" w:rsidRPr="00085FA2" w:rsidRDefault="00142204" w:rsidP="00142204">
      <w:pPr>
        <w:spacing w:line="480" w:lineRule="auto"/>
        <w:ind w:firstLine="720"/>
        <w:rPr>
          <w:rFonts w:eastAsia="Times New Roman" w:cstheme="minorHAnsi"/>
          <w:noProof/>
          <w:color w:val="000000"/>
          <w:sz w:val="24"/>
          <w:szCs w:val="24"/>
          <w:shd w:val="clear" w:color="auto" w:fill="FFFFFF"/>
          <w:lang w:val="en-US"/>
        </w:rPr>
      </w:pPr>
      <w:r w:rsidRPr="00085FA2">
        <w:rPr>
          <w:rFonts w:cstheme="minorHAnsi"/>
          <w:noProof/>
          <w:sz w:val="24"/>
          <w:szCs w:val="24"/>
          <w:lang w:val="en-US"/>
        </w:rPr>
        <w:t>Antibodies to structural proteins of SARS-CoV-2 are induced following natural infection</w:t>
      </w:r>
      <w:r w:rsidRPr="00085FA2">
        <w:rPr>
          <w:rFonts w:cstheme="minorHAnsi"/>
          <w:noProof/>
          <w:sz w:val="24"/>
          <w:szCs w:val="24"/>
          <w:vertAlign w:val="superscript"/>
          <w:lang w:val="en-US"/>
        </w:rPr>
        <w:t>2</w:t>
      </w:r>
      <w:r w:rsidRPr="00085FA2">
        <w:rPr>
          <w:rFonts w:cstheme="minorHAnsi"/>
          <w:noProof/>
          <w:sz w:val="24"/>
          <w:szCs w:val="24"/>
          <w:lang w:val="en-US"/>
        </w:rPr>
        <w:t>. Serum IgM and IgA appear earlier than IgG, peak between 2- and 5-weeks post infection and then decline with IgA persisting longer than IgM. IgG peaks slightly later (3-7 weeks post symptom onset) and then persists</w:t>
      </w:r>
      <w:r w:rsidRPr="00085FA2">
        <w:rPr>
          <w:rFonts w:cstheme="minorHAnsi"/>
          <w:noProof/>
          <w:sz w:val="24"/>
          <w:szCs w:val="24"/>
          <w:vertAlign w:val="superscript"/>
          <w:lang w:val="en-US"/>
        </w:rPr>
        <w:t>3</w:t>
      </w:r>
      <w:r w:rsidRPr="00085FA2">
        <w:rPr>
          <w:rFonts w:cstheme="minorHAnsi"/>
          <w:noProof/>
          <w:sz w:val="24"/>
          <w:szCs w:val="24"/>
          <w:lang w:val="en-US"/>
        </w:rPr>
        <w:t>. Concentrations of all isotypes correlate with severity of disease; the highest concentrations are seen in those with severe disease and the lowest concentrations in those with asymptomatic infection</w:t>
      </w:r>
      <w:r w:rsidRPr="00085FA2">
        <w:rPr>
          <w:rFonts w:cstheme="minorHAnsi"/>
          <w:noProof/>
          <w:sz w:val="24"/>
          <w:szCs w:val="24"/>
          <w:vertAlign w:val="superscript"/>
          <w:lang w:val="en-US"/>
        </w:rPr>
        <w:t>4,5</w:t>
      </w:r>
      <w:r w:rsidRPr="00085FA2">
        <w:rPr>
          <w:rFonts w:cstheme="minorHAnsi"/>
          <w:noProof/>
          <w:sz w:val="24"/>
          <w:szCs w:val="24"/>
          <w:lang w:val="en-US"/>
        </w:rPr>
        <w:t xml:space="preserve">. Neutralising antibodies are detectable within seven to 15 days following disease onset, with levels increasing until days 14–22 before levelling off and then decreasing, but titres are lower in those with asymptomatic or clinically </w:t>
      </w:r>
      <w:r w:rsidRPr="00085FA2">
        <w:rPr>
          <w:rFonts w:cstheme="minorHAnsi"/>
          <w:noProof/>
          <w:sz w:val="24"/>
          <w:szCs w:val="24"/>
          <w:lang w:val="en-US"/>
        </w:rPr>
        <w:lastRenderedPageBreak/>
        <w:t>mild disease.</w:t>
      </w:r>
      <w:r w:rsidRPr="00085FA2">
        <w:rPr>
          <w:rFonts w:eastAsia="Times New Roman" w:cstheme="minorHAnsi"/>
          <w:noProof/>
          <w:color w:val="000000"/>
          <w:sz w:val="24"/>
          <w:szCs w:val="24"/>
          <w:shd w:val="clear" w:color="auto" w:fill="FFFFFF"/>
          <w:lang w:val="en-US"/>
        </w:rPr>
        <w:t xml:space="preserve"> </w:t>
      </w:r>
      <w:r w:rsidRPr="00085FA2">
        <w:rPr>
          <w:rFonts w:cstheme="minorHAnsi"/>
          <w:noProof/>
          <w:sz w:val="24"/>
          <w:szCs w:val="24"/>
          <w:lang w:val="en-US"/>
        </w:rPr>
        <w:t>Ninety percent of antibodies derived from serum or plasma of individuals infected with SARS-CoV-2 which have neutralising activity are targeted at the spike RBD</w:t>
      </w:r>
      <w:r w:rsidRPr="00085FA2">
        <w:rPr>
          <w:rFonts w:cstheme="minorHAnsi"/>
          <w:noProof/>
          <w:sz w:val="24"/>
          <w:szCs w:val="24"/>
          <w:vertAlign w:val="superscript"/>
          <w:lang w:val="en-US"/>
        </w:rPr>
        <w:t>6</w:t>
      </w:r>
      <w:r w:rsidRPr="00085FA2">
        <w:rPr>
          <w:rFonts w:cstheme="minorHAnsi"/>
          <w:noProof/>
          <w:sz w:val="24"/>
          <w:szCs w:val="24"/>
          <w:lang w:val="en-US"/>
        </w:rPr>
        <w:t>. Analysis of the crystal structure of RBD-bound antibody revealed that steric hindrance inhibited viral engagement with ACE2, thereby blocking viral entry</w:t>
      </w:r>
      <w:r w:rsidRPr="00085FA2">
        <w:rPr>
          <w:rFonts w:cstheme="minorHAnsi"/>
          <w:noProof/>
          <w:sz w:val="24"/>
          <w:szCs w:val="24"/>
          <w:vertAlign w:val="superscript"/>
          <w:lang w:val="en-US"/>
        </w:rPr>
        <w:t>7</w:t>
      </w:r>
      <w:r w:rsidRPr="00085FA2">
        <w:rPr>
          <w:rFonts w:cstheme="minorHAnsi"/>
          <w:noProof/>
          <w:sz w:val="24"/>
          <w:szCs w:val="24"/>
          <w:lang w:val="en-US"/>
        </w:rPr>
        <w:t>. The most potent neutralizing antibodies were the most competitive with ACE2, indicating that blocking the interaction between RBD and ACE2 is a useful surrogate for neutralization. Detailed analysis of neutralising antibody interaction with the RBD has revealed that ACE2 blocking antibodies can bind spike and RBD in both open and closed conformations while some antibodies bind RBD but do not block ACE2 and a 4</w:t>
      </w:r>
      <w:r w:rsidRPr="00085FA2">
        <w:rPr>
          <w:rFonts w:cstheme="minorHAnsi"/>
          <w:noProof/>
          <w:sz w:val="24"/>
          <w:szCs w:val="24"/>
          <w:vertAlign w:val="superscript"/>
          <w:lang w:val="en-US"/>
        </w:rPr>
        <w:t>th</w:t>
      </w:r>
      <w:r w:rsidRPr="00085FA2">
        <w:rPr>
          <w:rFonts w:cstheme="minorHAnsi"/>
          <w:noProof/>
          <w:sz w:val="24"/>
          <w:szCs w:val="24"/>
          <w:lang w:val="en-US"/>
        </w:rPr>
        <w:t xml:space="preserve"> class of neutralising antibody bind outside of the ACE2 blocking site, but only in the open confirmation</w:t>
      </w:r>
      <w:r w:rsidRPr="00085FA2">
        <w:rPr>
          <w:rFonts w:cstheme="minorHAnsi"/>
          <w:noProof/>
          <w:sz w:val="24"/>
          <w:szCs w:val="24"/>
          <w:vertAlign w:val="superscript"/>
          <w:lang w:val="en-US"/>
        </w:rPr>
        <w:t>8</w:t>
      </w:r>
      <w:r w:rsidRPr="00085FA2">
        <w:rPr>
          <w:rFonts w:cstheme="minorHAnsi"/>
          <w:noProof/>
          <w:sz w:val="24"/>
          <w:szCs w:val="24"/>
          <w:lang w:val="en-US"/>
        </w:rPr>
        <w:t>.</w:t>
      </w:r>
    </w:p>
    <w:p w14:paraId="5C84437A" w14:textId="70B1D443"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 xml:space="preserve">Although RBD is immunodominant, there is evidence for a substantial role of other spike regions in antigenicity, most notably the N terminal domain (NTD). NTD antibodies may also have neutralising activity; McCallum and colleagues identified a “supersite” on the NTD that was recognised by all NTD-specific neutralising monoclonal antibodies derived from memory B cells isolated from 3 survivors of </w:t>
      </w:r>
      <w:r w:rsidR="00606081" w:rsidRPr="00085FA2">
        <w:rPr>
          <w:rFonts w:cstheme="minorHAnsi"/>
          <w:noProof/>
          <w:sz w:val="24"/>
          <w:szCs w:val="24"/>
          <w:lang w:val="en-US"/>
        </w:rPr>
        <w:t>SARS-CoV-2</w:t>
      </w:r>
      <w:r w:rsidRPr="00085FA2">
        <w:rPr>
          <w:rFonts w:cstheme="minorHAnsi"/>
          <w:noProof/>
          <w:sz w:val="24"/>
          <w:szCs w:val="24"/>
          <w:lang w:val="en-US"/>
        </w:rPr>
        <w:t xml:space="preserve"> infection</w:t>
      </w:r>
      <w:r w:rsidRPr="00085FA2">
        <w:rPr>
          <w:rFonts w:cstheme="minorHAnsi"/>
          <w:noProof/>
          <w:sz w:val="24"/>
          <w:szCs w:val="24"/>
          <w:vertAlign w:val="superscript"/>
          <w:lang w:val="en-US"/>
        </w:rPr>
        <w:t>9</w:t>
      </w:r>
      <w:r w:rsidRPr="00085FA2">
        <w:rPr>
          <w:rFonts w:cstheme="minorHAnsi"/>
          <w:noProof/>
          <w:sz w:val="24"/>
          <w:szCs w:val="24"/>
          <w:lang w:val="en-US"/>
        </w:rPr>
        <w:t>. The mechanism of neutralization by which NTD- specific antibodies act remains to be fully determined, although it may involve the inhibition of conformational changes</w:t>
      </w:r>
      <w:r w:rsidRPr="00085FA2">
        <w:rPr>
          <w:rFonts w:cstheme="minorHAnsi"/>
          <w:noProof/>
          <w:sz w:val="24"/>
          <w:szCs w:val="24"/>
          <w:vertAlign w:val="superscript"/>
          <w:lang w:val="en-US"/>
        </w:rPr>
        <w:t>10</w:t>
      </w:r>
      <w:r w:rsidRPr="00085FA2">
        <w:rPr>
          <w:rFonts w:cstheme="minorHAnsi"/>
          <w:noProof/>
          <w:sz w:val="24"/>
          <w:szCs w:val="24"/>
          <w:lang w:val="en-US"/>
        </w:rPr>
        <w:t xml:space="preserve"> or interaction with C type lectins such as DC-SIGN, L-SIGN and SIGLEC1 </w:t>
      </w:r>
      <w:r w:rsidRPr="00085FA2">
        <w:rPr>
          <w:rFonts w:cstheme="minorHAnsi"/>
          <w:noProof/>
          <w:sz w:val="24"/>
          <w:szCs w:val="24"/>
          <w:vertAlign w:val="superscript"/>
          <w:lang w:val="en-US"/>
        </w:rPr>
        <w:t>11</w:t>
      </w:r>
      <w:r w:rsidRPr="00085FA2">
        <w:rPr>
          <w:rFonts w:cstheme="minorHAnsi"/>
          <w:noProof/>
          <w:sz w:val="24"/>
          <w:szCs w:val="24"/>
          <w:lang w:val="en-US"/>
        </w:rPr>
        <w:t>. Recent reports also suggest that antibodies directed at the NTD may enhance the infectivity of the virus by inducing the open conformation of RBD, thus enhancing the binding capacity of the spike protein to ACE2 and infectivity of SARS-CoV-2</w:t>
      </w:r>
      <w:r w:rsidRPr="00085FA2">
        <w:rPr>
          <w:rFonts w:cstheme="minorHAnsi"/>
          <w:noProof/>
          <w:sz w:val="24"/>
          <w:szCs w:val="24"/>
          <w:vertAlign w:val="superscript"/>
          <w:lang w:val="en-US"/>
        </w:rPr>
        <w:t xml:space="preserve">12 </w:t>
      </w:r>
      <w:r w:rsidRPr="00085FA2">
        <w:rPr>
          <w:rFonts w:cstheme="minorHAnsi"/>
          <w:noProof/>
          <w:sz w:val="24"/>
          <w:szCs w:val="24"/>
          <w:lang w:val="en-US"/>
        </w:rPr>
        <w:t>although such in-vitro enhancement of infection does not necessarily translate into enhanced infection in vivo</w:t>
      </w:r>
      <w:r w:rsidRPr="003473FC">
        <w:rPr>
          <w:rFonts w:cstheme="minorHAnsi"/>
          <w:noProof/>
          <w:sz w:val="24"/>
          <w:szCs w:val="24"/>
          <w:lang w:val="en-US"/>
        </w:rPr>
        <w:t>.</w:t>
      </w:r>
      <w:r w:rsidR="00886CE5" w:rsidRPr="00085FA2">
        <w:rPr>
          <w:rFonts w:cstheme="minorHAnsi"/>
          <w:noProof/>
          <w:sz w:val="24"/>
          <w:szCs w:val="24"/>
          <w:vertAlign w:val="superscript"/>
          <w:lang w:val="en-US"/>
        </w:rPr>
        <w:t>13</w:t>
      </w:r>
      <w:r w:rsidRPr="00085FA2">
        <w:rPr>
          <w:rFonts w:cstheme="minorHAnsi"/>
          <w:noProof/>
          <w:sz w:val="24"/>
          <w:szCs w:val="24"/>
          <w:lang w:val="en-US"/>
        </w:rPr>
        <w:t xml:space="preserve"> </w:t>
      </w:r>
    </w:p>
    <w:p w14:paraId="591D7855" w14:textId="436A67DB"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lastRenderedPageBreak/>
        <w:t xml:space="preserve">The potency of neutralising antibodies has been shown to be a predictor of survival in patients with </w:t>
      </w:r>
      <w:r w:rsidR="00FB6733" w:rsidRPr="00085FA2">
        <w:rPr>
          <w:rFonts w:cstheme="minorHAnsi"/>
          <w:noProof/>
          <w:sz w:val="24"/>
          <w:szCs w:val="24"/>
          <w:lang w:val="en-US"/>
        </w:rPr>
        <w:t>COVID-19</w:t>
      </w:r>
      <w:r w:rsidRPr="00085FA2">
        <w:rPr>
          <w:rFonts w:cstheme="minorHAnsi"/>
          <w:noProof/>
          <w:sz w:val="24"/>
          <w:szCs w:val="24"/>
          <w:vertAlign w:val="superscript"/>
          <w:lang w:val="en-US"/>
        </w:rPr>
        <w:t>1</w:t>
      </w:r>
      <w:r w:rsidR="00886CE5" w:rsidRPr="00085FA2">
        <w:rPr>
          <w:rFonts w:cstheme="minorHAnsi"/>
          <w:noProof/>
          <w:sz w:val="24"/>
          <w:szCs w:val="24"/>
          <w:vertAlign w:val="superscript"/>
          <w:lang w:val="en-US"/>
        </w:rPr>
        <w:t>4</w:t>
      </w:r>
      <w:r w:rsidRPr="00085FA2">
        <w:rPr>
          <w:rFonts w:cstheme="minorHAnsi"/>
          <w:noProof/>
          <w:sz w:val="24"/>
          <w:szCs w:val="24"/>
          <w:lang w:val="en-US"/>
        </w:rPr>
        <w:t>. The presence of neutralizing antibodies induced by a previous infection have also been shown to provide robust protection to subsequent reinfection with the same strain</w:t>
      </w:r>
      <w:r w:rsidR="00886CE5" w:rsidRPr="00085FA2">
        <w:rPr>
          <w:rFonts w:cstheme="minorHAnsi"/>
          <w:noProof/>
          <w:sz w:val="24"/>
          <w:szCs w:val="24"/>
          <w:lang w:val="en-US"/>
        </w:rPr>
        <w:t>.</w:t>
      </w:r>
      <w:r w:rsidRPr="00085FA2">
        <w:rPr>
          <w:rFonts w:cstheme="minorHAnsi"/>
          <w:noProof/>
          <w:sz w:val="24"/>
          <w:szCs w:val="24"/>
          <w:vertAlign w:val="superscript"/>
          <w:lang w:val="en-US"/>
        </w:rPr>
        <w:t>1</w:t>
      </w:r>
      <w:r w:rsidR="00886CE5" w:rsidRPr="00085FA2">
        <w:rPr>
          <w:rFonts w:cstheme="minorHAnsi"/>
          <w:noProof/>
          <w:sz w:val="24"/>
          <w:szCs w:val="24"/>
          <w:vertAlign w:val="superscript"/>
          <w:lang w:val="en-US"/>
        </w:rPr>
        <w:t>5</w:t>
      </w:r>
      <w:r w:rsidRPr="00085FA2">
        <w:rPr>
          <w:rFonts w:cstheme="minorHAnsi"/>
          <w:noProof/>
          <w:sz w:val="24"/>
          <w:szCs w:val="24"/>
          <w:lang w:val="en-US"/>
        </w:rPr>
        <w:t xml:space="preserve">  ACE2 receptor inhibition assays as a surrogate for neutralisation and pseudo-virus neutralisation assays utilising pseudo-typed viruses transfected with SARS-CoV-2 spike protein, that do not require BSL3 laboratories for the handling of live virus have contributed to the description of the role of neutralising antibodies and disease</w:t>
      </w:r>
      <w:r w:rsidR="007D50EF" w:rsidRPr="00085FA2">
        <w:rPr>
          <w:rFonts w:cstheme="minorHAnsi"/>
          <w:noProof/>
          <w:sz w:val="24"/>
          <w:szCs w:val="24"/>
          <w:lang w:val="en-US"/>
        </w:rPr>
        <w:t>.</w:t>
      </w:r>
      <w:r w:rsidRPr="00085FA2">
        <w:rPr>
          <w:rFonts w:cstheme="minorHAnsi"/>
          <w:noProof/>
          <w:sz w:val="24"/>
          <w:szCs w:val="24"/>
          <w:vertAlign w:val="superscript"/>
          <w:lang w:val="en-US"/>
        </w:rPr>
        <w:t>1</w:t>
      </w:r>
      <w:r w:rsidR="007D50EF" w:rsidRPr="00085FA2">
        <w:rPr>
          <w:rFonts w:cstheme="minorHAnsi"/>
          <w:noProof/>
          <w:sz w:val="24"/>
          <w:szCs w:val="24"/>
          <w:vertAlign w:val="superscript"/>
          <w:lang w:val="en-US"/>
        </w:rPr>
        <w:t>6</w:t>
      </w:r>
    </w:p>
    <w:p w14:paraId="5A9E4CFD" w14:textId="641F089C"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Mutations can occur in any region of the SARS-CoV-2 genome although most do not modify the primary amino acid sequence and hence the function of the translated proteins or viral infectivity. However, a single mutation, or a combination of mutations, can yield variants with selective and survival advantages and improved viral fitness and several variants of concern (VOC) have spread worldwide. The first VOC, designated Alpha by the WHO (B.1.1.7 lineage) demonstrated increased transmissibility and had several mutations in the spike protein including D614G, N501Y and deletions DH69/DV70. The RBD N501Y mutation was shown to increase the binding affinity for the ACE2 receptor</w:t>
      </w:r>
      <w:r w:rsidRPr="00085FA2">
        <w:rPr>
          <w:rFonts w:cstheme="minorHAnsi"/>
          <w:noProof/>
          <w:sz w:val="24"/>
          <w:szCs w:val="24"/>
          <w:vertAlign w:val="superscript"/>
          <w:lang w:val="en-US"/>
        </w:rPr>
        <w:t>1</w:t>
      </w:r>
      <w:r w:rsidR="007D50EF" w:rsidRPr="00085FA2">
        <w:rPr>
          <w:rFonts w:cstheme="minorHAnsi"/>
          <w:noProof/>
          <w:sz w:val="24"/>
          <w:szCs w:val="24"/>
          <w:vertAlign w:val="superscript"/>
          <w:lang w:val="en-US"/>
        </w:rPr>
        <w:t>7</w:t>
      </w:r>
      <w:r w:rsidRPr="00085FA2">
        <w:rPr>
          <w:rFonts w:cstheme="minorHAnsi"/>
          <w:noProof/>
          <w:sz w:val="24"/>
          <w:szCs w:val="24"/>
          <w:lang w:val="en-US"/>
        </w:rPr>
        <w:t xml:space="preserve"> although antibody binding and neutralising activity induced by previous infection or vaccine was generally preserved</w:t>
      </w:r>
      <w:r w:rsidR="007D50EF" w:rsidRPr="00085FA2">
        <w:rPr>
          <w:rFonts w:cstheme="minorHAnsi"/>
          <w:noProof/>
          <w:sz w:val="24"/>
          <w:szCs w:val="24"/>
          <w:lang w:val="en-US"/>
        </w:rPr>
        <w:t>.</w:t>
      </w:r>
      <w:r w:rsidRPr="00085FA2">
        <w:rPr>
          <w:rFonts w:cstheme="minorHAnsi"/>
          <w:noProof/>
          <w:sz w:val="24"/>
          <w:szCs w:val="24"/>
          <w:vertAlign w:val="superscript"/>
          <w:lang w:val="en-US"/>
        </w:rPr>
        <w:t>1</w:t>
      </w:r>
      <w:r w:rsidR="007D50EF" w:rsidRPr="00085FA2">
        <w:rPr>
          <w:rFonts w:cstheme="minorHAnsi"/>
          <w:noProof/>
          <w:sz w:val="24"/>
          <w:szCs w:val="24"/>
          <w:vertAlign w:val="superscript"/>
          <w:lang w:val="en-US"/>
        </w:rPr>
        <w:t>8</w:t>
      </w:r>
      <w:r w:rsidRPr="00085FA2">
        <w:rPr>
          <w:rFonts w:cstheme="minorHAnsi"/>
          <w:noProof/>
          <w:sz w:val="24"/>
          <w:szCs w:val="24"/>
          <w:lang w:val="en-US"/>
        </w:rPr>
        <w:t xml:space="preserve">  The Beta VOC (B.1.351) emerged in South Africa in October 2020 with several structural and non-structural mutations, including three critical mutations in the RBD of the S protein (K417N, E484K, and N501Y). These seemed to play a crucial role in the improved “viral fitness” and survival adaptations compared to the other strains and reduced binding of neutralizing antibodies to spike</w:t>
      </w:r>
      <w:r w:rsidR="007D50EF" w:rsidRPr="00085FA2">
        <w:rPr>
          <w:rFonts w:cstheme="minorHAnsi"/>
          <w:noProof/>
          <w:sz w:val="24"/>
          <w:szCs w:val="24"/>
          <w:lang w:val="en-US"/>
        </w:rPr>
        <w:t>.</w:t>
      </w:r>
      <w:r w:rsidRPr="00085FA2">
        <w:rPr>
          <w:rFonts w:cstheme="minorHAnsi"/>
          <w:noProof/>
          <w:sz w:val="24"/>
          <w:szCs w:val="24"/>
          <w:vertAlign w:val="superscript"/>
          <w:lang w:val="en-US"/>
        </w:rPr>
        <w:t>1</w:t>
      </w:r>
      <w:r w:rsidR="007D50EF" w:rsidRPr="00085FA2">
        <w:rPr>
          <w:rFonts w:cstheme="minorHAnsi"/>
          <w:noProof/>
          <w:sz w:val="24"/>
          <w:szCs w:val="24"/>
          <w:vertAlign w:val="superscript"/>
          <w:lang w:val="en-US"/>
        </w:rPr>
        <w:t>9</w:t>
      </w:r>
    </w:p>
    <w:p w14:paraId="05FC6646" w14:textId="468EFBE5"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lastRenderedPageBreak/>
        <w:t>In late 2020 the Delta variant (B.1.617) was detected in India and spread rapidly worldwide displacing other variants. Notable mutations in the B.1.617.2 variant included L452R, T478K and E484Q in the S RBD and P681R in the cleavage site between S1 and S2. The combination of mutations in the Delta variant seems to impart the virus a selective advantage compared to the original virus and other variants, as evidenced by high transmissibility and infectivity, and immune evasion</w:t>
      </w:r>
      <w:r w:rsidR="007D50EF" w:rsidRPr="00085FA2">
        <w:rPr>
          <w:rFonts w:cstheme="minorHAnsi"/>
          <w:noProof/>
          <w:sz w:val="24"/>
          <w:szCs w:val="24"/>
          <w:lang w:val="en-US"/>
        </w:rPr>
        <w:t>.</w:t>
      </w:r>
      <w:r w:rsidR="007D50EF" w:rsidRPr="00085FA2">
        <w:rPr>
          <w:rFonts w:cstheme="minorHAnsi"/>
          <w:noProof/>
          <w:sz w:val="24"/>
          <w:szCs w:val="24"/>
          <w:vertAlign w:val="superscript"/>
          <w:lang w:val="en-US"/>
        </w:rPr>
        <w:t>20</w:t>
      </w:r>
    </w:p>
    <w:p w14:paraId="3EEC2F2C" w14:textId="48DCFD1D"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In late 2021 the B.1.1.529 variant emerged in Southern Africa and was designated Omicron by the WHO. Omicron contains several mutations present in other variants, such as N501Y (alpha), E484A ~ E484K (beta and gamma), and T478K; P681H ~ P681R (delta) although in total has more than 50 mutations with more than 30 identified in the S gene alone</w:t>
      </w:r>
      <w:r w:rsidR="007D50EF" w:rsidRPr="00085FA2">
        <w:rPr>
          <w:rFonts w:cstheme="minorHAnsi"/>
          <w:noProof/>
          <w:sz w:val="24"/>
          <w:szCs w:val="24"/>
          <w:lang w:val="en-US"/>
        </w:rPr>
        <w:t>.</w:t>
      </w:r>
      <w:r w:rsidRPr="00085FA2">
        <w:rPr>
          <w:rFonts w:cstheme="minorHAnsi"/>
          <w:noProof/>
          <w:sz w:val="24"/>
          <w:szCs w:val="24"/>
          <w:vertAlign w:val="superscript"/>
          <w:lang w:val="en-US"/>
        </w:rPr>
        <w:t>2</w:t>
      </w:r>
      <w:r w:rsidR="007D50EF" w:rsidRPr="00085FA2">
        <w:rPr>
          <w:rFonts w:cstheme="minorHAnsi"/>
          <w:noProof/>
          <w:sz w:val="24"/>
          <w:szCs w:val="24"/>
          <w:vertAlign w:val="superscript"/>
          <w:lang w:val="en-US"/>
        </w:rPr>
        <w:t>1</w:t>
      </w:r>
      <w:r w:rsidRPr="00085FA2">
        <w:rPr>
          <w:rFonts w:cstheme="minorHAnsi"/>
          <w:noProof/>
          <w:sz w:val="24"/>
          <w:szCs w:val="24"/>
          <w:lang w:val="en-US"/>
        </w:rPr>
        <w:t xml:space="preserve"> These mutations are associated with enhanced infectivity and transmissibility and Omicron has also been shown to escape neutralization by monoclonal antibodies, convalescent serum and post vaccine antibody</w:t>
      </w:r>
      <w:r w:rsidR="007D50EF" w:rsidRPr="00085FA2">
        <w:rPr>
          <w:rFonts w:cstheme="minorHAnsi"/>
          <w:noProof/>
          <w:sz w:val="24"/>
          <w:szCs w:val="24"/>
          <w:lang w:val="en-US"/>
        </w:rPr>
        <w:t>.</w:t>
      </w:r>
      <w:r w:rsidRPr="00085FA2">
        <w:rPr>
          <w:rFonts w:cstheme="minorHAnsi"/>
          <w:noProof/>
          <w:sz w:val="24"/>
          <w:szCs w:val="24"/>
          <w:vertAlign w:val="superscript"/>
          <w:lang w:val="en-US"/>
        </w:rPr>
        <w:t>2</w:t>
      </w:r>
      <w:r w:rsidR="007D50EF" w:rsidRPr="00085FA2">
        <w:rPr>
          <w:rFonts w:cstheme="minorHAnsi"/>
          <w:noProof/>
          <w:sz w:val="24"/>
          <w:szCs w:val="24"/>
          <w:vertAlign w:val="superscript"/>
          <w:lang w:val="en-US"/>
        </w:rPr>
        <w:t>2</w:t>
      </w:r>
      <w:r w:rsidRPr="00085FA2">
        <w:rPr>
          <w:rFonts w:cstheme="minorHAnsi"/>
          <w:noProof/>
          <w:sz w:val="24"/>
          <w:szCs w:val="24"/>
          <w:lang w:val="en-US"/>
        </w:rPr>
        <w:t xml:space="preserve">. Overall, with the exception of the Alpha VOC, the emerging VOC’s have been associated with reductions in neutralizing activity of antibodies derived from previously infected or individuals who have undergone primary vaccination </w:t>
      </w:r>
      <w:r w:rsidRPr="00085FA2">
        <w:rPr>
          <w:rFonts w:cstheme="minorHAnsi"/>
          <w:noProof/>
          <w:sz w:val="24"/>
          <w:szCs w:val="24"/>
          <w:vertAlign w:val="superscript"/>
          <w:lang w:val="en-US"/>
        </w:rPr>
        <w:t>2</w:t>
      </w:r>
      <w:r w:rsidR="007D50EF" w:rsidRPr="00085FA2">
        <w:rPr>
          <w:rFonts w:cstheme="minorHAnsi"/>
          <w:noProof/>
          <w:sz w:val="24"/>
          <w:szCs w:val="24"/>
          <w:vertAlign w:val="superscript"/>
          <w:lang w:val="en-US"/>
        </w:rPr>
        <w:t>3</w:t>
      </w:r>
      <w:r w:rsidRPr="00085FA2">
        <w:rPr>
          <w:rFonts w:cstheme="minorHAnsi"/>
          <w:noProof/>
          <w:sz w:val="24"/>
          <w:szCs w:val="24"/>
          <w:vertAlign w:val="superscript"/>
          <w:lang w:val="en-US"/>
        </w:rPr>
        <w:t>-2</w:t>
      </w:r>
      <w:r w:rsidR="007D50EF" w:rsidRPr="00085FA2">
        <w:rPr>
          <w:rFonts w:cstheme="minorHAnsi"/>
          <w:noProof/>
          <w:sz w:val="24"/>
          <w:szCs w:val="24"/>
          <w:vertAlign w:val="superscript"/>
          <w:lang w:val="en-US"/>
        </w:rPr>
        <w:t>6</w:t>
      </w:r>
      <w:r w:rsidRPr="00085FA2">
        <w:rPr>
          <w:rFonts w:cstheme="minorHAnsi"/>
          <w:noProof/>
          <w:sz w:val="24"/>
          <w:szCs w:val="24"/>
          <w:lang w:val="en-US"/>
        </w:rPr>
        <w:t xml:space="preserve"> while Omicron VOC also appears to escape the neutralizing activity of most, but not all of the therapeutic antibodies currently available</w:t>
      </w:r>
      <w:r w:rsidR="006915E1">
        <w:rPr>
          <w:rFonts w:cstheme="minorHAnsi"/>
          <w:noProof/>
          <w:sz w:val="24"/>
          <w:szCs w:val="24"/>
          <w:lang w:val="en-US"/>
        </w:rPr>
        <w:t>.</w:t>
      </w:r>
      <w:r w:rsidRPr="00085FA2">
        <w:rPr>
          <w:rFonts w:cstheme="minorHAnsi"/>
          <w:noProof/>
          <w:sz w:val="24"/>
          <w:szCs w:val="24"/>
          <w:vertAlign w:val="superscript"/>
          <w:lang w:val="en-US"/>
        </w:rPr>
        <w:t>2</w:t>
      </w:r>
      <w:r w:rsidR="007D50EF" w:rsidRPr="00085FA2">
        <w:rPr>
          <w:rFonts w:cstheme="minorHAnsi"/>
          <w:noProof/>
          <w:sz w:val="24"/>
          <w:szCs w:val="24"/>
          <w:vertAlign w:val="superscript"/>
          <w:lang w:val="en-US"/>
        </w:rPr>
        <w:t>7</w:t>
      </w:r>
      <w:r w:rsidRPr="00085FA2">
        <w:rPr>
          <w:rFonts w:cstheme="minorHAnsi"/>
          <w:noProof/>
          <w:sz w:val="24"/>
          <w:szCs w:val="24"/>
          <w:lang w:val="en-US"/>
        </w:rPr>
        <w:t xml:space="preserve"> Interestingly a booster dose of mRNA vaccines has been shown to largely restore neutralisation activity against wild type, Delta and Omicron</w:t>
      </w:r>
      <w:r w:rsidR="00167613" w:rsidRPr="00085FA2">
        <w:rPr>
          <w:rFonts w:cstheme="minorHAnsi"/>
          <w:noProof/>
          <w:sz w:val="24"/>
          <w:szCs w:val="24"/>
          <w:lang w:val="en-US"/>
        </w:rPr>
        <w:t>.</w:t>
      </w:r>
      <w:r w:rsidRPr="00085FA2">
        <w:rPr>
          <w:rFonts w:cstheme="minorHAnsi"/>
          <w:noProof/>
          <w:sz w:val="24"/>
          <w:szCs w:val="24"/>
          <w:vertAlign w:val="superscript"/>
          <w:lang w:val="en-US"/>
        </w:rPr>
        <w:t>2</w:t>
      </w:r>
      <w:r w:rsidR="00167613" w:rsidRPr="00085FA2">
        <w:rPr>
          <w:rFonts w:cstheme="minorHAnsi"/>
          <w:noProof/>
          <w:sz w:val="24"/>
          <w:szCs w:val="24"/>
          <w:vertAlign w:val="superscript"/>
          <w:lang w:val="en-US"/>
        </w:rPr>
        <w:t>8</w:t>
      </w:r>
      <w:r w:rsidRPr="00085FA2">
        <w:rPr>
          <w:rFonts w:cstheme="minorHAnsi"/>
          <w:noProof/>
          <w:sz w:val="24"/>
          <w:szCs w:val="24"/>
          <w:lang w:val="en-US"/>
        </w:rPr>
        <w:t xml:space="preserve"> The mechanism behind this enhanced functionality has been shown to be due to the third dose expanding memory B clone present after the second dose as well as stimulating new clones both of which showed increased potency and breadth due to targeting more conserved areas of the RBD</w:t>
      </w:r>
      <w:r w:rsidR="00167613" w:rsidRPr="00085FA2">
        <w:rPr>
          <w:rFonts w:cstheme="minorHAnsi"/>
          <w:noProof/>
          <w:sz w:val="24"/>
          <w:szCs w:val="24"/>
          <w:lang w:val="en-US"/>
        </w:rPr>
        <w:t>.</w:t>
      </w:r>
      <w:r w:rsidR="00167613" w:rsidRPr="00085FA2">
        <w:rPr>
          <w:rFonts w:cstheme="minorHAnsi"/>
          <w:noProof/>
          <w:sz w:val="24"/>
          <w:szCs w:val="24"/>
          <w:vertAlign w:val="superscript"/>
          <w:lang w:val="en-US"/>
        </w:rPr>
        <w:t>29,30</w:t>
      </w:r>
    </w:p>
    <w:p w14:paraId="05DA771E" w14:textId="5482D1DF"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lastRenderedPageBreak/>
        <w:t xml:space="preserve">The study of the persistence of antibodies post infection has been complicated by the lack of standardisation of antibody assays, differences in sensitivity and specificity of commercially available assays and the characteristics of patients studied. Nevertheless, consensus has emerged that Nucleocapsid antibodies decline faster than those specific for Spike or RBD, with the latter persisting for up to 13 months following infection </w:t>
      </w:r>
      <w:r w:rsidRPr="00085FA2">
        <w:rPr>
          <w:rFonts w:cstheme="minorHAnsi"/>
          <w:noProof/>
          <w:sz w:val="24"/>
          <w:szCs w:val="24"/>
          <w:vertAlign w:val="superscript"/>
          <w:lang w:val="en-US"/>
        </w:rPr>
        <w:t>2</w:t>
      </w:r>
      <w:r w:rsidR="004F609D" w:rsidRPr="00085FA2">
        <w:rPr>
          <w:rFonts w:cstheme="minorHAnsi"/>
          <w:noProof/>
          <w:sz w:val="24"/>
          <w:szCs w:val="24"/>
          <w:vertAlign w:val="superscript"/>
          <w:lang w:val="en-US"/>
        </w:rPr>
        <w:t>6</w:t>
      </w:r>
      <w:r w:rsidRPr="00085FA2">
        <w:rPr>
          <w:rFonts w:cstheme="minorHAnsi"/>
          <w:noProof/>
          <w:sz w:val="24"/>
          <w:szCs w:val="24"/>
          <w:vertAlign w:val="superscript"/>
          <w:lang w:val="en-US"/>
        </w:rPr>
        <w:t>,</w:t>
      </w:r>
      <w:r w:rsidR="004F609D" w:rsidRPr="00085FA2">
        <w:rPr>
          <w:rFonts w:cstheme="minorHAnsi"/>
          <w:noProof/>
          <w:sz w:val="24"/>
          <w:szCs w:val="24"/>
          <w:vertAlign w:val="superscript"/>
          <w:lang w:val="en-US"/>
        </w:rPr>
        <w:t>31</w:t>
      </w:r>
      <w:r w:rsidRPr="00085FA2">
        <w:rPr>
          <w:rFonts w:cstheme="minorHAnsi"/>
          <w:noProof/>
          <w:sz w:val="24"/>
          <w:szCs w:val="24"/>
          <w:vertAlign w:val="superscript"/>
          <w:lang w:val="en-US"/>
        </w:rPr>
        <w:t>,</w:t>
      </w:r>
      <w:r w:rsidR="004F609D" w:rsidRPr="00085FA2">
        <w:rPr>
          <w:rFonts w:cstheme="minorHAnsi"/>
          <w:noProof/>
          <w:sz w:val="24"/>
          <w:szCs w:val="24"/>
          <w:vertAlign w:val="superscript"/>
          <w:lang w:val="en-US"/>
        </w:rPr>
        <w:t>32</w:t>
      </w:r>
      <w:r w:rsidRPr="00085FA2">
        <w:rPr>
          <w:rFonts w:cstheme="minorHAnsi"/>
          <w:noProof/>
          <w:sz w:val="24"/>
          <w:szCs w:val="24"/>
          <w:lang w:val="en-US"/>
        </w:rPr>
        <w:t xml:space="preserve"> and models suggesting years of persistence</w:t>
      </w:r>
      <w:r w:rsidRPr="00085FA2">
        <w:rPr>
          <w:rFonts w:cstheme="minorHAnsi"/>
          <w:noProof/>
          <w:sz w:val="24"/>
          <w:szCs w:val="24"/>
          <w:vertAlign w:val="superscript"/>
          <w:lang w:val="en-US"/>
        </w:rPr>
        <w:t>3</w:t>
      </w:r>
      <w:r w:rsidR="004F609D" w:rsidRPr="00085FA2">
        <w:rPr>
          <w:rFonts w:cstheme="minorHAnsi"/>
          <w:noProof/>
          <w:sz w:val="24"/>
          <w:szCs w:val="24"/>
          <w:vertAlign w:val="superscript"/>
          <w:lang w:val="en-US"/>
        </w:rPr>
        <w:t>3</w:t>
      </w:r>
      <w:r w:rsidRPr="00085FA2">
        <w:rPr>
          <w:rFonts w:cstheme="minorHAnsi"/>
          <w:noProof/>
          <w:sz w:val="24"/>
          <w:szCs w:val="24"/>
          <w:lang w:val="en-US"/>
        </w:rPr>
        <w:t>. Key to long-term protection is the persistence of neutralising rather than just binding antibody and in general while titers decline in the months following infection, neutralizing and binding antibodies correlate well with each other</w:t>
      </w:r>
      <w:r w:rsidRPr="00085FA2">
        <w:rPr>
          <w:rFonts w:cstheme="minorHAnsi"/>
          <w:noProof/>
          <w:sz w:val="24"/>
          <w:szCs w:val="24"/>
          <w:vertAlign w:val="superscript"/>
          <w:lang w:val="en-US"/>
        </w:rPr>
        <w:t>2</w:t>
      </w:r>
      <w:r w:rsidR="004F609D" w:rsidRPr="00085FA2">
        <w:rPr>
          <w:rFonts w:cstheme="minorHAnsi"/>
          <w:noProof/>
          <w:sz w:val="24"/>
          <w:szCs w:val="24"/>
          <w:vertAlign w:val="superscript"/>
          <w:lang w:val="en-US"/>
        </w:rPr>
        <w:t>6</w:t>
      </w:r>
      <w:r w:rsidRPr="00085FA2">
        <w:rPr>
          <w:rFonts w:cstheme="minorHAnsi"/>
          <w:noProof/>
          <w:sz w:val="24"/>
          <w:szCs w:val="24"/>
          <w:vertAlign w:val="superscript"/>
          <w:lang w:val="en-US"/>
        </w:rPr>
        <w:t>,</w:t>
      </w:r>
      <w:r w:rsidR="004F609D" w:rsidRPr="00085FA2">
        <w:rPr>
          <w:rFonts w:cstheme="minorHAnsi"/>
          <w:noProof/>
          <w:sz w:val="24"/>
          <w:szCs w:val="24"/>
          <w:vertAlign w:val="superscript"/>
          <w:lang w:val="en-US"/>
        </w:rPr>
        <w:t>32</w:t>
      </w:r>
      <w:r w:rsidRPr="00085FA2">
        <w:rPr>
          <w:rFonts w:cstheme="minorHAnsi"/>
          <w:noProof/>
          <w:sz w:val="24"/>
          <w:szCs w:val="24"/>
          <w:lang w:val="en-US"/>
        </w:rPr>
        <w:t>. Gallias and colleagues demonstrated that health care workers who were infected with the original Wuhan strain retained neutralizing activity against the D614G and alpha variants but reduced titers to the beta variant of concern. Moriyama and colleagues</w:t>
      </w:r>
      <w:r w:rsidRPr="00085FA2">
        <w:rPr>
          <w:rFonts w:cstheme="minorHAnsi"/>
          <w:noProof/>
          <w:sz w:val="24"/>
          <w:szCs w:val="24"/>
          <w:vertAlign w:val="superscript"/>
          <w:lang w:val="en-US"/>
        </w:rPr>
        <w:t>3</w:t>
      </w:r>
      <w:r w:rsidR="004F609D" w:rsidRPr="00085FA2">
        <w:rPr>
          <w:rFonts w:cstheme="minorHAnsi"/>
          <w:noProof/>
          <w:sz w:val="24"/>
          <w:szCs w:val="24"/>
          <w:vertAlign w:val="superscript"/>
          <w:lang w:val="en-US"/>
        </w:rPr>
        <w:t>4</w:t>
      </w:r>
      <w:r w:rsidRPr="00085FA2">
        <w:rPr>
          <w:rFonts w:cstheme="minorHAnsi"/>
          <w:noProof/>
          <w:sz w:val="24"/>
          <w:szCs w:val="24"/>
          <w:vertAlign w:val="superscript"/>
          <w:lang w:val="en-US"/>
        </w:rPr>
        <w:t xml:space="preserve"> </w:t>
      </w:r>
      <w:r w:rsidRPr="00085FA2">
        <w:rPr>
          <w:rFonts w:cstheme="minorHAnsi"/>
          <w:noProof/>
          <w:sz w:val="24"/>
          <w:szCs w:val="24"/>
          <w:lang w:val="en-US"/>
        </w:rPr>
        <w:t xml:space="preserve"> showed that despite a decline in IgG to RBD following infection, the ability of convalescent serum to neutralize variants of concern (beta and gamma) improved in the months after infection suggesting a temporal maturation of neutralizing antibody that was attributed to affinity maturation of anti-RBD antibody. It is unclear if this improvement extends to newer variants, and specifically Omicron which has infected individuals with previous natural or vaccine induced immunity. Infection however has in general been relatively mild with Omicron reinforcing the notion that immunity other than that mediated by antibody is required for modulating disease.</w:t>
      </w:r>
    </w:p>
    <w:p w14:paraId="29185BFE" w14:textId="6F495729"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 xml:space="preserve">Antibody to SARS-CoV-2 has been identified in urine, faeces, upper and lower respiratory trach secretions and in sputum although the role of mucosal immunity has not been as extensively studied as that of serum-based immunity but is likely to be important for rationally designing vaccines that provide maximal protection against mucosal pathogens. Chan </w:t>
      </w:r>
      <w:r w:rsidRPr="00085FA2">
        <w:rPr>
          <w:rFonts w:cstheme="minorHAnsi"/>
          <w:noProof/>
          <w:sz w:val="24"/>
          <w:szCs w:val="24"/>
          <w:lang w:val="en-US"/>
        </w:rPr>
        <w:lastRenderedPageBreak/>
        <w:t xml:space="preserve">and colleagues studied paediatric and adult </w:t>
      </w:r>
      <w:r w:rsidR="00FB6733" w:rsidRPr="00085FA2">
        <w:rPr>
          <w:rFonts w:cstheme="minorHAnsi"/>
          <w:noProof/>
          <w:sz w:val="24"/>
          <w:szCs w:val="24"/>
          <w:lang w:val="en-US"/>
        </w:rPr>
        <w:t>COVID-19</w:t>
      </w:r>
      <w:r w:rsidRPr="00085FA2">
        <w:rPr>
          <w:rFonts w:cstheme="minorHAnsi"/>
          <w:noProof/>
          <w:sz w:val="24"/>
          <w:szCs w:val="24"/>
          <w:lang w:val="en-US"/>
        </w:rPr>
        <w:t xml:space="preserve"> patients and were able to show spike specific IgA in the nasal epithelial lining fluid which appeared to inversely correlate with severity of disease; those with mild disease having higher titres of neutralising antibody within the first week of illness</w:t>
      </w:r>
      <w:r w:rsidR="00B503D3">
        <w:rPr>
          <w:rFonts w:cstheme="minorHAnsi"/>
          <w:noProof/>
          <w:sz w:val="24"/>
          <w:szCs w:val="24"/>
          <w:lang w:val="en-US"/>
        </w:rPr>
        <w:t>.</w:t>
      </w:r>
      <w:r w:rsidRPr="00085FA2">
        <w:rPr>
          <w:rFonts w:cstheme="minorHAnsi"/>
          <w:noProof/>
          <w:sz w:val="24"/>
          <w:szCs w:val="24"/>
          <w:vertAlign w:val="superscript"/>
          <w:lang w:val="en-US"/>
        </w:rPr>
        <w:t>3</w:t>
      </w:r>
      <w:r w:rsidR="001D043D" w:rsidRPr="00085FA2">
        <w:rPr>
          <w:rFonts w:cstheme="minorHAnsi"/>
          <w:noProof/>
          <w:sz w:val="24"/>
          <w:szCs w:val="24"/>
          <w:vertAlign w:val="superscript"/>
          <w:lang w:val="en-US"/>
        </w:rPr>
        <w:t>5</w:t>
      </w:r>
      <w:r w:rsidRPr="00085FA2">
        <w:rPr>
          <w:rFonts w:cstheme="minorHAnsi"/>
          <w:noProof/>
          <w:sz w:val="24"/>
          <w:szCs w:val="24"/>
          <w:lang w:val="en-US"/>
        </w:rPr>
        <w:t xml:space="preserve"> A protective role for IgA has also been postulated by Hennings and colleagues who found health care workers who did not contract </w:t>
      </w:r>
      <w:r w:rsidR="00FB6733" w:rsidRPr="00085FA2">
        <w:rPr>
          <w:rFonts w:cstheme="minorHAnsi"/>
          <w:noProof/>
          <w:sz w:val="24"/>
          <w:szCs w:val="24"/>
          <w:lang w:val="en-US"/>
        </w:rPr>
        <w:t>COVID-19</w:t>
      </w:r>
      <w:r w:rsidRPr="00085FA2">
        <w:rPr>
          <w:rFonts w:cstheme="minorHAnsi"/>
          <w:noProof/>
          <w:sz w:val="24"/>
          <w:szCs w:val="24"/>
          <w:lang w:val="en-US"/>
        </w:rPr>
        <w:t xml:space="preserve"> had higher serum IgA specific for spike protein although they did not study mucosal antibody</w:t>
      </w:r>
      <w:r w:rsidR="00B503D3">
        <w:rPr>
          <w:rFonts w:cstheme="minorHAnsi"/>
          <w:noProof/>
          <w:sz w:val="24"/>
          <w:szCs w:val="24"/>
          <w:lang w:val="en-US"/>
        </w:rPr>
        <w:t>.</w:t>
      </w:r>
      <w:r w:rsidRPr="00085FA2">
        <w:rPr>
          <w:rFonts w:cstheme="minorHAnsi"/>
          <w:noProof/>
          <w:sz w:val="24"/>
          <w:szCs w:val="24"/>
          <w:vertAlign w:val="superscript"/>
          <w:lang w:val="en-US"/>
        </w:rPr>
        <w:t>3</w:t>
      </w:r>
      <w:r w:rsidR="001D043D" w:rsidRPr="00085FA2">
        <w:rPr>
          <w:rFonts w:cstheme="minorHAnsi"/>
          <w:noProof/>
          <w:sz w:val="24"/>
          <w:szCs w:val="24"/>
          <w:vertAlign w:val="superscript"/>
          <w:lang w:val="en-US"/>
        </w:rPr>
        <w:t>6</w:t>
      </w:r>
      <w:r w:rsidRPr="00085FA2">
        <w:rPr>
          <w:rFonts w:cstheme="minorHAnsi"/>
          <w:noProof/>
          <w:sz w:val="24"/>
          <w:szCs w:val="24"/>
          <w:lang w:val="en-US"/>
        </w:rPr>
        <w:t xml:space="preserve"> Relatively few studies have focussed on mucosal responses post vaccination. Nickel and colleagues</w:t>
      </w:r>
      <w:r w:rsidRPr="00085FA2">
        <w:rPr>
          <w:rFonts w:cstheme="minorHAnsi"/>
          <w:noProof/>
          <w:sz w:val="24"/>
          <w:szCs w:val="24"/>
          <w:vertAlign w:val="superscript"/>
          <w:lang w:val="en-US"/>
        </w:rPr>
        <w:t>3</w:t>
      </w:r>
      <w:r w:rsidR="001D043D" w:rsidRPr="00085FA2">
        <w:rPr>
          <w:rFonts w:cstheme="minorHAnsi"/>
          <w:noProof/>
          <w:sz w:val="24"/>
          <w:szCs w:val="24"/>
          <w:vertAlign w:val="superscript"/>
          <w:lang w:val="en-US"/>
        </w:rPr>
        <w:t>7</w:t>
      </w:r>
      <w:r w:rsidRPr="00085FA2">
        <w:rPr>
          <w:rFonts w:cstheme="minorHAnsi"/>
          <w:noProof/>
          <w:sz w:val="24"/>
          <w:szCs w:val="24"/>
          <w:lang w:val="en-US"/>
        </w:rPr>
        <w:t xml:space="preserve"> studied serum and salivary responses following natural infection and vaccination and were unable to detect spike and RBD specific IgG following BNT162b2 vaccination in saliva, in contrast to patients with </w:t>
      </w:r>
      <w:r w:rsidR="00FB6733" w:rsidRPr="00085FA2">
        <w:rPr>
          <w:rFonts w:cstheme="minorHAnsi"/>
          <w:noProof/>
          <w:sz w:val="24"/>
          <w:szCs w:val="24"/>
          <w:lang w:val="en-US"/>
        </w:rPr>
        <w:t>COVID-19</w:t>
      </w:r>
      <w:r w:rsidRPr="00085FA2">
        <w:rPr>
          <w:rFonts w:cstheme="minorHAnsi"/>
          <w:noProof/>
          <w:sz w:val="24"/>
          <w:szCs w:val="24"/>
          <w:lang w:val="en-US"/>
        </w:rPr>
        <w:t xml:space="preserve"> who all developed salivary IgG 15-30 days following the onset of symptoms. Tang and colleagues compared the Spike specific total and neutralizing antibody (Ab) responses in bronchoalveolar lavage fluid (BAL) and blood of COVID-19 vaccinated individuals and hospitalized patients. Vaccinated individuals (BNT162b2 or mRNA-1273) had significantly lower levels of neutralizing Ab against D614G, Delta and Omicron in the BAL compared to COVID-19 convalescents, despite robust S-specific Ab responses in the blood. Furthermore, vaccination induced significant circulating S-specific B and T cell immunity, but in contrast to COVID-19 convalescents, these responses were absent in the BAL of vaccinated individuals</w:t>
      </w:r>
      <w:r w:rsidR="00D0017D" w:rsidRPr="00085FA2">
        <w:rPr>
          <w:rFonts w:cstheme="minorHAnsi"/>
          <w:noProof/>
          <w:sz w:val="24"/>
          <w:szCs w:val="24"/>
          <w:lang w:val="en-US"/>
        </w:rPr>
        <w:t>.</w:t>
      </w:r>
      <w:r w:rsidRPr="00085FA2">
        <w:rPr>
          <w:rFonts w:cstheme="minorHAnsi"/>
          <w:noProof/>
          <w:sz w:val="24"/>
          <w:szCs w:val="24"/>
          <w:vertAlign w:val="superscript"/>
          <w:lang w:val="en-US"/>
        </w:rPr>
        <w:t>3</w:t>
      </w:r>
      <w:r w:rsidR="00D0017D" w:rsidRPr="00085FA2">
        <w:rPr>
          <w:rFonts w:cstheme="minorHAnsi"/>
          <w:noProof/>
          <w:sz w:val="24"/>
          <w:szCs w:val="24"/>
          <w:vertAlign w:val="superscript"/>
          <w:lang w:val="en-US"/>
        </w:rPr>
        <w:t>8</w:t>
      </w:r>
      <w:r w:rsidRPr="00085FA2">
        <w:rPr>
          <w:rFonts w:cstheme="minorHAnsi"/>
          <w:noProof/>
          <w:sz w:val="24"/>
          <w:szCs w:val="24"/>
          <w:lang w:val="en-US"/>
        </w:rPr>
        <w:t xml:space="preserve"> SARS-CoV-2 specific IgG may also appear in oral and nasal secretions after vaccination with mRNA-1273 but it is not clear if this is locally produced or reflects antibodies passively transferred from serum</w:t>
      </w:r>
      <w:r w:rsidR="00D0017D" w:rsidRPr="00085FA2">
        <w:rPr>
          <w:rFonts w:cstheme="minorHAnsi"/>
          <w:noProof/>
          <w:sz w:val="24"/>
          <w:szCs w:val="24"/>
          <w:lang w:val="en-US"/>
        </w:rPr>
        <w:t>.</w:t>
      </w:r>
      <w:r w:rsidRPr="00085FA2">
        <w:rPr>
          <w:rFonts w:cstheme="minorHAnsi"/>
          <w:noProof/>
          <w:sz w:val="24"/>
          <w:szCs w:val="24"/>
          <w:vertAlign w:val="superscript"/>
          <w:lang w:val="en-US"/>
        </w:rPr>
        <w:t>3</w:t>
      </w:r>
      <w:r w:rsidR="00D0017D" w:rsidRPr="00085FA2">
        <w:rPr>
          <w:rFonts w:cstheme="minorHAnsi"/>
          <w:noProof/>
          <w:sz w:val="24"/>
          <w:szCs w:val="24"/>
          <w:vertAlign w:val="superscript"/>
          <w:lang w:val="en-US"/>
        </w:rPr>
        <w:t>9</w:t>
      </w:r>
      <w:r w:rsidR="00B503D3">
        <w:rPr>
          <w:rFonts w:cstheme="minorHAnsi"/>
          <w:noProof/>
          <w:sz w:val="24"/>
          <w:szCs w:val="24"/>
          <w:vertAlign w:val="superscript"/>
          <w:lang w:val="en-US"/>
        </w:rPr>
        <w:t xml:space="preserve"> </w:t>
      </w:r>
      <w:r w:rsidRPr="00085FA2">
        <w:rPr>
          <w:rFonts w:cstheme="minorHAnsi"/>
          <w:noProof/>
          <w:sz w:val="24"/>
          <w:szCs w:val="24"/>
          <w:lang w:val="en-US"/>
        </w:rPr>
        <w:t>Sheikh-Mohamed</w:t>
      </w:r>
      <w:r w:rsidR="00D0017D" w:rsidRPr="00085FA2">
        <w:rPr>
          <w:rFonts w:cstheme="minorHAnsi"/>
          <w:noProof/>
          <w:sz w:val="24"/>
          <w:szCs w:val="24"/>
          <w:vertAlign w:val="superscript"/>
          <w:lang w:val="en-US"/>
        </w:rPr>
        <w:t>40</w:t>
      </w:r>
      <w:r w:rsidR="00907306" w:rsidRPr="00085FA2">
        <w:rPr>
          <w:rFonts w:cstheme="minorHAnsi"/>
          <w:noProof/>
          <w:sz w:val="24"/>
          <w:szCs w:val="24"/>
          <w:vertAlign w:val="superscript"/>
          <w:lang w:val="en-US"/>
        </w:rPr>
        <w:t xml:space="preserve"> </w:t>
      </w:r>
      <w:r w:rsidRPr="00085FA2">
        <w:rPr>
          <w:rFonts w:cstheme="minorHAnsi"/>
          <w:noProof/>
          <w:sz w:val="24"/>
          <w:szCs w:val="24"/>
          <w:lang w:val="en-US"/>
        </w:rPr>
        <w:t xml:space="preserve">demonstrated that a single dose of mRNA vaccine (BNT162b2 or mRNA-1273) induced salivary antibodies of both IgG and IgA but a second dose only induced a further increase in salivary IgG, with IgA persisting in only 30% of vaccine recipients positive after the </w:t>
      </w:r>
      <w:r w:rsidRPr="00085FA2">
        <w:rPr>
          <w:rFonts w:cstheme="minorHAnsi"/>
          <w:noProof/>
          <w:sz w:val="24"/>
          <w:szCs w:val="24"/>
          <w:lang w:val="en-US"/>
        </w:rPr>
        <w:lastRenderedPageBreak/>
        <w:t>first dose. At 6 months post vaccination concentrations had declined as had neutralizing activity of saliva. Also in this study higher spike and RBD specific IgA (but not IgG) measured at 2-4 weeks post dose 2 was associated with protection from subsequent infection. In this study too it is not clear if salivary antibody was simply transduced from serum or locally produced. Mucosal responses do seem to be more robust after natural infection compared to vaccines delivered via the intramuscular route which may be a consequence of initial SARS-CoV-2 entry into nasopharyngeal and oral mucosal cells thus stimulating local immunity. Whether mucosally delivered vaccines could replicate the qualitative nature of immunity induced by natural infection remains to be seen.</w:t>
      </w:r>
    </w:p>
    <w:p w14:paraId="268DEB8D" w14:textId="4937FB67"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 xml:space="preserve">The central role of immunity to the spike antigen in preventing </w:t>
      </w:r>
      <w:r w:rsidR="00606081" w:rsidRPr="00085FA2">
        <w:rPr>
          <w:rFonts w:cstheme="minorHAnsi"/>
          <w:noProof/>
          <w:sz w:val="24"/>
          <w:szCs w:val="24"/>
          <w:lang w:val="en-US"/>
        </w:rPr>
        <w:t>c</w:t>
      </w:r>
      <w:r w:rsidRPr="00085FA2">
        <w:rPr>
          <w:rFonts w:cstheme="minorHAnsi"/>
          <w:noProof/>
          <w:sz w:val="24"/>
          <w:szCs w:val="24"/>
          <w:lang w:val="en-US"/>
        </w:rPr>
        <w:t>oronavirus infection</w:t>
      </w:r>
      <w:r w:rsidR="00606081" w:rsidRPr="00085FA2">
        <w:rPr>
          <w:rFonts w:cstheme="minorHAnsi"/>
          <w:noProof/>
          <w:sz w:val="24"/>
          <w:szCs w:val="24"/>
          <w:lang w:val="en-US"/>
        </w:rPr>
        <w:t>s</w:t>
      </w:r>
      <w:r w:rsidRPr="00085FA2">
        <w:rPr>
          <w:rFonts w:cstheme="minorHAnsi"/>
          <w:noProof/>
          <w:sz w:val="24"/>
          <w:szCs w:val="24"/>
          <w:lang w:val="en-US"/>
        </w:rPr>
        <w:t xml:space="preserve"> has driven vaccine development for SARS and MERS and thus was a focus of early vaccine development for SARS-CoV-2. All 4 of the vaccines initially authorised for emergency use were based on Spike antigen and thus most has been learnt about immunity to Spike and RBD in the context of vaccines. Once vaccine efficacy estimates from clinical trials had been published it became possible to relate vaccine efficacy to antibody responses measured in the serum of subjects post vaccination. The absence of standardisation of neutralizing assays however meant that researchers had to compare post vaccination titers to those seen following convalescence. Khoury and colleagues</w:t>
      </w:r>
      <w:r w:rsidR="000F4877" w:rsidRPr="00085FA2">
        <w:rPr>
          <w:rFonts w:cstheme="minorHAnsi"/>
          <w:noProof/>
          <w:sz w:val="24"/>
          <w:szCs w:val="24"/>
          <w:vertAlign w:val="superscript"/>
          <w:lang w:val="en-US"/>
        </w:rPr>
        <w:t>41</w:t>
      </w:r>
      <w:r w:rsidRPr="00085FA2">
        <w:rPr>
          <w:rFonts w:cstheme="minorHAnsi"/>
          <w:noProof/>
          <w:sz w:val="24"/>
          <w:szCs w:val="24"/>
          <w:lang w:val="en-US"/>
        </w:rPr>
        <w:t xml:space="preserve"> analyzed the relationship between in vitro neutralization levels and the observed protection from </w:t>
      </w:r>
      <w:r w:rsidR="00FB6733" w:rsidRPr="00085FA2">
        <w:rPr>
          <w:rFonts w:cstheme="minorHAnsi"/>
          <w:noProof/>
          <w:sz w:val="24"/>
          <w:szCs w:val="24"/>
          <w:lang w:val="en-US"/>
        </w:rPr>
        <w:t>COVID-19</w:t>
      </w:r>
      <w:r w:rsidRPr="00085FA2">
        <w:rPr>
          <w:rFonts w:cstheme="minorHAnsi"/>
          <w:noProof/>
          <w:sz w:val="24"/>
          <w:szCs w:val="24"/>
          <w:lang w:val="en-US"/>
        </w:rPr>
        <w:t xml:space="preserve"> infection using data from vaccinated and convalescent cohorts. They were able to demonstrate that neutralization levels are highly predictive of immune protection although this relation would likely be slightly reduced to variants. They were also able to predict a decline in vaccine induced immunity over time. Earle and </w:t>
      </w:r>
      <w:r w:rsidRPr="00085FA2">
        <w:rPr>
          <w:rFonts w:cstheme="minorHAnsi"/>
          <w:noProof/>
          <w:sz w:val="24"/>
          <w:szCs w:val="24"/>
          <w:lang w:val="en-US"/>
        </w:rPr>
        <w:lastRenderedPageBreak/>
        <w:t>colleagues</w:t>
      </w:r>
      <w:r w:rsidR="007B69C4" w:rsidRPr="00085FA2">
        <w:rPr>
          <w:rFonts w:cstheme="minorHAnsi"/>
          <w:noProof/>
          <w:sz w:val="24"/>
          <w:szCs w:val="24"/>
          <w:vertAlign w:val="superscript"/>
          <w:lang w:val="en-US"/>
        </w:rPr>
        <w:t>42</w:t>
      </w:r>
      <w:r w:rsidRPr="00085FA2">
        <w:rPr>
          <w:rFonts w:cstheme="minorHAnsi"/>
          <w:noProof/>
          <w:sz w:val="24"/>
          <w:szCs w:val="24"/>
          <w:lang w:val="en-US"/>
        </w:rPr>
        <w:t xml:space="preserve"> using similar modelling confirmed the relationship between neutralizing titers and vaccine efficacy and demonstrated in addition that binding antibodies to spike were highly predictive of protection although, due to the lack of standardisation of assays, the ratio of vaccine induced antibody to convalescent antibody was used as a readout </w:t>
      </w:r>
      <w:r w:rsidRPr="00811ECE">
        <w:rPr>
          <w:rFonts w:cstheme="minorHAnsi"/>
          <w:b/>
          <w:bCs/>
          <w:noProof/>
          <w:sz w:val="24"/>
          <w:szCs w:val="24"/>
          <w:lang w:val="en-US"/>
        </w:rPr>
        <w:t>(Figure 1)</w:t>
      </w:r>
      <w:r w:rsidRPr="00085FA2">
        <w:rPr>
          <w:rFonts w:cstheme="minorHAnsi"/>
          <w:noProof/>
          <w:sz w:val="24"/>
          <w:szCs w:val="24"/>
          <w:lang w:val="en-US"/>
        </w:rPr>
        <w:t>. Lustig and colleagues studying a large cohort of vaccinated adults in Israel confirmed the tight correlation between vaccine induced anti-RBD IgG, neutralising titers and protection</w:t>
      </w:r>
      <w:r w:rsidR="007B69C4" w:rsidRPr="00085FA2">
        <w:rPr>
          <w:rFonts w:cstheme="minorHAnsi"/>
          <w:noProof/>
          <w:sz w:val="24"/>
          <w:szCs w:val="24"/>
          <w:lang w:val="en-US"/>
        </w:rPr>
        <w:t>.</w:t>
      </w:r>
      <w:r w:rsidR="007B69C4" w:rsidRPr="00085FA2">
        <w:rPr>
          <w:rFonts w:cstheme="minorHAnsi"/>
          <w:noProof/>
          <w:sz w:val="24"/>
          <w:szCs w:val="24"/>
          <w:vertAlign w:val="superscript"/>
          <w:lang w:val="en-US"/>
        </w:rPr>
        <w:t>43</w:t>
      </w:r>
      <w:r w:rsidRPr="00085FA2">
        <w:rPr>
          <w:rFonts w:cstheme="minorHAnsi"/>
          <w:noProof/>
          <w:sz w:val="24"/>
          <w:szCs w:val="24"/>
          <w:lang w:val="en-US"/>
        </w:rPr>
        <w:t xml:space="preserve">. These studies raised the possibility that a threshold of protection could be identified that would aid in the licensure of future vaccines. </w:t>
      </w:r>
    </w:p>
    <w:p w14:paraId="2D92569E" w14:textId="3A5A326D"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Goldblatt and colleagues</w:t>
      </w:r>
      <w:r w:rsidRPr="00085FA2">
        <w:rPr>
          <w:rFonts w:cstheme="minorHAnsi"/>
          <w:noProof/>
          <w:sz w:val="24"/>
          <w:szCs w:val="24"/>
          <w:vertAlign w:val="superscript"/>
          <w:lang w:val="en-US"/>
        </w:rPr>
        <w:t>4</w:t>
      </w:r>
      <w:r w:rsidR="007B69C4" w:rsidRPr="00085FA2">
        <w:rPr>
          <w:rFonts w:cstheme="minorHAnsi"/>
          <w:noProof/>
          <w:sz w:val="24"/>
          <w:szCs w:val="24"/>
          <w:vertAlign w:val="superscript"/>
          <w:lang w:val="en-US"/>
        </w:rPr>
        <w:t>4</w:t>
      </w:r>
      <w:r w:rsidRPr="00085FA2">
        <w:rPr>
          <w:rFonts w:cstheme="minorHAnsi"/>
          <w:noProof/>
          <w:sz w:val="24"/>
          <w:szCs w:val="24"/>
          <w:lang w:val="en-US"/>
        </w:rPr>
        <w:t xml:space="preserve"> measured immune responses to four COVID-19 vaccines of proven efficacy using a single serological platform. IgG anti-Spike antibodies were highly correlated with ID50 neutralization in a validated pseudoviral assay and correlated significantly with efficacies for protection against infection with wild-type, alpha and delta variant SARS-CoV-2 virus </w:t>
      </w:r>
      <w:r w:rsidRPr="004767D5">
        <w:rPr>
          <w:rFonts w:cstheme="minorHAnsi"/>
          <w:b/>
          <w:bCs/>
          <w:noProof/>
          <w:sz w:val="24"/>
          <w:szCs w:val="24"/>
          <w:lang w:val="en-US"/>
        </w:rPr>
        <w:t>(Figure 2).</w:t>
      </w:r>
      <w:r w:rsidRPr="00085FA2">
        <w:rPr>
          <w:rFonts w:cstheme="minorHAnsi"/>
          <w:noProof/>
          <w:sz w:val="24"/>
          <w:szCs w:val="24"/>
          <w:lang w:val="en-US"/>
        </w:rPr>
        <w:t xml:space="preserve"> The protective threshold for each vaccine was calculated for IgG anti-Spike antibody and then combined to propose a population-based correlate of protection for anti-spike IgG. </w:t>
      </w:r>
    </w:p>
    <w:p w14:paraId="6211AF6E" w14:textId="205E53A1"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Data from breakthrough infection in participants in clinical trials has also been interrogated in an attempt to derive a meaningful correlate of protection. Gilbert and colleagues studied subjects who participated in an efficacy trial of Moderna’s SARS-CoV-2 mRNA-1273 vaccine</w:t>
      </w:r>
      <w:r w:rsidR="004767D5">
        <w:rPr>
          <w:rFonts w:cstheme="minorHAnsi"/>
          <w:noProof/>
          <w:sz w:val="24"/>
          <w:szCs w:val="24"/>
          <w:lang w:val="en-US"/>
        </w:rPr>
        <w:t>.</w:t>
      </w:r>
      <w:r w:rsidRPr="00085FA2">
        <w:rPr>
          <w:rFonts w:cstheme="minorHAnsi"/>
          <w:noProof/>
          <w:sz w:val="24"/>
          <w:szCs w:val="24"/>
          <w:vertAlign w:val="superscript"/>
          <w:lang w:val="en-US"/>
        </w:rPr>
        <w:t>4</w:t>
      </w:r>
      <w:r w:rsidR="007B69C4" w:rsidRPr="00085FA2">
        <w:rPr>
          <w:rFonts w:cstheme="minorHAnsi"/>
          <w:noProof/>
          <w:sz w:val="24"/>
          <w:szCs w:val="24"/>
          <w:vertAlign w:val="superscript"/>
          <w:lang w:val="en-US"/>
        </w:rPr>
        <w:t>5</w:t>
      </w:r>
      <w:r w:rsidRPr="00085FA2">
        <w:rPr>
          <w:rFonts w:cstheme="minorHAnsi"/>
          <w:noProof/>
          <w:sz w:val="24"/>
          <w:szCs w:val="24"/>
          <w:lang w:val="en-US"/>
        </w:rPr>
        <w:t xml:space="preserve"> Through case-cohort sampling participants were selected for measurement of IgG to S and RBD as well as neutralizing titres. Day 57 concentrations and titers were each inversely correlated with the risk of COVID-19 infection although no threshold of </w:t>
      </w:r>
      <w:r w:rsidRPr="00085FA2">
        <w:rPr>
          <w:rFonts w:cstheme="minorHAnsi"/>
          <w:noProof/>
          <w:sz w:val="24"/>
          <w:szCs w:val="24"/>
          <w:lang w:val="en-US"/>
        </w:rPr>
        <w:lastRenderedPageBreak/>
        <w:t>protection was defined. A similar analysis was embedded in an efficacy trial of the ChadOx1 NCoV19 vaccine (Astra Zeneca). Binding spike and RBD IgG as well as neutralizing antibodies at 28 days after the second dose were measured in infected and noninfected vaccine recipients</w:t>
      </w:r>
      <w:r w:rsidR="007B69C4" w:rsidRPr="00085FA2">
        <w:rPr>
          <w:rFonts w:cstheme="minorHAnsi"/>
          <w:noProof/>
          <w:sz w:val="24"/>
          <w:szCs w:val="24"/>
          <w:lang w:val="en-US"/>
        </w:rPr>
        <w:t>.</w:t>
      </w:r>
      <w:r w:rsidR="007B69C4" w:rsidRPr="00085FA2">
        <w:rPr>
          <w:rFonts w:cstheme="minorHAnsi"/>
          <w:noProof/>
          <w:sz w:val="24"/>
          <w:szCs w:val="24"/>
          <w:vertAlign w:val="superscript"/>
          <w:lang w:val="en-US"/>
        </w:rPr>
        <w:t>46</w:t>
      </w:r>
      <w:r w:rsidRPr="00085FA2">
        <w:rPr>
          <w:rFonts w:cstheme="minorHAnsi"/>
          <w:noProof/>
          <w:sz w:val="24"/>
          <w:szCs w:val="24"/>
          <w:lang w:val="en-US"/>
        </w:rPr>
        <w:t xml:space="preserve"> Higher levels of all immune markers were correlated with a reduced risk of symptomatic but not asymptomatic infection. Levels of binding IgG and neutralising activity that correlated with a vaccine efficacy of 80% against symptomatic infection were defined although because of the overlap of antibody levels between the infected and uninfected subjects no absolute threshold of efficacy could be defined. However, neutralizing titer was directly related to efficacy, indicating that antibody levels are directly related to efficacy as emphasised in </w:t>
      </w:r>
      <w:r w:rsidRPr="004767D5">
        <w:rPr>
          <w:rFonts w:cstheme="minorHAnsi"/>
          <w:b/>
          <w:bCs/>
          <w:noProof/>
          <w:sz w:val="24"/>
          <w:szCs w:val="24"/>
          <w:lang w:val="en-US"/>
        </w:rPr>
        <w:t>Figure 1</w:t>
      </w:r>
      <w:r w:rsidRPr="00085FA2">
        <w:rPr>
          <w:rFonts w:cstheme="minorHAnsi"/>
          <w:noProof/>
          <w:sz w:val="24"/>
          <w:szCs w:val="24"/>
          <w:lang w:val="en-US"/>
        </w:rPr>
        <w:t xml:space="preserve">.  The hope with the studies cited above is that data can be used to bridge to new populations using validated assays, and allow extrapolation of efficacy estimates to new COVID-19 vaccines. </w:t>
      </w:r>
    </w:p>
    <w:p w14:paraId="5B840C77" w14:textId="77777777" w:rsidR="00142204" w:rsidRPr="00085FA2" w:rsidRDefault="00142204" w:rsidP="00142204">
      <w:pPr>
        <w:spacing w:line="480" w:lineRule="auto"/>
        <w:ind w:firstLine="720"/>
        <w:rPr>
          <w:rFonts w:cstheme="minorHAnsi"/>
          <w:noProof/>
          <w:sz w:val="24"/>
          <w:szCs w:val="24"/>
          <w:lang w:val="en-US"/>
        </w:rPr>
      </w:pPr>
      <w:r w:rsidRPr="00085FA2">
        <w:rPr>
          <w:rFonts w:cstheme="minorHAnsi"/>
          <w:noProof/>
          <w:sz w:val="24"/>
          <w:szCs w:val="24"/>
          <w:lang w:val="en-US"/>
        </w:rPr>
        <w:t>The waning of vaccine induced antibody and the observed reduction in vaccine induced protection against infection (as distinct from disease) has raised the question of the utility of a protective threshold of anti-spike or RBD antibody when measured immediately following the completion of a priming course of vaccine although with suitably designed longitudinal serological studies a threshold of antibody that would trigger revaccination could be defined.</w:t>
      </w:r>
    </w:p>
    <w:p w14:paraId="6BEF683B" w14:textId="77777777" w:rsidR="004767D5" w:rsidRDefault="004767D5" w:rsidP="00CD2B9A">
      <w:pPr>
        <w:snapToGrid w:val="0"/>
        <w:spacing w:before="100" w:beforeAutospacing="1" w:after="100" w:afterAutospacing="1" w:line="480" w:lineRule="auto"/>
        <w:contextualSpacing/>
        <w:jc w:val="both"/>
        <w:rPr>
          <w:rFonts w:cstheme="minorHAnsi"/>
          <w:b/>
          <w:bCs/>
          <w:sz w:val="24"/>
          <w:szCs w:val="24"/>
          <w:lang w:val="en-US"/>
        </w:rPr>
      </w:pPr>
    </w:p>
    <w:p w14:paraId="646B5FC0" w14:textId="5DBB0D05" w:rsidR="00CD2B9A" w:rsidRPr="00085FA2" w:rsidRDefault="00CD2B9A" w:rsidP="00CD2B9A">
      <w:pPr>
        <w:snapToGrid w:val="0"/>
        <w:spacing w:before="100" w:beforeAutospacing="1" w:after="100" w:afterAutospacing="1" w:line="480" w:lineRule="auto"/>
        <w:contextualSpacing/>
        <w:jc w:val="both"/>
        <w:rPr>
          <w:rFonts w:cstheme="minorHAnsi"/>
          <w:b/>
          <w:bCs/>
          <w:sz w:val="24"/>
          <w:szCs w:val="24"/>
          <w:lang w:val="en-US"/>
        </w:rPr>
      </w:pPr>
      <w:r w:rsidRPr="00085FA2">
        <w:rPr>
          <w:rFonts w:cstheme="minorHAnsi"/>
          <w:b/>
          <w:bCs/>
          <w:sz w:val="24"/>
          <w:szCs w:val="24"/>
          <w:lang w:val="en-US"/>
        </w:rPr>
        <w:t>Memory B cells in protective immunity against COVID-19</w:t>
      </w:r>
    </w:p>
    <w:p w14:paraId="27C53014" w14:textId="11DE58CC" w:rsidR="00CD2B9A" w:rsidRPr="00085FA2" w:rsidRDefault="00CD2B9A" w:rsidP="00DE1198">
      <w:pPr>
        <w:spacing w:line="480" w:lineRule="auto"/>
        <w:ind w:firstLine="720"/>
        <w:rPr>
          <w:rFonts w:cstheme="minorHAnsi"/>
          <w:sz w:val="24"/>
          <w:szCs w:val="24"/>
          <w:lang w:val="en-US"/>
        </w:rPr>
      </w:pPr>
      <w:r w:rsidRPr="00085FA2">
        <w:rPr>
          <w:rFonts w:eastAsia="Times New Roman" w:cstheme="minorHAnsi"/>
          <w:sz w:val="24"/>
          <w:szCs w:val="24"/>
          <w:lang w:val="en-US"/>
        </w:rPr>
        <w:t>Memory B cells don’t actively secrete antibodies, they are quiescent. Memory B cell frequencies and antibody titers exhibit different kinetics in response to SARS-CoV-2 infection.</w:t>
      </w:r>
      <w:r w:rsidR="007D32AA" w:rsidRPr="007D32AA">
        <w:rPr>
          <w:rFonts w:eastAsia="Times New Roman" w:cstheme="minorHAnsi"/>
          <w:sz w:val="24"/>
          <w:szCs w:val="24"/>
          <w:vertAlign w:val="superscript"/>
          <w:lang w:val="en-US"/>
        </w:rPr>
        <w:t>47</w:t>
      </w:r>
      <w:r w:rsidR="007D32AA">
        <w:rPr>
          <w:rFonts w:eastAsia="Times New Roman" w:cstheme="minorHAnsi"/>
          <w:sz w:val="24"/>
          <w:szCs w:val="24"/>
          <w:vertAlign w:val="superscript"/>
          <w:lang w:val="en-US"/>
        </w:rPr>
        <w:t xml:space="preserve"> </w:t>
      </w:r>
      <w:r w:rsidRPr="00085FA2">
        <w:rPr>
          <w:rFonts w:eastAsia="Times New Roman" w:cstheme="minorHAnsi"/>
          <w:sz w:val="24"/>
          <w:szCs w:val="24"/>
          <w:lang w:val="en-US"/>
        </w:rPr>
        <w:t>Since the memory B cells and plasma cells are separate</w:t>
      </w:r>
      <w:r w:rsidR="006227A5" w:rsidRPr="00085FA2">
        <w:rPr>
          <w:rFonts w:eastAsia="Times New Roman" w:cstheme="minorHAnsi"/>
          <w:sz w:val="24"/>
          <w:szCs w:val="24"/>
          <w:lang w:val="en-US"/>
        </w:rPr>
        <w:t xml:space="preserve"> immunological compartments</w:t>
      </w:r>
      <w:r w:rsidRPr="00085FA2">
        <w:rPr>
          <w:rFonts w:eastAsia="Times New Roman" w:cstheme="minorHAnsi"/>
          <w:sz w:val="24"/>
          <w:szCs w:val="24"/>
          <w:lang w:val="en-US"/>
        </w:rPr>
        <w:t xml:space="preserve">, </w:t>
      </w:r>
      <w:r w:rsidRPr="00085FA2">
        <w:rPr>
          <w:rFonts w:eastAsia="Times New Roman" w:cstheme="minorHAnsi"/>
          <w:sz w:val="24"/>
          <w:szCs w:val="24"/>
          <w:lang w:val="en-US"/>
        </w:rPr>
        <w:lastRenderedPageBreak/>
        <w:t xml:space="preserve">conditions can occur like that seen after 2-dose mRNA </w:t>
      </w:r>
      <w:r w:rsidR="006227A5" w:rsidRPr="00085FA2">
        <w:rPr>
          <w:rFonts w:eastAsia="Times New Roman" w:cstheme="minorHAnsi"/>
          <w:sz w:val="24"/>
          <w:szCs w:val="24"/>
          <w:lang w:val="en-US"/>
        </w:rPr>
        <w:t xml:space="preserve">COVID-19 </w:t>
      </w:r>
      <w:r w:rsidRPr="00085FA2">
        <w:rPr>
          <w:rFonts w:eastAsia="Times New Roman" w:cstheme="minorHAnsi"/>
          <w:sz w:val="24"/>
          <w:szCs w:val="24"/>
          <w:lang w:val="en-US"/>
        </w:rPr>
        <w:t>vaccination, when spike IgG titers decline substantially over 6 months but memory B cells are stable or even increasing</w:t>
      </w:r>
      <w:r w:rsidR="00DE1198">
        <w:rPr>
          <w:rFonts w:eastAsia="Times New Roman" w:cstheme="minorHAnsi"/>
          <w:sz w:val="24"/>
          <w:szCs w:val="24"/>
          <w:lang w:val="en-US"/>
        </w:rPr>
        <w:t>.</w:t>
      </w:r>
      <w:r w:rsidR="007D32AA" w:rsidRPr="007D32AA">
        <w:rPr>
          <w:rFonts w:eastAsia="Times New Roman" w:cstheme="minorHAnsi"/>
          <w:sz w:val="24"/>
          <w:szCs w:val="24"/>
          <w:vertAlign w:val="superscript"/>
          <w:lang w:val="en-US"/>
        </w:rPr>
        <w:t>48</w:t>
      </w:r>
      <w:r w:rsidRPr="00085FA2">
        <w:rPr>
          <w:rFonts w:cstheme="minorHAnsi"/>
          <w:sz w:val="24"/>
          <w:szCs w:val="24"/>
          <w:lang w:val="en-US"/>
        </w:rPr>
        <w:tab/>
        <w:t xml:space="preserve">Memory B cells are re-activated upon an infection or vaccination and are the source of classic anamnestic antibody responses. Memory B cells </w:t>
      </w:r>
      <w:r w:rsidR="00327819" w:rsidRPr="00085FA2">
        <w:rPr>
          <w:rFonts w:cstheme="minorHAnsi"/>
          <w:sz w:val="24"/>
          <w:szCs w:val="24"/>
          <w:lang w:val="en-US"/>
        </w:rPr>
        <w:t xml:space="preserve">actually </w:t>
      </w:r>
      <w:r w:rsidRPr="00085FA2">
        <w:rPr>
          <w:rFonts w:cstheme="minorHAnsi"/>
          <w:sz w:val="24"/>
          <w:szCs w:val="24"/>
          <w:lang w:val="en-US"/>
        </w:rPr>
        <w:t xml:space="preserve">serve two important purposes. The first is a cellular source for the anamnestic antibody response if a pathogen gets past the circulating antibody titers and tissue resident memory T cells. The second important value of memory B cells is to serve as a library of </w:t>
      </w:r>
      <w:r w:rsidR="00327819" w:rsidRPr="00085FA2">
        <w:rPr>
          <w:rFonts w:cstheme="minorHAnsi"/>
          <w:sz w:val="24"/>
          <w:szCs w:val="24"/>
          <w:lang w:val="en-US"/>
        </w:rPr>
        <w:t>“</w:t>
      </w:r>
      <w:r w:rsidRPr="00085FA2">
        <w:rPr>
          <w:rFonts w:cstheme="minorHAnsi"/>
          <w:sz w:val="24"/>
          <w:szCs w:val="24"/>
          <w:lang w:val="en-US"/>
        </w:rPr>
        <w:t>guesses</w:t>
      </w:r>
      <w:r w:rsidR="00327819" w:rsidRPr="00085FA2">
        <w:rPr>
          <w:rFonts w:cstheme="minorHAnsi"/>
          <w:sz w:val="24"/>
          <w:szCs w:val="24"/>
          <w:lang w:val="en-US"/>
        </w:rPr>
        <w:t>”</w:t>
      </w:r>
      <w:r w:rsidRPr="00085FA2">
        <w:rPr>
          <w:rFonts w:cstheme="minorHAnsi"/>
          <w:sz w:val="24"/>
          <w:szCs w:val="24"/>
          <w:lang w:val="en-US"/>
        </w:rPr>
        <w:t xml:space="preserve"> by the immune system regarding possible future viral variants. This was suggested in an animal model with protection data.</w:t>
      </w:r>
      <w:r w:rsidR="00DE1198" w:rsidRPr="00DE1198">
        <w:rPr>
          <w:rFonts w:cstheme="minorHAnsi"/>
          <w:sz w:val="24"/>
          <w:szCs w:val="24"/>
          <w:vertAlign w:val="superscript"/>
          <w:lang w:val="en-US"/>
        </w:rPr>
        <w:t>49</w:t>
      </w:r>
      <w:r w:rsidRPr="00085FA2">
        <w:rPr>
          <w:rFonts w:cstheme="minorHAnsi"/>
          <w:sz w:val="24"/>
          <w:szCs w:val="24"/>
          <w:lang w:val="en-US"/>
        </w:rPr>
        <w:t xml:space="preserve"> Extensive data from the influenza memory B cell literature are consistent with this concept,</w:t>
      </w:r>
      <w:r w:rsidR="00DE1198" w:rsidRPr="00DE1198">
        <w:rPr>
          <w:rFonts w:cstheme="minorHAnsi"/>
          <w:sz w:val="24"/>
          <w:szCs w:val="24"/>
          <w:vertAlign w:val="superscript"/>
          <w:lang w:val="en-US"/>
        </w:rPr>
        <w:t>50,51</w:t>
      </w:r>
      <w:r w:rsidRPr="00085FA2">
        <w:rPr>
          <w:rFonts w:cstheme="minorHAnsi"/>
          <w:sz w:val="24"/>
          <w:szCs w:val="24"/>
          <w:lang w:val="en-US"/>
        </w:rPr>
        <w:t xml:space="preserve"> though it is generally not possible to disentangle from the long history of previous diverse influenza exposures</w:t>
      </w:r>
      <w:r w:rsidR="00DE1198">
        <w:rPr>
          <w:rFonts w:cstheme="minorHAnsi"/>
          <w:sz w:val="24"/>
          <w:szCs w:val="24"/>
          <w:lang w:val="en-US"/>
        </w:rPr>
        <w:t>.</w:t>
      </w:r>
      <w:r w:rsidR="00DE1198" w:rsidRPr="00DE1198">
        <w:rPr>
          <w:rFonts w:cstheme="minorHAnsi"/>
          <w:sz w:val="24"/>
          <w:szCs w:val="24"/>
          <w:vertAlign w:val="superscript"/>
          <w:lang w:val="en-US"/>
        </w:rPr>
        <w:t>52</w:t>
      </w:r>
    </w:p>
    <w:p w14:paraId="52D23061" w14:textId="1B8D167E" w:rsidR="00CD2B9A" w:rsidRPr="00085FA2" w:rsidRDefault="00CD2B9A" w:rsidP="00FF693F">
      <w:pPr>
        <w:widowControl w:val="0"/>
        <w:spacing w:line="480" w:lineRule="auto"/>
        <w:rPr>
          <w:rFonts w:cstheme="minorHAnsi"/>
          <w:sz w:val="24"/>
          <w:szCs w:val="24"/>
          <w:lang w:val="en-US"/>
        </w:rPr>
      </w:pPr>
      <w:r w:rsidRPr="00085FA2">
        <w:rPr>
          <w:rFonts w:cstheme="minorHAnsi"/>
          <w:sz w:val="24"/>
          <w:szCs w:val="24"/>
          <w:lang w:val="en-US"/>
        </w:rPr>
        <w:tab/>
        <w:t>Memory B cells likely play a role in protective immunity against SARS-CoV-2 infection by both of the mechanisms above</w:t>
      </w:r>
      <w:r w:rsidR="007608E7">
        <w:rPr>
          <w:rFonts w:cstheme="minorHAnsi"/>
          <w:sz w:val="24"/>
          <w:szCs w:val="24"/>
          <w:lang w:val="en-US"/>
        </w:rPr>
        <w:t>.</w:t>
      </w:r>
      <w:r w:rsidR="00F30252" w:rsidRPr="007608E7">
        <w:rPr>
          <w:rFonts w:cstheme="minorHAnsi"/>
          <w:sz w:val="24"/>
          <w:szCs w:val="24"/>
          <w:vertAlign w:val="superscript"/>
          <w:lang w:val="en-US"/>
        </w:rPr>
        <w:t>47</w:t>
      </w:r>
      <w:r w:rsidR="007608E7" w:rsidRPr="007608E7">
        <w:rPr>
          <w:rFonts w:cstheme="minorHAnsi"/>
          <w:sz w:val="24"/>
          <w:szCs w:val="24"/>
          <w:vertAlign w:val="superscript"/>
          <w:lang w:val="en-US"/>
        </w:rPr>
        <w:t>,53-55</w:t>
      </w:r>
      <w:r w:rsidRPr="00085FA2">
        <w:rPr>
          <w:rFonts w:cstheme="minorHAnsi"/>
          <w:sz w:val="24"/>
          <w:szCs w:val="24"/>
          <w:lang w:val="en-US"/>
        </w:rPr>
        <w:t xml:space="preserve"> Antibodies are more effective at the time of exposure compared to </w:t>
      </w:r>
      <w:r w:rsidR="0081322A" w:rsidRPr="00085FA2">
        <w:rPr>
          <w:rFonts w:cstheme="minorHAnsi"/>
          <w:sz w:val="24"/>
          <w:szCs w:val="24"/>
          <w:lang w:val="en-US"/>
        </w:rPr>
        <w:t>post-exposure</w:t>
      </w:r>
      <w:r w:rsidRPr="00085FA2">
        <w:rPr>
          <w:rFonts w:cstheme="minorHAnsi"/>
          <w:sz w:val="24"/>
          <w:szCs w:val="24"/>
          <w:lang w:val="en-US"/>
        </w:rPr>
        <w:t>, nevertheless memory B cells can plausibly reactive and begin an anamnestic antibody response within 3-5 days</w:t>
      </w:r>
      <w:r w:rsidR="007608E7">
        <w:rPr>
          <w:rFonts w:cstheme="minorHAnsi"/>
          <w:sz w:val="24"/>
          <w:szCs w:val="24"/>
          <w:lang w:val="en-US"/>
        </w:rPr>
        <w:t>,</w:t>
      </w:r>
      <w:r w:rsidR="007608E7" w:rsidRPr="007608E7">
        <w:rPr>
          <w:rFonts w:cstheme="minorHAnsi"/>
          <w:sz w:val="24"/>
          <w:szCs w:val="24"/>
          <w:vertAlign w:val="superscript"/>
          <w:lang w:val="en-US"/>
        </w:rPr>
        <w:t>56</w:t>
      </w:r>
      <w:r w:rsidR="0081322A" w:rsidRPr="00085FA2">
        <w:rPr>
          <w:rFonts w:cstheme="minorHAnsi"/>
          <w:sz w:val="24"/>
          <w:szCs w:val="24"/>
          <w:lang w:val="en-US"/>
        </w:rPr>
        <w:t xml:space="preserve"> </w:t>
      </w:r>
      <w:r w:rsidRPr="00085FA2">
        <w:rPr>
          <w:rFonts w:cstheme="minorHAnsi"/>
          <w:sz w:val="24"/>
          <w:szCs w:val="24"/>
          <w:lang w:val="en-US"/>
        </w:rPr>
        <w:t xml:space="preserve">which is well within a time frame that would likely be valuable for limiting SARS-CoV-2 viral spread within the body and reducing the likelihood of hospitalization-level COVID-19 </w:t>
      </w:r>
      <w:r w:rsidRPr="00BD6442">
        <w:rPr>
          <w:rFonts w:cstheme="minorHAnsi"/>
          <w:b/>
          <w:bCs/>
          <w:sz w:val="24"/>
          <w:szCs w:val="24"/>
          <w:lang w:val="en-US"/>
        </w:rPr>
        <w:t>[</w:t>
      </w:r>
      <w:r w:rsidRPr="00B430FD">
        <w:rPr>
          <w:rFonts w:cstheme="minorHAnsi"/>
          <w:b/>
          <w:bCs/>
          <w:sz w:val="24"/>
          <w:szCs w:val="24"/>
          <w:lang w:val="en-US"/>
        </w:rPr>
        <w:t>Figure</w:t>
      </w:r>
      <w:r w:rsidRPr="00BD6442">
        <w:rPr>
          <w:rFonts w:cstheme="minorHAnsi"/>
          <w:b/>
          <w:bCs/>
          <w:sz w:val="24"/>
          <w:szCs w:val="24"/>
          <w:lang w:val="en-US"/>
        </w:rPr>
        <w:t xml:space="preserve"> </w:t>
      </w:r>
      <w:r w:rsidR="00BD6442" w:rsidRPr="00BD6442">
        <w:rPr>
          <w:rFonts w:cstheme="minorHAnsi"/>
          <w:b/>
          <w:bCs/>
          <w:sz w:val="24"/>
          <w:szCs w:val="24"/>
          <w:lang w:val="en-US"/>
        </w:rPr>
        <w:t>3</w:t>
      </w:r>
      <w:r w:rsidRPr="00BD6442">
        <w:rPr>
          <w:rFonts w:cstheme="minorHAnsi"/>
          <w:b/>
          <w:bCs/>
          <w:sz w:val="24"/>
          <w:szCs w:val="24"/>
          <w:lang w:val="en-US"/>
        </w:rPr>
        <w:t>].</w:t>
      </w:r>
      <w:r w:rsidRPr="00085FA2">
        <w:rPr>
          <w:rFonts w:cstheme="minorHAnsi"/>
          <w:sz w:val="24"/>
          <w:szCs w:val="24"/>
          <w:lang w:val="en-US"/>
        </w:rPr>
        <w:t xml:space="preserve"> While memory B cells have been associated with COVID-19 protective immunity in a non-human primate mode</w:t>
      </w:r>
      <w:r w:rsidR="00A86CDD">
        <w:rPr>
          <w:rFonts w:cstheme="minorHAnsi"/>
          <w:sz w:val="24"/>
          <w:szCs w:val="24"/>
          <w:lang w:val="en-US"/>
        </w:rPr>
        <w:t>l,</w:t>
      </w:r>
      <w:r w:rsidR="00A86CDD" w:rsidRPr="00A86CDD">
        <w:rPr>
          <w:rFonts w:cstheme="minorHAnsi"/>
          <w:sz w:val="24"/>
          <w:szCs w:val="24"/>
          <w:vertAlign w:val="superscript"/>
          <w:lang w:val="en-US"/>
        </w:rPr>
        <w:t>57</w:t>
      </w:r>
      <w:r w:rsidRPr="00085FA2">
        <w:rPr>
          <w:rFonts w:cstheme="minorHAnsi"/>
          <w:sz w:val="24"/>
          <w:szCs w:val="24"/>
          <w:lang w:val="en-US"/>
        </w:rPr>
        <w:t xml:space="preserve"> direct evidence of SARS-CoV-2-specific memory B cell activation, proliferation, or differentiation within a timeframe relevant for COVID-19 protective immunity remains absent and is an important knowledge gap. Regarding the second mechanism—diversity of memory B cell specificities for variants</w:t>
      </w:r>
      <w:r w:rsidR="00850E84" w:rsidRPr="00085FA2">
        <w:rPr>
          <w:rFonts w:cstheme="minorHAnsi"/>
          <w:sz w:val="24"/>
          <w:szCs w:val="24"/>
          <w:lang w:val="en-US"/>
        </w:rPr>
        <w:t>—</w:t>
      </w:r>
      <w:r w:rsidRPr="00085FA2">
        <w:rPr>
          <w:rFonts w:cstheme="minorHAnsi"/>
          <w:sz w:val="24"/>
          <w:szCs w:val="24"/>
          <w:lang w:val="en-US"/>
        </w:rPr>
        <w:t xml:space="preserve">the COVID-19 pandemic has dramatically demonstrated the </w:t>
      </w:r>
      <w:r w:rsidRPr="00085FA2">
        <w:rPr>
          <w:rFonts w:cstheme="minorHAnsi"/>
          <w:sz w:val="24"/>
          <w:szCs w:val="24"/>
          <w:lang w:val="en-US"/>
        </w:rPr>
        <w:lastRenderedPageBreak/>
        <w:t>importance of memory B cell diversity in the recognition of a pathogen and variants, also highlighting the brilliance of the immune system at predicting viral mutations, embedding those predictions in the memory B cell repertoire. Memory B cell biology in response to SARS-CoV-2 infection and COVID-19 vaccines is discussed further</w:t>
      </w:r>
      <w:r w:rsidR="00C1429A" w:rsidRPr="00085FA2">
        <w:rPr>
          <w:rFonts w:cstheme="minorHAnsi"/>
          <w:sz w:val="24"/>
          <w:szCs w:val="24"/>
          <w:lang w:val="en-US"/>
        </w:rPr>
        <w:t xml:space="preserve"> below</w:t>
      </w:r>
      <w:r w:rsidR="00A86CDD">
        <w:rPr>
          <w:rFonts w:cstheme="minorHAnsi"/>
          <w:sz w:val="24"/>
          <w:szCs w:val="24"/>
          <w:lang w:val="en-US"/>
        </w:rPr>
        <w:t>.</w:t>
      </w:r>
    </w:p>
    <w:p w14:paraId="6496CD28" w14:textId="3BB01690" w:rsidR="00CD2B9A" w:rsidRPr="00085FA2" w:rsidRDefault="00CD2B9A" w:rsidP="00FF693F">
      <w:pPr>
        <w:spacing w:line="480" w:lineRule="auto"/>
        <w:rPr>
          <w:rFonts w:cstheme="minorHAnsi"/>
          <w:sz w:val="24"/>
          <w:szCs w:val="24"/>
          <w:lang w:val="en-US"/>
        </w:rPr>
      </w:pPr>
      <w:r w:rsidRPr="00085FA2">
        <w:rPr>
          <w:rFonts w:cstheme="minorHAnsi"/>
          <w:sz w:val="24"/>
          <w:szCs w:val="24"/>
          <w:lang w:val="en-US"/>
        </w:rPr>
        <w:tab/>
      </w:r>
      <w:r w:rsidR="00850E84" w:rsidRPr="00085FA2">
        <w:rPr>
          <w:rFonts w:cstheme="minorHAnsi"/>
          <w:sz w:val="24"/>
          <w:szCs w:val="24"/>
          <w:lang w:val="en-US"/>
        </w:rPr>
        <w:t>L</w:t>
      </w:r>
      <w:r w:rsidRPr="00085FA2">
        <w:rPr>
          <w:rFonts w:cstheme="minorHAnsi"/>
          <w:sz w:val="24"/>
          <w:szCs w:val="24"/>
          <w:lang w:val="en-US"/>
        </w:rPr>
        <w:t>ocal tissue immunity can be an important component of protective immunity in addition to circulating memory T cells, memory B cells, and antibodies. Memory B cells have now been demonstrated in lungs of individuals after SARS-CoV-2 infection,</w:t>
      </w:r>
      <w:r w:rsidR="007E0A0D" w:rsidRPr="007E0A0D">
        <w:rPr>
          <w:rFonts w:cstheme="minorHAnsi"/>
          <w:sz w:val="24"/>
          <w:szCs w:val="24"/>
          <w:vertAlign w:val="superscript"/>
          <w:lang w:val="en-US"/>
        </w:rPr>
        <w:t>58</w:t>
      </w:r>
      <w:r w:rsidRPr="00085FA2">
        <w:rPr>
          <w:rFonts w:cstheme="minorHAnsi"/>
          <w:sz w:val="24"/>
          <w:szCs w:val="24"/>
          <w:lang w:val="en-US"/>
        </w:rPr>
        <w:t xml:space="preserve"> and thus may play a role in protection from </w:t>
      </w:r>
      <w:proofErr w:type="gramStart"/>
      <w:r w:rsidRPr="00085FA2">
        <w:rPr>
          <w:rFonts w:cstheme="minorHAnsi"/>
          <w:sz w:val="24"/>
          <w:szCs w:val="24"/>
          <w:lang w:val="en-US"/>
        </w:rPr>
        <w:t>reinfection</w:t>
      </w:r>
      <w:r w:rsidR="00E9248B" w:rsidRPr="00085FA2">
        <w:rPr>
          <w:rFonts w:cstheme="minorHAnsi"/>
          <w:sz w:val="24"/>
          <w:szCs w:val="24"/>
          <w:lang w:val="en-US"/>
        </w:rPr>
        <w:t xml:space="preserve"> </w:t>
      </w:r>
      <w:r w:rsidRPr="00085FA2">
        <w:rPr>
          <w:rFonts w:cstheme="minorHAnsi"/>
          <w:sz w:val="24"/>
          <w:szCs w:val="24"/>
          <w:lang w:val="en-US"/>
        </w:rPr>
        <w:t>.</w:t>
      </w:r>
      <w:proofErr w:type="gramEnd"/>
      <w:r w:rsidRPr="00085FA2">
        <w:rPr>
          <w:rFonts w:cstheme="minorHAnsi"/>
          <w:sz w:val="24"/>
          <w:szCs w:val="24"/>
          <w:lang w:val="en-US"/>
        </w:rPr>
        <w:t xml:space="preserve"> Data are lacking on memory B cells in the upper respiratory tract or oral mucosa. The COVID-19 vaccines elicit robust serum antibody titers for a period of months that manage to be </w:t>
      </w:r>
      <w:proofErr w:type="spellStart"/>
      <w:r w:rsidRPr="00085FA2">
        <w:rPr>
          <w:rFonts w:cstheme="minorHAnsi"/>
          <w:sz w:val="24"/>
          <w:szCs w:val="24"/>
          <w:lang w:val="en-US"/>
        </w:rPr>
        <w:t>transudated</w:t>
      </w:r>
      <w:proofErr w:type="spellEnd"/>
      <w:r w:rsidRPr="00085FA2">
        <w:rPr>
          <w:rFonts w:cstheme="minorHAnsi"/>
          <w:sz w:val="24"/>
          <w:szCs w:val="24"/>
          <w:lang w:val="en-US"/>
        </w:rPr>
        <w:t xml:space="preserve"> at relatively low levels into the nasal passages. In contrast, much higher amounts of antibody are produced in the nose after infection</w:t>
      </w:r>
      <w:r w:rsidR="007E0A0D">
        <w:rPr>
          <w:rFonts w:cstheme="minorHAnsi"/>
          <w:sz w:val="24"/>
          <w:szCs w:val="24"/>
          <w:lang w:val="en-US"/>
        </w:rPr>
        <w:t>.</w:t>
      </w:r>
      <w:r w:rsidR="007E0A0D" w:rsidRPr="007E0A0D">
        <w:rPr>
          <w:rFonts w:cstheme="minorHAnsi"/>
          <w:sz w:val="24"/>
          <w:szCs w:val="24"/>
          <w:vertAlign w:val="superscript"/>
          <w:lang w:val="en-US"/>
        </w:rPr>
        <w:t>59,60</w:t>
      </w:r>
      <w:r w:rsidRPr="00085FA2">
        <w:rPr>
          <w:rFonts w:cstheme="minorHAnsi"/>
          <w:sz w:val="24"/>
          <w:szCs w:val="24"/>
          <w:lang w:val="en-US"/>
        </w:rPr>
        <w:t xml:space="preserve"> This suggests that local plasma cells may develop after infection, in addition to tissue resident memory B cells, both of which may contribute to protective immunity. Overall, </w:t>
      </w:r>
      <w:r w:rsidR="00E9248B" w:rsidRPr="00085FA2">
        <w:rPr>
          <w:rFonts w:cstheme="minorHAnsi"/>
          <w:sz w:val="24"/>
          <w:szCs w:val="24"/>
          <w:lang w:val="en-US"/>
        </w:rPr>
        <w:t xml:space="preserve">between circulating </w:t>
      </w:r>
      <w:r w:rsidRPr="00085FA2">
        <w:rPr>
          <w:rFonts w:cstheme="minorHAnsi"/>
          <w:sz w:val="24"/>
          <w:szCs w:val="24"/>
          <w:lang w:val="en-US"/>
        </w:rPr>
        <w:t xml:space="preserve">memory B cells </w:t>
      </w:r>
      <w:r w:rsidR="00E9248B" w:rsidRPr="00085FA2">
        <w:rPr>
          <w:rFonts w:cstheme="minorHAnsi"/>
          <w:sz w:val="24"/>
          <w:szCs w:val="24"/>
          <w:lang w:val="en-US"/>
        </w:rPr>
        <w:t xml:space="preserve">and tissue memory B cells, B cell memory </w:t>
      </w:r>
      <w:r w:rsidRPr="00085FA2">
        <w:rPr>
          <w:rFonts w:cstheme="minorHAnsi"/>
          <w:sz w:val="24"/>
          <w:szCs w:val="24"/>
          <w:lang w:val="en-US"/>
        </w:rPr>
        <w:t>likely contribute</w:t>
      </w:r>
      <w:r w:rsidR="00E9248B" w:rsidRPr="00085FA2">
        <w:rPr>
          <w:rFonts w:cstheme="minorHAnsi"/>
          <w:sz w:val="24"/>
          <w:szCs w:val="24"/>
          <w:lang w:val="en-US"/>
        </w:rPr>
        <w:t>s</w:t>
      </w:r>
      <w:r w:rsidRPr="00085FA2">
        <w:rPr>
          <w:rFonts w:cstheme="minorHAnsi"/>
          <w:sz w:val="24"/>
          <w:szCs w:val="24"/>
          <w:lang w:val="en-US"/>
        </w:rPr>
        <w:t xml:space="preserve"> to protection against severe COVID-19</w:t>
      </w:r>
      <w:r w:rsidR="00E9248B" w:rsidRPr="00085FA2">
        <w:rPr>
          <w:rFonts w:cstheme="minorHAnsi"/>
          <w:sz w:val="24"/>
          <w:szCs w:val="24"/>
          <w:lang w:val="en-US"/>
        </w:rPr>
        <w:t xml:space="preserve"> [</w:t>
      </w:r>
      <w:r w:rsidR="00E9248B" w:rsidRPr="005E3FA3">
        <w:rPr>
          <w:rFonts w:cstheme="minorHAnsi"/>
          <w:b/>
          <w:bCs/>
          <w:sz w:val="24"/>
          <w:szCs w:val="24"/>
          <w:lang w:val="en-US"/>
        </w:rPr>
        <w:t>Figure</w:t>
      </w:r>
      <w:r w:rsidR="005E3FA3" w:rsidRPr="005E3FA3">
        <w:rPr>
          <w:rFonts w:cstheme="minorHAnsi"/>
          <w:b/>
          <w:bCs/>
          <w:sz w:val="24"/>
          <w:szCs w:val="24"/>
          <w:lang w:val="en-US"/>
        </w:rPr>
        <w:t>s 3 and 4</w:t>
      </w:r>
      <w:r w:rsidR="00E9248B" w:rsidRPr="00085FA2">
        <w:rPr>
          <w:rFonts w:cstheme="minorHAnsi"/>
          <w:sz w:val="24"/>
          <w:szCs w:val="24"/>
          <w:lang w:val="en-US"/>
        </w:rPr>
        <w:t>]</w:t>
      </w:r>
      <w:r w:rsidRPr="00085FA2">
        <w:rPr>
          <w:rFonts w:cstheme="minorHAnsi"/>
          <w:sz w:val="24"/>
          <w:szCs w:val="24"/>
          <w:lang w:val="en-US"/>
        </w:rPr>
        <w:t>.</w:t>
      </w:r>
    </w:p>
    <w:p w14:paraId="55509BF3" w14:textId="77777777" w:rsidR="001D5BB4" w:rsidRPr="00085FA2" w:rsidRDefault="001D5BB4" w:rsidP="001D5BB4">
      <w:pPr>
        <w:jc w:val="both"/>
        <w:rPr>
          <w:rFonts w:cstheme="minorHAnsi"/>
          <w:b/>
          <w:bCs/>
          <w:color w:val="000000" w:themeColor="text1"/>
          <w:sz w:val="24"/>
          <w:szCs w:val="24"/>
          <w:lang w:val="en-US"/>
        </w:rPr>
      </w:pPr>
      <w:r w:rsidRPr="00085FA2">
        <w:rPr>
          <w:rFonts w:cstheme="minorHAnsi"/>
          <w:b/>
          <w:bCs/>
          <w:color w:val="000000" w:themeColor="text1"/>
          <w:sz w:val="24"/>
          <w:szCs w:val="24"/>
          <w:lang w:val="en-US"/>
        </w:rPr>
        <w:t>Fc-effector function</w:t>
      </w:r>
    </w:p>
    <w:p w14:paraId="720F3D50" w14:textId="7B54CB10" w:rsidR="001D5BB4" w:rsidRPr="00085FA2" w:rsidRDefault="001D5BB4" w:rsidP="009B5B9A">
      <w:pPr>
        <w:spacing w:line="480" w:lineRule="auto"/>
        <w:ind w:firstLine="720"/>
        <w:rPr>
          <w:rFonts w:cstheme="minorHAnsi"/>
          <w:color w:val="000000" w:themeColor="text1"/>
          <w:sz w:val="24"/>
          <w:szCs w:val="24"/>
          <w:lang w:val="en-US"/>
        </w:rPr>
      </w:pPr>
      <w:r w:rsidRPr="00085FA2">
        <w:rPr>
          <w:rFonts w:cstheme="minorHAnsi"/>
          <w:color w:val="000000" w:themeColor="text1"/>
          <w:sz w:val="24"/>
          <w:szCs w:val="24"/>
          <w:lang w:val="en-US"/>
        </w:rPr>
        <w:t>Antibodies are bi-functional molecules, comprised of: 1) two antigen-binding domains (2x Fabs) that provide specificity and can block infection and 2) a constant domain (Fc) involved in directing immune clearing effects via the recruitment of the immune system (</w:t>
      </w:r>
      <w:r w:rsidRPr="00085FA2">
        <w:rPr>
          <w:rFonts w:cstheme="minorHAnsi"/>
          <w:b/>
          <w:bCs/>
          <w:color w:val="000000" w:themeColor="text1"/>
          <w:sz w:val="24"/>
          <w:szCs w:val="24"/>
          <w:lang w:val="en-US"/>
        </w:rPr>
        <w:t xml:space="preserve">Figure </w:t>
      </w:r>
      <w:r w:rsidR="00360CCD">
        <w:rPr>
          <w:rFonts w:cstheme="minorHAnsi"/>
          <w:b/>
          <w:bCs/>
          <w:color w:val="000000" w:themeColor="text1"/>
          <w:sz w:val="24"/>
          <w:szCs w:val="24"/>
          <w:lang w:val="en-US"/>
        </w:rPr>
        <w:t>5</w:t>
      </w:r>
      <w:r w:rsidRPr="00085FA2">
        <w:rPr>
          <w:rFonts w:cstheme="minorHAnsi"/>
          <w:color w:val="000000" w:themeColor="text1"/>
          <w:sz w:val="24"/>
          <w:szCs w:val="24"/>
          <w:lang w:val="en-US"/>
        </w:rPr>
        <w:t>). In the context of vaccine development, antibody binding and neutralizing activity are primarily evaluated to predict protection, however, for many pathogens, the Fab and Fc antibodies collaborate to achieve maximal protection against disease</w:t>
      </w:r>
      <w:r w:rsidR="00703653">
        <w:rPr>
          <w:rFonts w:cstheme="minorHAnsi"/>
          <w:color w:val="000000" w:themeColor="text1"/>
          <w:sz w:val="24"/>
          <w:szCs w:val="24"/>
          <w:lang w:val="en-US"/>
        </w:rPr>
        <w:t>.</w:t>
      </w:r>
      <w:r w:rsidR="00703653" w:rsidRPr="00703653">
        <w:rPr>
          <w:rFonts w:cstheme="minorHAnsi"/>
          <w:color w:val="000000" w:themeColor="text1"/>
          <w:sz w:val="24"/>
          <w:szCs w:val="24"/>
          <w:vertAlign w:val="superscript"/>
          <w:lang w:val="en-US"/>
        </w:rPr>
        <w:t>61</w:t>
      </w:r>
      <w:r w:rsidRPr="00085FA2">
        <w:rPr>
          <w:rFonts w:cstheme="minorHAnsi"/>
          <w:color w:val="000000" w:themeColor="text1"/>
          <w:sz w:val="24"/>
          <w:szCs w:val="24"/>
          <w:lang w:val="en-US"/>
        </w:rPr>
        <w:t xml:space="preserve"> For example, the elimination of Fc-</w:t>
      </w:r>
      <w:r w:rsidRPr="00085FA2">
        <w:rPr>
          <w:rFonts w:cstheme="minorHAnsi"/>
          <w:color w:val="000000" w:themeColor="text1"/>
          <w:sz w:val="24"/>
          <w:szCs w:val="24"/>
          <w:lang w:val="en-US"/>
        </w:rPr>
        <w:lastRenderedPageBreak/>
        <w:t>effector function from neutralizing antibodies to HIV, influenza, and RSV reduces the clinical potency of those neutralizing antibodies</w:t>
      </w:r>
      <w:r w:rsidR="00703653">
        <w:rPr>
          <w:rFonts w:cstheme="minorHAnsi"/>
          <w:color w:val="000000" w:themeColor="text1"/>
          <w:sz w:val="24"/>
          <w:szCs w:val="24"/>
          <w:lang w:val="en-US"/>
        </w:rPr>
        <w:t>.</w:t>
      </w:r>
      <w:r w:rsidR="00703653" w:rsidRPr="00703653">
        <w:rPr>
          <w:rFonts w:cstheme="minorHAnsi"/>
          <w:color w:val="000000" w:themeColor="text1"/>
          <w:sz w:val="24"/>
          <w:szCs w:val="24"/>
          <w:vertAlign w:val="superscript"/>
          <w:lang w:val="en-US"/>
        </w:rPr>
        <w:t>62-64</w:t>
      </w:r>
      <w:r w:rsidRPr="00085FA2">
        <w:rPr>
          <w:rFonts w:cstheme="minorHAnsi"/>
          <w:color w:val="000000" w:themeColor="text1"/>
          <w:sz w:val="24"/>
          <w:szCs w:val="24"/>
          <w:lang w:val="en-US"/>
        </w:rPr>
        <w:t xml:space="preserve"> </w:t>
      </w:r>
      <w:r w:rsidR="001E407A">
        <w:rPr>
          <w:rFonts w:cstheme="minorHAnsi"/>
          <w:color w:val="000000" w:themeColor="text1"/>
          <w:sz w:val="24"/>
          <w:szCs w:val="24"/>
          <w:lang w:val="en-US"/>
        </w:rPr>
        <w:t xml:space="preserve"> </w:t>
      </w:r>
      <w:r w:rsidRPr="00085FA2">
        <w:rPr>
          <w:rFonts w:cstheme="minorHAnsi"/>
          <w:color w:val="000000" w:themeColor="text1"/>
          <w:sz w:val="24"/>
          <w:szCs w:val="24"/>
          <w:lang w:val="en-US"/>
        </w:rPr>
        <w:t>Fc-effector function can compensate for incomplete neutralization in Ebola virus infection</w:t>
      </w:r>
      <w:r w:rsidR="001E407A" w:rsidRPr="001E407A">
        <w:rPr>
          <w:rFonts w:cstheme="minorHAnsi"/>
          <w:color w:val="000000" w:themeColor="text1"/>
          <w:sz w:val="24"/>
          <w:szCs w:val="24"/>
          <w:vertAlign w:val="superscript"/>
          <w:lang w:val="en-US"/>
        </w:rPr>
        <w:t>65</w:t>
      </w:r>
      <w:r w:rsidR="001E407A">
        <w:rPr>
          <w:rFonts w:cstheme="minorHAnsi"/>
          <w:color w:val="000000" w:themeColor="text1"/>
          <w:sz w:val="24"/>
          <w:szCs w:val="24"/>
          <w:lang w:val="en-US"/>
        </w:rPr>
        <w:t xml:space="preserve"> </w:t>
      </w:r>
      <w:r w:rsidRPr="00085FA2">
        <w:rPr>
          <w:rFonts w:cstheme="minorHAnsi"/>
          <w:color w:val="000000" w:themeColor="text1"/>
          <w:sz w:val="24"/>
          <w:szCs w:val="24"/>
          <w:lang w:val="en-US"/>
        </w:rPr>
        <w:t xml:space="preserve">rescuing the protective activity of antibodies that only partially neutralize the virus. Moreover, several non-neutralizing antibodies confer robust and cross-strain protection against Influenza </w:t>
      </w:r>
      <w:r w:rsidR="00296ACC" w:rsidRPr="00296ACC">
        <w:rPr>
          <w:rFonts w:cstheme="minorHAnsi"/>
          <w:color w:val="000000" w:themeColor="text1"/>
          <w:sz w:val="24"/>
          <w:szCs w:val="24"/>
          <w:vertAlign w:val="superscript"/>
          <w:lang w:val="en-US"/>
        </w:rPr>
        <w:t>6</w:t>
      </w:r>
      <w:r w:rsidRPr="00085FA2">
        <w:rPr>
          <w:rFonts w:cstheme="minorHAnsi"/>
          <w:color w:val="000000" w:themeColor="text1"/>
          <w:sz w:val="24"/>
          <w:szCs w:val="24"/>
          <w:lang w:val="en-US"/>
        </w:rPr>
        <w:fldChar w:fldCharType="begin">
          <w:fldData xml:space="preserve">PEVuZE5vdGU+PENpdGU+PEF1dGhvcj5EcmV5ZnVzPC9BdXRob3I+PFllYXI+MjAxMjwvWWVhcj48
UmVjTnVtPjg8L1JlY051bT48RGlzcGxheVRleHQ+PHN0eWxlIGZhY2U9InN1cGVyc2NyaXB0Ij42
PC9zdHlsZT48L0Rpc3BsYXlUZXh0PjxyZWNvcmQ+PHJlYy1udW1iZXI+ODwvcmVjLW51bWJlcj48
Zm9yZWlnbi1rZXlzPjxrZXkgYXBwPSJFTiIgZGItaWQ9InhkNTBmdDBmenQ5MHgxZTByem12emZ6
dzVlcnQyMmY1ZmE5MCIgdGltZXN0YW1wPSIxNjQ0MjY1NDYxIj44PC9rZXk+PC9mb3JlaWduLWtl
eXM+PHJlZi10eXBlIG5hbWU9IkpvdXJuYWwgQXJ0aWNsZSI+MTc8L3JlZi10eXBlPjxjb250cmli
dXRvcnM+PGF1dGhvcnM+PGF1dGhvcj5EcmV5ZnVzLCBDLjwvYXV0aG9yPjxhdXRob3I+TGF1cnNl
biwgTi4gUy48L2F1dGhvcj48YXV0aG9yPkt3YWtzLCBULjwvYXV0aG9yPjxhdXRob3I+WnVpamRn
ZWVzdCwgRC48L2F1dGhvcj48YXV0aG9yPktoYXlhdCwgUi48L2F1dGhvcj48YXV0aG9yPkVraWVy
dCwgRC4gQy48L2F1dGhvcj48YXV0aG9yPkxlZSwgSi4gSC48L2F1dGhvcj48YXV0aG9yPk1ldGxh
Z2VsLCBaLjwvYXV0aG9yPjxhdXRob3I+QnVqbnksIE0uIFYuPC9hdXRob3I+PGF1dGhvcj5Kb25n
ZW5lZWxlbiwgTS48L2F1dGhvcj48YXV0aG9yPnZhbiBkZXIgVmx1Z3QsIFIuPC9hdXRob3I+PGF1
dGhvcj5MYW1yYW5pLCBNLjwvYXV0aG9yPjxhdXRob3I+S29yc2UsIEguIEouPC9hdXRob3I+PGF1
dGhvcj5HZWVsZW4sIEUuPC9hdXRob3I+PGF1dGhvcj5TYWhpbiwgTy48L2F1dGhvcj48YXV0aG9y
PlNpZXV3ZXJ0cywgTS48L2F1dGhvcj48YXV0aG9yPkJyYWtlbmhvZmYsIEouIFAuPC9hdXRob3I+
PGF1dGhvcj5Wb2dlbHMsIFIuPC9hdXRob3I+PGF1dGhvcj5MaSwgTy4gVC48L2F1dGhvcj48YXV0
aG9yPlBvb24sIEwuIEwuPC9hdXRob3I+PGF1dGhvcj5QZWlyaXMsIE0uPC9hdXRob3I+PGF1dGhv
cj5Lb3Vkc3RhYWwsIFcuPC9hdXRob3I+PGF1dGhvcj5XYXJkLCBBLiBCLjwvYXV0aG9yPjxhdXRo
b3I+V2lsc29uLCBJLiBBLjwvYXV0aG9yPjxhdXRob3I+R291ZHNtaXQsIEouPC9hdXRob3I+PGF1
dGhvcj5Gcmllc2VuLCBSLiBILjwvYXV0aG9yPjwvYXV0aG9ycz48L2NvbnRyaWJ1dG9ycz48YXV0
aC1hZGRyZXNzPkRlcGFydG1lbnQgb2YgTW9sZWN1bGFyIEJpb2xvZ3ksIFRoZSBTY3JpcHBzIFJl
c2VhcmNoIEluc3RpdHV0ZSwgMTA1NTAgTm9ydGggVG9ycmV5IFBpbmVzIFJvYWQsIExhIEpvbGxh
LCBDQSA5MjAzNywgVVNBLjwvYXV0aC1hZGRyZXNzPjx0aXRsZXM+PHRpdGxlPkhpZ2hseSBjb25z
ZXJ2ZWQgcHJvdGVjdGl2ZSBlcGl0b3BlcyBvbiBpbmZsdWVuemEgQiB2aXJ1c2VzPC90aXRsZT48
c2Vjb25kYXJ5LXRpdGxlPlNjaWVuY2U8L3NlY29uZGFyeS10aXRsZT48L3RpdGxlcz48cGVyaW9k
aWNhbD48ZnVsbC10aXRsZT5TY2llbmNlPC9mdWxsLXRpdGxlPjwvcGVyaW9kaWNhbD48cGFnZXM+
MTM0My04PC9wYWdlcz48dm9sdW1lPjMzNzwvdm9sdW1lPjxudW1iZXI+NjEwMDwvbnVtYmVyPjxl
ZGl0aW9uPjIwMTIwODA5PC9lZGl0aW9uPjxrZXl3b3Jkcz48a2V5d29yZD5BbWlubyBBY2lkIFNl
cXVlbmNlPC9rZXl3b3JkPjxrZXl3b3JkPkFuaW1hbHM8L2tleXdvcmQ+PGtleXdvcmQ+QW50aWJv
ZGllcywgTW9ub2Nsb25hbC9jaGVtaXN0cnkvKmltbXVub2xvZ3k8L2tleXdvcmQ+PGtleXdvcmQ+
QW50aWJvZGllcywgTmV1dHJhbGl6aW5nL2NoZW1pc3RyeS9pbW11bm9sb2d5PC9rZXl3b3JkPjxr
ZXl3b3JkPkNvbnNlcnZlZCBTZXF1ZW5jZTwva2V5d29yZD48a2V5d29yZD5IZW1hZ2dsdXRpbmlu
IEdseWNvcHJvdGVpbnMsIEluZmx1ZW56YSBWaXJ1cy8qaW1tdW5vbG9neTwva2V5d29yZD48a2V5
d29yZD5IdW1hbnM8L2tleXdvcmQ+PGtleXdvcmQ+SW1tdW5vZG9taW5hbnQgRXBpdG9wZXMvY2hl
bWlzdHJ5LyppbW11bm9sb2d5PC9rZXl3b3JkPjxrZXl3b3JkPkluZmx1ZW56YSBCIHZpcnVzLypp
bW11bm9sb2d5PC9rZXl3b3JkPjxrZXl3b3JkPkluZmx1ZW56YSBWYWNjaW5lcy8qaW1tdW5vbG9n
eTwva2V5d29yZD48a2V5d29yZD5NaWNlPC9rZXl3b3JkPjxrZXl3b3JkPk1vbGVjdWxhciBTZXF1
ZW5jZSBEYXRhPC9rZXl3b3JkPjxrZXl3b3JkPk5ldXRyYWxpemF0aW9uIFRlc3RzPC9rZXl3b3Jk
PjxrZXl3b3JkPk9ydGhvbXl4b3ZpcmlkYWUgSW5mZWN0aW9ucy8qcHJldmVudGlvbiAmYW1wOyBj
b250cm9sPC9rZXl3b3JkPjxrZXl3b3JkPlByb3RlaW4gQ29uZm9ybWF0aW9uPC9rZXl3b3JkPjwv
a2V5d29yZHM+PGRhdGVzPjx5ZWFyPjIwMTI8L3llYXI+PHB1Yi1kYXRlcz48ZGF0ZT5TZXAgMTQ8
L2RhdGU+PC9wdWItZGF0ZXM+PC9kYXRlcz48aXNibj4xMDk1LTkyMDMgKEVsZWN0cm9uaWMpJiN4
RDswMDM2LTgwNzUgKExpbmtpbmcpPC9pc2JuPjxhY2Nlc3Npb24tbnVtPjIyODc4NTAyPC9hY2Nl
c3Npb24tbnVtPjx1cmxzPjxyZWxhdGVkLXVybHM+PHVybD5odHRwczovL3d3dy5uY2JpLm5sbS5u
aWguZ292L3B1Ym1lZC8yMjg3ODUwMjwvdXJsPjwvcmVsYXRlZC11cmxzPjwvdXJscz48Y3VzdG9t
Mj5QTUMzNTM4ODQxPC9jdXN0b20yPjxlbGVjdHJvbmljLXJlc291cmNlLW51bT4xMC4xMTI2L3Nj
aWVuY2UuMTIyMjkwODwvZWxlY3Ryb25pYy1yZXNvdXJjZS1udW0+PC9yZWNvcmQ+PC9DaXRlPjwv
RW5kTm90ZT4A
</w:fldData>
        </w:fldChar>
      </w:r>
      <w:r w:rsidRPr="00085FA2">
        <w:rPr>
          <w:rFonts w:cstheme="minorHAnsi"/>
          <w:color w:val="000000" w:themeColor="text1"/>
          <w:sz w:val="24"/>
          <w:szCs w:val="24"/>
          <w:lang w:val="en-US"/>
        </w:rPr>
        <w:instrText xml:space="preserve"> ADDIN EN.CITE </w:instrText>
      </w:r>
      <w:r w:rsidRPr="00085FA2">
        <w:rPr>
          <w:rFonts w:cstheme="minorHAnsi"/>
          <w:color w:val="000000" w:themeColor="text1"/>
          <w:sz w:val="24"/>
          <w:szCs w:val="24"/>
          <w:lang w:val="en-US"/>
        </w:rPr>
        <w:fldChar w:fldCharType="begin">
          <w:fldData xml:space="preserve">PEVuZE5vdGU+PENpdGU+PEF1dGhvcj5EcmV5ZnVzPC9BdXRob3I+PFllYXI+MjAxMjwvWWVhcj48
UmVjTnVtPjg8L1JlY051bT48RGlzcGxheVRleHQ+PHN0eWxlIGZhY2U9InN1cGVyc2NyaXB0Ij42
PC9zdHlsZT48L0Rpc3BsYXlUZXh0PjxyZWNvcmQ+PHJlYy1udW1iZXI+ODwvcmVjLW51bWJlcj48
Zm9yZWlnbi1rZXlzPjxrZXkgYXBwPSJFTiIgZGItaWQ9InhkNTBmdDBmenQ5MHgxZTByem12emZ6
dzVlcnQyMmY1ZmE5MCIgdGltZXN0YW1wPSIxNjQ0MjY1NDYxIj44PC9rZXk+PC9mb3JlaWduLWtl
eXM+PHJlZi10eXBlIG5hbWU9IkpvdXJuYWwgQXJ0aWNsZSI+MTc8L3JlZi10eXBlPjxjb250cmli
dXRvcnM+PGF1dGhvcnM+PGF1dGhvcj5EcmV5ZnVzLCBDLjwvYXV0aG9yPjxhdXRob3I+TGF1cnNl
biwgTi4gUy48L2F1dGhvcj48YXV0aG9yPkt3YWtzLCBULjwvYXV0aG9yPjxhdXRob3I+WnVpamRn
ZWVzdCwgRC48L2F1dGhvcj48YXV0aG9yPktoYXlhdCwgUi48L2F1dGhvcj48YXV0aG9yPkVraWVy
dCwgRC4gQy48L2F1dGhvcj48YXV0aG9yPkxlZSwgSi4gSC48L2F1dGhvcj48YXV0aG9yPk1ldGxh
Z2VsLCBaLjwvYXV0aG9yPjxhdXRob3I+QnVqbnksIE0uIFYuPC9hdXRob3I+PGF1dGhvcj5Kb25n
ZW5lZWxlbiwgTS48L2F1dGhvcj48YXV0aG9yPnZhbiBkZXIgVmx1Z3QsIFIuPC9hdXRob3I+PGF1
dGhvcj5MYW1yYW5pLCBNLjwvYXV0aG9yPjxhdXRob3I+S29yc2UsIEguIEouPC9hdXRob3I+PGF1
dGhvcj5HZWVsZW4sIEUuPC9hdXRob3I+PGF1dGhvcj5TYWhpbiwgTy48L2F1dGhvcj48YXV0aG9y
PlNpZXV3ZXJ0cywgTS48L2F1dGhvcj48YXV0aG9yPkJyYWtlbmhvZmYsIEouIFAuPC9hdXRob3I+
PGF1dGhvcj5Wb2dlbHMsIFIuPC9hdXRob3I+PGF1dGhvcj5MaSwgTy4gVC48L2F1dGhvcj48YXV0
aG9yPlBvb24sIEwuIEwuPC9hdXRob3I+PGF1dGhvcj5QZWlyaXMsIE0uPC9hdXRob3I+PGF1dGhv
cj5Lb3Vkc3RhYWwsIFcuPC9hdXRob3I+PGF1dGhvcj5XYXJkLCBBLiBCLjwvYXV0aG9yPjxhdXRo
b3I+V2lsc29uLCBJLiBBLjwvYXV0aG9yPjxhdXRob3I+R291ZHNtaXQsIEouPC9hdXRob3I+PGF1
dGhvcj5Gcmllc2VuLCBSLiBILjwvYXV0aG9yPjwvYXV0aG9ycz48L2NvbnRyaWJ1dG9ycz48YXV0
aC1hZGRyZXNzPkRlcGFydG1lbnQgb2YgTW9sZWN1bGFyIEJpb2xvZ3ksIFRoZSBTY3JpcHBzIFJl
c2VhcmNoIEluc3RpdHV0ZSwgMTA1NTAgTm9ydGggVG9ycmV5IFBpbmVzIFJvYWQsIExhIEpvbGxh
LCBDQSA5MjAzNywgVVNBLjwvYXV0aC1hZGRyZXNzPjx0aXRsZXM+PHRpdGxlPkhpZ2hseSBjb25z
ZXJ2ZWQgcHJvdGVjdGl2ZSBlcGl0b3BlcyBvbiBpbmZsdWVuemEgQiB2aXJ1c2VzPC90aXRsZT48
c2Vjb25kYXJ5LXRpdGxlPlNjaWVuY2U8L3NlY29uZGFyeS10aXRsZT48L3RpdGxlcz48cGVyaW9k
aWNhbD48ZnVsbC10aXRsZT5TY2llbmNlPC9mdWxsLXRpdGxlPjwvcGVyaW9kaWNhbD48cGFnZXM+
MTM0My04PC9wYWdlcz48dm9sdW1lPjMzNzwvdm9sdW1lPjxudW1iZXI+NjEwMDwvbnVtYmVyPjxl
ZGl0aW9uPjIwMTIwODA5PC9lZGl0aW9uPjxrZXl3b3Jkcz48a2V5d29yZD5BbWlubyBBY2lkIFNl
cXVlbmNlPC9rZXl3b3JkPjxrZXl3b3JkPkFuaW1hbHM8L2tleXdvcmQ+PGtleXdvcmQ+QW50aWJv
ZGllcywgTW9ub2Nsb25hbC9jaGVtaXN0cnkvKmltbXVub2xvZ3k8L2tleXdvcmQ+PGtleXdvcmQ+
QW50aWJvZGllcywgTmV1dHJhbGl6aW5nL2NoZW1pc3RyeS9pbW11bm9sb2d5PC9rZXl3b3JkPjxr
ZXl3b3JkPkNvbnNlcnZlZCBTZXF1ZW5jZTwva2V5d29yZD48a2V5d29yZD5IZW1hZ2dsdXRpbmlu
IEdseWNvcHJvdGVpbnMsIEluZmx1ZW56YSBWaXJ1cy8qaW1tdW5vbG9neTwva2V5d29yZD48a2V5
d29yZD5IdW1hbnM8L2tleXdvcmQ+PGtleXdvcmQ+SW1tdW5vZG9taW5hbnQgRXBpdG9wZXMvY2hl
bWlzdHJ5LyppbW11bm9sb2d5PC9rZXl3b3JkPjxrZXl3b3JkPkluZmx1ZW56YSBCIHZpcnVzLypp
bW11bm9sb2d5PC9rZXl3b3JkPjxrZXl3b3JkPkluZmx1ZW56YSBWYWNjaW5lcy8qaW1tdW5vbG9n
eTwva2V5d29yZD48a2V5d29yZD5NaWNlPC9rZXl3b3JkPjxrZXl3b3JkPk1vbGVjdWxhciBTZXF1
ZW5jZSBEYXRhPC9rZXl3b3JkPjxrZXl3b3JkPk5ldXRyYWxpemF0aW9uIFRlc3RzPC9rZXl3b3Jk
PjxrZXl3b3JkPk9ydGhvbXl4b3ZpcmlkYWUgSW5mZWN0aW9ucy8qcHJldmVudGlvbiAmYW1wOyBj
b250cm9sPC9rZXl3b3JkPjxrZXl3b3JkPlByb3RlaW4gQ29uZm9ybWF0aW9uPC9rZXl3b3JkPjwv
a2V5d29yZHM+PGRhdGVzPjx5ZWFyPjIwMTI8L3llYXI+PHB1Yi1kYXRlcz48ZGF0ZT5TZXAgMTQ8
L2RhdGU+PC9wdWItZGF0ZXM+PC9kYXRlcz48aXNibj4xMDk1LTkyMDMgKEVsZWN0cm9uaWMpJiN4
RDswMDM2LTgwNzUgKExpbmtpbmcpPC9pc2JuPjxhY2Nlc3Npb24tbnVtPjIyODc4NTAyPC9hY2Nl
c3Npb24tbnVtPjx1cmxzPjxyZWxhdGVkLXVybHM+PHVybD5odHRwczovL3d3dy5uY2JpLm5sbS5u
aWguZ292L3B1Ym1lZC8yMjg3ODUwMjwvdXJsPjwvcmVsYXRlZC11cmxzPjwvdXJscz48Y3VzdG9t
Mj5QTUMzNTM4ODQxPC9jdXN0b20yPjxlbGVjdHJvbmljLXJlc291cmNlLW51bT4xMC4xMTI2L3Nj
aWVuY2UuMTIyMjkwODwvZWxlY3Ryb25pYy1yZXNvdXJjZS1udW0+PC9yZWNvcmQ+PC9DaXRlPjwv
RW5kTm90ZT4A
</w:fldData>
        </w:fldChar>
      </w:r>
      <w:r w:rsidRPr="00085FA2">
        <w:rPr>
          <w:rFonts w:cstheme="minorHAnsi"/>
          <w:color w:val="000000" w:themeColor="text1"/>
          <w:sz w:val="24"/>
          <w:szCs w:val="24"/>
          <w:lang w:val="en-US"/>
        </w:rPr>
        <w:instrText xml:space="preserve"> ADDIN EN.CITE.DATA </w:instrText>
      </w:r>
      <w:r w:rsidRPr="00085FA2">
        <w:rPr>
          <w:rFonts w:cstheme="minorHAnsi"/>
          <w:color w:val="000000" w:themeColor="text1"/>
          <w:sz w:val="24"/>
          <w:szCs w:val="24"/>
          <w:lang w:val="en-US"/>
        </w:rPr>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r>
      <w:r w:rsidRPr="00085FA2">
        <w:rPr>
          <w:rFonts w:cstheme="minorHAnsi"/>
          <w:color w:val="000000" w:themeColor="text1"/>
          <w:sz w:val="24"/>
          <w:szCs w:val="24"/>
          <w:lang w:val="en-US"/>
        </w:rPr>
        <w:fldChar w:fldCharType="separate"/>
      </w:r>
      <w:r w:rsidRPr="00085FA2">
        <w:rPr>
          <w:rFonts w:cstheme="minorHAnsi"/>
          <w:noProof/>
          <w:color w:val="000000" w:themeColor="text1"/>
          <w:sz w:val="24"/>
          <w:szCs w:val="24"/>
          <w:vertAlign w:val="superscript"/>
          <w:lang w:val="en-US"/>
        </w:rPr>
        <w:t>6</w:t>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t xml:space="preserve"> and Ebola virus </w:t>
      </w:r>
      <w:r w:rsidR="00296ACC" w:rsidRPr="00296ACC">
        <w:rPr>
          <w:rFonts w:cstheme="minorHAnsi"/>
          <w:color w:val="000000" w:themeColor="text1"/>
          <w:sz w:val="24"/>
          <w:szCs w:val="24"/>
          <w:vertAlign w:val="superscript"/>
          <w:lang w:val="en-US"/>
        </w:rPr>
        <w:t>6</w:t>
      </w:r>
      <w:r w:rsidRPr="00085FA2">
        <w:rPr>
          <w:rFonts w:cstheme="minorHAnsi"/>
          <w:color w:val="000000" w:themeColor="text1"/>
          <w:sz w:val="24"/>
          <w:szCs w:val="24"/>
          <w:lang w:val="en-US"/>
        </w:rPr>
        <w:fldChar w:fldCharType="begin"/>
      </w:r>
      <w:r w:rsidRPr="00085FA2">
        <w:rPr>
          <w:rFonts w:cstheme="minorHAnsi"/>
          <w:color w:val="000000" w:themeColor="text1"/>
          <w:sz w:val="24"/>
          <w:szCs w:val="24"/>
          <w:lang w:val="en-US"/>
        </w:rPr>
        <w:instrText xml:space="preserve"> ADDIN EN.CITE &lt;EndNote&gt;&lt;Cite&gt;&lt;Author&gt;Saphire&lt;/Author&gt;&lt;Year&gt;2018&lt;/Year&gt;&lt;RecNum&gt;9&lt;/RecNum&gt;&lt;DisplayText&gt;&lt;style face="superscript"&gt;7&lt;/style&gt;&lt;/DisplayText&gt;&lt;record&gt;&lt;rec-number&gt;9&lt;/rec-number&gt;&lt;foreign-keys&gt;&lt;key app="EN" db-id="xd50ft0fzt90x1e0rzmvzfzw5ert22f5fa90" timestamp="1644315699"&gt;9&lt;/key&gt;&lt;/foreign-keys&gt;&lt;ref-type name="Journal Article"&gt;17&lt;/ref-type&gt;&lt;contributors&gt;&lt;authors&gt;&lt;author&gt;Saphire, E. O.&lt;/author&gt;&lt;author&gt;Schendel, S. L.&lt;/author&gt;&lt;author&gt;Gunn, B. M.&lt;/author&gt;&lt;author&gt;Milligan, J. C.&lt;/author&gt;&lt;author&gt;Alter, G.&lt;/author&gt;&lt;/authors&gt;&lt;/contributors&gt;&lt;auth-address&gt;Department of Immunology and Microbiology, The Scripps Research Institute, La Jolla, CA, USA. erica@scripps.edu.&amp;#xD;Skaggs Institute for Chemical Biology, The Scripps Research Institute, La Jolla, CA, USA. erica@scripps.edu.&amp;#xD;Department of Immunology and Microbiology, The Scripps Research Institute, La Jolla, CA, USA.&amp;#xD;The Ragon Institute of MIT, MGH and Harvard, Cambridge, MA, USA.&amp;#xD;The Ragon Institute of MIT, MGH and Harvard, Cambridge, MA, USA. galter@mgh.harvard.edu.&lt;/auth-address&gt;&lt;titles&gt;&lt;title&gt;Antibody-mediated protection against Ebola virus&lt;/title&gt;&lt;secondary-title&gt;Nat Immunol&lt;/secondary-title&gt;&lt;/titles&gt;&lt;periodical&gt;&lt;full-title&gt;Nat Immunol&lt;/full-title&gt;&lt;/periodical&gt;&lt;pages&gt;1169-1178&lt;/pages&gt;&lt;volume&gt;19&lt;/volume&gt;&lt;number&gt;11&lt;/number&gt;&lt;edition&gt;20181017&lt;/edition&gt;&lt;keywords&gt;&lt;keyword&gt;Animals&lt;/keyword&gt;&lt;keyword&gt;Antibodies, Neutralizing/immunology&lt;/keyword&gt;&lt;keyword&gt;Antibodies, Viral/*immunology&lt;/keyword&gt;&lt;keyword&gt;Ebolavirus/*immunology&lt;/keyword&gt;&lt;keyword&gt;Hemorrhagic Fever, Ebola/*immunology&lt;/keyword&gt;&lt;keyword&gt;Humans&lt;/keyword&gt;&lt;/keywords&gt;&lt;dates&gt;&lt;year&gt;2018&lt;/year&gt;&lt;pub-dates&gt;&lt;date&gt;Nov&lt;/date&gt;&lt;/pub-dates&gt;&lt;/dates&gt;&lt;isbn&gt;1529-2916 (Electronic)&amp;#xD;1529-2908 (Linking)&lt;/isbn&gt;&lt;accession-num&gt;30333617&lt;/accession-num&gt;&lt;urls&gt;&lt;related-urls&gt;&lt;url&gt;https://www.ncbi.nlm.nih.gov/pubmed/30333617&lt;/url&gt;&lt;/related-urls&gt;&lt;/urls&gt;&lt;custom2&gt;PMC6814399&lt;/custom2&gt;&lt;electronic-resource-num&gt;10.1038/s41590-018-0233-9&lt;/electronic-resource-num&gt;&lt;/record&gt;&lt;/Cite&gt;&lt;/EndNote&gt;</w:instrText>
      </w:r>
      <w:r w:rsidRPr="00085FA2">
        <w:rPr>
          <w:rFonts w:cstheme="minorHAnsi"/>
          <w:color w:val="000000" w:themeColor="text1"/>
          <w:sz w:val="24"/>
          <w:szCs w:val="24"/>
          <w:lang w:val="en-US"/>
        </w:rPr>
        <w:fldChar w:fldCharType="separate"/>
      </w:r>
      <w:r w:rsidRPr="00085FA2">
        <w:rPr>
          <w:rFonts w:cstheme="minorHAnsi"/>
          <w:noProof/>
          <w:color w:val="000000" w:themeColor="text1"/>
          <w:sz w:val="24"/>
          <w:szCs w:val="24"/>
          <w:vertAlign w:val="superscript"/>
          <w:lang w:val="en-US"/>
        </w:rPr>
        <w:t>7</w:t>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t xml:space="preserve"> via Fc-effector functions highlighting the importance of the Fc-effector function, rather than the Fab-activity alone, in protection from some infections. Likewise, Fc-effector function is key to the therapeutic activity of neutralizing bacterial-toxin specific antibodies, that require both blockade of toxin action but also clearance of the toxins from the immune system</w:t>
      </w:r>
      <w:r w:rsidR="00296ACC" w:rsidRPr="00296ACC">
        <w:rPr>
          <w:rFonts w:cstheme="minorHAnsi"/>
          <w:color w:val="000000" w:themeColor="text1"/>
          <w:sz w:val="24"/>
          <w:szCs w:val="24"/>
          <w:vertAlign w:val="superscript"/>
          <w:lang w:val="en-US"/>
        </w:rPr>
        <w:t>6</w:t>
      </w:r>
      <w:r w:rsidRPr="00085FA2">
        <w:rPr>
          <w:rFonts w:cstheme="minorHAnsi"/>
          <w:color w:val="000000" w:themeColor="text1"/>
          <w:sz w:val="24"/>
          <w:szCs w:val="24"/>
          <w:lang w:val="en-US"/>
        </w:rPr>
        <w:fldChar w:fldCharType="begin">
          <w:fldData xml:space="preserve">PEVuZE5vdGU+PENpdGU+PEF1dGhvcj5BYmJvdWQ8L0F1dGhvcj48WWVhcj4yMDEwPC9ZZWFyPjxS
ZWNOdW0+MTA8L1JlY051bT48RGlzcGxheVRleHQ+PHN0eWxlIGZhY2U9InN1cGVyc2NyaXB0Ij44
PC9zdHlsZT48L0Rpc3BsYXlUZXh0PjxyZWNvcmQ+PHJlYy1udW1iZXI+MTA8L3JlYy1udW1iZXI+
PGZvcmVpZ24ta2V5cz48a2V5IGFwcD0iRU4iIGRiLWlkPSJ4ZDUwZnQwZnp0OTB4MWUwcnptdnpm
enc1ZXJ0MjJmNWZhOTAiIHRpbWVzdGFtcD0iMTY0NDMxNTcxNCI+MTA8L2tleT48L2ZvcmVpZ24t
a2V5cz48cmVmLXR5cGUgbmFtZT0iSm91cm5hbCBBcnRpY2xlIj4xNzwvcmVmLXR5cGU+PGNvbnRy
aWJ1dG9ycz48YXV0aG9ycz48YXV0aG9yPkFiYm91ZCwgTi48L2F1dGhvcj48YXV0aG9yPkNob3cs
IFMuIEsuPC9hdXRob3I+PGF1dGhvcj5TYXlsb3IsIEMuPC9hdXRob3I+PGF1dGhvcj5KYW5kYSwg
QS48L2F1dGhvcj48YXV0aG9yPlJhdmV0Y2gsIEouIFYuPC9hdXRob3I+PGF1dGhvcj5TY2hhcmZm
LCBNLiBELjwvYXV0aG9yPjxhdXRob3I+Q2FzYWRldmFsbCwgQS48L2F1dGhvcj48L2F1dGhvcnM+
PC9jb250cmlidXRvcnM+PGF1dGgtYWRkcmVzcz5EZXBhcnRtZW50IG9mIE1pY3JvYmlvbG9neSBh
bmQgSW1tdW5vbG9neSwgRGl2aXNpb24gb2YgSW5mZWN0aW91cyBEaXNlYXNlcywgQWxiZXJ0IEVp
bnN0ZWluIENvbGxlZ2Ugb2YgTWVkaWNpbmUsIEJyb254LCBOWSAxMDQ2MSwgVVNBLjwvYXV0aC1h
ZGRyZXNzPjx0aXRsZXM+PHRpdGxlPkEgcmVxdWlyZW1lbnQgZm9yIEZjZ2FtbWFSIGluIGFudGli
b2R5LW1lZGlhdGVkIGJhY3RlcmlhbCB0b3hpbiBuZXV0cmFsaXphdGlvbjwvdGl0bGU+PHNlY29u
ZGFyeS10aXRsZT5KIEV4cCBNZWQ8L3NlY29uZGFyeS10aXRsZT48L3RpdGxlcz48cGVyaW9kaWNh
bD48ZnVsbC10aXRsZT5KIEV4cCBNZWQ8L2Z1bGwtdGl0bGU+PC9wZXJpb2RpY2FsPjxwYWdlcz4y
Mzk1LTQwNTwvcGFnZXM+PHZvbHVtZT4yMDc8L3ZvbHVtZT48bnVtYmVyPjExPC9udW1iZXI+PGVk
aXRpb24+MjAxMDEwMDQ8L2VkaXRpb24+PGtleXdvcmRzPjxrZXl3b3JkPkFuaW1hbHM8L2tleXdv
cmQ+PGtleXdvcmQ+QW50aHJheCBWYWNjaW5lcy9pbW11bm9sb2d5PC9rZXl3b3JkPjxrZXl3b3Jk
PkFudGlib2RpZXMsIEJhY3RlcmlhbDwva2V5d29yZD48a2V5d29yZD5BbnRpYm9kaWVzLCBNb25v
Y2xvbmFsLyppbW11bm9sb2d5PC9rZXl3b3JkPjxrZXl3b3JkPkFudGlnZW5zLCBCYWN0ZXJpYWwv
KmltbXVub2xvZ3k8L2tleXdvcmQ+PGtleXdvcmQ+QmFjaWxsdXMgYW50aHJhY2lzLyppbW11bm9s
b2d5PC9rZXl3b3JkPjxrZXl3b3JkPkJhY3RlcmlhbCBUb3hpbnMvKmltbXVub2xvZ3k8L2tleXdv
cmQ+PGtleXdvcmQ+Q2VsbCBMaW5lPC9rZXl3b3JkPjxrZXl3b3JkPkltbXVuaXphdGlvbiwgUGFz
c2l2ZTwva2V5d29yZD48a2V5d29yZD5JbW11bm9nbG9idWxpbiBHLyppbW11bm9sb2d5PC9rZXl3
b3JkPjxrZXl3b3JkPk1pY2U8L2tleXdvcmQ+PGtleXdvcmQ+TWljZSwgS25vY2tvdXQ8L2tleXdv
cmQ+PGtleXdvcmQ+TWl0b2dlbi1BY3RpdmF0ZWQgUHJvdGVpbiBLaW5hc2UgS2luYXNlcy9nZW5l
dGljcy9pbW11bm9sb2d5PC9rZXl3b3JkPjxrZXl3b3JkPlJlY2VwdG9ycywgSWdHL2dlbmV0aWNz
LyppbW11bm9sb2d5PC9rZXl3b3JkPjwva2V5d29yZHM+PGRhdGVzPjx5ZWFyPjIwMTA8L3llYXI+
PHB1Yi1kYXRlcz48ZGF0ZT5PY3QgMjU8L2RhdGU+PC9wdWItZGF0ZXM+PC9kYXRlcz48aXNibj4x
NTQwLTk1MzggKEVsZWN0cm9uaWMpJiN4RDswMDIyLTEwMDcgKExpbmtpbmcpPC9pc2JuPjxhY2Nl
c3Npb24tbnVtPjIwOTIxMjg1PC9hY2Nlc3Npb24tbnVtPjx1cmxzPjxyZWxhdGVkLXVybHM+PHVy
bD5odHRwczovL3d3dy5uY2JpLm5sbS5uaWguZ292L3B1Ym1lZC8yMDkyMTI4NTwvdXJsPjwvcmVs
YXRlZC11cmxzPjwvdXJscz48Y3VzdG9tMj5QTUMyOTY0NTc0PC9jdXN0b20yPjxlbGVjdHJvbmlj
LXJlc291cmNlLW51bT4xMC4xMDg0L2plbS4yMDEwMDk5NTwvZWxlY3Ryb25pYy1yZXNvdXJjZS1u
dW0+PC9yZWNvcmQ+PC9DaXRlPjwvRW5kTm90ZT4A
</w:fldData>
        </w:fldChar>
      </w:r>
      <w:r w:rsidRPr="00085FA2">
        <w:rPr>
          <w:rFonts w:cstheme="minorHAnsi"/>
          <w:color w:val="000000" w:themeColor="text1"/>
          <w:sz w:val="24"/>
          <w:szCs w:val="24"/>
          <w:lang w:val="en-US"/>
        </w:rPr>
        <w:instrText xml:space="preserve"> ADDIN EN.CITE </w:instrText>
      </w:r>
      <w:r w:rsidRPr="00085FA2">
        <w:rPr>
          <w:rFonts w:cstheme="minorHAnsi"/>
          <w:color w:val="000000" w:themeColor="text1"/>
          <w:sz w:val="24"/>
          <w:szCs w:val="24"/>
          <w:lang w:val="en-US"/>
        </w:rPr>
        <w:fldChar w:fldCharType="begin">
          <w:fldData xml:space="preserve">PEVuZE5vdGU+PENpdGU+PEF1dGhvcj5BYmJvdWQ8L0F1dGhvcj48WWVhcj4yMDEwPC9ZZWFyPjxS
ZWNOdW0+MTA8L1JlY051bT48RGlzcGxheVRleHQ+PHN0eWxlIGZhY2U9InN1cGVyc2NyaXB0Ij44
PC9zdHlsZT48L0Rpc3BsYXlUZXh0PjxyZWNvcmQ+PHJlYy1udW1iZXI+MTA8L3JlYy1udW1iZXI+
PGZvcmVpZ24ta2V5cz48a2V5IGFwcD0iRU4iIGRiLWlkPSJ4ZDUwZnQwZnp0OTB4MWUwcnptdnpm
enc1ZXJ0MjJmNWZhOTAiIHRpbWVzdGFtcD0iMTY0NDMxNTcxNCI+MTA8L2tleT48L2ZvcmVpZ24t
a2V5cz48cmVmLXR5cGUgbmFtZT0iSm91cm5hbCBBcnRpY2xlIj4xNzwvcmVmLXR5cGU+PGNvbnRy
aWJ1dG9ycz48YXV0aG9ycz48YXV0aG9yPkFiYm91ZCwgTi48L2F1dGhvcj48YXV0aG9yPkNob3cs
IFMuIEsuPC9hdXRob3I+PGF1dGhvcj5TYXlsb3IsIEMuPC9hdXRob3I+PGF1dGhvcj5KYW5kYSwg
QS48L2F1dGhvcj48YXV0aG9yPlJhdmV0Y2gsIEouIFYuPC9hdXRob3I+PGF1dGhvcj5TY2hhcmZm
LCBNLiBELjwvYXV0aG9yPjxhdXRob3I+Q2FzYWRldmFsbCwgQS48L2F1dGhvcj48L2F1dGhvcnM+
PC9jb250cmlidXRvcnM+PGF1dGgtYWRkcmVzcz5EZXBhcnRtZW50IG9mIE1pY3JvYmlvbG9neSBh
bmQgSW1tdW5vbG9neSwgRGl2aXNpb24gb2YgSW5mZWN0aW91cyBEaXNlYXNlcywgQWxiZXJ0IEVp
bnN0ZWluIENvbGxlZ2Ugb2YgTWVkaWNpbmUsIEJyb254LCBOWSAxMDQ2MSwgVVNBLjwvYXV0aC1h
ZGRyZXNzPjx0aXRsZXM+PHRpdGxlPkEgcmVxdWlyZW1lbnQgZm9yIEZjZ2FtbWFSIGluIGFudGli
b2R5LW1lZGlhdGVkIGJhY3RlcmlhbCB0b3hpbiBuZXV0cmFsaXphdGlvbjwvdGl0bGU+PHNlY29u
ZGFyeS10aXRsZT5KIEV4cCBNZWQ8L3NlY29uZGFyeS10aXRsZT48L3RpdGxlcz48cGVyaW9kaWNh
bD48ZnVsbC10aXRsZT5KIEV4cCBNZWQ8L2Z1bGwtdGl0bGU+PC9wZXJpb2RpY2FsPjxwYWdlcz4y
Mzk1LTQwNTwvcGFnZXM+PHZvbHVtZT4yMDc8L3ZvbHVtZT48bnVtYmVyPjExPC9udW1iZXI+PGVk
aXRpb24+MjAxMDEwMDQ8L2VkaXRpb24+PGtleXdvcmRzPjxrZXl3b3JkPkFuaW1hbHM8L2tleXdv
cmQ+PGtleXdvcmQ+QW50aHJheCBWYWNjaW5lcy9pbW11bm9sb2d5PC9rZXl3b3JkPjxrZXl3b3Jk
PkFudGlib2RpZXMsIEJhY3RlcmlhbDwva2V5d29yZD48a2V5d29yZD5BbnRpYm9kaWVzLCBNb25v
Y2xvbmFsLyppbW11bm9sb2d5PC9rZXl3b3JkPjxrZXl3b3JkPkFudGlnZW5zLCBCYWN0ZXJpYWwv
KmltbXVub2xvZ3k8L2tleXdvcmQ+PGtleXdvcmQ+QmFjaWxsdXMgYW50aHJhY2lzLyppbW11bm9s
b2d5PC9rZXl3b3JkPjxrZXl3b3JkPkJhY3RlcmlhbCBUb3hpbnMvKmltbXVub2xvZ3k8L2tleXdv
cmQ+PGtleXdvcmQ+Q2VsbCBMaW5lPC9rZXl3b3JkPjxrZXl3b3JkPkltbXVuaXphdGlvbiwgUGFz
c2l2ZTwva2V5d29yZD48a2V5d29yZD5JbW11bm9nbG9idWxpbiBHLyppbW11bm9sb2d5PC9rZXl3
b3JkPjxrZXl3b3JkPk1pY2U8L2tleXdvcmQ+PGtleXdvcmQ+TWljZSwgS25vY2tvdXQ8L2tleXdv
cmQ+PGtleXdvcmQ+TWl0b2dlbi1BY3RpdmF0ZWQgUHJvdGVpbiBLaW5hc2UgS2luYXNlcy9nZW5l
dGljcy9pbW11bm9sb2d5PC9rZXl3b3JkPjxrZXl3b3JkPlJlY2VwdG9ycywgSWdHL2dlbmV0aWNz
LyppbW11bm9sb2d5PC9rZXl3b3JkPjwva2V5d29yZHM+PGRhdGVzPjx5ZWFyPjIwMTA8L3llYXI+
PHB1Yi1kYXRlcz48ZGF0ZT5PY3QgMjU8L2RhdGU+PC9wdWItZGF0ZXM+PC9kYXRlcz48aXNibj4x
NTQwLTk1MzggKEVsZWN0cm9uaWMpJiN4RDswMDIyLTEwMDcgKExpbmtpbmcpPC9pc2JuPjxhY2Nl
c3Npb24tbnVtPjIwOTIxMjg1PC9hY2Nlc3Npb24tbnVtPjx1cmxzPjxyZWxhdGVkLXVybHM+PHVy
bD5odHRwczovL3d3dy5uY2JpLm5sbS5uaWguZ292L3B1Ym1lZC8yMDkyMTI4NTwvdXJsPjwvcmVs
YXRlZC11cmxzPjwvdXJscz48Y3VzdG9tMj5QTUMyOTY0NTc0PC9jdXN0b20yPjxlbGVjdHJvbmlj
LXJlc291cmNlLW51bT4xMC4xMDg0L2plbS4yMDEwMDk5NTwvZWxlY3Ryb25pYy1yZXNvdXJjZS1u
dW0+PC9yZWNvcmQ+PC9DaXRlPjwvRW5kTm90ZT4A
</w:fldData>
        </w:fldChar>
      </w:r>
      <w:r w:rsidRPr="00085FA2">
        <w:rPr>
          <w:rFonts w:cstheme="minorHAnsi"/>
          <w:color w:val="000000" w:themeColor="text1"/>
          <w:sz w:val="24"/>
          <w:szCs w:val="24"/>
          <w:lang w:val="en-US"/>
        </w:rPr>
        <w:instrText xml:space="preserve"> ADDIN EN.CITE.DATA </w:instrText>
      </w:r>
      <w:r w:rsidRPr="00085FA2">
        <w:rPr>
          <w:rFonts w:cstheme="minorHAnsi"/>
          <w:color w:val="000000" w:themeColor="text1"/>
          <w:sz w:val="24"/>
          <w:szCs w:val="24"/>
          <w:lang w:val="en-US"/>
        </w:rPr>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r>
      <w:r w:rsidRPr="00085FA2">
        <w:rPr>
          <w:rFonts w:cstheme="minorHAnsi"/>
          <w:color w:val="000000" w:themeColor="text1"/>
          <w:sz w:val="24"/>
          <w:szCs w:val="24"/>
          <w:lang w:val="en-US"/>
        </w:rPr>
        <w:fldChar w:fldCharType="separate"/>
      </w:r>
      <w:r w:rsidRPr="00085FA2">
        <w:rPr>
          <w:rFonts w:cstheme="minorHAnsi"/>
          <w:noProof/>
          <w:color w:val="000000" w:themeColor="text1"/>
          <w:sz w:val="24"/>
          <w:szCs w:val="24"/>
          <w:vertAlign w:val="superscript"/>
          <w:lang w:val="en-US"/>
        </w:rPr>
        <w:t>8</w:t>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t>. However, whether both ends of the antibody are required for protection against SARS-CoV-2 has been poorly studied.</w:t>
      </w:r>
    </w:p>
    <w:p w14:paraId="7AC42458" w14:textId="345D154B" w:rsidR="001D5BB4" w:rsidRPr="00085FA2" w:rsidRDefault="001D5BB4" w:rsidP="009B5B9A">
      <w:pPr>
        <w:spacing w:line="480" w:lineRule="auto"/>
        <w:ind w:firstLine="720"/>
        <w:rPr>
          <w:rFonts w:cstheme="minorHAnsi"/>
          <w:color w:val="000000" w:themeColor="text1"/>
          <w:sz w:val="24"/>
          <w:szCs w:val="24"/>
          <w:lang w:val="en-US"/>
        </w:rPr>
      </w:pPr>
      <w:r w:rsidRPr="00085FA2">
        <w:rPr>
          <w:rFonts w:cstheme="minorHAnsi"/>
          <w:color w:val="000000" w:themeColor="text1"/>
          <w:sz w:val="24"/>
          <w:szCs w:val="24"/>
          <w:lang w:val="en-US"/>
        </w:rPr>
        <w:t>Antibodies have the ability to deploy a wide array of immune effector functions via their ability to bind to complement or Fc-receptors,  which are present on all immune cells</w:t>
      </w:r>
      <w:r w:rsidR="00296ACC" w:rsidRPr="00296ACC">
        <w:rPr>
          <w:rFonts w:cstheme="minorHAnsi"/>
          <w:color w:val="000000" w:themeColor="text1"/>
          <w:sz w:val="24"/>
          <w:szCs w:val="24"/>
          <w:vertAlign w:val="superscript"/>
          <w:lang w:val="en-US"/>
        </w:rPr>
        <w:t>6</w:t>
      </w:r>
      <w:r w:rsidRPr="00085FA2">
        <w:rPr>
          <w:rFonts w:cstheme="minorHAnsi"/>
          <w:color w:val="000000" w:themeColor="text1"/>
          <w:sz w:val="24"/>
          <w:szCs w:val="24"/>
          <w:lang w:val="en-US"/>
        </w:rPr>
        <w:fldChar w:fldCharType="begin"/>
      </w:r>
      <w:r w:rsidRPr="00085FA2">
        <w:rPr>
          <w:rFonts w:cstheme="minorHAnsi"/>
          <w:color w:val="000000" w:themeColor="text1"/>
          <w:sz w:val="24"/>
          <w:szCs w:val="24"/>
          <w:lang w:val="en-US"/>
        </w:rPr>
        <w:instrText xml:space="preserve"> ADDIN EN.CITE &lt;EndNote&gt;&lt;Cite&gt;&lt;Author&gt;Lu&lt;/Author&gt;&lt;Year&gt;2018&lt;/Year&gt;&lt;RecNum&gt;1&lt;/RecNum&gt;&lt;DisplayText&gt;&lt;style face="superscript"&gt;1&lt;/style&gt;&lt;/DisplayText&gt;&lt;record&gt;&lt;rec-number&gt;1&lt;/rec-number&gt;&lt;foreign-keys&gt;&lt;key app="EN" db-id="xd50ft0fzt90x1e0rzmvzfzw5ert22f5fa90" timestamp="1644265366"&gt;1&lt;/key&gt;&lt;/foreign-keys&gt;&lt;ref-type name="Journal Article"&gt;17&lt;/ref-type&gt;&lt;contributors&gt;&lt;authors&gt;&lt;author&gt;Lu, L. L.&lt;/author&gt;&lt;author&gt;Suscovich, T. J.&lt;/author&gt;&lt;author&gt;Fortune, S. M.&lt;/author&gt;&lt;author&gt;Alter, G.&lt;/author&gt;&lt;/authors&gt;&lt;/contributors&gt;&lt;auth-address&gt;Ragon Institute of MGH, MIT and Harvard, 400 Technology Square, Cambridge, Massachusetts 02139, USA.&amp;#xD;Department of Immunology and Infectious Diseases, Harvard T.H. Chan School of Public Health, Boston, Massachusetts 02115, USA.&lt;/auth-address&gt;&lt;titles&gt;&lt;title&gt;Beyond binding: antibody effector functions in infectious diseases&lt;/title&gt;&lt;secondary-title&gt;Nat Rev Immunol&lt;/secondary-title&gt;&lt;/titles&gt;&lt;periodical&gt;&lt;full-title&gt;Nat Rev Immunol&lt;/full-title&gt;&lt;/periodical&gt;&lt;pages&gt;46-61&lt;/pages&gt;&lt;volume&gt;18&lt;/volume&gt;&lt;number&gt;1&lt;/number&gt;&lt;edition&gt;20171024&lt;/edition&gt;&lt;keywords&gt;&lt;keyword&gt;Adaptive Immunity/immunology&lt;/keyword&gt;&lt;keyword&gt;Antibodies/*immunology&lt;/keyword&gt;&lt;keyword&gt;Antigen Presentation/*immunology&lt;/keyword&gt;&lt;keyword&gt;Antigen-Antibody Complex/immunology&lt;/keyword&gt;&lt;keyword&gt;Bacterial Toxins/metabolism&lt;/keyword&gt;&lt;keyword&gt;Humans&lt;/keyword&gt;&lt;keyword&gt;Immunity, Innate/immunology&lt;/keyword&gt;&lt;keyword&gt;Immunoglobulin Constant Regions&lt;/keyword&gt;&lt;keyword&gt;Infections/*immunology&lt;/keyword&gt;&lt;keyword&gt;Inflammation/*immunology&lt;/keyword&gt;&lt;/keywords&gt;&lt;dates&gt;&lt;year&gt;2018&lt;/year&gt;&lt;pub-dates&gt;&lt;date&gt;Jan&lt;/date&gt;&lt;/pub-dates&gt;&lt;/dates&gt;&lt;isbn&gt;1474-1741 (Electronic)&amp;#xD;1474-1733 (Linking)&lt;/isbn&gt;&lt;accession-num&gt;29063907&lt;/accession-num&gt;&lt;urls&gt;&lt;related-urls&gt;&lt;url&gt;https://www.ncbi.nlm.nih.gov/pubmed/29063907&lt;/url&gt;&lt;/related-urls&gt;&lt;/urls&gt;&lt;custom2&gt;PMC6369690&lt;/custom2&gt;&lt;electronic-resource-num&gt;10.1038/nri.2017.106&lt;/electronic-resource-num&gt;&lt;/record&gt;&lt;/Cite&gt;&lt;/EndNote&gt;</w:instrText>
      </w:r>
      <w:r w:rsidRPr="00085FA2">
        <w:rPr>
          <w:rFonts w:cstheme="minorHAnsi"/>
          <w:color w:val="000000" w:themeColor="text1"/>
          <w:sz w:val="24"/>
          <w:szCs w:val="24"/>
          <w:lang w:val="en-US"/>
        </w:rPr>
        <w:fldChar w:fldCharType="separate"/>
      </w:r>
      <w:r w:rsidRPr="00085FA2">
        <w:rPr>
          <w:rFonts w:cstheme="minorHAnsi"/>
          <w:noProof/>
          <w:color w:val="000000" w:themeColor="text1"/>
          <w:sz w:val="24"/>
          <w:szCs w:val="24"/>
          <w:vertAlign w:val="superscript"/>
          <w:lang w:val="en-US"/>
        </w:rPr>
        <w:t>1</w:t>
      </w:r>
      <w:r w:rsidRPr="00085FA2">
        <w:rPr>
          <w:rFonts w:cstheme="minorHAnsi"/>
          <w:color w:val="000000" w:themeColor="text1"/>
          <w:sz w:val="24"/>
          <w:szCs w:val="24"/>
          <w:lang w:val="en-US"/>
        </w:rPr>
        <w:fldChar w:fldCharType="end"/>
      </w:r>
      <w:r w:rsidRPr="00085FA2">
        <w:rPr>
          <w:rFonts w:cstheme="minorHAnsi"/>
          <w:color w:val="000000" w:themeColor="text1"/>
          <w:sz w:val="24"/>
          <w:szCs w:val="24"/>
          <w:lang w:val="en-US"/>
        </w:rPr>
        <w:t xml:space="preserve">. Owing to the low-affinity binding of Fc antibody- for complement and Fc-receptors, aggregates of antibodies, found in immune complexes, are required to bind and activate cells. Moreover, distinct antibody subclasses/isotypes possess differing affinities for Fc-receptors and complement. For example, IgG subclasses demonstrate distinct affinities for </w:t>
      </w:r>
      <w:proofErr w:type="spellStart"/>
      <w:r w:rsidRPr="00085FA2">
        <w:rPr>
          <w:rFonts w:cstheme="minorHAnsi"/>
          <w:color w:val="000000" w:themeColor="text1"/>
          <w:sz w:val="24"/>
          <w:szCs w:val="24"/>
          <w:lang w:val="en-US"/>
        </w:rPr>
        <w:t>FcRs</w:t>
      </w:r>
      <w:proofErr w:type="spellEnd"/>
      <w:r w:rsidRPr="00085FA2">
        <w:rPr>
          <w:rFonts w:cstheme="minorHAnsi"/>
          <w:color w:val="000000" w:themeColor="text1"/>
          <w:sz w:val="24"/>
          <w:szCs w:val="24"/>
          <w:lang w:val="en-US"/>
        </w:rPr>
        <w:t xml:space="preserve"> and human complement (IgG3&gt;IgG1&gt;IgG2=IgG4), IgM exhibits robust affinity for complement C1q, and IgA interacts largely with its own Fc-receptor, called the Fc</w:t>
      </w:r>
      <w:r w:rsidRPr="00085FA2">
        <w:rPr>
          <w:rFonts w:cstheme="minorHAnsi"/>
          <w:color w:val="000000" w:themeColor="text1"/>
          <w:sz w:val="24"/>
          <w:szCs w:val="24"/>
          <w:lang w:val="en-US"/>
        </w:rPr>
        <w:sym w:font="Symbol" w:char="F061"/>
      </w:r>
      <w:r w:rsidRPr="00085FA2">
        <w:rPr>
          <w:rFonts w:cstheme="minorHAnsi"/>
          <w:color w:val="000000" w:themeColor="text1"/>
          <w:sz w:val="24"/>
          <w:szCs w:val="24"/>
          <w:lang w:val="en-US"/>
        </w:rPr>
        <w:t xml:space="preserve">-receptor. Additional post-translational modifications of the Fc-domain of antibodies, during inflammatory immune responses, via altered Fc-glycosylation, further tune the binding affinity of antibodies for </w:t>
      </w:r>
      <w:proofErr w:type="spellStart"/>
      <w:r w:rsidRPr="00085FA2">
        <w:rPr>
          <w:rFonts w:cstheme="minorHAnsi"/>
          <w:color w:val="000000" w:themeColor="text1"/>
          <w:sz w:val="24"/>
          <w:szCs w:val="24"/>
          <w:lang w:val="en-US"/>
        </w:rPr>
        <w:t>FcRs</w:t>
      </w:r>
      <w:proofErr w:type="spellEnd"/>
      <w:r w:rsidRPr="00085FA2">
        <w:rPr>
          <w:rFonts w:cstheme="minorHAnsi"/>
          <w:color w:val="000000" w:themeColor="text1"/>
          <w:sz w:val="24"/>
          <w:szCs w:val="24"/>
          <w:lang w:val="en-US"/>
        </w:rPr>
        <w:t xml:space="preserve"> and complement, providing another mechanism to augment antibody effector function. Thus, </w:t>
      </w:r>
      <w:r w:rsidRPr="00085FA2">
        <w:rPr>
          <w:rFonts w:cstheme="minorHAnsi"/>
          <w:color w:val="000000" w:themeColor="text1"/>
          <w:sz w:val="24"/>
          <w:szCs w:val="24"/>
          <w:lang w:val="en-US"/>
        </w:rPr>
        <w:lastRenderedPageBreak/>
        <w:t xml:space="preserve">depending on the combination of glycosylated- isotype/subclasses generated during an immune response, distinct swarms of antibodies can trigger </w:t>
      </w:r>
      <w:proofErr w:type="spellStart"/>
      <w:r w:rsidRPr="00085FA2">
        <w:rPr>
          <w:rFonts w:cstheme="minorHAnsi"/>
          <w:color w:val="000000" w:themeColor="text1"/>
          <w:sz w:val="24"/>
          <w:szCs w:val="24"/>
          <w:lang w:val="en-US"/>
        </w:rPr>
        <w:t>FcRs</w:t>
      </w:r>
      <w:proofErr w:type="spellEnd"/>
      <w:r w:rsidRPr="00085FA2">
        <w:rPr>
          <w:rFonts w:cstheme="minorHAnsi"/>
          <w:color w:val="000000" w:themeColor="text1"/>
          <w:sz w:val="24"/>
          <w:szCs w:val="24"/>
          <w:lang w:val="en-US"/>
        </w:rPr>
        <w:t xml:space="preserve"> bound on a variety of cell types to induce cytokine secretion, degranulation, phagocytosis, cytotoxicity, etc. </w:t>
      </w:r>
    </w:p>
    <w:p w14:paraId="65483DEF" w14:textId="1DD1557A" w:rsidR="001D5BB4" w:rsidRPr="00085FA2" w:rsidRDefault="001D5BB4" w:rsidP="009B5B9A">
      <w:pPr>
        <w:spacing w:line="480" w:lineRule="auto"/>
        <w:ind w:firstLine="720"/>
        <w:rPr>
          <w:rFonts w:cstheme="minorHAnsi"/>
          <w:sz w:val="24"/>
          <w:szCs w:val="24"/>
          <w:lang w:val="en-US"/>
        </w:rPr>
      </w:pPr>
      <w:r w:rsidRPr="00085FA2">
        <w:rPr>
          <w:rFonts w:cstheme="minorHAnsi"/>
          <w:color w:val="000000" w:themeColor="text1"/>
          <w:sz w:val="24"/>
          <w:szCs w:val="24"/>
          <w:lang w:val="en-US"/>
        </w:rPr>
        <w:t>While neutralizing titers are highest in severely ill individuals who ultimately succumb to COVID-19</w:t>
      </w:r>
      <w:r w:rsidR="00410B5C">
        <w:rPr>
          <w:rFonts w:cstheme="minorHAnsi"/>
          <w:color w:val="000000" w:themeColor="text1"/>
          <w:sz w:val="24"/>
          <w:szCs w:val="24"/>
          <w:lang w:val="en-US"/>
        </w:rPr>
        <w:t>,</w:t>
      </w:r>
      <w:r w:rsidR="00296ACC" w:rsidRPr="00410B5C">
        <w:rPr>
          <w:rFonts w:cstheme="minorHAnsi"/>
          <w:color w:val="000000" w:themeColor="text1"/>
          <w:sz w:val="24"/>
          <w:szCs w:val="24"/>
          <w:vertAlign w:val="superscript"/>
          <w:lang w:val="en-US"/>
        </w:rPr>
        <w:t>69,70</w:t>
      </w:r>
      <w:r w:rsidRPr="00085FA2">
        <w:rPr>
          <w:rFonts w:cstheme="minorHAnsi"/>
          <w:color w:val="000000" w:themeColor="text1"/>
          <w:sz w:val="24"/>
          <w:szCs w:val="24"/>
          <w:lang w:val="en-US"/>
        </w:rPr>
        <w:t xml:space="preserve"> antibodies do clearly contribute to protection against SARS-CoV-2 infection</w:t>
      </w:r>
      <w:r w:rsidR="00410B5C">
        <w:rPr>
          <w:rFonts w:cstheme="minorHAnsi"/>
          <w:color w:val="000000" w:themeColor="text1"/>
          <w:sz w:val="24"/>
          <w:szCs w:val="24"/>
          <w:lang w:val="en-US"/>
        </w:rPr>
        <w:t>.</w:t>
      </w:r>
      <w:r w:rsidR="00410B5C" w:rsidRPr="00410B5C">
        <w:rPr>
          <w:rFonts w:cstheme="minorHAnsi"/>
          <w:color w:val="000000" w:themeColor="text1"/>
          <w:sz w:val="24"/>
          <w:szCs w:val="24"/>
          <w:vertAlign w:val="superscript"/>
          <w:lang w:val="en-US"/>
        </w:rPr>
        <w:t>71</w:t>
      </w:r>
      <w:r w:rsidR="00410B5C">
        <w:rPr>
          <w:rFonts w:cstheme="minorHAnsi"/>
          <w:color w:val="000000" w:themeColor="text1"/>
          <w:sz w:val="24"/>
          <w:szCs w:val="24"/>
          <w:vertAlign w:val="superscript"/>
          <w:lang w:val="en-US"/>
        </w:rPr>
        <w:t xml:space="preserve"> </w:t>
      </w:r>
      <w:r w:rsidRPr="00085FA2">
        <w:rPr>
          <w:rFonts w:cstheme="minorHAnsi"/>
          <w:color w:val="000000" w:themeColor="text1"/>
          <w:sz w:val="24"/>
          <w:szCs w:val="24"/>
          <w:lang w:val="en-US"/>
        </w:rPr>
        <w:t>Specifically, passive transfer studies in non-human primates (NHP) using convalescent serum have demonstrated</w:t>
      </w:r>
      <w:r w:rsidR="009B5B9A" w:rsidRPr="00085FA2">
        <w:rPr>
          <w:rFonts w:cstheme="minorHAnsi"/>
          <w:color w:val="000000" w:themeColor="text1"/>
          <w:sz w:val="24"/>
          <w:szCs w:val="24"/>
          <w:lang w:val="en-US"/>
        </w:rPr>
        <w:t xml:space="preserve"> </w:t>
      </w:r>
      <w:r w:rsidRPr="00085FA2">
        <w:rPr>
          <w:rFonts w:cstheme="minorHAnsi"/>
          <w:color w:val="000000" w:themeColor="text1"/>
          <w:sz w:val="24"/>
          <w:szCs w:val="24"/>
          <w:lang w:val="en-US"/>
        </w:rPr>
        <w:t>the protective activity of serum-antibodies in limiting infection and attenuating viral replication</w:t>
      </w:r>
      <w:r w:rsidR="00410B5C">
        <w:rPr>
          <w:rFonts w:cstheme="minorHAnsi"/>
          <w:color w:val="000000" w:themeColor="text1"/>
          <w:sz w:val="24"/>
          <w:szCs w:val="24"/>
          <w:lang w:val="en-US"/>
        </w:rPr>
        <w:t>.</w:t>
      </w:r>
      <w:r w:rsidR="00410B5C" w:rsidRPr="00410B5C">
        <w:rPr>
          <w:rFonts w:cstheme="minorHAnsi"/>
          <w:color w:val="000000" w:themeColor="text1"/>
          <w:sz w:val="24"/>
          <w:szCs w:val="24"/>
          <w:vertAlign w:val="superscript"/>
          <w:lang w:val="en-US"/>
        </w:rPr>
        <w:t>71</w:t>
      </w:r>
      <w:r w:rsidRPr="00085FA2">
        <w:rPr>
          <w:rFonts w:cstheme="minorHAnsi"/>
          <w:color w:val="000000" w:themeColor="text1"/>
          <w:sz w:val="24"/>
          <w:szCs w:val="24"/>
          <w:lang w:val="en-US"/>
        </w:rPr>
        <w:t xml:space="preserve"> Most interestingly, while administration of high titers of convalescent neutralizing antibody-containing plasma to naïve NHP prior to SARS-CoV-2 challenge resulted in complete protection from infection, the transfer of sub-neutralizing antibody titers did not completely block infection, but was able to attenuate the magnitude and duration of viremia,  demonstrating that antibodies alone in the naïve animals were able to both provide protection against infection at high titers (transmission blockade) but also to reduce  disease following infection at lower titers (disease attenuation) </w:t>
      </w:r>
      <w:r w:rsidR="00245829" w:rsidRPr="00245829">
        <w:rPr>
          <w:rFonts w:cstheme="minorHAnsi"/>
          <w:b/>
          <w:bCs/>
          <w:color w:val="000000" w:themeColor="text1"/>
          <w:sz w:val="24"/>
          <w:szCs w:val="24"/>
          <w:lang w:val="en-US"/>
        </w:rPr>
        <w:t>[</w:t>
      </w:r>
      <w:r w:rsidRPr="00245829">
        <w:rPr>
          <w:rFonts w:cstheme="minorHAnsi"/>
          <w:b/>
          <w:bCs/>
          <w:color w:val="000000" w:themeColor="text1"/>
          <w:sz w:val="24"/>
          <w:szCs w:val="24"/>
          <w:lang w:val="en-US"/>
        </w:rPr>
        <w:t xml:space="preserve">Figure </w:t>
      </w:r>
      <w:r w:rsidR="00360CCD">
        <w:rPr>
          <w:rFonts w:cstheme="minorHAnsi"/>
          <w:b/>
          <w:bCs/>
          <w:color w:val="000000" w:themeColor="text1"/>
          <w:sz w:val="24"/>
          <w:szCs w:val="24"/>
          <w:lang w:val="en-US"/>
        </w:rPr>
        <w:t>6</w:t>
      </w:r>
      <w:r w:rsidR="00245829" w:rsidRPr="00245829">
        <w:rPr>
          <w:rFonts w:cstheme="minorHAnsi"/>
          <w:b/>
          <w:bCs/>
          <w:color w:val="000000" w:themeColor="text1"/>
          <w:sz w:val="24"/>
          <w:szCs w:val="24"/>
          <w:lang w:val="en-US"/>
        </w:rPr>
        <w:t>]</w:t>
      </w:r>
      <w:r w:rsidRPr="00245829">
        <w:rPr>
          <w:rFonts w:cstheme="minorHAnsi"/>
          <w:b/>
          <w:bCs/>
          <w:color w:val="000000" w:themeColor="text1"/>
          <w:sz w:val="24"/>
          <w:szCs w:val="24"/>
          <w:lang w:val="en-US"/>
        </w:rPr>
        <w:t>.</w:t>
      </w:r>
      <w:r w:rsidRPr="00085FA2">
        <w:rPr>
          <w:rFonts w:cstheme="minorHAnsi"/>
          <w:color w:val="000000" w:themeColor="text1"/>
          <w:sz w:val="24"/>
          <w:szCs w:val="24"/>
          <w:lang w:val="en-US"/>
        </w:rPr>
        <w:t xml:space="preserve"> While transmission blockade can be clearly explained via the simple binding of virus at high titers, disease attenuation is likely critically dependent on the ability of transferred antibodies to drive enhanced clearance of the pathogen</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71</w:t>
      </w:r>
      <w:r w:rsidRPr="00085FA2">
        <w:rPr>
          <w:rFonts w:cstheme="minorHAnsi"/>
          <w:color w:val="000000" w:themeColor="text1"/>
          <w:sz w:val="24"/>
          <w:szCs w:val="24"/>
          <w:lang w:val="en-US"/>
        </w:rPr>
        <w:t xml:space="preserve"> Along these lines, immune profiling of convalescent serum samples ha</w:t>
      </w:r>
      <w:r w:rsidR="00907306" w:rsidRPr="00085FA2">
        <w:rPr>
          <w:rFonts w:cstheme="minorHAnsi"/>
          <w:color w:val="000000" w:themeColor="text1"/>
          <w:sz w:val="24"/>
          <w:szCs w:val="24"/>
          <w:lang w:val="en-US"/>
        </w:rPr>
        <w:t>s</w:t>
      </w:r>
      <w:r w:rsidRPr="00085FA2">
        <w:rPr>
          <w:rFonts w:cstheme="minorHAnsi"/>
          <w:color w:val="000000" w:themeColor="text1"/>
          <w:sz w:val="24"/>
          <w:szCs w:val="24"/>
          <w:lang w:val="en-US"/>
        </w:rPr>
        <w:t xml:space="preserve"> demonstrated the importance of antibody Fc-effector function, in addition to neutralization, in the disease attenuating function of convalescent serum therapy</w:t>
      </w:r>
      <w:r w:rsidR="005572DD">
        <w:rPr>
          <w:rFonts w:cstheme="minorHAnsi"/>
          <w:color w:val="000000" w:themeColor="text1"/>
          <w:sz w:val="24"/>
          <w:szCs w:val="24"/>
          <w:lang w:val="en-US"/>
        </w:rPr>
        <w:t>.</w:t>
      </w:r>
      <w:r w:rsidR="005572DD" w:rsidRPr="005572DD">
        <w:rPr>
          <w:rFonts w:cstheme="minorHAnsi"/>
          <w:color w:val="000000" w:themeColor="text1"/>
          <w:sz w:val="24"/>
          <w:szCs w:val="24"/>
          <w:vertAlign w:val="superscript"/>
          <w:lang w:val="en-US"/>
        </w:rPr>
        <w:t>72,73</w:t>
      </w:r>
      <w:r w:rsidRPr="00085FA2">
        <w:rPr>
          <w:rFonts w:cstheme="minorHAnsi"/>
          <w:color w:val="000000" w:themeColor="text1"/>
          <w:sz w:val="24"/>
          <w:szCs w:val="24"/>
          <w:lang w:val="en-US"/>
        </w:rPr>
        <w:t xml:space="preserve"> However, because selection of convalescent serum for therapy did not take antibody function into account, mixed results were observed across most serum-transfer protection studies</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75</w:t>
      </w:r>
      <w:r w:rsidRPr="00085FA2">
        <w:rPr>
          <w:rFonts w:cstheme="minorHAnsi"/>
          <w:color w:val="000000" w:themeColor="text1"/>
          <w:sz w:val="24"/>
          <w:szCs w:val="24"/>
          <w:lang w:val="en-US"/>
        </w:rPr>
        <w:t xml:space="preserve"> However, taking Fc effector functions into account could be a critical means to strategically </w:t>
      </w:r>
      <w:r w:rsidRPr="00085FA2">
        <w:rPr>
          <w:rFonts w:cstheme="minorHAnsi"/>
          <w:color w:val="000000" w:themeColor="text1"/>
          <w:sz w:val="24"/>
          <w:szCs w:val="24"/>
          <w:lang w:val="en-US"/>
        </w:rPr>
        <w:lastRenderedPageBreak/>
        <w:t>improve convalescent plasma therapy.  The protective activity of convalescent plasma treatment has been linked to SARS-CoV-2 specific antibody dependent cellular cytotoxicity,</w:t>
      </w:r>
      <w:r w:rsidR="00C67588" w:rsidRPr="00C67588">
        <w:rPr>
          <w:rFonts w:cstheme="minorHAnsi"/>
          <w:color w:val="000000" w:themeColor="text1"/>
          <w:sz w:val="24"/>
          <w:szCs w:val="24"/>
          <w:vertAlign w:val="superscript"/>
          <w:lang w:val="en-US"/>
        </w:rPr>
        <w:t>72</w:t>
      </w:r>
      <w:r w:rsidRPr="00085FA2">
        <w:rPr>
          <w:rFonts w:cstheme="minorHAnsi"/>
          <w:color w:val="000000" w:themeColor="text1"/>
          <w:sz w:val="24"/>
          <w:szCs w:val="24"/>
          <w:lang w:val="en-US"/>
        </w:rPr>
        <w:t xml:space="preserve"> Fc-receptor binding</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75</w:t>
      </w:r>
      <w:r w:rsidRPr="00085FA2">
        <w:rPr>
          <w:rFonts w:cstheme="minorHAnsi"/>
          <w:color w:val="000000" w:themeColor="text1"/>
          <w:sz w:val="24"/>
          <w:szCs w:val="24"/>
          <w:lang w:val="en-US"/>
        </w:rPr>
        <w:t xml:space="preserve"> or antibody dependent ops</w:t>
      </w:r>
      <w:r w:rsidR="00C1429A" w:rsidRPr="00085FA2">
        <w:rPr>
          <w:rFonts w:cstheme="minorHAnsi"/>
          <w:color w:val="000000" w:themeColor="text1"/>
          <w:sz w:val="24"/>
          <w:szCs w:val="24"/>
          <w:lang w:val="en-US"/>
        </w:rPr>
        <w:t>o</w:t>
      </w:r>
      <w:r w:rsidRPr="00085FA2">
        <w:rPr>
          <w:rFonts w:cstheme="minorHAnsi"/>
          <w:color w:val="000000" w:themeColor="text1"/>
          <w:sz w:val="24"/>
          <w:szCs w:val="24"/>
          <w:lang w:val="en-US"/>
        </w:rPr>
        <w:t>nophagocytic functions</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76</w:t>
      </w:r>
      <w:r w:rsidRPr="00085FA2">
        <w:rPr>
          <w:rFonts w:cstheme="minorHAnsi"/>
          <w:color w:val="000000" w:themeColor="text1"/>
          <w:sz w:val="24"/>
          <w:szCs w:val="24"/>
          <w:lang w:val="en-US"/>
        </w:rPr>
        <w:t xml:space="preserve"> pointing to the critical role of Fc-effector functions in the therapeutic activity of antibodies. </w:t>
      </w:r>
    </w:p>
    <w:p w14:paraId="1574740A" w14:textId="6E33F464" w:rsidR="001D5BB4" w:rsidRPr="00085FA2" w:rsidRDefault="001D5BB4" w:rsidP="009B5B9A">
      <w:pPr>
        <w:spacing w:line="480" w:lineRule="auto"/>
        <w:ind w:firstLine="720"/>
        <w:rPr>
          <w:rFonts w:cstheme="minorHAnsi"/>
          <w:sz w:val="24"/>
          <w:szCs w:val="24"/>
          <w:lang w:val="en-US"/>
        </w:rPr>
      </w:pPr>
      <w:r w:rsidRPr="00085FA2">
        <w:rPr>
          <w:rFonts w:cstheme="minorHAnsi"/>
          <w:color w:val="000000" w:themeColor="text1"/>
          <w:sz w:val="24"/>
          <w:szCs w:val="24"/>
          <w:lang w:val="en-US"/>
        </w:rPr>
        <w:t>While nearly all approved SARS-CoV-2 vaccines induce robust Spike-specific binding titers and neutralization, their ability to drive Fc-effector function remains less well defined. Previous studies on adenoviral 26 (Ad26) based vaccination against the human immunodeficiency virus (HIV) had demonstrated robust antibody Fc-effector functions induced by this vector in both humans and NHPs, that were linked to protective immunity in an NHP challenge study</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77,78</w:t>
      </w:r>
      <w:r w:rsidRPr="00085FA2">
        <w:rPr>
          <w:rFonts w:cstheme="minorHAnsi"/>
          <w:color w:val="000000" w:themeColor="text1"/>
          <w:sz w:val="24"/>
          <w:szCs w:val="24"/>
          <w:lang w:val="en-US"/>
        </w:rPr>
        <w:t xml:space="preserve"> Likewise, antibody Fc effector functions were observed following SARS-CoV-2 Ad26 vaccination in humans,</w:t>
      </w:r>
      <w:r w:rsidR="00C67588" w:rsidRPr="00C67588">
        <w:rPr>
          <w:rFonts w:cstheme="minorHAnsi"/>
          <w:color w:val="000000" w:themeColor="text1"/>
          <w:sz w:val="24"/>
          <w:szCs w:val="24"/>
          <w:vertAlign w:val="superscript"/>
          <w:lang w:val="en-US"/>
        </w:rPr>
        <w:t>79</w:t>
      </w:r>
      <w:r w:rsidRPr="00085FA2">
        <w:rPr>
          <w:rFonts w:cstheme="minorHAnsi"/>
          <w:color w:val="000000" w:themeColor="text1"/>
          <w:sz w:val="24"/>
          <w:szCs w:val="24"/>
          <w:lang w:val="en-US"/>
        </w:rPr>
        <w:t xml:space="preserve"> NHP</w:t>
      </w:r>
      <w:r w:rsidR="00C67588">
        <w:rPr>
          <w:rFonts w:cstheme="minorHAnsi"/>
          <w:color w:val="000000" w:themeColor="text1"/>
          <w:sz w:val="24"/>
          <w:szCs w:val="24"/>
          <w:lang w:val="en-US"/>
        </w:rPr>
        <w:t>,</w:t>
      </w:r>
      <w:r w:rsidR="00C67588" w:rsidRPr="00C67588">
        <w:rPr>
          <w:rFonts w:cstheme="minorHAnsi"/>
          <w:color w:val="000000" w:themeColor="text1"/>
          <w:sz w:val="24"/>
          <w:szCs w:val="24"/>
          <w:vertAlign w:val="superscript"/>
          <w:lang w:val="en-US"/>
        </w:rPr>
        <w:t>80</w:t>
      </w:r>
      <w:r w:rsidRPr="00085FA2">
        <w:rPr>
          <w:rFonts w:cstheme="minorHAnsi"/>
          <w:color w:val="000000" w:themeColor="text1"/>
          <w:sz w:val="24"/>
          <w:szCs w:val="24"/>
          <w:lang w:val="en-US"/>
        </w:rPr>
        <w:t xml:space="preserve"> and hamsters</w:t>
      </w:r>
      <w:r w:rsidR="008A011D">
        <w:rPr>
          <w:rFonts w:cstheme="minorHAnsi"/>
          <w:color w:val="000000" w:themeColor="text1"/>
          <w:sz w:val="24"/>
          <w:szCs w:val="24"/>
          <w:lang w:val="en-US"/>
        </w:rPr>
        <w:t>,</w:t>
      </w:r>
      <w:r w:rsidR="008A011D" w:rsidRPr="008A011D">
        <w:rPr>
          <w:rFonts w:cstheme="minorHAnsi"/>
          <w:color w:val="000000" w:themeColor="text1"/>
          <w:sz w:val="24"/>
          <w:szCs w:val="24"/>
          <w:vertAlign w:val="superscript"/>
          <w:lang w:val="en-US"/>
        </w:rPr>
        <w:t>81</w:t>
      </w:r>
      <w:r w:rsidRPr="00085FA2">
        <w:rPr>
          <w:rFonts w:cstheme="minorHAnsi"/>
          <w:color w:val="000000" w:themeColor="text1"/>
          <w:sz w:val="24"/>
          <w:szCs w:val="24"/>
          <w:lang w:val="en-US"/>
        </w:rPr>
        <w:t xml:space="preserve"> that co-evolved with neutralizing antibodies and T cell immune responses, all of which were correlated with protection upon animal challenge. Similarly, robust Fc-effector functions were observed following the Novavax adjuvanted </w:t>
      </w:r>
      <w:r w:rsidR="002C4208" w:rsidRPr="00085FA2">
        <w:rPr>
          <w:rFonts w:cstheme="minorHAnsi"/>
          <w:color w:val="000000" w:themeColor="text1"/>
          <w:sz w:val="24"/>
          <w:szCs w:val="24"/>
          <w:lang w:val="en-US"/>
        </w:rPr>
        <w:t>SARS-CoV-2</w:t>
      </w:r>
      <w:r w:rsidRPr="00085FA2">
        <w:rPr>
          <w:rFonts w:cstheme="minorHAnsi"/>
          <w:color w:val="000000" w:themeColor="text1"/>
          <w:sz w:val="24"/>
          <w:szCs w:val="24"/>
          <w:lang w:val="en-US"/>
        </w:rPr>
        <w:t xml:space="preserve"> spike-protein immunization in macaques and humans</w:t>
      </w:r>
      <w:r w:rsidR="008A011D">
        <w:rPr>
          <w:rFonts w:cstheme="minorHAnsi"/>
          <w:color w:val="000000" w:themeColor="text1"/>
          <w:sz w:val="24"/>
          <w:szCs w:val="24"/>
          <w:lang w:val="en-US"/>
        </w:rPr>
        <w:t>,</w:t>
      </w:r>
      <w:r w:rsidR="008A011D" w:rsidRPr="008A011D">
        <w:rPr>
          <w:rFonts w:cstheme="minorHAnsi"/>
          <w:color w:val="000000" w:themeColor="text1"/>
          <w:sz w:val="24"/>
          <w:szCs w:val="24"/>
          <w:vertAlign w:val="superscript"/>
          <w:lang w:val="en-US"/>
        </w:rPr>
        <w:t>82</w:t>
      </w:r>
      <w:r w:rsidRPr="00085FA2">
        <w:rPr>
          <w:rFonts w:cstheme="minorHAnsi"/>
          <w:color w:val="000000" w:themeColor="text1"/>
          <w:sz w:val="24"/>
          <w:szCs w:val="24"/>
          <w:lang w:val="en-US"/>
        </w:rPr>
        <w:t xml:space="preserve"> induced most robustly with the use of an adjuvant. Moreover, correlates analyses of antibody profiles associated with viral restriction in the upper and lower respiratory tract revealed enhanced neutralization in animals protected from infection in the lower respiratory tract. However, in animals with complete protection in both the upper and lower respiratory tract, enhanced Fc effector functions were observed compared to animals with breakthrough upper respiratory viral loads. These data point to a critical role for Fc-function in supplementing neutralization to achieve complete protection against the virus across the entire respiratory tract. Similar results were observed with an adjuvanted </w:t>
      </w:r>
      <w:r w:rsidR="002C4208" w:rsidRPr="00085FA2">
        <w:rPr>
          <w:rFonts w:cstheme="minorHAnsi"/>
          <w:color w:val="000000" w:themeColor="text1"/>
          <w:sz w:val="24"/>
          <w:szCs w:val="24"/>
          <w:lang w:val="en-US"/>
        </w:rPr>
        <w:t>SARS-CoV-2</w:t>
      </w:r>
      <w:r w:rsidRPr="00085FA2">
        <w:rPr>
          <w:rFonts w:cstheme="minorHAnsi"/>
          <w:color w:val="000000" w:themeColor="text1"/>
          <w:sz w:val="24"/>
          <w:szCs w:val="24"/>
          <w:lang w:val="en-US"/>
        </w:rPr>
        <w:t xml:space="preserve"> protein from Sanofi/GSK</w:t>
      </w:r>
      <w:r w:rsidR="008A011D">
        <w:rPr>
          <w:rFonts w:cstheme="minorHAnsi"/>
          <w:color w:val="000000" w:themeColor="text1"/>
          <w:sz w:val="24"/>
          <w:szCs w:val="24"/>
          <w:lang w:val="en-US"/>
        </w:rPr>
        <w:t>.</w:t>
      </w:r>
      <w:r w:rsidR="008A011D" w:rsidRPr="008A011D">
        <w:rPr>
          <w:rFonts w:cstheme="minorHAnsi"/>
          <w:color w:val="000000" w:themeColor="text1"/>
          <w:sz w:val="24"/>
          <w:szCs w:val="24"/>
          <w:vertAlign w:val="superscript"/>
          <w:lang w:val="en-US"/>
        </w:rPr>
        <w:t>83</w:t>
      </w:r>
      <w:r w:rsidRPr="00085FA2">
        <w:rPr>
          <w:rFonts w:cstheme="minorHAnsi"/>
          <w:color w:val="000000" w:themeColor="text1"/>
          <w:sz w:val="24"/>
          <w:szCs w:val="24"/>
          <w:lang w:val="en-US"/>
        </w:rPr>
        <w:t xml:space="preserve"> Analysis of mRNA </w:t>
      </w:r>
      <w:r w:rsidRPr="00085FA2">
        <w:rPr>
          <w:rFonts w:cstheme="minorHAnsi"/>
          <w:color w:val="000000" w:themeColor="text1"/>
          <w:sz w:val="24"/>
          <w:szCs w:val="24"/>
          <w:lang w:val="en-US"/>
        </w:rPr>
        <w:lastRenderedPageBreak/>
        <w:t>vaccine induced immune responses also highlighted moderate levels of Fc-effector functions after a single dose of the vaccine</w:t>
      </w:r>
      <w:r w:rsidR="00037C32">
        <w:rPr>
          <w:rFonts w:cstheme="minorHAnsi"/>
          <w:color w:val="000000" w:themeColor="text1"/>
          <w:sz w:val="24"/>
          <w:szCs w:val="24"/>
          <w:lang w:val="en-US"/>
        </w:rPr>
        <w:t>,</w:t>
      </w:r>
      <w:r w:rsidR="00037C32" w:rsidRPr="00037C32">
        <w:rPr>
          <w:rFonts w:cstheme="minorHAnsi"/>
          <w:color w:val="000000" w:themeColor="text1"/>
          <w:sz w:val="24"/>
          <w:szCs w:val="24"/>
          <w:vertAlign w:val="superscript"/>
          <w:lang w:val="en-US"/>
        </w:rPr>
        <w:t>84</w:t>
      </w:r>
      <w:r w:rsidRPr="00037C32">
        <w:rPr>
          <w:rFonts w:cstheme="minorHAnsi"/>
          <w:color w:val="000000" w:themeColor="text1"/>
          <w:sz w:val="24"/>
          <w:szCs w:val="24"/>
          <w:vertAlign w:val="superscript"/>
          <w:lang w:val="en-US"/>
        </w:rPr>
        <w:t xml:space="preserve"> </w:t>
      </w:r>
      <w:r w:rsidRPr="00085FA2">
        <w:rPr>
          <w:rFonts w:cstheme="minorHAnsi"/>
          <w:color w:val="000000" w:themeColor="text1"/>
          <w:sz w:val="24"/>
          <w:szCs w:val="24"/>
          <w:lang w:val="en-US"/>
        </w:rPr>
        <w:t>that were significantly augmented by the second dose of the vaccine. Moreover, mRNA vaccine induced antibodies demonstrated enhanced cross-reactive Fc-effector function across variants of concern whereas antibodies induced via natural infection</w:t>
      </w:r>
      <w:r w:rsidR="00037C32">
        <w:rPr>
          <w:rFonts w:cstheme="minorHAnsi"/>
          <w:color w:val="000000" w:themeColor="text1"/>
          <w:sz w:val="24"/>
          <w:szCs w:val="24"/>
          <w:lang w:val="en-US"/>
        </w:rPr>
        <w:t>,</w:t>
      </w:r>
      <w:r w:rsidR="00037C32" w:rsidRPr="00037C32">
        <w:rPr>
          <w:rFonts w:cstheme="minorHAnsi"/>
          <w:color w:val="000000" w:themeColor="text1"/>
          <w:sz w:val="24"/>
          <w:szCs w:val="24"/>
          <w:vertAlign w:val="superscript"/>
          <w:lang w:val="en-US"/>
        </w:rPr>
        <w:t>85,86</w:t>
      </w:r>
      <w:r w:rsidRPr="00037C32">
        <w:rPr>
          <w:rFonts w:cstheme="minorHAnsi"/>
          <w:color w:val="000000" w:themeColor="text1"/>
          <w:sz w:val="24"/>
          <w:szCs w:val="24"/>
          <w:vertAlign w:val="superscript"/>
          <w:lang w:val="en-US"/>
        </w:rPr>
        <w:t xml:space="preserve"> </w:t>
      </w:r>
      <w:r w:rsidR="00037C32">
        <w:rPr>
          <w:rFonts w:cstheme="minorHAnsi"/>
          <w:color w:val="000000" w:themeColor="text1"/>
          <w:sz w:val="24"/>
          <w:szCs w:val="24"/>
          <w:lang w:val="en-US"/>
        </w:rPr>
        <w:t>a</w:t>
      </w:r>
      <w:r w:rsidRPr="00085FA2">
        <w:rPr>
          <w:rFonts w:cstheme="minorHAnsi"/>
          <w:color w:val="000000" w:themeColor="text1"/>
          <w:sz w:val="24"/>
          <w:szCs w:val="24"/>
          <w:lang w:val="en-US"/>
        </w:rPr>
        <w:t>djuvanted-protein immunization</w:t>
      </w:r>
      <w:r w:rsidR="00037C32">
        <w:rPr>
          <w:rFonts w:cstheme="minorHAnsi"/>
          <w:color w:val="000000" w:themeColor="text1"/>
          <w:sz w:val="24"/>
          <w:szCs w:val="24"/>
          <w:lang w:val="en-US"/>
        </w:rPr>
        <w:t>,</w:t>
      </w:r>
      <w:r w:rsidR="00037C32" w:rsidRPr="00037C32">
        <w:rPr>
          <w:rFonts w:cstheme="minorHAnsi"/>
          <w:color w:val="000000" w:themeColor="text1"/>
          <w:sz w:val="24"/>
          <w:szCs w:val="24"/>
          <w:vertAlign w:val="superscript"/>
          <w:lang w:val="en-US"/>
        </w:rPr>
        <w:t>87</w:t>
      </w:r>
      <w:r w:rsidRPr="00085FA2">
        <w:rPr>
          <w:rFonts w:cstheme="minorHAnsi"/>
          <w:color w:val="000000" w:themeColor="text1"/>
          <w:sz w:val="24"/>
          <w:szCs w:val="24"/>
          <w:lang w:val="en-US"/>
        </w:rPr>
        <w:t xml:space="preserve"> or adenoviral vaccination did not</w:t>
      </w:r>
      <w:r w:rsidR="00037C32">
        <w:rPr>
          <w:rFonts w:cstheme="minorHAnsi"/>
          <w:color w:val="000000" w:themeColor="text1"/>
          <w:sz w:val="24"/>
          <w:szCs w:val="24"/>
          <w:lang w:val="en-US"/>
        </w:rPr>
        <w:t>,</w:t>
      </w:r>
      <w:r w:rsidR="00037C32" w:rsidRPr="00037C32">
        <w:rPr>
          <w:rFonts w:cstheme="minorHAnsi"/>
          <w:color w:val="000000" w:themeColor="text1"/>
          <w:sz w:val="24"/>
          <w:szCs w:val="24"/>
          <w:vertAlign w:val="superscript"/>
          <w:lang w:val="en-US"/>
        </w:rPr>
        <w:t>88</w:t>
      </w:r>
      <w:r w:rsidRPr="00085FA2">
        <w:rPr>
          <w:rFonts w:cstheme="minorHAnsi"/>
          <w:color w:val="000000" w:themeColor="text1"/>
          <w:sz w:val="24"/>
          <w:szCs w:val="24"/>
          <w:lang w:val="en-US"/>
        </w:rPr>
        <w:t xml:space="preserve"> marking potentially distinct cross-reactive Fc-effector induction across vaccine platforms. Thus, while Fc-effector function co-evolves with binding titers across all vaccine platforms tested to date, the flexibility of the cross-variant Fc-effector response may vary across vaccine platform. These differences may be related to distinct epitope-specific immunodominance profiles elicited by the platforms (more RBD versus NTD targeting) or perhaps related to differences in affinity maturation of the humoral immune response. Collectively, the data clearly point to a critical need to define epitope-specific Fc-effector specificities to fully dissect and define the minimal functional footprints that may play a vital role in protective immunity. </w:t>
      </w:r>
    </w:p>
    <w:p w14:paraId="6D25CD91" w14:textId="41B5D7AD" w:rsidR="001D5BB4" w:rsidRPr="00085FA2" w:rsidRDefault="001D5BB4" w:rsidP="00AD72CD">
      <w:pPr>
        <w:spacing w:line="480" w:lineRule="auto"/>
        <w:ind w:firstLine="720"/>
        <w:rPr>
          <w:rFonts w:cstheme="minorHAnsi"/>
          <w:color w:val="000000" w:themeColor="text1"/>
          <w:sz w:val="24"/>
          <w:szCs w:val="24"/>
          <w:lang w:val="en-US"/>
        </w:rPr>
      </w:pPr>
      <w:r w:rsidRPr="00085FA2">
        <w:rPr>
          <w:rFonts w:cstheme="minorHAnsi"/>
          <w:color w:val="000000" w:themeColor="text1"/>
          <w:sz w:val="24"/>
          <w:szCs w:val="24"/>
          <w:lang w:val="en-US"/>
        </w:rPr>
        <w:t>Ops</w:t>
      </w:r>
      <w:r w:rsidR="00C1429A" w:rsidRPr="00085FA2">
        <w:rPr>
          <w:rFonts w:cstheme="minorHAnsi"/>
          <w:color w:val="000000" w:themeColor="text1"/>
          <w:sz w:val="24"/>
          <w:szCs w:val="24"/>
          <w:lang w:val="en-US"/>
        </w:rPr>
        <w:t>o</w:t>
      </w:r>
      <w:r w:rsidRPr="00085FA2">
        <w:rPr>
          <w:rFonts w:cstheme="minorHAnsi"/>
          <w:color w:val="000000" w:themeColor="text1"/>
          <w:sz w:val="24"/>
          <w:szCs w:val="24"/>
          <w:lang w:val="en-US"/>
        </w:rPr>
        <w:t>nophagocytic, complement activating, and NK cell recruiting functions have been detected after most SARS-CoV-2 vaccines</w:t>
      </w:r>
      <w:r w:rsidR="00AD72CD">
        <w:rPr>
          <w:rFonts w:cstheme="minorHAnsi"/>
          <w:color w:val="000000" w:themeColor="text1"/>
          <w:sz w:val="24"/>
          <w:szCs w:val="24"/>
          <w:lang w:val="en-US"/>
        </w:rPr>
        <w:t>,</w:t>
      </w:r>
      <w:r w:rsidR="00AD72CD" w:rsidRPr="00AD72CD">
        <w:rPr>
          <w:rFonts w:cstheme="minorHAnsi"/>
          <w:color w:val="000000" w:themeColor="text1"/>
          <w:sz w:val="24"/>
          <w:szCs w:val="24"/>
          <w:vertAlign w:val="superscript"/>
          <w:lang w:val="en-US"/>
        </w:rPr>
        <w:t>79,84,85</w:t>
      </w:r>
      <w:r w:rsidRPr="00085FA2">
        <w:rPr>
          <w:rFonts w:cstheme="minorHAnsi"/>
          <w:color w:val="000000" w:themeColor="text1"/>
          <w:sz w:val="24"/>
          <w:szCs w:val="24"/>
          <w:lang w:val="en-US"/>
        </w:rPr>
        <w:t xml:space="preserve"> yet, whether a precise Fc-function may collaborate with neutralizing antibodies or T cells to provide complete protection remains incompletely understood. Given the striking differences in Fc-effector function that were elicited using distinct clinical adjuvants (SWE, alum, CpG-alum, AS37 and AS03</w:t>
      </w:r>
      <w:r w:rsidR="00AD72CD" w:rsidRPr="00AD72CD">
        <w:rPr>
          <w:rFonts w:cstheme="minorHAnsi"/>
          <w:color w:val="000000" w:themeColor="text1"/>
          <w:sz w:val="24"/>
          <w:szCs w:val="24"/>
          <w:vertAlign w:val="superscript"/>
          <w:lang w:val="en-US"/>
        </w:rPr>
        <w:t>87</w:t>
      </w:r>
      <w:r w:rsidRPr="00085FA2">
        <w:rPr>
          <w:rFonts w:cstheme="minorHAnsi"/>
          <w:color w:val="000000" w:themeColor="text1"/>
          <w:sz w:val="24"/>
          <w:szCs w:val="24"/>
          <w:lang w:val="en-US"/>
        </w:rPr>
        <w:t xml:space="preserve"> with a SARS-CoV-2 Spike -receptor binding domain (RBD)-nanoparticle vaccination in non-human primates, it was possible to define the specific Fc-effector function that tracked with neutralization to confer complete protection from challenge.  Oil-in water emulsion, SWE, and alum induced moderate Fc-functions following immunization.  Nucleic acid TLR sensors, TLR7 and TLR7 </w:t>
      </w:r>
      <w:r w:rsidRPr="00085FA2">
        <w:rPr>
          <w:rFonts w:cstheme="minorHAnsi"/>
          <w:color w:val="000000" w:themeColor="text1"/>
          <w:sz w:val="24"/>
          <w:szCs w:val="24"/>
          <w:lang w:val="en-US"/>
        </w:rPr>
        <w:lastRenderedPageBreak/>
        <w:t>triggering agonists induced robust NK cell activating antibodies. Conversely, the GSK AS03 adjuvant elicited a robust ops</w:t>
      </w:r>
      <w:r w:rsidR="00C1429A" w:rsidRPr="00085FA2">
        <w:rPr>
          <w:rFonts w:cstheme="minorHAnsi"/>
          <w:color w:val="000000" w:themeColor="text1"/>
          <w:sz w:val="24"/>
          <w:szCs w:val="24"/>
          <w:lang w:val="en-US"/>
        </w:rPr>
        <w:t>o</w:t>
      </w:r>
      <w:r w:rsidRPr="00085FA2">
        <w:rPr>
          <w:rFonts w:cstheme="minorHAnsi"/>
          <w:color w:val="000000" w:themeColor="text1"/>
          <w:sz w:val="24"/>
          <w:szCs w:val="24"/>
          <w:lang w:val="en-US"/>
        </w:rPr>
        <w:t>nophagocytic response. While neutralizing antibodies were directly correlated with protection following challenge, several animals with robust neutralization still experienced breakthrough infection. Closer analysis of the Fc-profiles among animals with matched neutralizing antibody titers that experienced or resisted breakthrough demonstrated the presence of robust neutrophil phagocytic activity and IgA levels in monkeys completely protected from challenge.  These data point to a critical collaboration between Fab and Fc mediated functions, whereby neutralizing antibodies may be supplemented by opsonophagocytic or isotype-specific functional activity to fully control and clear the virus upon exposure.</w:t>
      </w:r>
    </w:p>
    <w:p w14:paraId="5E4C3633" w14:textId="3418C50E" w:rsidR="001D5BB4" w:rsidRPr="00085FA2" w:rsidRDefault="001D5BB4" w:rsidP="009B5B9A">
      <w:pPr>
        <w:spacing w:before="100" w:beforeAutospacing="1" w:after="100" w:afterAutospacing="1" w:line="480" w:lineRule="auto"/>
        <w:ind w:firstLine="720"/>
        <w:rPr>
          <w:rFonts w:cstheme="minorHAnsi"/>
          <w:color w:val="212121"/>
          <w:sz w:val="24"/>
          <w:szCs w:val="24"/>
          <w:lang w:val="en-US"/>
        </w:rPr>
      </w:pPr>
      <w:r w:rsidRPr="00085FA2">
        <w:rPr>
          <w:rFonts w:cstheme="minorHAnsi"/>
          <w:color w:val="000000" w:themeColor="text1"/>
          <w:sz w:val="24"/>
          <w:szCs w:val="24"/>
          <w:lang w:val="en-US"/>
        </w:rPr>
        <w:t>Similarly, early immune correlates studies of immune profiles associated with survival of severe disease pointed to two major differences between survivors and non-survivors of severe COVID-19: 1)  Survivors of severe COVID-19 generated neutralizing antibodies more rapidly</w:t>
      </w:r>
      <w:r w:rsidR="00AD72CD" w:rsidRPr="00AD72CD">
        <w:rPr>
          <w:rFonts w:cstheme="minorHAnsi"/>
          <w:color w:val="000000" w:themeColor="text1"/>
          <w:sz w:val="24"/>
          <w:szCs w:val="24"/>
          <w:vertAlign w:val="superscript"/>
          <w:lang w:val="en-US"/>
        </w:rPr>
        <w:t>89</w:t>
      </w:r>
      <w:r w:rsidRPr="00085FA2">
        <w:rPr>
          <w:rFonts w:cstheme="minorHAnsi"/>
          <w:color w:val="000000" w:themeColor="text1"/>
          <w:sz w:val="24"/>
          <w:szCs w:val="24"/>
          <w:lang w:val="en-US"/>
        </w:rPr>
        <w:t xml:space="preserve"> and at proportionately higher levels than binding antibodies</w:t>
      </w:r>
      <w:r w:rsidR="00AD72CD">
        <w:rPr>
          <w:rFonts w:cstheme="minorHAnsi"/>
          <w:color w:val="000000" w:themeColor="text1"/>
          <w:sz w:val="24"/>
          <w:szCs w:val="24"/>
          <w:lang w:val="en-US"/>
        </w:rPr>
        <w:t>,</w:t>
      </w:r>
      <w:r w:rsidR="00AD72CD" w:rsidRPr="00AD72CD">
        <w:rPr>
          <w:rFonts w:cstheme="minorHAnsi"/>
          <w:color w:val="000000" w:themeColor="text1"/>
          <w:sz w:val="24"/>
          <w:szCs w:val="24"/>
          <w:vertAlign w:val="superscript"/>
          <w:lang w:val="en-US"/>
        </w:rPr>
        <w:t>14</w:t>
      </w:r>
      <w:r w:rsidRPr="00085FA2">
        <w:rPr>
          <w:rFonts w:cstheme="minorHAnsi"/>
          <w:color w:val="000000" w:themeColor="text1"/>
          <w:sz w:val="24"/>
          <w:szCs w:val="24"/>
          <w:lang w:val="en-US"/>
        </w:rPr>
        <w:t xml:space="preserve"> pointing to a higher quality Fab-evolutionary response linked to survival from infection; and 2) survivors of severe COVID-19 evolved Fc-effector functions more rapidly and to a higher level than individuals that ultimately died from COVID-19</w:t>
      </w:r>
      <w:r w:rsidR="0009748B">
        <w:rPr>
          <w:rFonts w:cstheme="minorHAnsi"/>
          <w:color w:val="000000" w:themeColor="text1"/>
          <w:sz w:val="24"/>
          <w:szCs w:val="24"/>
          <w:lang w:val="en-US"/>
        </w:rPr>
        <w:t>.</w:t>
      </w:r>
      <w:r w:rsidR="0009748B" w:rsidRPr="0009748B">
        <w:rPr>
          <w:rFonts w:cstheme="minorHAnsi"/>
          <w:color w:val="000000" w:themeColor="text1"/>
          <w:sz w:val="24"/>
          <w:szCs w:val="24"/>
          <w:vertAlign w:val="superscript"/>
          <w:lang w:val="en-US"/>
        </w:rPr>
        <w:t>70</w:t>
      </w:r>
      <w:r w:rsidRPr="00085FA2">
        <w:rPr>
          <w:rFonts w:cstheme="minorHAnsi"/>
          <w:color w:val="000000" w:themeColor="text1"/>
          <w:sz w:val="24"/>
          <w:szCs w:val="24"/>
          <w:lang w:val="en-US"/>
        </w:rPr>
        <w:t xml:space="preserve"> However, interestingly, not all Fc-effector functions were induced equally, NK cell activation was not differentially induced in survivors, but neutrophil and monocyte opsonophagocytic activating antibodies were induced most rapidly and to a higher magnitude in survivors compared to non-survivors. </w:t>
      </w:r>
    </w:p>
    <w:p w14:paraId="2CC82C8D" w14:textId="7229A8FB" w:rsidR="001D5BB4" w:rsidRPr="00085FA2" w:rsidRDefault="001D5BB4" w:rsidP="00616AD1">
      <w:pPr>
        <w:spacing w:line="480" w:lineRule="auto"/>
        <w:ind w:firstLine="720"/>
        <w:rPr>
          <w:rFonts w:cstheme="minorHAnsi"/>
          <w:sz w:val="24"/>
          <w:szCs w:val="24"/>
          <w:lang w:val="en-US"/>
        </w:rPr>
      </w:pPr>
      <w:r w:rsidRPr="00085FA2">
        <w:rPr>
          <w:rFonts w:cstheme="minorHAnsi"/>
          <w:color w:val="000000" w:themeColor="text1"/>
          <w:sz w:val="24"/>
          <w:szCs w:val="24"/>
          <w:lang w:val="en-US"/>
        </w:rPr>
        <w:lastRenderedPageBreak/>
        <w:t>While the ability of antibodies to drive antibody dependent cellular cytotoxicity (ADCC) via the recruitment of NK cells is well established in another respiratory viral infection, Influenza</w:t>
      </w:r>
      <w:r w:rsidR="0009748B">
        <w:rPr>
          <w:rFonts w:cstheme="minorHAnsi"/>
          <w:color w:val="000000" w:themeColor="text1"/>
          <w:sz w:val="24"/>
          <w:szCs w:val="24"/>
          <w:lang w:val="en-US"/>
        </w:rPr>
        <w:t>,</w:t>
      </w:r>
      <w:r w:rsidR="0009748B" w:rsidRPr="0009748B">
        <w:rPr>
          <w:rFonts w:cstheme="minorHAnsi"/>
          <w:color w:val="000000" w:themeColor="text1"/>
          <w:sz w:val="24"/>
          <w:szCs w:val="24"/>
          <w:vertAlign w:val="superscript"/>
          <w:lang w:val="en-US"/>
        </w:rPr>
        <w:t>90</w:t>
      </w:r>
      <w:r w:rsidRPr="0009748B">
        <w:rPr>
          <w:rFonts w:cstheme="minorHAnsi"/>
          <w:color w:val="000000" w:themeColor="text1"/>
          <w:sz w:val="24"/>
          <w:szCs w:val="24"/>
          <w:vertAlign w:val="superscript"/>
          <w:lang w:val="en-US"/>
        </w:rPr>
        <w:t xml:space="preserve"> </w:t>
      </w:r>
      <w:r w:rsidRPr="00085FA2">
        <w:rPr>
          <w:rFonts w:cstheme="minorHAnsi"/>
          <w:color w:val="000000" w:themeColor="text1"/>
          <w:sz w:val="24"/>
          <w:szCs w:val="24"/>
          <w:lang w:val="en-US"/>
        </w:rPr>
        <w:t>the precise role for ADCC versus ops</w:t>
      </w:r>
      <w:r w:rsidR="00C1429A" w:rsidRPr="00085FA2">
        <w:rPr>
          <w:rFonts w:cstheme="minorHAnsi"/>
          <w:color w:val="000000" w:themeColor="text1"/>
          <w:sz w:val="24"/>
          <w:szCs w:val="24"/>
          <w:lang w:val="en-US"/>
        </w:rPr>
        <w:t>o</w:t>
      </w:r>
      <w:r w:rsidRPr="00085FA2">
        <w:rPr>
          <w:rFonts w:cstheme="minorHAnsi"/>
          <w:color w:val="000000" w:themeColor="text1"/>
          <w:sz w:val="24"/>
          <w:szCs w:val="24"/>
          <w:lang w:val="en-US"/>
        </w:rPr>
        <w:t>nophagocytic functions, known to be key to respiratory bacterial infections</w:t>
      </w:r>
      <w:r w:rsidR="0009748B" w:rsidRPr="0009748B">
        <w:rPr>
          <w:rFonts w:cstheme="minorHAnsi"/>
          <w:color w:val="000000" w:themeColor="text1"/>
          <w:sz w:val="24"/>
          <w:szCs w:val="24"/>
          <w:vertAlign w:val="superscript"/>
          <w:lang w:val="en-US"/>
        </w:rPr>
        <w:t>91</w:t>
      </w:r>
      <w:r w:rsidRPr="0009748B">
        <w:rPr>
          <w:rFonts w:cstheme="minorHAnsi"/>
          <w:color w:val="000000" w:themeColor="text1"/>
          <w:sz w:val="24"/>
          <w:szCs w:val="24"/>
          <w:vertAlign w:val="superscript"/>
          <w:lang w:val="en-US"/>
        </w:rPr>
        <w:t xml:space="preserve"> </w:t>
      </w:r>
      <w:r w:rsidRPr="00085FA2">
        <w:rPr>
          <w:rFonts w:cstheme="minorHAnsi"/>
          <w:color w:val="000000" w:themeColor="text1"/>
          <w:sz w:val="24"/>
          <w:szCs w:val="24"/>
          <w:lang w:val="en-US"/>
        </w:rPr>
        <w:t>remains unclear in COVID 19 disease. SARS-CoV-2 infection begins with viral attaching to the surface of the epithelium, via lectin-like interactions between the Spike and cell surface glycosylation</w:t>
      </w:r>
      <w:r w:rsidR="0009748B" w:rsidRPr="0009748B">
        <w:rPr>
          <w:rFonts w:cstheme="minorHAnsi"/>
          <w:color w:val="000000" w:themeColor="text1"/>
          <w:sz w:val="24"/>
          <w:szCs w:val="24"/>
          <w:vertAlign w:val="superscript"/>
          <w:lang w:val="en-US"/>
        </w:rPr>
        <w:t>92,93</w:t>
      </w:r>
      <w:r w:rsidRPr="00085FA2">
        <w:rPr>
          <w:rFonts w:cstheme="minorHAnsi"/>
          <w:color w:val="000000" w:themeColor="text1"/>
          <w:sz w:val="24"/>
          <w:szCs w:val="24"/>
          <w:lang w:val="en-US"/>
        </w:rPr>
        <w:t xml:space="preserve"> (</w:t>
      </w:r>
      <w:r w:rsidRPr="00085FA2">
        <w:rPr>
          <w:rFonts w:cstheme="minorHAnsi"/>
          <w:b/>
          <w:bCs/>
          <w:color w:val="000000" w:themeColor="text1"/>
          <w:sz w:val="24"/>
          <w:szCs w:val="24"/>
          <w:lang w:val="en-US"/>
        </w:rPr>
        <w:t xml:space="preserve">Figure </w:t>
      </w:r>
      <w:r w:rsidR="00360CCD">
        <w:rPr>
          <w:rFonts w:cstheme="minorHAnsi"/>
          <w:b/>
          <w:bCs/>
          <w:color w:val="000000" w:themeColor="text1"/>
          <w:sz w:val="24"/>
          <w:szCs w:val="24"/>
          <w:lang w:val="en-US"/>
        </w:rPr>
        <w:t>7</w:t>
      </w:r>
      <w:r w:rsidRPr="00085FA2">
        <w:rPr>
          <w:rFonts w:cstheme="minorHAnsi"/>
          <w:color w:val="000000" w:themeColor="text1"/>
          <w:sz w:val="24"/>
          <w:szCs w:val="24"/>
          <w:lang w:val="en-US"/>
        </w:rPr>
        <w:t>). However</w:t>
      </w:r>
      <w:r w:rsidR="009B5B9A" w:rsidRPr="00085FA2">
        <w:rPr>
          <w:rFonts w:cstheme="minorHAnsi"/>
          <w:color w:val="000000" w:themeColor="text1"/>
          <w:sz w:val="24"/>
          <w:szCs w:val="24"/>
          <w:lang w:val="en-US"/>
        </w:rPr>
        <w:t>,</w:t>
      </w:r>
      <w:r w:rsidRPr="00085FA2">
        <w:rPr>
          <w:rFonts w:cstheme="minorHAnsi"/>
          <w:color w:val="000000" w:themeColor="text1"/>
          <w:sz w:val="24"/>
          <w:szCs w:val="24"/>
          <w:lang w:val="en-US"/>
        </w:rPr>
        <w:t xml:space="preserve"> upon interaction with the human </w:t>
      </w:r>
      <w:r w:rsidRPr="00085FA2">
        <w:rPr>
          <w:rFonts w:cstheme="minorHAnsi"/>
          <w:color w:val="000000" w:themeColor="text1"/>
          <w:sz w:val="24"/>
          <w:szCs w:val="24"/>
          <w:shd w:val="clear" w:color="auto" w:fill="FFFFFF"/>
          <w:lang w:val="en-US"/>
        </w:rPr>
        <w:t>angiotensin converting enzyme-</w:t>
      </w:r>
      <w:r w:rsidRPr="00085FA2">
        <w:rPr>
          <w:rFonts w:cstheme="minorHAnsi"/>
          <w:color w:val="000000" w:themeColor="text1"/>
          <w:sz w:val="24"/>
          <w:szCs w:val="24"/>
          <w:lang w:val="en-US"/>
        </w:rPr>
        <w:t>2</w:t>
      </w:r>
      <w:r w:rsidRPr="00085FA2">
        <w:rPr>
          <w:rFonts w:cstheme="minorHAnsi"/>
          <w:color w:val="000000" w:themeColor="text1"/>
          <w:sz w:val="24"/>
          <w:szCs w:val="24"/>
          <w:shd w:val="clear" w:color="auto" w:fill="FFFFFF"/>
          <w:lang w:val="en-US"/>
        </w:rPr>
        <w:t> (</w:t>
      </w:r>
      <w:r w:rsidRPr="00085FA2">
        <w:rPr>
          <w:rFonts w:cstheme="minorHAnsi"/>
          <w:color w:val="000000" w:themeColor="text1"/>
          <w:sz w:val="24"/>
          <w:szCs w:val="24"/>
          <w:lang w:val="en-US"/>
        </w:rPr>
        <w:t>ACE</w:t>
      </w:r>
      <w:r w:rsidRPr="00085FA2">
        <w:rPr>
          <w:rFonts w:cstheme="minorHAnsi"/>
          <w:color w:val="000000" w:themeColor="text1"/>
          <w:sz w:val="24"/>
          <w:szCs w:val="24"/>
          <w:shd w:val="clear" w:color="auto" w:fill="FFFFFF"/>
          <w:lang w:val="en-US"/>
        </w:rPr>
        <w:t>-</w:t>
      </w:r>
      <w:r w:rsidRPr="00085FA2">
        <w:rPr>
          <w:rFonts w:cstheme="minorHAnsi"/>
          <w:color w:val="000000" w:themeColor="text1"/>
          <w:sz w:val="24"/>
          <w:szCs w:val="24"/>
          <w:lang w:val="en-US"/>
        </w:rPr>
        <w:t>2</w:t>
      </w:r>
      <w:r w:rsidRPr="00085FA2">
        <w:rPr>
          <w:rFonts w:cstheme="minorHAnsi"/>
          <w:color w:val="000000" w:themeColor="text1"/>
          <w:sz w:val="24"/>
          <w:szCs w:val="24"/>
          <w:shd w:val="clear" w:color="auto" w:fill="FFFFFF"/>
          <w:lang w:val="en-US"/>
        </w:rPr>
        <w:t xml:space="preserve">), the virus is taken up </w:t>
      </w:r>
      <w:proofErr w:type="spellStart"/>
      <w:r w:rsidRPr="00085FA2">
        <w:rPr>
          <w:rFonts w:cstheme="minorHAnsi"/>
          <w:color w:val="000000" w:themeColor="text1"/>
          <w:sz w:val="24"/>
          <w:szCs w:val="24"/>
          <w:shd w:val="clear" w:color="auto" w:fill="FFFFFF"/>
          <w:lang w:val="en-US"/>
        </w:rPr>
        <w:t>endosomally</w:t>
      </w:r>
      <w:proofErr w:type="spellEnd"/>
      <w:r w:rsidRPr="00085FA2">
        <w:rPr>
          <w:rFonts w:cstheme="minorHAnsi"/>
          <w:color w:val="000000" w:themeColor="text1"/>
          <w:sz w:val="24"/>
          <w:szCs w:val="24"/>
          <w:shd w:val="clear" w:color="auto" w:fill="FFFFFF"/>
          <w:lang w:val="en-US"/>
        </w:rPr>
        <w:t xml:space="preserve"> where it is able to fuse with the cell membrane and cause infection</w:t>
      </w:r>
      <w:r w:rsidR="00545275">
        <w:rPr>
          <w:rFonts w:cstheme="minorHAnsi"/>
          <w:color w:val="000000" w:themeColor="text1"/>
          <w:sz w:val="24"/>
          <w:szCs w:val="24"/>
          <w:shd w:val="clear" w:color="auto" w:fill="FFFFFF"/>
          <w:lang w:val="en-US"/>
        </w:rPr>
        <w:t>.</w:t>
      </w:r>
      <w:r w:rsidR="00545275" w:rsidRPr="00545275">
        <w:rPr>
          <w:rFonts w:cstheme="minorHAnsi"/>
          <w:color w:val="000000" w:themeColor="text1"/>
          <w:sz w:val="24"/>
          <w:szCs w:val="24"/>
          <w:shd w:val="clear" w:color="auto" w:fill="FFFFFF"/>
          <w:vertAlign w:val="superscript"/>
          <w:lang w:val="en-US"/>
        </w:rPr>
        <w:t>94</w:t>
      </w:r>
      <w:r w:rsidRPr="00085FA2">
        <w:rPr>
          <w:rFonts w:cstheme="minorHAnsi"/>
          <w:color w:val="000000" w:themeColor="text1"/>
          <w:sz w:val="24"/>
          <w:szCs w:val="24"/>
          <w:shd w:val="clear" w:color="auto" w:fill="FFFFFF"/>
          <w:lang w:val="en-US"/>
        </w:rPr>
        <w:t xml:space="preserve"> Moreover, following intracellular replication, viral assembly occurs via the Golgi apparatus, resulting in endosomal release of viruses. Thus, unlike influenza virus which fuses and exits via the plasma membrane where it can leave remnants of its surface proteins, SARS-CoV-2 fuses and exits via endosomal compartments, leaving limited viral proteins on the surface of cells. Thus, killing of SARS-CoV-2 infected cells via ADCC may be difficult. Conversely, antibodies able to rapidly clear viruses prior to infection or following release, via ops</w:t>
      </w:r>
      <w:r w:rsidR="00C1429A" w:rsidRPr="00085FA2">
        <w:rPr>
          <w:rFonts w:cstheme="minorHAnsi"/>
          <w:color w:val="000000" w:themeColor="text1"/>
          <w:sz w:val="24"/>
          <w:szCs w:val="24"/>
          <w:shd w:val="clear" w:color="auto" w:fill="FFFFFF"/>
          <w:lang w:val="en-US"/>
        </w:rPr>
        <w:t>o</w:t>
      </w:r>
      <w:r w:rsidRPr="00085FA2">
        <w:rPr>
          <w:rFonts w:cstheme="minorHAnsi"/>
          <w:color w:val="000000" w:themeColor="text1"/>
          <w:sz w:val="24"/>
          <w:szCs w:val="24"/>
          <w:shd w:val="clear" w:color="auto" w:fill="FFFFFF"/>
          <w:lang w:val="en-US"/>
        </w:rPr>
        <w:t>nophagocytic functions, may lead to rapid viral clearance. Attenuation of inflammation, may provide an opportunity for other immune mechanisms, such as T cells, to ultimately eliminate all infected cells. Thus, while antibodies may exist that can elicit both ADCC and ops</w:t>
      </w:r>
      <w:r w:rsidR="00C1429A" w:rsidRPr="00085FA2">
        <w:rPr>
          <w:rFonts w:cstheme="minorHAnsi"/>
          <w:color w:val="000000" w:themeColor="text1"/>
          <w:sz w:val="24"/>
          <w:szCs w:val="24"/>
          <w:shd w:val="clear" w:color="auto" w:fill="FFFFFF"/>
          <w:lang w:val="en-US"/>
        </w:rPr>
        <w:t>o</w:t>
      </w:r>
      <w:r w:rsidRPr="00085FA2">
        <w:rPr>
          <w:rFonts w:cstheme="minorHAnsi"/>
          <w:color w:val="000000" w:themeColor="text1"/>
          <w:sz w:val="24"/>
          <w:szCs w:val="24"/>
          <w:shd w:val="clear" w:color="auto" w:fill="FFFFFF"/>
          <w:lang w:val="en-US"/>
        </w:rPr>
        <w:t xml:space="preserve">nophagocytic functions, one of those functions may be more tightly linked to protective immunity, due to the life-cycle of the virus. </w:t>
      </w:r>
    </w:p>
    <w:p w14:paraId="1661F7E4" w14:textId="3A2AFF6B" w:rsidR="001D5BB4" w:rsidRPr="00085FA2" w:rsidRDefault="001D5BB4" w:rsidP="00007B3B">
      <w:pPr>
        <w:spacing w:before="100" w:beforeAutospacing="1" w:after="100" w:afterAutospacing="1" w:line="480" w:lineRule="auto"/>
        <w:ind w:firstLine="720"/>
        <w:rPr>
          <w:rFonts w:cstheme="minorHAnsi"/>
          <w:color w:val="000000" w:themeColor="text1"/>
          <w:sz w:val="24"/>
          <w:szCs w:val="24"/>
          <w:shd w:val="clear" w:color="auto" w:fill="FFFFFF"/>
          <w:lang w:val="en-US"/>
        </w:rPr>
      </w:pPr>
      <w:r w:rsidRPr="00085FA2">
        <w:rPr>
          <w:rFonts w:cstheme="minorHAnsi"/>
          <w:color w:val="000000" w:themeColor="text1"/>
          <w:sz w:val="24"/>
          <w:szCs w:val="24"/>
          <w:shd w:val="clear" w:color="auto" w:fill="FFFFFF"/>
          <w:lang w:val="en-US"/>
        </w:rPr>
        <w:t>Both neutralizing antibody levels and binding titers were robust correlates of protection in the phase 3 immune correlates analyses, largely conducted at peak immunogenicity against the wildtype SARS-CoV-2 spike</w:t>
      </w:r>
      <w:r w:rsidR="00545275">
        <w:rPr>
          <w:rFonts w:cstheme="minorHAnsi"/>
          <w:color w:val="000000" w:themeColor="text1"/>
          <w:sz w:val="24"/>
          <w:szCs w:val="24"/>
          <w:shd w:val="clear" w:color="auto" w:fill="FFFFFF"/>
          <w:lang w:val="en-US"/>
        </w:rPr>
        <w:t>.</w:t>
      </w:r>
      <w:r w:rsidR="008725D8" w:rsidRPr="008725D8">
        <w:rPr>
          <w:rFonts w:cstheme="minorHAnsi"/>
          <w:color w:val="000000" w:themeColor="text1"/>
          <w:sz w:val="24"/>
          <w:szCs w:val="24"/>
          <w:shd w:val="clear" w:color="auto" w:fill="FFFFFF"/>
          <w:vertAlign w:val="superscript"/>
          <w:lang w:val="en-US"/>
        </w:rPr>
        <w:t>95</w:t>
      </w:r>
      <w:r w:rsidRPr="00085FA2">
        <w:rPr>
          <w:rFonts w:cstheme="minorHAnsi"/>
          <w:color w:val="000000" w:themeColor="text1"/>
          <w:sz w:val="24"/>
          <w:szCs w:val="24"/>
          <w:shd w:val="clear" w:color="auto" w:fill="FFFFFF"/>
          <w:lang w:val="en-US"/>
        </w:rPr>
        <w:t xml:space="preserve"> However, waning neutralizing antibody titers and the emergence of more neutralization resistant SARS-CoV-2 variants have resulted in enhanced </w:t>
      </w:r>
      <w:r w:rsidRPr="00085FA2">
        <w:rPr>
          <w:rFonts w:cstheme="minorHAnsi"/>
          <w:color w:val="000000" w:themeColor="text1"/>
          <w:sz w:val="24"/>
          <w:szCs w:val="24"/>
          <w:shd w:val="clear" w:color="auto" w:fill="FFFFFF"/>
          <w:lang w:val="en-US"/>
        </w:rPr>
        <w:lastRenderedPageBreak/>
        <w:t>numbers of breakthrough infections globally</w:t>
      </w:r>
      <w:r w:rsidR="008725D8">
        <w:rPr>
          <w:rFonts w:cstheme="minorHAnsi"/>
          <w:color w:val="000000" w:themeColor="text1"/>
          <w:sz w:val="24"/>
          <w:szCs w:val="24"/>
          <w:shd w:val="clear" w:color="auto" w:fill="FFFFFF"/>
          <w:lang w:val="en-US"/>
        </w:rPr>
        <w:t>.</w:t>
      </w:r>
      <w:r w:rsidR="008725D8" w:rsidRPr="008725D8">
        <w:rPr>
          <w:rFonts w:cstheme="minorHAnsi"/>
          <w:color w:val="000000" w:themeColor="text1"/>
          <w:sz w:val="24"/>
          <w:szCs w:val="24"/>
          <w:shd w:val="clear" w:color="auto" w:fill="FFFFFF"/>
          <w:vertAlign w:val="superscript"/>
          <w:lang w:val="en-US"/>
        </w:rPr>
        <w:t>96,</w:t>
      </w:r>
      <w:r w:rsidR="00110387">
        <w:rPr>
          <w:rFonts w:cstheme="minorHAnsi"/>
          <w:color w:val="000000" w:themeColor="text1"/>
          <w:sz w:val="24"/>
          <w:szCs w:val="24"/>
          <w:shd w:val="clear" w:color="auto" w:fill="FFFFFF"/>
          <w:vertAlign w:val="superscript"/>
          <w:lang w:val="en-US"/>
        </w:rPr>
        <w:t>20</w:t>
      </w:r>
      <w:r w:rsidRPr="00085FA2">
        <w:rPr>
          <w:rFonts w:cstheme="minorHAnsi"/>
          <w:color w:val="000000" w:themeColor="text1"/>
          <w:sz w:val="24"/>
          <w:szCs w:val="24"/>
          <w:shd w:val="clear" w:color="auto" w:fill="FFFFFF"/>
          <w:lang w:val="en-US"/>
        </w:rPr>
        <w:t xml:space="preserve"> Although there is a rise in detectable cases, a concomitant rise in severity of disease has not been observed</w:t>
      </w:r>
      <w:r w:rsidR="008725D8">
        <w:rPr>
          <w:rFonts w:cstheme="minorHAnsi"/>
          <w:color w:val="000000" w:themeColor="text1"/>
          <w:sz w:val="24"/>
          <w:szCs w:val="24"/>
          <w:shd w:val="clear" w:color="auto" w:fill="FFFFFF"/>
          <w:lang w:val="en-US"/>
        </w:rPr>
        <w:t>,</w:t>
      </w:r>
      <w:r w:rsidR="008725D8" w:rsidRPr="008725D8">
        <w:rPr>
          <w:rFonts w:cstheme="minorHAnsi"/>
          <w:color w:val="000000" w:themeColor="text1"/>
          <w:sz w:val="24"/>
          <w:szCs w:val="24"/>
          <w:shd w:val="clear" w:color="auto" w:fill="FFFFFF"/>
          <w:vertAlign w:val="superscript"/>
          <w:lang w:val="en-US"/>
        </w:rPr>
        <w:t>9</w:t>
      </w:r>
      <w:r w:rsidR="00A755D1">
        <w:rPr>
          <w:rFonts w:cstheme="minorHAnsi"/>
          <w:color w:val="000000" w:themeColor="text1"/>
          <w:sz w:val="24"/>
          <w:szCs w:val="24"/>
          <w:shd w:val="clear" w:color="auto" w:fill="FFFFFF"/>
          <w:vertAlign w:val="superscript"/>
          <w:lang w:val="en-US"/>
        </w:rPr>
        <w:t>7</w:t>
      </w:r>
      <w:r w:rsidRPr="00085FA2">
        <w:rPr>
          <w:rFonts w:cstheme="minorHAnsi"/>
          <w:color w:val="000000" w:themeColor="text1"/>
          <w:sz w:val="24"/>
          <w:szCs w:val="24"/>
          <w:shd w:val="clear" w:color="auto" w:fill="FFFFFF"/>
          <w:lang w:val="en-US"/>
        </w:rPr>
        <w:t xml:space="preserve"> suggesting that non-neutralizing vaccine induced immunity affords persistent protection against severe COVID-19, despite the decline in neutralization. Importantly, emerging vaccine profile analyses suggest that not all antibody subpopulations decay with equal kinetics, with a steeper decline in neutralizing antibodies compared to binding antibodies that retain Fc effector functional activity</w:t>
      </w:r>
      <w:r w:rsidR="00A755D1">
        <w:rPr>
          <w:rFonts w:cstheme="minorHAnsi"/>
          <w:color w:val="000000" w:themeColor="text1"/>
          <w:sz w:val="24"/>
          <w:szCs w:val="24"/>
          <w:shd w:val="clear" w:color="auto" w:fill="FFFFFF"/>
          <w:lang w:val="en-US"/>
        </w:rPr>
        <w:t>.</w:t>
      </w:r>
      <w:r w:rsidR="00A755D1" w:rsidRPr="00A755D1">
        <w:rPr>
          <w:rFonts w:cstheme="minorHAnsi"/>
          <w:color w:val="000000" w:themeColor="text1"/>
          <w:sz w:val="24"/>
          <w:szCs w:val="24"/>
          <w:shd w:val="clear" w:color="auto" w:fill="FFFFFF"/>
          <w:vertAlign w:val="superscript"/>
          <w:lang w:val="en-US"/>
        </w:rPr>
        <w:t>98</w:t>
      </w:r>
      <w:r w:rsidRPr="00085FA2">
        <w:rPr>
          <w:rFonts w:cstheme="minorHAnsi"/>
          <w:color w:val="000000" w:themeColor="text1"/>
          <w:sz w:val="24"/>
          <w:szCs w:val="24"/>
          <w:shd w:val="clear" w:color="auto" w:fill="FFFFFF"/>
          <w:lang w:val="en-US"/>
        </w:rPr>
        <w:t xml:space="preserve"> While only a fraction of total antibodies contribute</w:t>
      </w:r>
      <w:r w:rsidR="00616AD1" w:rsidRPr="00085FA2">
        <w:rPr>
          <w:rFonts w:cstheme="minorHAnsi"/>
          <w:color w:val="000000" w:themeColor="text1"/>
          <w:sz w:val="24"/>
          <w:szCs w:val="24"/>
          <w:shd w:val="clear" w:color="auto" w:fill="FFFFFF"/>
          <w:lang w:val="en-US"/>
        </w:rPr>
        <w:t>s</w:t>
      </w:r>
      <w:r w:rsidRPr="00085FA2">
        <w:rPr>
          <w:rFonts w:cstheme="minorHAnsi"/>
          <w:color w:val="000000" w:themeColor="text1"/>
          <w:sz w:val="24"/>
          <w:szCs w:val="24"/>
          <w:shd w:val="clear" w:color="auto" w:fill="FFFFFF"/>
          <w:lang w:val="en-US"/>
        </w:rPr>
        <w:t xml:space="preserve"> to neutralization (</w:t>
      </w:r>
      <w:r w:rsidRPr="00085FA2">
        <w:rPr>
          <w:rFonts w:cstheme="minorHAnsi"/>
          <w:b/>
          <w:bCs/>
          <w:color w:val="000000" w:themeColor="text1"/>
          <w:sz w:val="24"/>
          <w:szCs w:val="24"/>
          <w:shd w:val="clear" w:color="auto" w:fill="FFFFFF"/>
          <w:lang w:val="en-US"/>
        </w:rPr>
        <w:t xml:space="preserve">Figure </w:t>
      </w:r>
      <w:r w:rsidR="00360CCD">
        <w:rPr>
          <w:rFonts w:cstheme="minorHAnsi"/>
          <w:b/>
          <w:bCs/>
          <w:color w:val="000000" w:themeColor="text1"/>
          <w:sz w:val="24"/>
          <w:szCs w:val="24"/>
          <w:shd w:val="clear" w:color="auto" w:fill="FFFFFF"/>
          <w:lang w:val="en-US"/>
        </w:rPr>
        <w:t>8</w:t>
      </w:r>
      <w:r w:rsidRPr="00085FA2">
        <w:rPr>
          <w:rFonts w:cstheme="minorHAnsi"/>
          <w:color w:val="000000" w:themeColor="text1"/>
          <w:sz w:val="24"/>
          <w:szCs w:val="24"/>
          <w:shd w:val="clear" w:color="auto" w:fill="FFFFFF"/>
          <w:lang w:val="en-US"/>
        </w:rPr>
        <w:t>), a larger fraction of antibodies target</w:t>
      </w:r>
      <w:r w:rsidR="00616AD1" w:rsidRPr="00085FA2">
        <w:rPr>
          <w:rFonts w:cstheme="minorHAnsi"/>
          <w:color w:val="000000" w:themeColor="text1"/>
          <w:sz w:val="24"/>
          <w:szCs w:val="24"/>
          <w:shd w:val="clear" w:color="auto" w:fill="FFFFFF"/>
          <w:lang w:val="en-US"/>
        </w:rPr>
        <w:t>s</w:t>
      </w:r>
      <w:r w:rsidRPr="00085FA2">
        <w:rPr>
          <w:rFonts w:cstheme="minorHAnsi"/>
          <w:color w:val="000000" w:themeColor="text1"/>
          <w:sz w:val="24"/>
          <w:szCs w:val="24"/>
          <w:shd w:val="clear" w:color="auto" w:fill="FFFFFF"/>
          <w:lang w:val="en-US"/>
        </w:rPr>
        <w:t xml:space="preserve"> the entire surface of the SARS-CoV-2 virus and can contribute to additional antibody effector functions, potentially continuing to confer protective immunity against the virus even in the setting of decaying neutralizing antibody titers. Likewise, variant mutations that evade the limited sub-population of antibodies involved in strict neutralization, do not affect all Spike-specific binding antibodies that may continue to drive antibody effector functions and contribute to antiviral immunity. Thus, while a loss of neutralization may result in loss of transmission blockade, the persistence of Fc-effector functional antibodies may continue to drive rapid control and clearance of the virus following transmission, reducing disease severity and death.</w:t>
      </w:r>
    </w:p>
    <w:p w14:paraId="476F9110" w14:textId="464B3306" w:rsidR="001D5BB4" w:rsidRPr="00085FA2" w:rsidRDefault="001D5BB4" w:rsidP="009B5B9A">
      <w:pPr>
        <w:spacing w:line="480" w:lineRule="auto"/>
        <w:ind w:firstLine="720"/>
        <w:rPr>
          <w:rFonts w:cstheme="minorHAnsi"/>
          <w:color w:val="000000" w:themeColor="text1"/>
          <w:sz w:val="24"/>
          <w:szCs w:val="24"/>
          <w:shd w:val="clear" w:color="auto" w:fill="FFFFFF"/>
          <w:lang w:val="en-US"/>
        </w:rPr>
      </w:pPr>
      <w:r w:rsidRPr="00085FA2">
        <w:rPr>
          <w:rFonts w:cstheme="minorHAnsi"/>
          <w:color w:val="000000" w:themeColor="text1"/>
          <w:sz w:val="24"/>
          <w:szCs w:val="24"/>
          <w:shd w:val="clear" w:color="auto" w:fill="FFFFFF"/>
          <w:lang w:val="en-US"/>
        </w:rPr>
        <w:t>The definitive role of Fc-effector function in immunity to SARS-CoV-2 was most clearly demonstrated in monoclonal antibody passive transfer studies</w:t>
      </w:r>
      <w:r w:rsidR="00A755D1">
        <w:rPr>
          <w:rFonts w:cstheme="minorHAnsi"/>
          <w:color w:val="000000" w:themeColor="text1"/>
          <w:sz w:val="24"/>
          <w:szCs w:val="24"/>
          <w:shd w:val="clear" w:color="auto" w:fill="FFFFFF"/>
          <w:lang w:val="en-US"/>
        </w:rPr>
        <w:t>.</w:t>
      </w:r>
      <w:r w:rsidR="00A755D1" w:rsidRPr="00A755D1">
        <w:rPr>
          <w:rFonts w:cstheme="minorHAnsi"/>
          <w:color w:val="000000" w:themeColor="text1"/>
          <w:sz w:val="24"/>
          <w:szCs w:val="24"/>
          <w:shd w:val="clear" w:color="auto" w:fill="FFFFFF"/>
          <w:vertAlign w:val="superscript"/>
          <w:lang w:val="en-US"/>
        </w:rPr>
        <w:t>99-101</w:t>
      </w:r>
      <w:r w:rsidRPr="00085FA2">
        <w:rPr>
          <w:rFonts w:cstheme="minorHAnsi"/>
          <w:color w:val="000000" w:themeColor="text1"/>
          <w:sz w:val="24"/>
          <w:szCs w:val="24"/>
          <w:shd w:val="clear" w:color="auto" w:fill="FFFFFF"/>
          <w:lang w:val="en-US"/>
        </w:rPr>
        <w:t xml:space="preserve"> While high titers of potent neutralizing antibodies do not require Fc-effector functions to confer protection in small animal models, less potent neutralizing antibodies have demonstrated a strong Fc-dependency, conferring protection only in the setting of functional Fc-domains</w:t>
      </w:r>
      <w:r w:rsidR="00A755D1">
        <w:rPr>
          <w:rFonts w:cstheme="minorHAnsi"/>
          <w:color w:val="000000" w:themeColor="text1"/>
          <w:sz w:val="24"/>
          <w:szCs w:val="24"/>
          <w:shd w:val="clear" w:color="auto" w:fill="FFFFFF"/>
          <w:lang w:val="en-US"/>
        </w:rPr>
        <w:t>.</w:t>
      </w:r>
      <w:r w:rsidR="00A755D1" w:rsidRPr="00A755D1">
        <w:rPr>
          <w:rFonts w:cstheme="minorHAnsi"/>
          <w:color w:val="000000" w:themeColor="text1"/>
          <w:sz w:val="24"/>
          <w:szCs w:val="24"/>
          <w:shd w:val="clear" w:color="auto" w:fill="FFFFFF"/>
          <w:vertAlign w:val="superscript"/>
          <w:lang w:val="en-US"/>
        </w:rPr>
        <w:t>100,102</w:t>
      </w:r>
      <w:r w:rsidRPr="00085FA2">
        <w:rPr>
          <w:rFonts w:cstheme="minorHAnsi"/>
          <w:color w:val="000000" w:themeColor="text1"/>
          <w:sz w:val="24"/>
          <w:szCs w:val="24"/>
          <w:shd w:val="clear" w:color="auto" w:fill="FFFFFF"/>
          <w:lang w:val="en-US"/>
        </w:rPr>
        <w:t>. Furthermore, these protective functions of weakly-neutralizing antibodies, that target the more conserved S2-</w:t>
      </w:r>
      <w:r w:rsidRPr="00085FA2">
        <w:rPr>
          <w:rFonts w:cstheme="minorHAnsi"/>
          <w:color w:val="000000" w:themeColor="text1"/>
          <w:sz w:val="24"/>
          <w:szCs w:val="24"/>
          <w:shd w:val="clear" w:color="auto" w:fill="FFFFFF"/>
          <w:lang w:val="en-US"/>
        </w:rPr>
        <w:lastRenderedPageBreak/>
        <w:t xml:space="preserve">domain of the Spike antigen, can be further functionally enhanced via the addition of Fc-point mutations that improve antibody interactions with Fc-receptors on innate immune cells, resulting in more potent protection against viral challenge and disease. These data clearly highlight the critical role of Fc-effector function in antibody mediated protection from disease, particularly in the setting of diminished neutralizing antibody activity. Moreover, the data argue that as neutralizing titers wane or more neutralization resistant variants appear, vaccine able to elicit antibody responses to conserved antigenic sites on the Spike antigen, with robust Fc-effector functionality, may drive longer lived protection against disease. </w:t>
      </w:r>
    </w:p>
    <w:p w14:paraId="13B37FCA" w14:textId="77777777" w:rsidR="0046611F" w:rsidRPr="003A468C" w:rsidRDefault="0046611F" w:rsidP="003A468C">
      <w:pPr>
        <w:snapToGrid w:val="0"/>
        <w:spacing w:before="100" w:beforeAutospacing="1" w:after="100" w:afterAutospacing="1" w:line="480" w:lineRule="auto"/>
        <w:contextualSpacing/>
        <w:jc w:val="both"/>
        <w:rPr>
          <w:rFonts w:cstheme="minorHAnsi"/>
          <w:b/>
          <w:bCs/>
          <w:sz w:val="24"/>
          <w:szCs w:val="24"/>
          <w:lang w:val="en-US"/>
        </w:rPr>
      </w:pPr>
      <w:r w:rsidRPr="003A468C">
        <w:rPr>
          <w:rFonts w:cstheme="minorHAnsi"/>
          <w:b/>
          <w:bCs/>
          <w:sz w:val="24"/>
          <w:szCs w:val="24"/>
          <w:lang w:val="en-US"/>
        </w:rPr>
        <w:t>T cells in protective immunity against COVID-19</w:t>
      </w:r>
    </w:p>
    <w:p w14:paraId="683A2F30" w14:textId="77777777" w:rsidR="0046611F" w:rsidRPr="00085FA2" w:rsidRDefault="0046611F" w:rsidP="00616AD1">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 xml:space="preserve">While there is robust evidence for important roles of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in protective immunity against COVID-19, various lines of evidence also point to contributions of T cells against COVID-19, particularly severe COVID-19 disease. There are two general ways to consider the roles of T cells in protective immunity. The first is that T cells and antibodies have different kinds of functionality that are often valuable in controlling viruses. Antibodies tend to be most effective when present prior to the start of an infection, with less efficacy after an infection has already started, because antibodies are more effective against extracellular virus than infected cells. Reciprocally, T cells cannot recognize a virus until after cells are infected, but they are the branch of adaptive immunity that specifically evolved to recognize and eliminate infected cells.</w:t>
      </w:r>
    </w:p>
    <w:p w14:paraId="1B31373B" w14:textId="71A28595" w:rsidR="0046611F" w:rsidRPr="00085FA2" w:rsidRDefault="0046611F" w:rsidP="00616AD1">
      <w:pPr>
        <w:spacing w:line="480" w:lineRule="auto"/>
        <w:rPr>
          <w:rFonts w:eastAsia="Times New Roman" w:cstheme="minorHAnsi"/>
          <w:sz w:val="24"/>
          <w:szCs w:val="24"/>
          <w:lang w:val="en-US"/>
        </w:rPr>
      </w:pPr>
      <w:r w:rsidRPr="00085FA2">
        <w:rPr>
          <w:rFonts w:cstheme="minorHAnsi"/>
          <w:sz w:val="24"/>
          <w:szCs w:val="24"/>
          <w:lang w:val="en-US"/>
        </w:rPr>
        <w:tab/>
        <w:t>Some of the strongest indirect evidence for an important role of T cells in controlling SARS-CoV-2 infections comes from monoclonal antibody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clinical trials for COVID-19. In clinical trials of people treated with </w:t>
      </w:r>
      <w:proofErr w:type="spellStart"/>
      <w:r w:rsidRPr="00085FA2">
        <w:rPr>
          <w:rFonts w:cstheme="minorHAnsi"/>
          <w:sz w:val="24"/>
          <w:szCs w:val="24"/>
          <w:lang w:val="en-US"/>
        </w:rPr>
        <w:t>mAbs</w:t>
      </w:r>
      <w:proofErr w:type="spellEnd"/>
      <w:r w:rsidRPr="00085FA2">
        <w:rPr>
          <w:rFonts w:cstheme="minorHAnsi"/>
          <w:sz w:val="24"/>
          <w:szCs w:val="24"/>
          <w:lang w:val="en-US"/>
        </w:rPr>
        <w:t xml:space="preserve"> within a few days of symptomatic COVID-19, in an outpatient setting,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treatment clearly provided clinical benefit to those individuals, </w:t>
      </w:r>
      <w:r w:rsidRPr="00085FA2">
        <w:rPr>
          <w:rFonts w:cstheme="minorHAnsi"/>
          <w:sz w:val="24"/>
          <w:szCs w:val="24"/>
          <w:lang w:val="en-US"/>
        </w:rPr>
        <w:lastRenderedPageBreak/>
        <w:t>reducing the likelihood of hospitalization.</w:t>
      </w:r>
      <w:r w:rsidR="00C12AD9" w:rsidRPr="00C12AD9">
        <w:rPr>
          <w:rFonts w:cstheme="minorHAnsi"/>
          <w:sz w:val="24"/>
          <w:szCs w:val="24"/>
          <w:vertAlign w:val="superscript"/>
          <w:lang w:val="en-US"/>
        </w:rPr>
        <w:t>103</w:t>
      </w:r>
      <w:r w:rsidRPr="00C12AD9">
        <w:rPr>
          <w:rFonts w:cstheme="minorHAnsi"/>
          <w:sz w:val="24"/>
          <w:szCs w:val="24"/>
          <w:vertAlign w:val="superscript"/>
          <w:lang w:val="en-US"/>
        </w:rPr>
        <w:t xml:space="preserve"> </w:t>
      </w:r>
      <w:r w:rsidRPr="00085FA2">
        <w:rPr>
          <w:rFonts w:cstheme="minorHAnsi"/>
          <w:sz w:val="24"/>
          <w:szCs w:val="24"/>
          <w:lang w:val="en-US"/>
        </w:rPr>
        <w:t xml:space="preserve">However,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treatment only reduced viral loads by 4-fold in treated seronegative subjects</w:t>
      </w:r>
      <w:r w:rsidR="00C12AD9">
        <w:rPr>
          <w:rFonts w:cstheme="minorHAnsi"/>
          <w:sz w:val="24"/>
          <w:szCs w:val="24"/>
          <w:lang w:val="en-US"/>
        </w:rPr>
        <w:t>.</w:t>
      </w:r>
      <w:r w:rsidR="00C12AD9" w:rsidRPr="00C12AD9">
        <w:rPr>
          <w:rFonts w:cstheme="minorHAnsi"/>
          <w:sz w:val="24"/>
          <w:szCs w:val="24"/>
          <w:vertAlign w:val="superscript"/>
          <w:lang w:val="en-US"/>
        </w:rPr>
        <w:t>103</w:t>
      </w:r>
      <w:r w:rsidRPr="00085FA2">
        <w:rPr>
          <w:rFonts w:cstheme="minorHAnsi"/>
          <w:sz w:val="24"/>
          <w:szCs w:val="24"/>
          <w:lang w:val="en-US"/>
        </w:rPr>
        <w:t xml:space="preserve"> In contrast, placebo group individuals who seroconverted on their own exhibited 1,000-fold to 10,000-fold lower viral loads</w:t>
      </w:r>
      <w:r w:rsidR="00C12AD9">
        <w:rPr>
          <w:rFonts w:cstheme="minorHAnsi"/>
          <w:sz w:val="24"/>
          <w:szCs w:val="24"/>
          <w:lang w:val="en-US"/>
        </w:rPr>
        <w:t>.</w:t>
      </w:r>
      <w:r w:rsidR="00C12AD9" w:rsidRPr="00C12AD9">
        <w:rPr>
          <w:rFonts w:cstheme="minorHAnsi"/>
          <w:sz w:val="24"/>
          <w:szCs w:val="24"/>
          <w:vertAlign w:val="superscript"/>
          <w:lang w:val="en-US"/>
        </w:rPr>
        <w:t>103</w:t>
      </w:r>
      <w:r w:rsidRPr="00085FA2">
        <w:rPr>
          <w:rFonts w:cstheme="minorHAnsi"/>
          <w:sz w:val="24"/>
          <w:szCs w:val="24"/>
          <w:lang w:val="en-US"/>
        </w:rPr>
        <w:t xml:space="preserve"> Given that the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infusions provide &gt; 100-fold higher </w:t>
      </w:r>
      <w:proofErr w:type="spellStart"/>
      <w:r w:rsidRPr="00085FA2">
        <w:rPr>
          <w:rFonts w:cstheme="minorHAnsi"/>
          <w:sz w:val="24"/>
          <w:szCs w:val="24"/>
          <w:lang w:val="en-US"/>
        </w:rPr>
        <w:t>nAb</w:t>
      </w:r>
      <w:proofErr w:type="spellEnd"/>
      <w:r w:rsidRPr="00085FA2">
        <w:rPr>
          <w:rFonts w:cstheme="minorHAnsi"/>
          <w:sz w:val="24"/>
          <w:szCs w:val="24"/>
          <w:lang w:val="en-US"/>
        </w:rPr>
        <w:t xml:space="preserve"> titers, there is a large discordance between the modest drop in viral load after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infusion compared to the massive drop in viral load in individuals who develop their own immune response. Overall, the results are consistent with an important role for T cells in reducing viral loads by control and elimination of infected cells</w:t>
      </w:r>
      <w:r w:rsidR="00D36C5E">
        <w:rPr>
          <w:rFonts w:cstheme="minorHAnsi"/>
          <w:sz w:val="24"/>
          <w:szCs w:val="24"/>
          <w:lang w:val="en-US"/>
        </w:rPr>
        <w:t>.</w:t>
      </w:r>
      <w:r w:rsidR="00D36C5E" w:rsidRPr="00D36C5E">
        <w:rPr>
          <w:rFonts w:cstheme="minorHAnsi"/>
          <w:sz w:val="24"/>
          <w:szCs w:val="24"/>
          <w:vertAlign w:val="superscript"/>
          <w:lang w:val="en-US"/>
        </w:rPr>
        <w:t>104</w:t>
      </w:r>
      <w:r w:rsidRPr="00085FA2">
        <w:rPr>
          <w:rFonts w:cstheme="minorHAnsi"/>
          <w:sz w:val="24"/>
          <w:szCs w:val="24"/>
          <w:lang w:val="en-US"/>
        </w:rPr>
        <w:t xml:space="preserve"> Multiple clinical trials have shown no beneficial effect of high-dose neutralizing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treatment in hospitalized individuals. In contrast, </w:t>
      </w:r>
      <w:proofErr w:type="spellStart"/>
      <w:r w:rsidRPr="00085FA2">
        <w:rPr>
          <w:rFonts w:cstheme="minorHAnsi"/>
          <w:sz w:val="24"/>
          <w:szCs w:val="24"/>
          <w:lang w:val="en-US"/>
        </w:rPr>
        <w:t>mAbs</w:t>
      </w:r>
      <w:proofErr w:type="spellEnd"/>
      <w:r w:rsidRPr="00085FA2">
        <w:rPr>
          <w:rFonts w:cstheme="minorHAnsi"/>
          <w:sz w:val="24"/>
          <w:szCs w:val="24"/>
          <w:lang w:val="en-US"/>
        </w:rPr>
        <w:t xml:space="preserve"> provided in advance of infection have proven to be highly effective at preventing infections both in humans and non-human primates</w:t>
      </w:r>
      <w:r w:rsidR="00D36C5E">
        <w:rPr>
          <w:rFonts w:cstheme="minorHAnsi"/>
          <w:sz w:val="24"/>
          <w:szCs w:val="24"/>
          <w:lang w:val="en-US"/>
        </w:rPr>
        <w:t>,</w:t>
      </w:r>
      <w:r w:rsidR="00D36C5E" w:rsidRPr="00D36C5E">
        <w:rPr>
          <w:rFonts w:cstheme="minorHAnsi"/>
          <w:sz w:val="24"/>
          <w:szCs w:val="24"/>
          <w:vertAlign w:val="superscript"/>
          <w:lang w:val="en-US"/>
        </w:rPr>
        <w:t>105,106</w:t>
      </w:r>
      <w:r w:rsidRPr="00085FA2">
        <w:rPr>
          <w:rFonts w:cstheme="minorHAnsi"/>
          <w:sz w:val="24"/>
          <w:szCs w:val="24"/>
          <w:lang w:val="en-US"/>
        </w:rPr>
        <w:t xml:space="preserve"> consistent with high efficacy of </w:t>
      </w:r>
      <w:proofErr w:type="spellStart"/>
      <w:r w:rsidRPr="00085FA2">
        <w:rPr>
          <w:rFonts w:cstheme="minorHAnsi"/>
          <w:sz w:val="24"/>
          <w:szCs w:val="24"/>
          <w:lang w:val="en-US"/>
        </w:rPr>
        <w:t>mAbs</w:t>
      </w:r>
      <w:proofErr w:type="spellEnd"/>
      <w:r w:rsidRPr="00085FA2">
        <w:rPr>
          <w:rFonts w:cstheme="minorHAnsi"/>
          <w:sz w:val="24"/>
          <w:szCs w:val="24"/>
          <w:lang w:val="en-US"/>
        </w:rPr>
        <w:t xml:space="preserve"> before infection instead of during infection. To be absolutely clear on this point: </w:t>
      </w:r>
      <w:r w:rsidRPr="00085FA2">
        <w:rPr>
          <w:rFonts w:eastAsia="Times New Roman" w:cstheme="minorHAnsi"/>
          <w:color w:val="000000"/>
          <w:sz w:val="24"/>
          <w:szCs w:val="24"/>
          <w:lang w:val="en-US"/>
        </w:rPr>
        <w:t xml:space="preserve">early </w:t>
      </w:r>
      <w:proofErr w:type="spellStart"/>
      <w:r w:rsidRPr="00085FA2">
        <w:rPr>
          <w:rFonts w:eastAsia="Times New Roman" w:cstheme="minorHAnsi"/>
          <w:color w:val="000000"/>
          <w:sz w:val="24"/>
          <w:szCs w:val="24"/>
          <w:lang w:val="en-US"/>
        </w:rPr>
        <w:t>mAb</w:t>
      </w:r>
      <w:proofErr w:type="spellEnd"/>
      <w:r w:rsidRPr="00085FA2">
        <w:rPr>
          <w:rFonts w:eastAsia="Times New Roman" w:cstheme="minorHAnsi"/>
          <w:color w:val="000000"/>
          <w:sz w:val="24"/>
          <w:szCs w:val="24"/>
          <w:lang w:val="en-US"/>
        </w:rPr>
        <w:t xml:space="preserve"> treatment has a clinical benefit—and should be given immediately to </w:t>
      </w:r>
      <w:r w:rsidR="00D36C5E" w:rsidRPr="00085FA2">
        <w:rPr>
          <w:rFonts w:eastAsia="Times New Roman" w:cstheme="minorHAnsi"/>
          <w:color w:val="000000"/>
          <w:sz w:val="24"/>
          <w:szCs w:val="24"/>
          <w:lang w:val="en-US"/>
        </w:rPr>
        <w:t>high-risk</w:t>
      </w:r>
      <w:r w:rsidRPr="00085FA2">
        <w:rPr>
          <w:rFonts w:eastAsia="Times New Roman" w:cstheme="minorHAnsi"/>
          <w:color w:val="000000"/>
          <w:sz w:val="24"/>
          <w:szCs w:val="24"/>
          <w:lang w:val="en-US"/>
        </w:rPr>
        <w:t xml:space="preserve"> individuals—but the actual impact of </w:t>
      </w:r>
      <w:proofErr w:type="spellStart"/>
      <w:r w:rsidRPr="00085FA2">
        <w:rPr>
          <w:rFonts w:eastAsia="Times New Roman" w:cstheme="minorHAnsi"/>
          <w:color w:val="000000"/>
          <w:sz w:val="24"/>
          <w:szCs w:val="24"/>
          <w:lang w:val="en-US"/>
        </w:rPr>
        <w:t>mAbs</w:t>
      </w:r>
      <w:proofErr w:type="spellEnd"/>
      <w:r w:rsidRPr="00085FA2">
        <w:rPr>
          <w:rFonts w:eastAsia="Times New Roman" w:cstheme="minorHAnsi"/>
          <w:color w:val="000000"/>
          <w:sz w:val="24"/>
          <w:szCs w:val="24"/>
          <w:lang w:val="en-US"/>
        </w:rPr>
        <w:t xml:space="preserve"> on viral loads in those subjects is surprisingly modest, suggesting that antibodies are not big contributors in viral clearance and that the </w:t>
      </w:r>
      <w:proofErr w:type="spellStart"/>
      <w:r w:rsidRPr="00085FA2">
        <w:rPr>
          <w:rFonts w:eastAsia="Times New Roman" w:cstheme="minorHAnsi"/>
          <w:color w:val="000000"/>
          <w:sz w:val="24"/>
          <w:szCs w:val="24"/>
          <w:lang w:val="en-US"/>
        </w:rPr>
        <w:t>mAb</w:t>
      </w:r>
      <w:proofErr w:type="spellEnd"/>
      <w:r w:rsidRPr="00085FA2">
        <w:rPr>
          <w:rFonts w:eastAsia="Times New Roman" w:cstheme="minorHAnsi"/>
          <w:color w:val="000000"/>
          <w:sz w:val="24"/>
          <w:szCs w:val="24"/>
          <w:lang w:val="en-US"/>
        </w:rPr>
        <w:t xml:space="preserve"> treatment may be largely “buying time” for a patient’s own T cell responses to amplify and clear the virus.</w:t>
      </w:r>
    </w:p>
    <w:p w14:paraId="4A209066" w14:textId="6865923A"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A second conceptual framework for considering protective benefits of T cells is a “layered defenses” model, sometimes colloquially referred to as a </w:t>
      </w:r>
      <w:r w:rsidR="00282AFB" w:rsidRPr="00085FA2">
        <w:rPr>
          <w:rFonts w:cstheme="minorHAnsi"/>
          <w:sz w:val="24"/>
          <w:szCs w:val="24"/>
          <w:lang w:val="en-US"/>
        </w:rPr>
        <w:t>Swiss</w:t>
      </w:r>
      <w:r w:rsidRPr="00085FA2">
        <w:rPr>
          <w:rFonts w:cstheme="minorHAnsi"/>
          <w:sz w:val="24"/>
          <w:szCs w:val="24"/>
          <w:lang w:val="en-US"/>
        </w:rPr>
        <w:t xml:space="preserve"> cheese model of defenses</w:t>
      </w:r>
      <w:r w:rsidR="00212DE7" w:rsidRPr="00085FA2">
        <w:rPr>
          <w:rFonts w:cstheme="minorHAnsi"/>
          <w:sz w:val="24"/>
          <w:szCs w:val="24"/>
          <w:lang w:val="en-US"/>
        </w:rPr>
        <w:t xml:space="preserve"> [</w:t>
      </w:r>
      <w:r w:rsidR="00212DE7" w:rsidRPr="00282AFB">
        <w:rPr>
          <w:rFonts w:cstheme="minorHAnsi"/>
          <w:b/>
          <w:sz w:val="24"/>
          <w:szCs w:val="24"/>
          <w:lang w:val="en-US"/>
        </w:rPr>
        <w:t>F</w:t>
      </w:r>
      <w:r w:rsidR="00282AFB" w:rsidRPr="00282AFB">
        <w:rPr>
          <w:rFonts w:cstheme="minorHAnsi"/>
          <w:b/>
          <w:sz w:val="24"/>
          <w:szCs w:val="24"/>
          <w:lang w:val="en-US"/>
        </w:rPr>
        <w:t>igure</w:t>
      </w:r>
      <w:r w:rsidR="00212DE7" w:rsidRPr="00282AFB">
        <w:rPr>
          <w:rFonts w:cstheme="minorHAnsi"/>
          <w:b/>
          <w:sz w:val="24"/>
          <w:szCs w:val="24"/>
          <w:lang w:val="en-US"/>
        </w:rPr>
        <w:t xml:space="preserve"> </w:t>
      </w:r>
      <w:r w:rsidR="00360CCD">
        <w:rPr>
          <w:rFonts w:cstheme="minorHAnsi"/>
          <w:b/>
          <w:sz w:val="24"/>
          <w:szCs w:val="24"/>
          <w:lang w:val="en-US"/>
        </w:rPr>
        <w:t>3</w:t>
      </w:r>
      <w:r w:rsidR="00212DE7" w:rsidRPr="00085FA2">
        <w:rPr>
          <w:rFonts w:cstheme="minorHAnsi"/>
          <w:sz w:val="24"/>
          <w:szCs w:val="24"/>
          <w:lang w:val="en-US"/>
        </w:rPr>
        <w:t>]</w:t>
      </w:r>
      <w:r w:rsidRPr="00085FA2">
        <w:rPr>
          <w:rFonts w:cstheme="minorHAnsi"/>
          <w:sz w:val="24"/>
          <w:szCs w:val="24"/>
          <w:lang w:val="en-US"/>
        </w:rPr>
        <w:t xml:space="preserve">. This type of model can be applied to many scenarios, wherein by having a series of layers of defenses, even if the first layer of defense is incomplete, there are additional secondary layers that also provide defense, which in sum provide sufficient immunity to be highly effective, even if the first layer fails. In the case of adaptive immunity to SARS-CoV-2 the </w:t>
      </w:r>
      <w:r w:rsidRPr="00085FA2">
        <w:rPr>
          <w:rFonts w:cstheme="minorHAnsi"/>
          <w:sz w:val="24"/>
          <w:szCs w:val="24"/>
          <w:lang w:val="en-US"/>
        </w:rPr>
        <w:lastRenderedPageBreak/>
        <w:t xml:space="preserve">first layer is </w:t>
      </w:r>
      <w:r w:rsidR="00212DE7" w:rsidRPr="00085FA2">
        <w:rPr>
          <w:rFonts w:cstheme="minorHAnsi"/>
          <w:sz w:val="24"/>
          <w:szCs w:val="24"/>
          <w:lang w:val="en-US"/>
        </w:rPr>
        <w:t>neutralizing antibodies (</w:t>
      </w:r>
      <w:proofErr w:type="spellStart"/>
      <w:r w:rsidRPr="00085FA2">
        <w:rPr>
          <w:rFonts w:cstheme="minorHAnsi"/>
          <w:sz w:val="24"/>
          <w:szCs w:val="24"/>
          <w:lang w:val="en-US"/>
        </w:rPr>
        <w:t>nAbs</w:t>
      </w:r>
      <w:proofErr w:type="spellEnd"/>
      <w:r w:rsidR="00212DE7" w:rsidRPr="00085FA2">
        <w:rPr>
          <w:rFonts w:cstheme="minorHAnsi"/>
          <w:sz w:val="24"/>
          <w:szCs w:val="24"/>
          <w:lang w:val="en-US"/>
        </w:rPr>
        <w:t>)</w:t>
      </w:r>
      <w:r w:rsidRPr="00085FA2">
        <w:rPr>
          <w:rFonts w:cstheme="minorHAnsi"/>
          <w:sz w:val="24"/>
          <w:szCs w:val="24"/>
          <w:lang w:val="en-US"/>
        </w:rPr>
        <w:t>, with the adaptive immune system having CD4 T cells, CD8 T cells, memory B cells and non-</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each providing an additional layer of defense [</w:t>
      </w:r>
      <w:r w:rsidRPr="004D6B4F">
        <w:rPr>
          <w:rFonts w:cstheme="minorHAnsi"/>
          <w:b/>
          <w:sz w:val="24"/>
          <w:szCs w:val="24"/>
          <w:lang w:val="en-US"/>
        </w:rPr>
        <w:t>F</w:t>
      </w:r>
      <w:r w:rsidR="004D6B4F" w:rsidRPr="004D6B4F">
        <w:rPr>
          <w:rFonts w:cstheme="minorHAnsi"/>
          <w:b/>
          <w:sz w:val="24"/>
          <w:szCs w:val="24"/>
          <w:lang w:val="en-US"/>
        </w:rPr>
        <w:t>igure 9</w:t>
      </w:r>
      <w:r w:rsidRPr="00085FA2">
        <w:rPr>
          <w:rFonts w:cstheme="minorHAnsi"/>
          <w:sz w:val="24"/>
          <w:szCs w:val="24"/>
          <w:lang w:val="en-US"/>
        </w:rPr>
        <w:t>], providing a diversity of mechanisms of protective immunity, some of which are more relevant in particular tissues or time windows. This conceptual framework highlights the challenges of quantifying the contributions of different aspects of adaptive immunity to COVID-19 if multiple components of immunity are present simultaneously.</w:t>
      </w:r>
    </w:p>
    <w:p w14:paraId="5E507B36" w14:textId="30B48654"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Overall, as discussed below, a reasonable working model is that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are important for protection against SARS-CoV-2 infection, but once infection occurs T cells are significant contributors to control and clearance of SARS-CoV-2 infection, limiting symptomatic COVID-19 and preventing hospitalization-level disease and death [</w:t>
      </w:r>
      <w:r w:rsidRPr="004D6B4F">
        <w:rPr>
          <w:rFonts w:cstheme="minorHAnsi"/>
          <w:b/>
          <w:sz w:val="24"/>
          <w:szCs w:val="24"/>
          <w:lang w:val="en-US"/>
        </w:rPr>
        <w:t>F</w:t>
      </w:r>
      <w:r w:rsidR="004D6B4F" w:rsidRPr="004D6B4F">
        <w:rPr>
          <w:rFonts w:cstheme="minorHAnsi"/>
          <w:b/>
          <w:sz w:val="24"/>
          <w:szCs w:val="24"/>
          <w:lang w:val="en-US"/>
        </w:rPr>
        <w:t>igure</w:t>
      </w:r>
      <w:r w:rsidRPr="004D6B4F">
        <w:rPr>
          <w:rFonts w:cstheme="minorHAnsi"/>
          <w:b/>
          <w:sz w:val="24"/>
          <w:szCs w:val="24"/>
          <w:lang w:val="en-US"/>
        </w:rPr>
        <w:t xml:space="preserve"> </w:t>
      </w:r>
      <w:r w:rsidR="004D6B4F" w:rsidRPr="004D6B4F">
        <w:rPr>
          <w:rFonts w:cstheme="minorHAnsi"/>
          <w:b/>
          <w:sz w:val="24"/>
          <w:szCs w:val="24"/>
          <w:lang w:val="en-US"/>
        </w:rPr>
        <w:t>9</w:t>
      </w:r>
      <w:r w:rsidRPr="00085FA2">
        <w:rPr>
          <w:rFonts w:cstheme="minorHAnsi"/>
          <w:sz w:val="24"/>
          <w:szCs w:val="24"/>
          <w:lang w:val="en-US"/>
        </w:rPr>
        <w:t>], with the T cell functions provided by circulating and/or local tissue resident T cells depending on the circumstances.</w:t>
      </w:r>
    </w:p>
    <w:p w14:paraId="4A34BD8A" w14:textId="77777777"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T cell mechanisms of protection</w:t>
      </w:r>
    </w:p>
    <w:p w14:paraId="64582894" w14:textId="017C22C8" w:rsidR="0046611F" w:rsidRPr="00085FA2" w:rsidRDefault="0046611F" w:rsidP="00360CCD">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There are multiple potential mechanisms by which T cells can contribute to protective immunity against infectious diseases. These are worth briefly reviewing and then addressing which mechanisms may be active in SARS-CoV-2 infections [</w:t>
      </w:r>
      <w:r w:rsidRPr="00732F63">
        <w:rPr>
          <w:rFonts w:cstheme="minorHAnsi"/>
          <w:b/>
          <w:sz w:val="24"/>
          <w:szCs w:val="24"/>
          <w:lang w:val="en-US"/>
        </w:rPr>
        <w:t>F</w:t>
      </w:r>
      <w:r w:rsidR="00732F63">
        <w:rPr>
          <w:rFonts w:cstheme="minorHAnsi"/>
          <w:b/>
          <w:sz w:val="24"/>
          <w:szCs w:val="24"/>
          <w:lang w:val="en-US"/>
        </w:rPr>
        <w:t>igure</w:t>
      </w:r>
      <w:r w:rsidRPr="00732F63">
        <w:rPr>
          <w:rFonts w:cstheme="minorHAnsi"/>
          <w:b/>
          <w:sz w:val="24"/>
          <w:szCs w:val="24"/>
          <w:lang w:val="en-US"/>
        </w:rPr>
        <w:t xml:space="preserve"> </w:t>
      </w:r>
      <w:r w:rsidR="00B86BBF">
        <w:rPr>
          <w:rFonts w:cstheme="minorHAnsi"/>
          <w:b/>
          <w:sz w:val="24"/>
          <w:szCs w:val="24"/>
          <w:lang w:val="en-US"/>
        </w:rPr>
        <w:t>9</w:t>
      </w:r>
      <w:r w:rsidRPr="00085FA2">
        <w:rPr>
          <w:rFonts w:cstheme="minorHAnsi"/>
          <w:sz w:val="24"/>
          <w:szCs w:val="24"/>
          <w:lang w:val="en-US"/>
        </w:rPr>
        <w:t>].</w:t>
      </w:r>
    </w:p>
    <w:p w14:paraId="2519A09E" w14:textId="1B4D6CF0"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CD8 T cells recognize and kill infected cells via direct contact and are important in many viral infections</w:t>
      </w:r>
      <w:r w:rsidR="00732F63" w:rsidRPr="00732F63">
        <w:rPr>
          <w:rFonts w:cstheme="minorHAnsi"/>
          <w:sz w:val="24"/>
          <w:szCs w:val="24"/>
          <w:vertAlign w:val="superscript"/>
          <w:lang w:val="en-US"/>
        </w:rPr>
        <w:t>107</w:t>
      </w:r>
      <w:r w:rsidR="0094647D" w:rsidRPr="00085FA2">
        <w:rPr>
          <w:rFonts w:cstheme="minorHAnsi"/>
          <w:sz w:val="24"/>
          <w:szCs w:val="24"/>
          <w:lang w:val="en-US"/>
        </w:rPr>
        <w:t>[</w:t>
      </w:r>
      <w:r w:rsidR="0094647D" w:rsidRPr="00732F63">
        <w:rPr>
          <w:rFonts w:cstheme="minorHAnsi"/>
          <w:b/>
          <w:bCs/>
          <w:sz w:val="24"/>
          <w:szCs w:val="24"/>
          <w:lang w:val="en-US"/>
        </w:rPr>
        <w:t xml:space="preserve">Figure </w:t>
      </w:r>
      <w:r w:rsidR="00B86BBF">
        <w:rPr>
          <w:rFonts w:cstheme="minorHAnsi"/>
          <w:b/>
          <w:bCs/>
          <w:sz w:val="24"/>
          <w:szCs w:val="24"/>
          <w:lang w:val="en-US"/>
        </w:rPr>
        <w:t>9</w:t>
      </w:r>
      <w:r w:rsidR="0094647D" w:rsidRPr="00085FA2">
        <w:rPr>
          <w:rFonts w:cstheme="minorHAnsi"/>
          <w:sz w:val="24"/>
          <w:szCs w:val="24"/>
          <w:lang w:val="en-US"/>
        </w:rPr>
        <w:t>]</w:t>
      </w:r>
      <w:r w:rsidRPr="00085FA2">
        <w:rPr>
          <w:rFonts w:cstheme="minorHAnsi"/>
          <w:sz w:val="24"/>
          <w:szCs w:val="24"/>
          <w:lang w:val="en-US"/>
        </w:rPr>
        <w:t xml:space="preserve">. In those viral infections it is not possible to fully eliminate the virus without the activity of CD8 T cells. </w:t>
      </w:r>
    </w:p>
    <w:p w14:paraId="6333819F" w14:textId="7BDDE92A"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For CD4 T cells, there are at least three distinct mechanisms of action involved in protective immunity against viruses: T-follicular helper cells (T</w:t>
      </w:r>
      <w:r w:rsidRPr="00085FA2">
        <w:rPr>
          <w:rFonts w:cstheme="minorHAnsi"/>
          <w:sz w:val="24"/>
          <w:szCs w:val="24"/>
          <w:vertAlign w:val="subscript"/>
          <w:lang w:val="en-US"/>
        </w:rPr>
        <w:t>FH</w:t>
      </w:r>
      <w:r w:rsidRPr="00085FA2">
        <w:rPr>
          <w:rFonts w:cstheme="minorHAnsi"/>
          <w:sz w:val="24"/>
          <w:szCs w:val="24"/>
          <w:lang w:val="en-US"/>
        </w:rPr>
        <w:t>), T</w:t>
      </w:r>
      <w:r w:rsidRPr="00085FA2">
        <w:rPr>
          <w:rFonts w:cstheme="minorHAnsi"/>
          <w:sz w:val="24"/>
          <w:szCs w:val="24"/>
          <w:vertAlign w:val="subscript"/>
          <w:lang w:val="en-US"/>
        </w:rPr>
        <w:t>H</w:t>
      </w:r>
      <w:r w:rsidRPr="00085FA2">
        <w:rPr>
          <w:rFonts w:cstheme="minorHAnsi"/>
          <w:sz w:val="24"/>
          <w:szCs w:val="24"/>
          <w:lang w:val="en-US"/>
        </w:rPr>
        <w:t>1 cells and CD4-CTL cells [</w:t>
      </w:r>
      <w:r w:rsidRPr="00732F63">
        <w:rPr>
          <w:rFonts w:cstheme="minorHAnsi"/>
          <w:b/>
          <w:bCs/>
          <w:sz w:val="24"/>
          <w:szCs w:val="24"/>
          <w:lang w:val="en-US"/>
        </w:rPr>
        <w:t>F</w:t>
      </w:r>
      <w:r w:rsidR="00732F63" w:rsidRPr="00732F63">
        <w:rPr>
          <w:rFonts w:cstheme="minorHAnsi"/>
          <w:b/>
          <w:bCs/>
          <w:sz w:val="24"/>
          <w:szCs w:val="24"/>
          <w:lang w:val="en-US"/>
        </w:rPr>
        <w:t xml:space="preserve">igure </w:t>
      </w:r>
      <w:r w:rsidR="00B86BBF">
        <w:rPr>
          <w:rFonts w:cstheme="minorHAnsi"/>
          <w:b/>
          <w:bCs/>
          <w:sz w:val="24"/>
          <w:szCs w:val="24"/>
          <w:lang w:val="en-US"/>
        </w:rPr>
        <w:t>9</w:t>
      </w:r>
      <w:r w:rsidRPr="00085FA2">
        <w:rPr>
          <w:rFonts w:cstheme="minorHAnsi"/>
          <w:sz w:val="24"/>
          <w:szCs w:val="24"/>
          <w:lang w:val="en-US"/>
        </w:rPr>
        <w:t>]. The first mechanism is T cell help to B cells, which is mediated by T</w:t>
      </w:r>
      <w:r w:rsidRPr="00085FA2">
        <w:rPr>
          <w:rFonts w:cstheme="minorHAnsi"/>
          <w:sz w:val="24"/>
          <w:szCs w:val="24"/>
          <w:vertAlign w:val="subscript"/>
          <w:lang w:val="en-US"/>
        </w:rPr>
        <w:t>FH</w:t>
      </w:r>
      <w:r w:rsidRPr="00085FA2">
        <w:rPr>
          <w:rFonts w:cstheme="minorHAnsi"/>
          <w:sz w:val="24"/>
          <w:szCs w:val="24"/>
          <w:lang w:val="en-US"/>
        </w:rPr>
        <w:t xml:space="preserve"> cells</w:t>
      </w:r>
      <w:r w:rsidR="007803DD">
        <w:rPr>
          <w:rFonts w:cstheme="minorHAnsi"/>
          <w:sz w:val="24"/>
          <w:szCs w:val="24"/>
          <w:lang w:val="en-US"/>
        </w:rPr>
        <w:t>.</w:t>
      </w:r>
      <w:proofErr w:type="gramStart"/>
      <w:r w:rsidR="007803DD" w:rsidRPr="007803DD">
        <w:rPr>
          <w:rFonts w:cstheme="minorHAnsi"/>
          <w:sz w:val="24"/>
          <w:szCs w:val="24"/>
          <w:vertAlign w:val="superscript"/>
          <w:lang w:val="en-US"/>
        </w:rPr>
        <w:t>10</w:t>
      </w:r>
      <w:r w:rsidR="007803DD">
        <w:rPr>
          <w:rFonts w:cstheme="minorHAnsi"/>
          <w:sz w:val="24"/>
          <w:szCs w:val="24"/>
          <w:vertAlign w:val="superscript"/>
          <w:lang w:val="en-US"/>
        </w:rPr>
        <w:t xml:space="preserve">8  </w:t>
      </w:r>
      <w:r w:rsidRPr="00085FA2">
        <w:rPr>
          <w:rFonts w:cstheme="minorHAnsi"/>
          <w:sz w:val="24"/>
          <w:szCs w:val="24"/>
          <w:lang w:val="en-US"/>
        </w:rPr>
        <w:t>This</w:t>
      </w:r>
      <w:proofErr w:type="gramEnd"/>
      <w:r w:rsidRPr="00085FA2">
        <w:rPr>
          <w:rFonts w:cstheme="minorHAnsi"/>
          <w:sz w:val="24"/>
          <w:szCs w:val="24"/>
          <w:lang w:val="en-US"/>
        </w:rPr>
        <w:t xml:space="preserve"> functionality of CD4 T cells is critical for the generation of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against most viral infections, the </w:t>
      </w:r>
      <w:r w:rsidRPr="00085FA2">
        <w:rPr>
          <w:rFonts w:cstheme="minorHAnsi"/>
          <w:sz w:val="24"/>
          <w:szCs w:val="24"/>
          <w:lang w:val="en-US"/>
        </w:rPr>
        <w:lastRenderedPageBreak/>
        <w:t>generation of affinity matured memory B cells, and the generation of durable antibody responses.</w:t>
      </w:r>
      <w:r w:rsidR="000D4E5A" w:rsidRPr="000D4E5A">
        <w:rPr>
          <w:rFonts w:cstheme="minorHAnsi"/>
          <w:sz w:val="24"/>
          <w:szCs w:val="24"/>
          <w:vertAlign w:val="superscript"/>
          <w:lang w:val="en-US"/>
        </w:rPr>
        <w:t>108,109</w:t>
      </w:r>
      <w:r w:rsidRPr="00085FA2">
        <w:rPr>
          <w:rFonts w:cstheme="minorHAnsi"/>
          <w:sz w:val="24"/>
          <w:szCs w:val="24"/>
          <w:lang w:val="en-US"/>
        </w:rPr>
        <w:t xml:space="preserve"> In most contexts, there are weak or no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in the absence of T</w:t>
      </w:r>
      <w:r w:rsidRPr="00085FA2">
        <w:rPr>
          <w:rFonts w:cstheme="minorHAnsi"/>
          <w:sz w:val="24"/>
          <w:szCs w:val="24"/>
          <w:vertAlign w:val="subscript"/>
          <w:lang w:val="en-US"/>
        </w:rPr>
        <w:t>FH</w:t>
      </w:r>
      <w:r w:rsidRPr="00085FA2">
        <w:rPr>
          <w:rFonts w:cstheme="minorHAnsi"/>
          <w:sz w:val="24"/>
          <w:szCs w:val="24"/>
          <w:lang w:val="en-US"/>
        </w:rPr>
        <w:t xml:space="preserve"> cells and no long-term antibody production</w:t>
      </w:r>
      <w:r w:rsidR="005D437E" w:rsidRPr="00085FA2">
        <w:rPr>
          <w:rFonts w:cstheme="minorHAnsi"/>
          <w:sz w:val="24"/>
          <w:szCs w:val="24"/>
          <w:lang w:val="en-US"/>
        </w:rPr>
        <w:t xml:space="preserve"> (which comes from long-lived plasma cells)</w:t>
      </w:r>
      <w:r w:rsidRPr="00085FA2">
        <w:rPr>
          <w:rFonts w:cstheme="minorHAnsi"/>
          <w:sz w:val="24"/>
          <w:szCs w:val="24"/>
          <w:lang w:val="en-US"/>
        </w:rPr>
        <w:t>. Since most antibody responses to vaccines are dependent on T</w:t>
      </w:r>
      <w:r w:rsidRPr="00085FA2">
        <w:rPr>
          <w:rFonts w:cstheme="minorHAnsi"/>
          <w:sz w:val="24"/>
          <w:szCs w:val="24"/>
          <w:vertAlign w:val="subscript"/>
          <w:lang w:val="en-US"/>
        </w:rPr>
        <w:t>FH</w:t>
      </w:r>
      <w:r w:rsidRPr="00085FA2">
        <w:rPr>
          <w:rFonts w:cstheme="minorHAnsi"/>
          <w:sz w:val="24"/>
          <w:szCs w:val="24"/>
          <w:lang w:val="en-US"/>
        </w:rPr>
        <w:t xml:space="preserve"> cells, antibody titers also serve as surrogate markers of CD4 T cell responses.</w:t>
      </w:r>
    </w:p>
    <w:p w14:paraId="4A00A1C1" w14:textId="0C755904"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T</w:t>
      </w:r>
      <w:r w:rsidRPr="00085FA2">
        <w:rPr>
          <w:rFonts w:cstheme="minorHAnsi"/>
          <w:sz w:val="24"/>
          <w:szCs w:val="24"/>
          <w:vertAlign w:val="subscript"/>
          <w:lang w:val="en-US"/>
        </w:rPr>
        <w:t>H</w:t>
      </w:r>
      <w:r w:rsidRPr="00085FA2">
        <w:rPr>
          <w:rFonts w:cstheme="minorHAnsi"/>
          <w:sz w:val="24"/>
          <w:szCs w:val="24"/>
          <w:lang w:val="en-US"/>
        </w:rPr>
        <w:t>1 cells are classically associated with facilitating antiviral immunity. These cells produce interferon-</w:t>
      </w:r>
      <w:r w:rsidRPr="00085FA2">
        <w:rPr>
          <w:rFonts w:cstheme="minorHAnsi"/>
          <w:sz w:val="24"/>
          <w:szCs w:val="24"/>
          <w:lang w:val="en-US"/>
        </w:rPr>
        <w:sym w:font="Symbol" w:char="F067"/>
      </w:r>
      <w:r w:rsidRPr="00085FA2">
        <w:rPr>
          <w:rFonts w:cstheme="minorHAnsi"/>
          <w:sz w:val="24"/>
          <w:szCs w:val="24"/>
          <w:lang w:val="en-US"/>
        </w:rPr>
        <w:t xml:space="preserve"> (IFN</w:t>
      </w:r>
      <w:r w:rsidRPr="00085FA2">
        <w:rPr>
          <w:rFonts w:cstheme="minorHAnsi"/>
          <w:sz w:val="24"/>
          <w:szCs w:val="24"/>
          <w:lang w:val="en-US"/>
        </w:rPr>
        <w:sym w:font="Symbol" w:char="F067"/>
      </w:r>
      <w:r w:rsidRPr="00085FA2">
        <w:rPr>
          <w:rFonts w:cstheme="minorHAnsi"/>
          <w:sz w:val="24"/>
          <w:szCs w:val="24"/>
          <w:lang w:val="en-US"/>
        </w:rPr>
        <w:t>) and other cytokines that can act on infected cells to enhance a cell-intrinsic antiviral state, as well as act in a local tissue environment to enhance the antiviral state of the tissue and recruit other effector cells to that site of infection. T</w:t>
      </w:r>
      <w:r w:rsidRPr="00085FA2">
        <w:rPr>
          <w:rFonts w:cstheme="minorHAnsi"/>
          <w:sz w:val="24"/>
          <w:szCs w:val="24"/>
          <w:vertAlign w:val="subscript"/>
          <w:lang w:val="en-US"/>
        </w:rPr>
        <w:t>H</w:t>
      </w:r>
      <w:r w:rsidRPr="00085FA2">
        <w:rPr>
          <w:rFonts w:cstheme="minorHAnsi"/>
          <w:sz w:val="24"/>
          <w:szCs w:val="24"/>
          <w:lang w:val="en-US"/>
        </w:rPr>
        <w:t>1 cells have been associated with protective immunity against influenza in human challenge studies.</w:t>
      </w:r>
      <w:r w:rsidR="00362D77" w:rsidRPr="00362D77">
        <w:rPr>
          <w:rFonts w:cstheme="minorHAnsi"/>
          <w:sz w:val="24"/>
          <w:szCs w:val="24"/>
          <w:vertAlign w:val="superscript"/>
          <w:lang w:val="en-US"/>
        </w:rPr>
        <w:t>110</w:t>
      </w:r>
      <w:r w:rsidRPr="00085FA2">
        <w:rPr>
          <w:rFonts w:cstheme="minorHAnsi"/>
          <w:sz w:val="24"/>
          <w:szCs w:val="24"/>
          <w:lang w:val="en-US"/>
        </w:rPr>
        <w:t xml:space="preserve"> T</w:t>
      </w:r>
      <w:r w:rsidRPr="00085FA2">
        <w:rPr>
          <w:rFonts w:cstheme="minorHAnsi"/>
          <w:sz w:val="24"/>
          <w:szCs w:val="24"/>
          <w:vertAlign w:val="subscript"/>
          <w:lang w:val="en-US"/>
        </w:rPr>
        <w:t>H</w:t>
      </w:r>
      <w:r w:rsidRPr="00085FA2">
        <w:rPr>
          <w:rFonts w:cstheme="minorHAnsi"/>
          <w:sz w:val="24"/>
          <w:szCs w:val="24"/>
          <w:lang w:val="en-US"/>
        </w:rPr>
        <w:t>1 cells have also been associated with protective immunity against SARS-</w:t>
      </w:r>
      <w:proofErr w:type="spellStart"/>
      <w:r w:rsidRPr="00085FA2">
        <w:rPr>
          <w:rFonts w:cstheme="minorHAnsi"/>
          <w:sz w:val="24"/>
          <w:szCs w:val="24"/>
          <w:lang w:val="en-US"/>
        </w:rPr>
        <w:t>CoV</w:t>
      </w:r>
      <w:proofErr w:type="spellEnd"/>
      <w:r w:rsidRPr="00085FA2">
        <w:rPr>
          <w:rFonts w:cstheme="minorHAnsi"/>
          <w:sz w:val="24"/>
          <w:szCs w:val="24"/>
          <w:lang w:val="en-US"/>
        </w:rPr>
        <w:t xml:space="preserve"> in a mouse model.</w:t>
      </w:r>
      <w:r w:rsidR="00362D77" w:rsidRPr="00362D77">
        <w:rPr>
          <w:rFonts w:cstheme="minorHAnsi"/>
          <w:sz w:val="24"/>
          <w:szCs w:val="24"/>
          <w:vertAlign w:val="superscript"/>
          <w:lang w:val="en-US"/>
        </w:rPr>
        <w:t>111</w:t>
      </w:r>
      <w:r w:rsidRPr="00362D77">
        <w:rPr>
          <w:rFonts w:cstheme="minorHAnsi"/>
          <w:sz w:val="24"/>
          <w:szCs w:val="24"/>
          <w:vertAlign w:val="superscript"/>
          <w:lang w:val="en-US"/>
        </w:rPr>
        <w:t xml:space="preserve"> </w:t>
      </w:r>
      <w:r w:rsidRPr="00085FA2">
        <w:rPr>
          <w:rFonts w:cstheme="minorHAnsi"/>
          <w:sz w:val="24"/>
          <w:szCs w:val="24"/>
          <w:lang w:val="en-US"/>
        </w:rPr>
        <w:t>CD4-CTL cells are CD4 T cells related to T</w:t>
      </w:r>
      <w:r w:rsidRPr="00085FA2">
        <w:rPr>
          <w:rFonts w:cstheme="minorHAnsi"/>
          <w:sz w:val="24"/>
          <w:szCs w:val="24"/>
          <w:vertAlign w:val="subscript"/>
          <w:lang w:val="en-US"/>
        </w:rPr>
        <w:t>H</w:t>
      </w:r>
      <w:r w:rsidRPr="00085FA2">
        <w:rPr>
          <w:rFonts w:cstheme="minorHAnsi"/>
          <w:sz w:val="24"/>
          <w:szCs w:val="24"/>
          <w:lang w:val="en-US"/>
        </w:rPr>
        <w:t>1 cells, with cytotoxic activity similar to that of CD8 T cells. CD4-CTL cells express granzymes. CD4-CTL have been observed in multiple viral infections, including CMV, yellow fever virus, and Dengue virus.</w:t>
      </w:r>
      <w:r w:rsidR="00362D77" w:rsidRPr="00362D77">
        <w:rPr>
          <w:rFonts w:cstheme="minorHAnsi"/>
          <w:sz w:val="24"/>
          <w:szCs w:val="24"/>
          <w:vertAlign w:val="superscript"/>
          <w:lang w:val="en-US"/>
        </w:rPr>
        <w:t>112-116</w:t>
      </w:r>
      <w:r w:rsidRPr="00085FA2">
        <w:rPr>
          <w:rFonts w:cstheme="minorHAnsi"/>
          <w:sz w:val="24"/>
          <w:szCs w:val="24"/>
          <w:lang w:val="en-US"/>
        </w:rPr>
        <w:t xml:space="preserve"> CD4-CTL cells have been specifically associated with protection in human Dengue,</w:t>
      </w:r>
      <w:r w:rsidR="00362D77" w:rsidRPr="00362D77">
        <w:rPr>
          <w:rFonts w:cstheme="minorHAnsi"/>
          <w:sz w:val="24"/>
          <w:szCs w:val="24"/>
          <w:vertAlign w:val="superscript"/>
          <w:lang w:val="en-US"/>
        </w:rPr>
        <w:t>112</w:t>
      </w:r>
      <w:r w:rsidRPr="00085FA2">
        <w:rPr>
          <w:rFonts w:cstheme="minorHAnsi"/>
          <w:sz w:val="24"/>
          <w:szCs w:val="24"/>
          <w:lang w:val="en-US"/>
        </w:rPr>
        <w:t xml:space="preserve"> and possibly influenza.</w:t>
      </w:r>
      <w:r w:rsidR="00362D77" w:rsidRPr="00362D77">
        <w:rPr>
          <w:rFonts w:cstheme="minorHAnsi"/>
          <w:sz w:val="24"/>
          <w:szCs w:val="24"/>
          <w:vertAlign w:val="superscript"/>
          <w:lang w:val="en-US"/>
        </w:rPr>
        <w:t>110</w:t>
      </w:r>
      <w:r w:rsidRPr="00085FA2">
        <w:rPr>
          <w:rFonts w:cstheme="minorHAnsi"/>
          <w:sz w:val="24"/>
          <w:szCs w:val="24"/>
          <w:lang w:val="en-US"/>
        </w:rPr>
        <w:t xml:space="preserve"> </w:t>
      </w:r>
    </w:p>
    <w:p w14:paraId="154A3FA9" w14:textId="21D73C16"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Location of T cells is also an important attribute of their biology. Unlike antibodies which can function at a distance from the B cells that produce them, T cells must directly contact an infected cell (or antigen-presenting cell) to exert their antiviral functions. Thus, tissue resident memory T cells (a.k.a. T</w:t>
      </w:r>
      <w:r w:rsidRPr="00085FA2">
        <w:rPr>
          <w:rFonts w:cstheme="minorHAnsi"/>
          <w:sz w:val="24"/>
          <w:szCs w:val="24"/>
          <w:vertAlign w:val="subscript"/>
          <w:lang w:val="en-US"/>
        </w:rPr>
        <w:t>RM</w:t>
      </w:r>
      <w:r w:rsidRPr="00085FA2">
        <w:rPr>
          <w:rFonts w:cstheme="minorHAnsi"/>
          <w:sz w:val="24"/>
          <w:szCs w:val="24"/>
          <w:lang w:val="en-US"/>
        </w:rPr>
        <w:t>) are an important aspect of T cell biology.</w:t>
      </w:r>
      <w:r w:rsidR="00D0206D" w:rsidRPr="00D0206D">
        <w:rPr>
          <w:rFonts w:cstheme="minorHAnsi"/>
          <w:sz w:val="24"/>
          <w:szCs w:val="24"/>
          <w:vertAlign w:val="superscript"/>
          <w:lang w:val="en-US"/>
        </w:rPr>
        <w:t>117</w:t>
      </w:r>
      <w:r w:rsidRPr="00085FA2">
        <w:rPr>
          <w:rFonts w:cstheme="minorHAnsi"/>
          <w:sz w:val="24"/>
          <w:szCs w:val="24"/>
          <w:lang w:val="en-US"/>
        </w:rPr>
        <w:t xml:space="preserve"> </w:t>
      </w:r>
    </w:p>
    <w:p w14:paraId="24830F44" w14:textId="77777777"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T cell protection in SARS-CoV-2 infection</w:t>
      </w:r>
    </w:p>
    <w:p w14:paraId="52ED6171" w14:textId="6705B6F1"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Available mechanisms of immunity relate to the kinetics of clinical illness. The longer the time window before clinical disease onset, the more possibilities there are for different </w:t>
      </w:r>
      <w:r w:rsidRPr="00085FA2">
        <w:rPr>
          <w:rFonts w:cstheme="minorHAnsi"/>
          <w:sz w:val="24"/>
          <w:szCs w:val="24"/>
          <w:lang w:val="en-US"/>
        </w:rPr>
        <w:lastRenderedPageBreak/>
        <w:t>components of adaptive immunity to contribute to protective immunity against an acute infection</w:t>
      </w:r>
      <w:r w:rsidR="00D0206D">
        <w:rPr>
          <w:rFonts w:cstheme="minorHAnsi"/>
          <w:sz w:val="24"/>
          <w:szCs w:val="24"/>
          <w:lang w:val="en-US"/>
        </w:rPr>
        <w:t>.</w:t>
      </w:r>
      <w:r w:rsidR="00D0206D" w:rsidRPr="00D0206D">
        <w:rPr>
          <w:rFonts w:cstheme="minorHAnsi"/>
          <w:sz w:val="24"/>
          <w:szCs w:val="24"/>
          <w:vertAlign w:val="superscript"/>
          <w:lang w:val="en-US"/>
        </w:rPr>
        <w:t>104,</w:t>
      </w:r>
      <w:r w:rsidR="006F64B2">
        <w:rPr>
          <w:rFonts w:cstheme="minorHAnsi"/>
          <w:sz w:val="24"/>
          <w:szCs w:val="24"/>
          <w:vertAlign w:val="superscript"/>
          <w:lang w:val="en-US"/>
        </w:rPr>
        <w:t>118</w:t>
      </w:r>
      <w:r w:rsidRPr="00085FA2">
        <w:rPr>
          <w:rFonts w:cstheme="minorHAnsi"/>
          <w:sz w:val="24"/>
          <w:szCs w:val="24"/>
          <w:lang w:val="en-US"/>
        </w:rPr>
        <w:t>. A disease that evolves slowly increases the likelihood that memory T cells could contribute to protective immunity. Importantly, COVID-19 in humans is a relatively slow disease, with symptoms most often first reported 5 days after infection, hospitalization-level disease often occurring 5 days later (~10 days post-infection), and an average hospital stay lasting 5 days.</w:t>
      </w:r>
      <w:r w:rsidR="005D2EBA" w:rsidRPr="005D2EBA">
        <w:rPr>
          <w:rFonts w:cstheme="minorHAnsi"/>
          <w:sz w:val="24"/>
          <w:szCs w:val="24"/>
          <w:vertAlign w:val="superscript"/>
          <w:lang w:val="en-US"/>
        </w:rPr>
        <w:t>119,120</w:t>
      </w:r>
      <w:r w:rsidRPr="00085FA2">
        <w:rPr>
          <w:rFonts w:cstheme="minorHAnsi"/>
          <w:sz w:val="24"/>
          <w:szCs w:val="24"/>
          <w:lang w:val="en-US"/>
        </w:rPr>
        <w:t xml:space="preserve"> As a result, there is a large window of time for multiple branches of the immune system to control the infection before it progresses to hospitalization-level of COVID-19 illness.</w:t>
      </w:r>
      <w:r w:rsidR="005D2EBA" w:rsidRPr="005D2EBA">
        <w:rPr>
          <w:rFonts w:cstheme="minorHAnsi"/>
          <w:sz w:val="24"/>
          <w:szCs w:val="24"/>
          <w:vertAlign w:val="superscript"/>
          <w:lang w:val="en-US"/>
        </w:rPr>
        <w:t>104</w:t>
      </w:r>
    </w:p>
    <w:p w14:paraId="77C01FA9" w14:textId="737E4F4B"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It is intrinsically challenging to demonstrate roles for T cells in protection in humans. The simple passive transfer burden-of-proof for antibodies is not available for T cells in humans. Additionally, antigen-specific T cells are more expensive and more technically challenging to measure than antibody responses. As noted above, </w:t>
      </w:r>
      <w:proofErr w:type="spellStart"/>
      <w:r w:rsidRPr="00085FA2">
        <w:rPr>
          <w:rFonts w:cstheme="minorHAnsi"/>
          <w:sz w:val="24"/>
          <w:szCs w:val="24"/>
          <w:lang w:val="en-US"/>
        </w:rPr>
        <w:t>mAb</w:t>
      </w:r>
      <w:proofErr w:type="spellEnd"/>
      <w:r w:rsidRPr="00085FA2">
        <w:rPr>
          <w:rFonts w:cstheme="minorHAnsi"/>
          <w:sz w:val="24"/>
          <w:szCs w:val="24"/>
          <w:lang w:val="en-US"/>
        </w:rPr>
        <w:t xml:space="preserve"> therapy studies during SARS-CoV-2 infections provide substantial indirect evidence of protective roles of T cells. Even with non-physiologically high levels of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in such patients, viral loads were reduced by only 4-fold, while subjects making their own immune response had 1,000-fold greater reductions in viral loads in the same period of time.</w:t>
      </w:r>
      <w:r w:rsidR="005D2EBA" w:rsidRPr="005D2EBA">
        <w:rPr>
          <w:rFonts w:cstheme="minorHAnsi"/>
          <w:sz w:val="24"/>
          <w:szCs w:val="24"/>
          <w:vertAlign w:val="superscript"/>
          <w:lang w:val="en-US"/>
        </w:rPr>
        <w:t>103</w:t>
      </w:r>
      <w:r w:rsidRPr="00085FA2">
        <w:rPr>
          <w:rFonts w:cstheme="minorHAnsi"/>
          <w:sz w:val="24"/>
          <w:szCs w:val="24"/>
          <w:lang w:val="en-US"/>
        </w:rPr>
        <w:t xml:space="preserve"> However, none of those clinical trials directly measured T cells. </w:t>
      </w:r>
    </w:p>
    <w:p w14:paraId="208BA104" w14:textId="0E6AF18D" w:rsidR="0046611F" w:rsidRPr="00085FA2" w:rsidRDefault="0046611F" w:rsidP="00616AD1">
      <w:pPr>
        <w:snapToGrid w:val="0"/>
        <w:spacing w:before="100" w:beforeAutospacing="1" w:after="100" w:afterAutospacing="1" w:line="480" w:lineRule="auto"/>
        <w:contextualSpacing/>
        <w:rPr>
          <w:rFonts w:cstheme="minorHAnsi"/>
          <w:b/>
          <w:sz w:val="24"/>
          <w:szCs w:val="24"/>
          <w:lang w:val="en-US"/>
        </w:rPr>
      </w:pPr>
      <w:r w:rsidRPr="00085FA2">
        <w:rPr>
          <w:rFonts w:cstheme="minorHAnsi"/>
          <w:sz w:val="24"/>
          <w:szCs w:val="24"/>
          <w:lang w:val="en-US"/>
        </w:rPr>
        <w:tab/>
        <w:t>In response to SARS-CoV-2 infection, humans make CD4 T cell responses in nearly 100% of cases, recognizing spike as well as many other SARS-CoV-2 proteins.</w:t>
      </w:r>
      <w:r w:rsidR="005D2EBA" w:rsidRPr="005D2EBA">
        <w:rPr>
          <w:rFonts w:cstheme="minorHAnsi"/>
          <w:sz w:val="24"/>
          <w:szCs w:val="24"/>
          <w:vertAlign w:val="superscript"/>
          <w:lang w:val="en-US"/>
        </w:rPr>
        <w:t>47,121,122</w:t>
      </w:r>
      <w:r w:rsidRPr="00085FA2">
        <w:rPr>
          <w:rFonts w:cstheme="minorHAnsi"/>
          <w:sz w:val="24"/>
          <w:szCs w:val="24"/>
          <w:lang w:val="en-US"/>
        </w:rPr>
        <w:t xml:space="preserve"> The SARS-CoV-2 CD4 T cell response is composed of T</w:t>
      </w:r>
      <w:r w:rsidRPr="00085FA2">
        <w:rPr>
          <w:rFonts w:cstheme="minorHAnsi"/>
          <w:sz w:val="24"/>
          <w:szCs w:val="24"/>
          <w:vertAlign w:val="subscript"/>
          <w:lang w:val="en-US"/>
        </w:rPr>
        <w:t>H</w:t>
      </w:r>
      <w:r w:rsidRPr="00085FA2">
        <w:rPr>
          <w:rFonts w:cstheme="minorHAnsi"/>
          <w:sz w:val="24"/>
          <w:szCs w:val="24"/>
          <w:lang w:val="en-US"/>
        </w:rPr>
        <w:t>1 cells, T</w:t>
      </w:r>
      <w:r w:rsidRPr="00085FA2">
        <w:rPr>
          <w:rFonts w:cstheme="minorHAnsi"/>
          <w:sz w:val="24"/>
          <w:szCs w:val="24"/>
          <w:vertAlign w:val="subscript"/>
          <w:lang w:val="en-US"/>
        </w:rPr>
        <w:t>FH</w:t>
      </w:r>
      <w:r w:rsidRPr="00085FA2">
        <w:rPr>
          <w:rFonts w:cstheme="minorHAnsi"/>
          <w:sz w:val="24"/>
          <w:szCs w:val="24"/>
          <w:lang w:val="en-US"/>
        </w:rPr>
        <w:t xml:space="preserve"> cells, and CD4-CTL cells.</w:t>
      </w:r>
      <w:r w:rsidR="00182356" w:rsidRPr="00182356">
        <w:rPr>
          <w:rFonts w:cstheme="minorHAnsi"/>
          <w:sz w:val="24"/>
          <w:szCs w:val="24"/>
          <w:vertAlign w:val="superscript"/>
          <w:lang w:val="en-US"/>
        </w:rPr>
        <w:t>121,123,124</w:t>
      </w:r>
      <w:r w:rsidRPr="00085FA2">
        <w:rPr>
          <w:rFonts w:cstheme="minorHAnsi"/>
          <w:sz w:val="24"/>
          <w:szCs w:val="24"/>
          <w:lang w:val="en-US"/>
        </w:rPr>
        <w:t xml:space="preserve"> Memory T</w:t>
      </w:r>
      <w:r w:rsidRPr="00085FA2">
        <w:rPr>
          <w:rFonts w:cstheme="minorHAnsi"/>
          <w:sz w:val="24"/>
          <w:szCs w:val="24"/>
          <w:vertAlign w:val="subscript"/>
          <w:lang w:val="en-US"/>
        </w:rPr>
        <w:t>H</w:t>
      </w:r>
      <w:r w:rsidRPr="00085FA2">
        <w:rPr>
          <w:rFonts w:cstheme="minorHAnsi"/>
          <w:sz w:val="24"/>
          <w:szCs w:val="24"/>
          <w:lang w:val="en-US"/>
        </w:rPr>
        <w:t>1 and T</w:t>
      </w:r>
      <w:r w:rsidRPr="00085FA2">
        <w:rPr>
          <w:rFonts w:cstheme="minorHAnsi"/>
          <w:sz w:val="24"/>
          <w:szCs w:val="24"/>
          <w:vertAlign w:val="subscript"/>
          <w:lang w:val="en-US"/>
        </w:rPr>
        <w:t>FH</w:t>
      </w:r>
      <w:r w:rsidRPr="00085FA2">
        <w:rPr>
          <w:rFonts w:cstheme="minorHAnsi"/>
          <w:sz w:val="24"/>
          <w:szCs w:val="24"/>
          <w:lang w:val="en-US"/>
        </w:rPr>
        <w:t xml:space="preserve"> cells develop in the vast majority of infected individuals.</w:t>
      </w:r>
      <w:r w:rsidR="00182356" w:rsidRPr="00182356">
        <w:rPr>
          <w:rFonts w:cstheme="minorHAnsi"/>
          <w:sz w:val="24"/>
          <w:szCs w:val="24"/>
          <w:vertAlign w:val="superscript"/>
          <w:lang w:val="en-US"/>
        </w:rPr>
        <w:t>47</w:t>
      </w:r>
      <w:r w:rsidRPr="00085FA2">
        <w:rPr>
          <w:rFonts w:cstheme="minorHAnsi"/>
          <w:sz w:val="24"/>
          <w:szCs w:val="24"/>
          <w:lang w:val="en-US"/>
        </w:rPr>
        <w:t xml:space="preserve"> CD8 T cell responses are detectable in ~70% of individuals,</w:t>
      </w:r>
      <w:r w:rsidR="00182356" w:rsidRPr="00182356">
        <w:rPr>
          <w:rFonts w:cstheme="minorHAnsi"/>
          <w:sz w:val="24"/>
          <w:szCs w:val="24"/>
          <w:vertAlign w:val="superscript"/>
          <w:lang w:val="en-US"/>
        </w:rPr>
        <w:t>121,125</w:t>
      </w:r>
      <w:r w:rsidRPr="00085FA2">
        <w:rPr>
          <w:rFonts w:cstheme="minorHAnsi"/>
          <w:sz w:val="24"/>
          <w:szCs w:val="24"/>
          <w:lang w:val="en-US"/>
        </w:rPr>
        <w:t xml:space="preserve"> recognizing multiple SARS-CoV-2 proteins,</w:t>
      </w:r>
      <w:r w:rsidR="00182356" w:rsidRPr="00182356">
        <w:rPr>
          <w:rFonts w:cstheme="minorHAnsi"/>
          <w:sz w:val="24"/>
          <w:szCs w:val="24"/>
          <w:vertAlign w:val="superscript"/>
          <w:lang w:val="en-US"/>
        </w:rPr>
        <w:t>121,122</w:t>
      </w:r>
      <w:r w:rsidRPr="00085FA2">
        <w:rPr>
          <w:rFonts w:cstheme="minorHAnsi"/>
          <w:sz w:val="24"/>
          <w:szCs w:val="24"/>
          <w:lang w:val="en-US"/>
        </w:rPr>
        <w:t xml:space="preserve"> and </w:t>
      </w:r>
      <w:r w:rsidRPr="00085FA2">
        <w:rPr>
          <w:rFonts w:cstheme="minorHAnsi"/>
          <w:sz w:val="24"/>
          <w:szCs w:val="24"/>
          <w:lang w:val="en-US"/>
        </w:rPr>
        <w:lastRenderedPageBreak/>
        <w:t>CD8 T cell memory is detectable in the majority of individuals.</w:t>
      </w:r>
      <w:r w:rsidR="001E625B" w:rsidRPr="001E625B">
        <w:rPr>
          <w:rFonts w:cstheme="minorHAnsi"/>
          <w:sz w:val="24"/>
          <w:szCs w:val="24"/>
          <w:vertAlign w:val="superscript"/>
          <w:lang w:val="en-US"/>
        </w:rPr>
        <w:t>47,126</w:t>
      </w:r>
      <w:r w:rsidRPr="00085FA2">
        <w:rPr>
          <w:rFonts w:cstheme="minorHAnsi"/>
          <w:sz w:val="24"/>
          <w:szCs w:val="24"/>
          <w:lang w:val="en-US"/>
        </w:rPr>
        <w:t xml:space="preserve"> In sum, CD4 and CD8 T cell responses do develop in the majority of human SARS-CoV-2 infections. </w:t>
      </w:r>
    </w:p>
    <w:p w14:paraId="27ACCB6E" w14:textId="62B89DB3"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One study aimed to address the relationship between T cells and control of SARS-CoV-2 infection by longitudinally tracking T cell responses and viral loads after symptom onset</w:t>
      </w:r>
      <w:r w:rsidR="002251A5">
        <w:rPr>
          <w:rFonts w:cstheme="minorHAnsi"/>
          <w:sz w:val="24"/>
          <w:szCs w:val="24"/>
          <w:lang w:val="en-US"/>
        </w:rPr>
        <w:t>.</w:t>
      </w:r>
      <w:r w:rsidR="002251A5" w:rsidRPr="002251A5">
        <w:rPr>
          <w:rFonts w:cstheme="minorHAnsi"/>
          <w:sz w:val="24"/>
          <w:szCs w:val="24"/>
          <w:vertAlign w:val="superscript"/>
          <w:lang w:val="en-US"/>
        </w:rPr>
        <w:t>127</w:t>
      </w:r>
      <w:r w:rsidRPr="002251A5">
        <w:rPr>
          <w:rFonts w:cstheme="minorHAnsi"/>
          <w:sz w:val="24"/>
          <w:szCs w:val="24"/>
          <w:vertAlign w:val="superscript"/>
          <w:lang w:val="en-US"/>
        </w:rPr>
        <w:t xml:space="preserve"> </w:t>
      </w:r>
      <w:r w:rsidRPr="00085FA2">
        <w:rPr>
          <w:rFonts w:cstheme="minorHAnsi"/>
          <w:sz w:val="24"/>
          <w:szCs w:val="24"/>
          <w:lang w:val="en-US"/>
        </w:rPr>
        <w:t>In that study, the presence of strong early T cell responses was correlated with mild disease and rapid viral clearance.</w:t>
      </w:r>
      <w:r w:rsidR="002251A5" w:rsidRPr="002251A5">
        <w:rPr>
          <w:rFonts w:cstheme="minorHAnsi"/>
          <w:sz w:val="24"/>
          <w:szCs w:val="24"/>
          <w:vertAlign w:val="superscript"/>
          <w:lang w:val="en-US"/>
        </w:rPr>
        <w:t>127</w:t>
      </w:r>
      <w:r w:rsidRPr="00085FA2">
        <w:rPr>
          <w:rFonts w:cstheme="minorHAnsi"/>
          <w:sz w:val="24"/>
          <w:szCs w:val="24"/>
          <w:lang w:val="en-US"/>
        </w:rPr>
        <w:t xml:space="preserve"> Antibodies did not exhibit the same pattern. Individuals with very few virus-specific T cells early on were associated with sustained high viral loads and the subsequent development of severe COV</w:t>
      </w:r>
      <w:r w:rsidR="002251A5">
        <w:rPr>
          <w:rFonts w:cstheme="minorHAnsi"/>
          <w:sz w:val="24"/>
          <w:szCs w:val="24"/>
          <w:lang w:val="en-US"/>
        </w:rPr>
        <w:t>I</w:t>
      </w:r>
      <w:r w:rsidRPr="00085FA2">
        <w:rPr>
          <w:rFonts w:cstheme="minorHAnsi"/>
          <w:sz w:val="24"/>
          <w:szCs w:val="24"/>
          <w:lang w:val="en-US"/>
        </w:rPr>
        <w:t>D-19.</w:t>
      </w:r>
      <w:r w:rsidR="002251A5" w:rsidRPr="002251A5">
        <w:rPr>
          <w:rFonts w:cstheme="minorHAnsi"/>
          <w:sz w:val="24"/>
          <w:szCs w:val="24"/>
          <w:vertAlign w:val="superscript"/>
          <w:lang w:val="en-US"/>
        </w:rPr>
        <w:t>127</w:t>
      </w:r>
      <w:r w:rsidRPr="00085FA2">
        <w:rPr>
          <w:rFonts w:cstheme="minorHAnsi"/>
          <w:sz w:val="24"/>
          <w:szCs w:val="24"/>
          <w:lang w:val="en-US"/>
        </w:rPr>
        <w:t xml:space="preserve"> While those are the clearest data available indicating viral control by T cells, the study did have limitations. A relatively small number of individuals were enrolled, and the study did not distinguish between CD4 T cells and CD8 T cells. </w:t>
      </w:r>
    </w:p>
    <w:p w14:paraId="2B04FE8C" w14:textId="5D112560"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r>
      <w:proofErr w:type="spellStart"/>
      <w:r w:rsidRPr="00085FA2">
        <w:rPr>
          <w:rFonts w:cstheme="minorHAnsi"/>
          <w:sz w:val="24"/>
          <w:szCs w:val="24"/>
          <w:lang w:val="en-US"/>
        </w:rPr>
        <w:t>Moderbacher</w:t>
      </w:r>
      <w:proofErr w:type="spellEnd"/>
      <w:r w:rsidRPr="00085FA2">
        <w:rPr>
          <w:rFonts w:cstheme="minorHAnsi"/>
          <w:sz w:val="24"/>
          <w:szCs w:val="24"/>
          <w:lang w:val="en-US"/>
        </w:rPr>
        <w:t xml:space="preserve"> et al. measured SARS-CoV-2-specific CD8 T cells, CD4 T cells and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in 52 individuals followed longitudinally for disease severity.</w:t>
      </w:r>
      <w:r w:rsidR="002251A5" w:rsidRPr="002251A5">
        <w:rPr>
          <w:rFonts w:cstheme="minorHAnsi"/>
          <w:sz w:val="24"/>
          <w:szCs w:val="24"/>
          <w:vertAlign w:val="superscript"/>
          <w:lang w:val="en-US"/>
        </w:rPr>
        <w:t>125</w:t>
      </w:r>
      <w:r w:rsidRPr="00085FA2">
        <w:rPr>
          <w:rFonts w:cstheme="minorHAnsi"/>
          <w:sz w:val="24"/>
          <w:szCs w:val="24"/>
          <w:lang w:val="en-US"/>
        </w:rPr>
        <w:t xml:space="preserve"> The study observed positive statistical associations between the presence of SARS-CoV-2-specific CD4 T cells or CD8 T cells and reduced disease severity, while no association was seen between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and reduction of COVID-19 severity.</w:t>
      </w:r>
      <w:r w:rsidR="002251A5" w:rsidRPr="002251A5">
        <w:rPr>
          <w:rFonts w:cstheme="minorHAnsi"/>
          <w:sz w:val="24"/>
          <w:szCs w:val="24"/>
          <w:vertAlign w:val="superscript"/>
          <w:lang w:val="en-US"/>
        </w:rPr>
        <w:t>125</w:t>
      </w:r>
      <w:r w:rsidRPr="00085FA2">
        <w:rPr>
          <w:rFonts w:cstheme="minorHAnsi"/>
          <w:sz w:val="24"/>
          <w:szCs w:val="24"/>
          <w:lang w:val="en-US"/>
        </w:rPr>
        <w:t xml:space="preserve"> Furthermore, age was correlated with low frequencies of naive T cells and weak SARS-CoV-2-specific CD4 and CD8 T cell responses,</w:t>
      </w:r>
      <w:r w:rsidR="001400B8" w:rsidRPr="001400B8">
        <w:rPr>
          <w:rFonts w:cstheme="minorHAnsi"/>
          <w:sz w:val="24"/>
          <w:szCs w:val="24"/>
          <w:vertAlign w:val="superscript"/>
          <w:lang w:val="en-US"/>
        </w:rPr>
        <w:t>125</w:t>
      </w:r>
      <w:r w:rsidRPr="00085FA2">
        <w:rPr>
          <w:rFonts w:cstheme="minorHAnsi"/>
          <w:sz w:val="24"/>
          <w:szCs w:val="24"/>
          <w:lang w:val="en-US"/>
        </w:rPr>
        <w:t xml:space="preserve"> providing a potential causal link between age and COVID-19 severity. The data suggest that one reason age is such a major risk factor for COVID-19 is that older individuals often have significantly smaller naive T cell repertoires, and thus have more difficulty making T cell responses to new viral infections. Limitations of this study were that it did not measure viral loads, or longitudinally track T cell responses in all individuals, and the cohort was somewhat limited in size. Three independent </w:t>
      </w:r>
      <w:r w:rsidRPr="00085FA2">
        <w:rPr>
          <w:rFonts w:cstheme="minorHAnsi"/>
          <w:sz w:val="24"/>
          <w:szCs w:val="24"/>
          <w:lang w:val="en-US"/>
        </w:rPr>
        <w:lastRenderedPageBreak/>
        <w:t>studies also found reduced SARS-CoV-2-specific CD8 T cell responses in hospitalized patients by intracellular cytokine staining.</w:t>
      </w:r>
      <w:r w:rsidR="001400B8" w:rsidRPr="00FB2E6A">
        <w:rPr>
          <w:rFonts w:cstheme="minorHAnsi"/>
          <w:sz w:val="24"/>
          <w:szCs w:val="24"/>
          <w:vertAlign w:val="superscript"/>
          <w:lang w:val="en-US"/>
        </w:rPr>
        <w:t>128-130</w:t>
      </w:r>
      <w:r w:rsidRPr="00085FA2">
        <w:rPr>
          <w:rFonts w:cstheme="minorHAnsi"/>
          <w:sz w:val="24"/>
          <w:szCs w:val="24"/>
          <w:lang w:val="en-US"/>
        </w:rPr>
        <w:t xml:space="preserve"> Lastly, a study assessing nucleoprotein-specific CD8 T cells found significant associations between stronger CD8 T cell responses and mild disease.</w:t>
      </w:r>
      <w:r w:rsidR="00FB2E6A" w:rsidRPr="00FB2E6A">
        <w:rPr>
          <w:rFonts w:cstheme="minorHAnsi"/>
          <w:sz w:val="24"/>
          <w:szCs w:val="24"/>
          <w:vertAlign w:val="superscript"/>
          <w:lang w:val="en-US"/>
        </w:rPr>
        <w:t>131</w:t>
      </w:r>
      <w:r w:rsidR="00FB2E6A">
        <w:rPr>
          <w:rFonts w:cstheme="minorHAnsi"/>
          <w:sz w:val="24"/>
          <w:szCs w:val="24"/>
          <w:vertAlign w:val="superscript"/>
          <w:lang w:val="en-US"/>
        </w:rPr>
        <w:t xml:space="preserve"> </w:t>
      </w:r>
      <w:r w:rsidRPr="00085FA2">
        <w:rPr>
          <w:rFonts w:cstheme="minorHAnsi"/>
          <w:sz w:val="24"/>
          <w:szCs w:val="24"/>
          <w:lang w:val="en-US"/>
        </w:rPr>
        <w:t>In contrast, a study of only hospitalized patients did not find an association, which may be due to the lack of a non-hospitalized COVID-19 comparator group.</w:t>
      </w:r>
      <w:r w:rsidR="00FB2E6A" w:rsidRPr="00FB2E6A">
        <w:rPr>
          <w:rFonts w:cstheme="minorHAnsi"/>
          <w:sz w:val="24"/>
          <w:szCs w:val="24"/>
          <w:vertAlign w:val="superscript"/>
          <w:lang w:val="en-US"/>
        </w:rPr>
        <w:t>132</w:t>
      </w:r>
      <w:r w:rsidRPr="00085FA2">
        <w:rPr>
          <w:rFonts w:cstheme="minorHAnsi"/>
          <w:sz w:val="24"/>
          <w:szCs w:val="24"/>
          <w:lang w:val="en-US"/>
        </w:rPr>
        <w:t xml:space="preserve"> Higher levels of activated CD8 T cells in blood and poor disease outcomes were observed in a subset of individuals in a different study, but virus-specific CD8 T cells were not measured.</w:t>
      </w:r>
      <w:r w:rsidR="00FB2E6A" w:rsidRPr="00FB2E6A">
        <w:rPr>
          <w:rFonts w:cstheme="minorHAnsi"/>
          <w:sz w:val="24"/>
          <w:szCs w:val="24"/>
          <w:vertAlign w:val="superscript"/>
          <w:lang w:val="en-US"/>
        </w:rPr>
        <w:t>133</w:t>
      </w:r>
      <w:r w:rsidRPr="00FB2E6A">
        <w:rPr>
          <w:rFonts w:cstheme="minorHAnsi"/>
          <w:sz w:val="24"/>
          <w:szCs w:val="24"/>
          <w:vertAlign w:val="superscript"/>
          <w:lang w:val="en-US"/>
        </w:rPr>
        <w:t xml:space="preserve"> </w:t>
      </w:r>
      <w:r w:rsidRPr="00085FA2">
        <w:rPr>
          <w:rFonts w:cstheme="minorHAnsi"/>
          <w:sz w:val="24"/>
          <w:szCs w:val="24"/>
          <w:lang w:val="en-US"/>
        </w:rPr>
        <w:t>Overall, in 6 studies that measured SARS-CoV-2-specific CD4 T cells and CD8 T cells, early and/or larger T cell responses were associated with faster viral clearance and/or better clinical outcomes, indicating important roles for T cells in control and clearance of SARS-CoV-2.</w:t>
      </w:r>
    </w:p>
    <w:p w14:paraId="79A6148D" w14:textId="7E045261"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Autopsies of fatal COVID-19 cases and bronchoalveolar lavage (BAL) samples from hospitalized COVID-19 cases are valuable sources of information about immune responses to SARS-CoV-2 in lungs. Severe COVID-19 is associated with elevated neutrophil counts in blood, and most COVID-19 autopsy studies observed massive infiltrates of neutrophils and other myeloid cells with limited numbers of T cells present,</w:t>
      </w:r>
      <w:r w:rsidR="00FB2E6A" w:rsidRPr="00FB2E6A">
        <w:rPr>
          <w:rFonts w:cstheme="minorHAnsi"/>
          <w:sz w:val="24"/>
          <w:szCs w:val="24"/>
          <w:vertAlign w:val="superscript"/>
          <w:lang w:val="en-US"/>
        </w:rPr>
        <w:t>134-137</w:t>
      </w:r>
      <w:r w:rsidRPr="00085FA2">
        <w:rPr>
          <w:rFonts w:cstheme="minorHAnsi"/>
          <w:sz w:val="24"/>
          <w:szCs w:val="24"/>
          <w:lang w:val="en-US"/>
        </w:rPr>
        <w:t xml:space="preserve"> consistent with an association between reduced T cells and severe COVID-19. Studies of BAL samples also found that a paucity of T cells was associated with severe COVID-19.</w:t>
      </w:r>
      <w:r w:rsidR="00D654DD" w:rsidRPr="00D654DD">
        <w:rPr>
          <w:rFonts w:cstheme="minorHAnsi"/>
          <w:sz w:val="24"/>
          <w:szCs w:val="24"/>
          <w:vertAlign w:val="superscript"/>
          <w:lang w:val="en-US"/>
        </w:rPr>
        <w:t>138-140</w:t>
      </w:r>
      <w:r w:rsidRPr="00085FA2">
        <w:rPr>
          <w:rFonts w:cstheme="minorHAnsi"/>
          <w:sz w:val="24"/>
          <w:szCs w:val="24"/>
          <w:lang w:val="en-US"/>
        </w:rPr>
        <w:t xml:space="preserve"> One extensive single cell transcriptomics study of BAL samples observed that viral RNA in monocytes was associated with CD8 T cell activation</w:t>
      </w:r>
      <w:r w:rsidR="006820EB">
        <w:rPr>
          <w:rFonts w:cstheme="minorHAnsi"/>
          <w:sz w:val="24"/>
          <w:szCs w:val="24"/>
          <w:lang w:val="en-US"/>
        </w:rPr>
        <w:t>.</w:t>
      </w:r>
      <w:r w:rsidR="006820EB" w:rsidRPr="006820EB">
        <w:rPr>
          <w:rFonts w:cstheme="minorHAnsi"/>
          <w:sz w:val="24"/>
          <w:szCs w:val="24"/>
          <w:vertAlign w:val="superscript"/>
          <w:lang w:val="en-US"/>
        </w:rPr>
        <w:t>141</w:t>
      </w:r>
      <w:r w:rsidRPr="00085FA2">
        <w:rPr>
          <w:rFonts w:cstheme="minorHAnsi"/>
          <w:sz w:val="24"/>
          <w:szCs w:val="24"/>
          <w:lang w:val="en-US"/>
        </w:rPr>
        <w:t xml:space="preserve"> This was largely the expected outcome for an acute viral infection, wherein the presence of viral material should drive CD8 T cell responses to produce cytokines and kill virally infected cells in the lung. SARS-CoV-2-specific CD4 T cells may assist in controlling infected cells both by production of T</w:t>
      </w:r>
      <w:r w:rsidRPr="00085FA2">
        <w:rPr>
          <w:rFonts w:cstheme="minorHAnsi"/>
          <w:sz w:val="24"/>
          <w:szCs w:val="24"/>
          <w:vertAlign w:val="subscript"/>
          <w:lang w:val="en-US"/>
        </w:rPr>
        <w:t>H</w:t>
      </w:r>
      <w:r w:rsidRPr="00085FA2">
        <w:rPr>
          <w:rFonts w:cstheme="minorHAnsi"/>
          <w:sz w:val="24"/>
          <w:szCs w:val="24"/>
          <w:lang w:val="en-US"/>
        </w:rPr>
        <w:t xml:space="preserve">1 cytokines that inhibit viral replication and recruit additional effector </w:t>
      </w:r>
      <w:r w:rsidRPr="00085FA2">
        <w:rPr>
          <w:rFonts w:cstheme="minorHAnsi"/>
          <w:sz w:val="24"/>
          <w:szCs w:val="24"/>
          <w:lang w:val="en-US"/>
        </w:rPr>
        <w:lastRenderedPageBreak/>
        <w:t>cells, and by CD4-CTL that can direct kill virally infected cells. Class II expression is widely expressed on inflamed lung epithelial and endothelial cells,</w:t>
      </w:r>
      <w:r w:rsidR="006820EB" w:rsidRPr="006820EB">
        <w:rPr>
          <w:rFonts w:cstheme="minorHAnsi"/>
          <w:sz w:val="24"/>
          <w:szCs w:val="24"/>
          <w:vertAlign w:val="superscript"/>
          <w:lang w:val="en-US"/>
        </w:rPr>
        <w:t>124</w:t>
      </w:r>
      <w:r w:rsidRPr="006820EB">
        <w:rPr>
          <w:rFonts w:cstheme="minorHAnsi"/>
          <w:sz w:val="24"/>
          <w:szCs w:val="24"/>
          <w:vertAlign w:val="superscript"/>
          <w:lang w:val="en-US"/>
        </w:rPr>
        <w:t xml:space="preserve"> </w:t>
      </w:r>
      <w:r w:rsidRPr="00085FA2">
        <w:rPr>
          <w:rFonts w:cstheme="minorHAnsi"/>
          <w:sz w:val="24"/>
          <w:szCs w:val="24"/>
          <w:lang w:val="en-US"/>
        </w:rPr>
        <w:t>making the SARS-CoV-2 infected cell targets for CD4-CTL killing. Tissue resident memory CD4 T cells and CD8 T cells specific for SARS-CoV-2 have been found in the lungs of humans after non-hospitalization mild cases of COVID-19,</w:t>
      </w:r>
      <w:r w:rsidR="006820EB" w:rsidRPr="006820EB">
        <w:rPr>
          <w:rFonts w:cstheme="minorHAnsi"/>
          <w:sz w:val="24"/>
          <w:szCs w:val="24"/>
          <w:vertAlign w:val="superscript"/>
          <w:lang w:val="en-US"/>
        </w:rPr>
        <w:t>142</w:t>
      </w:r>
      <w:r w:rsidRPr="006820EB">
        <w:rPr>
          <w:rFonts w:cstheme="minorHAnsi"/>
          <w:sz w:val="24"/>
          <w:szCs w:val="24"/>
          <w:vertAlign w:val="superscript"/>
          <w:lang w:val="en-US"/>
        </w:rPr>
        <w:t xml:space="preserve"> </w:t>
      </w:r>
      <w:r w:rsidRPr="00085FA2">
        <w:rPr>
          <w:rFonts w:cstheme="minorHAnsi"/>
          <w:sz w:val="24"/>
          <w:szCs w:val="24"/>
          <w:lang w:val="en-US"/>
        </w:rPr>
        <w:t xml:space="preserve">indicating T cells do migrate to the lungs during successful resolution of SARS-CoV-2 infection. Overall, data from lungs and BAL have been consistent with important roles of T cells in control and clearance of SARS-CoV-2. </w:t>
      </w:r>
    </w:p>
    <w:p w14:paraId="736F614D" w14:textId="454E1808"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Separate lines of evidence regarding potential roles of T cells in prevention of severe COVID-19 come from epidemiological findings in particular patient populations, including agammaglobulinemic individuals and patients on B cell depleting therapies. Such individuals have been found to have only a moderate increase in risk of hospitalization-level COVID-19,</w:t>
      </w:r>
      <w:r w:rsidR="006820EB" w:rsidRPr="006820EB">
        <w:rPr>
          <w:rFonts w:cstheme="minorHAnsi"/>
          <w:sz w:val="24"/>
          <w:szCs w:val="24"/>
          <w:vertAlign w:val="superscript"/>
          <w:lang w:val="en-US"/>
        </w:rPr>
        <w:t>143-148</w:t>
      </w:r>
      <w:r w:rsidRPr="006820EB">
        <w:rPr>
          <w:rFonts w:cstheme="minorHAnsi"/>
          <w:sz w:val="24"/>
          <w:szCs w:val="24"/>
          <w:vertAlign w:val="superscript"/>
          <w:lang w:val="en-US"/>
        </w:rPr>
        <w:t xml:space="preserve"> </w:t>
      </w:r>
      <w:r w:rsidRPr="00085FA2">
        <w:rPr>
          <w:rFonts w:cstheme="minorHAnsi"/>
          <w:sz w:val="24"/>
          <w:szCs w:val="24"/>
          <w:lang w:val="en-US"/>
        </w:rPr>
        <w:t xml:space="preserve">suggesting that T cells can control and clear SARS-CoV-2 in the absence of a significant antibody response. Caveats to those data are that T cell responses were not directly studied in those individuals, and relative risks of those patient populations for COVID-19 could be skewed by behavioral differences. </w:t>
      </w:r>
    </w:p>
    <w:p w14:paraId="12F4BF63" w14:textId="77777777"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Roles for T cells in animal models of COVID-19 are challenging to define because the major animal models currently in use have much faster disease progression than in humans, making any efficacy of T cells less likely to be measured. For example, in the majority of mouse and hamster models, death occurs in 6 days; whereas in humans, it is quite common to not even have the first symptoms of mild COVID-19 reported until day 6. </w:t>
      </w:r>
    </w:p>
    <w:p w14:paraId="525EE88B" w14:textId="77777777"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p>
    <w:p w14:paraId="1E0C0373" w14:textId="03A9965A"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Cross</w:t>
      </w:r>
      <w:r w:rsidR="000C65B1">
        <w:rPr>
          <w:rFonts w:cstheme="minorHAnsi"/>
          <w:b/>
          <w:i/>
          <w:iCs/>
          <w:sz w:val="24"/>
          <w:szCs w:val="24"/>
          <w:lang w:val="en-US"/>
        </w:rPr>
        <w:t>-</w:t>
      </w:r>
      <w:r w:rsidRPr="003A468C">
        <w:rPr>
          <w:rFonts w:cstheme="minorHAnsi"/>
          <w:b/>
          <w:i/>
          <w:iCs/>
          <w:sz w:val="24"/>
          <w:szCs w:val="24"/>
          <w:lang w:val="en-US"/>
        </w:rPr>
        <w:t>reactive memory T cells</w:t>
      </w:r>
    </w:p>
    <w:p w14:paraId="4DED1C48" w14:textId="3E09214C" w:rsidR="0046611F" w:rsidRPr="00085FA2" w:rsidRDefault="0046611F" w:rsidP="000C65B1">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lastRenderedPageBreak/>
        <w:t>Pre-existing cross</w:t>
      </w:r>
      <w:r w:rsidR="000C65B1">
        <w:rPr>
          <w:rFonts w:cstheme="minorHAnsi"/>
          <w:sz w:val="24"/>
          <w:szCs w:val="24"/>
          <w:lang w:val="en-US"/>
        </w:rPr>
        <w:t>-</w:t>
      </w:r>
      <w:r w:rsidRPr="00085FA2">
        <w:rPr>
          <w:rFonts w:cstheme="minorHAnsi"/>
          <w:sz w:val="24"/>
          <w:szCs w:val="24"/>
          <w:lang w:val="en-US"/>
        </w:rPr>
        <w:t>reactive memory CD4 T cells recognizing SARS-CoV-2 provide insights into potential T cell mechanisms of protective immunity against COVID-19. Cross</w:t>
      </w:r>
      <w:r w:rsidR="00755B70" w:rsidRPr="00085FA2">
        <w:rPr>
          <w:rFonts w:cstheme="minorHAnsi"/>
          <w:sz w:val="24"/>
          <w:szCs w:val="24"/>
          <w:lang w:val="en-US"/>
        </w:rPr>
        <w:t xml:space="preserve"> </w:t>
      </w:r>
      <w:r w:rsidRPr="00085FA2">
        <w:rPr>
          <w:rFonts w:cstheme="minorHAnsi"/>
          <w:sz w:val="24"/>
          <w:szCs w:val="24"/>
          <w:lang w:val="en-US"/>
        </w:rPr>
        <w:t>reactive memory CD4 T cells against SARS-CoV-2 have been detected in approximately 50% of uninfected individuals.</w:t>
      </w:r>
      <w:r w:rsidR="000C65B1" w:rsidRPr="000C65B1">
        <w:rPr>
          <w:rFonts w:cstheme="minorHAnsi"/>
          <w:sz w:val="24"/>
          <w:szCs w:val="24"/>
          <w:vertAlign w:val="superscript"/>
          <w:lang w:val="en-US"/>
        </w:rPr>
        <w:t>121,149,150</w:t>
      </w:r>
      <w:r w:rsidRPr="00085FA2">
        <w:rPr>
          <w:rFonts w:cstheme="minorHAnsi"/>
          <w:sz w:val="24"/>
          <w:szCs w:val="24"/>
          <w:lang w:val="en-US"/>
        </w:rPr>
        <w:t xml:space="preserve"> Many of these memory CD4 T cells were generated in response to common cold coronavirus infections earlier in life.</w:t>
      </w:r>
      <w:r w:rsidR="004E0712" w:rsidRPr="004E0712">
        <w:rPr>
          <w:rFonts w:cstheme="minorHAnsi"/>
          <w:sz w:val="24"/>
          <w:szCs w:val="24"/>
          <w:vertAlign w:val="superscript"/>
          <w:lang w:val="en-US"/>
        </w:rPr>
        <w:t>151</w:t>
      </w:r>
      <w:r w:rsidRPr="00085FA2">
        <w:rPr>
          <w:rFonts w:cstheme="minorHAnsi"/>
          <w:sz w:val="24"/>
          <w:szCs w:val="24"/>
          <w:lang w:val="en-US"/>
        </w:rPr>
        <w:t xml:space="preserve"> Two studies have now reported that under the controlled conditions of vaccination, subjects having preexisting cross</w:t>
      </w:r>
      <w:r w:rsidR="00755B70" w:rsidRPr="00085FA2">
        <w:rPr>
          <w:rFonts w:cstheme="minorHAnsi"/>
          <w:sz w:val="24"/>
          <w:szCs w:val="24"/>
          <w:lang w:val="en-US"/>
        </w:rPr>
        <w:t xml:space="preserve"> </w:t>
      </w:r>
      <w:r w:rsidRPr="00085FA2">
        <w:rPr>
          <w:rFonts w:cstheme="minorHAnsi"/>
          <w:sz w:val="24"/>
          <w:szCs w:val="24"/>
          <w:lang w:val="en-US"/>
        </w:rPr>
        <w:t>reactive SARS-CoV-2-spike-specific memory CD4 T cells have more robust CD4 T cell and antibody responses to COVID-19 mRNA vaccines.</w:t>
      </w:r>
      <w:r w:rsidR="004E0712" w:rsidRPr="004E0712">
        <w:rPr>
          <w:rFonts w:cstheme="minorHAnsi"/>
          <w:sz w:val="24"/>
          <w:szCs w:val="24"/>
          <w:vertAlign w:val="superscript"/>
          <w:lang w:val="en-US"/>
        </w:rPr>
        <w:t>152,153</w:t>
      </w:r>
      <w:r w:rsidRPr="00085FA2">
        <w:rPr>
          <w:rFonts w:cstheme="minorHAnsi"/>
          <w:sz w:val="24"/>
          <w:szCs w:val="24"/>
          <w:lang w:val="en-US"/>
        </w:rPr>
        <w:t xml:space="preserve"> These studies give direct evidence that cross</w:t>
      </w:r>
      <w:r w:rsidR="00755B70" w:rsidRPr="00085FA2">
        <w:rPr>
          <w:rFonts w:cstheme="minorHAnsi"/>
          <w:sz w:val="24"/>
          <w:szCs w:val="24"/>
          <w:lang w:val="en-US"/>
        </w:rPr>
        <w:t xml:space="preserve"> </w:t>
      </w:r>
      <w:r w:rsidRPr="00085FA2">
        <w:rPr>
          <w:rFonts w:cstheme="minorHAnsi"/>
          <w:sz w:val="24"/>
          <w:szCs w:val="24"/>
          <w:lang w:val="en-US"/>
        </w:rPr>
        <w:t>reactive T cells are biologically functional in vivo and enhance immunity. It was speculated that these cross</w:t>
      </w:r>
      <w:r w:rsidR="004E0712">
        <w:rPr>
          <w:rFonts w:cstheme="minorHAnsi"/>
          <w:sz w:val="24"/>
          <w:szCs w:val="24"/>
          <w:lang w:val="en-US"/>
        </w:rPr>
        <w:t>-</w:t>
      </w:r>
      <w:r w:rsidRPr="00085FA2">
        <w:rPr>
          <w:rFonts w:cstheme="minorHAnsi"/>
          <w:sz w:val="24"/>
          <w:szCs w:val="24"/>
          <w:lang w:val="en-US"/>
        </w:rPr>
        <w:t>reactive memory CD4 T cells may provide some degree of protective immunity against COVID-19, independently of vaccination.</w:t>
      </w:r>
      <w:r w:rsidR="004E0712" w:rsidRPr="004E0712">
        <w:rPr>
          <w:rFonts w:cstheme="minorHAnsi"/>
          <w:sz w:val="24"/>
          <w:szCs w:val="24"/>
          <w:vertAlign w:val="superscript"/>
          <w:lang w:val="en-US"/>
        </w:rPr>
        <w:t>121,154</w:t>
      </w:r>
      <w:r w:rsidRPr="00085FA2">
        <w:rPr>
          <w:rFonts w:cstheme="minorHAnsi"/>
          <w:sz w:val="24"/>
          <w:szCs w:val="24"/>
          <w:lang w:val="en-US"/>
        </w:rPr>
        <w:t xml:space="preserve"> Epidemiological data support a reduction in severe COVID-19 amongst individuals with a history of common cold coronavirus infection within the previous five years.</w:t>
      </w:r>
      <w:r w:rsidR="004E0712" w:rsidRPr="004E0712">
        <w:rPr>
          <w:rFonts w:cstheme="minorHAnsi"/>
          <w:sz w:val="24"/>
          <w:szCs w:val="24"/>
          <w:vertAlign w:val="superscript"/>
          <w:lang w:val="en-US"/>
        </w:rPr>
        <w:t>155</w:t>
      </w:r>
      <w:r w:rsidRPr="00085FA2">
        <w:rPr>
          <w:rFonts w:cstheme="minorHAnsi"/>
          <w:sz w:val="24"/>
          <w:szCs w:val="24"/>
          <w:lang w:val="en-US"/>
        </w:rPr>
        <w:t xml:space="preserve"> The most compelling evidence for a protective role of cross react memory T cells against COVID-19 comes from a UK healthcare worker (HCW) study</w:t>
      </w:r>
      <w:r w:rsidR="004E0712">
        <w:rPr>
          <w:rFonts w:cstheme="minorHAnsi"/>
          <w:sz w:val="24"/>
          <w:szCs w:val="24"/>
          <w:lang w:val="en-US"/>
        </w:rPr>
        <w:t>.</w:t>
      </w:r>
      <w:r w:rsidR="004E0712" w:rsidRPr="004E0712">
        <w:rPr>
          <w:rFonts w:cstheme="minorHAnsi"/>
          <w:sz w:val="24"/>
          <w:szCs w:val="24"/>
          <w:vertAlign w:val="superscript"/>
          <w:lang w:val="en-US"/>
        </w:rPr>
        <w:t>156</w:t>
      </w:r>
      <w:r w:rsidRPr="00085FA2">
        <w:rPr>
          <w:rFonts w:cstheme="minorHAnsi"/>
          <w:sz w:val="24"/>
          <w:szCs w:val="24"/>
          <w:lang w:val="en-US"/>
        </w:rPr>
        <w:t xml:space="preserve"> During the first COVID-19 wave, HCWs were highly exposed to the virus. Many of those HCWs remained seronegative. Seronegative HCWs were found to have significantly higher frequencies of SARS-CoV-2 reactive T cells than pre-pandemic samples from other HCWs</w:t>
      </w:r>
      <w:r w:rsidR="004E0712">
        <w:rPr>
          <w:rFonts w:cstheme="minorHAnsi"/>
          <w:sz w:val="24"/>
          <w:szCs w:val="24"/>
          <w:lang w:val="en-US"/>
        </w:rPr>
        <w:t>.</w:t>
      </w:r>
      <w:r w:rsidR="004E0712" w:rsidRPr="004E0712">
        <w:rPr>
          <w:rFonts w:cstheme="minorHAnsi"/>
          <w:sz w:val="24"/>
          <w:szCs w:val="24"/>
          <w:vertAlign w:val="superscript"/>
          <w:lang w:val="en-US"/>
        </w:rPr>
        <w:t>156</w:t>
      </w:r>
      <w:r w:rsidRPr="00085FA2">
        <w:rPr>
          <w:rFonts w:cstheme="minorHAnsi"/>
          <w:sz w:val="24"/>
          <w:szCs w:val="24"/>
          <w:lang w:val="en-US"/>
        </w:rPr>
        <w:t xml:space="preserve"> Notably, seronegative HCWs with evidence of a potential SARS-CoV-2 infection based on the </w:t>
      </w:r>
      <w:r w:rsidRPr="00085FA2">
        <w:rPr>
          <w:rFonts w:cstheme="minorHAnsi"/>
          <w:i/>
          <w:sz w:val="24"/>
          <w:szCs w:val="24"/>
          <w:lang w:val="en-US"/>
        </w:rPr>
        <w:t>IFI27</w:t>
      </w:r>
      <w:r w:rsidRPr="00085FA2">
        <w:rPr>
          <w:rFonts w:cstheme="minorHAnsi"/>
          <w:sz w:val="24"/>
          <w:szCs w:val="24"/>
          <w:lang w:val="en-US"/>
        </w:rPr>
        <w:t xml:space="preserve"> gene biomarker were individuals with significantly higher frequencies of cross</w:t>
      </w:r>
      <w:r w:rsidR="000A3310">
        <w:rPr>
          <w:rFonts w:cstheme="minorHAnsi"/>
          <w:sz w:val="24"/>
          <w:szCs w:val="24"/>
          <w:lang w:val="en-US"/>
        </w:rPr>
        <w:t>-</w:t>
      </w:r>
      <w:r w:rsidRPr="00085FA2">
        <w:rPr>
          <w:rFonts w:cstheme="minorHAnsi"/>
          <w:sz w:val="24"/>
          <w:szCs w:val="24"/>
          <w:lang w:val="en-US"/>
        </w:rPr>
        <w:t>reactive memory T cells</w:t>
      </w:r>
      <w:sdt>
        <w:sdtPr>
          <w:rPr>
            <w:rFonts w:cstheme="minorHAnsi"/>
            <w:sz w:val="24"/>
            <w:szCs w:val="24"/>
            <w:lang w:val="en-US"/>
          </w:rPr>
          <w:alias w:val="SmartCite Citation"/>
          <w:tag w:val="931a6ff4-2896-41dc-bc70-7732d417e6f3:59a19e7d-0ed5-47e4-b51c-c0587c8cc87e+"/>
          <w:id w:val="796801487"/>
          <w:placeholder>
            <w:docPart w:val="03EC1C4E96FC41AB8876928AC3A86C0F"/>
          </w:placeholder>
        </w:sdtPr>
        <w:sdtEndPr/>
        <w:sdtContent>
          <w:r w:rsidR="000A3310">
            <w:rPr>
              <w:rFonts w:cstheme="minorHAnsi"/>
              <w:sz w:val="24"/>
              <w:szCs w:val="24"/>
              <w:lang w:val="en-US"/>
            </w:rPr>
            <w:t>.</w:t>
          </w:r>
        </w:sdtContent>
      </w:sdt>
      <w:r w:rsidRPr="00085FA2">
        <w:rPr>
          <w:rFonts w:cstheme="minorHAnsi"/>
          <w:sz w:val="24"/>
          <w:szCs w:val="24"/>
          <w:lang w:val="en-US"/>
        </w:rPr>
        <w:t xml:space="preserve"> These cross</w:t>
      </w:r>
      <w:r w:rsidR="000A3310">
        <w:rPr>
          <w:rFonts w:cstheme="minorHAnsi"/>
          <w:sz w:val="24"/>
          <w:szCs w:val="24"/>
          <w:lang w:val="en-US"/>
        </w:rPr>
        <w:t>-</w:t>
      </w:r>
      <w:r w:rsidRPr="00085FA2">
        <w:rPr>
          <w:rFonts w:cstheme="minorHAnsi"/>
          <w:sz w:val="24"/>
          <w:szCs w:val="24"/>
          <w:lang w:val="en-US"/>
        </w:rPr>
        <w:t>reactive T cells were enriched in targeting the SARS-CoV-2 replication machinery, which is highly conserved between coronaviruses. Altogether, those data suggest that individuals with high levels of cross</w:t>
      </w:r>
      <w:r w:rsidR="000A3310">
        <w:rPr>
          <w:rFonts w:cstheme="minorHAnsi"/>
          <w:sz w:val="24"/>
          <w:szCs w:val="24"/>
          <w:lang w:val="en-US"/>
        </w:rPr>
        <w:t>-</w:t>
      </w:r>
      <w:r w:rsidRPr="00085FA2">
        <w:rPr>
          <w:rFonts w:cstheme="minorHAnsi"/>
          <w:sz w:val="24"/>
          <w:szCs w:val="24"/>
          <w:lang w:val="en-US"/>
        </w:rPr>
        <w:t xml:space="preserve">reactive memory T cells had protective immunity that </w:t>
      </w:r>
      <w:r w:rsidRPr="00085FA2">
        <w:rPr>
          <w:rFonts w:cstheme="minorHAnsi"/>
          <w:sz w:val="24"/>
          <w:szCs w:val="24"/>
          <w:lang w:val="en-US"/>
        </w:rPr>
        <w:lastRenderedPageBreak/>
        <w:t>confined SARS-CoV-2 to a brief abortive infection, without seroconversion.</w:t>
      </w:r>
      <w:r w:rsidR="000A3310" w:rsidRPr="000A3310">
        <w:rPr>
          <w:rFonts w:cstheme="minorHAnsi"/>
          <w:sz w:val="24"/>
          <w:szCs w:val="24"/>
          <w:vertAlign w:val="superscript"/>
          <w:lang w:val="en-US"/>
        </w:rPr>
        <w:t>156</w:t>
      </w:r>
      <w:r w:rsidRPr="00085FA2">
        <w:rPr>
          <w:rFonts w:cstheme="minorHAnsi"/>
          <w:sz w:val="24"/>
          <w:szCs w:val="24"/>
          <w:lang w:val="en-US"/>
        </w:rPr>
        <w:t xml:space="preserve"> Similar HCW T cell patterns were observed in another study.</w:t>
      </w:r>
      <w:r w:rsidR="009C2082" w:rsidRPr="009C2082">
        <w:rPr>
          <w:rFonts w:cstheme="minorHAnsi"/>
          <w:sz w:val="24"/>
          <w:szCs w:val="24"/>
          <w:vertAlign w:val="superscript"/>
          <w:lang w:val="en-US"/>
        </w:rPr>
        <w:t>157</w:t>
      </w:r>
      <w:r w:rsidRPr="00085FA2">
        <w:rPr>
          <w:rFonts w:cstheme="minorHAnsi"/>
          <w:sz w:val="24"/>
          <w:szCs w:val="24"/>
          <w:lang w:val="en-US"/>
        </w:rPr>
        <w:t xml:space="preserve"> Altogether the findings suggest a role for tissue resident memory T cells in protective immunity against COVID-19. tissue resident memory T cells are theoretically present in the nasal passages and mouth and could potentially locally restrict the viral infection. In a mouse model of SARS-</w:t>
      </w:r>
      <w:proofErr w:type="spellStart"/>
      <w:r w:rsidRPr="00085FA2">
        <w:rPr>
          <w:rFonts w:cstheme="minorHAnsi"/>
          <w:sz w:val="24"/>
          <w:szCs w:val="24"/>
          <w:lang w:val="en-US"/>
        </w:rPr>
        <w:t>CoV</w:t>
      </w:r>
      <w:proofErr w:type="spellEnd"/>
      <w:r w:rsidRPr="00085FA2">
        <w:rPr>
          <w:rFonts w:cstheme="minorHAnsi"/>
          <w:sz w:val="24"/>
          <w:szCs w:val="24"/>
          <w:lang w:val="en-US"/>
        </w:rPr>
        <w:t>, CD4 T cells were protective when present at the site of infection.</w:t>
      </w:r>
      <w:r w:rsidR="009C2082" w:rsidRPr="009C2082">
        <w:rPr>
          <w:rFonts w:cstheme="minorHAnsi"/>
          <w:sz w:val="24"/>
          <w:szCs w:val="24"/>
          <w:vertAlign w:val="superscript"/>
          <w:lang w:val="en-US"/>
        </w:rPr>
        <w:t>111</w:t>
      </w:r>
      <w:r w:rsidRPr="00085FA2">
        <w:rPr>
          <w:rFonts w:cstheme="minorHAnsi"/>
          <w:sz w:val="24"/>
          <w:szCs w:val="24"/>
          <w:lang w:val="en-US"/>
        </w:rPr>
        <w:t xml:space="preserve"> Overall, cross</w:t>
      </w:r>
      <w:r w:rsidR="009C2082">
        <w:rPr>
          <w:rFonts w:cstheme="minorHAnsi"/>
          <w:sz w:val="24"/>
          <w:szCs w:val="24"/>
          <w:lang w:val="en-US"/>
        </w:rPr>
        <w:t>-</w:t>
      </w:r>
      <w:r w:rsidRPr="00085FA2">
        <w:rPr>
          <w:rFonts w:cstheme="minorHAnsi"/>
          <w:sz w:val="24"/>
          <w:szCs w:val="24"/>
          <w:lang w:val="en-US"/>
        </w:rPr>
        <w:t>reactive memory CD4 T cell results indicate the potential of memory CD4 T cells in protection against SARS-CoV-2. Previously infected individuals are expected to have local upper respiratory tract tissue resident memory T cells. Thus, protective mechanisms by cross</w:t>
      </w:r>
      <w:r w:rsidR="00755B70" w:rsidRPr="00085FA2">
        <w:rPr>
          <w:rFonts w:cstheme="minorHAnsi"/>
          <w:sz w:val="24"/>
          <w:szCs w:val="24"/>
          <w:lang w:val="en-US"/>
        </w:rPr>
        <w:t xml:space="preserve"> </w:t>
      </w:r>
      <w:r w:rsidRPr="00085FA2">
        <w:rPr>
          <w:rFonts w:cstheme="minorHAnsi"/>
          <w:sz w:val="24"/>
          <w:szCs w:val="24"/>
          <w:lang w:val="en-US"/>
        </w:rPr>
        <w:t xml:space="preserve">reactive memory T cells would also likely occur due to SARS-CoV-2 specific tissue resident memory T cells in individuals with previous SARS-CoV-2 infection. </w:t>
      </w:r>
    </w:p>
    <w:p w14:paraId="16E90EC4" w14:textId="77777777"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T cell protection against reinfection</w:t>
      </w:r>
    </w:p>
    <w:p w14:paraId="05E83E7D" w14:textId="1B97C128" w:rsidR="0046611F" w:rsidRPr="00085FA2" w:rsidRDefault="0046611F" w:rsidP="009C2082">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Rhesus monkeys previously infected with SARS-CoV-2 are protected against reinfection.</w:t>
      </w:r>
      <w:r w:rsidR="009C2082" w:rsidRPr="009C2082">
        <w:rPr>
          <w:rFonts w:cstheme="minorHAnsi"/>
          <w:sz w:val="24"/>
          <w:szCs w:val="24"/>
          <w:vertAlign w:val="superscript"/>
          <w:lang w:val="en-US"/>
        </w:rPr>
        <w:t>158,159</w:t>
      </w:r>
      <w:r w:rsidRPr="00085FA2">
        <w:rPr>
          <w:rFonts w:cstheme="minorHAnsi"/>
          <w:sz w:val="24"/>
          <w:szCs w:val="24"/>
          <w:lang w:val="en-US"/>
        </w:rPr>
        <w:t xml:space="preserve"> Notably, depletion of CD8 T cells after SARS-CoV-2 infection resulted in significantly higher viral loads upon rechallenge of the animals with SARS-CoV-2,</w:t>
      </w:r>
      <w:r w:rsidR="00CB6A4D" w:rsidRPr="00CB6A4D">
        <w:rPr>
          <w:rFonts w:cstheme="minorHAnsi"/>
          <w:sz w:val="24"/>
          <w:szCs w:val="24"/>
          <w:vertAlign w:val="superscript"/>
          <w:lang w:val="en-US"/>
        </w:rPr>
        <w:t>71</w:t>
      </w:r>
      <w:r w:rsidR="00D642BE" w:rsidRPr="00CB6A4D">
        <w:rPr>
          <w:rFonts w:cstheme="minorHAnsi"/>
          <w:sz w:val="24"/>
          <w:szCs w:val="24"/>
          <w:vertAlign w:val="superscript"/>
          <w:lang w:val="en-US"/>
        </w:rPr>
        <w:t xml:space="preserve"> </w:t>
      </w:r>
      <w:r w:rsidRPr="00085FA2">
        <w:rPr>
          <w:rFonts w:cstheme="minorHAnsi"/>
          <w:sz w:val="24"/>
          <w:szCs w:val="24"/>
          <w:lang w:val="en-US"/>
        </w:rPr>
        <w:t>demonstrating a role for CD8 T cells in protection against reinfection. While tissue resident memory CD8 T cells were not directly assessed, it may be that CD8 tissue resident memory T</w:t>
      </w:r>
      <w:r w:rsidRPr="00085FA2">
        <w:rPr>
          <w:rFonts w:cstheme="minorHAnsi"/>
          <w:sz w:val="24"/>
          <w:szCs w:val="24"/>
          <w:vertAlign w:val="subscript"/>
          <w:lang w:val="en-US"/>
        </w:rPr>
        <w:t xml:space="preserve"> </w:t>
      </w:r>
      <w:r w:rsidRPr="00085FA2">
        <w:rPr>
          <w:rFonts w:cstheme="minorHAnsi"/>
          <w:sz w:val="24"/>
          <w:szCs w:val="24"/>
          <w:lang w:val="en-US"/>
        </w:rPr>
        <w:t>cells were the primary mechanism of protection in that model, given the speed of the CD8 T cell impact on viral loads within two days of rechallenge</w:t>
      </w:r>
      <w:r w:rsidR="00590347">
        <w:rPr>
          <w:rFonts w:cstheme="minorHAnsi"/>
          <w:sz w:val="24"/>
          <w:szCs w:val="24"/>
          <w:lang w:val="en-US"/>
        </w:rPr>
        <w:t>.</w:t>
      </w:r>
      <w:r w:rsidR="007C5CCC" w:rsidRPr="007C5CCC">
        <w:rPr>
          <w:rFonts w:cstheme="minorHAnsi"/>
          <w:sz w:val="24"/>
          <w:szCs w:val="24"/>
          <w:vertAlign w:val="superscript"/>
          <w:lang w:val="en-US"/>
        </w:rPr>
        <w:t>71</w:t>
      </w:r>
    </w:p>
    <w:p w14:paraId="39B1E740" w14:textId="16752E41"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Humans infected with SARS-CoV-2 do develop immune memory</w:t>
      </w:r>
      <w:r w:rsidR="0090239D" w:rsidRPr="00085FA2">
        <w:rPr>
          <w:rFonts w:cstheme="minorHAnsi"/>
          <w:sz w:val="24"/>
          <w:szCs w:val="24"/>
          <w:lang w:val="en-US"/>
        </w:rPr>
        <w:t xml:space="preserve"> </w:t>
      </w:r>
      <w:r w:rsidRPr="00085FA2">
        <w:rPr>
          <w:rFonts w:cstheme="minorHAnsi"/>
          <w:sz w:val="24"/>
          <w:szCs w:val="24"/>
          <w:lang w:val="en-US"/>
        </w:rPr>
        <w:t xml:space="preserve">and have a high level of protection against reinfection. Protection against infection with the same variant or a similar viral variant was greater than 90% against symptomatic disease in multiple studies for a period </w:t>
      </w:r>
      <w:r w:rsidRPr="00085FA2">
        <w:rPr>
          <w:rFonts w:cstheme="minorHAnsi"/>
          <w:sz w:val="24"/>
          <w:szCs w:val="24"/>
          <w:lang w:val="en-US"/>
        </w:rPr>
        <w:lastRenderedPageBreak/>
        <w:t>of at least 8 to 12 months</w:t>
      </w:r>
      <w:r w:rsidR="00590347">
        <w:rPr>
          <w:rFonts w:cstheme="minorHAnsi"/>
          <w:sz w:val="24"/>
          <w:szCs w:val="24"/>
          <w:lang w:val="en-US"/>
        </w:rPr>
        <w:t>.</w:t>
      </w:r>
      <w:r w:rsidR="00590347" w:rsidRPr="00590347">
        <w:rPr>
          <w:rFonts w:cstheme="minorHAnsi"/>
          <w:sz w:val="24"/>
          <w:szCs w:val="24"/>
          <w:vertAlign w:val="superscript"/>
          <w:lang w:val="en-US"/>
        </w:rPr>
        <w:t>16</w:t>
      </w:r>
      <w:r w:rsidR="00CB6A4D">
        <w:rPr>
          <w:rFonts w:cstheme="minorHAnsi"/>
          <w:sz w:val="24"/>
          <w:szCs w:val="24"/>
          <w:vertAlign w:val="superscript"/>
          <w:lang w:val="en-US"/>
        </w:rPr>
        <w:t>0-163</w:t>
      </w:r>
      <w:r w:rsidRPr="00085FA2">
        <w:rPr>
          <w:rFonts w:cstheme="minorHAnsi"/>
          <w:sz w:val="24"/>
          <w:szCs w:val="24"/>
          <w:lang w:val="en-US"/>
        </w:rPr>
        <w:t xml:space="preserve"> However, Omicron has a high degree of antibody escape. Most individuals infected with previous variants have undetectable </w:t>
      </w:r>
      <w:proofErr w:type="spellStart"/>
      <w:r w:rsidRPr="00085FA2">
        <w:rPr>
          <w:rFonts w:cstheme="minorHAnsi"/>
          <w:sz w:val="24"/>
          <w:szCs w:val="24"/>
          <w:lang w:val="en-US"/>
        </w:rPr>
        <w:t>nAb</w:t>
      </w:r>
      <w:proofErr w:type="spellEnd"/>
      <w:r w:rsidRPr="00085FA2">
        <w:rPr>
          <w:rFonts w:cstheme="minorHAnsi"/>
          <w:sz w:val="24"/>
          <w:szCs w:val="24"/>
          <w:lang w:val="en-US"/>
        </w:rPr>
        <w:t xml:space="preserve"> titers against Omicron,</w:t>
      </w:r>
      <w:r w:rsidR="00590347" w:rsidRPr="00590347">
        <w:rPr>
          <w:rFonts w:cstheme="minorHAnsi"/>
          <w:sz w:val="24"/>
          <w:szCs w:val="24"/>
          <w:vertAlign w:val="superscript"/>
          <w:lang w:val="en-US"/>
        </w:rPr>
        <w:t>16</w:t>
      </w:r>
      <w:r w:rsidR="00CB6A4D">
        <w:rPr>
          <w:rFonts w:cstheme="minorHAnsi"/>
          <w:sz w:val="24"/>
          <w:szCs w:val="24"/>
          <w:vertAlign w:val="superscript"/>
          <w:lang w:val="en-US"/>
        </w:rPr>
        <w:t>4</w:t>
      </w:r>
      <w:r w:rsidRPr="00085FA2">
        <w:rPr>
          <w:rFonts w:cstheme="minorHAnsi"/>
          <w:sz w:val="24"/>
          <w:szCs w:val="24"/>
          <w:lang w:val="en-US"/>
        </w:rPr>
        <w:t xml:space="preserve"> and </w:t>
      </w:r>
      <w:proofErr w:type="gramStart"/>
      <w:r w:rsidRPr="00085FA2">
        <w:rPr>
          <w:rFonts w:cstheme="minorHAnsi"/>
          <w:sz w:val="24"/>
          <w:szCs w:val="24"/>
          <w:lang w:val="en-US"/>
        </w:rPr>
        <w:t>Om</w:t>
      </w:r>
      <w:r w:rsidR="008B13A7">
        <w:rPr>
          <w:rFonts w:cstheme="minorHAnsi"/>
          <w:sz w:val="24"/>
          <w:szCs w:val="24"/>
          <w:lang w:val="en-US"/>
        </w:rPr>
        <w:t>]</w:t>
      </w:r>
      <w:proofErr w:type="spellStart"/>
      <w:r w:rsidRPr="00085FA2">
        <w:rPr>
          <w:rFonts w:cstheme="minorHAnsi"/>
          <w:sz w:val="24"/>
          <w:szCs w:val="24"/>
          <w:lang w:val="en-US"/>
        </w:rPr>
        <w:t>icron</w:t>
      </w:r>
      <w:proofErr w:type="spellEnd"/>
      <w:proofErr w:type="gramEnd"/>
      <w:r w:rsidRPr="00085FA2">
        <w:rPr>
          <w:rFonts w:cstheme="minorHAnsi"/>
          <w:sz w:val="24"/>
          <w:szCs w:val="24"/>
          <w:lang w:val="en-US"/>
        </w:rPr>
        <w:t xml:space="preserve"> infection of people with natural immunity to previous variants is more common.</w:t>
      </w:r>
      <w:r w:rsidR="00590347" w:rsidRPr="00590347">
        <w:rPr>
          <w:rFonts w:cstheme="minorHAnsi"/>
          <w:sz w:val="24"/>
          <w:szCs w:val="24"/>
          <w:vertAlign w:val="superscript"/>
          <w:lang w:val="en-US"/>
        </w:rPr>
        <w:t>16</w:t>
      </w:r>
      <w:r w:rsidR="00CB6A4D">
        <w:rPr>
          <w:rFonts w:cstheme="minorHAnsi"/>
          <w:sz w:val="24"/>
          <w:szCs w:val="24"/>
          <w:vertAlign w:val="superscript"/>
          <w:lang w:val="en-US"/>
        </w:rPr>
        <w:t>5</w:t>
      </w:r>
      <w:r w:rsidR="00590347">
        <w:rPr>
          <w:rFonts w:cstheme="minorHAnsi"/>
          <w:sz w:val="24"/>
          <w:szCs w:val="24"/>
          <w:vertAlign w:val="superscript"/>
          <w:lang w:val="en-US"/>
        </w:rPr>
        <w:t xml:space="preserve"> </w:t>
      </w:r>
      <w:r w:rsidR="00590347">
        <w:rPr>
          <w:rFonts w:cstheme="minorHAnsi"/>
          <w:sz w:val="24"/>
          <w:szCs w:val="24"/>
          <w:lang w:val="en-US"/>
        </w:rPr>
        <w:t>Whi</w:t>
      </w:r>
      <w:r w:rsidRPr="00085FA2">
        <w:rPr>
          <w:rFonts w:cstheme="minorHAnsi"/>
          <w:sz w:val="24"/>
          <w:szCs w:val="24"/>
          <w:lang w:val="en-US"/>
        </w:rPr>
        <w:t>le there is limited protection against detectable infection with Omicron, there is still a high level of protection against hospitalization or fatality,</w:t>
      </w:r>
      <w:r w:rsidR="00590347" w:rsidRPr="00590347">
        <w:rPr>
          <w:rFonts w:cstheme="minorHAnsi"/>
          <w:sz w:val="24"/>
          <w:szCs w:val="24"/>
          <w:vertAlign w:val="superscript"/>
          <w:lang w:val="en-US"/>
        </w:rPr>
        <w:t>16</w:t>
      </w:r>
      <w:r w:rsidR="00CB6A4D">
        <w:rPr>
          <w:rFonts w:cstheme="minorHAnsi"/>
          <w:sz w:val="24"/>
          <w:szCs w:val="24"/>
          <w:vertAlign w:val="superscript"/>
          <w:lang w:val="en-US"/>
        </w:rPr>
        <w:t>5</w:t>
      </w:r>
      <w:r w:rsidRPr="00085FA2">
        <w:rPr>
          <w:rFonts w:cstheme="minorHAnsi"/>
          <w:sz w:val="24"/>
          <w:szCs w:val="24"/>
          <w:lang w:val="en-US"/>
        </w:rPr>
        <w:t xml:space="preserve"> indicating a possible role for T cells in protection against Omicron. T cell recognition of Omicron is highly retained,</w:t>
      </w:r>
      <w:r w:rsidR="00590347" w:rsidRPr="00590347">
        <w:rPr>
          <w:rFonts w:cstheme="minorHAnsi"/>
          <w:sz w:val="24"/>
          <w:szCs w:val="24"/>
          <w:vertAlign w:val="superscript"/>
          <w:lang w:val="en-US"/>
        </w:rPr>
        <w:t>16</w:t>
      </w:r>
      <w:r w:rsidR="00CB6A4D">
        <w:rPr>
          <w:rFonts w:cstheme="minorHAnsi"/>
          <w:sz w:val="24"/>
          <w:szCs w:val="24"/>
          <w:vertAlign w:val="superscript"/>
          <w:lang w:val="en-US"/>
        </w:rPr>
        <w:t>6</w:t>
      </w:r>
      <w:r w:rsidR="00590347" w:rsidRPr="00590347">
        <w:rPr>
          <w:rFonts w:cstheme="minorHAnsi"/>
          <w:sz w:val="24"/>
          <w:szCs w:val="24"/>
          <w:vertAlign w:val="superscript"/>
          <w:lang w:val="en-US"/>
        </w:rPr>
        <w:t>-16</w:t>
      </w:r>
      <w:r w:rsidR="00CB6A4D">
        <w:rPr>
          <w:rFonts w:cstheme="minorHAnsi"/>
          <w:sz w:val="24"/>
          <w:szCs w:val="24"/>
          <w:vertAlign w:val="superscript"/>
          <w:lang w:val="en-US"/>
        </w:rPr>
        <w:t>8</w:t>
      </w:r>
      <w:r w:rsidRPr="00085FA2">
        <w:rPr>
          <w:rFonts w:cstheme="minorHAnsi"/>
          <w:sz w:val="24"/>
          <w:szCs w:val="24"/>
          <w:lang w:val="en-US"/>
        </w:rPr>
        <w:t xml:space="preserve"> just as it has been for recognition of all variants of concern prior to Omicron.</w:t>
      </w:r>
      <w:r w:rsidR="00590347" w:rsidRPr="00590347">
        <w:rPr>
          <w:rFonts w:cstheme="minorHAnsi"/>
          <w:sz w:val="24"/>
          <w:szCs w:val="24"/>
          <w:vertAlign w:val="superscript"/>
          <w:lang w:val="en-US"/>
        </w:rPr>
        <w:t>1</w:t>
      </w:r>
      <w:r w:rsidR="00CB6A4D">
        <w:rPr>
          <w:rFonts w:cstheme="minorHAnsi"/>
          <w:sz w:val="24"/>
          <w:szCs w:val="24"/>
          <w:vertAlign w:val="superscript"/>
          <w:lang w:val="en-US"/>
        </w:rPr>
        <w:t>69</w:t>
      </w:r>
      <w:r w:rsidRPr="00590347">
        <w:rPr>
          <w:rFonts w:cstheme="minorHAnsi"/>
          <w:sz w:val="24"/>
          <w:szCs w:val="24"/>
          <w:vertAlign w:val="superscript"/>
          <w:lang w:val="en-US"/>
        </w:rPr>
        <w:t xml:space="preserve"> </w:t>
      </w:r>
      <w:r w:rsidRPr="00085FA2">
        <w:rPr>
          <w:rFonts w:cstheme="minorHAnsi"/>
          <w:sz w:val="24"/>
          <w:szCs w:val="24"/>
          <w:lang w:val="en-US"/>
        </w:rPr>
        <w:t xml:space="preserve">Thus, whatever protective immunity is being provided by T cells against previous variants is still being provided against Omicron. </w:t>
      </w:r>
    </w:p>
    <w:p w14:paraId="790151AC" w14:textId="5951A8CD" w:rsidR="0046611F" w:rsidRPr="00085FA2" w:rsidRDefault="0046611F" w:rsidP="002D44B1">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In the context of protection against SARS-CoV-2, tissue resident memory T cells need to be present in the epithelial layers of the nasal passages or oral cavity, or present in the epithelium of lung tissue, including bronchi and alveoli. An additional function of tissue resident memory T cells can be an alarm function, whereby memory T cells can recognize a new infection and rapidly alert other immune system branches.</w:t>
      </w:r>
      <w:r w:rsidR="002D44B1" w:rsidRPr="002D44B1">
        <w:rPr>
          <w:rFonts w:cstheme="minorHAnsi"/>
          <w:sz w:val="24"/>
          <w:szCs w:val="24"/>
          <w:vertAlign w:val="superscript"/>
          <w:lang w:val="en-US"/>
        </w:rPr>
        <w:t>17</w:t>
      </w:r>
      <w:r w:rsidR="00CB6A4D">
        <w:rPr>
          <w:rFonts w:cstheme="minorHAnsi"/>
          <w:sz w:val="24"/>
          <w:szCs w:val="24"/>
          <w:vertAlign w:val="superscript"/>
          <w:lang w:val="en-US"/>
        </w:rPr>
        <w:t>0</w:t>
      </w:r>
      <w:r w:rsidR="002D44B1" w:rsidRPr="002D44B1">
        <w:rPr>
          <w:rFonts w:cstheme="minorHAnsi"/>
          <w:sz w:val="24"/>
          <w:szCs w:val="24"/>
          <w:vertAlign w:val="superscript"/>
          <w:lang w:val="en-US"/>
        </w:rPr>
        <w:t>-17</w:t>
      </w:r>
      <w:r w:rsidR="00CB6A4D">
        <w:rPr>
          <w:rFonts w:cstheme="minorHAnsi"/>
          <w:sz w:val="24"/>
          <w:szCs w:val="24"/>
          <w:vertAlign w:val="superscript"/>
          <w:lang w:val="en-US"/>
        </w:rPr>
        <w:t>2</w:t>
      </w:r>
      <w:r w:rsidRPr="00085FA2">
        <w:rPr>
          <w:rFonts w:cstheme="minorHAnsi"/>
          <w:sz w:val="24"/>
          <w:szCs w:val="24"/>
          <w:lang w:val="en-US"/>
        </w:rPr>
        <w:t xml:space="preserve"> This is potentially relevant in the context of COVID-19, as one of the defining features of SARS-CoV-2 is an unusually efficient evasion of detection by early innate immunity by SARS-CoV-2, resulting in a lengthy delay before recognition of SARS-CoV-2 infection in humans and subsequent onset of symptoms.</w:t>
      </w:r>
      <w:r w:rsidR="002D44B1" w:rsidRPr="008B3B0F">
        <w:rPr>
          <w:rFonts w:cstheme="minorHAnsi"/>
          <w:sz w:val="24"/>
          <w:szCs w:val="24"/>
          <w:vertAlign w:val="superscript"/>
          <w:lang w:val="en-US"/>
        </w:rPr>
        <w:t>104</w:t>
      </w:r>
      <w:r w:rsidRPr="008B3B0F">
        <w:rPr>
          <w:rFonts w:cstheme="minorHAnsi"/>
          <w:sz w:val="24"/>
          <w:szCs w:val="24"/>
          <w:vertAlign w:val="superscript"/>
          <w:lang w:val="en-US"/>
        </w:rPr>
        <w:t xml:space="preserve"> </w:t>
      </w:r>
      <w:r w:rsidRPr="00085FA2">
        <w:rPr>
          <w:rFonts w:cstheme="minorHAnsi"/>
          <w:sz w:val="24"/>
          <w:szCs w:val="24"/>
          <w:lang w:val="en-US"/>
        </w:rPr>
        <w:t>An alternative early warning system by tissue resident memory T cells may overcome that innate immune silence.</w:t>
      </w:r>
    </w:p>
    <w:p w14:paraId="42A72201" w14:textId="5390919B"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There is a relatively </w:t>
      </w:r>
      <w:proofErr w:type="gramStart"/>
      <w:r w:rsidRPr="00085FA2">
        <w:rPr>
          <w:rFonts w:cstheme="minorHAnsi"/>
          <w:sz w:val="24"/>
          <w:szCs w:val="24"/>
          <w:lang w:val="en-US"/>
        </w:rPr>
        <w:t xml:space="preserve">long </w:t>
      </w:r>
      <w:r w:rsidR="007C5CCC" w:rsidRPr="00085FA2">
        <w:rPr>
          <w:rFonts w:cstheme="minorHAnsi"/>
          <w:sz w:val="24"/>
          <w:szCs w:val="24"/>
          <w:lang w:val="en-US"/>
        </w:rPr>
        <w:t>time</w:t>
      </w:r>
      <w:proofErr w:type="gramEnd"/>
      <w:r w:rsidR="007C5CCC" w:rsidRPr="00085FA2">
        <w:rPr>
          <w:rFonts w:cstheme="minorHAnsi"/>
          <w:sz w:val="24"/>
          <w:szCs w:val="24"/>
          <w:lang w:val="en-US"/>
        </w:rPr>
        <w:t xml:space="preserve"> window</w:t>
      </w:r>
      <w:r w:rsidRPr="00085FA2">
        <w:rPr>
          <w:rFonts w:cstheme="minorHAnsi"/>
          <w:sz w:val="24"/>
          <w:szCs w:val="24"/>
          <w:lang w:val="en-US"/>
        </w:rPr>
        <w:t xml:space="preserve"> between SARS-CoV-2 infection and hospitalization-level disease. Thus, even if the virus gets past the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and tissue resident memory T cells at the portal of entry, there is time for additional mechanisms of protective </w:t>
      </w:r>
      <w:r w:rsidRPr="00085FA2">
        <w:rPr>
          <w:rFonts w:cstheme="minorHAnsi"/>
          <w:sz w:val="24"/>
          <w:szCs w:val="24"/>
          <w:lang w:val="en-US"/>
        </w:rPr>
        <w:lastRenderedPageBreak/>
        <w:t xml:space="preserve">adaptive immunity to activate and provide layers of defenses against severe COVID-19 </w:t>
      </w:r>
      <w:r w:rsidRPr="0053154C">
        <w:rPr>
          <w:rFonts w:cstheme="minorHAnsi"/>
          <w:b/>
          <w:bCs/>
          <w:sz w:val="24"/>
          <w:szCs w:val="24"/>
          <w:lang w:val="en-US"/>
        </w:rPr>
        <w:t>[</w:t>
      </w:r>
      <w:r w:rsidR="0053154C" w:rsidRPr="0053154C">
        <w:rPr>
          <w:rFonts w:cstheme="minorHAnsi"/>
          <w:b/>
          <w:bCs/>
          <w:sz w:val="24"/>
          <w:szCs w:val="24"/>
          <w:lang w:val="en-US"/>
        </w:rPr>
        <w:t xml:space="preserve">Figure </w:t>
      </w:r>
      <w:r w:rsidR="00360CCD">
        <w:rPr>
          <w:rFonts w:cstheme="minorHAnsi"/>
          <w:b/>
          <w:bCs/>
          <w:sz w:val="24"/>
          <w:szCs w:val="24"/>
          <w:lang w:val="en-US"/>
        </w:rPr>
        <w:t>3</w:t>
      </w:r>
      <w:r w:rsidRPr="0053154C">
        <w:rPr>
          <w:rFonts w:cstheme="minorHAnsi"/>
          <w:b/>
          <w:bCs/>
          <w:sz w:val="24"/>
          <w:szCs w:val="24"/>
          <w:lang w:val="en-US"/>
        </w:rPr>
        <w:t>].</w:t>
      </w:r>
      <w:r w:rsidRPr="00085FA2">
        <w:rPr>
          <w:rFonts w:cstheme="minorHAnsi"/>
          <w:sz w:val="24"/>
          <w:szCs w:val="24"/>
          <w:lang w:val="en-US"/>
        </w:rPr>
        <w:t xml:space="preserve"> Disease kinetics affect the likelihood that circulating memory cells contribute to viral control. Given that memory T cells can proliferate rapidly (their numbers can increase 10-fold within 24 hours), every day is a substantial increase in the possibility that a circulating memory T cell response contributes to protective immunity.</w:t>
      </w:r>
      <w:r w:rsidR="0090239D" w:rsidRPr="00085FA2">
        <w:rPr>
          <w:rFonts w:cstheme="minorHAnsi"/>
          <w:sz w:val="24"/>
          <w:szCs w:val="24"/>
          <w:lang w:val="en-US"/>
        </w:rPr>
        <w:t xml:space="preserve"> T</w:t>
      </w:r>
      <w:r w:rsidRPr="00085FA2">
        <w:rPr>
          <w:rFonts w:cstheme="minorHAnsi"/>
          <w:sz w:val="24"/>
          <w:szCs w:val="24"/>
          <w:lang w:val="en-US"/>
        </w:rPr>
        <w:t>his same principle of the race between memory recall kinetics and disease progression also applies to memory B cell protection.</w:t>
      </w:r>
    </w:p>
    <w:p w14:paraId="07081D8A" w14:textId="77777777" w:rsidR="0053154C" w:rsidRDefault="0053154C" w:rsidP="00616AD1">
      <w:pPr>
        <w:snapToGrid w:val="0"/>
        <w:spacing w:before="100" w:beforeAutospacing="1" w:after="100" w:afterAutospacing="1" w:line="480" w:lineRule="auto"/>
        <w:contextualSpacing/>
        <w:rPr>
          <w:rFonts w:cstheme="minorHAnsi"/>
          <w:b/>
          <w:i/>
          <w:iCs/>
          <w:sz w:val="24"/>
          <w:szCs w:val="24"/>
          <w:lang w:val="en-US"/>
        </w:rPr>
      </w:pPr>
    </w:p>
    <w:p w14:paraId="73AE53BC" w14:textId="28CACC30"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COVID-19 vaccine T cell mediated protection</w:t>
      </w:r>
    </w:p>
    <w:p w14:paraId="01CF3814" w14:textId="27D137B6" w:rsidR="0046611F" w:rsidRPr="00085FA2" w:rsidRDefault="0046611F" w:rsidP="008B13A7">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T</w:t>
      </w:r>
      <w:r w:rsidRPr="00085FA2">
        <w:rPr>
          <w:rFonts w:cstheme="minorHAnsi"/>
          <w:sz w:val="24"/>
          <w:szCs w:val="24"/>
          <w:vertAlign w:val="subscript"/>
          <w:lang w:val="en-US"/>
        </w:rPr>
        <w:t>H</w:t>
      </w:r>
      <w:r w:rsidRPr="00085FA2">
        <w:rPr>
          <w:rFonts w:cstheme="minorHAnsi"/>
          <w:sz w:val="24"/>
          <w:szCs w:val="24"/>
          <w:lang w:val="en-US"/>
        </w:rPr>
        <w:t>1 and T</w:t>
      </w:r>
      <w:r w:rsidRPr="00085FA2">
        <w:rPr>
          <w:rFonts w:cstheme="minorHAnsi"/>
          <w:sz w:val="24"/>
          <w:szCs w:val="24"/>
          <w:vertAlign w:val="subscript"/>
          <w:lang w:val="en-US"/>
        </w:rPr>
        <w:t>FH</w:t>
      </w:r>
      <w:r w:rsidRPr="00085FA2">
        <w:rPr>
          <w:rFonts w:cstheme="minorHAnsi"/>
          <w:sz w:val="24"/>
          <w:szCs w:val="24"/>
          <w:lang w:val="en-US"/>
        </w:rPr>
        <w:t xml:space="preserve"> cells are generated in response to the Pfizer BNT162b2 or Moderna mRNA-1273 mRNA COVID-19 vaccines, and memory CD4 T cells are present in the vast majority of individuals six months post vaccination. Regarding CD8 T cells, there was initial confusion regarding CD8 T cell responses to the mRNA-1273 vaccine. Multiple groups have now consistently reported that a majority of individuals develop spike-specific CD8 T cells in response to the BNT162b2 or mRNA-1273 COVID-19 vaccines, but those cells are less well detected by certain short stimulation assays. T cells are intrinsically an essential component of protective immunity generated by the mRNA COVID-19 vaccines, as provision of T</w:t>
      </w:r>
      <w:r w:rsidRPr="00085FA2">
        <w:rPr>
          <w:rFonts w:cstheme="minorHAnsi"/>
          <w:sz w:val="24"/>
          <w:szCs w:val="24"/>
          <w:vertAlign w:val="subscript"/>
          <w:lang w:val="en-US"/>
        </w:rPr>
        <w:t>FH</w:t>
      </w:r>
      <w:r w:rsidRPr="00085FA2">
        <w:rPr>
          <w:rFonts w:cstheme="minorHAnsi"/>
          <w:sz w:val="24"/>
          <w:szCs w:val="24"/>
          <w:lang w:val="en-US"/>
        </w:rPr>
        <w:t xml:space="preserve"> cell help to B cells is central for affinity matured </w:t>
      </w:r>
      <w:proofErr w:type="spellStart"/>
      <w:r w:rsidRPr="00085FA2">
        <w:rPr>
          <w:rFonts w:cstheme="minorHAnsi"/>
          <w:sz w:val="24"/>
          <w:szCs w:val="24"/>
          <w:lang w:val="en-US"/>
        </w:rPr>
        <w:t>nAb</w:t>
      </w:r>
      <w:proofErr w:type="spellEnd"/>
      <w:r w:rsidRPr="00085FA2">
        <w:rPr>
          <w:rFonts w:cstheme="minorHAnsi"/>
          <w:sz w:val="24"/>
          <w:szCs w:val="24"/>
          <w:lang w:val="en-US"/>
        </w:rPr>
        <w:t xml:space="preserve"> responses to mRNA vaccines and affinity matured memory B cells.</w:t>
      </w:r>
      <w:r w:rsidR="00C0384C" w:rsidRPr="00C0384C">
        <w:rPr>
          <w:rFonts w:cstheme="minorHAnsi"/>
          <w:sz w:val="24"/>
          <w:szCs w:val="24"/>
          <w:vertAlign w:val="superscript"/>
          <w:lang w:val="en-US"/>
        </w:rPr>
        <w:t>173-177</w:t>
      </w:r>
    </w:p>
    <w:p w14:paraId="05A71695" w14:textId="4A11A91E"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No T cell correlates-of-protection COVID-19 vaccine studies have been done in humans. No resources were set aside for such studies for any of the major COVID-19 vaccines, even though such trials are practical. Intracellular cytokine (ICS) CD4 T cell and CD8 T cell assays can be implemented in vaccine clinical trials</w:t>
      </w:r>
      <w:sdt>
        <w:sdtPr>
          <w:rPr>
            <w:rFonts w:cstheme="minorHAnsi"/>
            <w:sz w:val="24"/>
            <w:szCs w:val="24"/>
            <w:lang w:val="en-US"/>
          </w:rPr>
          <w:alias w:val="SmartCite Citation"/>
          <w:tag w:val="931a6ff4-2896-41dc-bc70-7732d417e6f3:7080f68c-c04a-497c-96e1-def91b339889,931a6ff4-2896-41dc-bc70-7732d417e6f3:28d6ca94-224b-443c-b9b6-078282997518+"/>
          <w:id w:val="1065685490"/>
          <w:placeholder>
            <w:docPart w:val="03EC1C4E96FC41AB8876928AC3A86C0F"/>
          </w:placeholder>
        </w:sdtPr>
        <w:sdtEndPr/>
        <w:sdtContent>
          <w:r w:rsidR="008B13A7">
            <w:rPr>
              <w:rFonts w:eastAsia="Times New Roman" w:cstheme="minorHAnsi"/>
              <w:color w:val="000000"/>
              <w:sz w:val="24"/>
              <w:szCs w:val="24"/>
              <w:vertAlign w:val="superscript"/>
              <w:lang w:val="en-US"/>
            </w:rPr>
            <w:t>17</w:t>
          </w:r>
          <w:r w:rsidRPr="00085FA2">
            <w:rPr>
              <w:rFonts w:eastAsia="Times New Roman" w:cstheme="minorHAnsi"/>
              <w:color w:val="000000"/>
              <w:sz w:val="24"/>
              <w:szCs w:val="24"/>
              <w:vertAlign w:val="superscript"/>
              <w:lang w:val="en-US"/>
            </w:rPr>
            <w:t>8,</w:t>
          </w:r>
          <w:r w:rsidR="008B13A7">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79</w:t>
          </w:r>
        </w:sdtContent>
      </w:sdt>
      <w:r w:rsidRPr="00085FA2">
        <w:rPr>
          <w:rFonts w:cstheme="minorHAnsi"/>
          <w:sz w:val="24"/>
          <w:szCs w:val="24"/>
          <w:lang w:val="en-US"/>
        </w:rPr>
        <w:t xml:space="preserve"> . Alternatively, minimal handling </w:t>
      </w:r>
      <w:proofErr w:type="spellStart"/>
      <w:r w:rsidRPr="00085FA2">
        <w:rPr>
          <w:rFonts w:cstheme="minorHAnsi"/>
          <w:sz w:val="24"/>
          <w:szCs w:val="24"/>
          <w:lang w:val="en-US"/>
        </w:rPr>
        <w:t>quantiferon</w:t>
      </w:r>
      <w:proofErr w:type="spellEnd"/>
      <w:r w:rsidRPr="00085FA2">
        <w:rPr>
          <w:rFonts w:cstheme="minorHAnsi"/>
          <w:sz w:val="24"/>
          <w:szCs w:val="24"/>
          <w:lang w:val="en-US"/>
        </w:rPr>
        <w:t xml:space="preserve">-type </w:t>
      </w:r>
      <w:r w:rsidRPr="00085FA2">
        <w:rPr>
          <w:rFonts w:cstheme="minorHAnsi"/>
          <w:sz w:val="24"/>
          <w:szCs w:val="24"/>
          <w:lang w:val="en-US"/>
        </w:rPr>
        <w:lastRenderedPageBreak/>
        <w:t>whole blood IFN</w:t>
      </w:r>
      <w:r w:rsidRPr="00085FA2">
        <w:rPr>
          <w:rFonts w:cstheme="minorHAnsi"/>
          <w:sz w:val="24"/>
          <w:szCs w:val="24"/>
          <w:lang w:val="en-US"/>
        </w:rPr>
        <w:sym w:font="Symbol" w:char="F067"/>
      </w:r>
      <w:r w:rsidRPr="00085FA2">
        <w:rPr>
          <w:rFonts w:cstheme="minorHAnsi"/>
          <w:sz w:val="24"/>
          <w:szCs w:val="24"/>
          <w:lang w:val="en-US"/>
        </w:rPr>
        <w:t xml:space="preserve"> release assays (IGRA) can be implemented as higher throughput T cell assays, without distinguishing between CD4 and CD8 T cells</w:t>
      </w:r>
      <w:sdt>
        <w:sdtPr>
          <w:rPr>
            <w:rFonts w:cstheme="minorHAnsi"/>
            <w:sz w:val="24"/>
            <w:szCs w:val="24"/>
            <w:lang w:val="en-US"/>
          </w:rPr>
          <w:alias w:val="SmartCite Citation"/>
          <w:tag w:val="931a6ff4-2896-41dc-bc70-7732d417e6f3:e2b121cb-25be-4969-91c8-78bea2eb14ed,931a6ff4-2896-41dc-bc70-7732d417e6f3:370d0781-efe5-40a5-a59d-9cc2de129567,931a6ff4-2896-41dc-bc70-7732d417e6f3:42c08735-ea31-4286-971a-efd5261cf55b+"/>
          <w:id w:val="-1737314883"/>
          <w:placeholder>
            <w:docPart w:val="03EC1C4E96FC41AB8876928AC3A86C0F"/>
          </w:placeholder>
        </w:sdtPr>
        <w:sdtEndPr/>
        <w:sdtContent>
          <w:r w:rsidR="008B13A7">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0–</w:t>
          </w:r>
          <w:r w:rsidR="008B13A7">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82</w:t>
          </w:r>
        </w:sdtContent>
      </w:sdt>
      <w:r w:rsidRPr="00085FA2">
        <w:rPr>
          <w:rFonts w:cstheme="minorHAnsi"/>
          <w:sz w:val="24"/>
          <w:szCs w:val="24"/>
          <w:lang w:val="en-US"/>
        </w:rPr>
        <w:t xml:space="preserve">. Antibody titers can frequently be used as correlates of vaccine-specific CD4 T cells, due to the dependence of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on T</w:t>
      </w:r>
      <w:r w:rsidRPr="00085FA2">
        <w:rPr>
          <w:rFonts w:cstheme="minorHAnsi"/>
          <w:sz w:val="24"/>
          <w:szCs w:val="24"/>
          <w:vertAlign w:val="subscript"/>
          <w:lang w:val="en-US"/>
        </w:rPr>
        <w:t>FH</w:t>
      </w:r>
      <w:r w:rsidRPr="00085FA2">
        <w:rPr>
          <w:rFonts w:cstheme="minorHAnsi"/>
          <w:sz w:val="24"/>
          <w:szCs w:val="24"/>
          <w:lang w:val="en-US"/>
        </w:rPr>
        <w:t xml:space="preserve"> cells. T</w:t>
      </w:r>
      <w:r w:rsidRPr="00085FA2">
        <w:rPr>
          <w:rFonts w:cstheme="minorHAnsi"/>
          <w:sz w:val="24"/>
          <w:szCs w:val="24"/>
          <w:vertAlign w:val="subscript"/>
          <w:lang w:val="en-US"/>
        </w:rPr>
        <w:t>H</w:t>
      </w:r>
      <w:r w:rsidRPr="00085FA2">
        <w:rPr>
          <w:rFonts w:cstheme="minorHAnsi"/>
          <w:sz w:val="24"/>
          <w:szCs w:val="24"/>
          <w:lang w:val="en-US"/>
        </w:rPr>
        <w:t>1 cell responses broadly correlate with T</w:t>
      </w:r>
      <w:r w:rsidRPr="00085FA2">
        <w:rPr>
          <w:rFonts w:cstheme="minorHAnsi"/>
          <w:sz w:val="24"/>
          <w:szCs w:val="24"/>
          <w:vertAlign w:val="subscript"/>
          <w:lang w:val="en-US"/>
        </w:rPr>
        <w:t>FH</w:t>
      </w:r>
      <w:r w:rsidRPr="00085FA2">
        <w:rPr>
          <w:rFonts w:cstheme="minorHAnsi"/>
          <w:sz w:val="24"/>
          <w:szCs w:val="24"/>
          <w:lang w:val="en-US"/>
        </w:rPr>
        <w:t xml:space="preserve"> cells stimulated by the Pfizer BNT162b2, Moderna mRNA-1273, Janssen/J&amp;J Ad26.COV2.S, and Novavax NVX-CoV2373 COVID-19 vaccines </w:t>
      </w:r>
      <w:sdt>
        <w:sdtPr>
          <w:rPr>
            <w:rFonts w:cstheme="minorHAnsi"/>
            <w:sz w:val="24"/>
            <w:szCs w:val="24"/>
            <w:lang w:val="en-US"/>
          </w:rPr>
          <w:alias w:val="SmartCite Citation"/>
          <w:tag w:val="931a6ff4-2896-41dc-bc70-7732d417e6f3:89266d05-18de-4d49-9924-6148f3af3476,931a6ff4-2896-41dc-bc70-7732d417e6f3:cf16fbb1-1c3b-4928-8827-0a5857e217c5,931a6ff4-2896-41dc-bc70-7732d417e6f3:d55b79ed-e0af-413c-87cb-7a713c1398e0,931a6ff4-2896-41dc-bc70-7732d417e6f3:321c1ea4-0e9a-4043-a274-55a31d1a3951,931a6ff4-2896-41dc-bc70-7732d417e6f3:5bf1fce8-63f3-4d87-83cd-171bca769f8e+"/>
          <w:id w:val="1657642808"/>
          <w:placeholder>
            <w:docPart w:val="03EC1C4E96FC41AB8876928AC3A86C0F"/>
          </w:placeholder>
        </w:sdtPr>
        <w:sdtEndPr/>
        <w:sdtContent>
          <w:r w:rsidR="001F67F8">
            <w:rPr>
              <w:rFonts w:eastAsia="Times New Roman" w:cstheme="minorHAnsi"/>
              <w:color w:val="000000"/>
              <w:sz w:val="24"/>
              <w:szCs w:val="24"/>
              <w:vertAlign w:val="superscript"/>
              <w:lang w:val="en-US"/>
            </w:rPr>
            <w:t>152</w:t>
          </w:r>
          <w:r w:rsidRPr="00085FA2">
            <w:rPr>
              <w:rFonts w:eastAsia="Times New Roman" w:cstheme="minorHAnsi"/>
              <w:color w:val="000000"/>
              <w:sz w:val="24"/>
              <w:szCs w:val="24"/>
              <w:vertAlign w:val="superscript"/>
              <w:lang w:val="en-US"/>
            </w:rPr>
            <w:t>,</w:t>
          </w:r>
          <w:r w:rsidR="001F67F8">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68,</w:t>
          </w:r>
          <w:r w:rsidR="001F67F8">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75,</w:t>
          </w:r>
          <w:r w:rsidR="001F67F8">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83,</w:t>
          </w:r>
          <w:r w:rsidR="001F67F8">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84</w:t>
          </w:r>
        </w:sdtContent>
      </w:sdt>
      <w:r w:rsidRPr="00085FA2">
        <w:rPr>
          <w:rFonts w:cstheme="minorHAnsi"/>
          <w:sz w:val="24"/>
          <w:szCs w:val="24"/>
          <w:lang w:val="en-US"/>
        </w:rPr>
        <w:t xml:space="preserve"> . Peak antibody titers thus may serve as a proxy indicator of an individual’s T cell response to these COVID-19 vaccines. </w:t>
      </w:r>
    </w:p>
    <w:p w14:paraId="761A1843" w14:textId="0C37EF89"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 xml:space="preserve">Significant protective efficacy against the ancestral strain, or Alpha, was observed after a single dose of BNT162b2mRNA vaccine, even though </w:t>
      </w:r>
      <w:proofErr w:type="spellStart"/>
      <w:r w:rsidRPr="00085FA2">
        <w:rPr>
          <w:rFonts w:cstheme="minorHAnsi"/>
          <w:sz w:val="24"/>
          <w:szCs w:val="24"/>
          <w:lang w:val="en-US"/>
        </w:rPr>
        <w:t>nAbs</w:t>
      </w:r>
      <w:proofErr w:type="spellEnd"/>
      <w:r w:rsidRPr="00085FA2">
        <w:rPr>
          <w:rFonts w:cstheme="minorHAnsi"/>
          <w:sz w:val="24"/>
          <w:szCs w:val="24"/>
          <w:lang w:val="en-US"/>
        </w:rPr>
        <w:t xml:space="preserve"> were low or undetectable. This was reported by Pfizer as evidence of a potential role of T cells in protection from COVID-19</w:t>
      </w:r>
      <w:r w:rsidR="001E492C">
        <w:rPr>
          <w:rFonts w:cstheme="minorHAnsi"/>
          <w:sz w:val="24"/>
          <w:szCs w:val="24"/>
          <w:lang w:val="en-US"/>
        </w:rPr>
        <w:t>.</w:t>
      </w:r>
      <w:sdt>
        <w:sdtPr>
          <w:rPr>
            <w:rFonts w:cstheme="minorHAnsi"/>
            <w:sz w:val="24"/>
            <w:szCs w:val="24"/>
            <w:lang w:val="en-US"/>
          </w:rPr>
          <w:alias w:val="SmartCite Citation"/>
          <w:tag w:val="931a6ff4-2896-41dc-bc70-7732d417e6f3:58b3b301-278c-4de6-a922-23018e4e9a1f+"/>
          <w:id w:val="-1063101293"/>
          <w:placeholder>
            <w:docPart w:val="03EC1C4E96FC41AB8876928AC3A86C0F"/>
          </w:placeholder>
        </w:sdtPr>
        <w:sdtEndPr/>
        <w:sdtContent>
          <w:r w:rsidR="001E492C">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5</w:t>
          </w:r>
        </w:sdtContent>
      </w:sdt>
      <w:r w:rsidRPr="00085FA2">
        <w:rPr>
          <w:rFonts w:cstheme="minorHAnsi"/>
          <w:sz w:val="24"/>
          <w:szCs w:val="24"/>
          <w:lang w:val="en-US"/>
        </w:rPr>
        <w:t xml:space="preserve"> Similar 1-dose protection data have been observed for the mRNA-1273 vaccine in humans</w:t>
      </w:r>
      <w:r w:rsidR="001E492C">
        <w:rPr>
          <w:rFonts w:cstheme="minorHAnsi"/>
          <w:sz w:val="24"/>
          <w:szCs w:val="24"/>
          <w:lang w:val="en-US"/>
        </w:rPr>
        <w:t>.</w:t>
      </w:r>
      <w:sdt>
        <w:sdtPr>
          <w:rPr>
            <w:rFonts w:cstheme="minorHAnsi"/>
            <w:sz w:val="24"/>
            <w:szCs w:val="24"/>
            <w:lang w:val="en-US"/>
          </w:rPr>
          <w:alias w:val="SmartCite Citation"/>
          <w:tag w:val="931a6ff4-2896-41dc-bc70-7732d417e6f3:6ecca2f7-7546-4d2b-b5eb-4f2bb72a6913+"/>
          <w:id w:val="-1739090233"/>
          <w:placeholder>
            <w:docPart w:val="03EC1C4E96FC41AB8876928AC3A86C0F"/>
          </w:placeholder>
        </w:sdtPr>
        <w:sdtEndPr/>
        <w:sdtContent>
          <w:r w:rsidR="001E492C">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6</w:t>
          </w:r>
        </w:sdtContent>
      </w:sdt>
      <w:r w:rsidRPr="00085FA2">
        <w:rPr>
          <w:rFonts w:cstheme="minorHAnsi"/>
          <w:sz w:val="24"/>
          <w:szCs w:val="24"/>
          <w:lang w:val="en-US"/>
        </w:rPr>
        <w:t xml:space="preserve"> CD4 T cells were found to be a correlate of protection against SARS-CoV-2 for the mRNA-1273 vaccine in non-human primates</w:t>
      </w:r>
      <w:r w:rsidR="001E492C">
        <w:rPr>
          <w:rFonts w:cstheme="minorHAnsi"/>
          <w:sz w:val="24"/>
          <w:szCs w:val="24"/>
          <w:lang w:val="en-US"/>
        </w:rPr>
        <w:t>.</w:t>
      </w:r>
      <w:sdt>
        <w:sdtPr>
          <w:rPr>
            <w:rFonts w:cstheme="minorHAnsi"/>
            <w:sz w:val="24"/>
            <w:szCs w:val="24"/>
            <w:lang w:val="en-US"/>
          </w:rPr>
          <w:alias w:val="SmartCite Citation"/>
          <w:tag w:val="931a6ff4-2896-41dc-bc70-7732d417e6f3:d61053a3-f453-4040-a052-a599830c4c74+"/>
          <w:id w:val="-1220128890"/>
          <w:placeholder>
            <w:docPart w:val="03EC1C4E96FC41AB8876928AC3A86C0F"/>
          </w:placeholder>
        </w:sdtPr>
        <w:sdtEndPr/>
        <w:sdtContent>
          <w:r w:rsidR="001E492C">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7</w:t>
          </w:r>
        </w:sdtContent>
      </w:sdt>
      <w:r w:rsidRPr="00085FA2">
        <w:rPr>
          <w:rFonts w:cstheme="minorHAnsi"/>
          <w:sz w:val="24"/>
          <w:szCs w:val="24"/>
          <w:lang w:val="en-US"/>
        </w:rPr>
        <w:t>. Spike-specific CD4 T cells expressing CD40L, IL21, or any T</w:t>
      </w:r>
      <w:r w:rsidRPr="00085FA2">
        <w:rPr>
          <w:rFonts w:cstheme="minorHAnsi"/>
          <w:sz w:val="24"/>
          <w:szCs w:val="24"/>
          <w:vertAlign w:val="subscript"/>
          <w:lang w:val="en-US"/>
        </w:rPr>
        <w:t>H</w:t>
      </w:r>
      <w:r w:rsidRPr="00085FA2">
        <w:rPr>
          <w:rFonts w:cstheme="minorHAnsi"/>
          <w:sz w:val="24"/>
          <w:szCs w:val="24"/>
          <w:lang w:val="en-US"/>
        </w:rPr>
        <w:t>1 cytokine were all found to be significantly associated with lower viral loads in BAL and/or nasal swabs (e.g., reported p = 0.000, 0.000, and 0.001)</w:t>
      </w:r>
      <w:r w:rsidR="001E492C">
        <w:rPr>
          <w:rFonts w:cstheme="minorHAnsi"/>
          <w:sz w:val="24"/>
          <w:szCs w:val="24"/>
          <w:lang w:val="en-US"/>
        </w:rPr>
        <w:t>.</w:t>
      </w:r>
      <w:sdt>
        <w:sdtPr>
          <w:rPr>
            <w:rFonts w:cstheme="minorHAnsi"/>
            <w:sz w:val="24"/>
            <w:szCs w:val="24"/>
            <w:lang w:val="en-US"/>
          </w:rPr>
          <w:alias w:val="SmartCite Citation"/>
          <w:tag w:val="931a6ff4-2896-41dc-bc70-7732d417e6f3:d61053a3-f453-4040-a052-a599830c4c74+"/>
          <w:id w:val="-1788430081"/>
          <w:placeholder>
            <w:docPart w:val="03EC1C4E96FC41AB8876928AC3A86C0F"/>
          </w:placeholder>
        </w:sdtPr>
        <w:sdtEndPr/>
        <w:sdtContent>
          <w:r w:rsidR="001E492C">
            <w:rPr>
              <w:rFonts w:eastAsia="Times New Roman" w:cstheme="minorHAnsi"/>
              <w:color w:val="000000"/>
              <w:sz w:val="24"/>
              <w:szCs w:val="24"/>
              <w:vertAlign w:val="superscript"/>
              <w:lang w:val="en-US"/>
            </w:rPr>
            <w:t>187</w:t>
          </w:r>
        </w:sdtContent>
      </w:sdt>
      <w:r w:rsidRPr="00085FA2">
        <w:rPr>
          <w:rFonts w:cstheme="minorHAnsi"/>
          <w:sz w:val="24"/>
          <w:szCs w:val="24"/>
          <w:lang w:val="en-US"/>
        </w:rPr>
        <w:t xml:space="preserve"> All three of these spike-specific CD4 T cell populations were still associated with protective immunity when also considering spike specific IgG titers in multivariate analysis. The CD4 T cell and antibody responses showed evidence of linkage, which was expected as the CD4 T</w:t>
      </w:r>
      <w:r w:rsidRPr="00085FA2">
        <w:rPr>
          <w:rFonts w:cstheme="minorHAnsi"/>
          <w:sz w:val="24"/>
          <w:szCs w:val="24"/>
          <w:vertAlign w:val="subscript"/>
          <w:lang w:val="en-US"/>
        </w:rPr>
        <w:t>FH</w:t>
      </w:r>
      <w:r w:rsidRPr="00085FA2">
        <w:rPr>
          <w:rFonts w:cstheme="minorHAnsi"/>
          <w:sz w:val="24"/>
          <w:szCs w:val="24"/>
          <w:lang w:val="en-US"/>
        </w:rPr>
        <w:t xml:space="preserve"> cell response was required for the antibody responses. A separate consideration, as noted above, is that the rhesus monkey model is a challenging model to observe T cell protective immunity, as the kinetics of the infection are faster and shorter than human clinical disease. Additionally, the monkeys were challenged with 800,000 PFU of the WA1 strain</w:t>
      </w:r>
      <w:r w:rsidR="009717A3">
        <w:rPr>
          <w:rFonts w:cstheme="minorHAnsi"/>
          <w:sz w:val="24"/>
          <w:szCs w:val="24"/>
          <w:lang w:val="en-US"/>
        </w:rPr>
        <w:t>,</w:t>
      </w:r>
      <w:sdt>
        <w:sdtPr>
          <w:rPr>
            <w:rFonts w:cstheme="minorHAnsi"/>
            <w:sz w:val="24"/>
            <w:szCs w:val="24"/>
            <w:lang w:val="en-US"/>
          </w:rPr>
          <w:alias w:val="SmartCite Citation"/>
          <w:tag w:val="931a6ff4-2896-41dc-bc70-7732d417e6f3:d61053a3-f453-4040-a052-a599830c4c74+"/>
          <w:id w:val="2004466264"/>
          <w:placeholder>
            <w:docPart w:val="03EC1C4E96FC41AB8876928AC3A86C0F"/>
          </w:placeholder>
        </w:sdtPr>
        <w:sdtEndPr/>
        <w:sdtContent>
          <w:r w:rsidR="009717A3">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7</w:t>
          </w:r>
        </w:sdtContent>
      </w:sdt>
      <w:r w:rsidRPr="00085FA2">
        <w:rPr>
          <w:rFonts w:cstheme="minorHAnsi"/>
          <w:sz w:val="24"/>
          <w:szCs w:val="24"/>
          <w:lang w:val="en-US"/>
        </w:rPr>
        <w:t xml:space="preserve"> whereas the 50% infectious dose in humans is 10 PFU</w:t>
      </w:r>
      <w:r w:rsidR="009717A3">
        <w:rPr>
          <w:rFonts w:cstheme="minorHAnsi"/>
          <w:sz w:val="24"/>
          <w:szCs w:val="24"/>
          <w:lang w:val="en-US"/>
        </w:rPr>
        <w:t>.</w:t>
      </w:r>
      <w:sdt>
        <w:sdtPr>
          <w:rPr>
            <w:rFonts w:cstheme="minorHAnsi"/>
            <w:sz w:val="24"/>
            <w:szCs w:val="24"/>
            <w:lang w:val="en-US"/>
          </w:rPr>
          <w:alias w:val="SmartCite Citation"/>
          <w:tag w:val="931a6ff4-2896-41dc-bc70-7732d417e6f3:f5ccbf37-f4aa-468c-9b46-69bffe07a719+"/>
          <w:id w:val="-1406372232"/>
          <w:placeholder>
            <w:docPart w:val="03EC1C4E96FC41AB8876928AC3A86C0F"/>
          </w:placeholder>
        </w:sdtPr>
        <w:sdtEndPr/>
        <w:sdtContent>
          <w:r w:rsidR="009717A3">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8</w:t>
          </w:r>
        </w:sdtContent>
      </w:sdt>
      <w:r w:rsidRPr="00085FA2">
        <w:rPr>
          <w:rFonts w:cstheme="minorHAnsi"/>
          <w:sz w:val="24"/>
          <w:szCs w:val="24"/>
          <w:lang w:val="en-US"/>
        </w:rPr>
        <w:t xml:space="preserve"> </w:t>
      </w:r>
      <w:r w:rsidRPr="00085FA2">
        <w:rPr>
          <w:rFonts w:cstheme="minorHAnsi"/>
          <w:sz w:val="24"/>
          <w:szCs w:val="24"/>
          <w:lang w:val="en-US"/>
        </w:rPr>
        <w:lastRenderedPageBreak/>
        <w:t>Thus, it could be considered impressive that any impact was observed between vaccine CD4 T cells and lower viral loads. Limitations of the study were that the T cell and antibody responses are linked and the role of the T cells could not be independently demonstrated</w:t>
      </w:r>
      <w:r w:rsidR="009717A3">
        <w:rPr>
          <w:rFonts w:cstheme="minorHAnsi"/>
          <w:sz w:val="24"/>
          <w:szCs w:val="24"/>
          <w:lang w:val="en-US"/>
        </w:rPr>
        <w:t>.</w:t>
      </w:r>
      <w:sdt>
        <w:sdtPr>
          <w:rPr>
            <w:rFonts w:cstheme="minorHAnsi"/>
            <w:sz w:val="24"/>
            <w:szCs w:val="24"/>
            <w:lang w:val="en-US"/>
          </w:rPr>
          <w:alias w:val="SmartCite Citation"/>
          <w:tag w:val="931a6ff4-2896-41dc-bc70-7732d417e6f3:d61053a3-f453-4040-a052-a599830c4c74+"/>
          <w:id w:val="-1632476012"/>
          <w:placeholder>
            <w:docPart w:val="03EC1C4E96FC41AB8876928AC3A86C0F"/>
          </w:placeholder>
        </w:sdtPr>
        <w:sdtEndPr/>
        <w:sdtContent>
          <w:r w:rsidR="009717A3">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7</w:t>
          </w:r>
        </w:sdtContent>
      </w:sdt>
      <w:r w:rsidRPr="00085FA2">
        <w:rPr>
          <w:rFonts w:cstheme="minorHAnsi"/>
          <w:sz w:val="24"/>
          <w:szCs w:val="24"/>
          <w:lang w:val="en-US"/>
        </w:rPr>
        <w:t xml:space="preserve"> Additionally, CD8 T cells were measured using an assay that largely did not detect spike-specific CD8 T cells after mRNA-1273 immunization</w:t>
      </w:r>
      <w:r w:rsidR="009717A3">
        <w:rPr>
          <w:rFonts w:cstheme="minorHAnsi"/>
          <w:sz w:val="24"/>
          <w:szCs w:val="24"/>
          <w:lang w:val="en-US"/>
        </w:rPr>
        <w:t>,</w:t>
      </w:r>
      <w:sdt>
        <w:sdtPr>
          <w:rPr>
            <w:rFonts w:cstheme="minorHAnsi"/>
            <w:sz w:val="24"/>
            <w:szCs w:val="24"/>
            <w:lang w:val="en-US"/>
          </w:rPr>
          <w:alias w:val="SmartCite Citation"/>
          <w:tag w:val="931a6ff4-2896-41dc-bc70-7732d417e6f3:d55b79ed-e0af-413c-87cb-7a713c1398e0+"/>
          <w:id w:val="1123194915"/>
          <w:placeholder>
            <w:docPart w:val="03EC1C4E96FC41AB8876928AC3A86C0F"/>
          </w:placeholder>
        </w:sdtPr>
        <w:sdtEndPr/>
        <w:sdtContent>
          <w:r w:rsidR="009717A3">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4</w:t>
          </w:r>
        </w:sdtContent>
      </w:sdt>
      <w:r w:rsidRPr="00085FA2">
        <w:rPr>
          <w:rFonts w:cstheme="minorHAnsi"/>
          <w:sz w:val="24"/>
          <w:szCs w:val="24"/>
          <w:lang w:val="en-US"/>
        </w:rPr>
        <w:t xml:space="preserve"> whereas other CD8 T cell assays have found that a majority of immunized humans do make CD8 T cell responses</w:t>
      </w:r>
      <w:r w:rsidR="00942CA5">
        <w:rPr>
          <w:rFonts w:cstheme="minorHAnsi"/>
          <w:sz w:val="24"/>
          <w:szCs w:val="24"/>
          <w:lang w:val="en-US"/>
        </w:rPr>
        <w:t>.</w:t>
      </w:r>
      <w:sdt>
        <w:sdtPr>
          <w:rPr>
            <w:rFonts w:cstheme="minorHAnsi"/>
            <w:sz w:val="24"/>
            <w:szCs w:val="24"/>
            <w:lang w:val="en-US"/>
          </w:rPr>
          <w:alias w:val="SmartCite Citation"/>
          <w:tag w:val="931a6ff4-2896-41dc-bc70-7732d417e6f3:321c1ea4-0e9a-4043-a274-55a31d1a3951+"/>
          <w:id w:val="186105583"/>
          <w:placeholder>
            <w:docPart w:val="03EC1C4E96FC41AB8876928AC3A86C0F"/>
          </w:placeholder>
        </w:sdtPr>
        <w:sdtEndPr/>
        <w:sdtContent>
          <w:r w:rsidR="00942CA5">
            <w:rPr>
              <w:rFonts w:eastAsia="Times New Roman" w:cstheme="minorHAnsi"/>
              <w:color w:val="000000"/>
              <w:sz w:val="24"/>
              <w:szCs w:val="24"/>
              <w:vertAlign w:val="superscript"/>
              <w:lang w:val="en-US"/>
            </w:rPr>
            <w:t>152</w:t>
          </w:r>
        </w:sdtContent>
      </w:sdt>
      <w:r w:rsidRPr="00085FA2">
        <w:rPr>
          <w:rFonts w:cstheme="minorHAnsi"/>
          <w:sz w:val="24"/>
          <w:szCs w:val="24"/>
          <w:lang w:val="en-US"/>
        </w:rPr>
        <w:t xml:space="preserve"> Thus, any potential association between CD8 T cell responses and protective immunity in the rhesus monkey vaccination model may have gone undetected.</w:t>
      </w:r>
    </w:p>
    <w:p w14:paraId="6221B3C5" w14:textId="2C40B2D3"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T cell responses vary depending on the type of COVID-19 vaccine. In response to the adenoviral COVID-19 vaccines (AstraZeneca ChAdOx1 or J&amp;J Ad26.COV</w:t>
      </w:r>
      <w:proofErr w:type="gramStart"/>
      <w:r w:rsidRPr="00085FA2">
        <w:rPr>
          <w:rFonts w:cstheme="minorHAnsi"/>
          <w:sz w:val="24"/>
          <w:szCs w:val="24"/>
          <w:lang w:val="en-US"/>
        </w:rPr>
        <w:t>2.S</w:t>
      </w:r>
      <w:proofErr w:type="gramEnd"/>
      <w:r w:rsidRPr="00085FA2">
        <w:rPr>
          <w:rFonts w:cstheme="minorHAnsi"/>
          <w:sz w:val="24"/>
          <w:szCs w:val="24"/>
          <w:lang w:val="en-US"/>
        </w:rPr>
        <w:t>), T</w:t>
      </w:r>
      <w:r w:rsidRPr="00085FA2">
        <w:rPr>
          <w:rFonts w:cstheme="minorHAnsi"/>
          <w:sz w:val="24"/>
          <w:szCs w:val="24"/>
          <w:vertAlign w:val="subscript"/>
          <w:lang w:val="en-US"/>
        </w:rPr>
        <w:t>H</w:t>
      </w:r>
      <w:r w:rsidRPr="00085FA2">
        <w:rPr>
          <w:rFonts w:cstheme="minorHAnsi"/>
          <w:sz w:val="24"/>
          <w:szCs w:val="24"/>
          <w:lang w:val="en-US"/>
        </w:rPr>
        <w:t>1 cell, T</w:t>
      </w:r>
      <w:r w:rsidRPr="00085FA2">
        <w:rPr>
          <w:rFonts w:cstheme="minorHAnsi"/>
          <w:sz w:val="24"/>
          <w:szCs w:val="24"/>
          <w:vertAlign w:val="subscript"/>
          <w:lang w:val="en-US"/>
        </w:rPr>
        <w:t>FH</w:t>
      </w:r>
      <w:r w:rsidRPr="00085FA2">
        <w:rPr>
          <w:rFonts w:cstheme="minorHAnsi"/>
          <w:sz w:val="24"/>
          <w:szCs w:val="24"/>
          <w:lang w:val="en-US"/>
        </w:rPr>
        <w:t xml:space="preserve"> cell, and CD8 T cell responses are detected in many individuals, and T cell memory does develop (see accompanying memory review). The primary COVID-19 protein vaccine is the Novavax vaccine, NVX-CoV2373. NVX-CoV2373 elicits substantial T</w:t>
      </w:r>
      <w:r w:rsidRPr="00085FA2">
        <w:rPr>
          <w:rFonts w:cstheme="minorHAnsi"/>
          <w:sz w:val="24"/>
          <w:szCs w:val="24"/>
          <w:vertAlign w:val="subscript"/>
          <w:lang w:val="en-US"/>
        </w:rPr>
        <w:t>H</w:t>
      </w:r>
      <w:r w:rsidRPr="00085FA2">
        <w:rPr>
          <w:rFonts w:cstheme="minorHAnsi"/>
          <w:sz w:val="24"/>
          <w:szCs w:val="24"/>
          <w:lang w:val="en-US"/>
        </w:rPr>
        <w:t>1 and T</w:t>
      </w:r>
      <w:r w:rsidRPr="00085FA2">
        <w:rPr>
          <w:rFonts w:cstheme="minorHAnsi"/>
          <w:sz w:val="24"/>
          <w:szCs w:val="24"/>
          <w:vertAlign w:val="subscript"/>
          <w:lang w:val="en-US"/>
        </w:rPr>
        <w:t>FH</w:t>
      </w:r>
      <w:r w:rsidRPr="00085FA2">
        <w:rPr>
          <w:rFonts w:cstheme="minorHAnsi"/>
          <w:sz w:val="24"/>
          <w:szCs w:val="24"/>
          <w:lang w:val="en-US"/>
        </w:rPr>
        <w:t xml:space="preserve"> cells responses, as well as detectable CD8 cell responses in a minority of individuals (unpublished data). There are two categories of inactivated virus COVID-19 vaccines. CoronaVac, adjuvanted with alum, likely generates relatively weak CD4 T cell responses with a mixture of T</w:t>
      </w:r>
      <w:r w:rsidRPr="00085FA2">
        <w:rPr>
          <w:rFonts w:cstheme="minorHAnsi"/>
          <w:sz w:val="24"/>
          <w:szCs w:val="24"/>
          <w:vertAlign w:val="subscript"/>
          <w:lang w:val="en-US"/>
        </w:rPr>
        <w:t>H</w:t>
      </w:r>
      <w:r w:rsidRPr="00085FA2">
        <w:rPr>
          <w:rFonts w:cstheme="minorHAnsi"/>
          <w:sz w:val="24"/>
          <w:szCs w:val="24"/>
          <w:lang w:val="en-US"/>
        </w:rPr>
        <w:t>1 and T</w:t>
      </w:r>
      <w:r w:rsidRPr="00085FA2">
        <w:rPr>
          <w:rFonts w:cstheme="minorHAnsi"/>
          <w:sz w:val="24"/>
          <w:szCs w:val="24"/>
          <w:vertAlign w:val="subscript"/>
          <w:lang w:val="en-US"/>
        </w:rPr>
        <w:t>H</w:t>
      </w:r>
      <w:r w:rsidRPr="00085FA2">
        <w:rPr>
          <w:rFonts w:cstheme="minorHAnsi"/>
          <w:sz w:val="24"/>
          <w:szCs w:val="24"/>
          <w:lang w:val="en-US"/>
        </w:rPr>
        <w:t xml:space="preserve">2 cells, and no CD8 T cells. </w:t>
      </w:r>
      <w:proofErr w:type="spellStart"/>
      <w:r w:rsidRPr="00085FA2">
        <w:rPr>
          <w:rFonts w:cstheme="minorHAnsi"/>
          <w:sz w:val="24"/>
          <w:szCs w:val="24"/>
          <w:lang w:val="en-US"/>
        </w:rPr>
        <w:t>Covaxin</w:t>
      </w:r>
      <w:proofErr w:type="spellEnd"/>
      <w:r w:rsidRPr="00085FA2">
        <w:rPr>
          <w:rFonts w:cstheme="minorHAnsi"/>
          <w:sz w:val="24"/>
          <w:szCs w:val="24"/>
          <w:lang w:val="en-US"/>
        </w:rPr>
        <w:t xml:space="preserve"> (BBV152), adjuvanted with a TLR7/8 agonist, elicits substantial T</w:t>
      </w:r>
      <w:r w:rsidRPr="00085FA2">
        <w:rPr>
          <w:rFonts w:cstheme="minorHAnsi"/>
          <w:sz w:val="24"/>
          <w:szCs w:val="24"/>
          <w:vertAlign w:val="subscript"/>
          <w:lang w:val="en-US"/>
        </w:rPr>
        <w:t>H</w:t>
      </w:r>
      <w:r w:rsidRPr="00085FA2">
        <w:rPr>
          <w:rFonts w:cstheme="minorHAnsi"/>
          <w:sz w:val="24"/>
          <w:szCs w:val="24"/>
          <w:lang w:val="en-US"/>
        </w:rPr>
        <w:t>1 and T</w:t>
      </w:r>
      <w:r w:rsidRPr="00085FA2">
        <w:rPr>
          <w:rFonts w:cstheme="minorHAnsi"/>
          <w:sz w:val="24"/>
          <w:szCs w:val="24"/>
          <w:vertAlign w:val="subscript"/>
          <w:lang w:val="en-US"/>
        </w:rPr>
        <w:t>FH</w:t>
      </w:r>
      <w:r w:rsidRPr="00085FA2">
        <w:rPr>
          <w:rFonts w:cstheme="minorHAnsi"/>
          <w:sz w:val="24"/>
          <w:szCs w:val="24"/>
          <w:lang w:val="en-US"/>
        </w:rPr>
        <w:t xml:space="preserve"> cell responses</w:t>
      </w:r>
      <w:r w:rsidR="00942CA5">
        <w:rPr>
          <w:rFonts w:cstheme="minorHAnsi"/>
          <w:sz w:val="24"/>
          <w:szCs w:val="24"/>
          <w:lang w:val="en-US"/>
        </w:rPr>
        <w:t>,</w:t>
      </w:r>
      <w:sdt>
        <w:sdtPr>
          <w:rPr>
            <w:rFonts w:cstheme="minorHAnsi"/>
            <w:sz w:val="24"/>
            <w:szCs w:val="24"/>
            <w:lang w:val="en-US"/>
          </w:rPr>
          <w:alias w:val="SmartCite Citation"/>
          <w:tag w:val="931a6ff4-2896-41dc-bc70-7732d417e6f3:ebe83d55-3e80-4e34-88e5-b457e69971db+"/>
          <w:id w:val="1101224560"/>
          <w:placeholder>
            <w:docPart w:val="03EC1C4E96FC41AB8876928AC3A86C0F"/>
          </w:placeholder>
        </w:sdtPr>
        <w:sdtEndPr/>
        <w:sdtContent>
          <w:r w:rsidR="00942CA5">
            <w:rPr>
              <w:rFonts w:eastAsia="Times New Roman" w:cstheme="minorHAnsi"/>
              <w:color w:val="000000"/>
              <w:sz w:val="24"/>
              <w:szCs w:val="24"/>
              <w:vertAlign w:val="superscript"/>
              <w:lang w:val="en-US"/>
            </w:rPr>
            <w:t>18</w:t>
          </w:r>
          <w:r w:rsidRPr="00085FA2">
            <w:rPr>
              <w:rFonts w:eastAsia="Times New Roman" w:cstheme="minorHAnsi"/>
              <w:color w:val="000000"/>
              <w:sz w:val="24"/>
              <w:szCs w:val="24"/>
              <w:vertAlign w:val="superscript"/>
              <w:lang w:val="en-US"/>
            </w:rPr>
            <w:t>9</w:t>
          </w:r>
        </w:sdtContent>
      </w:sdt>
      <w:r w:rsidRPr="00085FA2">
        <w:rPr>
          <w:rFonts w:cstheme="minorHAnsi"/>
          <w:sz w:val="24"/>
          <w:szCs w:val="24"/>
          <w:lang w:val="en-US"/>
        </w:rPr>
        <w:t xml:space="preserve"> likely explaining the greater efficacy of </w:t>
      </w:r>
      <w:proofErr w:type="spellStart"/>
      <w:r w:rsidRPr="00085FA2">
        <w:rPr>
          <w:rFonts w:cstheme="minorHAnsi"/>
          <w:sz w:val="24"/>
          <w:szCs w:val="24"/>
          <w:lang w:val="en-US"/>
        </w:rPr>
        <w:t>Covaxin</w:t>
      </w:r>
      <w:proofErr w:type="spellEnd"/>
      <w:r w:rsidRPr="00085FA2">
        <w:rPr>
          <w:rFonts w:cstheme="minorHAnsi"/>
          <w:sz w:val="24"/>
          <w:szCs w:val="24"/>
          <w:lang w:val="en-US"/>
        </w:rPr>
        <w:t xml:space="preserve"> compared to CoronaVac. </w:t>
      </w:r>
    </w:p>
    <w:p w14:paraId="41FA7DC9" w14:textId="43C307E3"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r w:rsidRPr="00085FA2">
        <w:rPr>
          <w:rFonts w:cstheme="minorHAnsi"/>
          <w:sz w:val="24"/>
          <w:szCs w:val="24"/>
          <w:lang w:val="en-US"/>
        </w:rPr>
        <w:tab/>
        <w:t>There is waning mRNA vaccine protection against detectable infection over the course of 6 months after 2-dose vaccination</w:t>
      </w:r>
      <w:r w:rsidR="00DB3EFA">
        <w:rPr>
          <w:rFonts w:cstheme="minorHAnsi"/>
          <w:sz w:val="24"/>
          <w:szCs w:val="24"/>
          <w:lang w:val="en-US"/>
        </w:rPr>
        <w:t>.</w:t>
      </w:r>
      <w:sdt>
        <w:sdtPr>
          <w:rPr>
            <w:rFonts w:cstheme="minorHAnsi"/>
            <w:sz w:val="24"/>
            <w:szCs w:val="24"/>
            <w:lang w:val="en-US"/>
          </w:rPr>
          <w:alias w:val="SmartCite Citation"/>
          <w:tag w:val="931a6ff4-2896-41dc-bc70-7732d417e6f3:f379cc1f-2c5d-457f-9ada-49b83bee8ce4,931a6ff4-2896-41dc-bc70-7732d417e6f3:ee6abb65-3e5f-4dd6-b707-ff3cb9d7471c,931a6ff4-2896-41dc-bc70-7732d417e6f3:48722df8-1a22-41ae-9212-cc464cae4887+"/>
          <w:id w:val="925998981"/>
          <w:placeholder>
            <w:docPart w:val="03EC1C4E96FC41AB8876928AC3A86C0F"/>
          </w:placeholder>
        </w:sdtPr>
        <w:sdtEndPr/>
        <w:sdtContent>
          <w:r w:rsidR="00DB3EFA">
            <w:rPr>
              <w:rFonts w:eastAsia="Times New Roman" w:cstheme="minorHAnsi"/>
              <w:color w:val="000000"/>
              <w:sz w:val="24"/>
              <w:szCs w:val="24"/>
              <w:vertAlign w:val="superscript"/>
              <w:lang w:val="en-US"/>
            </w:rPr>
            <w:t>163</w:t>
          </w:r>
          <w:r w:rsidRPr="00085FA2">
            <w:rPr>
              <w:rFonts w:eastAsia="Times New Roman" w:cstheme="minorHAnsi"/>
              <w:color w:val="000000"/>
              <w:sz w:val="24"/>
              <w:szCs w:val="24"/>
              <w:vertAlign w:val="superscript"/>
              <w:lang w:val="en-US"/>
            </w:rPr>
            <w:t>,</w:t>
          </w:r>
          <w:r w:rsidR="00DB3EFA">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90,</w:t>
          </w:r>
          <w:r w:rsidR="00DB3EFA">
            <w:rPr>
              <w:rFonts w:eastAsia="Times New Roman" w:cstheme="minorHAnsi"/>
              <w:color w:val="000000"/>
              <w:sz w:val="24"/>
              <w:szCs w:val="24"/>
              <w:vertAlign w:val="superscript"/>
              <w:lang w:val="en-US"/>
            </w:rPr>
            <w:t>1</w:t>
          </w:r>
          <w:r w:rsidRPr="00085FA2">
            <w:rPr>
              <w:rFonts w:eastAsia="Times New Roman" w:cstheme="minorHAnsi"/>
              <w:color w:val="000000"/>
              <w:sz w:val="24"/>
              <w:szCs w:val="24"/>
              <w:vertAlign w:val="superscript"/>
              <w:lang w:val="en-US"/>
            </w:rPr>
            <w:t>91</w:t>
          </w:r>
        </w:sdtContent>
      </w:sdt>
      <w:r w:rsidRPr="00085FA2">
        <w:rPr>
          <w:rFonts w:cstheme="minorHAnsi"/>
          <w:sz w:val="24"/>
          <w:szCs w:val="24"/>
          <w:lang w:val="en-US"/>
        </w:rPr>
        <w:t xml:space="preserve"> Importantly, protection against hospitalizations and deaths was relatively stable over the same period of time</w:t>
      </w:r>
      <w:r w:rsidR="000B1550">
        <w:rPr>
          <w:rFonts w:cstheme="minorHAnsi"/>
          <w:sz w:val="24"/>
          <w:szCs w:val="24"/>
          <w:lang w:val="en-US"/>
        </w:rPr>
        <w:t>.</w:t>
      </w:r>
      <w:sdt>
        <w:sdtPr>
          <w:rPr>
            <w:rFonts w:cstheme="minorHAnsi"/>
            <w:sz w:val="24"/>
            <w:szCs w:val="24"/>
            <w:lang w:val="en-US"/>
          </w:rPr>
          <w:alias w:val="SmartCite Citation"/>
          <w:tag w:val="931a6ff4-2896-41dc-bc70-7732d417e6f3:ee6abb65-3e5f-4dd6-b707-ff3cb9d7471c,931a6ff4-2896-41dc-bc70-7732d417e6f3:48722df8-1a22-41ae-9212-cc464cae4887+"/>
          <w:id w:val="-443549006"/>
          <w:placeholder>
            <w:docPart w:val="03EC1C4E96FC41AB8876928AC3A86C0F"/>
          </w:placeholder>
        </w:sdtPr>
        <w:sdtEndPr/>
        <w:sdtContent>
          <w:r w:rsidR="000B1550">
            <w:rPr>
              <w:rFonts w:eastAsia="Times New Roman" w:cstheme="minorHAnsi"/>
              <w:color w:val="000000"/>
              <w:sz w:val="24"/>
              <w:szCs w:val="24"/>
              <w:vertAlign w:val="superscript"/>
              <w:lang w:val="en-US"/>
            </w:rPr>
            <w:t>163,191</w:t>
          </w:r>
        </w:sdtContent>
      </w:sdt>
      <w:r w:rsidR="000B1550">
        <w:rPr>
          <w:rFonts w:cstheme="minorHAnsi"/>
          <w:sz w:val="24"/>
          <w:szCs w:val="24"/>
          <w:lang w:val="en-US"/>
        </w:rPr>
        <w:t xml:space="preserve"> </w:t>
      </w:r>
      <w:r w:rsidRPr="00085FA2">
        <w:rPr>
          <w:rFonts w:cstheme="minorHAnsi"/>
          <w:sz w:val="24"/>
          <w:szCs w:val="24"/>
          <w:lang w:val="en-US"/>
        </w:rPr>
        <w:t xml:space="preserve">The uncoupling of infection rates from hospitalization and fatality rates is consistent with a role of vaccine-elicited T cells in </w:t>
      </w:r>
      <w:r w:rsidRPr="00085FA2">
        <w:rPr>
          <w:rFonts w:cstheme="minorHAnsi"/>
          <w:sz w:val="24"/>
          <w:szCs w:val="24"/>
          <w:lang w:val="en-US"/>
        </w:rPr>
        <w:lastRenderedPageBreak/>
        <w:t xml:space="preserve">protective immunity. It has been widely suggested that this is also seen for Omicron, where after 2-doses of mRNA vaccine most individuals have no detectable Omicron </w:t>
      </w:r>
      <w:proofErr w:type="spellStart"/>
      <w:r w:rsidRPr="00085FA2">
        <w:rPr>
          <w:rFonts w:cstheme="minorHAnsi"/>
          <w:sz w:val="24"/>
          <w:szCs w:val="24"/>
          <w:lang w:val="en-US"/>
        </w:rPr>
        <w:t>nAbs</w:t>
      </w:r>
      <w:proofErr w:type="spellEnd"/>
      <w:r w:rsidRPr="00085FA2">
        <w:rPr>
          <w:rFonts w:cstheme="minorHAnsi"/>
          <w:sz w:val="24"/>
          <w:szCs w:val="24"/>
          <w:lang w:val="en-US"/>
        </w:rPr>
        <w:t>, and yet there is still significant immunity from hospitalizations or fatalities</w:t>
      </w:r>
      <w:r w:rsidR="000B1550">
        <w:rPr>
          <w:rFonts w:cstheme="minorHAnsi"/>
          <w:sz w:val="24"/>
          <w:szCs w:val="24"/>
          <w:lang w:val="en-US"/>
        </w:rPr>
        <w:t>.</w:t>
      </w:r>
      <w:sdt>
        <w:sdtPr>
          <w:rPr>
            <w:rFonts w:cstheme="minorHAnsi"/>
            <w:sz w:val="24"/>
            <w:szCs w:val="24"/>
            <w:lang w:val="en-US"/>
          </w:rPr>
          <w:alias w:val="SmartCite Citation"/>
          <w:tag w:val="931a6ff4-2896-41dc-bc70-7732d417e6f3:b4c7e6b0-330c-47c9-84b7-548626edfb69,931a6ff4-2896-41dc-bc70-7732d417e6f3:c3029b53-ee93-46f2-a79e-ba13b7046904+"/>
          <w:id w:val="745695233"/>
          <w:placeholder>
            <w:docPart w:val="03EC1C4E96FC41AB8876928AC3A86C0F"/>
          </w:placeholder>
        </w:sdtPr>
        <w:sdtEndPr/>
        <w:sdtContent>
          <w:r w:rsidR="000B1550">
            <w:rPr>
              <w:rFonts w:eastAsia="Times New Roman" w:cstheme="minorHAnsi"/>
              <w:color w:val="000000"/>
              <w:sz w:val="24"/>
              <w:szCs w:val="24"/>
              <w:vertAlign w:val="superscript"/>
              <w:lang w:val="en-US"/>
            </w:rPr>
            <w:t>16</w:t>
          </w:r>
          <w:r w:rsidRPr="00085FA2">
            <w:rPr>
              <w:rFonts w:eastAsia="Times New Roman" w:cstheme="minorHAnsi"/>
              <w:color w:val="000000"/>
              <w:sz w:val="24"/>
              <w:szCs w:val="24"/>
              <w:vertAlign w:val="superscript"/>
              <w:lang w:val="en-US"/>
            </w:rPr>
            <w:t>5,</w:t>
          </w:r>
          <w:r w:rsidR="000B1550">
            <w:rPr>
              <w:rFonts w:eastAsia="Times New Roman" w:cstheme="minorHAnsi"/>
              <w:color w:val="000000"/>
              <w:sz w:val="24"/>
              <w:szCs w:val="24"/>
              <w:vertAlign w:val="superscript"/>
              <w:lang w:val="en-US"/>
            </w:rPr>
            <w:t>19</w:t>
          </w:r>
          <w:r w:rsidRPr="00085FA2">
            <w:rPr>
              <w:rFonts w:eastAsia="Times New Roman" w:cstheme="minorHAnsi"/>
              <w:color w:val="000000"/>
              <w:sz w:val="24"/>
              <w:szCs w:val="24"/>
              <w:vertAlign w:val="superscript"/>
              <w:lang w:val="en-US"/>
            </w:rPr>
            <w:t>2</w:t>
          </w:r>
        </w:sdtContent>
      </w:sdt>
      <w:r w:rsidRPr="00085FA2">
        <w:rPr>
          <w:rFonts w:cstheme="minorHAnsi"/>
          <w:sz w:val="24"/>
          <w:szCs w:val="24"/>
          <w:lang w:val="en-US"/>
        </w:rPr>
        <w:t xml:space="preserve"> This again is consistent with a meaningful role for T cells in protective immunity. However, these analyses are currently limited in terms of temporal follow up and comparator groups.</w:t>
      </w:r>
    </w:p>
    <w:p w14:paraId="41B84D1B" w14:textId="77777777"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p>
    <w:p w14:paraId="5672CA6A" w14:textId="77777777"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Long COVID</w:t>
      </w:r>
    </w:p>
    <w:p w14:paraId="0CCC3AE6" w14:textId="583B9189" w:rsidR="0046611F" w:rsidRPr="00085FA2" w:rsidRDefault="0046611F" w:rsidP="00C14940">
      <w:pPr>
        <w:snapToGrid w:val="0"/>
        <w:spacing w:before="100" w:beforeAutospacing="1" w:after="100" w:afterAutospacing="1" w:line="480" w:lineRule="auto"/>
        <w:ind w:firstLine="720"/>
        <w:contextualSpacing/>
        <w:rPr>
          <w:rFonts w:cstheme="minorHAnsi"/>
          <w:sz w:val="24"/>
          <w:szCs w:val="24"/>
          <w:lang w:val="en-US"/>
        </w:rPr>
      </w:pPr>
      <w:r w:rsidRPr="00085FA2">
        <w:rPr>
          <w:rFonts w:cstheme="minorHAnsi"/>
          <w:sz w:val="24"/>
          <w:szCs w:val="24"/>
          <w:lang w:val="en-US"/>
        </w:rPr>
        <w:t>It is unknown if T cells play a role in protect against long COVID. There is reasonable evidence of viral RNA and protein persisting for at least 90 days in the intestines of greater than 50% of unvaccinated SARS-CoV-2 infected individuals</w:t>
      </w:r>
      <w:sdt>
        <w:sdtPr>
          <w:rPr>
            <w:rFonts w:cstheme="minorHAnsi"/>
            <w:sz w:val="24"/>
            <w:szCs w:val="24"/>
            <w:lang w:val="en-US"/>
          </w:rPr>
          <w:alias w:val="SmartCite Citation"/>
          <w:tag w:val="931a6ff4-2896-41dc-bc70-7732d417e6f3:45120c2b-7284-4e76-bee8-b0bfd7a743b0+"/>
          <w:id w:val="913428498"/>
          <w:placeholder>
            <w:docPart w:val="03EC1C4E96FC41AB8876928AC3A86C0F"/>
          </w:placeholder>
        </w:sdtPr>
        <w:sdtEndPr/>
        <w:sdtContent>
          <w:r w:rsidR="00C14940">
            <w:rPr>
              <w:rFonts w:eastAsia="Times New Roman" w:cstheme="minorHAnsi"/>
              <w:color w:val="000000"/>
              <w:sz w:val="24"/>
              <w:szCs w:val="24"/>
              <w:vertAlign w:val="superscript"/>
              <w:lang w:val="en-US"/>
            </w:rPr>
            <w:t>19</w:t>
          </w:r>
          <w:r w:rsidRPr="00085FA2">
            <w:rPr>
              <w:rFonts w:eastAsia="Times New Roman" w:cstheme="minorHAnsi"/>
              <w:color w:val="000000"/>
              <w:sz w:val="24"/>
              <w:szCs w:val="24"/>
              <w:vertAlign w:val="superscript"/>
              <w:lang w:val="en-US"/>
            </w:rPr>
            <w:t>3</w:t>
          </w:r>
        </w:sdtContent>
      </w:sdt>
      <w:r w:rsidRPr="00085FA2">
        <w:rPr>
          <w:rFonts w:cstheme="minorHAnsi"/>
          <w:sz w:val="24"/>
          <w:szCs w:val="24"/>
          <w:lang w:val="en-US"/>
        </w:rPr>
        <w:t xml:space="preserve">. Thus, persistent SARS-CoV-2 infection as a cause of some cases of long COVID is a reasonable hypothesis. As a corollary, it is then plausible that weak CD8 T cell responses in some individuals could be associated with persistent SARS-CoV-2 in some tissues. In one case study, an </w:t>
      </w:r>
      <w:r w:rsidR="00C14940" w:rsidRPr="00085FA2">
        <w:rPr>
          <w:rFonts w:cstheme="minorHAnsi"/>
          <w:sz w:val="24"/>
          <w:szCs w:val="24"/>
          <w:lang w:val="en-US"/>
        </w:rPr>
        <w:t>80-year-old</w:t>
      </w:r>
      <w:r w:rsidRPr="00085FA2">
        <w:rPr>
          <w:rFonts w:cstheme="minorHAnsi"/>
          <w:sz w:val="24"/>
          <w:szCs w:val="24"/>
          <w:lang w:val="en-US"/>
        </w:rPr>
        <w:t xml:space="preserve"> man had substantial viral shedding for over 90 days that was associated with an impaired CD8 T cell response but an intact CD4 T cell and </w:t>
      </w:r>
      <w:proofErr w:type="spellStart"/>
      <w:r w:rsidRPr="00085FA2">
        <w:rPr>
          <w:rFonts w:cstheme="minorHAnsi"/>
          <w:sz w:val="24"/>
          <w:szCs w:val="24"/>
          <w:lang w:val="en-US"/>
        </w:rPr>
        <w:t>nAb</w:t>
      </w:r>
      <w:proofErr w:type="spellEnd"/>
      <w:r w:rsidRPr="00085FA2">
        <w:rPr>
          <w:rFonts w:cstheme="minorHAnsi"/>
          <w:sz w:val="24"/>
          <w:szCs w:val="24"/>
          <w:lang w:val="en-US"/>
        </w:rPr>
        <w:t xml:space="preserve"> response</w:t>
      </w:r>
      <w:sdt>
        <w:sdtPr>
          <w:rPr>
            <w:rFonts w:cstheme="minorHAnsi"/>
            <w:sz w:val="24"/>
            <w:szCs w:val="24"/>
            <w:lang w:val="en-US"/>
          </w:rPr>
          <w:alias w:val="SmartCite Citation"/>
          <w:tag w:val="931a6ff4-2896-41dc-bc70-7732d417e6f3:0e8dadef-7dfc-4667-b802-195e29776d60+"/>
          <w:id w:val="-755206009"/>
          <w:placeholder>
            <w:docPart w:val="494C72AFF9C94E2EB67304166E354795"/>
          </w:placeholder>
        </w:sdtPr>
        <w:sdtEndPr/>
        <w:sdtContent>
          <w:r w:rsidR="00C14940">
            <w:rPr>
              <w:rFonts w:eastAsia="Times New Roman" w:cstheme="minorHAnsi"/>
              <w:color w:val="000000"/>
              <w:sz w:val="24"/>
              <w:szCs w:val="24"/>
              <w:vertAlign w:val="superscript"/>
              <w:lang w:val="en-US"/>
            </w:rPr>
            <w:t>19</w:t>
          </w:r>
          <w:r w:rsidRPr="00085FA2">
            <w:rPr>
              <w:rFonts w:eastAsia="Times New Roman" w:cstheme="minorHAnsi"/>
              <w:color w:val="000000"/>
              <w:sz w:val="24"/>
              <w:szCs w:val="24"/>
              <w:vertAlign w:val="superscript"/>
              <w:lang w:val="en-US"/>
            </w:rPr>
            <w:t>4</w:t>
          </w:r>
        </w:sdtContent>
      </w:sdt>
      <w:r w:rsidRPr="00085FA2">
        <w:rPr>
          <w:rFonts w:cstheme="minorHAnsi"/>
          <w:sz w:val="24"/>
          <w:szCs w:val="24"/>
          <w:lang w:val="en-US"/>
        </w:rPr>
        <w:t xml:space="preserve">. The potential involvement of insufficient T cell responses and multiple other immunological concepts of long COVID need to be tested and may shed light on protective immunity against COVID-19 more broadly. </w:t>
      </w:r>
    </w:p>
    <w:p w14:paraId="11FC3CBC" w14:textId="77777777" w:rsidR="0046611F" w:rsidRPr="00085FA2" w:rsidRDefault="0046611F" w:rsidP="00616AD1">
      <w:pPr>
        <w:snapToGrid w:val="0"/>
        <w:spacing w:before="100" w:beforeAutospacing="1" w:after="100" w:afterAutospacing="1" w:line="480" w:lineRule="auto"/>
        <w:contextualSpacing/>
        <w:rPr>
          <w:rFonts w:cstheme="minorHAnsi"/>
          <w:sz w:val="24"/>
          <w:szCs w:val="24"/>
          <w:lang w:val="en-US"/>
        </w:rPr>
      </w:pPr>
    </w:p>
    <w:p w14:paraId="14B2AE19" w14:textId="77777777" w:rsidR="0046611F" w:rsidRPr="003A468C" w:rsidRDefault="0046611F" w:rsidP="00616AD1">
      <w:pPr>
        <w:snapToGrid w:val="0"/>
        <w:spacing w:before="100" w:beforeAutospacing="1" w:after="100" w:afterAutospacing="1" w:line="480" w:lineRule="auto"/>
        <w:contextualSpacing/>
        <w:rPr>
          <w:rFonts w:cstheme="minorHAnsi"/>
          <w:b/>
          <w:i/>
          <w:iCs/>
          <w:sz w:val="24"/>
          <w:szCs w:val="24"/>
          <w:lang w:val="en-US"/>
        </w:rPr>
      </w:pPr>
      <w:r w:rsidRPr="003A468C">
        <w:rPr>
          <w:rFonts w:cstheme="minorHAnsi"/>
          <w:b/>
          <w:i/>
          <w:iCs/>
          <w:sz w:val="24"/>
          <w:szCs w:val="24"/>
          <w:lang w:val="en-US"/>
        </w:rPr>
        <w:t>T cell protection summary</w:t>
      </w:r>
    </w:p>
    <w:p w14:paraId="25CDB898" w14:textId="0ED6C1A7" w:rsidR="0046611F" w:rsidRPr="00085FA2" w:rsidRDefault="0046611F" w:rsidP="00C43ED2">
      <w:pPr>
        <w:spacing w:line="480" w:lineRule="auto"/>
        <w:ind w:firstLine="720"/>
        <w:rPr>
          <w:rFonts w:eastAsia="Times New Roman" w:cstheme="minorHAnsi"/>
          <w:color w:val="000000"/>
          <w:sz w:val="24"/>
          <w:szCs w:val="24"/>
          <w:lang w:val="en-US"/>
        </w:rPr>
      </w:pPr>
      <w:r w:rsidRPr="00085FA2">
        <w:rPr>
          <w:rFonts w:eastAsia="Times New Roman" w:cstheme="minorHAnsi"/>
          <w:color w:val="000000"/>
          <w:sz w:val="24"/>
          <w:szCs w:val="24"/>
          <w:lang w:val="en-US"/>
        </w:rPr>
        <w:t xml:space="preserve">Numerous lines of evidence point to roles of T cells in protective immunity against COVID-19. One key aspect is that the kinetics of severe COVID-19 are slow enough that a T cell recall response is likely to have sufficient time to contribute to protection before the onset of </w:t>
      </w:r>
      <w:r w:rsidRPr="00085FA2">
        <w:rPr>
          <w:rFonts w:eastAsia="Times New Roman" w:cstheme="minorHAnsi"/>
          <w:color w:val="000000"/>
          <w:sz w:val="24"/>
          <w:szCs w:val="24"/>
          <w:lang w:val="en-US"/>
        </w:rPr>
        <w:lastRenderedPageBreak/>
        <w:t>hospitalization-level disease. T cell recall can occur in 3-5 days for other infections, and T cells have evidence of protection against symptomatic influenza. Given that COVID-19 is often symptomatic after 5 days, it is quite plausible that circulating T cells could prevent or moderate symptoms of COVID-19</w:t>
      </w:r>
      <w:r w:rsidR="00C43ED2">
        <w:rPr>
          <w:rFonts w:eastAsia="Times New Roman" w:cstheme="minorHAnsi"/>
          <w:color w:val="000000"/>
          <w:sz w:val="24"/>
          <w:szCs w:val="24"/>
          <w:lang w:val="en-US"/>
        </w:rPr>
        <w:t>.</w:t>
      </w:r>
      <w:sdt>
        <w:sdtPr>
          <w:rPr>
            <w:rFonts w:eastAsia="Times New Roman" w:cstheme="minorHAnsi"/>
            <w:color w:val="000000"/>
            <w:sz w:val="24"/>
            <w:szCs w:val="24"/>
            <w:lang w:val="en-US"/>
          </w:rPr>
          <w:alias w:val="SmartCite Citation"/>
          <w:tag w:val="931a6ff4-2896-41dc-bc70-7732d417e6f3:ba088504-e3af-4ce5-adaa-ab89083ab093+"/>
          <w:id w:val="-1668097242"/>
          <w:placeholder>
            <w:docPart w:val="03EC1C4E96FC41AB8876928AC3A86C0F"/>
          </w:placeholder>
        </w:sdtPr>
        <w:sdtEndPr/>
        <w:sdtContent>
          <w:r w:rsidR="00C43ED2" w:rsidRPr="00C43ED2">
            <w:rPr>
              <w:rFonts w:eastAsia="Times New Roman" w:cstheme="minorHAnsi"/>
              <w:color w:val="000000"/>
              <w:sz w:val="24"/>
              <w:szCs w:val="24"/>
              <w:vertAlign w:val="superscript"/>
              <w:lang w:val="en-US"/>
            </w:rPr>
            <w:t>104</w:t>
          </w:r>
        </w:sdtContent>
      </w:sdt>
      <w:r w:rsidRPr="00085FA2">
        <w:rPr>
          <w:rFonts w:eastAsia="Times New Roman" w:cstheme="minorHAnsi"/>
          <w:color w:val="000000"/>
          <w:sz w:val="24"/>
          <w:szCs w:val="24"/>
          <w:lang w:val="en-US"/>
        </w:rPr>
        <w:t xml:space="preserve"> </w:t>
      </w:r>
      <w:r w:rsidRPr="00085FA2">
        <w:rPr>
          <w:rFonts w:cstheme="minorHAnsi"/>
          <w:sz w:val="24"/>
          <w:szCs w:val="24"/>
          <w:lang w:val="en-US"/>
        </w:rPr>
        <w:t xml:space="preserve">The biggest immunological difference between protective immunity generated by SARS-CoV-2 infection compared to vaccination is mostly likely the presence of local immunity in the upper respiratory tract and lungs. </w:t>
      </w:r>
      <w:r w:rsidRPr="00085FA2">
        <w:rPr>
          <w:rFonts w:eastAsia="Times New Roman" w:cstheme="minorHAnsi"/>
          <w:color w:val="000000"/>
          <w:sz w:val="24"/>
          <w:szCs w:val="24"/>
          <w:lang w:val="en-US"/>
        </w:rPr>
        <w:t xml:space="preserve">There are reasonable data that local tissue resident memory T cells are present and can limit viral replication sufficiently to moderate or prevent symptomatic disease. The most striking data are that these T cells can possibly fully prevent even seroconversion to infection. Infection generates tissue resident T cells, but vaccination presumably does not. </w:t>
      </w:r>
      <w:r w:rsidRPr="00085FA2">
        <w:rPr>
          <w:rFonts w:cstheme="minorHAnsi"/>
          <w:sz w:val="24"/>
          <w:szCs w:val="24"/>
          <w:lang w:val="en-US"/>
        </w:rPr>
        <w:t xml:space="preserve">The durability of immunity in previously infected individuals is also consistent with roles of T cells in immunity, given the low </w:t>
      </w:r>
      <w:proofErr w:type="spellStart"/>
      <w:r w:rsidRPr="00085FA2">
        <w:rPr>
          <w:rFonts w:cstheme="minorHAnsi"/>
          <w:sz w:val="24"/>
          <w:szCs w:val="24"/>
          <w:lang w:val="en-US"/>
        </w:rPr>
        <w:t>nAb</w:t>
      </w:r>
      <w:proofErr w:type="spellEnd"/>
      <w:r w:rsidRPr="00085FA2">
        <w:rPr>
          <w:rFonts w:cstheme="minorHAnsi"/>
          <w:sz w:val="24"/>
          <w:szCs w:val="24"/>
          <w:lang w:val="en-US"/>
        </w:rPr>
        <w:t xml:space="preserve"> titers in many individuals. Current vaccines are not designed to elicit tissue resident memory T cells at those tissue sites. Thus, this local mechanism of T cell protection by previous SARS-CoV-2 infection (or cross</w:t>
      </w:r>
      <w:r w:rsidR="009F3630">
        <w:rPr>
          <w:rFonts w:cstheme="minorHAnsi"/>
          <w:sz w:val="24"/>
          <w:szCs w:val="24"/>
          <w:lang w:val="en-US"/>
        </w:rPr>
        <w:t>-</w:t>
      </w:r>
      <w:r w:rsidRPr="00085FA2">
        <w:rPr>
          <w:rFonts w:cstheme="minorHAnsi"/>
          <w:sz w:val="24"/>
          <w:szCs w:val="24"/>
          <w:lang w:val="en-US"/>
        </w:rPr>
        <w:t>reactive T cells) would not be expected for current COVID-19 vaccines. A mucosal vaccine would be required to generate local T cell immunity after immunization.</w:t>
      </w:r>
    </w:p>
    <w:p w14:paraId="1E5481EA" w14:textId="62E7915C" w:rsidR="00977F0E" w:rsidRPr="003A468C" w:rsidRDefault="00B56936" w:rsidP="00B0710D">
      <w:pPr>
        <w:spacing w:line="480" w:lineRule="auto"/>
        <w:rPr>
          <w:b/>
          <w:bCs/>
          <w:noProof/>
          <w:sz w:val="24"/>
          <w:szCs w:val="24"/>
          <w:lang w:val="en-US"/>
        </w:rPr>
      </w:pPr>
      <w:r w:rsidRPr="003A468C">
        <w:rPr>
          <w:b/>
          <w:bCs/>
          <w:noProof/>
          <w:sz w:val="24"/>
          <w:szCs w:val="24"/>
          <w:lang w:val="en-US"/>
        </w:rPr>
        <w:t>DISCUSSION</w:t>
      </w:r>
    </w:p>
    <w:p w14:paraId="2F83A458" w14:textId="70F4FC40" w:rsidR="00B1005D" w:rsidRPr="00085FA2" w:rsidRDefault="00B56936" w:rsidP="00B0710D">
      <w:pPr>
        <w:spacing w:line="480" w:lineRule="auto"/>
        <w:rPr>
          <w:noProof/>
          <w:sz w:val="24"/>
          <w:szCs w:val="24"/>
          <w:lang w:val="en-US"/>
        </w:rPr>
      </w:pPr>
      <w:r w:rsidRPr="00085FA2">
        <w:rPr>
          <w:noProof/>
          <w:sz w:val="24"/>
          <w:szCs w:val="24"/>
          <w:lang w:val="en-US"/>
        </w:rPr>
        <w:tab/>
        <w:t xml:space="preserve">The identification of correlates of protection by vaccines requires understanding of the utility of correlates for enabling predictions but also the limitation that the immune system is complex and that CoPs are simplifications of a biological situation in which different arms of the immune system may all contribute to protection. </w:t>
      </w:r>
      <w:r w:rsidR="00527831" w:rsidRPr="00085FA2">
        <w:rPr>
          <w:noProof/>
          <w:sz w:val="24"/>
          <w:szCs w:val="24"/>
          <w:lang w:val="en-US"/>
        </w:rPr>
        <w:t>Mucosal infections are often contrasted with viremic or bacteremic infections but in the case of</w:t>
      </w:r>
      <w:r w:rsidRPr="00085FA2">
        <w:rPr>
          <w:noProof/>
          <w:sz w:val="24"/>
          <w:szCs w:val="24"/>
          <w:lang w:val="en-US"/>
        </w:rPr>
        <w:t xml:space="preserve"> </w:t>
      </w:r>
      <w:r w:rsidR="002C4208" w:rsidRPr="00085FA2">
        <w:rPr>
          <w:noProof/>
          <w:sz w:val="24"/>
          <w:szCs w:val="24"/>
          <w:lang w:val="en-US"/>
        </w:rPr>
        <w:t>SARS-CoV-2</w:t>
      </w:r>
      <w:r w:rsidR="00527831" w:rsidRPr="00085FA2">
        <w:rPr>
          <w:noProof/>
          <w:sz w:val="24"/>
          <w:szCs w:val="24"/>
          <w:lang w:val="en-US"/>
        </w:rPr>
        <w:t xml:space="preserve"> one is dealing with an </w:t>
      </w:r>
      <w:r w:rsidR="00527831" w:rsidRPr="00085FA2">
        <w:rPr>
          <w:noProof/>
          <w:sz w:val="24"/>
          <w:szCs w:val="24"/>
          <w:lang w:val="en-US"/>
        </w:rPr>
        <w:lastRenderedPageBreak/>
        <w:t>intermediate pathogenesis that has aspects of both local and systemic pathogenesis</w:t>
      </w:r>
      <w:r w:rsidR="00AF6D86" w:rsidRPr="00085FA2">
        <w:rPr>
          <w:noProof/>
          <w:sz w:val="24"/>
          <w:szCs w:val="24"/>
          <w:lang w:val="en-US"/>
        </w:rPr>
        <w:t xml:space="preserve"> that does not involve viremia.</w:t>
      </w:r>
      <w:r w:rsidR="00527831" w:rsidRPr="00085FA2">
        <w:rPr>
          <w:noProof/>
          <w:sz w:val="24"/>
          <w:szCs w:val="24"/>
          <w:lang w:val="en-US"/>
        </w:rPr>
        <w:t xml:space="preserve">  Our analysis turned up multiple correlates of protection</w:t>
      </w:r>
      <w:r w:rsidR="00956E9C" w:rsidRPr="00085FA2">
        <w:rPr>
          <w:noProof/>
          <w:sz w:val="24"/>
          <w:szCs w:val="24"/>
          <w:lang w:val="en-US"/>
        </w:rPr>
        <w:t xml:space="preserve">.  </w:t>
      </w:r>
      <w:r w:rsidR="00527831" w:rsidRPr="00085FA2">
        <w:rPr>
          <w:noProof/>
          <w:sz w:val="24"/>
          <w:szCs w:val="24"/>
          <w:lang w:val="en-US"/>
        </w:rPr>
        <w:t xml:space="preserve">However, although the most </w:t>
      </w:r>
      <w:r w:rsidR="00956E9C" w:rsidRPr="00085FA2">
        <w:rPr>
          <w:noProof/>
          <w:sz w:val="24"/>
          <w:szCs w:val="24"/>
          <w:lang w:val="en-US"/>
        </w:rPr>
        <w:t>useful</w:t>
      </w:r>
      <w:r w:rsidR="00527831" w:rsidRPr="00085FA2">
        <w:rPr>
          <w:noProof/>
          <w:sz w:val="24"/>
          <w:szCs w:val="24"/>
          <w:lang w:val="en-US"/>
        </w:rPr>
        <w:t xml:space="preserve"> and easily applied is the quantity of antibodies that inhibit viral infection</w:t>
      </w:r>
      <w:r w:rsidR="00956E9C" w:rsidRPr="00085FA2">
        <w:rPr>
          <w:noProof/>
          <w:sz w:val="24"/>
          <w:szCs w:val="24"/>
          <w:lang w:val="en-US"/>
        </w:rPr>
        <w:t>,</w:t>
      </w:r>
      <w:r w:rsidR="00527831" w:rsidRPr="00085FA2">
        <w:rPr>
          <w:noProof/>
          <w:sz w:val="24"/>
          <w:szCs w:val="24"/>
          <w:lang w:val="en-US"/>
        </w:rPr>
        <w:t xml:space="preserve"> it is manifest that </w:t>
      </w:r>
      <w:r w:rsidR="009F3630">
        <w:rPr>
          <w:noProof/>
          <w:sz w:val="24"/>
          <w:szCs w:val="24"/>
          <w:lang w:val="en-US"/>
        </w:rPr>
        <w:t>opsonophagocytic</w:t>
      </w:r>
      <w:r w:rsidR="00527831" w:rsidRPr="00085FA2">
        <w:rPr>
          <w:noProof/>
          <w:sz w:val="24"/>
          <w:szCs w:val="24"/>
          <w:lang w:val="en-US"/>
        </w:rPr>
        <w:t xml:space="preserve"> function</w:t>
      </w:r>
      <w:r w:rsidR="009F3630">
        <w:rPr>
          <w:noProof/>
          <w:sz w:val="24"/>
          <w:szCs w:val="24"/>
          <w:lang w:val="en-US"/>
        </w:rPr>
        <w:t>s</w:t>
      </w:r>
      <w:r w:rsidR="00527831" w:rsidRPr="00085FA2">
        <w:rPr>
          <w:noProof/>
          <w:sz w:val="24"/>
          <w:szCs w:val="24"/>
          <w:lang w:val="en-US"/>
        </w:rPr>
        <w:t xml:space="preserve"> and T cell responses impact on the ability of an infected person to control </w:t>
      </w:r>
      <w:r w:rsidR="000C7E17" w:rsidRPr="00085FA2">
        <w:rPr>
          <w:noProof/>
          <w:sz w:val="24"/>
          <w:szCs w:val="24"/>
          <w:lang w:val="en-US"/>
        </w:rPr>
        <w:t>viral replication. Thus, there is a correlate of protection against</w:t>
      </w:r>
      <w:r w:rsidR="00AF6D86" w:rsidRPr="00085FA2">
        <w:rPr>
          <w:noProof/>
          <w:sz w:val="24"/>
          <w:szCs w:val="24"/>
          <w:lang w:val="en-US"/>
        </w:rPr>
        <w:t xml:space="preserve"> </w:t>
      </w:r>
      <w:r w:rsidR="002C4208" w:rsidRPr="00085FA2">
        <w:rPr>
          <w:noProof/>
          <w:sz w:val="24"/>
          <w:szCs w:val="24"/>
          <w:lang w:val="en-US"/>
        </w:rPr>
        <w:t>SARS-CoV-2</w:t>
      </w:r>
      <w:r w:rsidR="00AF6D86" w:rsidRPr="00085FA2">
        <w:rPr>
          <w:noProof/>
          <w:sz w:val="24"/>
          <w:szCs w:val="24"/>
          <w:lang w:val="en-US"/>
        </w:rPr>
        <w:t xml:space="preserve"> infection and others against</w:t>
      </w:r>
      <w:r w:rsidR="000C7E17" w:rsidRPr="00085FA2">
        <w:rPr>
          <w:noProof/>
          <w:sz w:val="24"/>
          <w:szCs w:val="24"/>
          <w:lang w:val="en-US"/>
        </w:rPr>
        <w:t xml:space="preserve"> </w:t>
      </w:r>
      <w:r w:rsidR="00AF6D86" w:rsidRPr="00085FA2">
        <w:rPr>
          <w:noProof/>
          <w:sz w:val="24"/>
          <w:szCs w:val="24"/>
          <w:lang w:val="en-US"/>
        </w:rPr>
        <w:t>severity of</w:t>
      </w:r>
      <w:r w:rsidR="000C7E17" w:rsidRPr="00085FA2">
        <w:rPr>
          <w:noProof/>
          <w:sz w:val="24"/>
          <w:szCs w:val="24"/>
          <w:lang w:val="en-US"/>
        </w:rPr>
        <w:t xml:space="preserve"> disease</w:t>
      </w:r>
      <w:r w:rsidR="00AF6D86" w:rsidRPr="00085FA2">
        <w:rPr>
          <w:noProof/>
          <w:sz w:val="24"/>
          <w:szCs w:val="24"/>
          <w:lang w:val="en-US"/>
        </w:rPr>
        <w:t xml:space="preserve"> involving </w:t>
      </w:r>
      <w:r w:rsidR="000C7E17" w:rsidRPr="00085FA2">
        <w:rPr>
          <w:noProof/>
          <w:sz w:val="24"/>
          <w:szCs w:val="24"/>
          <w:lang w:val="en-US"/>
        </w:rPr>
        <w:t xml:space="preserve">spread from mucosal sites. </w:t>
      </w:r>
      <w:r w:rsidR="00956E9C" w:rsidRPr="00085FA2">
        <w:rPr>
          <w:noProof/>
          <w:sz w:val="24"/>
          <w:szCs w:val="24"/>
          <w:lang w:val="en-US"/>
        </w:rPr>
        <w:t xml:space="preserve"> </w:t>
      </w:r>
      <w:r w:rsidR="000C7E17" w:rsidRPr="00085FA2">
        <w:rPr>
          <w:noProof/>
          <w:sz w:val="24"/>
          <w:szCs w:val="24"/>
          <w:lang w:val="en-US"/>
        </w:rPr>
        <w:t>There is</w:t>
      </w:r>
      <w:r w:rsidR="00B1005D" w:rsidRPr="00085FA2">
        <w:rPr>
          <w:noProof/>
          <w:sz w:val="24"/>
          <w:szCs w:val="24"/>
          <w:lang w:val="en-US"/>
        </w:rPr>
        <w:t xml:space="preserve"> value in identifying</w:t>
      </w:r>
      <w:r w:rsidR="00956E9C" w:rsidRPr="00085FA2">
        <w:rPr>
          <w:noProof/>
          <w:sz w:val="24"/>
          <w:szCs w:val="24"/>
          <w:lang w:val="en-US"/>
        </w:rPr>
        <w:t xml:space="preserve"> CoPs for protection against mucosal infection, </w:t>
      </w:r>
      <w:r w:rsidR="00AF6D86" w:rsidRPr="00085FA2">
        <w:rPr>
          <w:noProof/>
          <w:sz w:val="24"/>
          <w:szCs w:val="24"/>
          <w:lang w:val="en-US"/>
        </w:rPr>
        <w:t xml:space="preserve">protection against serious disease, </w:t>
      </w:r>
      <w:r w:rsidR="00B1005D" w:rsidRPr="00085FA2">
        <w:rPr>
          <w:noProof/>
          <w:sz w:val="24"/>
          <w:szCs w:val="24"/>
          <w:lang w:val="en-US"/>
        </w:rPr>
        <w:t xml:space="preserve">and protection against </w:t>
      </w:r>
      <w:r w:rsidR="009F3630">
        <w:rPr>
          <w:noProof/>
          <w:sz w:val="24"/>
          <w:szCs w:val="24"/>
          <w:lang w:val="en-US"/>
        </w:rPr>
        <w:t>transmission to</w:t>
      </w:r>
      <w:r w:rsidR="00B1005D" w:rsidRPr="00085FA2">
        <w:rPr>
          <w:noProof/>
          <w:sz w:val="24"/>
          <w:szCs w:val="24"/>
          <w:lang w:val="en-US"/>
        </w:rPr>
        <w:t xml:space="preserve"> others.  </w:t>
      </w:r>
    </w:p>
    <w:p w14:paraId="7EEDA2EE" w14:textId="017E1EBC" w:rsidR="00B56936" w:rsidRPr="00085FA2" w:rsidRDefault="00B1005D" w:rsidP="00B0710D">
      <w:pPr>
        <w:spacing w:line="480" w:lineRule="auto"/>
        <w:rPr>
          <w:noProof/>
          <w:sz w:val="24"/>
          <w:szCs w:val="24"/>
          <w:lang w:val="en-US"/>
        </w:rPr>
      </w:pPr>
      <w:r w:rsidRPr="00085FA2">
        <w:rPr>
          <w:noProof/>
          <w:sz w:val="24"/>
          <w:szCs w:val="24"/>
          <w:lang w:val="en-US"/>
        </w:rPr>
        <w:tab/>
        <w:t xml:space="preserve">In this </w:t>
      </w:r>
      <w:r w:rsidR="000C7E17" w:rsidRPr="00085FA2">
        <w:rPr>
          <w:noProof/>
          <w:sz w:val="24"/>
          <w:szCs w:val="24"/>
          <w:lang w:val="en-US"/>
        </w:rPr>
        <w:t>review</w:t>
      </w:r>
      <w:r w:rsidRPr="00085FA2">
        <w:rPr>
          <w:noProof/>
          <w:sz w:val="24"/>
          <w:szCs w:val="24"/>
          <w:lang w:val="en-US"/>
        </w:rPr>
        <w:t xml:space="preserve"> we have focused</w:t>
      </w:r>
      <w:r w:rsidR="000C7E17" w:rsidRPr="00085FA2">
        <w:rPr>
          <w:noProof/>
          <w:sz w:val="24"/>
          <w:szCs w:val="24"/>
          <w:lang w:val="en-US"/>
        </w:rPr>
        <w:t xml:space="preserve"> separately</w:t>
      </w:r>
      <w:r w:rsidRPr="00085FA2">
        <w:rPr>
          <w:noProof/>
          <w:sz w:val="24"/>
          <w:szCs w:val="24"/>
          <w:lang w:val="en-US"/>
        </w:rPr>
        <w:t xml:space="preserve"> on </w:t>
      </w:r>
      <w:r w:rsidR="005F7B77" w:rsidRPr="00085FA2">
        <w:rPr>
          <w:noProof/>
          <w:sz w:val="24"/>
          <w:szCs w:val="24"/>
          <w:lang w:val="en-US"/>
        </w:rPr>
        <w:t xml:space="preserve">neutralizing </w:t>
      </w:r>
      <w:r w:rsidRPr="00085FA2">
        <w:rPr>
          <w:noProof/>
          <w:sz w:val="24"/>
          <w:szCs w:val="24"/>
          <w:lang w:val="en-US"/>
        </w:rPr>
        <w:t xml:space="preserve">antibodies, </w:t>
      </w:r>
      <w:r w:rsidR="005F7B77" w:rsidRPr="00085FA2">
        <w:rPr>
          <w:noProof/>
          <w:sz w:val="24"/>
          <w:szCs w:val="24"/>
          <w:lang w:val="en-US"/>
        </w:rPr>
        <w:t xml:space="preserve">memory B cells, </w:t>
      </w:r>
      <w:r w:rsidRPr="00085FA2">
        <w:rPr>
          <w:noProof/>
          <w:sz w:val="24"/>
          <w:szCs w:val="24"/>
          <w:lang w:val="en-US"/>
        </w:rPr>
        <w:t>Fc effector functions</w:t>
      </w:r>
      <w:r w:rsidR="005F7B77" w:rsidRPr="00085FA2">
        <w:rPr>
          <w:noProof/>
          <w:sz w:val="24"/>
          <w:szCs w:val="24"/>
          <w:lang w:val="en-US"/>
        </w:rPr>
        <w:t>,</w:t>
      </w:r>
      <w:r w:rsidRPr="00085FA2">
        <w:rPr>
          <w:noProof/>
          <w:sz w:val="24"/>
          <w:szCs w:val="24"/>
          <w:lang w:val="en-US"/>
        </w:rPr>
        <w:t xml:space="preserve"> and </w:t>
      </w:r>
      <w:r w:rsidR="005F7B77" w:rsidRPr="00085FA2">
        <w:rPr>
          <w:noProof/>
          <w:sz w:val="24"/>
          <w:szCs w:val="24"/>
          <w:lang w:val="en-US"/>
        </w:rPr>
        <w:t xml:space="preserve">T cell </w:t>
      </w:r>
      <w:r w:rsidRPr="00085FA2">
        <w:rPr>
          <w:noProof/>
          <w:sz w:val="24"/>
          <w:szCs w:val="24"/>
          <w:lang w:val="en-US"/>
        </w:rPr>
        <w:t>responses</w:t>
      </w:r>
      <w:r w:rsidR="00833410" w:rsidRPr="00085FA2">
        <w:rPr>
          <w:noProof/>
          <w:sz w:val="24"/>
          <w:szCs w:val="24"/>
          <w:lang w:val="en-US"/>
        </w:rPr>
        <w:t xml:space="preserve">, </w:t>
      </w:r>
      <w:r w:rsidR="00AF6D86" w:rsidRPr="00085FA2">
        <w:rPr>
          <w:noProof/>
          <w:sz w:val="24"/>
          <w:szCs w:val="24"/>
          <w:lang w:val="en-US"/>
        </w:rPr>
        <w:t>each</w:t>
      </w:r>
      <w:r w:rsidR="00833410" w:rsidRPr="00085FA2">
        <w:rPr>
          <w:noProof/>
          <w:sz w:val="24"/>
          <w:szCs w:val="24"/>
          <w:lang w:val="en-US"/>
        </w:rPr>
        <w:t xml:space="preserve"> of which </w:t>
      </w:r>
      <w:r w:rsidR="005F7B77" w:rsidRPr="00085FA2">
        <w:rPr>
          <w:noProof/>
          <w:sz w:val="24"/>
          <w:szCs w:val="24"/>
          <w:lang w:val="en-US"/>
        </w:rPr>
        <w:t xml:space="preserve">appear to have </w:t>
      </w:r>
      <w:r w:rsidR="00833410" w:rsidRPr="00085FA2">
        <w:rPr>
          <w:noProof/>
          <w:sz w:val="24"/>
          <w:szCs w:val="24"/>
          <w:lang w:val="en-US"/>
        </w:rPr>
        <w:t>role</w:t>
      </w:r>
      <w:r w:rsidR="005F7B77" w:rsidRPr="00085FA2">
        <w:rPr>
          <w:noProof/>
          <w:sz w:val="24"/>
          <w:szCs w:val="24"/>
          <w:lang w:val="en-US"/>
        </w:rPr>
        <w:t>s</w:t>
      </w:r>
      <w:r w:rsidR="00833410" w:rsidRPr="00085FA2">
        <w:rPr>
          <w:noProof/>
          <w:sz w:val="24"/>
          <w:szCs w:val="24"/>
          <w:lang w:val="en-US"/>
        </w:rPr>
        <w:t xml:space="preserve"> in protection.  </w:t>
      </w:r>
      <w:r w:rsidR="000C7E17" w:rsidRPr="00085FA2">
        <w:rPr>
          <w:noProof/>
          <w:sz w:val="24"/>
          <w:szCs w:val="24"/>
          <w:lang w:val="en-US"/>
        </w:rPr>
        <w:t>F</w:t>
      </w:r>
      <w:r w:rsidR="00833410" w:rsidRPr="00085FA2">
        <w:rPr>
          <w:noProof/>
          <w:sz w:val="24"/>
          <w:szCs w:val="24"/>
          <w:lang w:val="en-US"/>
        </w:rPr>
        <w:t>or the vaccines currently in use</w:t>
      </w:r>
      <w:r w:rsidR="005F7B77" w:rsidRPr="00085FA2">
        <w:rPr>
          <w:noProof/>
          <w:sz w:val="24"/>
          <w:szCs w:val="24"/>
          <w:lang w:val="en-US"/>
        </w:rPr>
        <w:t>,</w:t>
      </w:r>
      <w:r w:rsidR="00833410" w:rsidRPr="00085FA2">
        <w:rPr>
          <w:noProof/>
          <w:sz w:val="24"/>
          <w:szCs w:val="24"/>
          <w:lang w:val="en-US"/>
        </w:rPr>
        <w:t xml:space="preserve"> antibodies against the S1 protein of the spike are most important</w:t>
      </w:r>
      <w:r w:rsidR="000C7E17" w:rsidRPr="00085FA2">
        <w:rPr>
          <w:noProof/>
          <w:sz w:val="24"/>
          <w:szCs w:val="24"/>
          <w:lang w:val="en-US"/>
        </w:rPr>
        <w:t xml:space="preserve"> in preventing infection</w:t>
      </w:r>
      <w:r w:rsidR="00833410" w:rsidRPr="00085FA2">
        <w:rPr>
          <w:noProof/>
          <w:sz w:val="24"/>
          <w:szCs w:val="24"/>
          <w:lang w:val="en-US"/>
        </w:rPr>
        <w:t>.  Those antibodies have multiple functions</w:t>
      </w:r>
      <w:r w:rsidR="000C7E17" w:rsidRPr="00085FA2">
        <w:rPr>
          <w:noProof/>
          <w:sz w:val="24"/>
          <w:szCs w:val="24"/>
          <w:lang w:val="en-US"/>
        </w:rPr>
        <w:t xml:space="preserve"> including</w:t>
      </w:r>
      <w:r w:rsidR="00833410" w:rsidRPr="00085FA2">
        <w:rPr>
          <w:noProof/>
          <w:sz w:val="24"/>
          <w:szCs w:val="24"/>
          <w:lang w:val="en-US"/>
        </w:rPr>
        <w:t xml:space="preserve"> neutralization</w:t>
      </w:r>
      <w:r w:rsidR="000C7E17" w:rsidRPr="00085FA2">
        <w:rPr>
          <w:noProof/>
          <w:sz w:val="24"/>
          <w:szCs w:val="24"/>
          <w:lang w:val="en-US"/>
        </w:rPr>
        <w:t xml:space="preserve"> but also helping natural killer cells to function.  Of course, CD4+ T cells must be available to promote B cell function and CD8+ T cells appear to be important in</w:t>
      </w:r>
      <w:r w:rsidR="00E95C6B" w:rsidRPr="00085FA2">
        <w:rPr>
          <w:noProof/>
          <w:sz w:val="24"/>
          <w:szCs w:val="24"/>
          <w:lang w:val="en-US"/>
        </w:rPr>
        <w:t xml:space="preserve"> killing infected cells.  As inapparent infection by </w:t>
      </w:r>
      <w:r w:rsidR="002C4208" w:rsidRPr="00085FA2">
        <w:rPr>
          <w:noProof/>
          <w:sz w:val="24"/>
          <w:szCs w:val="24"/>
          <w:lang w:val="en-US"/>
        </w:rPr>
        <w:t>SARS-CoV-2</w:t>
      </w:r>
      <w:r w:rsidR="00E95C6B" w:rsidRPr="00085FA2">
        <w:rPr>
          <w:noProof/>
          <w:sz w:val="24"/>
          <w:szCs w:val="24"/>
          <w:lang w:val="en-US"/>
        </w:rPr>
        <w:t xml:space="preserve"> is common in vaccinees</w:t>
      </w:r>
      <w:r w:rsidR="00AF6D86" w:rsidRPr="00085FA2">
        <w:rPr>
          <w:noProof/>
          <w:sz w:val="24"/>
          <w:szCs w:val="24"/>
          <w:lang w:val="en-US"/>
        </w:rPr>
        <w:t>,</w:t>
      </w:r>
      <w:r w:rsidR="00E95C6B" w:rsidRPr="00085FA2">
        <w:rPr>
          <w:noProof/>
          <w:sz w:val="24"/>
          <w:szCs w:val="24"/>
          <w:lang w:val="en-US"/>
        </w:rPr>
        <w:t xml:space="preserve"> functional T cells operat</w:t>
      </w:r>
      <w:r w:rsidR="00AF6D86" w:rsidRPr="00085FA2">
        <w:rPr>
          <w:noProof/>
          <w:sz w:val="24"/>
          <w:szCs w:val="24"/>
          <w:lang w:val="en-US"/>
        </w:rPr>
        <w:t>e</w:t>
      </w:r>
      <w:r w:rsidR="00E95C6B" w:rsidRPr="00085FA2">
        <w:rPr>
          <w:noProof/>
          <w:sz w:val="24"/>
          <w:szCs w:val="24"/>
          <w:lang w:val="en-US"/>
        </w:rPr>
        <w:t xml:space="preserve"> to destroy infected cells</w:t>
      </w:r>
      <w:r w:rsidR="00AF6D86" w:rsidRPr="00085FA2">
        <w:rPr>
          <w:noProof/>
          <w:sz w:val="24"/>
          <w:szCs w:val="24"/>
          <w:lang w:val="en-US"/>
        </w:rPr>
        <w:t>.</w:t>
      </w:r>
      <w:r w:rsidR="001463CC" w:rsidRPr="00085FA2">
        <w:rPr>
          <w:noProof/>
          <w:sz w:val="24"/>
          <w:szCs w:val="24"/>
          <w:lang w:val="en-US"/>
        </w:rPr>
        <w:t xml:space="preserve"> </w:t>
      </w:r>
    </w:p>
    <w:p w14:paraId="608CAB66" w14:textId="422ADB8E" w:rsidR="00833410" w:rsidRPr="00085FA2" w:rsidRDefault="001463CC" w:rsidP="00B0710D">
      <w:pPr>
        <w:spacing w:line="480" w:lineRule="auto"/>
        <w:ind w:firstLine="720"/>
        <w:rPr>
          <w:noProof/>
          <w:sz w:val="24"/>
          <w:szCs w:val="24"/>
          <w:lang w:val="en-US"/>
        </w:rPr>
      </w:pPr>
      <w:r w:rsidRPr="00085FA2">
        <w:rPr>
          <w:noProof/>
          <w:sz w:val="24"/>
          <w:szCs w:val="24"/>
          <w:lang w:val="en-US"/>
        </w:rPr>
        <w:t xml:space="preserve">Nevertheless, we know that antibody titers fall rapidly after vaccination, which allows vaccinees to again become susceptible to infection and symptomatic disease, suggesting that </w:t>
      </w:r>
      <w:r w:rsidR="005D437E" w:rsidRPr="00085FA2">
        <w:rPr>
          <w:noProof/>
          <w:sz w:val="24"/>
          <w:szCs w:val="24"/>
          <w:lang w:val="en-US"/>
        </w:rPr>
        <w:t>long-lived plasma cells</w:t>
      </w:r>
      <w:r w:rsidRPr="00085FA2">
        <w:rPr>
          <w:noProof/>
          <w:sz w:val="24"/>
          <w:szCs w:val="24"/>
          <w:lang w:val="en-US"/>
        </w:rPr>
        <w:t xml:space="preserve"> are not well produced by vaccination. The result is that reinfection is common, although cellular immunity usually prevents serious disease.</w:t>
      </w:r>
      <w:r w:rsidR="00B86950" w:rsidRPr="00085FA2">
        <w:rPr>
          <w:noProof/>
          <w:sz w:val="24"/>
          <w:szCs w:val="24"/>
          <w:lang w:val="en-US"/>
        </w:rPr>
        <w:t xml:space="preserve"> Thus, the ideal vaccine </w:t>
      </w:r>
      <w:r w:rsidR="00B86950" w:rsidRPr="00085FA2">
        <w:rPr>
          <w:noProof/>
          <w:sz w:val="24"/>
          <w:szCs w:val="24"/>
          <w:lang w:val="en-US"/>
        </w:rPr>
        <w:lastRenderedPageBreak/>
        <w:t>would generate neutralizing antibodies and both CD4+ and CD8+ T cells.</w:t>
      </w:r>
      <w:r w:rsidR="00B81912" w:rsidRPr="00085FA2">
        <w:rPr>
          <w:noProof/>
          <w:sz w:val="24"/>
          <w:szCs w:val="24"/>
          <w:lang w:val="en-US"/>
        </w:rPr>
        <w:t xml:space="preserve"> Ideally, B cell memory and resident plasma cells would be generated to guarantee long-term immunity.</w:t>
      </w:r>
    </w:p>
    <w:p w14:paraId="174565BE" w14:textId="2D10DEDC" w:rsidR="00B81912" w:rsidRPr="00085FA2" w:rsidRDefault="00B81912" w:rsidP="00B0710D">
      <w:pPr>
        <w:spacing w:line="480" w:lineRule="auto"/>
        <w:rPr>
          <w:noProof/>
          <w:sz w:val="24"/>
          <w:szCs w:val="24"/>
          <w:lang w:val="en-US"/>
        </w:rPr>
      </w:pPr>
      <w:r w:rsidRPr="00085FA2">
        <w:rPr>
          <w:noProof/>
          <w:sz w:val="24"/>
          <w:szCs w:val="24"/>
          <w:lang w:val="en-US"/>
        </w:rPr>
        <w:tab/>
        <w:t>The functionality of antibodies is also important.  While antibodies are generally tested</w:t>
      </w:r>
      <w:r w:rsidR="003E0A34" w:rsidRPr="00085FA2">
        <w:rPr>
          <w:noProof/>
          <w:sz w:val="24"/>
          <w:szCs w:val="24"/>
          <w:lang w:val="en-US"/>
        </w:rPr>
        <w:t xml:space="preserve"> for neutralization</w:t>
      </w:r>
      <w:r w:rsidRPr="00085FA2">
        <w:rPr>
          <w:noProof/>
          <w:sz w:val="24"/>
          <w:szCs w:val="24"/>
          <w:lang w:val="en-US"/>
        </w:rPr>
        <w:t xml:space="preserve"> against a fixed quantity of virus</w:t>
      </w:r>
      <w:r w:rsidR="000142D4" w:rsidRPr="00085FA2">
        <w:rPr>
          <w:noProof/>
          <w:sz w:val="24"/>
          <w:szCs w:val="24"/>
          <w:lang w:val="en-US"/>
        </w:rPr>
        <w:t xml:space="preserve"> in the laboratory</w:t>
      </w:r>
      <w:r w:rsidRPr="00085FA2">
        <w:rPr>
          <w:noProof/>
          <w:sz w:val="24"/>
          <w:szCs w:val="24"/>
          <w:lang w:val="en-US"/>
        </w:rPr>
        <w:t>,</w:t>
      </w:r>
      <w:r w:rsidR="000142D4" w:rsidRPr="00085FA2">
        <w:rPr>
          <w:noProof/>
          <w:sz w:val="24"/>
          <w:szCs w:val="24"/>
          <w:lang w:val="en-US"/>
        </w:rPr>
        <w:t xml:space="preserve"> protection against larger quantities of virus may be needed if a virus variant generates a higher challenge dose and therefore is more likely to overcome antibody on the mucosal surface. </w:t>
      </w:r>
      <w:r w:rsidR="00AE3D4C" w:rsidRPr="00085FA2">
        <w:rPr>
          <w:noProof/>
          <w:sz w:val="24"/>
          <w:szCs w:val="24"/>
          <w:lang w:val="en-US"/>
        </w:rPr>
        <w:t>Human challenge studies suggest that only small amounts of virus are needed for infection.</w:t>
      </w:r>
      <w:r w:rsidR="0067799B" w:rsidRPr="0067799B">
        <w:rPr>
          <w:noProof/>
          <w:sz w:val="24"/>
          <w:szCs w:val="24"/>
          <w:vertAlign w:val="superscript"/>
          <w:lang w:val="en-US"/>
        </w:rPr>
        <w:t>195</w:t>
      </w:r>
      <w:r w:rsidR="000142D4" w:rsidRPr="00085FA2">
        <w:rPr>
          <w:noProof/>
          <w:sz w:val="24"/>
          <w:szCs w:val="24"/>
          <w:lang w:val="en-US"/>
        </w:rPr>
        <w:t xml:space="preserve"> </w:t>
      </w:r>
      <w:r w:rsidR="00AE3D4C" w:rsidRPr="00085FA2">
        <w:rPr>
          <w:noProof/>
          <w:sz w:val="24"/>
          <w:szCs w:val="24"/>
          <w:lang w:val="en-US"/>
        </w:rPr>
        <w:t>K</w:t>
      </w:r>
      <w:r w:rsidR="000142D4" w:rsidRPr="00085FA2">
        <w:rPr>
          <w:noProof/>
          <w:sz w:val="24"/>
          <w:szCs w:val="24"/>
          <w:lang w:val="en-US"/>
        </w:rPr>
        <w:t xml:space="preserve">nowledge concerning </w:t>
      </w:r>
      <w:r w:rsidR="002C4208" w:rsidRPr="00085FA2">
        <w:rPr>
          <w:noProof/>
          <w:sz w:val="24"/>
          <w:szCs w:val="24"/>
          <w:lang w:val="en-US"/>
        </w:rPr>
        <w:t>SARS-CoV-2</w:t>
      </w:r>
      <w:r w:rsidR="000142D4" w:rsidRPr="00085FA2">
        <w:rPr>
          <w:noProof/>
          <w:sz w:val="24"/>
          <w:szCs w:val="24"/>
          <w:lang w:val="en-US"/>
        </w:rPr>
        <w:t xml:space="preserve"> mucosal antibody of either IgG or IgA class is insufficient.</w:t>
      </w:r>
    </w:p>
    <w:p w14:paraId="693DB88A" w14:textId="42F662D6" w:rsidR="00572527" w:rsidRPr="00085FA2" w:rsidRDefault="00555187" w:rsidP="00B0710D">
      <w:pPr>
        <w:spacing w:line="480" w:lineRule="auto"/>
        <w:rPr>
          <w:noProof/>
          <w:sz w:val="24"/>
          <w:szCs w:val="24"/>
          <w:lang w:val="en-US"/>
        </w:rPr>
      </w:pPr>
      <w:r w:rsidRPr="00085FA2">
        <w:rPr>
          <w:noProof/>
          <w:sz w:val="24"/>
          <w:szCs w:val="24"/>
          <w:lang w:val="en-US"/>
        </w:rPr>
        <w:tab/>
        <w:t>The ideal vaccine against COVID-19 disease would generate high levels of neutralizing antibodies, Fc Effector antibodies, and T cells of both the CD4+ and CD8+ type, all broadly active against virus variants and maintained for long periods.   At the moment we lack such a vaccine.  mRNA vaccines do elicit high levels of neutralizing and Fc effector</w:t>
      </w:r>
      <w:r w:rsidR="00DC7174" w:rsidRPr="00085FA2">
        <w:rPr>
          <w:noProof/>
          <w:sz w:val="24"/>
          <w:szCs w:val="24"/>
          <w:lang w:val="en-US"/>
        </w:rPr>
        <w:t xml:space="preserve"> antibodies</w:t>
      </w:r>
      <w:r w:rsidR="00572527" w:rsidRPr="00085FA2">
        <w:rPr>
          <w:noProof/>
          <w:sz w:val="24"/>
          <w:szCs w:val="24"/>
          <w:lang w:val="en-US"/>
        </w:rPr>
        <w:t xml:space="preserve"> after two doses</w:t>
      </w:r>
      <w:r w:rsidR="00DC7174" w:rsidRPr="00085FA2">
        <w:rPr>
          <w:noProof/>
          <w:sz w:val="24"/>
          <w:szCs w:val="24"/>
          <w:lang w:val="en-US"/>
        </w:rPr>
        <w:t xml:space="preserve">, but those responses fade with time.  It should be noted that such a defect is common with other mucosal pathogens, and it may be that repeated doses of vaccines against COVID-19 will be necessary to maintain protection against infection.  That being said, </w:t>
      </w:r>
      <w:r w:rsidR="00572527" w:rsidRPr="00085FA2">
        <w:rPr>
          <w:noProof/>
          <w:sz w:val="24"/>
          <w:szCs w:val="24"/>
          <w:lang w:val="en-US"/>
        </w:rPr>
        <w:t xml:space="preserve">epidemiolgoical evidence to date is that </w:t>
      </w:r>
      <w:r w:rsidR="00DC7174" w:rsidRPr="00085FA2">
        <w:rPr>
          <w:noProof/>
          <w:sz w:val="24"/>
          <w:szCs w:val="24"/>
          <w:lang w:val="en-US"/>
        </w:rPr>
        <w:t xml:space="preserve">protection against serious and fatal disease </w:t>
      </w:r>
      <w:r w:rsidR="00572527" w:rsidRPr="00085FA2">
        <w:rPr>
          <w:noProof/>
          <w:sz w:val="24"/>
          <w:szCs w:val="24"/>
          <w:lang w:val="en-US"/>
        </w:rPr>
        <w:t>is</w:t>
      </w:r>
      <w:r w:rsidR="00DC7174" w:rsidRPr="00085FA2">
        <w:rPr>
          <w:noProof/>
          <w:sz w:val="24"/>
          <w:szCs w:val="24"/>
          <w:lang w:val="en-US"/>
        </w:rPr>
        <w:t xml:space="preserve"> much easier to achieve</w:t>
      </w:r>
      <w:r w:rsidR="00AE3D4C" w:rsidRPr="00085FA2">
        <w:rPr>
          <w:noProof/>
          <w:sz w:val="24"/>
          <w:szCs w:val="24"/>
          <w:lang w:val="en-US"/>
        </w:rPr>
        <w:t xml:space="preserve"> even</w:t>
      </w:r>
      <w:r w:rsidR="00DC7174" w:rsidRPr="00085FA2">
        <w:rPr>
          <w:noProof/>
          <w:sz w:val="24"/>
          <w:szCs w:val="24"/>
          <w:lang w:val="en-US"/>
        </w:rPr>
        <w:t xml:space="preserve"> if vaccines </w:t>
      </w:r>
      <w:r w:rsidR="00AE3D4C" w:rsidRPr="00085FA2">
        <w:rPr>
          <w:noProof/>
          <w:sz w:val="24"/>
          <w:szCs w:val="24"/>
          <w:lang w:val="en-US"/>
        </w:rPr>
        <w:t xml:space="preserve">do not </w:t>
      </w:r>
      <w:r w:rsidR="00DC7174" w:rsidRPr="00085FA2">
        <w:rPr>
          <w:noProof/>
          <w:sz w:val="24"/>
          <w:szCs w:val="24"/>
          <w:lang w:val="en-US"/>
        </w:rPr>
        <w:t>induce long-lasting plasma cells</w:t>
      </w:r>
      <w:r w:rsidR="00572527" w:rsidRPr="00085FA2">
        <w:rPr>
          <w:noProof/>
          <w:sz w:val="24"/>
          <w:szCs w:val="24"/>
          <w:lang w:val="en-US"/>
        </w:rPr>
        <w:t xml:space="preserve"> and thus durable antibody production</w:t>
      </w:r>
      <w:r w:rsidR="00DC7174" w:rsidRPr="00085FA2">
        <w:rPr>
          <w:noProof/>
          <w:sz w:val="24"/>
          <w:szCs w:val="24"/>
          <w:lang w:val="en-US"/>
        </w:rPr>
        <w:t>.</w:t>
      </w:r>
      <w:r w:rsidR="00572527" w:rsidRPr="00085FA2">
        <w:rPr>
          <w:noProof/>
          <w:sz w:val="24"/>
          <w:szCs w:val="24"/>
          <w:lang w:val="en-US"/>
        </w:rPr>
        <w:t xml:space="preserve"> </w:t>
      </w:r>
    </w:p>
    <w:p w14:paraId="1A0BA733" w14:textId="4FE6B95C" w:rsidR="009D770C" w:rsidRPr="00C56A09" w:rsidRDefault="009D770C" w:rsidP="00B0710D">
      <w:pPr>
        <w:spacing w:line="480" w:lineRule="auto"/>
        <w:rPr>
          <w:b/>
          <w:bCs/>
          <w:noProof/>
          <w:sz w:val="24"/>
          <w:szCs w:val="24"/>
          <w:lang w:val="en-US"/>
        </w:rPr>
      </w:pPr>
      <w:r w:rsidRPr="00C56A09">
        <w:rPr>
          <w:b/>
          <w:bCs/>
          <w:noProof/>
          <w:sz w:val="24"/>
          <w:szCs w:val="24"/>
          <w:lang w:val="en-US"/>
        </w:rPr>
        <w:t>SUMMARY</w:t>
      </w:r>
    </w:p>
    <w:p w14:paraId="6161E6A5" w14:textId="12287226" w:rsidR="00376D60" w:rsidRPr="00085FA2" w:rsidRDefault="009D770C" w:rsidP="00B0710D">
      <w:pPr>
        <w:spacing w:line="480" w:lineRule="auto"/>
        <w:rPr>
          <w:noProof/>
          <w:sz w:val="24"/>
          <w:szCs w:val="24"/>
          <w:lang w:val="en-US"/>
        </w:rPr>
      </w:pPr>
      <w:r w:rsidRPr="00085FA2">
        <w:rPr>
          <w:noProof/>
          <w:sz w:val="24"/>
          <w:szCs w:val="24"/>
          <w:lang w:val="en-US"/>
        </w:rPr>
        <w:tab/>
        <w:t xml:space="preserve">Antibodies against epitopes in S1 give the most accurate </w:t>
      </w:r>
      <w:r w:rsidR="00572527" w:rsidRPr="00085FA2">
        <w:rPr>
          <w:noProof/>
          <w:sz w:val="24"/>
          <w:szCs w:val="24"/>
          <w:lang w:val="en-US"/>
        </w:rPr>
        <w:t>CoP</w:t>
      </w:r>
      <w:r w:rsidRPr="00085FA2">
        <w:rPr>
          <w:noProof/>
          <w:sz w:val="24"/>
          <w:szCs w:val="24"/>
          <w:lang w:val="en-US"/>
        </w:rPr>
        <w:t xml:space="preserve"> against infection by the </w:t>
      </w:r>
      <w:r w:rsidR="002C4208" w:rsidRPr="00085FA2">
        <w:rPr>
          <w:noProof/>
          <w:sz w:val="24"/>
          <w:szCs w:val="24"/>
          <w:lang w:val="en-US"/>
        </w:rPr>
        <w:t>SARS-CoV-2</w:t>
      </w:r>
      <w:r w:rsidRPr="00085FA2">
        <w:rPr>
          <w:noProof/>
          <w:sz w:val="24"/>
          <w:szCs w:val="24"/>
          <w:lang w:val="en-US"/>
        </w:rPr>
        <w:t xml:space="preserve"> coronavirus.  Measurement of </w:t>
      </w:r>
      <w:r w:rsidR="00123595" w:rsidRPr="00085FA2">
        <w:rPr>
          <w:noProof/>
          <w:sz w:val="24"/>
          <w:szCs w:val="24"/>
          <w:lang w:val="en-US"/>
        </w:rPr>
        <w:t xml:space="preserve">those </w:t>
      </w:r>
      <w:r w:rsidRPr="00085FA2">
        <w:rPr>
          <w:noProof/>
          <w:sz w:val="24"/>
          <w:szCs w:val="24"/>
          <w:lang w:val="en-US"/>
        </w:rPr>
        <w:t>antibodies by neutralization</w:t>
      </w:r>
      <w:r w:rsidR="00572527" w:rsidRPr="00085FA2">
        <w:rPr>
          <w:noProof/>
          <w:sz w:val="24"/>
          <w:szCs w:val="24"/>
          <w:lang w:val="en-US"/>
        </w:rPr>
        <w:t xml:space="preserve"> or binding assays</w:t>
      </w:r>
      <w:r w:rsidRPr="00085FA2">
        <w:rPr>
          <w:noProof/>
          <w:sz w:val="24"/>
          <w:szCs w:val="24"/>
          <w:lang w:val="en-US"/>
        </w:rPr>
        <w:t xml:space="preserve"> </w:t>
      </w:r>
      <w:r w:rsidR="003E5D21" w:rsidRPr="00085FA2">
        <w:rPr>
          <w:noProof/>
          <w:sz w:val="24"/>
          <w:szCs w:val="24"/>
          <w:lang w:val="en-US"/>
        </w:rPr>
        <w:t xml:space="preserve">all have predictive value, with </w:t>
      </w:r>
      <w:r w:rsidR="00572527" w:rsidRPr="00085FA2">
        <w:rPr>
          <w:noProof/>
          <w:sz w:val="24"/>
          <w:szCs w:val="24"/>
          <w:lang w:val="en-US"/>
        </w:rPr>
        <w:t xml:space="preserve">binding </w:t>
      </w:r>
      <w:r w:rsidR="003E5D21" w:rsidRPr="00085FA2">
        <w:rPr>
          <w:noProof/>
          <w:sz w:val="24"/>
          <w:szCs w:val="24"/>
          <w:lang w:val="en-US"/>
        </w:rPr>
        <w:t>antibod</w:t>
      </w:r>
      <w:r w:rsidR="00572527" w:rsidRPr="00085FA2">
        <w:rPr>
          <w:noProof/>
          <w:sz w:val="24"/>
          <w:szCs w:val="24"/>
          <w:lang w:val="en-US"/>
        </w:rPr>
        <w:t>y titers</w:t>
      </w:r>
      <w:r w:rsidR="003E5D21" w:rsidRPr="00085FA2">
        <w:rPr>
          <w:noProof/>
          <w:sz w:val="24"/>
          <w:szCs w:val="24"/>
          <w:lang w:val="en-US"/>
        </w:rPr>
        <w:t xml:space="preserve"> giving the highest </w:t>
      </w:r>
      <w:r w:rsidR="00123595" w:rsidRPr="00085FA2">
        <w:rPr>
          <w:noProof/>
          <w:sz w:val="24"/>
          <w:szCs w:val="24"/>
          <w:lang w:val="en-US"/>
        </w:rPr>
        <w:t xml:space="preserve">statistical </w:t>
      </w:r>
      <w:r w:rsidR="003E5D21" w:rsidRPr="00085FA2">
        <w:rPr>
          <w:noProof/>
          <w:sz w:val="24"/>
          <w:szCs w:val="24"/>
          <w:lang w:val="en-US"/>
        </w:rPr>
        <w:t xml:space="preserve">correlation. </w:t>
      </w:r>
      <w:r w:rsidR="00123595" w:rsidRPr="00085FA2">
        <w:rPr>
          <w:noProof/>
          <w:sz w:val="24"/>
          <w:szCs w:val="24"/>
          <w:lang w:val="en-US"/>
        </w:rPr>
        <w:lastRenderedPageBreak/>
        <w:t>However, the protective functions of antibodies are multiple.</w:t>
      </w:r>
      <w:r w:rsidR="003E5D21" w:rsidRPr="00085FA2">
        <w:rPr>
          <w:noProof/>
          <w:sz w:val="24"/>
          <w:szCs w:val="24"/>
          <w:lang w:val="en-US"/>
        </w:rPr>
        <w:t xml:space="preserve"> The role of cellular responses can be discerned with respect to CD4+ </w:t>
      </w:r>
      <w:r w:rsidR="00572527" w:rsidRPr="00085FA2">
        <w:rPr>
          <w:noProof/>
          <w:sz w:val="24"/>
          <w:szCs w:val="24"/>
          <w:lang w:val="en-US"/>
        </w:rPr>
        <w:t xml:space="preserve">T </w:t>
      </w:r>
      <w:r w:rsidR="003E5D21" w:rsidRPr="00085FA2">
        <w:rPr>
          <w:noProof/>
          <w:sz w:val="24"/>
          <w:szCs w:val="24"/>
          <w:lang w:val="en-US"/>
        </w:rPr>
        <w:t>cells and their augmentation of antibodies, and with respect to CD8+ cells with regard to control of viral replication</w:t>
      </w:r>
      <w:r w:rsidR="00123595" w:rsidRPr="00085FA2">
        <w:rPr>
          <w:noProof/>
          <w:sz w:val="24"/>
          <w:szCs w:val="24"/>
          <w:lang w:val="en-US"/>
        </w:rPr>
        <w:t>, particularly in the presence of insufficient antibody.</w:t>
      </w:r>
      <w:r w:rsidR="003E5D21" w:rsidRPr="00085FA2">
        <w:rPr>
          <w:noProof/>
          <w:sz w:val="24"/>
          <w:szCs w:val="24"/>
          <w:lang w:val="en-US"/>
        </w:rPr>
        <w:t xml:space="preserve">  More information is need on mucosal responses.</w:t>
      </w:r>
    </w:p>
    <w:p w14:paraId="4222CF61" w14:textId="4C7A9747" w:rsidR="00124049" w:rsidRPr="00085FA2" w:rsidRDefault="00124049" w:rsidP="00B0710D">
      <w:pPr>
        <w:spacing w:line="480" w:lineRule="auto"/>
        <w:rPr>
          <w:noProof/>
          <w:sz w:val="24"/>
          <w:szCs w:val="24"/>
          <w:lang w:val="en-US"/>
        </w:rPr>
      </w:pPr>
    </w:p>
    <w:p w14:paraId="57C0ADD1" w14:textId="77777777" w:rsidR="00A122B4" w:rsidRPr="00C56A09" w:rsidRDefault="00124049" w:rsidP="00A122B4">
      <w:pPr>
        <w:spacing w:line="480" w:lineRule="auto"/>
        <w:rPr>
          <w:b/>
          <w:bCs/>
          <w:noProof/>
          <w:sz w:val="24"/>
          <w:szCs w:val="24"/>
          <w:lang w:val="en-US"/>
        </w:rPr>
      </w:pPr>
      <w:r w:rsidRPr="00C56A09">
        <w:rPr>
          <w:b/>
          <w:bCs/>
          <w:noProof/>
          <w:sz w:val="24"/>
          <w:szCs w:val="24"/>
          <w:lang w:val="en-US"/>
        </w:rPr>
        <w:t>Author contributions</w:t>
      </w:r>
    </w:p>
    <w:p w14:paraId="6E7A089C" w14:textId="25A9D250" w:rsidR="00231721" w:rsidRDefault="00572527" w:rsidP="00A122B4">
      <w:pPr>
        <w:spacing w:line="480" w:lineRule="auto"/>
        <w:rPr>
          <w:sz w:val="24"/>
          <w:szCs w:val="24"/>
          <w:lang w:val="en-US"/>
        </w:rPr>
      </w:pPr>
      <w:r w:rsidRPr="00A122B4">
        <w:rPr>
          <w:noProof/>
          <w:sz w:val="24"/>
          <w:szCs w:val="24"/>
          <w:lang w:val="en-US"/>
        </w:rPr>
        <w:t>S</w:t>
      </w:r>
      <w:r w:rsidR="00BF4D1D" w:rsidRPr="00A122B4">
        <w:rPr>
          <w:noProof/>
          <w:sz w:val="24"/>
          <w:szCs w:val="24"/>
          <w:lang w:val="en-US"/>
        </w:rPr>
        <w:t>tanley Plotkin</w:t>
      </w:r>
      <w:r w:rsidR="00A122B4" w:rsidRPr="00A122B4">
        <w:rPr>
          <w:noProof/>
          <w:sz w:val="24"/>
          <w:szCs w:val="24"/>
          <w:lang w:val="en-US"/>
        </w:rPr>
        <w:t xml:space="preserve"> </w:t>
      </w:r>
      <w:hyperlink r:id="rId11" w:history="1">
        <w:r w:rsidR="00A122B4" w:rsidRPr="00A122B4">
          <w:rPr>
            <w:rStyle w:val="Hyperlink"/>
            <w:noProof/>
            <w:sz w:val="24"/>
            <w:szCs w:val="24"/>
            <w:lang w:val="en-US"/>
          </w:rPr>
          <w:t>stanley.plotkin@vaxconsult.com</w:t>
        </w:r>
      </w:hyperlink>
      <w:r w:rsidR="00A122B4" w:rsidRPr="00A122B4">
        <w:rPr>
          <w:noProof/>
          <w:sz w:val="24"/>
          <w:szCs w:val="24"/>
          <w:lang w:val="en-US"/>
        </w:rPr>
        <w:t xml:space="preserve"> </w:t>
      </w:r>
      <w:r w:rsidRPr="00A122B4">
        <w:rPr>
          <w:noProof/>
          <w:sz w:val="24"/>
          <w:szCs w:val="24"/>
          <w:lang w:val="en-US"/>
        </w:rPr>
        <w:t>organized and led the overall review. The primary authors of the neutralizing antibody, memory B cell, Fc effect functions, and T cell functions sections were D</w:t>
      </w:r>
      <w:r w:rsidR="00BF4D1D" w:rsidRPr="00A122B4">
        <w:rPr>
          <w:noProof/>
          <w:sz w:val="24"/>
          <w:szCs w:val="24"/>
          <w:lang w:val="en-US"/>
        </w:rPr>
        <w:t>avid Goldblatt</w:t>
      </w:r>
      <w:r w:rsidR="00231721" w:rsidRPr="00A122B4">
        <w:rPr>
          <w:noProof/>
          <w:sz w:val="24"/>
          <w:szCs w:val="24"/>
          <w:lang w:val="en-US"/>
        </w:rPr>
        <w:t xml:space="preserve"> </w:t>
      </w:r>
      <w:hyperlink r:id="rId12" w:history="1">
        <w:r w:rsidR="00231721" w:rsidRPr="00A122B4">
          <w:rPr>
            <w:rStyle w:val="Hyperlink"/>
            <w:noProof/>
            <w:sz w:val="24"/>
            <w:szCs w:val="24"/>
            <w:lang w:val="en-US"/>
          </w:rPr>
          <w:t>d.goldblatt@acl.ac.uk</w:t>
        </w:r>
      </w:hyperlink>
      <w:r w:rsidR="00BF4D1D" w:rsidRPr="00A122B4">
        <w:rPr>
          <w:noProof/>
          <w:sz w:val="24"/>
          <w:szCs w:val="24"/>
          <w:lang w:val="en-US"/>
        </w:rPr>
        <w:t>, Shane Crotty</w:t>
      </w:r>
      <w:r w:rsidR="00231721" w:rsidRPr="00A122B4">
        <w:rPr>
          <w:noProof/>
          <w:sz w:val="24"/>
          <w:szCs w:val="24"/>
          <w:lang w:val="en-US"/>
        </w:rPr>
        <w:t xml:space="preserve"> </w:t>
      </w:r>
      <w:hyperlink r:id="rId13" w:history="1">
        <w:r w:rsidR="00231721" w:rsidRPr="00A122B4">
          <w:rPr>
            <w:rStyle w:val="Hyperlink"/>
            <w:noProof/>
            <w:sz w:val="24"/>
            <w:szCs w:val="24"/>
            <w:lang w:val="en-US"/>
          </w:rPr>
          <w:t>shane@lji.org</w:t>
        </w:r>
      </w:hyperlink>
      <w:r w:rsidR="00BF4D1D" w:rsidRPr="00A122B4">
        <w:rPr>
          <w:noProof/>
          <w:sz w:val="24"/>
          <w:szCs w:val="24"/>
          <w:lang w:val="en-US"/>
        </w:rPr>
        <w:t xml:space="preserve">, </w:t>
      </w:r>
      <w:r w:rsidRPr="00A122B4">
        <w:rPr>
          <w:noProof/>
          <w:sz w:val="24"/>
          <w:szCs w:val="24"/>
          <w:lang w:val="en-US"/>
        </w:rPr>
        <w:t>G</w:t>
      </w:r>
      <w:r w:rsidR="00BF4D1D" w:rsidRPr="00A122B4">
        <w:rPr>
          <w:noProof/>
          <w:sz w:val="24"/>
          <w:szCs w:val="24"/>
          <w:lang w:val="en-US"/>
        </w:rPr>
        <w:t>alit Alter</w:t>
      </w:r>
      <w:r w:rsidRPr="00A122B4">
        <w:rPr>
          <w:noProof/>
          <w:sz w:val="24"/>
          <w:szCs w:val="24"/>
          <w:lang w:val="en-US"/>
        </w:rPr>
        <w:t xml:space="preserve"> </w:t>
      </w:r>
      <w:hyperlink r:id="rId14" w:history="1">
        <w:r w:rsidR="00231721" w:rsidRPr="00A122B4">
          <w:rPr>
            <w:rStyle w:val="Hyperlink"/>
            <w:noProof/>
            <w:sz w:val="24"/>
            <w:szCs w:val="24"/>
            <w:lang w:val="en-US"/>
          </w:rPr>
          <w:t>galter@mgh.harvard.edu</w:t>
        </w:r>
      </w:hyperlink>
      <w:r w:rsidR="00231721" w:rsidRPr="00A122B4">
        <w:rPr>
          <w:rStyle w:val="Hyperlink"/>
          <w:noProof/>
          <w:sz w:val="24"/>
          <w:szCs w:val="24"/>
          <w:lang w:val="en-US"/>
        </w:rPr>
        <w:t xml:space="preserve"> </w:t>
      </w:r>
      <w:r w:rsidRPr="00A122B4">
        <w:rPr>
          <w:noProof/>
          <w:sz w:val="24"/>
          <w:szCs w:val="24"/>
          <w:lang w:val="en-US"/>
        </w:rPr>
        <w:t>and S</w:t>
      </w:r>
      <w:r w:rsidR="00BF4D1D" w:rsidRPr="00A122B4">
        <w:rPr>
          <w:noProof/>
          <w:sz w:val="24"/>
          <w:szCs w:val="24"/>
          <w:lang w:val="en-US"/>
        </w:rPr>
        <w:t>hane Crotty,</w:t>
      </w:r>
      <w:r w:rsidRPr="00A122B4">
        <w:rPr>
          <w:noProof/>
          <w:sz w:val="24"/>
          <w:szCs w:val="24"/>
          <w:lang w:val="en-US"/>
        </w:rPr>
        <w:t xml:space="preserve"> respectively. All authors contributed to editing and discussions.</w:t>
      </w:r>
      <w:r w:rsidR="00A122B4">
        <w:rPr>
          <w:noProof/>
          <w:sz w:val="24"/>
          <w:szCs w:val="24"/>
          <w:lang w:val="en-US"/>
        </w:rPr>
        <w:t xml:space="preserve"> </w:t>
      </w:r>
      <w:r w:rsidR="00B12109" w:rsidRPr="00A122B4">
        <w:rPr>
          <w:sz w:val="24"/>
          <w:szCs w:val="24"/>
          <w:lang w:val="en-US"/>
        </w:rPr>
        <w:t>Each of the authors is a co-correspondent.</w:t>
      </w:r>
    </w:p>
    <w:p w14:paraId="2A9BEA35" w14:textId="16987287" w:rsidR="00A122B4" w:rsidRPr="00C56A09" w:rsidRDefault="00A122B4" w:rsidP="00A122B4">
      <w:pPr>
        <w:widowControl w:val="0"/>
        <w:spacing w:line="480" w:lineRule="auto"/>
        <w:rPr>
          <w:rFonts w:eastAsia="Avenir" w:cs="Avenir"/>
          <w:b/>
          <w:bCs/>
          <w:sz w:val="24"/>
          <w:szCs w:val="24"/>
          <w:lang w:val="en-US"/>
        </w:rPr>
      </w:pPr>
      <w:r w:rsidRPr="00C56A09">
        <w:rPr>
          <w:rFonts w:eastAsia="Avenir" w:cs="Avenir"/>
          <w:b/>
          <w:bCs/>
          <w:sz w:val="24"/>
          <w:szCs w:val="24"/>
          <w:lang w:val="en-US"/>
        </w:rPr>
        <w:t xml:space="preserve">Acknowledgements </w:t>
      </w:r>
    </w:p>
    <w:p w14:paraId="2AF794A3" w14:textId="68245215" w:rsidR="00231721" w:rsidRPr="00A122B4" w:rsidRDefault="00A122B4" w:rsidP="00A122B4">
      <w:pPr>
        <w:widowControl w:val="0"/>
        <w:spacing w:line="480" w:lineRule="auto"/>
        <w:rPr>
          <w:noProof/>
          <w:sz w:val="24"/>
          <w:szCs w:val="24"/>
          <w:lang w:val="en-US"/>
        </w:rPr>
      </w:pPr>
      <w:r w:rsidRPr="00A122B4">
        <w:rPr>
          <w:rFonts w:eastAsia="Avenir" w:cs="Avenir"/>
          <w:sz w:val="24"/>
          <w:szCs w:val="24"/>
          <w:lang w:val="en-US"/>
        </w:rPr>
        <w:t xml:space="preserve">Thanks to Parham Ramezani-Rad and Camila H. Coelho for helpful input. Thanks to Christina </w:t>
      </w:r>
      <w:proofErr w:type="spellStart"/>
      <w:r w:rsidRPr="00A122B4">
        <w:rPr>
          <w:rFonts w:eastAsia="Avenir" w:cs="Avenir"/>
          <w:sz w:val="24"/>
          <w:szCs w:val="24"/>
          <w:lang w:val="en-US"/>
        </w:rPr>
        <w:t>Corbaci</w:t>
      </w:r>
      <w:proofErr w:type="spellEnd"/>
      <w:r w:rsidRPr="00A122B4">
        <w:rPr>
          <w:rFonts w:eastAsia="Avenir" w:cs="Avenir"/>
          <w:sz w:val="24"/>
          <w:szCs w:val="24"/>
          <w:lang w:val="en-US"/>
        </w:rPr>
        <w:t xml:space="preserve"> and Eleanor G. Crotty for graphical design assistance. This work was funded by the NIH NIAID under award AI142742 (Cooperative Centers for Human Immunology, CCHI) and CHAVD UM1 AI144462, and was additionally supported in part by La Jolla Institute for Immunology Institutional Funds and an anonymous donor. S</w:t>
      </w:r>
      <w:r>
        <w:rPr>
          <w:rFonts w:eastAsia="Avenir" w:cs="Avenir"/>
          <w:sz w:val="24"/>
          <w:szCs w:val="24"/>
          <w:lang w:val="en-US"/>
        </w:rPr>
        <w:t>hane Crotty</w:t>
      </w:r>
      <w:r w:rsidRPr="00A122B4">
        <w:rPr>
          <w:rFonts w:eastAsia="Avenir" w:cs="Avenir"/>
          <w:sz w:val="24"/>
          <w:szCs w:val="24"/>
          <w:lang w:val="en-US"/>
        </w:rPr>
        <w:t xml:space="preserve"> has consulted for GSK, JP Morgan, Citi, Morgan Stanley, Avalia NZ, Nutcracker Therapeutics, University of California, California State Universities, United Airlines, Adagio, and Roche. </w:t>
      </w:r>
      <w:r w:rsidR="00231721" w:rsidRPr="00A122B4">
        <w:rPr>
          <w:noProof/>
          <w:sz w:val="24"/>
          <w:szCs w:val="24"/>
          <w:lang w:val="en-US"/>
        </w:rPr>
        <w:t>We thank Wendy D’Arcy for her hard work putting this manuscript together.</w:t>
      </w:r>
    </w:p>
    <w:p w14:paraId="046D5F89" w14:textId="0230D955" w:rsidR="009D770C" w:rsidRPr="00085FA2" w:rsidRDefault="00376D60" w:rsidP="00B0710D">
      <w:pPr>
        <w:spacing w:line="480" w:lineRule="auto"/>
        <w:rPr>
          <w:noProof/>
          <w:sz w:val="24"/>
          <w:szCs w:val="24"/>
          <w:lang w:val="en-US"/>
        </w:rPr>
      </w:pPr>
      <w:r w:rsidRPr="00085FA2">
        <w:rPr>
          <w:noProof/>
          <w:sz w:val="24"/>
          <w:szCs w:val="24"/>
          <w:lang w:val="en-US"/>
        </w:rPr>
        <w:lastRenderedPageBreak/>
        <w:t>References</w:t>
      </w:r>
    </w:p>
    <w:p w14:paraId="1B6E2279" w14:textId="77777777" w:rsidR="00376D60" w:rsidRPr="003A468C" w:rsidRDefault="00376D60" w:rsidP="00376D60">
      <w:pPr>
        <w:pStyle w:val="EndNoteBibliography"/>
        <w:spacing w:line="480" w:lineRule="auto"/>
        <w:ind w:left="720" w:hanging="720"/>
        <w:rPr>
          <w:noProof/>
          <w:lang w:val="en-US"/>
        </w:rPr>
      </w:pPr>
      <w:r w:rsidRPr="003A468C">
        <w:rPr>
          <w:lang w:val="en-US"/>
        </w:rPr>
        <w:fldChar w:fldCharType="begin"/>
      </w:r>
      <w:r w:rsidRPr="003A468C">
        <w:rPr>
          <w:lang w:val="en-US"/>
        </w:rPr>
        <w:instrText xml:space="preserve"> ADDIN EN.REFLIST </w:instrText>
      </w:r>
      <w:r w:rsidRPr="003A468C">
        <w:rPr>
          <w:lang w:val="en-US"/>
        </w:rPr>
        <w:fldChar w:fldCharType="separate"/>
      </w:r>
      <w:r w:rsidRPr="003A468C">
        <w:rPr>
          <w:noProof/>
          <w:lang w:val="en-US"/>
        </w:rPr>
        <w:t>1.</w:t>
      </w:r>
      <w:r w:rsidRPr="003A468C">
        <w:rPr>
          <w:noProof/>
          <w:lang w:val="en-US"/>
        </w:rPr>
        <w:tab/>
        <w:t xml:space="preserve">Harvey, W.T., et al., </w:t>
      </w:r>
      <w:r w:rsidRPr="003A468C">
        <w:rPr>
          <w:i/>
          <w:noProof/>
          <w:lang w:val="en-US"/>
        </w:rPr>
        <w:t>SARS-CoV-2 variants, spike mutations and immune escape.</w:t>
      </w:r>
      <w:r w:rsidRPr="003A468C">
        <w:rPr>
          <w:noProof/>
          <w:lang w:val="en-US"/>
        </w:rPr>
        <w:t xml:space="preserve"> Nat Rev Microbiol, 2021. </w:t>
      </w:r>
      <w:r w:rsidRPr="003A468C">
        <w:rPr>
          <w:b/>
          <w:noProof/>
          <w:lang w:val="en-US"/>
        </w:rPr>
        <w:t>19</w:t>
      </w:r>
      <w:r w:rsidRPr="003A468C">
        <w:rPr>
          <w:noProof/>
          <w:lang w:val="en-US"/>
        </w:rPr>
        <w:t>(7): p. 409-424.</w:t>
      </w:r>
    </w:p>
    <w:p w14:paraId="6B2D37D3" w14:textId="77777777" w:rsidR="00376D60" w:rsidRPr="003A468C" w:rsidRDefault="00376D60" w:rsidP="00376D60">
      <w:pPr>
        <w:pStyle w:val="EndNoteBibliography"/>
        <w:spacing w:line="480" w:lineRule="auto"/>
        <w:ind w:left="720" w:hanging="720"/>
        <w:rPr>
          <w:noProof/>
          <w:lang w:val="en-US"/>
        </w:rPr>
      </w:pPr>
      <w:r w:rsidRPr="003A468C">
        <w:rPr>
          <w:noProof/>
          <w:lang w:val="en-US"/>
        </w:rPr>
        <w:t>2.</w:t>
      </w:r>
      <w:r w:rsidRPr="003A468C">
        <w:rPr>
          <w:noProof/>
          <w:lang w:val="en-US"/>
        </w:rPr>
        <w:tab/>
        <w:t xml:space="preserve">Zhou, P., et al., </w:t>
      </w:r>
      <w:r w:rsidRPr="003A468C">
        <w:rPr>
          <w:i/>
          <w:noProof/>
          <w:lang w:val="en-US"/>
        </w:rPr>
        <w:t>A pneumonia outbreak associated with a new coronavirus of probable bat origin.</w:t>
      </w:r>
      <w:r w:rsidRPr="003A468C">
        <w:rPr>
          <w:noProof/>
          <w:lang w:val="en-US"/>
        </w:rPr>
        <w:t xml:space="preserve"> Nature, 2020. </w:t>
      </w:r>
      <w:r w:rsidRPr="003A468C">
        <w:rPr>
          <w:b/>
          <w:noProof/>
          <w:lang w:val="en-US"/>
        </w:rPr>
        <w:t>579</w:t>
      </w:r>
      <w:r w:rsidRPr="003A468C">
        <w:rPr>
          <w:noProof/>
          <w:lang w:val="en-US"/>
        </w:rPr>
        <w:t>(7798): p. 270-273.</w:t>
      </w:r>
    </w:p>
    <w:p w14:paraId="40C37883" w14:textId="77777777" w:rsidR="00376D60" w:rsidRPr="003A468C" w:rsidRDefault="00376D60" w:rsidP="00376D60">
      <w:pPr>
        <w:pStyle w:val="EndNoteBibliography"/>
        <w:spacing w:line="480" w:lineRule="auto"/>
        <w:ind w:left="720" w:hanging="720"/>
        <w:rPr>
          <w:noProof/>
          <w:lang w:val="en-US"/>
        </w:rPr>
      </w:pPr>
      <w:r w:rsidRPr="003A468C">
        <w:rPr>
          <w:noProof/>
          <w:lang w:val="en-US"/>
        </w:rPr>
        <w:t>3.</w:t>
      </w:r>
      <w:r w:rsidRPr="003A468C">
        <w:rPr>
          <w:noProof/>
          <w:lang w:val="en-US"/>
        </w:rPr>
        <w:tab/>
        <w:t xml:space="preserve">Post, N., et al., </w:t>
      </w:r>
      <w:r w:rsidRPr="003A468C">
        <w:rPr>
          <w:i/>
          <w:noProof/>
          <w:lang w:val="en-US"/>
        </w:rPr>
        <w:t>Antibody response to SARS-CoV-2 infection in humans: A systematic review.</w:t>
      </w:r>
      <w:r w:rsidRPr="003A468C">
        <w:rPr>
          <w:noProof/>
          <w:lang w:val="en-US"/>
        </w:rPr>
        <w:t xml:space="preserve"> PLoS One, 2020. </w:t>
      </w:r>
      <w:r w:rsidRPr="003A468C">
        <w:rPr>
          <w:b/>
          <w:noProof/>
          <w:lang w:val="en-US"/>
        </w:rPr>
        <w:t>15</w:t>
      </w:r>
      <w:r w:rsidRPr="003A468C">
        <w:rPr>
          <w:noProof/>
          <w:lang w:val="en-US"/>
        </w:rPr>
        <w:t>(12): p. e0244126.</w:t>
      </w:r>
    </w:p>
    <w:p w14:paraId="25F311EF" w14:textId="77777777" w:rsidR="00376D60" w:rsidRPr="003A468C" w:rsidRDefault="00376D60" w:rsidP="00376D60">
      <w:pPr>
        <w:pStyle w:val="EndNoteBibliography"/>
        <w:spacing w:line="480" w:lineRule="auto"/>
        <w:ind w:left="720" w:hanging="720"/>
        <w:rPr>
          <w:noProof/>
          <w:lang w:val="en-US"/>
        </w:rPr>
      </w:pPr>
      <w:r w:rsidRPr="003A468C">
        <w:rPr>
          <w:noProof/>
          <w:lang w:val="en-US"/>
        </w:rPr>
        <w:t>4.</w:t>
      </w:r>
      <w:r w:rsidRPr="003A468C">
        <w:rPr>
          <w:noProof/>
          <w:lang w:val="en-US"/>
        </w:rPr>
        <w:tab/>
        <w:t xml:space="preserve">Wang, Y., et al., </w:t>
      </w:r>
      <w:r w:rsidRPr="003A468C">
        <w:rPr>
          <w:i/>
          <w:noProof/>
          <w:lang w:val="en-US"/>
        </w:rPr>
        <w:t>Kinetics of viral load and antibody response in relation to COVID-19 severity.</w:t>
      </w:r>
      <w:r w:rsidRPr="003A468C">
        <w:rPr>
          <w:noProof/>
          <w:lang w:val="en-US"/>
        </w:rPr>
        <w:t xml:space="preserve"> J Clin Invest, 2020. </w:t>
      </w:r>
      <w:r w:rsidRPr="003A468C">
        <w:rPr>
          <w:b/>
          <w:noProof/>
          <w:lang w:val="en-US"/>
        </w:rPr>
        <w:t>130</w:t>
      </w:r>
      <w:r w:rsidRPr="003A468C">
        <w:rPr>
          <w:noProof/>
          <w:lang w:val="en-US"/>
        </w:rPr>
        <w:t>(10): p. 5235-5244.</w:t>
      </w:r>
    </w:p>
    <w:p w14:paraId="7903B737" w14:textId="77777777" w:rsidR="00376D60" w:rsidRPr="003A468C" w:rsidRDefault="00376D60" w:rsidP="00376D60">
      <w:pPr>
        <w:pStyle w:val="EndNoteBibliography"/>
        <w:spacing w:line="480" w:lineRule="auto"/>
        <w:ind w:left="720" w:hanging="720"/>
        <w:rPr>
          <w:noProof/>
          <w:lang w:val="en-US"/>
        </w:rPr>
      </w:pPr>
      <w:r w:rsidRPr="003A468C">
        <w:rPr>
          <w:noProof/>
          <w:lang w:val="en-US"/>
        </w:rPr>
        <w:t>5.</w:t>
      </w:r>
      <w:r w:rsidRPr="003A468C">
        <w:rPr>
          <w:noProof/>
          <w:lang w:val="en-US"/>
        </w:rPr>
        <w:tab/>
        <w:t xml:space="preserve">Carsetti, R., et al., </w:t>
      </w:r>
      <w:r w:rsidRPr="003A468C">
        <w:rPr>
          <w:i/>
          <w:noProof/>
          <w:lang w:val="en-US"/>
        </w:rPr>
        <w:t>Different Innate and Adaptive Immune Responses to SARS-CoV-2 Infection of Asymptomatic, Mild, and Severe Cases.</w:t>
      </w:r>
      <w:r w:rsidRPr="003A468C">
        <w:rPr>
          <w:noProof/>
          <w:lang w:val="en-US"/>
        </w:rPr>
        <w:t xml:space="preserve"> Front Immunol, 2020. </w:t>
      </w:r>
      <w:r w:rsidRPr="003A468C">
        <w:rPr>
          <w:b/>
          <w:noProof/>
          <w:lang w:val="en-US"/>
        </w:rPr>
        <w:t>11</w:t>
      </w:r>
      <w:r w:rsidRPr="003A468C">
        <w:rPr>
          <w:noProof/>
          <w:lang w:val="en-US"/>
        </w:rPr>
        <w:t>: p. 610300.</w:t>
      </w:r>
    </w:p>
    <w:p w14:paraId="1E98BE6E" w14:textId="77777777" w:rsidR="00376D60" w:rsidRPr="003A468C" w:rsidRDefault="00376D60" w:rsidP="00376D60">
      <w:pPr>
        <w:pStyle w:val="EndNoteBibliography"/>
        <w:spacing w:line="480" w:lineRule="auto"/>
        <w:ind w:left="720" w:hanging="720"/>
        <w:rPr>
          <w:noProof/>
          <w:lang w:val="en-US"/>
        </w:rPr>
      </w:pPr>
      <w:r w:rsidRPr="003A468C">
        <w:rPr>
          <w:noProof/>
          <w:lang w:val="en-US"/>
        </w:rPr>
        <w:t>6.</w:t>
      </w:r>
      <w:r w:rsidRPr="003A468C">
        <w:rPr>
          <w:noProof/>
          <w:lang w:val="en-US"/>
        </w:rPr>
        <w:tab/>
        <w:t xml:space="preserve">Piccoli, L., et al., </w:t>
      </w:r>
      <w:r w:rsidRPr="003A468C">
        <w:rPr>
          <w:i/>
          <w:noProof/>
          <w:lang w:val="en-US"/>
        </w:rPr>
        <w:t>Mapping Neutralizing and Immunodominant Sites on the SARS-CoV-2 Spike Receptor-Binding Domain by Structure-Guided High-Resolution Serology.</w:t>
      </w:r>
      <w:r w:rsidRPr="003A468C">
        <w:rPr>
          <w:noProof/>
          <w:lang w:val="en-US"/>
        </w:rPr>
        <w:t xml:space="preserve"> Cell, 2020. </w:t>
      </w:r>
      <w:r w:rsidRPr="003A468C">
        <w:rPr>
          <w:b/>
          <w:noProof/>
          <w:lang w:val="en-US"/>
        </w:rPr>
        <w:t>183</w:t>
      </w:r>
      <w:r w:rsidRPr="003A468C">
        <w:rPr>
          <w:noProof/>
          <w:lang w:val="en-US"/>
        </w:rPr>
        <w:t>(4): p. 1024-1042 e21.</w:t>
      </w:r>
    </w:p>
    <w:p w14:paraId="64CE48C4" w14:textId="77777777" w:rsidR="00376D60" w:rsidRPr="003A468C" w:rsidRDefault="00376D60" w:rsidP="00376D60">
      <w:pPr>
        <w:pStyle w:val="EndNoteBibliography"/>
        <w:spacing w:line="480" w:lineRule="auto"/>
        <w:ind w:left="720" w:hanging="720"/>
        <w:rPr>
          <w:noProof/>
          <w:lang w:val="en-US"/>
        </w:rPr>
      </w:pPr>
      <w:r w:rsidRPr="003A468C">
        <w:rPr>
          <w:noProof/>
          <w:lang w:val="en-US"/>
        </w:rPr>
        <w:t>7.</w:t>
      </w:r>
      <w:r w:rsidRPr="003A468C">
        <w:rPr>
          <w:noProof/>
          <w:lang w:val="en-US"/>
        </w:rPr>
        <w:tab/>
        <w:t xml:space="preserve">Ju, B., et al., </w:t>
      </w:r>
      <w:r w:rsidRPr="003A468C">
        <w:rPr>
          <w:i/>
          <w:noProof/>
          <w:lang w:val="en-US"/>
        </w:rPr>
        <w:t>Human neutralizing antibodies elicited by SARS-CoV-2 infection.</w:t>
      </w:r>
      <w:r w:rsidRPr="003A468C">
        <w:rPr>
          <w:noProof/>
          <w:lang w:val="en-US"/>
        </w:rPr>
        <w:t xml:space="preserve"> Nature, 2020. </w:t>
      </w:r>
      <w:r w:rsidRPr="003A468C">
        <w:rPr>
          <w:b/>
          <w:noProof/>
          <w:lang w:val="en-US"/>
        </w:rPr>
        <w:t>584</w:t>
      </w:r>
      <w:r w:rsidRPr="003A468C">
        <w:rPr>
          <w:noProof/>
          <w:lang w:val="en-US"/>
        </w:rPr>
        <w:t>(7819): p. 115-119.</w:t>
      </w:r>
    </w:p>
    <w:p w14:paraId="58CA79FE" w14:textId="77777777" w:rsidR="00376D60" w:rsidRPr="003A468C" w:rsidRDefault="00376D60" w:rsidP="00376D60">
      <w:pPr>
        <w:pStyle w:val="EndNoteBibliography"/>
        <w:spacing w:line="480" w:lineRule="auto"/>
        <w:ind w:left="720" w:hanging="720"/>
        <w:rPr>
          <w:noProof/>
          <w:lang w:val="en-US"/>
        </w:rPr>
      </w:pPr>
      <w:r w:rsidRPr="003A468C">
        <w:rPr>
          <w:noProof/>
          <w:lang w:val="en-US"/>
        </w:rPr>
        <w:t>8.</w:t>
      </w:r>
      <w:r w:rsidRPr="003A468C">
        <w:rPr>
          <w:noProof/>
          <w:lang w:val="en-US"/>
        </w:rPr>
        <w:tab/>
        <w:t xml:space="preserve">Barnes, C.O., et al., </w:t>
      </w:r>
      <w:r w:rsidRPr="003A468C">
        <w:rPr>
          <w:i/>
          <w:noProof/>
          <w:lang w:val="en-US"/>
        </w:rPr>
        <w:t>SARS-CoV-2 neutralizing antibody structures inform therapeutic strategies.</w:t>
      </w:r>
      <w:r w:rsidRPr="003A468C">
        <w:rPr>
          <w:noProof/>
          <w:lang w:val="en-US"/>
        </w:rPr>
        <w:t xml:space="preserve"> Nature, 2020. </w:t>
      </w:r>
      <w:r w:rsidRPr="003A468C">
        <w:rPr>
          <w:b/>
          <w:noProof/>
          <w:lang w:val="en-US"/>
        </w:rPr>
        <w:t>588</w:t>
      </w:r>
      <w:r w:rsidRPr="003A468C">
        <w:rPr>
          <w:noProof/>
          <w:lang w:val="en-US"/>
        </w:rPr>
        <w:t>(7839): p. 682-687.</w:t>
      </w:r>
    </w:p>
    <w:p w14:paraId="6AB6E99A" w14:textId="77777777" w:rsidR="00376D60" w:rsidRPr="003A468C" w:rsidRDefault="00376D60" w:rsidP="00376D60">
      <w:pPr>
        <w:pStyle w:val="EndNoteBibliography"/>
        <w:spacing w:line="480" w:lineRule="auto"/>
        <w:ind w:left="720" w:hanging="720"/>
        <w:rPr>
          <w:noProof/>
          <w:lang w:val="en-US"/>
        </w:rPr>
      </w:pPr>
      <w:r w:rsidRPr="003A468C">
        <w:rPr>
          <w:noProof/>
          <w:lang w:val="en-US"/>
        </w:rPr>
        <w:t>9.</w:t>
      </w:r>
      <w:r w:rsidRPr="003A468C">
        <w:rPr>
          <w:noProof/>
          <w:lang w:val="en-US"/>
        </w:rPr>
        <w:tab/>
        <w:t xml:space="preserve">McCallum, M., et al., </w:t>
      </w:r>
      <w:r w:rsidRPr="003A468C">
        <w:rPr>
          <w:i/>
          <w:noProof/>
          <w:lang w:val="en-US"/>
        </w:rPr>
        <w:t>N-terminal domain antigenic mapping reveals a site of vulnerability for SARS-CoV-2.</w:t>
      </w:r>
      <w:r w:rsidRPr="003A468C">
        <w:rPr>
          <w:noProof/>
          <w:lang w:val="en-US"/>
        </w:rPr>
        <w:t xml:space="preserve"> Cell, 2021. </w:t>
      </w:r>
      <w:r w:rsidRPr="003A468C">
        <w:rPr>
          <w:b/>
          <w:noProof/>
          <w:lang w:val="en-US"/>
        </w:rPr>
        <w:t>184</w:t>
      </w:r>
      <w:r w:rsidRPr="003A468C">
        <w:rPr>
          <w:noProof/>
          <w:lang w:val="en-US"/>
        </w:rPr>
        <w:t>(9): p. 2332-2347 e16.</w:t>
      </w:r>
    </w:p>
    <w:p w14:paraId="062C9B1B" w14:textId="77777777" w:rsidR="00376D60" w:rsidRPr="003A468C" w:rsidRDefault="00376D60" w:rsidP="00376D60">
      <w:pPr>
        <w:pStyle w:val="EndNoteBibliography"/>
        <w:spacing w:line="480" w:lineRule="auto"/>
        <w:ind w:left="720" w:hanging="720"/>
        <w:rPr>
          <w:noProof/>
          <w:lang w:val="en-US"/>
        </w:rPr>
      </w:pPr>
      <w:r w:rsidRPr="003A468C">
        <w:rPr>
          <w:noProof/>
          <w:lang w:val="en-US"/>
        </w:rPr>
        <w:t>10.</w:t>
      </w:r>
      <w:r w:rsidRPr="003A468C">
        <w:rPr>
          <w:noProof/>
          <w:lang w:val="en-US"/>
        </w:rPr>
        <w:tab/>
        <w:t xml:space="preserve">Chi, X., et al., </w:t>
      </w:r>
      <w:r w:rsidRPr="003A468C">
        <w:rPr>
          <w:i/>
          <w:noProof/>
          <w:lang w:val="en-US"/>
        </w:rPr>
        <w:t>A neutralizing human antibody binds to the N-terminal domain of the Spike protein of SARS-CoV-2.</w:t>
      </w:r>
      <w:r w:rsidRPr="003A468C">
        <w:rPr>
          <w:noProof/>
          <w:lang w:val="en-US"/>
        </w:rPr>
        <w:t xml:space="preserve"> Science, 2020. </w:t>
      </w:r>
      <w:r w:rsidRPr="003A468C">
        <w:rPr>
          <w:b/>
          <w:noProof/>
          <w:lang w:val="en-US"/>
        </w:rPr>
        <w:t>369</w:t>
      </w:r>
      <w:r w:rsidRPr="003A468C">
        <w:rPr>
          <w:noProof/>
          <w:lang w:val="en-US"/>
        </w:rPr>
        <w:t>(6504): p. 650-655.</w:t>
      </w:r>
    </w:p>
    <w:p w14:paraId="78470C55" w14:textId="77777777" w:rsidR="00376D60" w:rsidRPr="003A468C" w:rsidRDefault="00376D60" w:rsidP="00376D60">
      <w:pPr>
        <w:pStyle w:val="EndNoteBibliography"/>
        <w:spacing w:line="480" w:lineRule="auto"/>
        <w:ind w:left="720" w:hanging="720"/>
        <w:rPr>
          <w:noProof/>
          <w:lang w:val="en-US"/>
        </w:rPr>
      </w:pPr>
      <w:r w:rsidRPr="003A468C">
        <w:rPr>
          <w:noProof/>
          <w:lang w:val="en-US"/>
        </w:rPr>
        <w:lastRenderedPageBreak/>
        <w:t>11.</w:t>
      </w:r>
      <w:r w:rsidRPr="003A468C">
        <w:rPr>
          <w:noProof/>
          <w:lang w:val="en-US"/>
        </w:rPr>
        <w:tab/>
        <w:t xml:space="preserve">Lempp, F.A., et al., </w:t>
      </w:r>
      <w:r w:rsidRPr="003A468C">
        <w:rPr>
          <w:i/>
          <w:noProof/>
          <w:lang w:val="en-US"/>
        </w:rPr>
        <w:t>Lectins enhance SARS-CoV-2 infection and influence neutralizing antibodies.</w:t>
      </w:r>
      <w:r w:rsidRPr="003A468C">
        <w:rPr>
          <w:noProof/>
          <w:lang w:val="en-US"/>
        </w:rPr>
        <w:t xml:space="preserve"> Nature, 2021. </w:t>
      </w:r>
      <w:r w:rsidRPr="003A468C">
        <w:rPr>
          <w:b/>
          <w:noProof/>
          <w:lang w:val="en-US"/>
        </w:rPr>
        <w:t>598</w:t>
      </w:r>
      <w:r w:rsidRPr="003A468C">
        <w:rPr>
          <w:noProof/>
          <w:lang w:val="en-US"/>
        </w:rPr>
        <w:t>(7880): p. 342-347.</w:t>
      </w:r>
    </w:p>
    <w:p w14:paraId="58B11B8D" w14:textId="150190CA" w:rsidR="00376D60" w:rsidRPr="003A468C" w:rsidRDefault="00376D60" w:rsidP="00376D60">
      <w:pPr>
        <w:pStyle w:val="EndNoteBibliography"/>
        <w:spacing w:line="480" w:lineRule="auto"/>
        <w:ind w:left="720" w:hanging="720"/>
        <w:rPr>
          <w:noProof/>
          <w:lang w:val="en-US"/>
        </w:rPr>
      </w:pPr>
      <w:r w:rsidRPr="003A468C">
        <w:rPr>
          <w:noProof/>
          <w:lang w:val="en-US"/>
        </w:rPr>
        <w:t>12.</w:t>
      </w:r>
      <w:r w:rsidRPr="003A468C">
        <w:rPr>
          <w:noProof/>
          <w:lang w:val="en-US"/>
        </w:rPr>
        <w:tab/>
        <w:t xml:space="preserve">Liu, Y., et al., </w:t>
      </w:r>
      <w:r w:rsidRPr="003A468C">
        <w:rPr>
          <w:i/>
          <w:noProof/>
          <w:lang w:val="en-US"/>
        </w:rPr>
        <w:t>An infectivity-enhancing site on the SARS-CoV-2 spike protein targeted by antibodies.</w:t>
      </w:r>
      <w:r w:rsidRPr="003A468C">
        <w:rPr>
          <w:noProof/>
          <w:lang w:val="en-US"/>
        </w:rPr>
        <w:t xml:space="preserve"> Cell, 2021. </w:t>
      </w:r>
      <w:r w:rsidRPr="003A468C">
        <w:rPr>
          <w:b/>
          <w:noProof/>
          <w:lang w:val="en-US"/>
        </w:rPr>
        <w:t>184</w:t>
      </w:r>
      <w:r w:rsidRPr="003A468C">
        <w:rPr>
          <w:noProof/>
          <w:lang w:val="en-US"/>
        </w:rPr>
        <w:t>(13): p. 3452-3466 e18.</w:t>
      </w:r>
    </w:p>
    <w:p w14:paraId="781C4542" w14:textId="485B4BFA" w:rsidR="00886CE5" w:rsidRPr="003A468C" w:rsidRDefault="00886CE5" w:rsidP="00376D60">
      <w:pPr>
        <w:pStyle w:val="EndNoteBibliography"/>
        <w:spacing w:line="480" w:lineRule="auto"/>
        <w:ind w:left="720" w:hanging="720"/>
        <w:rPr>
          <w:noProof/>
          <w:lang w:val="en-US"/>
        </w:rPr>
      </w:pPr>
      <w:r w:rsidRPr="003A468C">
        <w:rPr>
          <w:noProof/>
          <w:lang w:val="en-US"/>
        </w:rPr>
        <w:t>13.</w:t>
      </w:r>
      <w:r w:rsidR="003473FC">
        <w:rPr>
          <w:noProof/>
          <w:lang w:val="en-US"/>
        </w:rPr>
        <w:tab/>
      </w:r>
      <w:r w:rsidR="003473FC" w:rsidRPr="003473FC">
        <w:rPr>
          <w:rFonts w:asciiTheme="minorHAnsi" w:hAnsiTheme="minorHAnsi" w:cstheme="minorHAnsi"/>
          <w:color w:val="212121"/>
          <w:highlight w:val="lightGray"/>
          <w:shd w:val="clear" w:color="auto" w:fill="FFFFFF"/>
        </w:rPr>
        <w:t xml:space="preserve"> </w:t>
      </w:r>
      <w:r w:rsidR="003473FC" w:rsidRPr="003473FC">
        <w:rPr>
          <w:rFonts w:asciiTheme="minorHAnsi" w:hAnsiTheme="minorHAnsi" w:cstheme="minorHAnsi"/>
          <w:color w:val="212121"/>
          <w:shd w:val="clear" w:color="auto" w:fill="FFFFFF"/>
        </w:rPr>
        <w:t xml:space="preserve">Li, D, et al., In vitro and in vivo functions of SARS-CoV-2 infection-enhancing and neutralizing antibodies. </w:t>
      </w:r>
      <w:r w:rsidR="003473FC" w:rsidRPr="003473FC">
        <w:rPr>
          <w:rFonts w:asciiTheme="minorHAnsi" w:hAnsiTheme="minorHAnsi" w:cstheme="minorHAnsi"/>
          <w:i/>
          <w:iCs/>
          <w:color w:val="212121"/>
          <w:shd w:val="clear" w:color="auto" w:fill="FFFFFF"/>
        </w:rPr>
        <w:t xml:space="preserve">Cell. </w:t>
      </w:r>
      <w:r w:rsidR="003473FC" w:rsidRPr="003473FC">
        <w:rPr>
          <w:rFonts w:asciiTheme="minorHAnsi" w:hAnsiTheme="minorHAnsi" w:cstheme="minorHAnsi"/>
          <w:color w:val="212121"/>
          <w:shd w:val="clear" w:color="auto" w:fill="FFFFFF"/>
        </w:rPr>
        <w:t>2021 Aug 5;184(16):4203-4219.e32. doi: 10.1016/j.cell.2021.06.021. Epub 2021 Jun 18. PMID: 34242577; PMCID: PMC8232969</w:t>
      </w:r>
      <w:r w:rsidR="003473FC" w:rsidRPr="003A468C">
        <w:rPr>
          <w:noProof/>
          <w:lang w:val="en-US"/>
        </w:rPr>
        <w:t xml:space="preserve"> </w:t>
      </w:r>
    </w:p>
    <w:p w14:paraId="1D7AE809" w14:textId="0E92B5F6"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4</w:t>
      </w:r>
      <w:r w:rsidRPr="003A468C">
        <w:rPr>
          <w:noProof/>
          <w:lang w:val="en-US"/>
        </w:rPr>
        <w:t>.</w:t>
      </w:r>
      <w:r w:rsidRPr="003A468C">
        <w:rPr>
          <w:noProof/>
          <w:lang w:val="en-US"/>
        </w:rPr>
        <w:tab/>
        <w:t xml:space="preserve">Garcia-Beltran, W.F., et al., </w:t>
      </w:r>
      <w:r w:rsidRPr="003A468C">
        <w:rPr>
          <w:i/>
          <w:noProof/>
          <w:lang w:val="en-US"/>
        </w:rPr>
        <w:t>COVID-19-neutralizing antibodies predict disease severity and survival.</w:t>
      </w:r>
      <w:r w:rsidRPr="003A468C">
        <w:rPr>
          <w:noProof/>
          <w:lang w:val="en-US"/>
        </w:rPr>
        <w:t xml:space="preserve"> Cell, 2021. </w:t>
      </w:r>
      <w:r w:rsidRPr="003A468C">
        <w:rPr>
          <w:b/>
          <w:noProof/>
          <w:lang w:val="en-US"/>
        </w:rPr>
        <w:t>184</w:t>
      </w:r>
      <w:r w:rsidRPr="003A468C">
        <w:rPr>
          <w:noProof/>
          <w:lang w:val="en-US"/>
        </w:rPr>
        <w:t>(2): p. 476-488 e11.</w:t>
      </w:r>
    </w:p>
    <w:p w14:paraId="0F2465C2" w14:textId="2605FE9F"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5</w:t>
      </w:r>
      <w:r w:rsidRPr="003A468C">
        <w:rPr>
          <w:noProof/>
          <w:lang w:val="en-US"/>
        </w:rPr>
        <w:t>.</w:t>
      </w:r>
      <w:r w:rsidRPr="003A468C">
        <w:rPr>
          <w:noProof/>
          <w:lang w:val="en-US"/>
        </w:rPr>
        <w:tab/>
        <w:t xml:space="preserve">Addetia, A., et al., </w:t>
      </w:r>
      <w:r w:rsidRPr="003A468C">
        <w:rPr>
          <w:i/>
          <w:noProof/>
          <w:lang w:val="en-US"/>
        </w:rPr>
        <w:t>Neutralizing Antibodies Correlate with Protection from SARS-CoV-2 in Humans during a Fishery Vessel Outbreak with a High Attack Rate.</w:t>
      </w:r>
      <w:r w:rsidRPr="003A468C">
        <w:rPr>
          <w:noProof/>
          <w:lang w:val="en-US"/>
        </w:rPr>
        <w:t xml:space="preserve"> J Clin Microbiol, 2020. </w:t>
      </w:r>
      <w:r w:rsidRPr="003A468C">
        <w:rPr>
          <w:b/>
          <w:noProof/>
          <w:lang w:val="en-US"/>
        </w:rPr>
        <w:t>58</w:t>
      </w:r>
      <w:r w:rsidRPr="003A468C">
        <w:rPr>
          <w:noProof/>
          <w:lang w:val="en-US"/>
        </w:rPr>
        <w:t>(11).</w:t>
      </w:r>
    </w:p>
    <w:p w14:paraId="026077B5" w14:textId="304884AC"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6</w:t>
      </w:r>
      <w:r w:rsidRPr="003A468C">
        <w:rPr>
          <w:noProof/>
          <w:lang w:val="en-US"/>
        </w:rPr>
        <w:t>.</w:t>
      </w:r>
      <w:r w:rsidRPr="003A468C">
        <w:rPr>
          <w:noProof/>
          <w:lang w:val="en-US"/>
        </w:rPr>
        <w:tab/>
        <w:t xml:space="preserve">Nie, J., et al., </w:t>
      </w:r>
      <w:r w:rsidRPr="003A468C">
        <w:rPr>
          <w:i/>
          <w:noProof/>
          <w:lang w:val="en-US"/>
        </w:rPr>
        <w:t>Quantification of SARS-CoV-2 neutralizing antibody by a pseudotyped virus-based assay.</w:t>
      </w:r>
      <w:r w:rsidRPr="003A468C">
        <w:rPr>
          <w:noProof/>
          <w:lang w:val="en-US"/>
        </w:rPr>
        <w:t xml:space="preserve"> Nat Protoc, 2020. </w:t>
      </w:r>
      <w:r w:rsidRPr="003A468C">
        <w:rPr>
          <w:b/>
          <w:noProof/>
          <w:lang w:val="en-US"/>
        </w:rPr>
        <w:t>15</w:t>
      </w:r>
      <w:r w:rsidRPr="003A468C">
        <w:rPr>
          <w:noProof/>
          <w:lang w:val="en-US"/>
        </w:rPr>
        <w:t>(11): p. 3699-3715.</w:t>
      </w:r>
    </w:p>
    <w:p w14:paraId="49DCFF05" w14:textId="221707E5"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7</w:t>
      </w:r>
      <w:r w:rsidRPr="003A468C">
        <w:rPr>
          <w:noProof/>
          <w:lang w:val="en-US"/>
        </w:rPr>
        <w:t>.</w:t>
      </w:r>
      <w:r w:rsidRPr="003A468C">
        <w:rPr>
          <w:noProof/>
          <w:lang w:val="en-US"/>
        </w:rPr>
        <w:tab/>
        <w:t xml:space="preserve">Starr, T.N., et al., </w:t>
      </w:r>
      <w:r w:rsidRPr="003A468C">
        <w:rPr>
          <w:i/>
          <w:noProof/>
          <w:lang w:val="en-US"/>
        </w:rPr>
        <w:t>Deep Mutational Scanning of SARS-CoV-2 Receptor Binding Domain Reveals Constraints on Folding and ACE2 Binding.</w:t>
      </w:r>
      <w:r w:rsidRPr="003A468C">
        <w:rPr>
          <w:noProof/>
          <w:lang w:val="en-US"/>
        </w:rPr>
        <w:t xml:space="preserve"> Cell, 2020. </w:t>
      </w:r>
      <w:r w:rsidRPr="003A468C">
        <w:rPr>
          <w:b/>
          <w:noProof/>
          <w:lang w:val="en-US"/>
        </w:rPr>
        <w:t>182</w:t>
      </w:r>
      <w:r w:rsidRPr="003A468C">
        <w:rPr>
          <w:noProof/>
          <w:lang w:val="en-US"/>
        </w:rPr>
        <w:t>(5): p. 1295-1310 e20.</w:t>
      </w:r>
    </w:p>
    <w:p w14:paraId="3E30395D" w14:textId="7722F5F9"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8</w:t>
      </w:r>
      <w:r w:rsidRPr="003A468C">
        <w:rPr>
          <w:noProof/>
          <w:lang w:val="en-US"/>
        </w:rPr>
        <w:t>.</w:t>
      </w:r>
      <w:r w:rsidRPr="003A468C">
        <w:rPr>
          <w:noProof/>
          <w:lang w:val="en-US"/>
        </w:rPr>
        <w:tab/>
        <w:t xml:space="preserve">Muik, A., et al., </w:t>
      </w:r>
      <w:r w:rsidRPr="003A468C">
        <w:rPr>
          <w:i/>
          <w:noProof/>
          <w:lang w:val="en-US"/>
        </w:rPr>
        <w:t>Neutralization of SARS-CoV-2 lineage B.1.1.7 pseudovirus by BNT162b2 vaccine-elicited human sera.</w:t>
      </w:r>
      <w:r w:rsidRPr="003A468C">
        <w:rPr>
          <w:noProof/>
          <w:lang w:val="en-US"/>
        </w:rPr>
        <w:t xml:space="preserve"> Science, 2021. </w:t>
      </w:r>
      <w:r w:rsidRPr="003A468C">
        <w:rPr>
          <w:b/>
          <w:noProof/>
          <w:lang w:val="en-US"/>
        </w:rPr>
        <w:t>371</w:t>
      </w:r>
      <w:r w:rsidRPr="003A468C">
        <w:rPr>
          <w:noProof/>
          <w:lang w:val="en-US"/>
        </w:rPr>
        <w:t>(6534): p. 1152-1153.</w:t>
      </w:r>
    </w:p>
    <w:p w14:paraId="5B156765" w14:textId="19360B6B" w:rsidR="00376D60" w:rsidRPr="003A468C" w:rsidRDefault="00376D60" w:rsidP="00376D60">
      <w:pPr>
        <w:pStyle w:val="EndNoteBibliography"/>
        <w:spacing w:line="480" w:lineRule="auto"/>
        <w:ind w:left="720" w:hanging="720"/>
        <w:rPr>
          <w:noProof/>
          <w:lang w:val="en-US"/>
        </w:rPr>
      </w:pPr>
      <w:r w:rsidRPr="003A468C">
        <w:rPr>
          <w:noProof/>
          <w:lang w:val="en-US"/>
        </w:rPr>
        <w:t>1</w:t>
      </w:r>
      <w:r w:rsidR="00167613" w:rsidRPr="003A468C">
        <w:rPr>
          <w:noProof/>
          <w:lang w:val="en-US"/>
        </w:rPr>
        <w:t>9</w:t>
      </w:r>
      <w:r w:rsidRPr="003A468C">
        <w:rPr>
          <w:noProof/>
          <w:lang w:val="en-US"/>
        </w:rPr>
        <w:t>.</w:t>
      </w:r>
      <w:r w:rsidRPr="003A468C">
        <w:rPr>
          <w:noProof/>
          <w:lang w:val="en-US"/>
        </w:rPr>
        <w:tab/>
        <w:t xml:space="preserve">Focosi, D. and F. Maggi, </w:t>
      </w:r>
      <w:r w:rsidRPr="003A468C">
        <w:rPr>
          <w:i/>
          <w:noProof/>
          <w:lang w:val="en-US"/>
        </w:rPr>
        <w:t>Neutralising antibody escape of SARS-CoV-2 spike protein: Risk assessment for antibody-based Covid-19 therapeutics and vaccines.</w:t>
      </w:r>
      <w:r w:rsidRPr="003A468C">
        <w:rPr>
          <w:noProof/>
          <w:lang w:val="en-US"/>
        </w:rPr>
        <w:t xml:space="preserve"> Rev Med Virol, 2021. </w:t>
      </w:r>
      <w:r w:rsidRPr="003A468C">
        <w:rPr>
          <w:b/>
          <w:noProof/>
          <w:lang w:val="en-US"/>
        </w:rPr>
        <w:t>31</w:t>
      </w:r>
      <w:r w:rsidRPr="003A468C">
        <w:rPr>
          <w:noProof/>
          <w:lang w:val="en-US"/>
        </w:rPr>
        <w:t>(6): p. e2231.</w:t>
      </w:r>
    </w:p>
    <w:p w14:paraId="5F2C79E3" w14:textId="47EB18F7" w:rsidR="00376D60" w:rsidRPr="003A468C" w:rsidRDefault="00167613" w:rsidP="00376D60">
      <w:pPr>
        <w:pStyle w:val="EndNoteBibliography"/>
        <w:spacing w:line="480" w:lineRule="auto"/>
        <w:ind w:left="720" w:hanging="720"/>
        <w:rPr>
          <w:noProof/>
          <w:lang w:val="en-US"/>
        </w:rPr>
      </w:pPr>
      <w:r w:rsidRPr="003A468C">
        <w:rPr>
          <w:noProof/>
          <w:lang w:val="en-US"/>
        </w:rPr>
        <w:lastRenderedPageBreak/>
        <w:t>20</w:t>
      </w:r>
      <w:r w:rsidR="00376D60" w:rsidRPr="003A468C">
        <w:rPr>
          <w:noProof/>
          <w:lang w:val="en-US"/>
        </w:rPr>
        <w:t>.</w:t>
      </w:r>
      <w:r w:rsidR="00376D60" w:rsidRPr="003A468C">
        <w:rPr>
          <w:noProof/>
          <w:lang w:val="en-US"/>
        </w:rPr>
        <w:tab/>
        <w:t xml:space="preserve">Planas, D., et al., </w:t>
      </w:r>
      <w:r w:rsidR="00376D60" w:rsidRPr="003A468C">
        <w:rPr>
          <w:i/>
          <w:noProof/>
          <w:lang w:val="en-US"/>
        </w:rPr>
        <w:t>Reduced sensitivity of SARS-CoV-2 variant Delta to antibody neutralization.</w:t>
      </w:r>
      <w:r w:rsidR="00376D60" w:rsidRPr="003A468C">
        <w:rPr>
          <w:noProof/>
          <w:lang w:val="en-US"/>
        </w:rPr>
        <w:t xml:space="preserve"> Nature, 2021. </w:t>
      </w:r>
      <w:r w:rsidR="00376D60" w:rsidRPr="003A468C">
        <w:rPr>
          <w:b/>
          <w:noProof/>
          <w:lang w:val="en-US"/>
        </w:rPr>
        <w:t>596</w:t>
      </w:r>
      <w:r w:rsidR="00376D60" w:rsidRPr="003A468C">
        <w:rPr>
          <w:noProof/>
          <w:lang w:val="en-US"/>
        </w:rPr>
        <w:t>(7871): p. 276-280.</w:t>
      </w:r>
    </w:p>
    <w:p w14:paraId="484CDE65" w14:textId="546CE76D"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1</w:t>
      </w:r>
      <w:r w:rsidRPr="003A468C">
        <w:rPr>
          <w:noProof/>
          <w:lang w:val="en-US"/>
        </w:rPr>
        <w:t>.</w:t>
      </w:r>
      <w:r w:rsidRPr="003A468C">
        <w:rPr>
          <w:noProof/>
          <w:lang w:val="en-US"/>
        </w:rPr>
        <w:tab/>
        <w:t xml:space="preserve">Callaway, E., </w:t>
      </w:r>
      <w:r w:rsidRPr="003A468C">
        <w:rPr>
          <w:i/>
          <w:noProof/>
          <w:lang w:val="en-US"/>
        </w:rPr>
        <w:t>Heavily mutated Omicron variant puts scientists on alert.</w:t>
      </w:r>
      <w:r w:rsidRPr="003A468C">
        <w:rPr>
          <w:noProof/>
          <w:lang w:val="en-US"/>
        </w:rPr>
        <w:t xml:space="preserve"> Nature, 2021. </w:t>
      </w:r>
      <w:r w:rsidRPr="003A468C">
        <w:rPr>
          <w:b/>
          <w:noProof/>
          <w:lang w:val="en-US"/>
        </w:rPr>
        <w:t>600</w:t>
      </w:r>
      <w:r w:rsidRPr="003A468C">
        <w:rPr>
          <w:noProof/>
          <w:lang w:val="en-US"/>
        </w:rPr>
        <w:t>(7887): p. 21.</w:t>
      </w:r>
    </w:p>
    <w:p w14:paraId="47FC95DE" w14:textId="517EFAB7"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2</w:t>
      </w:r>
      <w:r w:rsidRPr="003A468C">
        <w:rPr>
          <w:noProof/>
          <w:lang w:val="en-US"/>
        </w:rPr>
        <w:t>.</w:t>
      </w:r>
      <w:r w:rsidRPr="003A468C">
        <w:rPr>
          <w:noProof/>
          <w:lang w:val="en-US"/>
        </w:rPr>
        <w:tab/>
        <w:t xml:space="preserve">Planas, D., et al., </w:t>
      </w:r>
      <w:r w:rsidRPr="003A468C">
        <w:rPr>
          <w:i/>
          <w:noProof/>
          <w:lang w:val="en-US"/>
        </w:rPr>
        <w:t>Considerable escape of SARS-CoV-2 Omicron to antibody neutralization.</w:t>
      </w:r>
      <w:r w:rsidRPr="003A468C">
        <w:rPr>
          <w:noProof/>
          <w:lang w:val="en-US"/>
        </w:rPr>
        <w:t xml:space="preserve"> Nature, 2021.</w:t>
      </w:r>
    </w:p>
    <w:p w14:paraId="400E42EF" w14:textId="33E45927"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3</w:t>
      </w:r>
      <w:r w:rsidRPr="003A468C">
        <w:rPr>
          <w:noProof/>
          <w:lang w:val="en-US"/>
        </w:rPr>
        <w:t>.</w:t>
      </w:r>
      <w:r w:rsidRPr="003A468C">
        <w:rPr>
          <w:noProof/>
          <w:lang w:val="en-US"/>
        </w:rPr>
        <w:tab/>
        <w:t xml:space="preserve">Chen, X., et al., </w:t>
      </w:r>
      <w:r w:rsidRPr="003A468C">
        <w:rPr>
          <w:i/>
          <w:noProof/>
          <w:lang w:val="en-US"/>
        </w:rPr>
        <w:t>Neutralizing antibodies against SARS-CoV-2 variants induced by natural infection or vaccination: a systematic review and pooled meta-analysis.</w:t>
      </w:r>
      <w:r w:rsidRPr="003A468C">
        <w:rPr>
          <w:noProof/>
          <w:lang w:val="en-US"/>
        </w:rPr>
        <w:t xml:space="preserve"> Clin Infect Dis, 2021.</w:t>
      </w:r>
    </w:p>
    <w:p w14:paraId="7E2AAA21" w14:textId="709EFC47"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4</w:t>
      </w:r>
      <w:r w:rsidRPr="003A468C">
        <w:rPr>
          <w:noProof/>
          <w:lang w:val="en-US"/>
        </w:rPr>
        <w:t>.</w:t>
      </w:r>
      <w:r w:rsidRPr="003A468C">
        <w:rPr>
          <w:noProof/>
          <w:lang w:val="en-US"/>
        </w:rPr>
        <w:tab/>
        <w:t xml:space="preserve">Cele, S., et al., </w:t>
      </w:r>
      <w:r w:rsidRPr="003A468C">
        <w:rPr>
          <w:i/>
          <w:noProof/>
          <w:lang w:val="en-US"/>
        </w:rPr>
        <w:t>Omicron extensively but incompletely escapes Pfizer BNT162b2 neutralization.</w:t>
      </w:r>
      <w:r w:rsidRPr="003A468C">
        <w:rPr>
          <w:noProof/>
          <w:lang w:val="en-US"/>
        </w:rPr>
        <w:t xml:space="preserve"> Nature, 2021.</w:t>
      </w:r>
    </w:p>
    <w:p w14:paraId="45CDB5FD" w14:textId="43F8311C"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5</w:t>
      </w:r>
      <w:r w:rsidRPr="003A468C">
        <w:rPr>
          <w:noProof/>
          <w:lang w:val="en-US"/>
        </w:rPr>
        <w:t>.</w:t>
      </w:r>
      <w:r w:rsidRPr="003A468C">
        <w:rPr>
          <w:noProof/>
          <w:lang w:val="en-US"/>
        </w:rPr>
        <w:tab/>
        <w:t xml:space="preserve">Schmidt, F., et al., </w:t>
      </w:r>
      <w:r w:rsidRPr="003A468C">
        <w:rPr>
          <w:i/>
          <w:noProof/>
          <w:lang w:val="en-US"/>
        </w:rPr>
        <w:t>Plasma Neutralization of the SARS-CoV-2 Omicron Variant.</w:t>
      </w:r>
      <w:r w:rsidRPr="003A468C">
        <w:rPr>
          <w:noProof/>
          <w:lang w:val="en-US"/>
        </w:rPr>
        <w:t xml:space="preserve"> N Engl J Med, 2022. </w:t>
      </w:r>
      <w:r w:rsidRPr="003A468C">
        <w:rPr>
          <w:b/>
          <w:noProof/>
          <w:lang w:val="en-US"/>
        </w:rPr>
        <w:t>386</w:t>
      </w:r>
      <w:r w:rsidRPr="003A468C">
        <w:rPr>
          <w:noProof/>
          <w:lang w:val="en-US"/>
        </w:rPr>
        <w:t>(6): p. 599-601.</w:t>
      </w:r>
    </w:p>
    <w:p w14:paraId="7FCB8A71" w14:textId="22512B69"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6</w:t>
      </w:r>
      <w:r w:rsidRPr="003A468C">
        <w:rPr>
          <w:noProof/>
          <w:lang w:val="en-US"/>
        </w:rPr>
        <w:t>.</w:t>
      </w:r>
      <w:r w:rsidRPr="003A468C">
        <w:rPr>
          <w:noProof/>
          <w:lang w:val="en-US"/>
        </w:rPr>
        <w:tab/>
        <w:t xml:space="preserve">Gallais, F., et al., </w:t>
      </w:r>
      <w:r w:rsidRPr="003A468C">
        <w:rPr>
          <w:i/>
          <w:noProof/>
          <w:lang w:val="en-US"/>
        </w:rPr>
        <w:t>Evolution of antibody responses up to 13 months after SARS-CoV-2 infection and risk of reinfection.</w:t>
      </w:r>
      <w:r w:rsidRPr="003A468C">
        <w:rPr>
          <w:noProof/>
          <w:lang w:val="en-US"/>
        </w:rPr>
        <w:t xml:space="preserve"> EBioMedicine, 2021. </w:t>
      </w:r>
      <w:r w:rsidRPr="003A468C">
        <w:rPr>
          <w:b/>
          <w:noProof/>
          <w:lang w:val="en-US"/>
        </w:rPr>
        <w:t>71</w:t>
      </w:r>
      <w:r w:rsidRPr="003A468C">
        <w:rPr>
          <w:noProof/>
          <w:lang w:val="en-US"/>
        </w:rPr>
        <w:t>: p. 103561.</w:t>
      </w:r>
    </w:p>
    <w:p w14:paraId="3E8B0198" w14:textId="20CB972B"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7</w:t>
      </w:r>
      <w:r w:rsidRPr="003A468C">
        <w:rPr>
          <w:noProof/>
          <w:lang w:val="en-US"/>
        </w:rPr>
        <w:t>.</w:t>
      </w:r>
      <w:r w:rsidRPr="003A468C">
        <w:rPr>
          <w:noProof/>
          <w:lang w:val="en-US"/>
        </w:rPr>
        <w:tab/>
        <w:t xml:space="preserve">VanBlargan, L.A., et al., </w:t>
      </w:r>
      <w:r w:rsidRPr="003A468C">
        <w:rPr>
          <w:i/>
          <w:noProof/>
          <w:lang w:val="en-US"/>
        </w:rPr>
        <w:t>An infectious SARS-CoV-2 B.1.1.529 Omicron virus escapes neutralization by therapeutic monoclonal antibodies.</w:t>
      </w:r>
      <w:r w:rsidRPr="003A468C">
        <w:rPr>
          <w:noProof/>
          <w:lang w:val="en-US"/>
        </w:rPr>
        <w:t xml:space="preserve"> Nat Med, 2022.</w:t>
      </w:r>
    </w:p>
    <w:p w14:paraId="75C8F776" w14:textId="5448FAAF" w:rsidR="00376D60" w:rsidRPr="003A468C" w:rsidRDefault="00376D60" w:rsidP="00376D60">
      <w:pPr>
        <w:pStyle w:val="EndNoteBibliography"/>
        <w:spacing w:line="480" w:lineRule="auto"/>
        <w:ind w:left="720" w:hanging="720"/>
        <w:rPr>
          <w:noProof/>
          <w:lang w:val="en-US"/>
        </w:rPr>
      </w:pPr>
      <w:r w:rsidRPr="003A468C">
        <w:rPr>
          <w:noProof/>
          <w:lang w:val="en-US"/>
        </w:rPr>
        <w:t>2</w:t>
      </w:r>
      <w:r w:rsidR="00167613" w:rsidRPr="003A468C">
        <w:rPr>
          <w:noProof/>
          <w:lang w:val="en-US"/>
        </w:rPr>
        <w:t>8</w:t>
      </w:r>
      <w:r w:rsidRPr="003A468C">
        <w:rPr>
          <w:noProof/>
          <w:lang w:val="en-US"/>
        </w:rPr>
        <w:t>.</w:t>
      </w:r>
      <w:r w:rsidRPr="003A468C">
        <w:rPr>
          <w:noProof/>
          <w:lang w:val="en-US"/>
        </w:rPr>
        <w:tab/>
        <w:t xml:space="preserve">Garcia-Beltran, W.F., et al., </w:t>
      </w:r>
      <w:r w:rsidRPr="003A468C">
        <w:rPr>
          <w:i/>
          <w:noProof/>
          <w:lang w:val="en-US"/>
        </w:rPr>
        <w:t>mRNA-based COVID-19 vaccine boosters induce neutralizing immunity against SARS-CoV-2 Omicron variant.</w:t>
      </w:r>
      <w:r w:rsidRPr="003A468C">
        <w:rPr>
          <w:noProof/>
          <w:lang w:val="en-US"/>
        </w:rPr>
        <w:t xml:space="preserve"> Cell, 2022. </w:t>
      </w:r>
      <w:r w:rsidRPr="003A468C">
        <w:rPr>
          <w:b/>
          <w:noProof/>
          <w:lang w:val="en-US"/>
        </w:rPr>
        <w:t>185</w:t>
      </w:r>
      <w:r w:rsidRPr="003A468C">
        <w:rPr>
          <w:noProof/>
          <w:lang w:val="en-US"/>
        </w:rPr>
        <w:t>(3): p. 457-466 e4.</w:t>
      </w:r>
    </w:p>
    <w:p w14:paraId="55DFFA87" w14:textId="740D16A0" w:rsidR="006915E1" w:rsidRPr="004247BA" w:rsidRDefault="00167613" w:rsidP="004247BA">
      <w:pPr>
        <w:spacing w:line="480" w:lineRule="auto"/>
        <w:ind w:left="720" w:hanging="720"/>
        <w:rPr>
          <w:rFonts w:cstheme="minorHAnsi"/>
          <w:color w:val="212121"/>
          <w:sz w:val="24"/>
          <w:szCs w:val="24"/>
          <w:shd w:val="clear" w:color="auto" w:fill="FFFFFF"/>
          <w:lang w:val="en-US"/>
        </w:rPr>
      </w:pPr>
      <w:r w:rsidRPr="003A468C">
        <w:rPr>
          <w:noProof/>
          <w:sz w:val="24"/>
          <w:szCs w:val="24"/>
          <w:lang w:val="en-US"/>
        </w:rPr>
        <w:t>29.</w:t>
      </w:r>
      <w:r w:rsidR="004247BA">
        <w:rPr>
          <w:noProof/>
          <w:sz w:val="24"/>
          <w:szCs w:val="24"/>
          <w:lang w:val="en-US"/>
        </w:rPr>
        <w:tab/>
      </w:r>
      <w:r w:rsidRPr="003A468C">
        <w:rPr>
          <w:noProof/>
          <w:sz w:val="24"/>
          <w:szCs w:val="24"/>
          <w:lang w:val="en-US"/>
        </w:rPr>
        <w:t xml:space="preserve"> </w:t>
      </w:r>
      <w:r w:rsidR="006915E1" w:rsidRPr="004247BA">
        <w:rPr>
          <w:rFonts w:cstheme="minorHAnsi"/>
          <w:color w:val="212121"/>
          <w:sz w:val="24"/>
          <w:szCs w:val="24"/>
          <w:shd w:val="clear" w:color="auto" w:fill="FFFFFF"/>
          <w:lang w:val="en-US"/>
        </w:rPr>
        <w:t>Muecksch F, et al., Increased Potency and Breadth of SARS-CoV-2 Neutralizing Antibodies After a Third mRNA Vaccine Dose. bioRxiv . 2022: p2022.02.14.480394</w:t>
      </w:r>
    </w:p>
    <w:p w14:paraId="5F450AA7" w14:textId="77777777" w:rsidR="004247BA" w:rsidRPr="004247BA" w:rsidRDefault="00167613" w:rsidP="004247BA">
      <w:pPr>
        <w:spacing w:line="480" w:lineRule="auto"/>
        <w:ind w:left="720" w:hanging="630"/>
        <w:rPr>
          <w:rFonts w:cstheme="minorHAnsi"/>
          <w:noProof/>
          <w:sz w:val="24"/>
          <w:szCs w:val="24"/>
          <w:lang w:val="en-US"/>
        </w:rPr>
      </w:pPr>
      <w:r w:rsidRPr="004247BA">
        <w:rPr>
          <w:rFonts w:cstheme="minorHAnsi"/>
          <w:noProof/>
          <w:sz w:val="24"/>
          <w:szCs w:val="24"/>
          <w:lang w:val="en-US"/>
        </w:rPr>
        <w:lastRenderedPageBreak/>
        <w:t xml:space="preserve">30. </w:t>
      </w:r>
      <w:r w:rsidR="004247BA" w:rsidRPr="004247BA">
        <w:rPr>
          <w:rFonts w:cstheme="minorHAnsi"/>
          <w:noProof/>
          <w:sz w:val="24"/>
          <w:szCs w:val="24"/>
          <w:lang w:val="en-US"/>
        </w:rPr>
        <w:tab/>
      </w:r>
      <w:r w:rsidR="004247BA" w:rsidRPr="004247BA">
        <w:rPr>
          <w:rFonts w:cstheme="minorHAnsi"/>
          <w:color w:val="212121"/>
          <w:sz w:val="24"/>
          <w:szCs w:val="24"/>
          <w:shd w:val="clear" w:color="auto" w:fill="FFFFFF"/>
          <w:lang w:val="en-US"/>
        </w:rPr>
        <w:t xml:space="preserve"> Kotaki R, et al, SARS-CoV-2 Omicron-neutralizing memory B-cells are elicited by two doses of BNT162b2 mRNA vaccine. Sci Immunol. 2022 Feb 3:eabn8590. doi: 10.1126/sciimmunol.abn8590. Epub ahead of print. PMID: 35113654.</w:t>
      </w:r>
    </w:p>
    <w:p w14:paraId="39CA6281" w14:textId="558EDFA0" w:rsidR="00376D60" w:rsidRPr="003A468C" w:rsidRDefault="00167613" w:rsidP="00376D60">
      <w:pPr>
        <w:pStyle w:val="EndNoteBibliography"/>
        <w:spacing w:line="480" w:lineRule="auto"/>
        <w:ind w:left="720" w:hanging="720"/>
        <w:rPr>
          <w:noProof/>
          <w:lang w:val="en-US"/>
        </w:rPr>
      </w:pPr>
      <w:r w:rsidRPr="003A468C">
        <w:rPr>
          <w:noProof/>
          <w:lang w:val="en-US"/>
        </w:rPr>
        <w:t>31</w:t>
      </w:r>
      <w:r w:rsidR="00376D60" w:rsidRPr="003A468C">
        <w:rPr>
          <w:noProof/>
          <w:lang w:val="en-US"/>
        </w:rPr>
        <w:t>.</w:t>
      </w:r>
      <w:r w:rsidR="00376D60" w:rsidRPr="003A468C">
        <w:rPr>
          <w:noProof/>
          <w:lang w:val="en-US"/>
        </w:rPr>
        <w:tab/>
        <w:t xml:space="preserve">L'Huillier, A.G., et al., </w:t>
      </w:r>
      <w:r w:rsidR="00376D60" w:rsidRPr="003A468C">
        <w:rPr>
          <w:i/>
          <w:noProof/>
          <w:lang w:val="en-US"/>
        </w:rPr>
        <w:t>Antibody persistence in the first 6 months following SARS-CoV-2 infection among hospital workers: a prospective longitudinal study.</w:t>
      </w:r>
      <w:r w:rsidR="00376D60" w:rsidRPr="003A468C">
        <w:rPr>
          <w:noProof/>
          <w:lang w:val="en-US"/>
        </w:rPr>
        <w:t xml:space="preserve"> Clin Microbiol Infect, 2021.</w:t>
      </w:r>
    </w:p>
    <w:p w14:paraId="2431B36D" w14:textId="41A01808" w:rsidR="00376D60" w:rsidRPr="003A468C" w:rsidRDefault="00167613" w:rsidP="00376D60">
      <w:pPr>
        <w:pStyle w:val="EndNoteBibliography"/>
        <w:spacing w:line="480" w:lineRule="auto"/>
        <w:ind w:left="720" w:hanging="720"/>
        <w:rPr>
          <w:noProof/>
          <w:lang w:val="en-US"/>
        </w:rPr>
      </w:pPr>
      <w:r w:rsidRPr="003A468C">
        <w:rPr>
          <w:noProof/>
          <w:lang w:val="en-US"/>
        </w:rPr>
        <w:t>32</w:t>
      </w:r>
      <w:r w:rsidR="00376D60" w:rsidRPr="003A468C">
        <w:rPr>
          <w:noProof/>
          <w:lang w:val="en-US"/>
        </w:rPr>
        <w:t>.</w:t>
      </w:r>
      <w:r w:rsidR="00376D60" w:rsidRPr="003A468C">
        <w:rPr>
          <w:noProof/>
          <w:lang w:val="en-US"/>
        </w:rPr>
        <w:tab/>
        <w:t xml:space="preserve">Wajnberg, A., et al., </w:t>
      </w:r>
      <w:r w:rsidR="00376D60" w:rsidRPr="003A468C">
        <w:rPr>
          <w:i/>
          <w:noProof/>
          <w:lang w:val="en-US"/>
        </w:rPr>
        <w:t>Robust neutralizing antibodies to SARS-CoV-2 infection persist for months.</w:t>
      </w:r>
      <w:r w:rsidR="00376D60" w:rsidRPr="003A468C">
        <w:rPr>
          <w:noProof/>
          <w:lang w:val="en-US"/>
        </w:rPr>
        <w:t xml:space="preserve"> Science, 2020. </w:t>
      </w:r>
      <w:r w:rsidR="00376D60" w:rsidRPr="003A468C">
        <w:rPr>
          <w:b/>
          <w:noProof/>
          <w:lang w:val="en-US"/>
        </w:rPr>
        <w:t>370</w:t>
      </w:r>
      <w:r w:rsidR="00376D60" w:rsidRPr="003A468C">
        <w:rPr>
          <w:noProof/>
          <w:lang w:val="en-US"/>
        </w:rPr>
        <w:t>(6521): p. 1227-1230.</w:t>
      </w:r>
    </w:p>
    <w:p w14:paraId="21BD17CB" w14:textId="249C2EE4"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3</w:t>
      </w:r>
      <w:r w:rsidRPr="003A468C">
        <w:rPr>
          <w:noProof/>
          <w:lang w:val="en-US"/>
        </w:rPr>
        <w:t>.</w:t>
      </w:r>
      <w:r w:rsidRPr="003A468C">
        <w:rPr>
          <w:noProof/>
          <w:lang w:val="en-US"/>
        </w:rPr>
        <w:tab/>
        <w:t xml:space="preserve">Grandjean, L., et al., </w:t>
      </w:r>
      <w:r w:rsidRPr="003A468C">
        <w:rPr>
          <w:i/>
          <w:noProof/>
          <w:lang w:val="en-US"/>
        </w:rPr>
        <w:t>Long-Term Persistence of Spike Antibody and Predictive Modeling of Antibody Dynamics Following Infection with SARS-CoV-2.</w:t>
      </w:r>
      <w:r w:rsidRPr="003A468C">
        <w:rPr>
          <w:noProof/>
          <w:lang w:val="en-US"/>
        </w:rPr>
        <w:t xml:space="preserve"> Clin Infect Dis, 2021.</w:t>
      </w:r>
    </w:p>
    <w:p w14:paraId="6E468D40" w14:textId="4F897BEB"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4</w:t>
      </w:r>
      <w:r w:rsidRPr="003A468C">
        <w:rPr>
          <w:noProof/>
          <w:lang w:val="en-US"/>
        </w:rPr>
        <w:t>.</w:t>
      </w:r>
      <w:r w:rsidRPr="003A468C">
        <w:rPr>
          <w:noProof/>
          <w:lang w:val="en-US"/>
        </w:rPr>
        <w:tab/>
        <w:t xml:space="preserve">Moriyama, S., et al., </w:t>
      </w:r>
      <w:r w:rsidRPr="003A468C">
        <w:rPr>
          <w:i/>
          <w:noProof/>
          <w:lang w:val="en-US"/>
        </w:rPr>
        <w:t>Temporal maturation of neutralizing antibodies in COVID-19 convalescent individuals improves potency and breadth to circulating SARS-CoV-2 variants.</w:t>
      </w:r>
      <w:r w:rsidRPr="003A468C">
        <w:rPr>
          <w:noProof/>
          <w:lang w:val="en-US"/>
        </w:rPr>
        <w:t xml:space="preserve"> Immunity, 2021. </w:t>
      </w:r>
      <w:r w:rsidRPr="003A468C">
        <w:rPr>
          <w:b/>
          <w:noProof/>
          <w:lang w:val="en-US"/>
        </w:rPr>
        <w:t>54</w:t>
      </w:r>
      <w:r w:rsidRPr="003A468C">
        <w:rPr>
          <w:noProof/>
          <w:lang w:val="en-US"/>
        </w:rPr>
        <w:t>(8): p. 1841-1852 e4.</w:t>
      </w:r>
    </w:p>
    <w:p w14:paraId="23A5CD88" w14:textId="595280F0"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5</w:t>
      </w:r>
      <w:r w:rsidRPr="003A468C">
        <w:rPr>
          <w:noProof/>
          <w:lang w:val="en-US"/>
        </w:rPr>
        <w:t>.</w:t>
      </w:r>
      <w:r w:rsidRPr="003A468C">
        <w:rPr>
          <w:noProof/>
          <w:lang w:val="en-US"/>
        </w:rPr>
        <w:tab/>
        <w:t xml:space="preserve">Chan, R.W., et al., </w:t>
      </w:r>
      <w:r w:rsidRPr="003A468C">
        <w:rPr>
          <w:i/>
          <w:noProof/>
          <w:lang w:val="en-US"/>
        </w:rPr>
        <w:t>Mucosal antibody response to SARS-CoV-2 in paediatric and adult patients: a longitudinal study.</w:t>
      </w:r>
      <w:r w:rsidRPr="003A468C">
        <w:rPr>
          <w:noProof/>
          <w:lang w:val="en-US"/>
        </w:rPr>
        <w:t xml:space="preserve"> medRxiv, 2021: p. 2021.09.27.21264219.</w:t>
      </w:r>
    </w:p>
    <w:p w14:paraId="2ACAA8DC" w14:textId="47CDEBEB"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6</w:t>
      </w:r>
      <w:r w:rsidRPr="003A468C">
        <w:rPr>
          <w:noProof/>
          <w:lang w:val="en-US"/>
        </w:rPr>
        <w:t>.</w:t>
      </w:r>
      <w:r w:rsidRPr="003A468C">
        <w:rPr>
          <w:noProof/>
          <w:lang w:val="en-US"/>
        </w:rPr>
        <w:tab/>
        <w:t xml:space="preserve">Hennings, V., et al., </w:t>
      </w:r>
      <w:r w:rsidRPr="003A468C">
        <w:rPr>
          <w:i/>
          <w:noProof/>
          <w:lang w:val="en-US"/>
        </w:rPr>
        <w:t>The presence of serum anti-SARS-CoV-2 IgA appears to protect primary health care workers from COVID-19.</w:t>
      </w:r>
      <w:r w:rsidRPr="003A468C">
        <w:rPr>
          <w:noProof/>
          <w:lang w:val="en-US"/>
        </w:rPr>
        <w:t xml:space="preserve"> Eur J Immunol, 2022.</w:t>
      </w:r>
    </w:p>
    <w:p w14:paraId="3BBCBA37" w14:textId="62DD64C8"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7</w:t>
      </w:r>
      <w:r w:rsidRPr="003A468C">
        <w:rPr>
          <w:noProof/>
          <w:lang w:val="en-US"/>
        </w:rPr>
        <w:t>.</w:t>
      </w:r>
      <w:r w:rsidRPr="003A468C">
        <w:rPr>
          <w:noProof/>
          <w:lang w:val="en-US"/>
        </w:rPr>
        <w:tab/>
        <w:t xml:space="preserve">Nickel, O., et al., </w:t>
      </w:r>
      <w:r w:rsidRPr="003A468C">
        <w:rPr>
          <w:i/>
          <w:noProof/>
          <w:lang w:val="en-US"/>
        </w:rPr>
        <w:t>Evaluation of the systemic and mucosal immune response induced by COVID-19 and the BNT162b2 mRNA vaccine for SARS-CoV-2.</w:t>
      </w:r>
      <w:r w:rsidRPr="003A468C">
        <w:rPr>
          <w:noProof/>
          <w:lang w:val="en-US"/>
        </w:rPr>
        <w:t xml:space="preserve"> medRxiv, 2022: p. 2022.01.29.22270066.</w:t>
      </w:r>
    </w:p>
    <w:p w14:paraId="5240B5F5" w14:textId="6E8A5BD7" w:rsidR="00376D60" w:rsidRPr="003A468C" w:rsidRDefault="00376D60" w:rsidP="00376D60">
      <w:pPr>
        <w:pStyle w:val="EndNoteBibliography"/>
        <w:spacing w:line="480" w:lineRule="auto"/>
        <w:ind w:left="720" w:hanging="720"/>
        <w:rPr>
          <w:noProof/>
          <w:lang w:val="en-US"/>
        </w:rPr>
      </w:pPr>
      <w:r w:rsidRPr="003A468C">
        <w:rPr>
          <w:noProof/>
          <w:lang w:val="en-US"/>
        </w:rPr>
        <w:t>3</w:t>
      </w:r>
      <w:r w:rsidR="00167613" w:rsidRPr="003A468C">
        <w:rPr>
          <w:noProof/>
          <w:lang w:val="en-US"/>
        </w:rPr>
        <w:t>8</w:t>
      </w:r>
      <w:r w:rsidRPr="003A468C">
        <w:rPr>
          <w:noProof/>
          <w:lang w:val="en-US"/>
        </w:rPr>
        <w:t>.</w:t>
      </w:r>
      <w:r w:rsidRPr="003A468C">
        <w:rPr>
          <w:noProof/>
          <w:lang w:val="en-US"/>
        </w:rPr>
        <w:tab/>
        <w:t xml:space="preserve">Tang, J., et al., </w:t>
      </w:r>
      <w:r w:rsidRPr="003A468C">
        <w:rPr>
          <w:i/>
          <w:noProof/>
          <w:lang w:val="en-US"/>
        </w:rPr>
        <w:t>Mucosal immunity against SARS-CoV-2 variants of concern including Omicron following vaccination.</w:t>
      </w:r>
      <w:r w:rsidRPr="003A468C">
        <w:rPr>
          <w:noProof/>
          <w:lang w:val="en-US"/>
        </w:rPr>
        <w:t xml:space="preserve"> medRxiv, 2022: p. 2022.01.26.22269659.</w:t>
      </w:r>
    </w:p>
    <w:p w14:paraId="17915A03" w14:textId="32B18043" w:rsidR="00376D60" w:rsidRPr="003A468C" w:rsidRDefault="00376D60" w:rsidP="00376D60">
      <w:pPr>
        <w:pStyle w:val="EndNoteBibliography"/>
        <w:spacing w:line="480" w:lineRule="auto"/>
        <w:ind w:left="720" w:hanging="720"/>
        <w:rPr>
          <w:noProof/>
          <w:lang w:val="en-US"/>
        </w:rPr>
      </w:pPr>
      <w:r w:rsidRPr="003A468C">
        <w:rPr>
          <w:noProof/>
          <w:lang w:val="en-US"/>
        </w:rPr>
        <w:lastRenderedPageBreak/>
        <w:t>3</w:t>
      </w:r>
      <w:r w:rsidR="00167613" w:rsidRPr="003A468C">
        <w:rPr>
          <w:noProof/>
          <w:lang w:val="en-US"/>
        </w:rPr>
        <w:t>9</w:t>
      </w:r>
      <w:r w:rsidR="00C332BA" w:rsidRPr="003A468C">
        <w:rPr>
          <w:noProof/>
          <w:lang w:val="en-US"/>
        </w:rPr>
        <w:t>.</w:t>
      </w:r>
      <w:r w:rsidRPr="003A468C">
        <w:rPr>
          <w:noProof/>
          <w:lang w:val="en-US"/>
        </w:rPr>
        <w:tab/>
        <w:t xml:space="preserve">Mades, A., et al., </w:t>
      </w:r>
      <w:r w:rsidRPr="003A468C">
        <w:rPr>
          <w:i/>
          <w:noProof/>
          <w:lang w:val="en-US"/>
        </w:rPr>
        <w:t>Detection of persistent SARS-CoV-2 IgG antibodies in oral mucosal fluid and upper respiratory tract specimens following COVID-19 mRNA vaccination.</w:t>
      </w:r>
      <w:r w:rsidRPr="003A468C">
        <w:rPr>
          <w:noProof/>
          <w:lang w:val="en-US"/>
        </w:rPr>
        <w:t xml:space="preserve"> Sci Rep, 2021. </w:t>
      </w:r>
      <w:r w:rsidRPr="003A468C">
        <w:rPr>
          <w:b/>
          <w:noProof/>
          <w:lang w:val="en-US"/>
        </w:rPr>
        <w:t>11</w:t>
      </w:r>
      <w:r w:rsidRPr="003A468C">
        <w:rPr>
          <w:noProof/>
          <w:lang w:val="en-US"/>
        </w:rPr>
        <w:t>(1): p. 24448.</w:t>
      </w:r>
    </w:p>
    <w:p w14:paraId="4023019B" w14:textId="3DA98D16" w:rsidR="00B503D3" w:rsidRPr="00B503D3" w:rsidRDefault="00D0017D" w:rsidP="00B503D3">
      <w:pPr>
        <w:autoSpaceDE w:val="0"/>
        <w:autoSpaceDN w:val="0"/>
        <w:adjustRightInd w:val="0"/>
        <w:spacing w:after="0" w:line="480" w:lineRule="auto"/>
        <w:ind w:left="720" w:hanging="720"/>
        <w:rPr>
          <w:rFonts w:cstheme="minorHAnsi"/>
          <w:sz w:val="24"/>
          <w:szCs w:val="24"/>
          <w:lang w:val="en-US"/>
        </w:rPr>
      </w:pPr>
      <w:r w:rsidRPr="003A468C">
        <w:rPr>
          <w:noProof/>
          <w:lang w:val="en-US"/>
        </w:rPr>
        <w:t xml:space="preserve">40. </w:t>
      </w:r>
      <w:r w:rsidR="00B503D3">
        <w:rPr>
          <w:noProof/>
          <w:lang w:val="en-US"/>
        </w:rPr>
        <w:tab/>
      </w:r>
      <w:r w:rsidR="00B503D3" w:rsidRPr="00B503D3">
        <w:rPr>
          <w:rFonts w:cstheme="minorHAnsi"/>
          <w:sz w:val="24"/>
          <w:szCs w:val="24"/>
          <w:lang w:val="en-US"/>
        </w:rPr>
        <w:t xml:space="preserve">Sheikh-Mohamed, S., Isho, B., Chao, G. Y. C., Zuo, M., Cohen, C., Lustig, Y., . . . Gommerman, J. L. (2022). Systemic and mucosal IgA responses are variably induced in response to SARS-CoV-2 mRNA vaccination and are associated with protection against subsequent infection. </w:t>
      </w:r>
      <w:r w:rsidR="00B503D3" w:rsidRPr="00B503D3">
        <w:rPr>
          <w:rFonts w:cstheme="minorHAnsi"/>
          <w:i/>
          <w:iCs/>
          <w:sz w:val="24"/>
          <w:szCs w:val="24"/>
          <w:lang w:val="en-US"/>
        </w:rPr>
        <w:t>medRxiv</w:t>
      </w:r>
      <w:r w:rsidR="00B503D3" w:rsidRPr="00B503D3">
        <w:rPr>
          <w:rFonts w:cstheme="minorHAnsi"/>
          <w:sz w:val="24"/>
          <w:szCs w:val="24"/>
          <w:lang w:val="en-US"/>
        </w:rPr>
        <w:t>, 2021.2008.2001.21261297. doi: 10.1101/2021.08.01.21261297</w:t>
      </w:r>
    </w:p>
    <w:p w14:paraId="3E36EF0B" w14:textId="22735895" w:rsidR="00376D60" w:rsidRPr="003A468C" w:rsidRDefault="00C332BA" w:rsidP="00376D60">
      <w:pPr>
        <w:pStyle w:val="EndNoteBibliography"/>
        <w:spacing w:line="480" w:lineRule="auto"/>
        <w:ind w:left="720" w:hanging="720"/>
        <w:rPr>
          <w:noProof/>
          <w:lang w:val="en-US"/>
        </w:rPr>
      </w:pPr>
      <w:r w:rsidRPr="003A468C">
        <w:rPr>
          <w:noProof/>
          <w:lang w:val="en-US"/>
        </w:rPr>
        <w:t>4</w:t>
      </w:r>
      <w:r w:rsidR="00D0017D" w:rsidRPr="003A468C">
        <w:rPr>
          <w:noProof/>
          <w:lang w:val="en-US"/>
        </w:rPr>
        <w:t>1</w:t>
      </w:r>
      <w:r w:rsidR="00376D60" w:rsidRPr="003A468C">
        <w:rPr>
          <w:noProof/>
          <w:lang w:val="en-US"/>
        </w:rPr>
        <w:t>.</w:t>
      </w:r>
      <w:r w:rsidR="00376D60" w:rsidRPr="003A468C">
        <w:rPr>
          <w:noProof/>
          <w:lang w:val="en-US"/>
        </w:rPr>
        <w:tab/>
        <w:t xml:space="preserve">Khoury, D.S., et al., </w:t>
      </w:r>
      <w:r w:rsidR="00376D60" w:rsidRPr="003A468C">
        <w:rPr>
          <w:i/>
          <w:noProof/>
          <w:lang w:val="en-US"/>
        </w:rPr>
        <w:t>Neutralizing antibody levels are highly predictive of immune protection from symptomatic SARS-CoV-2 infection.</w:t>
      </w:r>
      <w:r w:rsidR="00376D60" w:rsidRPr="003A468C">
        <w:rPr>
          <w:noProof/>
          <w:lang w:val="en-US"/>
        </w:rPr>
        <w:t xml:space="preserve"> Nat Med, 2021. </w:t>
      </w:r>
      <w:r w:rsidR="00376D60" w:rsidRPr="003A468C">
        <w:rPr>
          <w:b/>
          <w:noProof/>
          <w:lang w:val="en-US"/>
        </w:rPr>
        <w:t>27</w:t>
      </w:r>
      <w:r w:rsidR="00376D60" w:rsidRPr="003A468C">
        <w:rPr>
          <w:noProof/>
          <w:lang w:val="en-US"/>
        </w:rPr>
        <w:t>(7): p. 1205-1211.</w:t>
      </w:r>
    </w:p>
    <w:p w14:paraId="5C7D5D8C" w14:textId="081EDB96" w:rsidR="00376D60" w:rsidRPr="003A468C" w:rsidRDefault="00C332BA" w:rsidP="00376D60">
      <w:pPr>
        <w:pStyle w:val="EndNoteBibliography"/>
        <w:spacing w:line="480" w:lineRule="auto"/>
        <w:ind w:left="720" w:hanging="720"/>
        <w:rPr>
          <w:noProof/>
          <w:lang w:val="en-US"/>
        </w:rPr>
      </w:pPr>
      <w:r w:rsidRPr="003A468C">
        <w:rPr>
          <w:noProof/>
          <w:lang w:val="en-US"/>
        </w:rPr>
        <w:t>4</w:t>
      </w:r>
      <w:r w:rsidR="00D0017D" w:rsidRPr="003A468C">
        <w:rPr>
          <w:noProof/>
          <w:lang w:val="en-US"/>
        </w:rPr>
        <w:t>2</w:t>
      </w:r>
      <w:r w:rsidR="00376D60" w:rsidRPr="003A468C">
        <w:rPr>
          <w:noProof/>
          <w:lang w:val="en-US"/>
        </w:rPr>
        <w:t>.</w:t>
      </w:r>
      <w:r w:rsidR="00376D60" w:rsidRPr="003A468C">
        <w:rPr>
          <w:noProof/>
          <w:lang w:val="en-US"/>
        </w:rPr>
        <w:tab/>
        <w:t xml:space="preserve">Earle, K.A., et al., </w:t>
      </w:r>
      <w:r w:rsidR="00376D60" w:rsidRPr="003A468C">
        <w:rPr>
          <w:i/>
          <w:noProof/>
          <w:lang w:val="en-US"/>
        </w:rPr>
        <w:t>Evidence for antibody as a protective correlate for COVID-19 vaccines.</w:t>
      </w:r>
      <w:r w:rsidR="00376D60" w:rsidRPr="003A468C">
        <w:rPr>
          <w:noProof/>
          <w:lang w:val="en-US"/>
        </w:rPr>
        <w:t xml:space="preserve"> Vaccine, 2021. </w:t>
      </w:r>
      <w:r w:rsidR="00376D60" w:rsidRPr="003A468C">
        <w:rPr>
          <w:b/>
          <w:noProof/>
          <w:lang w:val="en-US"/>
        </w:rPr>
        <w:t>39</w:t>
      </w:r>
      <w:r w:rsidR="00376D60" w:rsidRPr="003A468C">
        <w:rPr>
          <w:noProof/>
          <w:lang w:val="en-US"/>
        </w:rPr>
        <w:t>(32): p. 4423-4428.</w:t>
      </w:r>
    </w:p>
    <w:p w14:paraId="507ABAEB" w14:textId="3BD8500B" w:rsidR="00376D60" w:rsidRPr="003A468C" w:rsidRDefault="00C332BA" w:rsidP="00376D60">
      <w:pPr>
        <w:pStyle w:val="EndNoteBibliography"/>
        <w:spacing w:line="480" w:lineRule="auto"/>
        <w:ind w:left="720" w:hanging="720"/>
        <w:rPr>
          <w:noProof/>
          <w:lang w:val="en-US"/>
        </w:rPr>
      </w:pPr>
      <w:r w:rsidRPr="003A468C">
        <w:rPr>
          <w:noProof/>
          <w:lang w:val="en-US"/>
        </w:rPr>
        <w:t>4</w:t>
      </w:r>
      <w:r w:rsidR="00D0017D" w:rsidRPr="003A468C">
        <w:rPr>
          <w:noProof/>
          <w:lang w:val="en-US"/>
        </w:rPr>
        <w:t>3</w:t>
      </w:r>
      <w:r w:rsidR="00376D60" w:rsidRPr="003A468C">
        <w:rPr>
          <w:noProof/>
          <w:lang w:val="en-US"/>
        </w:rPr>
        <w:t>.</w:t>
      </w:r>
      <w:r w:rsidR="00376D60" w:rsidRPr="003A468C">
        <w:rPr>
          <w:noProof/>
          <w:lang w:val="en-US"/>
        </w:rPr>
        <w:tab/>
        <w:t xml:space="preserve">Lustig, Y., et al., </w:t>
      </w:r>
      <w:r w:rsidR="00376D60" w:rsidRPr="003A468C">
        <w:rPr>
          <w:i/>
          <w:noProof/>
          <w:lang w:val="en-US"/>
        </w:rPr>
        <w:t>BNT162b2 COVID-19 vaccine and correlates of humoral immune responses and dynamics: a prospective, single-centre, longitudinal cohort study in health-care workers.</w:t>
      </w:r>
      <w:r w:rsidR="00376D60" w:rsidRPr="003A468C">
        <w:rPr>
          <w:noProof/>
          <w:lang w:val="en-US"/>
        </w:rPr>
        <w:t xml:space="preserve"> Lancet Respir Med, 2021. </w:t>
      </w:r>
      <w:r w:rsidR="00376D60" w:rsidRPr="003A468C">
        <w:rPr>
          <w:b/>
          <w:noProof/>
          <w:lang w:val="en-US"/>
        </w:rPr>
        <w:t>9</w:t>
      </w:r>
      <w:r w:rsidR="00376D60" w:rsidRPr="003A468C">
        <w:rPr>
          <w:noProof/>
          <w:lang w:val="en-US"/>
        </w:rPr>
        <w:t>(9): p. 999-1009.</w:t>
      </w:r>
    </w:p>
    <w:p w14:paraId="0F61BB44" w14:textId="75689F77" w:rsidR="00376D60" w:rsidRPr="003A468C" w:rsidRDefault="00376D60" w:rsidP="00376D60">
      <w:pPr>
        <w:pStyle w:val="EndNoteBibliography"/>
        <w:spacing w:line="480" w:lineRule="auto"/>
        <w:ind w:left="720" w:hanging="720"/>
        <w:rPr>
          <w:noProof/>
          <w:lang w:val="en-US"/>
        </w:rPr>
      </w:pPr>
      <w:r w:rsidRPr="003A468C">
        <w:rPr>
          <w:noProof/>
          <w:lang w:val="en-US"/>
        </w:rPr>
        <w:t>4</w:t>
      </w:r>
      <w:r w:rsidR="00D0017D" w:rsidRPr="003A468C">
        <w:rPr>
          <w:noProof/>
          <w:lang w:val="en-US"/>
        </w:rPr>
        <w:t>4</w:t>
      </w:r>
      <w:r w:rsidRPr="003A468C">
        <w:rPr>
          <w:noProof/>
          <w:lang w:val="en-US"/>
        </w:rPr>
        <w:t>.</w:t>
      </w:r>
      <w:r w:rsidRPr="003A468C">
        <w:rPr>
          <w:noProof/>
          <w:lang w:val="en-US"/>
        </w:rPr>
        <w:tab/>
        <w:t xml:space="preserve">Goldblatt, D., et al., </w:t>
      </w:r>
      <w:r w:rsidRPr="003A468C">
        <w:rPr>
          <w:i/>
          <w:noProof/>
          <w:lang w:val="en-US"/>
        </w:rPr>
        <w:t>Towards a population-based threshold of protection for COVID-19 vaccines.</w:t>
      </w:r>
      <w:r w:rsidRPr="003A468C">
        <w:rPr>
          <w:noProof/>
          <w:lang w:val="en-US"/>
        </w:rPr>
        <w:t xml:space="preserve"> Vaccine, 2022. </w:t>
      </w:r>
      <w:r w:rsidRPr="003A468C">
        <w:rPr>
          <w:b/>
          <w:noProof/>
          <w:lang w:val="en-US"/>
        </w:rPr>
        <w:t>40</w:t>
      </w:r>
      <w:r w:rsidRPr="003A468C">
        <w:rPr>
          <w:noProof/>
          <w:lang w:val="en-US"/>
        </w:rPr>
        <w:t>(2): p. 306-315.</w:t>
      </w:r>
    </w:p>
    <w:p w14:paraId="3359D6C7" w14:textId="13A24CAA" w:rsidR="00376D60" w:rsidRPr="003A468C" w:rsidRDefault="00376D60" w:rsidP="00376D60">
      <w:pPr>
        <w:pStyle w:val="EndNoteBibliography"/>
        <w:spacing w:line="480" w:lineRule="auto"/>
        <w:ind w:left="720" w:hanging="720"/>
        <w:rPr>
          <w:noProof/>
          <w:lang w:val="en-US"/>
        </w:rPr>
      </w:pPr>
      <w:r w:rsidRPr="003A468C">
        <w:rPr>
          <w:noProof/>
          <w:lang w:val="en-US"/>
        </w:rPr>
        <w:t>4</w:t>
      </w:r>
      <w:r w:rsidR="00D0017D" w:rsidRPr="003A468C">
        <w:rPr>
          <w:noProof/>
          <w:lang w:val="en-US"/>
        </w:rPr>
        <w:t>5</w:t>
      </w:r>
      <w:r w:rsidRPr="003A468C">
        <w:rPr>
          <w:noProof/>
          <w:lang w:val="en-US"/>
        </w:rPr>
        <w:t>.</w:t>
      </w:r>
      <w:r w:rsidRPr="003A468C">
        <w:rPr>
          <w:noProof/>
          <w:lang w:val="en-US"/>
        </w:rPr>
        <w:tab/>
        <w:t xml:space="preserve">Gilbert, P.B., et al., </w:t>
      </w:r>
      <w:r w:rsidRPr="003A468C">
        <w:rPr>
          <w:i/>
          <w:noProof/>
          <w:lang w:val="en-US"/>
        </w:rPr>
        <w:t>Immune correlates analysis of the mRNA-1273 COVID-19 vaccine efficacy clinical trial.</w:t>
      </w:r>
      <w:r w:rsidRPr="003A468C">
        <w:rPr>
          <w:noProof/>
          <w:lang w:val="en-US"/>
        </w:rPr>
        <w:t xml:space="preserve"> Science, 2022. </w:t>
      </w:r>
      <w:r w:rsidRPr="003A468C">
        <w:rPr>
          <w:b/>
          <w:noProof/>
          <w:lang w:val="en-US"/>
        </w:rPr>
        <w:t>375</w:t>
      </w:r>
      <w:r w:rsidRPr="003A468C">
        <w:rPr>
          <w:noProof/>
          <w:lang w:val="en-US"/>
        </w:rPr>
        <w:t>(6576): p. 43-50.</w:t>
      </w:r>
    </w:p>
    <w:p w14:paraId="1891572E" w14:textId="1C976CAB" w:rsidR="00376D60" w:rsidRPr="005F60C1" w:rsidRDefault="00376D60" w:rsidP="00376D60">
      <w:pPr>
        <w:pStyle w:val="EndNoteBibliography"/>
        <w:spacing w:line="480" w:lineRule="auto"/>
        <w:ind w:left="720" w:hanging="720"/>
        <w:rPr>
          <w:noProof/>
          <w:lang w:val="fr-FR"/>
        </w:rPr>
      </w:pPr>
      <w:r w:rsidRPr="003A468C">
        <w:rPr>
          <w:noProof/>
          <w:lang w:val="en-US"/>
        </w:rPr>
        <w:t>4</w:t>
      </w:r>
      <w:r w:rsidR="00D0017D" w:rsidRPr="003A468C">
        <w:rPr>
          <w:noProof/>
          <w:lang w:val="en-US"/>
        </w:rPr>
        <w:t>6</w:t>
      </w:r>
      <w:r w:rsidRPr="003A468C">
        <w:rPr>
          <w:noProof/>
          <w:lang w:val="en-US"/>
        </w:rPr>
        <w:t>.</w:t>
      </w:r>
      <w:r w:rsidRPr="003A468C">
        <w:rPr>
          <w:noProof/>
          <w:lang w:val="en-US"/>
        </w:rPr>
        <w:tab/>
        <w:t xml:space="preserve">Feng, S., et al., </w:t>
      </w:r>
      <w:r w:rsidRPr="003A468C">
        <w:rPr>
          <w:i/>
          <w:noProof/>
          <w:lang w:val="en-US"/>
        </w:rPr>
        <w:t>Correlates of protection against symptomatic and asymptomatic SARS-CoV-2 infection.</w:t>
      </w:r>
      <w:r w:rsidRPr="003A468C">
        <w:rPr>
          <w:noProof/>
          <w:lang w:val="en-US"/>
        </w:rPr>
        <w:t xml:space="preserve"> </w:t>
      </w:r>
      <w:r w:rsidRPr="005F60C1">
        <w:rPr>
          <w:noProof/>
          <w:lang w:val="fr-FR"/>
        </w:rPr>
        <w:t xml:space="preserve">Nat Med, 2021. </w:t>
      </w:r>
      <w:r w:rsidRPr="005F60C1">
        <w:rPr>
          <w:b/>
          <w:noProof/>
          <w:lang w:val="fr-FR"/>
        </w:rPr>
        <w:t>27</w:t>
      </w:r>
      <w:r w:rsidRPr="005F60C1">
        <w:rPr>
          <w:noProof/>
          <w:lang w:val="fr-FR"/>
        </w:rPr>
        <w:t>(11): p. 2032-2040.</w:t>
      </w:r>
    </w:p>
    <w:p w14:paraId="78309FDA" w14:textId="497D7E92" w:rsidR="00EA71AF" w:rsidRDefault="00EA71AF" w:rsidP="00376D60">
      <w:pPr>
        <w:pStyle w:val="EndNoteBibliography"/>
        <w:spacing w:line="480" w:lineRule="auto"/>
        <w:ind w:left="720" w:hanging="720"/>
        <w:rPr>
          <w:color w:val="000000"/>
          <w:sz w:val="18"/>
          <w:lang w:val="en-US"/>
        </w:rPr>
      </w:pPr>
      <w:r w:rsidRPr="005F60C1">
        <w:rPr>
          <w:noProof/>
          <w:lang w:val="fr-FR"/>
        </w:rPr>
        <w:lastRenderedPageBreak/>
        <w:t>47.</w:t>
      </w:r>
      <w:r w:rsidRPr="005F60C1">
        <w:rPr>
          <w:noProof/>
          <w:lang w:val="fr-FR"/>
        </w:rPr>
        <w:tab/>
      </w:r>
      <w:r w:rsidRPr="005F60C1">
        <w:rPr>
          <w:color w:val="000000"/>
          <w:lang w:val="fr-FR"/>
        </w:rPr>
        <w:t xml:space="preserve">Dan JM, </w:t>
      </w:r>
      <w:proofErr w:type="spellStart"/>
      <w:r w:rsidRPr="005F60C1">
        <w:rPr>
          <w:color w:val="000000"/>
          <w:lang w:val="fr-FR"/>
        </w:rPr>
        <w:t>Mateus</w:t>
      </w:r>
      <w:proofErr w:type="spellEnd"/>
      <w:r w:rsidRPr="005F60C1">
        <w:rPr>
          <w:color w:val="000000"/>
          <w:lang w:val="fr-FR"/>
        </w:rPr>
        <w:t xml:space="preserve"> J, Kato Y, et al. </w:t>
      </w:r>
      <w:r w:rsidRPr="00EA71AF">
        <w:rPr>
          <w:color w:val="000000"/>
          <w:lang w:val="en-US"/>
        </w:rPr>
        <w:t xml:space="preserve">Immunological memory to SARS-CoV-2 assessed for up to 8 months after infection. </w:t>
      </w:r>
      <w:r w:rsidRPr="00EA71AF">
        <w:rPr>
          <w:i/>
          <w:iCs/>
          <w:color w:val="000000"/>
          <w:lang w:val="en-US"/>
        </w:rPr>
        <w:t>Science</w:t>
      </w:r>
      <w:r w:rsidRPr="00EA71AF">
        <w:rPr>
          <w:color w:val="000000"/>
          <w:lang w:val="en-US"/>
        </w:rPr>
        <w:t>. 2021;371(6529):eabf4063. doi:10.1126/science.abf406</w:t>
      </w:r>
      <w:r w:rsidRPr="00085FA2">
        <w:rPr>
          <w:color w:val="000000"/>
          <w:sz w:val="18"/>
          <w:lang w:val="en-US"/>
        </w:rPr>
        <w:t>3</w:t>
      </w:r>
    </w:p>
    <w:p w14:paraId="0F4FA24F" w14:textId="46596612" w:rsidR="001329E0" w:rsidRDefault="001329E0" w:rsidP="00376D60">
      <w:pPr>
        <w:pStyle w:val="EndNoteBibliography"/>
        <w:spacing w:line="480" w:lineRule="auto"/>
        <w:ind w:left="720" w:hanging="720"/>
        <w:rPr>
          <w:color w:val="000000"/>
          <w:lang w:val="en-US"/>
        </w:rPr>
      </w:pPr>
      <w:r w:rsidRPr="007D32AA">
        <w:rPr>
          <w:color w:val="000000"/>
          <w:lang w:val="en-US"/>
        </w:rPr>
        <w:t>48</w:t>
      </w:r>
      <w:r w:rsidR="007C1BA3">
        <w:rPr>
          <w:color w:val="000000"/>
          <w:lang w:val="en-US"/>
        </w:rPr>
        <w:t>.</w:t>
      </w:r>
      <w:r w:rsidR="007D32AA" w:rsidRPr="007D32AA">
        <w:rPr>
          <w:color w:val="000000"/>
          <w:lang w:val="en-US"/>
        </w:rPr>
        <w:tab/>
        <w:t xml:space="preserve"> Goel RR, Painter MM, Apostolidis SA, et al. mRNA vaccines induce durable immune memory to SARS-CoV-2 and variants of concern. </w:t>
      </w:r>
      <w:r w:rsidR="007D32AA" w:rsidRPr="007D32AA">
        <w:rPr>
          <w:i/>
          <w:iCs/>
          <w:color w:val="000000"/>
          <w:lang w:val="en-US"/>
        </w:rPr>
        <w:t>Science</w:t>
      </w:r>
      <w:r w:rsidR="007D32AA" w:rsidRPr="007D32AA">
        <w:rPr>
          <w:color w:val="000000"/>
          <w:lang w:val="en-US"/>
        </w:rPr>
        <w:t>. 2021;374(6572):abm0829. doi:10.1126/science.abm0829</w:t>
      </w:r>
    </w:p>
    <w:p w14:paraId="1432D923" w14:textId="6EAD895E" w:rsidR="007C1BA3" w:rsidRPr="007C1BA3" w:rsidRDefault="007C1BA3" w:rsidP="00C82BFE">
      <w:pPr>
        <w:pStyle w:val="csl-entry"/>
        <w:spacing w:line="480" w:lineRule="auto"/>
        <w:ind w:left="720" w:hanging="720"/>
        <w:rPr>
          <w:rFonts w:asciiTheme="minorHAnsi" w:hAnsiTheme="minorHAnsi" w:cstheme="minorHAnsi"/>
          <w:color w:val="000000"/>
          <w:sz w:val="24"/>
          <w:szCs w:val="24"/>
        </w:rPr>
      </w:pPr>
      <w:r w:rsidRPr="007C1BA3">
        <w:rPr>
          <w:rFonts w:asciiTheme="minorHAnsi" w:hAnsiTheme="minorHAnsi" w:cstheme="minorHAnsi"/>
          <w:color w:val="000000"/>
          <w:sz w:val="24"/>
          <w:szCs w:val="24"/>
        </w:rPr>
        <w:t xml:space="preserve">49. </w:t>
      </w:r>
      <w:r>
        <w:rPr>
          <w:rFonts w:asciiTheme="minorHAnsi" w:hAnsiTheme="minorHAnsi" w:cstheme="minorHAnsi"/>
          <w:color w:val="000000"/>
          <w:sz w:val="24"/>
          <w:szCs w:val="24"/>
        </w:rPr>
        <w:tab/>
      </w:r>
      <w:r w:rsidRPr="007C1BA3">
        <w:rPr>
          <w:rFonts w:asciiTheme="minorHAnsi" w:hAnsiTheme="minorHAnsi" w:cstheme="minorHAnsi"/>
          <w:color w:val="000000"/>
          <w:sz w:val="24"/>
          <w:szCs w:val="24"/>
        </w:rPr>
        <w:t xml:space="preserve">Purtha WE, Tedder TF, Johnson S, Bhattacharya D, Diamond MS. Memory B cells, but not long-lived plasma cells, possess antigen specificities for viral escape mutants. </w:t>
      </w:r>
      <w:r w:rsidRPr="007C1BA3">
        <w:rPr>
          <w:rFonts w:asciiTheme="minorHAnsi" w:hAnsiTheme="minorHAnsi" w:cstheme="minorHAnsi"/>
          <w:i/>
          <w:iCs/>
          <w:color w:val="000000"/>
          <w:sz w:val="24"/>
          <w:szCs w:val="24"/>
        </w:rPr>
        <w:t>The Journal of experimental medicine</w:t>
      </w:r>
      <w:r w:rsidRPr="007C1BA3">
        <w:rPr>
          <w:rFonts w:asciiTheme="minorHAnsi" w:hAnsiTheme="minorHAnsi" w:cstheme="minorHAnsi"/>
          <w:color w:val="000000"/>
          <w:sz w:val="24"/>
          <w:szCs w:val="24"/>
        </w:rPr>
        <w:t>. 2011;208(13):2599-2606. doi:10.1084/jem.20110740</w:t>
      </w:r>
    </w:p>
    <w:p w14:paraId="7DC0C4CA" w14:textId="7AC4DD63" w:rsidR="007C1BA3" w:rsidRPr="007C1BA3" w:rsidRDefault="007C1BA3" w:rsidP="007C1BA3">
      <w:pPr>
        <w:pStyle w:val="csl-entry"/>
        <w:spacing w:line="480" w:lineRule="auto"/>
        <w:ind w:left="720" w:hanging="720"/>
        <w:rPr>
          <w:rFonts w:asciiTheme="minorHAnsi" w:hAnsiTheme="minorHAnsi" w:cstheme="minorHAnsi"/>
          <w:color w:val="000000"/>
          <w:sz w:val="24"/>
          <w:szCs w:val="24"/>
        </w:rPr>
      </w:pPr>
      <w:r>
        <w:rPr>
          <w:rFonts w:asciiTheme="minorHAnsi" w:hAnsiTheme="minorHAnsi" w:cstheme="minorHAnsi"/>
          <w:color w:val="000000"/>
          <w:sz w:val="24"/>
          <w:szCs w:val="24"/>
        </w:rPr>
        <w:t>50</w:t>
      </w:r>
      <w:r w:rsidRPr="007C1BA3">
        <w:rPr>
          <w:rFonts w:asciiTheme="minorHAnsi" w:hAnsiTheme="minorHAnsi" w:cstheme="minorHAnsi"/>
          <w:color w:val="000000"/>
          <w:sz w:val="24"/>
          <w:szCs w:val="24"/>
        </w:rPr>
        <w:t>.</w:t>
      </w:r>
      <w:r>
        <w:rPr>
          <w:rFonts w:asciiTheme="minorHAnsi" w:hAnsiTheme="minorHAnsi" w:cstheme="minorHAnsi"/>
          <w:color w:val="000000"/>
          <w:sz w:val="24"/>
          <w:szCs w:val="24"/>
        </w:rPr>
        <w:tab/>
      </w:r>
      <w:r w:rsidRPr="007C1BA3">
        <w:rPr>
          <w:rFonts w:asciiTheme="minorHAnsi" w:hAnsiTheme="minorHAnsi" w:cstheme="minorHAnsi"/>
          <w:color w:val="000000"/>
          <w:sz w:val="24"/>
          <w:szCs w:val="24"/>
        </w:rPr>
        <w:t xml:space="preserve">Li GM, Chiu C, Wrammert J, et al. Pandemic H1N1 influenza vaccine induces a recall response in humans that favors broadly cross-reactive memory B cells. </w:t>
      </w:r>
      <w:r w:rsidRPr="007C1BA3">
        <w:rPr>
          <w:rFonts w:asciiTheme="minorHAnsi" w:hAnsiTheme="minorHAnsi" w:cstheme="minorHAnsi"/>
          <w:i/>
          <w:iCs/>
          <w:color w:val="000000"/>
          <w:sz w:val="24"/>
          <w:szCs w:val="24"/>
        </w:rPr>
        <w:t>Proceedings of the National Academy of Sciences of the United States of America</w:t>
      </w:r>
      <w:r w:rsidRPr="007C1BA3">
        <w:rPr>
          <w:rFonts w:asciiTheme="minorHAnsi" w:hAnsiTheme="minorHAnsi" w:cstheme="minorHAnsi"/>
          <w:color w:val="000000"/>
          <w:sz w:val="24"/>
          <w:szCs w:val="24"/>
        </w:rPr>
        <w:t>. 2012;109(23):9047-9052. doi:10.1073/pnas.1118979109</w:t>
      </w:r>
    </w:p>
    <w:p w14:paraId="674A789C" w14:textId="323D505C" w:rsidR="007C1BA3" w:rsidRPr="005F60C1" w:rsidRDefault="00C82BFE" w:rsidP="00C82BFE">
      <w:pPr>
        <w:pStyle w:val="csl-entry"/>
        <w:spacing w:line="480" w:lineRule="auto"/>
        <w:ind w:left="720" w:hanging="720"/>
        <w:rPr>
          <w:rFonts w:asciiTheme="minorHAnsi" w:hAnsiTheme="minorHAnsi" w:cstheme="minorHAnsi"/>
          <w:color w:val="000000"/>
          <w:sz w:val="24"/>
          <w:szCs w:val="24"/>
          <w:lang w:val="fr-FR"/>
        </w:rPr>
      </w:pPr>
      <w:r>
        <w:rPr>
          <w:rFonts w:asciiTheme="minorHAnsi" w:hAnsiTheme="minorHAnsi" w:cstheme="minorHAnsi"/>
          <w:color w:val="000000"/>
          <w:sz w:val="24"/>
          <w:szCs w:val="24"/>
        </w:rPr>
        <w:t>51.</w:t>
      </w:r>
      <w:r>
        <w:rPr>
          <w:rFonts w:asciiTheme="minorHAnsi" w:hAnsiTheme="minorHAnsi" w:cstheme="minorHAnsi"/>
          <w:color w:val="000000"/>
          <w:sz w:val="24"/>
          <w:szCs w:val="24"/>
        </w:rPr>
        <w:tab/>
      </w:r>
      <w:r w:rsidR="007C1BA3" w:rsidRPr="007C1BA3">
        <w:rPr>
          <w:rFonts w:asciiTheme="minorHAnsi" w:hAnsiTheme="minorHAnsi" w:cstheme="minorHAnsi"/>
          <w:color w:val="000000"/>
          <w:sz w:val="24"/>
          <w:szCs w:val="24"/>
        </w:rPr>
        <w:t xml:space="preserve">Andrews SF, Chambers MJ, Schramm CA, et al. Activation Dynamics and Immunoglobulin Evolution of Pre-existing and Newly Generated Human Memory B cell Responses to Influenza Hemagglutinin. </w:t>
      </w:r>
      <w:proofErr w:type="spellStart"/>
      <w:r w:rsidR="007C1BA3" w:rsidRPr="005F60C1">
        <w:rPr>
          <w:rFonts w:asciiTheme="minorHAnsi" w:hAnsiTheme="minorHAnsi" w:cstheme="minorHAnsi"/>
          <w:i/>
          <w:iCs/>
          <w:color w:val="000000"/>
          <w:sz w:val="24"/>
          <w:szCs w:val="24"/>
          <w:lang w:val="fr-FR"/>
        </w:rPr>
        <w:t>Immunity</w:t>
      </w:r>
      <w:proofErr w:type="spellEnd"/>
      <w:r w:rsidR="007C1BA3" w:rsidRPr="005F60C1">
        <w:rPr>
          <w:rFonts w:asciiTheme="minorHAnsi" w:hAnsiTheme="minorHAnsi" w:cstheme="minorHAnsi"/>
          <w:color w:val="000000"/>
          <w:sz w:val="24"/>
          <w:szCs w:val="24"/>
          <w:lang w:val="fr-FR"/>
        </w:rPr>
        <w:t xml:space="preserve">. </w:t>
      </w:r>
      <w:proofErr w:type="gramStart"/>
      <w:r w:rsidR="007C1BA3" w:rsidRPr="005F60C1">
        <w:rPr>
          <w:rFonts w:asciiTheme="minorHAnsi" w:hAnsiTheme="minorHAnsi" w:cstheme="minorHAnsi"/>
          <w:color w:val="000000"/>
          <w:sz w:val="24"/>
          <w:szCs w:val="24"/>
          <w:lang w:val="fr-FR"/>
        </w:rPr>
        <w:t>2019;</w:t>
      </w:r>
      <w:proofErr w:type="gramEnd"/>
      <w:r w:rsidR="007C1BA3" w:rsidRPr="005F60C1">
        <w:rPr>
          <w:rFonts w:asciiTheme="minorHAnsi" w:hAnsiTheme="minorHAnsi" w:cstheme="minorHAnsi"/>
          <w:color w:val="000000"/>
          <w:sz w:val="24"/>
          <w:szCs w:val="24"/>
          <w:lang w:val="fr-FR"/>
        </w:rPr>
        <w:t xml:space="preserve">51(2):398-410.e5. </w:t>
      </w:r>
      <w:proofErr w:type="gramStart"/>
      <w:r w:rsidR="007C1BA3" w:rsidRPr="005F60C1">
        <w:rPr>
          <w:rFonts w:asciiTheme="minorHAnsi" w:hAnsiTheme="minorHAnsi" w:cstheme="minorHAnsi"/>
          <w:color w:val="000000"/>
          <w:sz w:val="24"/>
          <w:szCs w:val="24"/>
          <w:lang w:val="fr-FR"/>
        </w:rPr>
        <w:t>doi:10.1016/j.immuni</w:t>
      </w:r>
      <w:proofErr w:type="gramEnd"/>
      <w:r w:rsidR="007C1BA3" w:rsidRPr="005F60C1">
        <w:rPr>
          <w:rFonts w:asciiTheme="minorHAnsi" w:hAnsiTheme="minorHAnsi" w:cstheme="minorHAnsi"/>
          <w:color w:val="000000"/>
          <w:sz w:val="24"/>
          <w:szCs w:val="24"/>
          <w:lang w:val="fr-FR"/>
        </w:rPr>
        <w:t>.2019.06.024</w:t>
      </w:r>
    </w:p>
    <w:p w14:paraId="2F01E2FF" w14:textId="53CE888C" w:rsidR="007C1BA3" w:rsidRPr="007C1BA3" w:rsidRDefault="00C82BFE" w:rsidP="00C82BFE">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52.</w:t>
      </w:r>
      <w:r w:rsidRPr="005F60C1">
        <w:rPr>
          <w:rFonts w:asciiTheme="minorHAnsi" w:hAnsiTheme="minorHAnsi" w:cstheme="minorHAnsi"/>
          <w:color w:val="000000"/>
          <w:sz w:val="24"/>
          <w:szCs w:val="24"/>
          <w:lang w:val="fr-FR"/>
        </w:rPr>
        <w:tab/>
      </w:r>
      <w:r w:rsidR="007C1BA3" w:rsidRPr="005F60C1">
        <w:rPr>
          <w:rFonts w:asciiTheme="minorHAnsi" w:hAnsiTheme="minorHAnsi" w:cstheme="minorHAnsi"/>
          <w:color w:val="000000"/>
          <w:sz w:val="24"/>
          <w:szCs w:val="24"/>
          <w:lang w:val="fr-FR"/>
        </w:rPr>
        <w:t xml:space="preserve">Dugan HL, </w:t>
      </w:r>
      <w:proofErr w:type="spellStart"/>
      <w:r w:rsidR="007C1BA3" w:rsidRPr="005F60C1">
        <w:rPr>
          <w:rFonts w:asciiTheme="minorHAnsi" w:hAnsiTheme="minorHAnsi" w:cstheme="minorHAnsi"/>
          <w:color w:val="000000"/>
          <w:sz w:val="24"/>
          <w:szCs w:val="24"/>
          <w:lang w:val="fr-FR"/>
        </w:rPr>
        <w:t>Guthmiller</w:t>
      </w:r>
      <w:proofErr w:type="spellEnd"/>
      <w:r w:rsidR="007C1BA3" w:rsidRPr="005F60C1">
        <w:rPr>
          <w:rFonts w:asciiTheme="minorHAnsi" w:hAnsiTheme="minorHAnsi" w:cstheme="minorHAnsi"/>
          <w:color w:val="000000"/>
          <w:sz w:val="24"/>
          <w:szCs w:val="24"/>
          <w:lang w:val="fr-FR"/>
        </w:rPr>
        <w:t xml:space="preserve"> JJ, </w:t>
      </w:r>
      <w:proofErr w:type="spellStart"/>
      <w:r w:rsidR="007C1BA3" w:rsidRPr="005F60C1">
        <w:rPr>
          <w:rFonts w:asciiTheme="minorHAnsi" w:hAnsiTheme="minorHAnsi" w:cstheme="minorHAnsi"/>
          <w:color w:val="000000"/>
          <w:sz w:val="24"/>
          <w:szCs w:val="24"/>
          <w:lang w:val="fr-FR"/>
        </w:rPr>
        <w:t>Arevalo</w:t>
      </w:r>
      <w:proofErr w:type="spellEnd"/>
      <w:r w:rsidR="007C1BA3" w:rsidRPr="005F60C1">
        <w:rPr>
          <w:rFonts w:asciiTheme="minorHAnsi" w:hAnsiTheme="minorHAnsi" w:cstheme="minorHAnsi"/>
          <w:color w:val="000000"/>
          <w:sz w:val="24"/>
          <w:szCs w:val="24"/>
          <w:lang w:val="fr-FR"/>
        </w:rPr>
        <w:t xml:space="preserve"> P, et al. </w:t>
      </w:r>
      <w:r w:rsidR="007C1BA3" w:rsidRPr="007C1BA3">
        <w:rPr>
          <w:rFonts w:asciiTheme="minorHAnsi" w:hAnsiTheme="minorHAnsi" w:cstheme="minorHAnsi"/>
          <w:color w:val="000000"/>
          <w:sz w:val="24"/>
          <w:szCs w:val="24"/>
        </w:rPr>
        <w:t xml:space="preserve">Preexisting immunity shapes distinct antibody landscapes after influenza virus infection and vaccination in humans. </w:t>
      </w:r>
      <w:r w:rsidR="007C1BA3" w:rsidRPr="007C1BA3">
        <w:rPr>
          <w:rFonts w:asciiTheme="minorHAnsi" w:hAnsiTheme="minorHAnsi" w:cstheme="minorHAnsi"/>
          <w:i/>
          <w:iCs/>
          <w:color w:val="000000"/>
          <w:sz w:val="24"/>
          <w:szCs w:val="24"/>
        </w:rPr>
        <w:t>Sci Transl Med</w:t>
      </w:r>
      <w:r w:rsidR="007C1BA3" w:rsidRPr="007C1BA3">
        <w:rPr>
          <w:rFonts w:asciiTheme="minorHAnsi" w:hAnsiTheme="minorHAnsi" w:cstheme="minorHAnsi"/>
          <w:color w:val="000000"/>
          <w:sz w:val="24"/>
          <w:szCs w:val="24"/>
        </w:rPr>
        <w:t>. 2020;12(573):eabd3601. doi:10.1126/scitranslmed.abd3601</w:t>
      </w:r>
    </w:p>
    <w:p w14:paraId="766E20CF" w14:textId="12A464FC" w:rsidR="007C1BA3" w:rsidRPr="007C1BA3" w:rsidRDefault="00C82BFE" w:rsidP="00C82BFE">
      <w:pPr>
        <w:pStyle w:val="csl-entry"/>
        <w:spacing w:line="480" w:lineRule="auto"/>
        <w:ind w:left="720" w:hanging="720"/>
        <w:rPr>
          <w:rFonts w:asciiTheme="minorHAnsi" w:hAnsiTheme="minorHAnsi" w:cstheme="minorHAnsi"/>
          <w:color w:val="000000"/>
          <w:sz w:val="24"/>
          <w:szCs w:val="24"/>
        </w:rPr>
      </w:pPr>
      <w:r>
        <w:rPr>
          <w:rFonts w:asciiTheme="minorHAnsi" w:hAnsiTheme="minorHAnsi" w:cstheme="minorHAnsi"/>
          <w:color w:val="000000"/>
          <w:sz w:val="24"/>
          <w:szCs w:val="24"/>
        </w:rPr>
        <w:lastRenderedPageBreak/>
        <w:t>53.</w:t>
      </w:r>
      <w:r>
        <w:rPr>
          <w:rFonts w:asciiTheme="minorHAnsi" w:hAnsiTheme="minorHAnsi" w:cstheme="minorHAnsi"/>
          <w:color w:val="000000"/>
          <w:sz w:val="24"/>
          <w:szCs w:val="24"/>
        </w:rPr>
        <w:tab/>
      </w:r>
      <w:r w:rsidR="007C1BA3" w:rsidRPr="007C1BA3">
        <w:rPr>
          <w:rFonts w:asciiTheme="minorHAnsi" w:hAnsiTheme="minorHAnsi" w:cstheme="minorHAnsi"/>
          <w:color w:val="000000"/>
          <w:sz w:val="24"/>
          <w:szCs w:val="24"/>
        </w:rPr>
        <w:t xml:space="preserve">Wang Z, Muecksch F, Schaefer-Babajew D, et al. Naturally enhanced neutralizing breadth against SARS-CoV-2 one year after infection. </w:t>
      </w:r>
      <w:r w:rsidR="007C1BA3" w:rsidRPr="007C1BA3">
        <w:rPr>
          <w:rFonts w:asciiTheme="minorHAnsi" w:hAnsiTheme="minorHAnsi" w:cstheme="minorHAnsi"/>
          <w:i/>
          <w:iCs/>
          <w:color w:val="000000"/>
          <w:sz w:val="24"/>
          <w:szCs w:val="24"/>
        </w:rPr>
        <w:t>Nature</w:t>
      </w:r>
      <w:r w:rsidR="007C1BA3" w:rsidRPr="007C1BA3">
        <w:rPr>
          <w:rFonts w:asciiTheme="minorHAnsi" w:hAnsiTheme="minorHAnsi" w:cstheme="minorHAnsi"/>
          <w:color w:val="000000"/>
          <w:sz w:val="24"/>
          <w:szCs w:val="24"/>
        </w:rPr>
        <w:t>. 2021;595(7867):426-431. doi:10.1038/s41586-021-03696-9</w:t>
      </w:r>
    </w:p>
    <w:p w14:paraId="79ED8CAC" w14:textId="1FC2C10E" w:rsidR="007C1BA3" w:rsidRDefault="00C82BFE" w:rsidP="00C82BFE">
      <w:pPr>
        <w:pStyle w:val="csl-entry"/>
        <w:spacing w:line="480" w:lineRule="auto"/>
        <w:ind w:left="720" w:hanging="720"/>
        <w:rPr>
          <w:rFonts w:asciiTheme="minorHAnsi" w:hAnsiTheme="minorHAnsi" w:cstheme="minorHAnsi"/>
          <w:color w:val="000000"/>
          <w:sz w:val="24"/>
          <w:szCs w:val="24"/>
        </w:rPr>
      </w:pPr>
      <w:r>
        <w:rPr>
          <w:rFonts w:asciiTheme="minorHAnsi" w:hAnsiTheme="minorHAnsi" w:cstheme="minorHAnsi"/>
          <w:color w:val="000000"/>
          <w:sz w:val="24"/>
          <w:szCs w:val="24"/>
        </w:rPr>
        <w:t>54</w:t>
      </w:r>
      <w:r w:rsidR="007C1BA3" w:rsidRPr="007C1BA3">
        <w:rPr>
          <w:rFonts w:asciiTheme="minorHAnsi" w:hAnsiTheme="minorHAnsi" w:cstheme="minorHAnsi"/>
          <w:color w:val="000000"/>
          <w:sz w:val="24"/>
          <w:szCs w:val="24"/>
        </w:rPr>
        <w:t>.</w:t>
      </w:r>
      <w:r>
        <w:rPr>
          <w:rFonts w:asciiTheme="minorHAnsi" w:hAnsiTheme="minorHAnsi" w:cstheme="minorHAnsi"/>
          <w:color w:val="000000"/>
          <w:sz w:val="24"/>
          <w:szCs w:val="24"/>
        </w:rPr>
        <w:tab/>
      </w:r>
      <w:r w:rsidR="007C1BA3" w:rsidRPr="007C1BA3">
        <w:rPr>
          <w:rFonts w:asciiTheme="minorHAnsi" w:hAnsiTheme="minorHAnsi" w:cstheme="minorHAnsi"/>
          <w:color w:val="000000"/>
          <w:sz w:val="24"/>
          <w:szCs w:val="24"/>
        </w:rPr>
        <w:t xml:space="preserve">Cho A, Muecksch F, Schaefer-Babajew D, et al. Anti-SARS-CoV-2 receptor binding domain antibody evolution after mRNA vaccination. </w:t>
      </w:r>
      <w:r w:rsidR="007C1BA3" w:rsidRPr="007C1BA3">
        <w:rPr>
          <w:rFonts w:asciiTheme="minorHAnsi" w:hAnsiTheme="minorHAnsi" w:cstheme="minorHAnsi"/>
          <w:i/>
          <w:iCs/>
          <w:color w:val="000000"/>
          <w:sz w:val="24"/>
          <w:szCs w:val="24"/>
        </w:rPr>
        <w:t>Nature</w:t>
      </w:r>
      <w:r w:rsidR="007C1BA3" w:rsidRPr="007C1BA3">
        <w:rPr>
          <w:rFonts w:asciiTheme="minorHAnsi" w:hAnsiTheme="minorHAnsi" w:cstheme="minorHAnsi"/>
          <w:color w:val="000000"/>
          <w:sz w:val="24"/>
          <w:szCs w:val="24"/>
        </w:rPr>
        <w:t>. Published online 2021:1-9. doi:10.1038/s41586-021-04060-7</w:t>
      </w:r>
    </w:p>
    <w:p w14:paraId="293A9CD8" w14:textId="66CD3B13" w:rsidR="007C1BA3" w:rsidRPr="007C1BA3" w:rsidRDefault="00C82BFE" w:rsidP="00C82BFE">
      <w:pPr>
        <w:pStyle w:val="csl-entry"/>
        <w:spacing w:line="480" w:lineRule="auto"/>
        <w:ind w:left="720" w:hanging="720"/>
        <w:rPr>
          <w:rFonts w:asciiTheme="minorHAnsi" w:hAnsiTheme="minorHAnsi" w:cstheme="minorHAnsi"/>
          <w:color w:val="000000"/>
          <w:sz w:val="24"/>
          <w:szCs w:val="24"/>
        </w:rPr>
      </w:pPr>
      <w:r>
        <w:rPr>
          <w:rFonts w:asciiTheme="minorHAnsi" w:hAnsiTheme="minorHAnsi" w:cstheme="minorHAnsi"/>
          <w:color w:val="000000"/>
          <w:sz w:val="24"/>
          <w:szCs w:val="24"/>
        </w:rPr>
        <w:t>55.</w:t>
      </w:r>
      <w:r>
        <w:rPr>
          <w:rFonts w:asciiTheme="minorHAnsi" w:hAnsiTheme="minorHAnsi" w:cstheme="minorHAnsi"/>
          <w:color w:val="000000"/>
          <w:sz w:val="24"/>
          <w:szCs w:val="24"/>
        </w:rPr>
        <w:tab/>
      </w:r>
      <w:r w:rsidR="007C1BA3" w:rsidRPr="007C1BA3">
        <w:rPr>
          <w:rFonts w:asciiTheme="minorHAnsi" w:hAnsiTheme="minorHAnsi" w:cstheme="minorHAnsi"/>
          <w:color w:val="000000"/>
          <w:sz w:val="24"/>
          <w:szCs w:val="24"/>
        </w:rPr>
        <w:t xml:space="preserve"> Crotty S. Hybrid immunity. </w:t>
      </w:r>
      <w:r w:rsidR="007C1BA3" w:rsidRPr="007C1BA3">
        <w:rPr>
          <w:rFonts w:asciiTheme="minorHAnsi" w:hAnsiTheme="minorHAnsi" w:cstheme="minorHAnsi"/>
          <w:i/>
          <w:iCs/>
          <w:color w:val="000000"/>
          <w:sz w:val="24"/>
          <w:szCs w:val="24"/>
        </w:rPr>
        <w:t>Science</w:t>
      </w:r>
      <w:r w:rsidR="007C1BA3" w:rsidRPr="007C1BA3">
        <w:rPr>
          <w:rFonts w:asciiTheme="minorHAnsi" w:hAnsiTheme="minorHAnsi" w:cstheme="minorHAnsi"/>
          <w:color w:val="000000"/>
          <w:sz w:val="24"/>
          <w:szCs w:val="24"/>
        </w:rPr>
        <w:t>. 2021;372(6549):1392-1393. doi:10.1126/science.abj2258</w:t>
      </w:r>
    </w:p>
    <w:p w14:paraId="325548E8" w14:textId="6591B1B8" w:rsidR="007D32AA" w:rsidRPr="005F60C1" w:rsidRDefault="00376D60" w:rsidP="00A86CDD">
      <w:pPr>
        <w:spacing w:line="480" w:lineRule="auto"/>
        <w:ind w:left="720" w:hanging="720"/>
        <w:rPr>
          <w:rFonts w:cstheme="minorHAnsi"/>
          <w:color w:val="212121"/>
          <w:sz w:val="24"/>
          <w:szCs w:val="24"/>
          <w:shd w:val="clear" w:color="auto" w:fill="FFFFFF"/>
          <w:lang w:val="en-US"/>
        </w:rPr>
      </w:pPr>
      <w:r w:rsidRPr="003A468C">
        <w:rPr>
          <w:lang w:val="en-US"/>
        </w:rPr>
        <w:fldChar w:fldCharType="end"/>
      </w:r>
      <w:r w:rsidR="00C82BFE" w:rsidRPr="00C82BFE">
        <w:rPr>
          <w:rFonts w:cstheme="minorHAnsi"/>
          <w:sz w:val="24"/>
          <w:szCs w:val="24"/>
          <w:lang w:val="en-US"/>
        </w:rPr>
        <w:t>56.</w:t>
      </w:r>
      <w:r w:rsidR="00C82BFE" w:rsidRPr="00C82BFE">
        <w:rPr>
          <w:rFonts w:cstheme="minorHAnsi"/>
          <w:sz w:val="24"/>
          <w:szCs w:val="24"/>
          <w:lang w:val="en-US"/>
        </w:rPr>
        <w:tab/>
      </w:r>
      <w:r w:rsidR="007C1BA3" w:rsidRPr="005F60C1">
        <w:rPr>
          <w:rFonts w:cstheme="minorHAnsi"/>
          <w:color w:val="212121"/>
          <w:sz w:val="24"/>
          <w:szCs w:val="24"/>
          <w:shd w:val="clear" w:color="auto" w:fill="FFFFFF"/>
          <w:lang w:val="en-US"/>
        </w:rPr>
        <w:t xml:space="preserve">Li GM, Chiu C, </w:t>
      </w:r>
      <w:proofErr w:type="spellStart"/>
      <w:r w:rsidR="007C1BA3" w:rsidRPr="005F60C1">
        <w:rPr>
          <w:rFonts w:cstheme="minorHAnsi"/>
          <w:color w:val="212121"/>
          <w:sz w:val="24"/>
          <w:szCs w:val="24"/>
          <w:shd w:val="clear" w:color="auto" w:fill="FFFFFF"/>
          <w:lang w:val="en-US"/>
        </w:rPr>
        <w:t>Wrammert</w:t>
      </w:r>
      <w:proofErr w:type="spellEnd"/>
      <w:r w:rsidR="007C1BA3" w:rsidRPr="005F60C1">
        <w:rPr>
          <w:rFonts w:cstheme="minorHAnsi"/>
          <w:color w:val="212121"/>
          <w:sz w:val="24"/>
          <w:szCs w:val="24"/>
          <w:shd w:val="clear" w:color="auto" w:fill="FFFFFF"/>
          <w:lang w:val="en-US"/>
        </w:rPr>
        <w:t xml:space="preserve"> J, McCausland M, Andrews SF, Zheng NY, Lee JH, Huang M, Qu X, Edupuganti S, Mulligan M, Das SR, </w:t>
      </w:r>
      <w:proofErr w:type="spellStart"/>
      <w:r w:rsidR="007C1BA3" w:rsidRPr="005F60C1">
        <w:rPr>
          <w:rFonts w:cstheme="minorHAnsi"/>
          <w:color w:val="212121"/>
          <w:sz w:val="24"/>
          <w:szCs w:val="24"/>
          <w:shd w:val="clear" w:color="auto" w:fill="FFFFFF"/>
          <w:lang w:val="en-US"/>
        </w:rPr>
        <w:t>Yewdell</w:t>
      </w:r>
      <w:proofErr w:type="spellEnd"/>
      <w:r w:rsidR="007C1BA3" w:rsidRPr="005F60C1">
        <w:rPr>
          <w:rFonts w:cstheme="minorHAnsi"/>
          <w:color w:val="212121"/>
          <w:sz w:val="24"/>
          <w:szCs w:val="24"/>
          <w:shd w:val="clear" w:color="auto" w:fill="FFFFFF"/>
          <w:lang w:val="en-US"/>
        </w:rPr>
        <w:t xml:space="preserve"> JW, Mehta AK, Wilson PC, Ahmed R. Pandemic H1N1 influenza vaccine induces a recall response in humans that favors broadly cross-reactive memory B cells. Proc Natl </w:t>
      </w:r>
      <w:proofErr w:type="spellStart"/>
      <w:r w:rsidR="007C1BA3" w:rsidRPr="005F60C1">
        <w:rPr>
          <w:rFonts w:cstheme="minorHAnsi"/>
          <w:color w:val="212121"/>
          <w:sz w:val="24"/>
          <w:szCs w:val="24"/>
          <w:shd w:val="clear" w:color="auto" w:fill="FFFFFF"/>
          <w:lang w:val="en-US"/>
        </w:rPr>
        <w:t>Acad</w:t>
      </w:r>
      <w:proofErr w:type="spellEnd"/>
      <w:r w:rsidR="007C1BA3" w:rsidRPr="005F60C1">
        <w:rPr>
          <w:rFonts w:cstheme="minorHAnsi"/>
          <w:color w:val="212121"/>
          <w:sz w:val="24"/>
          <w:szCs w:val="24"/>
          <w:shd w:val="clear" w:color="auto" w:fill="FFFFFF"/>
          <w:lang w:val="en-US"/>
        </w:rPr>
        <w:t xml:space="preserve"> Sci U S A. 2012 Jun 5;109(23):9047-52. </w:t>
      </w:r>
      <w:proofErr w:type="spellStart"/>
      <w:r w:rsidR="007C1BA3" w:rsidRPr="005F60C1">
        <w:rPr>
          <w:rFonts w:cstheme="minorHAnsi"/>
          <w:color w:val="212121"/>
          <w:sz w:val="24"/>
          <w:szCs w:val="24"/>
          <w:shd w:val="clear" w:color="auto" w:fill="FFFFFF"/>
          <w:lang w:val="en-US"/>
        </w:rPr>
        <w:t>doi</w:t>
      </w:r>
      <w:proofErr w:type="spellEnd"/>
      <w:r w:rsidR="007C1BA3" w:rsidRPr="005F60C1">
        <w:rPr>
          <w:rFonts w:cstheme="minorHAnsi"/>
          <w:color w:val="212121"/>
          <w:sz w:val="24"/>
          <w:szCs w:val="24"/>
          <w:shd w:val="clear" w:color="auto" w:fill="FFFFFF"/>
          <w:lang w:val="en-US"/>
        </w:rPr>
        <w:t xml:space="preserve">: 10.1073/pnas.1118979109. </w:t>
      </w:r>
      <w:proofErr w:type="spellStart"/>
      <w:r w:rsidR="007C1BA3" w:rsidRPr="005F60C1">
        <w:rPr>
          <w:rFonts w:cstheme="minorHAnsi"/>
          <w:color w:val="212121"/>
          <w:sz w:val="24"/>
          <w:szCs w:val="24"/>
          <w:shd w:val="clear" w:color="auto" w:fill="FFFFFF"/>
          <w:lang w:val="en-US"/>
        </w:rPr>
        <w:t>Epub</w:t>
      </w:r>
      <w:proofErr w:type="spellEnd"/>
      <w:r w:rsidR="007C1BA3" w:rsidRPr="005F60C1">
        <w:rPr>
          <w:rFonts w:cstheme="minorHAnsi"/>
          <w:color w:val="212121"/>
          <w:sz w:val="24"/>
          <w:szCs w:val="24"/>
          <w:shd w:val="clear" w:color="auto" w:fill="FFFFFF"/>
          <w:lang w:val="en-US"/>
        </w:rPr>
        <w:t xml:space="preserve"> 2012 May 21. PMID: 22615367; PMCID: PMC3384143.</w:t>
      </w:r>
    </w:p>
    <w:p w14:paraId="6E902583" w14:textId="5CEE5420" w:rsidR="00A86CDD" w:rsidRDefault="00C82BFE" w:rsidP="00A86CDD">
      <w:pPr>
        <w:pStyle w:val="csl-entry"/>
        <w:spacing w:line="480" w:lineRule="auto"/>
        <w:ind w:left="720" w:hanging="720"/>
        <w:rPr>
          <w:rFonts w:asciiTheme="minorHAnsi" w:hAnsiTheme="minorHAnsi" w:cstheme="minorHAnsi"/>
          <w:color w:val="000000"/>
          <w:sz w:val="24"/>
          <w:szCs w:val="24"/>
        </w:rPr>
      </w:pPr>
      <w:r w:rsidRPr="00A86CDD">
        <w:rPr>
          <w:rFonts w:asciiTheme="minorHAnsi" w:hAnsiTheme="minorHAnsi" w:cstheme="minorHAnsi"/>
          <w:sz w:val="24"/>
          <w:szCs w:val="24"/>
        </w:rPr>
        <w:t>57.</w:t>
      </w:r>
      <w:r w:rsidRPr="00A86CDD">
        <w:rPr>
          <w:rFonts w:asciiTheme="minorHAnsi" w:hAnsiTheme="minorHAnsi" w:cstheme="minorHAnsi"/>
          <w:sz w:val="24"/>
          <w:szCs w:val="24"/>
        </w:rPr>
        <w:tab/>
      </w:r>
      <w:r w:rsidR="00A86CDD" w:rsidRPr="00A86CDD">
        <w:rPr>
          <w:rFonts w:asciiTheme="minorHAnsi" w:hAnsiTheme="minorHAnsi" w:cstheme="minorHAnsi"/>
          <w:color w:val="000000"/>
          <w:sz w:val="24"/>
          <w:szCs w:val="24"/>
        </w:rPr>
        <w:t xml:space="preserve">Gagne M, Corbett KS, Flynn BJ, et al. Protection from SARS-CoV-2 Delta one year after mRNA-1273 vaccination in rhesus macaques coincides with anamnestic antibody response in the lung. </w:t>
      </w:r>
      <w:r w:rsidR="00A86CDD" w:rsidRPr="00A86CDD">
        <w:rPr>
          <w:rFonts w:asciiTheme="minorHAnsi" w:hAnsiTheme="minorHAnsi" w:cstheme="minorHAnsi"/>
          <w:i/>
          <w:iCs/>
          <w:color w:val="000000"/>
          <w:sz w:val="24"/>
          <w:szCs w:val="24"/>
        </w:rPr>
        <w:t>Cell</w:t>
      </w:r>
      <w:r w:rsidR="00A86CDD" w:rsidRPr="00A86CDD">
        <w:rPr>
          <w:rFonts w:asciiTheme="minorHAnsi" w:hAnsiTheme="minorHAnsi" w:cstheme="minorHAnsi"/>
          <w:color w:val="000000"/>
          <w:sz w:val="24"/>
          <w:szCs w:val="24"/>
        </w:rPr>
        <w:t xml:space="preserve">. 2022;185(1):113-130.e15. </w:t>
      </w:r>
      <w:proofErr w:type="gramStart"/>
      <w:r w:rsidR="00A86CDD" w:rsidRPr="00A86CDD">
        <w:rPr>
          <w:rFonts w:asciiTheme="minorHAnsi" w:hAnsiTheme="minorHAnsi" w:cstheme="minorHAnsi"/>
          <w:color w:val="000000"/>
          <w:sz w:val="24"/>
          <w:szCs w:val="24"/>
        </w:rPr>
        <w:t>doi:10.1016/j.cell</w:t>
      </w:r>
      <w:proofErr w:type="gramEnd"/>
      <w:r w:rsidR="00A86CDD" w:rsidRPr="00A86CDD">
        <w:rPr>
          <w:rFonts w:asciiTheme="minorHAnsi" w:hAnsiTheme="minorHAnsi" w:cstheme="minorHAnsi"/>
          <w:color w:val="000000"/>
          <w:sz w:val="24"/>
          <w:szCs w:val="24"/>
        </w:rPr>
        <w:t>.2021.12.002</w:t>
      </w:r>
    </w:p>
    <w:p w14:paraId="3FCDCBE4" w14:textId="77777777" w:rsidR="005E3FA3" w:rsidRPr="005F60C1" w:rsidRDefault="00A86CDD" w:rsidP="005E3FA3">
      <w:pPr>
        <w:pStyle w:val="csl-entry"/>
        <w:spacing w:line="480" w:lineRule="auto"/>
        <w:ind w:left="720" w:hanging="720"/>
        <w:rPr>
          <w:rFonts w:asciiTheme="minorHAnsi" w:hAnsiTheme="minorHAnsi" w:cstheme="minorHAnsi"/>
          <w:color w:val="000000"/>
          <w:sz w:val="24"/>
          <w:szCs w:val="24"/>
          <w:lang w:val="fr-FR"/>
        </w:rPr>
      </w:pPr>
      <w:r w:rsidRPr="005E3FA3">
        <w:rPr>
          <w:rFonts w:asciiTheme="minorHAnsi" w:hAnsiTheme="minorHAnsi" w:cstheme="minorHAnsi"/>
          <w:sz w:val="24"/>
          <w:szCs w:val="24"/>
        </w:rPr>
        <w:t>58.</w:t>
      </w:r>
      <w:r w:rsidRPr="005E3FA3">
        <w:rPr>
          <w:rFonts w:asciiTheme="minorHAnsi" w:hAnsiTheme="minorHAnsi" w:cstheme="minorHAnsi"/>
          <w:color w:val="000000"/>
          <w:sz w:val="24"/>
          <w:szCs w:val="24"/>
        </w:rPr>
        <w:tab/>
      </w:r>
      <w:r w:rsidR="005E3FA3" w:rsidRPr="005E3FA3">
        <w:rPr>
          <w:rFonts w:asciiTheme="minorHAnsi" w:hAnsiTheme="minorHAnsi" w:cstheme="minorHAnsi"/>
          <w:color w:val="000000"/>
          <w:sz w:val="24"/>
          <w:szCs w:val="24"/>
        </w:rPr>
        <w:t xml:space="preserve">Poon MML, </w:t>
      </w:r>
      <w:proofErr w:type="spellStart"/>
      <w:r w:rsidR="005E3FA3" w:rsidRPr="005E3FA3">
        <w:rPr>
          <w:rFonts w:asciiTheme="minorHAnsi" w:hAnsiTheme="minorHAnsi" w:cstheme="minorHAnsi"/>
          <w:color w:val="000000"/>
          <w:sz w:val="24"/>
          <w:szCs w:val="24"/>
        </w:rPr>
        <w:t>Rybkina</w:t>
      </w:r>
      <w:proofErr w:type="spellEnd"/>
      <w:r w:rsidR="005E3FA3" w:rsidRPr="005E3FA3">
        <w:rPr>
          <w:rFonts w:asciiTheme="minorHAnsi" w:hAnsiTheme="minorHAnsi" w:cstheme="minorHAnsi"/>
          <w:color w:val="000000"/>
          <w:sz w:val="24"/>
          <w:szCs w:val="24"/>
        </w:rPr>
        <w:t xml:space="preserve"> K, Kato Y, et al. SARS-CoV-2 infection generates tissue-localized immunological memory in humans. </w:t>
      </w:r>
      <w:proofErr w:type="spellStart"/>
      <w:r w:rsidR="005E3FA3" w:rsidRPr="005F60C1">
        <w:rPr>
          <w:rFonts w:asciiTheme="minorHAnsi" w:hAnsiTheme="minorHAnsi" w:cstheme="minorHAnsi"/>
          <w:i/>
          <w:iCs/>
          <w:color w:val="000000"/>
          <w:sz w:val="24"/>
          <w:szCs w:val="24"/>
          <w:lang w:val="fr-FR"/>
        </w:rPr>
        <w:t>Sci</w:t>
      </w:r>
      <w:proofErr w:type="spellEnd"/>
      <w:r w:rsidR="005E3FA3" w:rsidRPr="005F60C1">
        <w:rPr>
          <w:rFonts w:asciiTheme="minorHAnsi" w:hAnsiTheme="minorHAnsi" w:cstheme="minorHAnsi"/>
          <w:i/>
          <w:iCs/>
          <w:color w:val="000000"/>
          <w:sz w:val="24"/>
          <w:szCs w:val="24"/>
          <w:lang w:val="fr-FR"/>
        </w:rPr>
        <w:t xml:space="preserve"> </w:t>
      </w:r>
      <w:proofErr w:type="spellStart"/>
      <w:r w:rsidR="005E3FA3" w:rsidRPr="005F60C1">
        <w:rPr>
          <w:rFonts w:asciiTheme="minorHAnsi" w:hAnsiTheme="minorHAnsi" w:cstheme="minorHAnsi"/>
          <w:i/>
          <w:iCs/>
          <w:color w:val="000000"/>
          <w:sz w:val="24"/>
          <w:szCs w:val="24"/>
          <w:lang w:val="fr-FR"/>
        </w:rPr>
        <w:t>Immunol</w:t>
      </w:r>
      <w:proofErr w:type="spellEnd"/>
      <w:r w:rsidR="005E3FA3" w:rsidRPr="005F60C1">
        <w:rPr>
          <w:rFonts w:asciiTheme="minorHAnsi" w:hAnsiTheme="minorHAnsi" w:cstheme="minorHAnsi"/>
          <w:color w:val="000000"/>
          <w:sz w:val="24"/>
          <w:szCs w:val="24"/>
          <w:lang w:val="fr-FR"/>
        </w:rPr>
        <w:t xml:space="preserve">. </w:t>
      </w:r>
      <w:proofErr w:type="gramStart"/>
      <w:r w:rsidR="005E3FA3" w:rsidRPr="005F60C1">
        <w:rPr>
          <w:rFonts w:asciiTheme="minorHAnsi" w:hAnsiTheme="minorHAnsi" w:cstheme="minorHAnsi"/>
          <w:color w:val="000000"/>
          <w:sz w:val="24"/>
          <w:szCs w:val="24"/>
          <w:lang w:val="fr-FR"/>
        </w:rPr>
        <w:t>2021;</w:t>
      </w:r>
      <w:proofErr w:type="gramEnd"/>
      <w:r w:rsidR="005E3FA3" w:rsidRPr="005F60C1">
        <w:rPr>
          <w:rFonts w:asciiTheme="minorHAnsi" w:hAnsiTheme="minorHAnsi" w:cstheme="minorHAnsi"/>
          <w:color w:val="000000"/>
          <w:sz w:val="24"/>
          <w:szCs w:val="24"/>
          <w:lang w:val="fr-FR"/>
        </w:rPr>
        <w:t xml:space="preserve">6(65):eabl9105. </w:t>
      </w:r>
      <w:proofErr w:type="gramStart"/>
      <w:r w:rsidR="005E3FA3" w:rsidRPr="005F60C1">
        <w:rPr>
          <w:rFonts w:asciiTheme="minorHAnsi" w:hAnsiTheme="minorHAnsi" w:cstheme="minorHAnsi"/>
          <w:color w:val="000000"/>
          <w:sz w:val="24"/>
          <w:szCs w:val="24"/>
          <w:lang w:val="fr-FR"/>
        </w:rPr>
        <w:t>doi:</w:t>
      </w:r>
      <w:proofErr w:type="gramEnd"/>
      <w:r w:rsidR="005E3FA3" w:rsidRPr="005F60C1">
        <w:rPr>
          <w:rFonts w:asciiTheme="minorHAnsi" w:hAnsiTheme="minorHAnsi" w:cstheme="minorHAnsi"/>
          <w:color w:val="000000"/>
          <w:sz w:val="24"/>
          <w:szCs w:val="24"/>
          <w:lang w:val="fr-FR"/>
        </w:rPr>
        <w:t>10.1126/sciimmunol.abl9105</w:t>
      </w:r>
    </w:p>
    <w:p w14:paraId="11256944" w14:textId="67CDDE5F" w:rsidR="005E3FA3" w:rsidRPr="005E3FA3" w:rsidRDefault="005E3FA3" w:rsidP="005E3FA3">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lastRenderedPageBreak/>
        <w:t>59.</w:t>
      </w:r>
      <w:r w:rsidRPr="005F60C1">
        <w:rPr>
          <w:rFonts w:asciiTheme="minorHAnsi" w:hAnsiTheme="minorHAnsi" w:cstheme="minorHAnsi"/>
          <w:color w:val="000000"/>
          <w:sz w:val="24"/>
          <w:szCs w:val="24"/>
          <w:lang w:val="fr-FR"/>
        </w:rPr>
        <w:tab/>
        <w:t xml:space="preserve">Collier A ris Y, Brown CM, </w:t>
      </w:r>
      <w:proofErr w:type="spellStart"/>
      <w:r w:rsidRPr="005F60C1">
        <w:rPr>
          <w:rFonts w:asciiTheme="minorHAnsi" w:hAnsiTheme="minorHAnsi" w:cstheme="minorHAnsi"/>
          <w:color w:val="000000"/>
          <w:sz w:val="24"/>
          <w:szCs w:val="24"/>
          <w:lang w:val="fr-FR"/>
        </w:rPr>
        <w:t>Mcmahan</w:t>
      </w:r>
      <w:proofErr w:type="spellEnd"/>
      <w:r w:rsidRPr="005F60C1">
        <w:rPr>
          <w:rFonts w:asciiTheme="minorHAnsi" w:hAnsiTheme="minorHAnsi" w:cstheme="minorHAnsi"/>
          <w:color w:val="000000"/>
          <w:sz w:val="24"/>
          <w:szCs w:val="24"/>
          <w:lang w:val="fr-FR"/>
        </w:rPr>
        <w:t xml:space="preserve"> K, et al. </w:t>
      </w:r>
      <w:r w:rsidRPr="005E3FA3">
        <w:rPr>
          <w:rFonts w:asciiTheme="minorHAnsi" w:hAnsiTheme="minorHAnsi" w:cstheme="minorHAnsi"/>
          <w:color w:val="000000"/>
          <w:sz w:val="24"/>
          <w:szCs w:val="24"/>
        </w:rPr>
        <w:t xml:space="preserve">Immune Responses in Fully Vaccinated Individuals Following Breakthrough Infection with the SARS-CoV-2 Delta Variant in Provincetown, Massachusetts. </w:t>
      </w:r>
      <w:proofErr w:type="spellStart"/>
      <w:r w:rsidRPr="005E3FA3">
        <w:rPr>
          <w:rFonts w:asciiTheme="minorHAnsi" w:hAnsiTheme="minorHAnsi" w:cstheme="minorHAnsi"/>
          <w:i/>
          <w:iCs/>
          <w:color w:val="000000"/>
          <w:sz w:val="24"/>
          <w:szCs w:val="24"/>
        </w:rPr>
        <w:t>Medrxiv</w:t>
      </w:r>
      <w:proofErr w:type="spellEnd"/>
      <w:r w:rsidRPr="005E3FA3">
        <w:rPr>
          <w:rFonts w:asciiTheme="minorHAnsi" w:hAnsiTheme="minorHAnsi" w:cstheme="minorHAnsi"/>
          <w:color w:val="000000"/>
          <w:sz w:val="24"/>
          <w:szCs w:val="24"/>
        </w:rPr>
        <w:t>. Published online 2021:2021.10.18.21265113. doi:10.1101/2021.10.18.21265113</w:t>
      </w:r>
    </w:p>
    <w:p w14:paraId="63441A69" w14:textId="1793177F" w:rsidR="005E3FA3" w:rsidRDefault="005E3FA3" w:rsidP="005E3FA3">
      <w:pPr>
        <w:pStyle w:val="csl-entry"/>
        <w:spacing w:line="480" w:lineRule="auto"/>
        <w:ind w:left="720" w:hanging="720"/>
        <w:rPr>
          <w:rFonts w:asciiTheme="minorHAnsi" w:hAnsiTheme="minorHAnsi" w:cstheme="minorHAnsi"/>
          <w:color w:val="000000"/>
          <w:sz w:val="24"/>
          <w:szCs w:val="24"/>
        </w:rPr>
      </w:pPr>
      <w:r w:rsidRPr="005E3FA3">
        <w:rPr>
          <w:rFonts w:asciiTheme="minorHAnsi" w:hAnsiTheme="minorHAnsi" w:cstheme="minorHAnsi"/>
          <w:color w:val="000000"/>
          <w:sz w:val="24"/>
          <w:szCs w:val="24"/>
        </w:rPr>
        <w:t>60.</w:t>
      </w:r>
      <w:r w:rsidRPr="005E3FA3">
        <w:rPr>
          <w:rFonts w:asciiTheme="minorHAnsi" w:hAnsiTheme="minorHAnsi" w:cstheme="minorHAnsi"/>
          <w:color w:val="000000"/>
          <w:sz w:val="24"/>
          <w:szCs w:val="24"/>
        </w:rPr>
        <w:tab/>
        <w:t xml:space="preserve">Sajadi MM, Myers A, Logue J, et al. Mucosal and systemic responses to SARS-CoV-2 vaccination in infection naïve and experienced individuals. </w:t>
      </w:r>
      <w:proofErr w:type="spellStart"/>
      <w:r w:rsidRPr="005E3FA3">
        <w:rPr>
          <w:rFonts w:asciiTheme="minorHAnsi" w:hAnsiTheme="minorHAnsi" w:cstheme="minorHAnsi"/>
          <w:i/>
          <w:iCs/>
          <w:color w:val="000000"/>
          <w:sz w:val="24"/>
          <w:szCs w:val="24"/>
        </w:rPr>
        <w:t>Biorxiv</w:t>
      </w:r>
      <w:proofErr w:type="spellEnd"/>
      <w:r w:rsidRPr="005E3FA3">
        <w:rPr>
          <w:rFonts w:asciiTheme="minorHAnsi" w:hAnsiTheme="minorHAnsi" w:cstheme="minorHAnsi"/>
          <w:color w:val="000000"/>
          <w:sz w:val="24"/>
          <w:szCs w:val="24"/>
        </w:rPr>
        <w:t>. Published online 2021:2021.12.13.472159. doi:10.1101/2021.12.13.472159</w:t>
      </w:r>
    </w:p>
    <w:p w14:paraId="57703D67" w14:textId="7DD984A9" w:rsidR="00264880" w:rsidRPr="005F60C1" w:rsidRDefault="005E3FA3" w:rsidP="00264880">
      <w:pPr>
        <w:pStyle w:val="EndNoteBibliography"/>
        <w:spacing w:line="480" w:lineRule="auto"/>
        <w:ind w:left="720" w:hanging="720"/>
        <w:rPr>
          <w:noProof/>
          <w:lang w:val="fr-FR"/>
        </w:rPr>
      </w:pPr>
      <w:r>
        <w:rPr>
          <w:rFonts w:asciiTheme="minorHAnsi" w:hAnsiTheme="minorHAnsi" w:cstheme="minorHAnsi"/>
          <w:color w:val="000000"/>
        </w:rPr>
        <w:t>61.</w:t>
      </w:r>
      <w:r>
        <w:rPr>
          <w:rFonts w:asciiTheme="minorHAnsi" w:hAnsiTheme="minorHAnsi" w:cstheme="minorHAnsi"/>
          <w:color w:val="000000"/>
        </w:rPr>
        <w:tab/>
      </w:r>
      <w:r w:rsidR="00264880" w:rsidRPr="003A468C">
        <w:rPr>
          <w:noProof/>
          <w:lang w:val="en-US"/>
        </w:rPr>
        <w:t xml:space="preserve">Lu, L. L., Suscovich, T. J., Fortune, S. M. &amp; Alter, G. Beyond binding: antibody effector functions in infectious diseases. </w:t>
      </w:r>
      <w:r w:rsidR="00264880" w:rsidRPr="005F60C1">
        <w:rPr>
          <w:i/>
          <w:noProof/>
          <w:lang w:val="fr-FR"/>
        </w:rPr>
        <w:t>Nat Rev Immunol</w:t>
      </w:r>
      <w:r w:rsidR="00264880" w:rsidRPr="005F60C1">
        <w:rPr>
          <w:noProof/>
          <w:lang w:val="fr-FR"/>
        </w:rPr>
        <w:t xml:space="preserve"> </w:t>
      </w:r>
      <w:r w:rsidR="00264880" w:rsidRPr="005F60C1">
        <w:rPr>
          <w:b/>
          <w:noProof/>
          <w:lang w:val="fr-FR"/>
        </w:rPr>
        <w:t>18</w:t>
      </w:r>
      <w:r w:rsidR="00264880" w:rsidRPr="005F60C1">
        <w:rPr>
          <w:noProof/>
          <w:lang w:val="fr-FR"/>
        </w:rPr>
        <w:t>, 46-61, doi:10.1038/nri.2017.106 (2018).</w:t>
      </w:r>
    </w:p>
    <w:p w14:paraId="198D1921" w14:textId="4E29D6A0" w:rsidR="00302CD5" w:rsidRDefault="008507A9" w:rsidP="00302CD5">
      <w:pPr>
        <w:pStyle w:val="EndNoteBibliography"/>
        <w:spacing w:line="480" w:lineRule="auto"/>
        <w:ind w:left="720" w:hanging="720"/>
        <w:rPr>
          <w:noProof/>
          <w:lang w:val="en-US"/>
        </w:rPr>
      </w:pPr>
      <w:r w:rsidRPr="005F60C1">
        <w:rPr>
          <w:rFonts w:asciiTheme="minorHAnsi" w:hAnsiTheme="minorHAnsi" w:cstheme="minorHAnsi"/>
          <w:color w:val="000000"/>
          <w:lang w:val="fr-FR"/>
        </w:rPr>
        <w:t>62.</w:t>
      </w:r>
      <w:r w:rsidRPr="005F60C1">
        <w:rPr>
          <w:noProof/>
          <w:lang w:val="fr-FR"/>
        </w:rPr>
        <w:tab/>
      </w:r>
      <w:r w:rsidR="00302CD5" w:rsidRPr="005F60C1">
        <w:rPr>
          <w:noProof/>
          <w:lang w:val="fr-FR"/>
        </w:rPr>
        <w:t>Sutton, T. C.</w:t>
      </w:r>
      <w:r w:rsidR="00302CD5" w:rsidRPr="005F60C1">
        <w:rPr>
          <w:i/>
          <w:noProof/>
          <w:lang w:val="fr-FR"/>
        </w:rPr>
        <w:t xml:space="preserve"> et al.</w:t>
      </w:r>
      <w:r w:rsidR="00302CD5" w:rsidRPr="005F60C1">
        <w:rPr>
          <w:noProof/>
          <w:lang w:val="fr-FR"/>
        </w:rPr>
        <w:t xml:space="preserve"> </w:t>
      </w:r>
      <w:r w:rsidR="00302CD5" w:rsidRPr="003A468C">
        <w:rPr>
          <w:noProof/>
          <w:lang w:val="en-US"/>
        </w:rPr>
        <w:t xml:space="preserve">In Vitro Neutralization Is Not Predictive of Prophylactic Efficacy of Broadly Neutralizing Monoclonal Antibodies CR6261 and CR9114 against Lethal H2 Influenza Virus Challenge in Mice. </w:t>
      </w:r>
      <w:r w:rsidR="00302CD5" w:rsidRPr="003A468C">
        <w:rPr>
          <w:i/>
          <w:noProof/>
          <w:lang w:val="en-US"/>
        </w:rPr>
        <w:t>J Virol</w:t>
      </w:r>
      <w:r w:rsidR="00302CD5" w:rsidRPr="003A468C">
        <w:rPr>
          <w:noProof/>
          <w:lang w:val="en-US"/>
        </w:rPr>
        <w:t xml:space="preserve"> </w:t>
      </w:r>
      <w:r w:rsidR="00302CD5" w:rsidRPr="003A468C">
        <w:rPr>
          <w:b/>
          <w:noProof/>
          <w:lang w:val="en-US"/>
        </w:rPr>
        <w:t>91</w:t>
      </w:r>
      <w:r w:rsidR="00302CD5" w:rsidRPr="003A468C">
        <w:rPr>
          <w:noProof/>
          <w:lang w:val="en-US"/>
        </w:rPr>
        <w:t>, doi:10.1128/JVI.01603-17 (2017).</w:t>
      </w:r>
    </w:p>
    <w:p w14:paraId="7707F421" w14:textId="1B21AE2C" w:rsidR="00302CD5" w:rsidRDefault="00302CD5" w:rsidP="00302CD5">
      <w:pPr>
        <w:pStyle w:val="EndNoteBibliography"/>
        <w:spacing w:line="480" w:lineRule="auto"/>
        <w:ind w:left="720" w:hanging="720"/>
        <w:rPr>
          <w:noProof/>
          <w:lang w:val="en-US"/>
        </w:rPr>
      </w:pPr>
      <w:r>
        <w:rPr>
          <w:rFonts w:asciiTheme="minorHAnsi" w:hAnsiTheme="minorHAnsi" w:cstheme="minorHAnsi"/>
          <w:color w:val="000000"/>
        </w:rPr>
        <w:t>63.</w:t>
      </w:r>
      <w:r>
        <w:rPr>
          <w:noProof/>
          <w:lang w:val="en-US"/>
        </w:rPr>
        <w:tab/>
      </w:r>
      <w:r w:rsidRPr="003A468C">
        <w:rPr>
          <w:noProof/>
          <w:lang w:val="en-US"/>
        </w:rPr>
        <w:t xml:space="preserve">DiLillo, D. J., Palese, P., Wilson, P. C. &amp; Ravetch, J. V. Broadly neutralizing anti-influenza antibodies require Fc receptor engagement for in vivo protection. </w:t>
      </w:r>
      <w:r w:rsidRPr="003A468C">
        <w:rPr>
          <w:i/>
          <w:noProof/>
          <w:lang w:val="en-US"/>
        </w:rPr>
        <w:t>J Clin Invest</w:t>
      </w:r>
      <w:r w:rsidRPr="003A468C">
        <w:rPr>
          <w:noProof/>
          <w:lang w:val="en-US"/>
        </w:rPr>
        <w:t xml:space="preserve"> </w:t>
      </w:r>
      <w:r w:rsidRPr="003A468C">
        <w:rPr>
          <w:b/>
          <w:noProof/>
          <w:lang w:val="en-US"/>
        </w:rPr>
        <w:t>126</w:t>
      </w:r>
      <w:r w:rsidRPr="003A468C">
        <w:rPr>
          <w:noProof/>
          <w:lang w:val="en-US"/>
        </w:rPr>
        <w:t>, 605-610, doi:10.1172/JCI84428 (2016).</w:t>
      </w:r>
    </w:p>
    <w:p w14:paraId="762392C4" w14:textId="474196E7" w:rsidR="003C2B07" w:rsidRDefault="003C2B07" w:rsidP="00302CD5">
      <w:pPr>
        <w:pStyle w:val="EndNoteBibliography"/>
        <w:spacing w:line="480" w:lineRule="auto"/>
        <w:ind w:left="720" w:hanging="720"/>
        <w:rPr>
          <w:noProof/>
          <w:lang w:val="en-US"/>
        </w:rPr>
      </w:pPr>
      <w:r>
        <w:rPr>
          <w:rFonts w:asciiTheme="minorHAnsi" w:hAnsiTheme="minorHAnsi" w:cstheme="minorHAnsi"/>
          <w:color w:val="000000"/>
        </w:rPr>
        <w:t>64</w:t>
      </w:r>
      <w:r w:rsidR="001E407A">
        <w:rPr>
          <w:rFonts w:asciiTheme="minorHAnsi" w:hAnsiTheme="minorHAnsi" w:cstheme="minorHAnsi"/>
          <w:color w:val="000000"/>
        </w:rPr>
        <w:t>.</w:t>
      </w:r>
      <w:r w:rsidR="001E407A">
        <w:rPr>
          <w:rFonts w:asciiTheme="minorHAnsi" w:hAnsiTheme="minorHAnsi" w:cstheme="minorHAnsi"/>
          <w:color w:val="000000"/>
        </w:rPr>
        <w:tab/>
      </w:r>
      <w:r w:rsidR="001E407A" w:rsidRPr="001E407A">
        <w:rPr>
          <w:noProof/>
          <w:lang w:val="en-US"/>
        </w:rPr>
        <w:t xml:space="preserve"> </w:t>
      </w:r>
      <w:r w:rsidR="001E407A" w:rsidRPr="003A468C">
        <w:rPr>
          <w:noProof/>
          <w:lang w:val="en-US"/>
        </w:rPr>
        <w:t>Bournazos, S.</w:t>
      </w:r>
      <w:r w:rsidR="001E407A" w:rsidRPr="003A468C">
        <w:rPr>
          <w:i/>
          <w:noProof/>
          <w:lang w:val="en-US"/>
        </w:rPr>
        <w:t xml:space="preserve"> et al.</w:t>
      </w:r>
      <w:r w:rsidR="001E407A" w:rsidRPr="003A468C">
        <w:rPr>
          <w:noProof/>
          <w:lang w:val="en-US"/>
        </w:rPr>
        <w:t xml:space="preserve"> Broadly neutralizing anti-HIV-1 antibodies require Fc effector functions for in vivo activity. </w:t>
      </w:r>
      <w:r w:rsidR="001E407A" w:rsidRPr="003A468C">
        <w:rPr>
          <w:i/>
          <w:noProof/>
          <w:lang w:val="en-US"/>
        </w:rPr>
        <w:t>Cell</w:t>
      </w:r>
      <w:r w:rsidR="001E407A" w:rsidRPr="003A468C">
        <w:rPr>
          <w:noProof/>
          <w:lang w:val="en-US"/>
        </w:rPr>
        <w:t xml:space="preserve"> </w:t>
      </w:r>
      <w:r w:rsidR="001E407A" w:rsidRPr="003A468C">
        <w:rPr>
          <w:b/>
          <w:noProof/>
          <w:lang w:val="en-US"/>
        </w:rPr>
        <w:t>158</w:t>
      </w:r>
      <w:r w:rsidR="001E407A" w:rsidRPr="003A468C">
        <w:rPr>
          <w:noProof/>
          <w:lang w:val="en-US"/>
        </w:rPr>
        <w:t>, 1243-1253, doi:10.1016/j.cell.2014.08.023 (2014</w:t>
      </w:r>
    </w:p>
    <w:p w14:paraId="1B1426D7" w14:textId="504BD9C4" w:rsidR="003C2B07" w:rsidRDefault="003C2B07" w:rsidP="00302CD5">
      <w:pPr>
        <w:pStyle w:val="EndNoteBibliography"/>
        <w:spacing w:line="480" w:lineRule="auto"/>
        <w:ind w:left="720" w:hanging="720"/>
        <w:rPr>
          <w:noProof/>
          <w:lang w:val="en-US"/>
        </w:rPr>
      </w:pPr>
      <w:r>
        <w:rPr>
          <w:noProof/>
          <w:lang w:val="en-US"/>
        </w:rPr>
        <w:t>65.</w:t>
      </w:r>
      <w:r w:rsidR="001E407A">
        <w:rPr>
          <w:noProof/>
          <w:lang w:val="en-US"/>
        </w:rPr>
        <w:tab/>
      </w:r>
      <w:r w:rsidR="001E407A" w:rsidRPr="003A468C">
        <w:rPr>
          <w:noProof/>
          <w:lang w:val="en-US"/>
        </w:rPr>
        <w:t>Gunn, B. M.</w:t>
      </w:r>
      <w:r w:rsidR="001E407A" w:rsidRPr="003A468C">
        <w:rPr>
          <w:i/>
          <w:noProof/>
          <w:lang w:val="en-US"/>
        </w:rPr>
        <w:t xml:space="preserve"> et al.</w:t>
      </w:r>
      <w:r w:rsidR="001E407A" w:rsidRPr="003A468C">
        <w:rPr>
          <w:noProof/>
          <w:lang w:val="en-US"/>
        </w:rPr>
        <w:t xml:space="preserve"> A Role for Fc Function in Therapeutic Monoclonal Antibody-Mediated Protection against Ebola Virus. </w:t>
      </w:r>
      <w:r w:rsidR="001E407A" w:rsidRPr="003A468C">
        <w:rPr>
          <w:i/>
          <w:noProof/>
          <w:lang w:val="en-US"/>
        </w:rPr>
        <w:t>Cell Host Microbe</w:t>
      </w:r>
      <w:r w:rsidR="001E407A" w:rsidRPr="003A468C">
        <w:rPr>
          <w:noProof/>
          <w:lang w:val="en-US"/>
        </w:rPr>
        <w:t xml:space="preserve"> </w:t>
      </w:r>
      <w:r w:rsidR="001E407A" w:rsidRPr="003A468C">
        <w:rPr>
          <w:b/>
          <w:noProof/>
          <w:lang w:val="en-US"/>
        </w:rPr>
        <w:t>24</w:t>
      </w:r>
      <w:r w:rsidR="001E407A" w:rsidRPr="003A468C">
        <w:rPr>
          <w:noProof/>
          <w:lang w:val="en-US"/>
        </w:rPr>
        <w:t>, 221-233 e225, doi:10.1016/j.chom.2018.07.009 (2018).</w:t>
      </w:r>
    </w:p>
    <w:p w14:paraId="34D89C9A" w14:textId="66FC2168" w:rsidR="003C2B07" w:rsidRDefault="003C2B07" w:rsidP="00302CD5">
      <w:pPr>
        <w:pStyle w:val="EndNoteBibliography"/>
        <w:spacing w:line="480" w:lineRule="auto"/>
        <w:ind w:left="720" w:hanging="720"/>
        <w:rPr>
          <w:noProof/>
          <w:lang w:val="en-US"/>
        </w:rPr>
      </w:pPr>
      <w:r>
        <w:rPr>
          <w:noProof/>
          <w:lang w:val="en-US"/>
        </w:rPr>
        <w:lastRenderedPageBreak/>
        <w:t>66.</w:t>
      </w:r>
      <w:r w:rsidR="001E407A" w:rsidRPr="001E407A">
        <w:rPr>
          <w:noProof/>
          <w:lang w:val="en-US"/>
        </w:rPr>
        <w:t xml:space="preserve"> </w:t>
      </w:r>
      <w:r w:rsidR="001E407A">
        <w:rPr>
          <w:noProof/>
          <w:lang w:val="en-US"/>
        </w:rPr>
        <w:tab/>
      </w:r>
      <w:r w:rsidR="001E407A" w:rsidRPr="003A468C">
        <w:rPr>
          <w:noProof/>
          <w:lang w:val="en-US"/>
        </w:rPr>
        <w:t>Dreyfus, C.</w:t>
      </w:r>
      <w:r w:rsidR="001E407A" w:rsidRPr="003A468C">
        <w:rPr>
          <w:i/>
          <w:noProof/>
          <w:lang w:val="en-US"/>
        </w:rPr>
        <w:t xml:space="preserve"> et al.</w:t>
      </w:r>
      <w:r w:rsidR="001E407A" w:rsidRPr="003A468C">
        <w:rPr>
          <w:noProof/>
          <w:lang w:val="en-US"/>
        </w:rPr>
        <w:t xml:space="preserve"> Highly conserved protective epitopes on influenza B viruses. </w:t>
      </w:r>
      <w:r w:rsidR="001E407A" w:rsidRPr="003A468C">
        <w:rPr>
          <w:i/>
          <w:noProof/>
          <w:lang w:val="en-US"/>
        </w:rPr>
        <w:t>Science</w:t>
      </w:r>
      <w:r w:rsidR="001E407A" w:rsidRPr="003A468C">
        <w:rPr>
          <w:noProof/>
          <w:lang w:val="en-US"/>
        </w:rPr>
        <w:t xml:space="preserve"> </w:t>
      </w:r>
      <w:r w:rsidR="001E407A" w:rsidRPr="003A468C">
        <w:rPr>
          <w:b/>
          <w:noProof/>
          <w:lang w:val="en-US"/>
        </w:rPr>
        <w:t>337</w:t>
      </w:r>
      <w:r w:rsidR="001E407A" w:rsidRPr="003A468C">
        <w:rPr>
          <w:noProof/>
          <w:lang w:val="en-US"/>
        </w:rPr>
        <w:t>, 1343-1348, doi:10.1126/science.1222908 (2012)</w:t>
      </w:r>
    </w:p>
    <w:p w14:paraId="029F1C77" w14:textId="5D368A39" w:rsidR="003C2B07" w:rsidRDefault="003C2B07" w:rsidP="00302CD5">
      <w:pPr>
        <w:pStyle w:val="EndNoteBibliography"/>
        <w:spacing w:line="480" w:lineRule="auto"/>
        <w:ind w:left="720" w:hanging="720"/>
        <w:rPr>
          <w:noProof/>
          <w:lang w:val="en-US"/>
        </w:rPr>
      </w:pPr>
      <w:r>
        <w:rPr>
          <w:noProof/>
          <w:lang w:val="en-US"/>
        </w:rPr>
        <w:t>67.</w:t>
      </w:r>
      <w:r w:rsidR="00296ACC">
        <w:rPr>
          <w:noProof/>
          <w:lang w:val="en-US"/>
        </w:rPr>
        <w:tab/>
      </w:r>
      <w:r w:rsidR="00296ACC" w:rsidRPr="003A468C">
        <w:rPr>
          <w:noProof/>
          <w:lang w:val="en-US"/>
        </w:rPr>
        <w:t xml:space="preserve">Saphire, E. O., Schendel, S. L., Gunn, B. M., Milligan, J. C. &amp; Alter, G. Antibody-mediated protection against Ebola virus. </w:t>
      </w:r>
      <w:r w:rsidR="00296ACC" w:rsidRPr="003A468C">
        <w:rPr>
          <w:i/>
          <w:noProof/>
          <w:lang w:val="en-US"/>
        </w:rPr>
        <w:t>Nat Immunol</w:t>
      </w:r>
      <w:r w:rsidR="00296ACC" w:rsidRPr="003A468C">
        <w:rPr>
          <w:noProof/>
          <w:lang w:val="en-US"/>
        </w:rPr>
        <w:t xml:space="preserve"> </w:t>
      </w:r>
      <w:r w:rsidR="00296ACC" w:rsidRPr="003A468C">
        <w:rPr>
          <w:b/>
          <w:noProof/>
          <w:lang w:val="en-US"/>
        </w:rPr>
        <w:t>19</w:t>
      </w:r>
      <w:r w:rsidR="00296ACC" w:rsidRPr="003A468C">
        <w:rPr>
          <w:noProof/>
          <w:lang w:val="en-US"/>
        </w:rPr>
        <w:t>, 1169-1178, doi:10.1038/s41590-018-0233-9 (2018).</w:t>
      </w:r>
    </w:p>
    <w:p w14:paraId="05317572" w14:textId="03AADA7C" w:rsidR="003C2B07" w:rsidRDefault="003C2B07" w:rsidP="00302CD5">
      <w:pPr>
        <w:pStyle w:val="EndNoteBibliography"/>
        <w:spacing w:line="480" w:lineRule="auto"/>
        <w:ind w:left="720" w:hanging="720"/>
        <w:rPr>
          <w:noProof/>
          <w:lang w:val="en-US"/>
        </w:rPr>
      </w:pPr>
      <w:r>
        <w:rPr>
          <w:noProof/>
          <w:lang w:val="en-US"/>
        </w:rPr>
        <w:t>68.</w:t>
      </w:r>
      <w:r w:rsidR="00296ACC">
        <w:rPr>
          <w:noProof/>
          <w:lang w:val="en-US"/>
        </w:rPr>
        <w:tab/>
      </w:r>
      <w:r w:rsidR="00296ACC" w:rsidRPr="003A468C">
        <w:rPr>
          <w:noProof/>
          <w:lang w:val="en-US"/>
        </w:rPr>
        <w:t>Abboud, N.</w:t>
      </w:r>
      <w:r w:rsidR="00296ACC" w:rsidRPr="003A468C">
        <w:rPr>
          <w:i/>
          <w:noProof/>
          <w:lang w:val="en-US"/>
        </w:rPr>
        <w:t xml:space="preserve"> et al.</w:t>
      </w:r>
      <w:r w:rsidR="00296ACC" w:rsidRPr="003A468C">
        <w:rPr>
          <w:noProof/>
          <w:lang w:val="en-US"/>
        </w:rPr>
        <w:t xml:space="preserve"> A requirement for FcgammaR in antibody-mediated bacterial toxin neutralization. </w:t>
      </w:r>
      <w:r w:rsidR="00296ACC" w:rsidRPr="003A468C">
        <w:rPr>
          <w:i/>
          <w:noProof/>
          <w:lang w:val="en-US"/>
        </w:rPr>
        <w:t>J Exp Med</w:t>
      </w:r>
      <w:r w:rsidR="00296ACC" w:rsidRPr="003A468C">
        <w:rPr>
          <w:noProof/>
          <w:lang w:val="en-US"/>
        </w:rPr>
        <w:t xml:space="preserve"> </w:t>
      </w:r>
      <w:r w:rsidR="00296ACC" w:rsidRPr="003A468C">
        <w:rPr>
          <w:b/>
          <w:noProof/>
          <w:lang w:val="en-US"/>
        </w:rPr>
        <w:t>207</w:t>
      </w:r>
      <w:r w:rsidR="00296ACC" w:rsidRPr="003A468C">
        <w:rPr>
          <w:noProof/>
          <w:lang w:val="en-US"/>
        </w:rPr>
        <w:t>, 2395-2405, doi:10.1084/jem.20100995 (2010)</w:t>
      </w:r>
    </w:p>
    <w:p w14:paraId="07A514CE" w14:textId="47A1C29D" w:rsidR="003C2B07" w:rsidRDefault="003C2B07" w:rsidP="00302CD5">
      <w:pPr>
        <w:pStyle w:val="EndNoteBibliography"/>
        <w:spacing w:line="480" w:lineRule="auto"/>
        <w:ind w:left="720" w:hanging="720"/>
        <w:rPr>
          <w:noProof/>
          <w:lang w:val="en-US"/>
        </w:rPr>
      </w:pPr>
      <w:r>
        <w:rPr>
          <w:noProof/>
          <w:lang w:val="en-US"/>
        </w:rPr>
        <w:t>69.</w:t>
      </w:r>
      <w:r w:rsidR="005572DD">
        <w:rPr>
          <w:noProof/>
          <w:lang w:val="en-US"/>
        </w:rPr>
        <w:tab/>
      </w:r>
      <w:r w:rsidR="005572DD" w:rsidRPr="003A468C">
        <w:rPr>
          <w:noProof/>
          <w:lang w:val="en-US"/>
        </w:rPr>
        <w:t>Wolfel, R.</w:t>
      </w:r>
      <w:r w:rsidR="005572DD" w:rsidRPr="003A468C">
        <w:rPr>
          <w:i/>
          <w:noProof/>
          <w:lang w:val="en-US"/>
        </w:rPr>
        <w:t xml:space="preserve"> et al.</w:t>
      </w:r>
      <w:r w:rsidR="005572DD" w:rsidRPr="003A468C">
        <w:rPr>
          <w:noProof/>
          <w:lang w:val="en-US"/>
        </w:rPr>
        <w:t xml:space="preserve"> Virological assessment of hospitalized patients with COVID-2019. </w:t>
      </w:r>
      <w:r w:rsidR="005572DD" w:rsidRPr="003A468C">
        <w:rPr>
          <w:i/>
          <w:noProof/>
          <w:lang w:val="en-US"/>
        </w:rPr>
        <w:t>Nature</w:t>
      </w:r>
      <w:r w:rsidR="005572DD" w:rsidRPr="003A468C">
        <w:rPr>
          <w:noProof/>
          <w:lang w:val="en-US"/>
        </w:rPr>
        <w:t xml:space="preserve"> </w:t>
      </w:r>
      <w:r w:rsidR="005572DD" w:rsidRPr="003A468C">
        <w:rPr>
          <w:b/>
          <w:noProof/>
          <w:lang w:val="en-US"/>
        </w:rPr>
        <w:t>581</w:t>
      </w:r>
      <w:r w:rsidR="005572DD" w:rsidRPr="003A468C">
        <w:rPr>
          <w:noProof/>
          <w:lang w:val="en-US"/>
        </w:rPr>
        <w:t>, 465-469, doi:10.1038/s41586-020-2196-x (2020).</w:t>
      </w:r>
    </w:p>
    <w:p w14:paraId="7A44B2E7" w14:textId="38903923" w:rsidR="005572DD" w:rsidRPr="005572DD" w:rsidRDefault="005572DD" w:rsidP="00302CD5">
      <w:pPr>
        <w:pStyle w:val="EndNoteBibliography"/>
        <w:spacing w:line="480" w:lineRule="auto"/>
        <w:ind w:left="720" w:hanging="720"/>
        <w:rPr>
          <w:noProof/>
          <w:lang w:val="en-US"/>
        </w:rPr>
      </w:pPr>
      <w:r w:rsidRPr="005572DD">
        <w:rPr>
          <w:noProof/>
          <w:lang w:val="en-US"/>
        </w:rPr>
        <w:t>70.</w:t>
      </w:r>
      <w:r w:rsidRPr="005572DD">
        <w:rPr>
          <w:noProof/>
          <w:lang w:val="en-US"/>
        </w:rPr>
        <w:tab/>
      </w:r>
      <w:r w:rsidRPr="005572DD">
        <w:rPr>
          <w:rFonts w:asciiTheme="minorHAnsi" w:hAnsiTheme="minorHAnsi" w:cstheme="minorHAnsi"/>
          <w:noProof/>
        </w:rPr>
        <w:t>Zohar, T.</w:t>
      </w:r>
      <w:r w:rsidRPr="005572DD">
        <w:rPr>
          <w:rFonts w:asciiTheme="minorHAnsi" w:hAnsiTheme="minorHAnsi" w:cstheme="minorHAnsi"/>
          <w:i/>
          <w:noProof/>
        </w:rPr>
        <w:t xml:space="preserve"> et al.</w:t>
      </w:r>
      <w:r w:rsidRPr="005572DD">
        <w:rPr>
          <w:rFonts w:asciiTheme="minorHAnsi" w:hAnsiTheme="minorHAnsi" w:cstheme="minorHAnsi"/>
          <w:noProof/>
        </w:rPr>
        <w:t xml:space="preserve"> Compromised Humoral Functional Evolution Tracks with SARS-CoV-2 Mortality. </w:t>
      </w:r>
      <w:r w:rsidRPr="005572DD">
        <w:rPr>
          <w:rFonts w:asciiTheme="minorHAnsi" w:hAnsiTheme="minorHAnsi" w:cstheme="minorHAnsi"/>
          <w:i/>
          <w:noProof/>
        </w:rPr>
        <w:t>Cell</w:t>
      </w:r>
      <w:r w:rsidRPr="005572DD">
        <w:rPr>
          <w:rFonts w:asciiTheme="minorHAnsi" w:hAnsiTheme="minorHAnsi" w:cstheme="minorHAnsi"/>
          <w:noProof/>
        </w:rPr>
        <w:t xml:space="preserve"> </w:t>
      </w:r>
      <w:r w:rsidRPr="005572DD">
        <w:rPr>
          <w:rFonts w:asciiTheme="minorHAnsi" w:hAnsiTheme="minorHAnsi" w:cstheme="minorHAnsi"/>
          <w:b/>
          <w:noProof/>
        </w:rPr>
        <w:t>183</w:t>
      </w:r>
      <w:r w:rsidRPr="005572DD">
        <w:rPr>
          <w:rFonts w:asciiTheme="minorHAnsi" w:hAnsiTheme="minorHAnsi" w:cstheme="minorHAnsi"/>
          <w:noProof/>
        </w:rPr>
        <w:t>, 1508-1519 e1512, doi:10.1016/j.cell.2020.10.052 (2020).</w:t>
      </w:r>
    </w:p>
    <w:p w14:paraId="45B1704D" w14:textId="6C01202D" w:rsidR="00376D60" w:rsidRPr="003A468C" w:rsidRDefault="005572DD" w:rsidP="005572DD">
      <w:pPr>
        <w:pStyle w:val="EndNoteBibliography"/>
        <w:spacing w:line="480" w:lineRule="auto"/>
        <w:ind w:left="720" w:hanging="720"/>
        <w:rPr>
          <w:noProof/>
          <w:lang w:val="en-US"/>
        </w:rPr>
      </w:pPr>
      <w:r w:rsidRPr="005572DD">
        <w:rPr>
          <w:noProof/>
          <w:lang w:val="en-US"/>
        </w:rPr>
        <w:t>71.</w:t>
      </w:r>
      <w:r w:rsidRPr="005572DD">
        <w:rPr>
          <w:noProof/>
          <w:lang w:val="en-US"/>
        </w:rPr>
        <w:tab/>
        <w:t>McMahan, K.</w:t>
      </w:r>
      <w:r w:rsidRPr="005572DD">
        <w:rPr>
          <w:i/>
          <w:noProof/>
          <w:lang w:val="en-US"/>
        </w:rPr>
        <w:t xml:space="preserve"> et al.</w:t>
      </w:r>
      <w:r w:rsidRPr="005572DD">
        <w:rPr>
          <w:noProof/>
          <w:lang w:val="en-US"/>
        </w:rPr>
        <w:t xml:space="preserve"> Correlates of protection against SARS-CoV-2 in rhesus macaques. </w:t>
      </w:r>
      <w:r w:rsidRPr="005572DD">
        <w:rPr>
          <w:i/>
          <w:noProof/>
          <w:lang w:val="en-US"/>
        </w:rPr>
        <w:t>Nature</w:t>
      </w:r>
      <w:r w:rsidRPr="005572DD">
        <w:rPr>
          <w:noProof/>
          <w:lang w:val="en-US"/>
        </w:rPr>
        <w:t xml:space="preserve"> </w:t>
      </w:r>
      <w:r w:rsidRPr="005572DD">
        <w:rPr>
          <w:b/>
          <w:noProof/>
          <w:lang w:val="en-US"/>
        </w:rPr>
        <w:t>590</w:t>
      </w:r>
      <w:r w:rsidRPr="005572DD">
        <w:rPr>
          <w:noProof/>
          <w:lang w:val="en-US"/>
        </w:rPr>
        <w:t>, 630-634, doi:10.1038/s41586-020-03041-6 (2021).</w:t>
      </w:r>
      <w:r w:rsidR="00376D60" w:rsidRPr="003A468C">
        <w:rPr>
          <w:lang w:val="en-US"/>
        </w:rPr>
        <w:fldChar w:fldCharType="begin"/>
      </w:r>
      <w:r w:rsidR="00376D60" w:rsidRPr="003A468C">
        <w:rPr>
          <w:lang w:val="en-US"/>
        </w:rPr>
        <w:instrText xml:space="preserve"> ADDIN EN.REFLIST </w:instrText>
      </w:r>
      <w:r w:rsidR="00376D60" w:rsidRPr="003A468C">
        <w:rPr>
          <w:lang w:val="en-US"/>
        </w:rPr>
        <w:fldChar w:fldCharType="separate"/>
      </w:r>
    </w:p>
    <w:p w14:paraId="432E0CB2" w14:textId="67337A96" w:rsidR="00376D60" w:rsidRPr="003A468C" w:rsidRDefault="00A751A4" w:rsidP="00376D60">
      <w:pPr>
        <w:pStyle w:val="EndNoteBibliography"/>
        <w:spacing w:line="480" w:lineRule="auto"/>
        <w:ind w:left="720" w:hanging="720"/>
        <w:rPr>
          <w:noProof/>
          <w:lang w:val="en-US"/>
        </w:rPr>
      </w:pPr>
      <w:r>
        <w:rPr>
          <w:noProof/>
          <w:lang w:val="en-US"/>
        </w:rPr>
        <w:t>72</w:t>
      </w:r>
      <w:r w:rsidR="00376D60" w:rsidRPr="003A468C">
        <w:rPr>
          <w:noProof/>
          <w:lang w:val="en-US"/>
        </w:rPr>
        <w:t>.</w:t>
      </w:r>
      <w:r w:rsidR="00376D60" w:rsidRPr="003A468C">
        <w:rPr>
          <w:noProof/>
          <w:lang w:val="en-US"/>
        </w:rPr>
        <w:tab/>
        <w:t>Begin, P.</w:t>
      </w:r>
      <w:r w:rsidR="00376D60" w:rsidRPr="003A468C">
        <w:rPr>
          <w:i/>
          <w:noProof/>
          <w:lang w:val="en-US"/>
        </w:rPr>
        <w:t xml:space="preserve"> et al.</w:t>
      </w:r>
      <w:r w:rsidR="00376D60" w:rsidRPr="003A468C">
        <w:rPr>
          <w:noProof/>
          <w:lang w:val="en-US"/>
        </w:rPr>
        <w:t xml:space="preserve"> Convalescent plasma for hospitalized patients with COVID-19: an open-label, randomized controlled trial. </w:t>
      </w:r>
      <w:r w:rsidR="00376D60" w:rsidRPr="003A468C">
        <w:rPr>
          <w:i/>
          <w:noProof/>
          <w:lang w:val="en-US"/>
        </w:rPr>
        <w:t>Nat Med</w:t>
      </w:r>
      <w:r w:rsidR="00376D60" w:rsidRPr="003A468C">
        <w:rPr>
          <w:noProof/>
          <w:lang w:val="en-US"/>
        </w:rPr>
        <w:t xml:space="preserve"> </w:t>
      </w:r>
      <w:r w:rsidR="00376D60" w:rsidRPr="003A468C">
        <w:rPr>
          <w:b/>
          <w:noProof/>
          <w:lang w:val="en-US"/>
        </w:rPr>
        <w:t>27</w:t>
      </w:r>
      <w:r w:rsidR="00376D60" w:rsidRPr="003A468C">
        <w:rPr>
          <w:noProof/>
          <w:lang w:val="en-US"/>
        </w:rPr>
        <w:t>, 2012-2024, doi:10.1038/s41591-021-01488-2 (2021).</w:t>
      </w:r>
    </w:p>
    <w:p w14:paraId="58A9D085" w14:textId="3CF2ACDA" w:rsidR="00376D60" w:rsidRPr="003A468C" w:rsidRDefault="00A751A4" w:rsidP="00376D60">
      <w:pPr>
        <w:pStyle w:val="EndNoteBibliography"/>
        <w:spacing w:line="480" w:lineRule="auto"/>
        <w:ind w:left="720" w:hanging="720"/>
        <w:rPr>
          <w:noProof/>
          <w:lang w:val="en-US"/>
        </w:rPr>
      </w:pPr>
      <w:r>
        <w:rPr>
          <w:noProof/>
          <w:lang w:val="en-US"/>
        </w:rPr>
        <w:t>73.</w:t>
      </w:r>
      <w:r w:rsidR="00376D60" w:rsidRPr="003A468C">
        <w:rPr>
          <w:noProof/>
          <w:lang w:val="en-US"/>
        </w:rPr>
        <w:tab/>
        <w:t>Natarajan, H.</w:t>
      </w:r>
      <w:r w:rsidR="00376D60" w:rsidRPr="003A468C">
        <w:rPr>
          <w:i/>
          <w:noProof/>
          <w:lang w:val="en-US"/>
        </w:rPr>
        <w:t xml:space="preserve"> et al.</w:t>
      </w:r>
      <w:r w:rsidR="00376D60" w:rsidRPr="003A468C">
        <w:rPr>
          <w:noProof/>
          <w:lang w:val="en-US"/>
        </w:rPr>
        <w:t xml:space="preserve"> SARS-CoV-2 antibody signatures robustly predict diverse antiviral functions relevant for convalescent plasma therapy. </w:t>
      </w:r>
      <w:r w:rsidR="00376D60" w:rsidRPr="003A468C">
        <w:rPr>
          <w:i/>
          <w:noProof/>
          <w:lang w:val="en-US"/>
        </w:rPr>
        <w:t>medRxiv</w:t>
      </w:r>
      <w:r w:rsidR="00376D60" w:rsidRPr="003A468C">
        <w:rPr>
          <w:noProof/>
          <w:lang w:val="en-US"/>
        </w:rPr>
        <w:t>, doi:10.1101/2020.09.16.20196154 (2020).</w:t>
      </w:r>
    </w:p>
    <w:p w14:paraId="05B15F94" w14:textId="33214541" w:rsidR="00376D60" w:rsidRPr="003A468C" w:rsidRDefault="00A751A4" w:rsidP="00376D60">
      <w:pPr>
        <w:pStyle w:val="EndNoteBibliography"/>
        <w:spacing w:line="480" w:lineRule="auto"/>
        <w:ind w:left="720" w:hanging="720"/>
        <w:rPr>
          <w:noProof/>
          <w:lang w:val="en-US"/>
        </w:rPr>
      </w:pPr>
      <w:r w:rsidRPr="005F60C1">
        <w:rPr>
          <w:noProof/>
          <w:lang w:val="fr-FR"/>
        </w:rPr>
        <w:t>74.</w:t>
      </w:r>
      <w:r w:rsidR="00376D60" w:rsidRPr="005F60C1">
        <w:rPr>
          <w:noProof/>
          <w:lang w:val="fr-FR"/>
        </w:rPr>
        <w:tab/>
        <w:t>Klassen, S. A.</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The Effect of Convalescent Plasma Therapy on COVID-19 Patient Mortality: Systematic Review and Meta-analysis. </w:t>
      </w:r>
      <w:r w:rsidR="00376D60" w:rsidRPr="003A468C">
        <w:rPr>
          <w:i/>
          <w:noProof/>
          <w:lang w:val="en-US"/>
        </w:rPr>
        <w:t>medRxiv</w:t>
      </w:r>
      <w:r w:rsidR="00376D60" w:rsidRPr="003A468C">
        <w:rPr>
          <w:noProof/>
          <w:lang w:val="en-US"/>
        </w:rPr>
        <w:t>, doi:10.1101/2020.07.29.20162917 (2021).</w:t>
      </w:r>
    </w:p>
    <w:p w14:paraId="00AC5B67" w14:textId="5AB830C2" w:rsidR="00376D60" w:rsidRPr="003A468C" w:rsidRDefault="00A751A4" w:rsidP="00376D60">
      <w:pPr>
        <w:pStyle w:val="EndNoteBibliography"/>
        <w:spacing w:line="480" w:lineRule="auto"/>
        <w:ind w:left="720" w:hanging="720"/>
        <w:rPr>
          <w:noProof/>
          <w:lang w:val="en-US"/>
        </w:rPr>
      </w:pPr>
      <w:r>
        <w:rPr>
          <w:noProof/>
          <w:lang w:val="en-US"/>
        </w:rPr>
        <w:lastRenderedPageBreak/>
        <w:t>75</w:t>
      </w:r>
      <w:r w:rsidR="00376D60" w:rsidRPr="003A468C">
        <w:rPr>
          <w:noProof/>
          <w:lang w:val="en-US"/>
        </w:rPr>
        <w:t>.</w:t>
      </w:r>
      <w:r w:rsidR="00376D60" w:rsidRPr="003A468C">
        <w:rPr>
          <w:noProof/>
          <w:lang w:val="en-US"/>
        </w:rPr>
        <w:tab/>
        <w:t>Natarajan, H.</w:t>
      </w:r>
      <w:r w:rsidR="00376D60" w:rsidRPr="003A468C">
        <w:rPr>
          <w:i/>
          <w:noProof/>
          <w:lang w:val="en-US"/>
        </w:rPr>
        <w:t xml:space="preserve"> et al.</w:t>
      </w:r>
      <w:r w:rsidR="00376D60" w:rsidRPr="003A468C">
        <w:rPr>
          <w:noProof/>
          <w:lang w:val="en-US"/>
        </w:rPr>
        <w:t xml:space="preserve"> Markers of Polyfunctional SARS-CoV-2 Antibodies in Convalescent Plasma. </w:t>
      </w:r>
      <w:r w:rsidR="00376D60" w:rsidRPr="003A468C">
        <w:rPr>
          <w:i/>
          <w:noProof/>
          <w:lang w:val="en-US"/>
        </w:rPr>
        <w:t>mBio</w:t>
      </w:r>
      <w:r w:rsidR="00376D60" w:rsidRPr="003A468C">
        <w:rPr>
          <w:noProof/>
          <w:lang w:val="en-US"/>
        </w:rPr>
        <w:t xml:space="preserve"> </w:t>
      </w:r>
      <w:r w:rsidR="00376D60" w:rsidRPr="003A468C">
        <w:rPr>
          <w:b/>
          <w:noProof/>
          <w:lang w:val="en-US"/>
        </w:rPr>
        <w:t>12</w:t>
      </w:r>
      <w:r w:rsidR="00376D60" w:rsidRPr="003A468C">
        <w:rPr>
          <w:noProof/>
          <w:lang w:val="en-US"/>
        </w:rPr>
        <w:t>, doi:10.1128/mBio.00765-21 (2021).</w:t>
      </w:r>
    </w:p>
    <w:p w14:paraId="6F3B3F74" w14:textId="3044244E" w:rsidR="00376D60" w:rsidRPr="003A468C" w:rsidRDefault="00A751A4" w:rsidP="00376D60">
      <w:pPr>
        <w:pStyle w:val="EndNoteBibliography"/>
        <w:spacing w:line="480" w:lineRule="auto"/>
        <w:ind w:left="720" w:hanging="720"/>
        <w:rPr>
          <w:noProof/>
          <w:lang w:val="en-US"/>
        </w:rPr>
      </w:pPr>
      <w:r>
        <w:rPr>
          <w:noProof/>
          <w:lang w:val="en-US"/>
        </w:rPr>
        <w:t>76</w:t>
      </w:r>
      <w:r w:rsidR="00376D60" w:rsidRPr="003A468C">
        <w:rPr>
          <w:noProof/>
          <w:lang w:val="en-US"/>
        </w:rPr>
        <w:t>.</w:t>
      </w:r>
      <w:r w:rsidR="00376D60" w:rsidRPr="003A468C">
        <w:rPr>
          <w:noProof/>
          <w:lang w:val="en-US"/>
        </w:rPr>
        <w:tab/>
        <w:t>Herman, J. D.</w:t>
      </w:r>
      <w:r w:rsidR="00376D60" w:rsidRPr="003A468C">
        <w:rPr>
          <w:i/>
          <w:noProof/>
          <w:lang w:val="en-US"/>
        </w:rPr>
        <w:t xml:space="preserve"> et al.</w:t>
      </w:r>
      <w:r w:rsidR="00376D60" w:rsidRPr="003A468C">
        <w:rPr>
          <w:noProof/>
          <w:lang w:val="en-US"/>
        </w:rPr>
        <w:t xml:space="preserve"> Functional Antibodies in COVID-19 Convalescent Plasma. </w:t>
      </w:r>
      <w:r w:rsidR="00376D60" w:rsidRPr="003A468C">
        <w:rPr>
          <w:i/>
          <w:noProof/>
          <w:lang w:val="en-US"/>
        </w:rPr>
        <w:t>medRxiv</w:t>
      </w:r>
      <w:r w:rsidR="00376D60" w:rsidRPr="003A468C">
        <w:rPr>
          <w:noProof/>
          <w:lang w:val="en-US"/>
        </w:rPr>
        <w:t>, doi:10.1101/2021.03.08.21253157 (2021).</w:t>
      </w:r>
    </w:p>
    <w:p w14:paraId="4EFE3875" w14:textId="761F77CF" w:rsidR="00376D60" w:rsidRPr="003A468C" w:rsidRDefault="00A751A4" w:rsidP="00376D60">
      <w:pPr>
        <w:pStyle w:val="EndNoteBibliography"/>
        <w:spacing w:line="480" w:lineRule="auto"/>
        <w:ind w:left="720" w:hanging="720"/>
        <w:rPr>
          <w:noProof/>
          <w:lang w:val="en-US"/>
        </w:rPr>
      </w:pPr>
      <w:r>
        <w:rPr>
          <w:noProof/>
          <w:lang w:val="en-US"/>
        </w:rPr>
        <w:t>77</w:t>
      </w:r>
      <w:r w:rsidR="00376D60" w:rsidRPr="003A468C">
        <w:rPr>
          <w:noProof/>
          <w:lang w:val="en-US"/>
        </w:rPr>
        <w:t>.</w:t>
      </w:r>
      <w:r w:rsidR="00376D60" w:rsidRPr="003A468C">
        <w:rPr>
          <w:noProof/>
          <w:lang w:val="en-US"/>
        </w:rPr>
        <w:tab/>
        <w:t>Barouch, D. H.</w:t>
      </w:r>
      <w:r w:rsidR="00376D60" w:rsidRPr="003A468C">
        <w:rPr>
          <w:i/>
          <w:noProof/>
          <w:lang w:val="en-US"/>
        </w:rPr>
        <w:t xml:space="preserve"> et al.</w:t>
      </w:r>
      <w:r w:rsidR="00376D60" w:rsidRPr="003A468C">
        <w:rPr>
          <w:noProof/>
          <w:lang w:val="en-US"/>
        </w:rPr>
        <w:t xml:space="preserve"> Evaluation of a mosaic HIV-1 vaccine in a multicentre, randomised, double-blind, placebo-controlled, phase 1/2a clinical trial (APPROACH) and in rhesus monkeys (NHP 13-19). </w:t>
      </w:r>
      <w:r w:rsidR="00376D60" w:rsidRPr="003A468C">
        <w:rPr>
          <w:i/>
          <w:noProof/>
          <w:lang w:val="en-US"/>
        </w:rPr>
        <w:t>Lancet</w:t>
      </w:r>
      <w:r w:rsidR="00376D60" w:rsidRPr="003A468C">
        <w:rPr>
          <w:noProof/>
          <w:lang w:val="en-US"/>
        </w:rPr>
        <w:t xml:space="preserve"> </w:t>
      </w:r>
      <w:r w:rsidR="00376D60" w:rsidRPr="003A468C">
        <w:rPr>
          <w:b/>
          <w:noProof/>
          <w:lang w:val="en-US"/>
        </w:rPr>
        <w:t>392</w:t>
      </w:r>
      <w:r w:rsidR="00376D60" w:rsidRPr="003A468C">
        <w:rPr>
          <w:noProof/>
          <w:lang w:val="en-US"/>
        </w:rPr>
        <w:t>, 232-243, doi:10.1016/S0140-6736(18)31364-3 (2018).</w:t>
      </w:r>
    </w:p>
    <w:p w14:paraId="09C8B481" w14:textId="30BAD86A" w:rsidR="00376D60" w:rsidRPr="003A468C" w:rsidRDefault="00A751A4" w:rsidP="00376D60">
      <w:pPr>
        <w:pStyle w:val="EndNoteBibliography"/>
        <w:spacing w:line="480" w:lineRule="auto"/>
        <w:ind w:left="720" w:hanging="720"/>
        <w:rPr>
          <w:noProof/>
          <w:lang w:val="en-US"/>
        </w:rPr>
      </w:pPr>
      <w:r>
        <w:rPr>
          <w:noProof/>
          <w:lang w:val="en-US"/>
        </w:rPr>
        <w:t>78</w:t>
      </w:r>
      <w:r w:rsidR="00376D60" w:rsidRPr="003A468C">
        <w:rPr>
          <w:noProof/>
          <w:lang w:val="en-US"/>
        </w:rPr>
        <w:t>.</w:t>
      </w:r>
      <w:r w:rsidR="00376D60" w:rsidRPr="003A468C">
        <w:rPr>
          <w:noProof/>
          <w:lang w:val="en-US"/>
        </w:rPr>
        <w:tab/>
        <w:t>Alter, G.</w:t>
      </w:r>
      <w:r w:rsidR="00376D60" w:rsidRPr="003A468C">
        <w:rPr>
          <w:i/>
          <w:noProof/>
          <w:lang w:val="en-US"/>
        </w:rPr>
        <w:t xml:space="preserve"> et al.</w:t>
      </w:r>
      <w:r w:rsidR="00376D60" w:rsidRPr="003A468C">
        <w:rPr>
          <w:noProof/>
          <w:lang w:val="en-US"/>
        </w:rPr>
        <w:t xml:space="preserve"> Passive Transfer of Vaccine-Elicited Antibodies Protects against SIV in Rhesus Macaques. </w:t>
      </w:r>
      <w:r w:rsidR="00376D60" w:rsidRPr="003A468C">
        <w:rPr>
          <w:i/>
          <w:noProof/>
          <w:lang w:val="en-US"/>
        </w:rPr>
        <w:t>Cell</w:t>
      </w:r>
      <w:r w:rsidR="00376D60" w:rsidRPr="003A468C">
        <w:rPr>
          <w:noProof/>
          <w:lang w:val="en-US"/>
        </w:rPr>
        <w:t xml:space="preserve"> </w:t>
      </w:r>
      <w:r w:rsidR="00376D60" w:rsidRPr="003A468C">
        <w:rPr>
          <w:b/>
          <w:noProof/>
          <w:lang w:val="en-US"/>
        </w:rPr>
        <w:t>183</w:t>
      </w:r>
      <w:r w:rsidR="00376D60" w:rsidRPr="003A468C">
        <w:rPr>
          <w:noProof/>
          <w:lang w:val="en-US"/>
        </w:rPr>
        <w:t>, 185-196 e114, doi:10.1016/j.cell.2020.08.033 (2020).</w:t>
      </w:r>
    </w:p>
    <w:p w14:paraId="73C15DBA" w14:textId="0C088F05" w:rsidR="00376D60" w:rsidRPr="003A468C" w:rsidRDefault="00A751A4" w:rsidP="00376D60">
      <w:pPr>
        <w:pStyle w:val="EndNoteBibliography"/>
        <w:spacing w:line="480" w:lineRule="auto"/>
        <w:ind w:left="720" w:hanging="720"/>
        <w:rPr>
          <w:noProof/>
          <w:lang w:val="en-US"/>
        </w:rPr>
      </w:pPr>
      <w:r>
        <w:rPr>
          <w:noProof/>
          <w:lang w:val="en-US"/>
        </w:rPr>
        <w:t>79</w:t>
      </w:r>
      <w:r w:rsidR="00376D60" w:rsidRPr="003A468C">
        <w:rPr>
          <w:noProof/>
          <w:lang w:val="en-US"/>
        </w:rPr>
        <w:t>.</w:t>
      </w:r>
      <w:r w:rsidR="00376D60" w:rsidRPr="003A468C">
        <w:rPr>
          <w:noProof/>
          <w:lang w:val="en-US"/>
        </w:rPr>
        <w:tab/>
        <w:t>Stephenson, K. E.</w:t>
      </w:r>
      <w:r w:rsidR="00376D60" w:rsidRPr="003A468C">
        <w:rPr>
          <w:i/>
          <w:noProof/>
          <w:lang w:val="en-US"/>
        </w:rPr>
        <w:t xml:space="preserve"> et al.</w:t>
      </w:r>
      <w:r w:rsidR="00376D60" w:rsidRPr="003A468C">
        <w:rPr>
          <w:noProof/>
          <w:lang w:val="en-US"/>
        </w:rPr>
        <w:t xml:space="preserve"> Immunogenicity of the Ad26.COV2.S Vaccine for COVID-19. </w:t>
      </w:r>
      <w:r w:rsidR="00376D60" w:rsidRPr="003A468C">
        <w:rPr>
          <w:i/>
          <w:noProof/>
          <w:lang w:val="en-US"/>
        </w:rPr>
        <w:t>JAMA</w:t>
      </w:r>
      <w:r w:rsidR="00376D60" w:rsidRPr="003A468C">
        <w:rPr>
          <w:noProof/>
          <w:lang w:val="en-US"/>
        </w:rPr>
        <w:t xml:space="preserve"> </w:t>
      </w:r>
      <w:r w:rsidR="00376D60" w:rsidRPr="003A468C">
        <w:rPr>
          <w:b/>
          <w:noProof/>
          <w:lang w:val="en-US"/>
        </w:rPr>
        <w:t>325</w:t>
      </w:r>
      <w:r w:rsidR="00376D60" w:rsidRPr="003A468C">
        <w:rPr>
          <w:noProof/>
          <w:lang w:val="en-US"/>
        </w:rPr>
        <w:t>, 1535-1544, doi:10.1001/jama.2021.3645 (2021).</w:t>
      </w:r>
    </w:p>
    <w:p w14:paraId="5C35907F" w14:textId="7863D98D" w:rsidR="00376D60" w:rsidRPr="003A468C" w:rsidRDefault="00A751A4" w:rsidP="00376D60">
      <w:pPr>
        <w:pStyle w:val="EndNoteBibliography"/>
        <w:spacing w:line="480" w:lineRule="auto"/>
        <w:ind w:left="720" w:hanging="720"/>
        <w:rPr>
          <w:noProof/>
          <w:lang w:val="en-US"/>
        </w:rPr>
      </w:pPr>
      <w:r>
        <w:rPr>
          <w:noProof/>
          <w:lang w:val="en-US"/>
        </w:rPr>
        <w:t>80</w:t>
      </w:r>
      <w:r w:rsidR="00376D60" w:rsidRPr="003A468C">
        <w:rPr>
          <w:noProof/>
          <w:lang w:val="en-US"/>
        </w:rPr>
        <w:t>.</w:t>
      </w:r>
      <w:r w:rsidR="00376D60" w:rsidRPr="003A468C">
        <w:rPr>
          <w:noProof/>
          <w:lang w:val="en-US"/>
        </w:rPr>
        <w:tab/>
        <w:t>Mercado, N. B.</w:t>
      </w:r>
      <w:r w:rsidR="00376D60" w:rsidRPr="003A468C">
        <w:rPr>
          <w:i/>
          <w:noProof/>
          <w:lang w:val="en-US"/>
        </w:rPr>
        <w:t xml:space="preserve"> et al.</w:t>
      </w:r>
      <w:r w:rsidR="00376D60" w:rsidRPr="003A468C">
        <w:rPr>
          <w:noProof/>
          <w:lang w:val="en-US"/>
        </w:rPr>
        <w:t xml:space="preserve"> Single-shot Ad26 vaccine protects against SARS-CoV-2 in rhesus macaques. </w:t>
      </w:r>
      <w:r w:rsidR="00376D60" w:rsidRPr="003A468C">
        <w:rPr>
          <w:i/>
          <w:noProof/>
          <w:lang w:val="en-US"/>
        </w:rPr>
        <w:t>Nature</w:t>
      </w:r>
      <w:r w:rsidR="00376D60" w:rsidRPr="003A468C">
        <w:rPr>
          <w:noProof/>
          <w:lang w:val="en-US"/>
        </w:rPr>
        <w:t xml:space="preserve"> </w:t>
      </w:r>
      <w:r w:rsidR="00376D60" w:rsidRPr="003A468C">
        <w:rPr>
          <w:b/>
          <w:noProof/>
          <w:lang w:val="en-US"/>
        </w:rPr>
        <w:t>586</w:t>
      </w:r>
      <w:r w:rsidR="00376D60" w:rsidRPr="003A468C">
        <w:rPr>
          <w:noProof/>
          <w:lang w:val="en-US"/>
        </w:rPr>
        <w:t>, 583-588, doi:10.1038/s41586-020-2607-z (2020).</w:t>
      </w:r>
    </w:p>
    <w:p w14:paraId="0DF52F95" w14:textId="3F02B300" w:rsidR="00376D60" w:rsidRPr="003A468C" w:rsidRDefault="00DF4FB9" w:rsidP="00376D60">
      <w:pPr>
        <w:pStyle w:val="EndNoteBibliography"/>
        <w:spacing w:line="480" w:lineRule="auto"/>
        <w:ind w:left="720" w:hanging="720"/>
        <w:rPr>
          <w:noProof/>
          <w:lang w:val="en-US"/>
        </w:rPr>
      </w:pPr>
      <w:r>
        <w:rPr>
          <w:noProof/>
          <w:lang w:val="en-US"/>
        </w:rPr>
        <w:t>81</w:t>
      </w:r>
      <w:r w:rsidR="00376D60" w:rsidRPr="003A468C">
        <w:rPr>
          <w:noProof/>
          <w:lang w:val="en-US"/>
        </w:rPr>
        <w:t>.</w:t>
      </w:r>
      <w:r w:rsidR="00376D60" w:rsidRPr="003A468C">
        <w:rPr>
          <w:noProof/>
          <w:lang w:val="en-US"/>
        </w:rPr>
        <w:tab/>
        <w:t>Tostanoski, L. H.</w:t>
      </w:r>
      <w:r w:rsidR="00376D60" w:rsidRPr="003A468C">
        <w:rPr>
          <w:i/>
          <w:noProof/>
          <w:lang w:val="en-US"/>
        </w:rPr>
        <w:t xml:space="preserve"> et al.</w:t>
      </w:r>
      <w:r w:rsidR="00376D60" w:rsidRPr="003A468C">
        <w:rPr>
          <w:noProof/>
          <w:lang w:val="en-US"/>
        </w:rPr>
        <w:t xml:space="preserve"> Ad26 vaccine protects against SARS-CoV-2 severe clinical disease in hamsters. </w:t>
      </w:r>
      <w:r w:rsidR="00376D60" w:rsidRPr="003A468C">
        <w:rPr>
          <w:i/>
          <w:noProof/>
          <w:lang w:val="en-US"/>
        </w:rPr>
        <w:t>Nat Med</w:t>
      </w:r>
      <w:r w:rsidR="00376D60" w:rsidRPr="003A468C">
        <w:rPr>
          <w:noProof/>
          <w:lang w:val="en-US"/>
        </w:rPr>
        <w:t xml:space="preserve"> </w:t>
      </w:r>
      <w:r w:rsidR="00376D60" w:rsidRPr="003A468C">
        <w:rPr>
          <w:b/>
          <w:noProof/>
          <w:lang w:val="en-US"/>
        </w:rPr>
        <w:t>26</w:t>
      </w:r>
      <w:r w:rsidR="00376D60" w:rsidRPr="003A468C">
        <w:rPr>
          <w:noProof/>
          <w:lang w:val="en-US"/>
        </w:rPr>
        <w:t>, 1694-1700, doi:10.1038/s41591-020-1070-6 (2020).</w:t>
      </w:r>
    </w:p>
    <w:p w14:paraId="122F19A2" w14:textId="6599DCCA" w:rsidR="00376D60" w:rsidRPr="003A468C" w:rsidRDefault="00DF4FB9" w:rsidP="00376D60">
      <w:pPr>
        <w:pStyle w:val="EndNoteBibliography"/>
        <w:spacing w:line="480" w:lineRule="auto"/>
        <w:ind w:left="720" w:hanging="720"/>
        <w:rPr>
          <w:noProof/>
          <w:lang w:val="en-US"/>
        </w:rPr>
      </w:pPr>
      <w:r>
        <w:rPr>
          <w:noProof/>
          <w:lang w:val="en-US"/>
        </w:rPr>
        <w:t>82.</w:t>
      </w:r>
      <w:r w:rsidR="00376D60" w:rsidRPr="003A468C">
        <w:rPr>
          <w:noProof/>
          <w:lang w:val="en-US"/>
        </w:rPr>
        <w:tab/>
        <w:t>Gorman, M. J.</w:t>
      </w:r>
      <w:r w:rsidR="00376D60" w:rsidRPr="003A468C">
        <w:rPr>
          <w:i/>
          <w:noProof/>
          <w:lang w:val="en-US"/>
        </w:rPr>
        <w:t xml:space="preserve"> et al.</w:t>
      </w:r>
      <w:r w:rsidR="00376D60" w:rsidRPr="003A468C">
        <w:rPr>
          <w:noProof/>
          <w:lang w:val="en-US"/>
        </w:rPr>
        <w:t xml:space="preserve"> Collaboration between the Fab and Fc contribute to maximal protection against SARS-CoV-2 in nonhuman primates following NVX-CoV2373 subunit vaccine with Matrix-M vaccination. </w:t>
      </w:r>
      <w:r w:rsidR="00376D60" w:rsidRPr="003A468C">
        <w:rPr>
          <w:i/>
          <w:noProof/>
          <w:lang w:val="en-US"/>
        </w:rPr>
        <w:t>bioRxiv</w:t>
      </w:r>
      <w:r w:rsidR="00376D60" w:rsidRPr="003A468C">
        <w:rPr>
          <w:noProof/>
          <w:lang w:val="en-US"/>
        </w:rPr>
        <w:t>, doi:10.1101/2021.02.05.429759 (2021).</w:t>
      </w:r>
    </w:p>
    <w:p w14:paraId="33F71FAA" w14:textId="2EE205F0" w:rsidR="00376D60" w:rsidRPr="005F60C1" w:rsidRDefault="00DF4FB9" w:rsidP="00376D60">
      <w:pPr>
        <w:pStyle w:val="EndNoteBibliography"/>
        <w:spacing w:line="480" w:lineRule="auto"/>
        <w:ind w:left="720" w:hanging="720"/>
        <w:rPr>
          <w:noProof/>
          <w:lang w:val="fr-FR"/>
        </w:rPr>
      </w:pPr>
      <w:r w:rsidRPr="005F60C1">
        <w:rPr>
          <w:noProof/>
          <w:lang w:val="fr-FR"/>
        </w:rPr>
        <w:t>83.</w:t>
      </w:r>
      <w:r w:rsidR="00376D60" w:rsidRPr="005F60C1">
        <w:rPr>
          <w:noProof/>
          <w:lang w:val="fr-FR"/>
        </w:rPr>
        <w:tab/>
        <w:t>Francica, J. R.</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Protective antibodies elicited by SARS-CoV-2 spike protein vaccination are boosted in the lung after challenge in nonhuman primates. </w:t>
      </w:r>
      <w:r w:rsidR="00376D60" w:rsidRPr="005F60C1">
        <w:rPr>
          <w:i/>
          <w:noProof/>
          <w:lang w:val="fr-FR"/>
        </w:rPr>
        <w:t>Sci Transl Med</w:t>
      </w:r>
      <w:r w:rsidR="00376D60" w:rsidRPr="005F60C1">
        <w:rPr>
          <w:noProof/>
          <w:lang w:val="fr-FR"/>
        </w:rPr>
        <w:t xml:space="preserve"> </w:t>
      </w:r>
      <w:r w:rsidR="00376D60" w:rsidRPr="005F60C1">
        <w:rPr>
          <w:b/>
          <w:noProof/>
          <w:lang w:val="fr-FR"/>
        </w:rPr>
        <w:t>13</w:t>
      </w:r>
      <w:r w:rsidR="00376D60" w:rsidRPr="005F60C1">
        <w:rPr>
          <w:noProof/>
          <w:lang w:val="fr-FR"/>
        </w:rPr>
        <w:t>, doi:10.1126/scitranslmed.abi4547 (2021).</w:t>
      </w:r>
    </w:p>
    <w:p w14:paraId="2A867EFF" w14:textId="6CE3CD83" w:rsidR="00376D60" w:rsidRPr="003A468C" w:rsidRDefault="00DF4FB9" w:rsidP="00376D60">
      <w:pPr>
        <w:pStyle w:val="EndNoteBibliography"/>
        <w:spacing w:line="480" w:lineRule="auto"/>
        <w:ind w:left="720" w:hanging="720"/>
        <w:rPr>
          <w:noProof/>
          <w:lang w:val="en-US"/>
        </w:rPr>
      </w:pPr>
      <w:r w:rsidRPr="005F60C1">
        <w:rPr>
          <w:noProof/>
          <w:lang w:val="fr-FR"/>
        </w:rPr>
        <w:lastRenderedPageBreak/>
        <w:t>84</w:t>
      </w:r>
      <w:r w:rsidR="00376D60" w:rsidRPr="005F60C1">
        <w:rPr>
          <w:noProof/>
          <w:lang w:val="fr-FR"/>
        </w:rPr>
        <w:t>.</w:t>
      </w:r>
      <w:r w:rsidR="00376D60" w:rsidRPr="005F60C1">
        <w:rPr>
          <w:noProof/>
          <w:lang w:val="fr-FR"/>
        </w:rPr>
        <w:tab/>
        <w:t>Tauzin, A.</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A single dose of the SARS-CoV-2 vaccine BNT162b2 elicits Fc-mediated antibody effector functions and T cell responses. </w:t>
      </w:r>
      <w:r w:rsidR="00376D60" w:rsidRPr="003A468C">
        <w:rPr>
          <w:i/>
          <w:noProof/>
          <w:lang w:val="en-US"/>
        </w:rPr>
        <w:t>Cell Host Microbe</w:t>
      </w:r>
      <w:r w:rsidR="00376D60" w:rsidRPr="003A468C">
        <w:rPr>
          <w:noProof/>
          <w:lang w:val="en-US"/>
        </w:rPr>
        <w:t xml:space="preserve"> </w:t>
      </w:r>
      <w:r w:rsidR="00376D60" w:rsidRPr="003A468C">
        <w:rPr>
          <w:b/>
          <w:noProof/>
          <w:lang w:val="en-US"/>
        </w:rPr>
        <w:t>29</w:t>
      </w:r>
      <w:r w:rsidR="00376D60" w:rsidRPr="003A468C">
        <w:rPr>
          <w:noProof/>
          <w:lang w:val="en-US"/>
        </w:rPr>
        <w:t>, 1137-1150 e1136, doi:10.1016/j.chom.2021.06.001 (2021).</w:t>
      </w:r>
    </w:p>
    <w:p w14:paraId="04C2C5FF" w14:textId="2EB2E0F8" w:rsidR="00376D60" w:rsidRPr="003A468C" w:rsidRDefault="00DF4FB9" w:rsidP="00376D60">
      <w:pPr>
        <w:pStyle w:val="EndNoteBibliography"/>
        <w:spacing w:line="480" w:lineRule="auto"/>
        <w:ind w:left="720" w:hanging="720"/>
        <w:rPr>
          <w:noProof/>
          <w:lang w:val="en-US"/>
        </w:rPr>
      </w:pPr>
      <w:r>
        <w:rPr>
          <w:noProof/>
          <w:lang w:val="en-US"/>
        </w:rPr>
        <w:t>85</w:t>
      </w:r>
      <w:r w:rsidR="00376D60" w:rsidRPr="003A468C">
        <w:rPr>
          <w:noProof/>
          <w:lang w:val="en-US"/>
        </w:rPr>
        <w:t>.</w:t>
      </w:r>
      <w:r w:rsidR="00376D60" w:rsidRPr="003A468C">
        <w:rPr>
          <w:noProof/>
          <w:lang w:val="en-US"/>
        </w:rPr>
        <w:tab/>
        <w:t>Kaplonek, P.</w:t>
      </w:r>
      <w:r w:rsidR="00376D60" w:rsidRPr="003A468C">
        <w:rPr>
          <w:i/>
          <w:noProof/>
          <w:lang w:val="en-US"/>
        </w:rPr>
        <w:t xml:space="preserve"> et al.</w:t>
      </w:r>
      <w:r w:rsidR="00376D60" w:rsidRPr="003A468C">
        <w:rPr>
          <w:noProof/>
          <w:lang w:val="en-US"/>
        </w:rPr>
        <w:t xml:space="preserve"> Subtle immunological differences in mRNA-1273 and BNT162b2 COVID-19 vaccine induced Fc-functional profiles. </w:t>
      </w:r>
      <w:r w:rsidR="00376D60" w:rsidRPr="003A468C">
        <w:rPr>
          <w:i/>
          <w:noProof/>
          <w:lang w:val="en-US"/>
        </w:rPr>
        <w:t>bioRxiv</w:t>
      </w:r>
      <w:r w:rsidR="00376D60" w:rsidRPr="003A468C">
        <w:rPr>
          <w:noProof/>
          <w:lang w:val="en-US"/>
        </w:rPr>
        <w:t>, doi:10.1101/2021.08.31.458247 (2021).</w:t>
      </w:r>
    </w:p>
    <w:p w14:paraId="3F327472" w14:textId="48A6C469" w:rsidR="00376D60" w:rsidRPr="003A468C" w:rsidRDefault="00DF4FB9" w:rsidP="00376D60">
      <w:pPr>
        <w:pStyle w:val="EndNoteBibliography"/>
        <w:spacing w:line="480" w:lineRule="auto"/>
        <w:ind w:left="720" w:hanging="720"/>
        <w:rPr>
          <w:noProof/>
          <w:lang w:val="en-US"/>
        </w:rPr>
      </w:pPr>
      <w:r>
        <w:rPr>
          <w:noProof/>
          <w:lang w:val="en-US"/>
        </w:rPr>
        <w:t>86</w:t>
      </w:r>
      <w:r w:rsidR="00376D60" w:rsidRPr="003A468C">
        <w:rPr>
          <w:noProof/>
          <w:lang w:val="en-US"/>
        </w:rPr>
        <w:t>.</w:t>
      </w:r>
      <w:r w:rsidR="00376D60" w:rsidRPr="003A468C">
        <w:rPr>
          <w:noProof/>
          <w:lang w:val="en-US"/>
        </w:rPr>
        <w:tab/>
        <w:t>Kaplonek, P.</w:t>
      </w:r>
      <w:r w:rsidR="00376D60" w:rsidRPr="003A468C">
        <w:rPr>
          <w:i/>
          <w:noProof/>
          <w:lang w:val="en-US"/>
        </w:rPr>
        <w:t xml:space="preserve"> et al.</w:t>
      </w:r>
      <w:r w:rsidR="00376D60" w:rsidRPr="003A468C">
        <w:rPr>
          <w:noProof/>
          <w:lang w:val="en-US"/>
        </w:rPr>
        <w:t xml:space="preserve"> mRNA-1273 vaccine-induced antibodies maintain Fc effector functions across SARS-CoV-2 variants of concern. </w:t>
      </w:r>
      <w:r w:rsidR="00376D60" w:rsidRPr="003A468C">
        <w:rPr>
          <w:i/>
          <w:noProof/>
          <w:lang w:val="en-US"/>
        </w:rPr>
        <w:t>Immunity</w:t>
      </w:r>
      <w:r w:rsidR="00376D60" w:rsidRPr="003A468C">
        <w:rPr>
          <w:noProof/>
          <w:lang w:val="en-US"/>
        </w:rPr>
        <w:t>, doi:10.1016/j.immuni.2022.01.001 (2022).</w:t>
      </w:r>
    </w:p>
    <w:p w14:paraId="0DAA04B8" w14:textId="2CDA9F5E" w:rsidR="00376D60" w:rsidRPr="003A468C" w:rsidRDefault="00DF4FB9" w:rsidP="00376D60">
      <w:pPr>
        <w:pStyle w:val="EndNoteBibliography"/>
        <w:spacing w:line="480" w:lineRule="auto"/>
        <w:ind w:left="720" w:hanging="720"/>
        <w:rPr>
          <w:noProof/>
          <w:lang w:val="en-US"/>
        </w:rPr>
      </w:pPr>
      <w:r>
        <w:rPr>
          <w:noProof/>
          <w:lang w:val="en-US"/>
        </w:rPr>
        <w:t>87</w:t>
      </w:r>
      <w:r w:rsidR="00376D60" w:rsidRPr="003A468C">
        <w:rPr>
          <w:noProof/>
          <w:lang w:val="en-US"/>
        </w:rPr>
        <w:t>.</w:t>
      </w:r>
      <w:r w:rsidR="00376D60" w:rsidRPr="003A468C">
        <w:rPr>
          <w:noProof/>
          <w:lang w:val="en-US"/>
        </w:rPr>
        <w:tab/>
        <w:t>Arunachalam, P. S.</w:t>
      </w:r>
      <w:r w:rsidR="00376D60" w:rsidRPr="003A468C">
        <w:rPr>
          <w:i/>
          <w:noProof/>
          <w:lang w:val="en-US"/>
        </w:rPr>
        <w:t xml:space="preserve"> et al.</w:t>
      </w:r>
      <w:r w:rsidR="00376D60" w:rsidRPr="003A468C">
        <w:rPr>
          <w:noProof/>
          <w:lang w:val="en-US"/>
        </w:rPr>
        <w:t xml:space="preserve"> Adjuvanting a subunit COVID-19 vaccine to induce protective immunity. </w:t>
      </w:r>
      <w:r w:rsidR="00376D60" w:rsidRPr="003A468C">
        <w:rPr>
          <w:i/>
          <w:noProof/>
          <w:lang w:val="en-US"/>
        </w:rPr>
        <w:t>Nature</w:t>
      </w:r>
      <w:r w:rsidR="00376D60" w:rsidRPr="003A468C">
        <w:rPr>
          <w:noProof/>
          <w:lang w:val="en-US"/>
        </w:rPr>
        <w:t xml:space="preserve"> </w:t>
      </w:r>
      <w:r w:rsidR="00376D60" w:rsidRPr="003A468C">
        <w:rPr>
          <w:b/>
          <w:noProof/>
          <w:lang w:val="en-US"/>
        </w:rPr>
        <w:t>594</w:t>
      </w:r>
      <w:r w:rsidR="00376D60" w:rsidRPr="003A468C">
        <w:rPr>
          <w:noProof/>
          <w:lang w:val="en-US"/>
        </w:rPr>
        <w:t>, 253-258, doi:10.1038/s41586-021-03530-2 (2021).</w:t>
      </w:r>
    </w:p>
    <w:p w14:paraId="4E83CF60" w14:textId="1735F450" w:rsidR="00376D60" w:rsidRPr="003A468C" w:rsidRDefault="00DF4FB9" w:rsidP="00376D60">
      <w:pPr>
        <w:pStyle w:val="EndNoteBibliography"/>
        <w:spacing w:line="480" w:lineRule="auto"/>
        <w:ind w:left="720" w:hanging="720"/>
        <w:rPr>
          <w:noProof/>
          <w:lang w:val="en-US"/>
        </w:rPr>
      </w:pPr>
      <w:r>
        <w:rPr>
          <w:noProof/>
          <w:lang w:val="en-US"/>
        </w:rPr>
        <w:t>88</w:t>
      </w:r>
      <w:r w:rsidR="00376D60" w:rsidRPr="003A468C">
        <w:rPr>
          <w:noProof/>
          <w:lang w:val="en-US"/>
        </w:rPr>
        <w:t>.</w:t>
      </w:r>
      <w:r w:rsidR="00376D60" w:rsidRPr="003A468C">
        <w:rPr>
          <w:noProof/>
          <w:lang w:val="en-US"/>
        </w:rPr>
        <w:tab/>
        <w:t>Alter, G.</w:t>
      </w:r>
      <w:r w:rsidR="00376D60" w:rsidRPr="003A468C">
        <w:rPr>
          <w:i/>
          <w:noProof/>
          <w:lang w:val="en-US"/>
        </w:rPr>
        <w:t xml:space="preserve"> et al.</w:t>
      </w:r>
      <w:r w:rsidR="00376D60" w:rsidRPr="003A468C">
        <w:rPr>
          <w:noProof/>
          <w:lang w:val="en-US"/>
        </w:rPr>
        <w:t xml:space="preserve"> Immunogenicity of Ad26.COV2.S vaccine against SARS-CoV-2 variants in humans. </w:t>
      </w:r>
      <w:r w:rsidR="00376D60" w:rsidRPr="003A468C">
        <w:rPr>
          <w:i/>
          <w:noProof/>
          <w:lang w:val="en-US"/>
        </w:rPr>
        <w:t>Nature</w:t>
      </w:r>
      <w:r w:rsidR="00376D60" w:rsidRPr="003A468C">
        <w:rPr>
          <w:noProof/>
          <w:lang w:val="en-US"/>
        </w:rPr>
        <w:t xml:space="preserve"> </w:t>
      </w:r>
      <w:r w:rsidR="00376D60" w:rsidRPr="003A468C">
        <w:rPr>
          <w:b/>
          <w:noProof/>
          <w:lang w:val="en-US"/>
        </w:rPr>
        <w:t>596</w:t>
      </w:r>
      <w:r w:rsidR="00376D60" w:rsidRPr="003A468C">
        <w:rPr>
          <w:noProof/>
          <w:lang w:val="en-US"/>
        </w:rPr>
        <w:t>, 268-272, doi:10.1038/s41586-021-03681-2 (2021).</w:t>
      </w:r>
    </w:p>
    <w:p w14:paraId="31B7691F" w14:textId="3DD5E920" w:rsidR="00376D60" w:rsidRPr="003A468C" w:rsidRDefault="00DF4FB9" w:rsidP="00376D60">
      <w:pPr>
        <w:pStyle w:val="EndNoteBibliography"/>
        <w:spacing w:line="480" w:lineRule="auto"/>
        <w:ind w:left="720" w:hanging="720"/>
        <w:rPr>
          <w:noProof/>
          <w:lang w:val="en-US"/>
        </w:rPr>
      </w:pPr>
      <w:r>
        <w:rPr>
          <w:noProof/>
          <w:lang w:val="en-US"/>
        </w:rPr>
        <w:t>89</w:t>
      </w:r>
      <w:r w:rsidR="00376D60" w:rsidRPr="003A468C">
        <w:rPr>
          <w:noProof/>
          <w:lang w:val="en-US"/>
        </w:rPr>
        <w:t>.</w:t>
      </w:r>
      <w:r w:rsidR="00376D60" w:rsidRPr="003A468C">
        <w:rPr>
          <w:noProof/>
          <w:lang w:val="en-US"/>
        </w:rPr>
        <w:tab/>
        <w:t>Lucas, C.</w:t>
      </w:r>
      <w:r w:rsidR="00376D60" w:rsidRPr="003A468C">
        <w:rPr>
          <w:i/>
          <w:noProof/>
          <w:lang w:val="en-US"/>
        </w:rPr>
        <w:t xml:space="preserve"> et al.</w:t>
      </w:r>
      <w:r w:rsidR="00376D60" w:rsidRPr="003A468C">
        <w:rPr>
          <w:noProof/>
          <w:lang w:val="en-US"/>
        </w:rPr>
        <w:t xml:space="preserve"> Kinetics of antibody responses dictate COVID-19 outcome. </w:t>
      </w:r>
      <w:r w:rsidR="00376D60" w:rsidRPr="003A468C">
        <w:rPr>
          <w:i/>
          <w:noProof/>
          <w:lang w:val="en-US"/>
        </w:rPr>
        <w:t>medRxiv</w:t>
      </w:r>
      <w:r w:rsidR="00376D60" w:rsidRPr="003A468C">
        <w:rPr>
          <w:noProof/>
          <w:lang w:val="en-US"/>
        </w:rPr>
        <w:t>, doi:10.1101/2020.12.18.20248331 (2020).</w:t>
      </w:r>
    </w:p>
    <w:p w14:paraId="50A9F82E" w14:textId="2D9DC5EE" w:rsidR="00376D60" w:rsidRDefault="00DF4FB9" w:rsidP="00376D60">
      <w:pPr>
        <w:pStyle w:val="EndNoteBibliography"/>
        <w:spacing w:line="480" w:lineRule="auto"/>
        <w:ind w:left="720" w:hanging="720"/>
        <w:rPr>
          <w:noProof/>
          <w:lang w:val="en-US"/>
        </w:rPr>
      </w:pPr>
      <w:r>
        <w:rPr>
          <w:noProof/>
          <w:lang w:val="en-US"/>
        </w:rPr>
        <w:t>90.</w:t>
      </w:r>
      <w:r w:rsidR="00376D60" w:rsidRPr="003A468C">
        <w:rPr>
          <w:noProof/>
          <w:lang w:val="en-US"/>
        </w:rPr>
        <w:tab/>
        <w:t xml:space="preserve">Von Holle, T. A. &amp; Moody, M. A. Influenza and Antibody-Dependent Cellular Cytotoxicity. </w:t>
      </w:r>
      <w:r w:rsidR="00376D60" w:rsidRPr="003A468C">
        <w:rPr>
          <w:i/>
          <w:noProof/>
          <w:lang w:val="en-US"/>
        </w:rPr>
        <w:t>Front Immunol</w:t>
      </w:r>
      <w:r w:rsidR="00376D60" w:rsidRPr="003A468C">
        <w:rPr>
          <w:noProof/>
          <w:lang w:val="en-US"/>
        </w:rPr>
        <w:t xml:space="preserve"> </w:t>
      </w:r>
      <w:r w:rsidR="00376D60" w:rsidRPr="003A468C">
        <w:rPr>
          <w:b/>
          <w:noProof/>
          <w:lang w:val="en-US"/>
        </w:rPr>
        <w:t>10</w:t>
      </w:r>
      <w:r w:rsidR="00376D60" w:rsidRPr="003A468C">
        <w:rPr>
          <w:noProof/>
          <w:lang w:val="en-US"/>
        </w:rPr>
        <w:t>, 1457, doi:10.3389/fimmu.2019.01457 (2019).</w:t>
      </w:r>
    </w:p>
    <w:p w14:paraId="18BF0F15" w14:textId="7DF23674" w:rsidR="00150F18" w:rsidRDefault="00150F18" w:rsidP="00376D60">
      <w:pPr>
        <w:pStyle w:val="EndNoteBibliography"/>
        <w:spacing w:line="480" w:lineRule="auto"/>
        <w:ind w:left="720" w:hanging="720"/>
        <w:rPr>
          <w:noProof/>
          <w:lang w:val="en-US"/>
        </w:rPr>
      </w:pPr>
      <w:r>
        <w:rPr>
          <w:noProof/>
          <w:lang w:val="en-US"/>
        </w:rPr>
        <w:t>91.</w:t>
      </w:r>
      <w:r>
        <w:rPr>
          <w:noProof/>
          <w:lang w:val="en-US"/>
        </w:rPr>
        <w:tab/>
      </w:r>
      <w:r w:rsidRPr="003A468C">
        <w:rPr>
          <w:noProof/>
          <w:lang w:val="en-US"/>
        </w:rPr>
        <w:t xml:space="preserve">Paschall, A. V., Middleton, D. R. &amp; Avci, F. Y. Opsonophagocytic Killing Assay to Assess Immunological Responses Against Bacterial Pathogens. </w:t>
      </w:r>
      <w:r w:rsidRPr="003A468C">
        <w:rPr>
          <w:i/>
          <w:noProof/>
          <w:lang w:val="en-US"/>
        </w:rPr>
        <w:t>J Vis Exp</w:t>
      </w:r>
      <w:r w:rsidRPr="003A468C">
        <w:rPr>
          <w:noProof/>
          <w:lang w:val="en-US"/>
        </w:rPr>
        <w:t>, doi:10.3791/59400 (2019).</w:t>
      </w:r>
    </w:p>
    <w:p w14:paraId="51F06A3E" w14:textId="1BCB4BA3" w:rsidR="00150F18" w:rsidRDefault="00150F18" w:rsidP="00376D60">
      <w:pPr>
        <w:pStyle w:val="EndNoteBibliography"/>
        <w:spacing w:line="480" w:lineRule="auto"/>
        <w:ind w:left="720" w:hanging="720"/>
        <w:rPr>
          <w:noProof/>
          <w:lang w:val="en-US"/>
        </w:rPr>
      </w:pPr>
      <w:r>
        <w:rPr>
          <w:noProof/>
          <w:lang w:val="en-US"/>
        </w:rPr>
        <w:t>92.</w:t>
      </w:r>
      <w:r>
        <w:rPr>
          <w:noProof/>
          <w:lang w:val="en-US"/>
        </w:rPr>
        <w:tab/>
      </w:r>
      <w:r w:rsidRPr="003A468C">
        <w:rPr>
          <w:noProof/>
          <w:lang w:val="en-US"/>
        </w:rPr>
        <w:t xml:space="preserve">Sun, X. L. The role of cell surface sialic acids for SARS-CoV-2 infection. </w:t>
      </w:r>
      <w:r w:rsidRPr="003A468C">
        <w:rPr>
          <w:i/>
          <w:noProof/>
          <w:lang w:val="en-US"/>
        </w:rPr>
        <w:t>Glycobiology</w:t>
      </w:r>
      <w:r w:rsidRPr="003A468C">
        <w:rPr>
          <w:noProof/>
          <w:lang w:val="en-US"/>
        </w:rPr>
        <w:t xml:space="preserve"> </w:t>
      </w:r>
      <w:r w:rsidRPr="003A468C">
        <w:rPr>
          <w:b/>
          <w:noProof/>
          <w:lang w:val="en-US"/>
        </w:rPr>
        <w:t>31</w:t>
      </w:r>
      <w:r w:rsidRPr="003A468C">
        <w:rPr>
          <w:noProof/>
          <w:lang w:val="en-US"/>
        </w:rPr>
        <w:t>, 1245-1253, doi:10.1093/glycob/cwab032 (2021)</w:t>
      </w:r>
    </w:p>
    <w:p w14:paraId="2B508B92" w14:textId="509D60FA" w:rsidR="00150F18" w:rsidRDefault="00150F18" w:rsidP="00376D60">
      <w:pPr>
        <w:pStyle w:val="EndNoteBibliography"/>
        <w:spacing w:line="480" w:lineRule="auto"/>
        <w:ind w:left="720" w:hanging="720"/>
        <w:rPr>
          <w:noProof/>
          <w:lang w:val="en-US"/>
        </w:rPr>
      </w:pPr>
      <w:r>
        <w:rPr>
          <w:noProof/>
          <w:lang w:val="en-US"/>
        </w:rPr>
        <w:lastRenderedPageBreak/>
        <w:t>93.</w:t>
      </w:r>
      <w:r>
        <w:rPr>
          <w:noProof/>
          <w:lang w:val="en-US"/>
        </w:rPr>
        <w:tab/>
      </w:r>
      <w:r w:rsidRPr="003A468C">
        <w:rPr>
          <w:noProof/>
          <w:lang w:val="en-US"/>
        </w:rPr>
        <w:t>Nguyen, L.</w:t>
      </w:r>
      <w:r w:rsidRPr="003A468C">
        <w:rPr>
          <w:i/>
          <w:noProof/>
          <w:lang w:val="en-US"/>
        </w:rPr>
        <w:t xml:space="preserve"> et al.</w:t>
      </w:r>
      <w:r w:rsidRPr="003A468C">
        <w:rPr>
          <w:noProof/>
          <w:lang w:val="en-US"/>
        </w:rPr>
        <w:t xml:space="preserve"> Sialic acid-containing glycolipids mediate binding and viral entry of SARS-CoV-2. </w:t>
      </w:r>
      <w:r w:rsidRPr="003A468C">
        <w:rPr>
          <w:i/>
          <w:noProof/>
          <w:lang w:val="en-US"/>
        </w:rPr>
        <w:t>Nat Chem Biol</w:t>
      </w:r>
      <w:r w:rsidRPr="003A468C">
        <w:rPr>
          <w:noProof/>
          <w:lang w:val="en-US"/>
        </w:rPr>
        <w:t xml:space="preserve"> </w:t>
      </w:r>
      <w:r w:rsidRPr="003A468C">
        <w:rPr>
          <w:b/>
          <w:noProof/>
          <w:lang w:val="en-US"/>
        </w:rPr>
        <w:t>18</w:t>
      </w:r>
      <w:r w:rsidRPr="003A468C">
        <w:rPr>
          <w:noProof/>
          <w:lang w:val="en-US"/>
        </w:rPr>
        <w:t>, 81-90, doi:10.1038/s41589-021-00924-1 (2022)</w:t>
      </w:r>
    </w:p>
    <w:p w14:paraId="0BB2D1D6" w14:textId="6708805F" w:rsidR="00150F18" w:rsidRDefault="00150F18" w:rsidP="00376D60">
      <w:pPr>
        <w:pStyle w:val="EndNoteBibliography"/>
        <w:spacing w:line="480" w:lineRule="auto"/>
        <w:ind w:left="720" w:hanging="720"/>
        <w:rPr>
          <w:noProof/>
          <w:lang w:val="en-US"/>
        </w:rPr>
      </w:pPr>
      <w:r>
        <w:rPr>
          <w:noProof/>
          <w:lang w:val="en-US"/>
        </w:rPr>
        <w:t>94.</w:t>
      </w:r>
      <w:r>
        <w:rPr>
          <w:noProof/>
          <w:lang w:val="en-US"/>
        </w:rPr>
        <w:tab/>
      </w:r>
      <w:r w:rsidRPr="003A468C">
        <w:rPr>
          <w:noProof/>
          <w:lang w:val="en-US"/>
        </w:rPr>
        <w:t xml:space="preserve">V'Kovski, P., Kratzel, A., Steiner, S., Stalder, H. &amp; Thiel, V. Coronavirus biology and replication: implications for SARS-CoV-2. </w:t>
      </w:r>
      <w:r w:rsidRPr="003A468C">
        <w:rPr>
          <w:i/>
          <w:noProof/>
          <w:lang w:val="en-US"/>
        </w:rPr>
        <w:t>Nat Rev Microbiol</w:t>
      </w:r>
      <w:r w:rsidRPr="003A468C">
        <w:rPr>
          <w:noProof/>
          <w:lang w:val="en-US"/>
        </w:rPr>
        <w:t xml:space="preserve"> </w:t>
      </w:r>
      <w:r w:rsidRPr="003A468C">
        <w:rPr>
          <w:b/>
          <w:noProof/>
          <w:lang w:val="en-US"/>
        </w:rPr>
        <w:t>19</w:t>
      </w:r>
      <w:r w:rsidRPr="003A468C">
        <w:rPr>
          <w:noProof/>
          <w:lang w:val="en-US"/>
        </w:rPr>
        <w:t>, 155-170, doi:10.1038/s41579-020-00468-6 (2021).</w:t>
      </w:r>
    </w:p>
    <w:p w14:paraId="66925F2F" w14:textId="361D7CB6" w:rsidR="00376D60" w:rsidRPr="005F60C1" w:rsidRDefault="00150F18" w:rsidP="00376D60">
      <w:pPr>
        <w:pStyle w:val="EndNoteBibliography"/>
        <w:spacing w:line="480" w:lineRule="auto"/>
        <w:ind w:left="720" w:hanging="720"/>
        <w:rPr>
          <w:noProof/>
          <w:lang w:val="fr-FR"/>
        </w:rPr>
      </w:pPr>
      <w:r>
        <w:rPr>
          <w:noProof/>
          <w:lang w:val="en-US"/>
        </w:rPr>
        <w:t>95.</w:t>
      </w:r>
      <w:r w:rsidR="00376D60" w:rsidRPr="003A468C">
        <w:rPr>
          <w:noProof/>
          <w:lang w:val="en-US"/>
        </w:rPr>
        <w:tab/>
        <w:t>Cromer, D.</w:t>
      </w:r>
      <w:r w:rsidR="00376D60" w:rsidRPr="003A468C">
        <w:rPr>
          <w:i/>
          <w:noProof/>
          <w:lang w:val="en-US"/>
        </w:rPr>
        <w:t xml:space="preserve"> et al.</w:t>
      </w:r>
      <w:r w:rsidR="00376D60" w:rsidRPr="003A468C">
        <w:rPr>
          <w:noProof/>
          <w:lang w:val="en-US"/>
        </w:rPr>
        <w:t xml:space="preserve"> Neutralising antibody titres as predictors of protection against SARS-CoV-2 variants and the impact of boosting: a meta-analysis. </w:t>
      </w:r>
      <w:r w:rsidR="00376D60" w:rsidRPr="005F60C1">
        <w:rPr>
          <w:i/>
          <w:noProof/>
          <w:lang w:val="fr-FR"/>
        </w:rPr>
        <w:t>Lancet Microbe</w:t>
      </w:r>
      <w:r w:rsidR="00376D60" w:rsidRPr="005F60C1">
        <w:rPr>
          <w:noProof/>
          <w:lang w:val="fr-FR"/>
        </w:rPr>
        <w:t xml:space="preserve"> </w:t>
      </w:r>
      <w:r w:rsidR="00376D60" w:rsidRPr="005F60C1">
        <w:rPr>
          <w:b/>
          <w:noProof/>
          <w:lang w:val="fr-FR"/>
        </w:rPr>
        <w:t>3</w:t>
      </w:r>
      <w:r w:rsidR="00376D60" w:rsidRPr="005F60C1">
        <w:rPr>
          <w:noProof/>
          <w:lang w:val="fr-FR"/>
        </w:rPr>
        <w:t>, e52-e61, doi:10.1016/S2666-5247(21)00267-6 (2022).</w:t>
      </w:r>
    </w:p>
    <w:p w14:paraId="185A704F" w14:textId="2446248A" w:rsidR="00376D60" w:rsidRDefault="00150F18" w:rsidP="00376D60">
      <w:pPr>
        <w:pStyle w:val="EndNoteBibliography"/>
        <w:spacing w:line="480" w:lineRule="auto"/>
        <w:ind w:left="720" w:hanging="720"/>
        <w:rPr>
          <w:noProof/>
          <w:lang w:val="en-US"/>
        </w:rPr>
      </w:pPr>
      <w:r w:rsidRPr="005F60C1">
        <w:rPr>
          <w:noProof/>
          <w:lang w:val="fr-FR"/>
        </w:rPr>
        <w:t>96.</w:t>
      </w:r>
      <w:r w:rsidR="00376D60" w:rsidRPr="005F60C1">
        <w:rPr>
          <w:noProof/>
          <w:lang w:val="fr-FR"/>
        </w:rPr>
        <w:tab/>
        <w:t>Puranik, A.</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Comparison of two highly-effective mRNA vaccines for COVID-19 during periods of Alpha and Delta variant prevalence. </w:t>
      </w:r>
      <w:r w:rsidR="00376D60" w:rsidRPr="003A468C">
        <w:rPr>
          <w:i/>
          <w:noProof/>
          <w:lang w:val="en-US"/>
        </w:rPr>
        <w:t>medRxiv</w:t>
      </w:r>
      <w:r w:rsidR="00376D60" w:rsidRPr="003A468C">
        <w:rPr>
          <w:noProof/>
          <w:lang w:val="en-US"/>
        </w:rPr>
        <w:t>, doi:10.1101/2021.08.06.21261707 (2021).</w:t>
      </w:r>
    </w:p>
    <w:p w14:paraId="0BEC395C" w14:textId="60962CE9" w:rsidR="00376D60" w:rsidRPr="005F60C1" w:rsidRDefault="00141628" w:rsidP="00376D60">
      <w:pPr>
        <w:pStyle w:val="EndNoteBibliography"/>
        <w:spacing w:line="480" w:lineRule="auto"/>
        <w:ind w:left="720" w:hanging="720"/>
        <w:rPr>
          <w:noProof/>
          <w:lang w:val="fr-FR"/>
        </w:rPr>
      </w:pPr>
      <w:r>
        <w:rPr>
          <w:noProof/>
          <w:lang w:val="en-US"/>
        </w:rPr>
        <w:t>97</w:t>
      </w:r>
      <w:r w:rsidR="00376D60" w:rsidRPr="003A468C">
        <w:rPr>
          <w:noProof/>
          <w:lang w:val="en-US"/>
        </w:rPr>
        <w:t>.</w:t>
      </w:r>
      <w:r w:rsidR="00376D60" w:rsidRPr="003A468C">
        <w:rPr>
          <w:noProof/>
          <w:lang w:val="en-US"/>
        </w:rPr>
        <w:tab/>
        <w:t>Bergwerk, M.</w:t>
      </w:r>
      <w:r w:rsidR="00376D60" w:rsidRPr="003A468C">
        <w:rPr>
          <w:i/>
          <w:noProof/>
          <w:lang w:val="en-US"/>
        </w:rPr>
        <w:t xml:space="preserve"> et al.</w:t>
      </w:r>
      <w:r w:rsidR="00376D60" w:rsidRPr="003A468C">
        <w:rPr>
          <w:noProof/>
          <w:lang w:val="en-US"/>
        </w:rPr>
        <w:t xml:space="preserve"> Covid-19 Breakthrough Infections in Vaccinated Health Care Workers. </w:t>
      </w:r>
      <w:r w:rsidR="00376D60" w:rsidRPr="005F60C1">
        <w:rPr>
          <w:i/>
          <w:noProof/>
          <w:lang w:val="fr-FR"/>
        </w:rPr>
        <w:t>N Engl J Med</w:t>
      </w:r>
      <w:r w:rsidR="00376D60" w:rsidRPr="005F60C1">
        <w:rPr>
          <w:noProof/>
          <w:lang w:val="fr-FR"/>
        </w:rPr>
        <w:t xml:space="preserve"> </w:t>
      </w:r>
      <w:r w:rsidR="00376D60" w:rsidRPr="005F60C1">
        <w:rPr>
          <w:b/>
          <w:noProof/>
          <w:lang w:val="fr-FR"/>
        </w:rPr>
        <w:t>385</w:t>
      </w:r>
      <w:r w:rsidR="00376D60" w:rsidRPr="005F60C1">
        <w:rPr>
          <w:noProof/>
          <w:lang w:val="fr-FR"/>
        </w:rPr>
        <w:t>, 1474-1484, doi:10.1056/NEJMoa2109072 (2021).</w:t>
      </w:r>
    </w:p>
    <w:p w14:paraId="006129E2" w14:textId="35A0FDE7" w:rsidR="00376D60" w:rsidRPr="005F60C1" w:rsidRDefault="00110387" w:rsidP="00376D60">
      <w:pPr>
        <w:pStyle w:val="EndNoteBibliography"/>
        <w:spacing w:line="480" w:lineRule="auto"/>
        <w:ind w:left="720" w:hanging="720"/>
        <w:rPr>
          <w:noProof/>
          <w:lang w:val="fr-FR"/>
        </w:rPr>
      </w:pPr>
      <w:r w:rsidRPr="005F60C1">
        <w:rPr>
          <w:noProof/>
          <w:lang w:val="fr-FR"/>
        </w:rPr>
        <w:t>98</w:t>
      </w:r>
      <w:r w:rsidR="00376D60" w:rsidRPr="005F60C1">
        <w:rPr>
          <w:noProof/>
          <w:lang w:val="fr-FR"/>
        </w:rPr>
        <w:t>.</w:t>
      </w:r>
      <w:r w:rsidR="00376D60" w:rsidRPr="005F60C1">
        <w:rPr>
          <w:noProof/>
          <w:lang w:val="fr-FR"/>
        </w:rPr>
        <w:tab/>
        <w:t>Collier, A. Y.</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Differential Kinetics of Immune Responses Elicited by Covid-19 Vaccines. </w:t>
      </w:r>
      <w:r w:rsidR="00376D60" w:rsidRPr="005F60C1">
        <w:rPr>
          <w:i/>
          <w:noProof/>
          <w:lang w:val="fr-FR"/>
        </w:rPr>
        <w:t>N Engl J Med</w:t>
      </w:r>
      <w:r w:rsidR="00376D60" w:rsidRPr="005F60C1">
        <w:rPr>
          <w:noProof/>
          <w:lang w:val="fr-FR"/>
        </w:rPr>
        <w:t xml:space="preserve"> </w:t>
      </w:r>
      <w:r w:rsidR="00376D60" w:rsidRPr="005F60C1">
        <w:rPr>
          <w:b/>
          <w:noProof/>
          <w:lang w:val="fr-FR"/>
        </w:rPr>
        <w:t>385</w:t>
      </w:r>
      <w:r w:rsidR="00376D60" w:rsidRPr="005F60C1">
        <w:rPr>
          <w:noProof/>
          <w:lang w:val="fr-FR"/>
        </w:rPr>
        <w:t>, 2010-2012, doi:10.1056/NEJMc2115596 (2021).</w:t>
      </w:r>
    </w:p>
    <w:p w14:paraId="2A908411" w14:textId="3B76145E" w:rsidR="00376D60" w:rsidRPr="003A468C" w:rsidRDefault="00110387" w:rsidP="00376D60">
      <w:pPr>
        <w:pStyle w:val="EndNoteBibliography"/>
        <w:spacing w:line="480" w:lineRule="auto"/>
        <w:ind w:left="720" w:hanging="720"/>
        <w:rPr>
          <w:noProof/>
          <w:lang w:val="en-US"/>
        </w:rPr>
      </w:pPr>
      <w:r w:rsidRPr="005F60C1">
        <w:rPr>
          <w:noProof/>
          <w:lang w:val="fr-FR"/>
        </w:rPr>
        <w:t>99</w:t>
      </w:r>
      <w:r w:rsidR="00376D60" w:rsidRPr="005F60C1">
        <w:rPr>
          <w:noProof/>
          <w:lang w:val="fr-FR"/>
        </w:rPr>
        <w:t>.</w:t>
      </w:r>
      <w:r w:rsidR="00376D60" w:rsidRPr="005F60C1">
        <w:rPr>
          <w:noProof/>
          <w:lang w:val="fr-FR"/>
        </w:rPr>
        <w:tab/>
        <w:t>Wec, A. Z.</w:t>
      </w:r>
      <w:r w:rsidR="00376D60" w:rsidRPr="005F60C1">
        <w:rPr>
          <w:i/>
          <w:noProof/>
          <w:lang w:val="fr-FR"/>
        </w:rPr>
        <w:t xml:space="preserve"> et al.</w:t>
      </w:r>
      <w:r w:rsidR="00376D60" w:rsidRPr="005F60C1">
        <w:rPr>
          <w:noProof/>
          <w:lang w:val="fr-FR"/>
        </w:rPr>
        <w:t xml:space="preserve"> </w:t>
      </w:r>
      <w:r w:rsidR="00376D60" w:rsidRPr="003A468C">
        <w:rPr>
          <w:noProof/>
          <w:lang w:val="en-US"/>
        </w:rPr>
        <w:t xml:space="preserve">Broad neutralization of SARS-related viruses by human monoclonal antibodies. </w:t>
      </w:r>
      <w:r w:rsidR="00376D60" w:rsidRPr="003A468C">
        <w:rPr>
          <w:i/>
          <w:noProof/>
          <w:lang w:val="en-US"/>
        </w:rPr>
        <w:t>Science</w:t>
      </w:r>
      <w:r w:rsidR="00376D60" w:rsidRPr="003A468C">
        <w:rPr>
          <w:noProof/>
          <w:lang w:val="en-US"/>
        </w:rPr>
        <w:t xml:space="preserve"> </w:t>
      </w:r>
      <w:r w:rsidR="00376D60" w:rsidRPr="003A468C">
        <w:rPr>
          <w:b/>
          <w:noProof/>
          <w:lang w:val="en-US"/>
        </w:rPr>
        <w:t>369</w:t>
      </w:r>
      <w:r w:rsidR="00376D60" w:rsidRPr="003A468C">
        <w:rPr>
          <w:noProof/>
          <w:lang w:val="en-US"/>
        </w:rPr>
        <w:t>, 731-736, doi:10.1126/science.abc7424 (2020).</w:t>
      </w:r>
    </w:p>
    <w:p w14:paraId="0527462A" w14:textId="62740731" w:rsidR="00376D60" w:rsidRPr="003A468C" w:rsidRDefault="00110387" w:rsidP="00376D60">
      <w:pPr>
        <w:pStyle w:val="EndNoteBibliography"/>
        <w:spacing w:line="480" w:lineRule="auto"/>
        <w:ind w:left="720" w:hanging="720"/>
        <w:rPr>
          <w:noProof/>
          <w:lang w:val="en-US"/>
        </w:rPr>
      </w:pPr>
      <w:r>
        <w:rPr>
          <w:noProof/>
          <w:lang w:val="en-US"/>
        </w:rPr>
        <w:t>100.</w:t>
      </w:r>
      <w:r w:rsidR="00376D60" w:rsidRPr="003A468C">
        <w:rPr>
          <w:noProof/>
          <w:lang w:val="en-US"/>
        </w:rPr>
        <w:tab/>
        <w:t>Pinto, D.</w:t>
      </w:r>
      <w:r w:rsidR="00376D60" w:rsidRPr="003A468C">
        <w:rPr>
          <w:i/>
          <w:noProof/>
          <w:lang w:val="en-US"/>
        </w:rPr>
        <w:t xml:space="preserve"> et al.</w:t>
      </w:r>
      <w:r w:rsidR="00376D60" w:rsidRPr="003A468C">
        <w:rPr>
          <w:noProof/>
          <w:lang w:val="en-US"/>
        </w:rPr>
        <w:t xml:space="preserve"> Broad betacoronavirus neutralization by a stem helix-specific human antibody. </w:t>
      </w:r>
      <w:r w:rsidR="00376D60" w:rsidRPr="003A468C">
        <w:rPr>
          <w:i/>
          <w:noProof/>
          <w:lang w:val="en-US"/>
        </w:rPr>
        <w:t>Science</w:t>
      </w:r>
      <w:r w:rsidR="00376D60" w:rsidRPr="003A468C">
        <w:rPr>
          <w:noProof/>
          <w:lang w:val="en-US"/>
        </w:rPr>
        <w:t xml:space="preserve"> </w:t>
      </w:r>
      <w:r w:rsidR="00376D60" w:rsidRPr="003A468C">
        <w:rPr>
          <w:b/>
          <w:noProof/>
          <w:lang w:val="en-US"/>
        </w:rPr>
        <w:t>373</w:t>
      </w:r>
      <w:r w:rsidR="00376D60" w:rsidRPr="003A468C">
        <w:rPr>
          <w:noProof/>
          <w:lang w:val="en-US"/>
        </w:rPr>
        <w:t>, 1109-1116, doi:10.1126/science.abj3321 (2021).</w:t>
      </w:r>
    </w:p>
    <w:p w14:paraId="4EBB6DC8" w14:textId="1539BC4C" w:rsidR="00376D60" w:rsidRPr="003A468C" w:rsidRDefault="00110387" w:rsidP="00376D60">
      <w:pPr>
        <w:pStyle w:val="EndNoteBibliography"/>
        <w:spacing w:line="480" w:lineRule="auto"/>
        <w:ind w:left="720" w:hanging="720"/>
        <w:rPr>
          <w:noProof/>
          <w:lang w:val="en-US"/>
        </w:rPr>
      </w:pPr>
      <w:r>
        <w:rPr>
          <w:noProof/>
          <w:lang w:val="en-US"/>
        </w:rPr>
        <w:t>101.</w:t>
      </w:r>
      <w:r w:rsidR="00376D60" w:rsidRPr="003A468C">
        <w:rPr>
          <w:noProof/>
          <w:lang w:val="en-US"/>
        </w:rPr>
        <w:tab/>
        <w:t>Kreer, C.</w:t>
      </w:r>
      <w:r w:rsidR="00376D60" w:rsidRPr="003A468C">
        <w:rPr>
          <w:i/>
          <w:noProof/>
          <w:lang w:val="en-US"/>
        </w:rPr>
        <w:t xml:space="preserve"> et al.</w:t>
      </w:r>
      <w:r w:rsidR="00376D60" w:rsidRPr="003A468C">
        <w:rPr>
          <w:noProof/>
          <w:lang w:val="en-US"/>
        </w:rPr>
        <w:t xml:space="preserve"> Longitudinal Isolation of Potent Near-Germline SARS-CoV-2-Neutralizing Antibodies from COVID-19 Patients. </w:t>
      </w:r>
      <w:r w:rsidR="00376D60" w:rsidRPr="003A468C">
        <w:rPr>
          <w:i/>
          <w:noProof/>
          <w:lang w:val="en-US"/>
        </w:rPr>
        <w:t>Cell</w:t>
      </w:r>
      <w:r w:rsidR="00376D60" w:rsidRPr="003A468C">
        <w:rPr>
          <w:noProof/>
          <w:lang w:val="en-US"/>
        </w:rPr>
        <w:t xml:space="preserve"> </w:t>
      </w:r>
      <w:r w:rsidR="00376D60" w:rsidRPr="003A468C">
        <w:rPr>
          <w:b/>
          <w:noProof/>
          <w:lang w:val="en-US"/>
        </w:rPr>
        <w:t>182</w:t>
      </w:r>
      <w:r w:rsidR="00376D60" w:rsidRPr="003A468C">
        <w:rPr>
          <w:noProof/>
          <w:lang w:val="en-US"/>
        </w:rPr>
        <w:t>, 843-854 e812, doi:10.1016/j.cell.2020.06.044 (2020).</w:t>
      </w:r>
    </w:p>
    <w:p w14:paraId="076F7829" w14:textId="2EA9878E" w:rsidR="00376D60" w:rsidRPr="003A468C" w:rsidRDefault="00110387" w:rsidP="00376D60">
      <w:pPr>
        <w:pStyle w:val="EndNoteBibliography"/>
        <w:spacing w:line="480" w:lineRule="auto"/>
        <w:ind w:left="720" w:hanging="720"/>
        <w:rPr>
          <w:noProof/>
          <w:lang w:val="en-US"/>
        </w:rPr>
      </w:pPr>
      <w:r>
        <w:rPr>
          <w:noProof/>
          <w:lang w:val="en-US"/>
        </w:rPr>
        <w:lastRenderedPageBreak/>
        <w:t>102</w:t>
      </w:r>
      <w:r w:rsidR="00376D60" w:rsidRPr="003A468C">
        <w:rPr>
          <w:noProof/>
          <w:lang w:val="en-US"/>
        </w:rPr>
        <w:t>.</w:t>
      </w:r>
      <w:r w:rsidR="00376D60" w:rsidRPr="003A468C">
        <w:rPr>
          <w:noProof/>
          <w:lang w:val="en-US"/>
        </w:rPr>
        <w:tab/>
        <w:t>Zhou, P.</w:t>
      </w:r>
      <w:r w:rsidR="00376D60" w:rsidRPr="003A468C">
        <w:rPr>
          <w:i/>
          <w:noProof/>
          <w:lang w:val="en-US"/>
        </w:rPr>
        <w:t xml:space="preserve"> et al.</w:t>
      </w:r>
      <w:r w:rsidR="00376D60" w:rsidRPr="003A468C">
        <w:rPr>
          <w:noProof/>
          <w:lang w:val="en-US"/>
        </w:rPr>
        <w:t xml:space="preserve"> A human antibody reveals a conserved site on beta-coronavirus spike proteins and confers protection against SARS-CoV-2 infection. </w:t>
      </w:r>
      <w:r w:rsidR="00376D60" w:rsidRPr="003A468C">
        <w:rPr>
          <w:i/>
          <w:noProof/>
          <w:lang w:val="en-US"/>
        </w:rPr>
        <w:t>bioRxiv</w:t>
      </w:r>
      <w:r w:rsidR="00376D60" w:rsidRPr="003A468C">
        <w:rPr>
          <w:noProof/>
          <w:lang w:val="en-US"/>
        </w:rPr>
        <w:t>, doi:10.1101/2021.03.30.437769 (2022).</w:t>
      </w:r>
    </w:p>
    <w:p w14:paraId="663A5A14" w14:textId="77777777" w:rsidR="00C12AD9" w:rsidRPr="00C12AD9" w:rsidRDefault="00376D60" w:rsidP="00C12AD9">
      <w:pPr>
        <w:pStyle w:val="csl-entry"/>
        <w:spacing w:line="480" w:lineRule="auto"/>
        <w:ind w:left="720" w:hanging="720"/>
        <w:rPr>
          <w:rFonts w:asciiTheme="minorHAnsi" w:hAnsiTheme="minorHAnsi" w:cstheme="minorHAnsi"/>
          <w:color w:val="000000"/>
          <w:sz w:val="24"/>
          <w:szCs w:val="24"/>
        </w:rPr>
      </w:pPr>
      <w:r w:rsidRPr="003A468C">
        <w:fldChar w:fldCharType="end"/>
      </w:r>
      <w:r w:rsidR="00A755D1" w:rsidRPr="00C12AD9">
        <w:rPr>
          <w:rFonts w:asciiTheme="minorHAnsi" w:hAnsiTheme="minorHAnsi" w:cstheme="minorHAnsi"/>
          <w:sz w:val="24"/>
          <w:szCs w:val="24"/>
        </w:rPr>
        <w:t>103.</w:t>
      </w:r>
      <w:r w:rsidR="00A755D1" w:rsidRPr="00C12AD9">
        <w:rPr>
          <w:rFonts w:asciiTheme="minorHAnsi" w:hAnsiTheme="minorHAnsi" w:cstheme="minorHAnsi"/>
          <w:sz w:val="24"/>
          <w:szCs w:val="24"/>
        </w:rPr>
        <w:tab/>
      </w:r>
      <w:r w:rsidR="00C12AD9" w:rsidRPr="00C12AD9">
        <w:rPr>
          <w:rFonts w:asciiTheme="minorHAnsi" w:hAnsiTheme="minorHAnsi" w:cstheme="minorHAnsi"/>
          <w:color w:val="000000"/>
          <w:sz w:val="24"/>
          <w:szCs w:val="24"/>
        </w:rPr>
        <w:t xml:space="preserve">Weinreich DM, </w:t>
      </w:r>
      <w:proofErr w:type="spellStart"/>
      <w:r w:rsidR="00C12AD9" w:rsidRPr="00C12AD9">
        <w:rPr>
          <w:rFonts w:asciiTheme="minorHAnsi" w:hAnsiTheme="minorHAnsi" w:cstheme="minorHAnsi"/>
          <w:color w:val="000000"/>
          <w:sz w:val="24"/>
          <w:szCs w:val="24"/>
        </w:rPr>
        <w:t>Sivapalasingam</w:t>
      </w:r>
      <w:proofErr w:type="spellEnd"/>
      <w:r w:rsidR="00C12AD9" w:rsidRPr="00C12AD9">
        <w:rPr>
          <w:rFonts w:asciiTheme="minorHAnsi" w:hAnsiTheme="minorHAnsi" w:cstheme="minorHAnsi"/>
          <w:color w:val="000000"/>
          <w:sz w:val="24"/>
          <w:szCs w:val="24"/>
        </w:rPr>
        <w:t xml:space="preserve"> S, Norton T, et al. REGN-COV2, a Neutralizing Antibody Cocktail, in Outpatients with Covid-19. </w:t>
      </w:r>
      <w:r w:rsidR="00C12AD9" w:rsidRPr="00C12AD9">
        <w:rPr>
          <w:rFonts w:asciiTheme="minorHAnsi" w:hAnsiTheme="minorHAnsi" w:cstheme="minorHAnsi"/>
          <w:i/>
          <w:iCs/>
          <w:color w:val="000000"/>
          <w:sz w:val="24"/>
          <w:szCs w:val="24"/>
        </w:rPr>
        <w:t>New Engl J Med</w:t>
      </w:r>
      <w:r w:rsidR="00C12AD9" w:rsidRPr="00C12AD9">
        <w:rPr>
          <w:rFonts w:asciiTheme="minorHAnsi" w:hAnsiTheme="minorHAnsi" w:cstheme="minorHAnsi"/>
          <w:color w:val="000000"/>
          <w:sz w:val="24"/>
          <w:szCs w:val="24"/>
        </w:rPr>
        <w:t>. Published online 2020. doi:10.1056/nejmoa2035002</w:t>
      </w:r>
    </w:p>
    <w:p w14:paraId="69E99E1C" w14:textId="621F2B25" w:rsidR="00376D60" w:rsidRPr="00F31F64" w:rsidRDefault="00C12AD9" w:rsidP="00F31F64">
      <w:pPr>
        <w:spacing w:line="480" w:lineRule="auto"/>
        <w:ind w:left="720" w:hanging="720"/>
        <w:rPr>
          <w:rFonts w:cstheme="minorHAnsi"/>
          <w:sz w:val="24"/>
          <w:szCs w:val="24"/>
          <w:lang w:val="en-US"/>
        </w:rPr>
      </w:pPr>
      <w:r w:rsidRPr="00F31F64">
        <w:rPr>
          <w:rFonts w:cstheme="minorHAnsi"/>
          <w:sz w:val="24"/>
          <w:szCs w:val="24"/>
          <w:lang w:val="en-US"/>
        </w:rPr>
        <w:t>104.</w:t>
      </w:r>
      <w:r w:rsidRPr="00F31F64">
        <w:rPr>
          <w:rFonts w:cstheme="minorHAnsi"/>
          <w:sz w:val="24"/>
          <w:szCs w:val="24"/>
          <w:lang w:val="en-US"/>
        </w:rPr>
        <w:tab/>
      </w:r>
      <w:r w:rsidR="00F31F64" w:rsidRPr="005F60C1">
        <w:rPr>
          <w:rFonts w:cstheme="minorHAnsi"/>
          <w:color w:val="000000"/>
          <w:sz w:val="24"/>
          <w:szCs w:val="24"/>
          <w:lang w:val="en-US"/>
        </w:rPr>
        <w:t xml:space="preserve">Sette A, Crotty S. Adaptive immunity to SARS-CoV-2 and COVID-19. </w:t>
      </w:r>
      <w:r w:rsidR="00F31F64" w:rsidRPr="005F60C1">
        <w:rPr>
          <w:rFonts w:cstheme="minorHAnsi"/>
          <w:i/>
          <w:iCs/>
          <w:color w:val="000000"/>
          <w:sz w:val="24"/>
          <w:szCs w:val="24"/>
          <w:lang w:val="en-US"/>
        </w:rPr>
        <w:t>Cell</w:t>
      </w:r>
      <w:r w:rsidR="00F31F64" w:rsidRPr="005F60C1">
        <w:rPr>
          <w:rFonts w:cstheme="minorHAnsi"/>
          <w:color w:val="000000"/>
          <w:sz w:val="24"/>
          <w:szCs w:val="24"/>
          <w:lang w:val="en-US"/>
        </w:rPr>
        <w:t xml:space="preserve">. 2021;184(4):861-880. </w:t>
      </w:r>
      <w:proofErr w:type="gramStart"/>
      <w:r w:rsidR="00F31F64" w:rsidRPr="005F60C1">
        <w:rPr>
          <w:rFonts w:cstheme="minorHAnsi"/>
          <w:color w:val="000000"/>
          <w:sz w:val="24"/>
          <w:szCs w:val="24"/>
          <w:lang w:val="en-US"/>
        </w:rPr>
        <w:t>doi:10.1016/j.cell</w:t>
      </w:r>
      <w:proofErr w:type="gramEnd"/>
      <w:r w:rsidR="00F31F64" w:rsidRPr="005F60C1">
        <w:rPr>
          <w:rFonts w:cstheme="minorHAnsi"/>
          <w:color w:val="000000"/>
          <w:sz w:val="24"/>
          <w:szCs w:val="24"/>
          <w:lang w:val="en-US"/>
        </w:rPr>
        <w:t>.2021.01.007</w:t>
      </w:r>
    </w:p>
    <w:p w14:paraId="43E3F287" w14:textId="03ED8F03" w:rsidR="00F31F64" w:rsidRPr="00032535" w:rsidRDefault="00F31F64" w:rsidP="00F31F64">
      <w:pPr>
        <w:spacing w:line="480" w:lineRule="auto"/>
        <w:ind w:left="720" w:hanging="720"/>
        <w:rPr>
          <w:rFonts w:cstheme="minorHAnsi"/>
          <w:sz w:val="24"/>
          <w:szCs w:val="24"/>
          <w:lang w:val="en-US"/>
        </w:rPr>
      </w:pPr>
      <w:r w:rsidRPr="00F31F64">
        <w:rPr>
          <w:rFonts w:cstheme="minorHAnsi"/>
          <w:sz w:val="24"/>
          <w:szCs w:val="24"/>
          <w:lang w:val="en-US"/>
        </w:rPr>
        <w:t>105.</w:t>
      </w:r>
      <w:r w:rsidRPr="005F60C1">
        <w:rPr>
          <w:rFonts w:cstheme="minorHAnsi"/>
          <w:color w:val="000000"/>
          <w:sz w:val="24"/>
          <w:szCs w:val="24"/>
          <w:lang w:val="en-US"/>
        </w:rPr>
        <w:t xml:space="preserve"> </w:t>
      </w:r>
      <w:r w:rsidRPr="005F60C1">
        <w:rPr>
          <w:rFonts w:cstheme="minorHAnsi"/>
          <w:color w:val="000000"/>
          <w:sz w:val="24"/>
          <w:szCs w:val="24"/>
          <w:lang w:val="en-US"/>
        </w:rPr>
        <w:tab/>
      </w:r>
      <w:r w:rsidRPr="00032535">
        <w:rPr>
          <w:rFonts w:cstheme="minorHAnsi"/>
          <w:color w:val="000000"/>
          <w:sz w:val="24"/>
          <w:szCs w:val="24"/>
          <w:lang w:val="en-US"/>
        </w:rPr>
        <w:t xml:space="preserve">O’Brien MP, </w:t>
      </w:r>
      <w:proofErr w:type="spellStart"/>
      <w:r w:rsidRPr="00032535">
        <w:rPr>
          <w:rFonts w:cstheme="minorHAnsi"/>
          <w:color w:val="000000"/>
          <w:sz w:val="24"/>
          <w:szCs w:val="24"/>
          <w:lang w:val="en-US"/>
        </w:rPr>
        <w:t>Forleo</w:t>
      </w:r>
      <w:proofErr w:type="spellEnd"/>
      <w:r w:rsidRPr="00032535">
        <w:rPr>
          <w:rFonts w:cstheme="minorHAnsi"/>
          <w:color w:val="000000"/>
          <w:sz w:val="24"/>
          <w:szCs w:val="24"/>
          <w:lang w:val="en-US"/>
        </w:rPr>
        <w:t xml:space="preserve">-Neto E, Musser BJ, et al. Subcutaneous REGEN-COV Antibody Combination to Prevent Covid-19. </w:t>
      </w:r>
      <w:r w:rsidRPr="00032535">
        <w:rPr>
          <w:rFonts w:cstheme="minorHAnsi"/>
          <w:i/>
          <w:iCs/>
          <w:color w:val="000000"/>
          <w:sz w:val="24"/>
          <w:szCs w:val="24"/>
          <w:lang w:val="en-US"/>
        </w:rPr>
        <w:t>New Engl J Med</w:t>
      </w:r>
      <w:r w:rsidRPr="00032535">
        <w:rPr>
          <w:rFonts w:cstheme="minorHAnsi"/>
          <w:color w:val="000000"/>
          <w:sz w:val="24"/>
          <w:szCs w:val="24"/>
          <w:lang w:val="en-US"/>
        </w:rPr>
        <w:t>. 2021;385(13):1184-1195. doi:10.1056/nejmoa2109682</w:t>
      </w:r>
    </w:p>
    <w:p w14:paraId="32B94B26" w14:textId="5AD3E332" w:rsidR="00F31F64" w:rsidRPr="00032535" w:rsidRDefault="00F31F64" w:rsidP="00032535">
      <w:pPr>
        <w:pStyle w:val="csl-entry"/>
        <w:spacing w:line="480" w:lineRule="auto"/>
        <w:ind w:left="720" w:hanging="720"/>
        <w:rPr>
          <w:rFonts w:asciiTheme="minorHAnsi" w:hAnsiTheme="minorHAnsi" w:cstheme="minorHAnsi"/>
          <w:color w:val="000000"/>
          <w:sz w:val="24"/>
          <w:szCs w:val="24"/>
        </w:rPr>
      </w:pPr>
      <w:r w:rsidRPr="00032535">
        <w:rPr>
          <w:rFonts w:asciiTheme="minorHAnsi" w:hAnsiTheme="minorHAnsi" w:cstheme="minorHAnsi"/>
          <w:sz w:val="24"/>
          <w:szCs w:val="24"/>
        </w:rPr>
        <w:t>106.</w:t>
      </w:r>
      <w:r w:rsidRPr="00032535">
        <w:rPr>
          <w:rFonts w:asciiTheme="minorHAnsi" w:hAnsiTheme="minorHAnsi" w:cstheme="minorHAnsi"/>
          <w:sz w:val="24"/>
          <w:szCs w:val="24"/>
        </w:rPr>
        <w:tab/>
      </w:r>
      <w:proofErr w:type="spellStart"/>
      <w:r w:rsidRPr="00032535">
        <w:rPr>
          <w:rFonts w:asciiTheme="minorHAnsi" w:hAnsiTheme="minorHAnsi" w:cstheme="minorHAnsi"/>
          <w:sz w:val="24"/>
          <w:szCs w:val="24"/>
        </w:rPr>
        <w:t>Z</w:t>
      </w:r>
      <w:r w:rsidRPr="00032535">
        <w:rPr>
          <w:rFonts w:asciiTheme="minorHAnsi" w:hAnsiTheme="minorHAnsi" w:cstheme="minorHAnsi"/>
          <w:color w:val="000000"/>
          <w:sz w:val="24"/>
          <w:szCs w:val="24"/>
        </w:rPr>
        <w:t>ost</w:t>
      </w:r>
      <w:proofErr w:type="spellEnd"/>
      <w:r w:rsidRPr="00032535">
        <w:rPr>
          <w:rFonts w:asciiTheme="minorHAnsi" w:hAnsiTheme="minorHAnsi" w:cstheme="minorHAnsi"/>
          <w:color w:val="000000"/>
          <w:sz w:val="24"/>
          <w:szCs w:val="24"/>
        </w:rPr>
        <w:t xml:space="preserve"> SJ, </w:t>
      </w:r>
      <w:proofErr w:type="spellStart"/>
      <w:r w:rsidRPr="00032535">
        <w:rPr>
          <w:rFonts w:asciiTheme="minorHAnsi" w:hAnsiTheme="minorHAnsi" w:cstheme="minorHAnsi"/>
          <w:color w:val="000000"/>
          <w:sz w:val="24"/>
          <w:szCs w:val="24"/>
        </w:rPr>
        <w:t>Gilchuk</w:t>
      </w:r>
      <w:proofErr w:type="spellEnd"/>
      <w:r w:rsidRPr="00032535">
        <w:rPr>
          <w:rFonts w:asciiTheme="minorHAnsi" w:hAnsiTheme="minorHAnsi" w:cstheme="minorHAnsi"/>
          <w:color w:val="000000"/>
          <w:sz w:val="24"/>
          <w:szCs w:val="24"/>
        </w:rPr>
        <w:t xml:space="preserve"> P, Case JB, et al. Potently neutralizing and protective human antibodies against SARS-CoV-2. </w:t>
      </w:r>
      <w:r w:rsidRPr="00032535">
        <w:rPr>
          <w:rFonts w:asciiTheme="minorHAnsi" w:hAnsiTheme="minorHAnsi" w:cstheme="minorHAnsi"/>
          <w:i/>
          <w:iCs/>
          <w:color w:val="000000"/>
          <w:sz w:val="24"/>
          <w:szCs w:val="24"/>
        </w:rPr>
        <w:t>Nature</w:t>
      </w:r>
      <w:r w:rsidRPr="00032535">
        <w:rPr>
          <w:rFonts w:asciiTheme="minorHAnsi" w:hAnsiTheme="minorHAnsi" w:cstheme="minorHAnsi"/>
          <w:color w:val="000000"/>
          <w:sz w:val="24"/>
          <w:szCs w:val="24"/>
        </w:rPr>
        <w:t>. 2020;584(7821):443-449. doi:10.1038/s41586-020-2548-6</w:t>
      </w:r>
    </w:p>
    <w:p w14:paraId="2B88F722" w14:textId="77777777" w:rsidR="00032535" w:rsidRPr="00032535" w:rsidRDefault="00F31F64" w:rsidP="00032535">
      <w:pPr>
        <w:spacing w:line="480" w:lineRule="auto"/>
        <w:ind w:left="720" w:hanging="720"/>
        <w:rPr>
          <w:color w:val="000000"/>
          <w:sz w:val="24"/>
          <w:szCs w:val="24"/>
          <w:lang w:val="en-US"/>
        </w:rPr>
      </w:pPr>
      <w:r w:rsidRPr="00032535">
        <w:rPr>
          <w:rFonts w:cstheme="minorHAnsi"/>
          <w:color w:val="000000"/>
          <w:sz w:val="24"/>
          <w:szCs w:val="24"/>
          <w:lang w:val="en-US"/>
        </w:rPr>
        <w:t>107.</w:t>
      </w:r>
      <w:r w:rsidRPr="00032535">
        <w:rPr>
          <w:rFonts w:cstheme="minorHAnsi"/>
          <w:color w:val="000000"/>
          <w:sz w:val="24"/>
          <w:szCs w:val="24"/>
          <w:lang w:val="en-US"/>
        </w:rPr>
        <w:tab/>
      </w:r>
      <w:r w:rsidR="00032535" w:rsidRPr="00032535">
        <w:rPr>
          <w:color w:val="000000"/>
          <w:sz w:val="24"/>
          <w:szCs w:val="24"/>
          <w:lang w:val="en-US"/>
        </w:rPr>
        <w:t xml:space="preserve">Chang JT, Wherry EJ, </w:t>
      </w:r>
      <w:proofErr w:type="spellStart"/>
      <w:r w:rsidR="00032535" w:rsidRPr="00032535">
        <w:rPr>
          <w:color w:val="000000"/>
          <w:sz w:val="24"/>
          <w:szCs w:val="24"/>
          <w:lang w:val="en-US"/>
        </w:rPr>
        <w:t>Goldrath</w:t>
      </w:r>
      <w:proofErr w:type="spellEnd"/>
      <w:r w:rsidR="00032535" w:rsidRPr="00032535">
        <w:rPr>
          <w:color w:val="000000"/>
          <w:sz w:val="24"/>
          <w:szCs w:val="24"/>
          <w:lang w:val="en-US"/>
        </w:rPr>
        <w:t xml:space="preserve"> AW. Molecular regulation of effector and memory T cell differentiation. </w:t>
      </w:r>
      <w:r w:rsidR="00032535" w:rsidRPr="00032535">
        <w:rPr>
          <w:i/>
          <w:iCs/>
          <w:color w:val="000000"/>
          <w:sz w:val="24"/>
          <w:szCs w:val="24"/>
          <w:lang w:val="en-US"/>
        </w:rPr>
        <w:t>Nat Immunol</w:t>
      </w:r>
      <w:r w:rsidR="00032535" w:rsidRPr="00032535">
        <w:rPr>
          <w:color w:val="000000"/>
          <w:sz w:val="24"/>
          <w:szCs w:val="24"/>
          <w:lang w:val="en-US"/>
        </w:rPr>
        <w:t>. 2014;15(12):1104-1115. doi:10.1038/ni.3031</w:t>
      </w:r>
    </w:p>
    <w:p w14:paraId="16D69C3C" w14:textId="251BE1E6" w:rsidR="00032535"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108.</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Crotty S. T Follicular Helper Cell Biology: A Decade of Discovery and Diseases. </w:t>
      </w:r>
      <w:r w:rsidR="00032535" w:rsidRPr="00FC0D4B">
        <w:rPr>
          <w:rFonts w:asciiTheme="minorHAnsi" w:hAnsiTheme="minorHAnsi" w:cstheme="minorHAnsi"/>
          <w:i/>
          <w:iCs/>
          <w:color w:val="000000"/>
          <w:sz w:val="24"/>
          <w:szCs w:val="24"/>
        </w:rPr>
        <w:t>Immunity</w:t>
      </w:r>
      <w:r w:rsidR="00032535" w:rsidRPr="00FC0D4B">
        <w:rPr>
          <w:rFonts w:asciiTheme="minorHAnsi" w:hAnsiTheme="minorHAnsi" w:cstheme="minorHAnsi"/>
          <w:color w:val="000000"/>
          <w:sz w:val="24"/>
          <w:szCs w:val="24"/>
        </w:rPr>
        <w:t xml:space="preserve">. 2019;50(5):1132-1148. </w:t>
      </w:r>
      <w:proofErr w:type="gramStart"/>
      <w:r w:rsidR="00032535" w:rsidRPr="00FC0D4B">
        <w:rPr>
          <w:rFonts w:asciiTheme="minorHAnsi" w:hAnsiTheme="minorHAnsi" w:cstheme="minorHAnsi"/>
          <w:color w:val="000000"/>
          <w:sz w:val="24"/>
          <w:szCs w:val="24"/>
        </w:rPr>
        <w:t>doi:10.1016/j.immuni</w:t>
      </w:r>
      <w:proofErr w:type="gramEnd"/>
      <w:r w:rsidR="00032535" w:rsidRPr="00FC0D4B">
        <w:rPr>
          <w:rFonts w:asciiTheme="minorHAnsi" w:hAnsiTheme="minorHAnsi" w:cstheme="minorHAnsi"/>
          <w:color w:val="000000"/>
          <w:sz w:val="24"/>
          <w:szCs w:val="24"/>
        </w:rPr>
        <w:t>.2019.04.011</w:t>
      </w:r>
    </w:p>
    <w:p w14:paraId="50201DF0" w14:textId="17C91093" w:rsidR="005D2EBA" w:rsidRPr="005F60C1" w:rsidRDefault="005D2EBA" w:rsidP="00FC0D4B">
      <w:pPr>
        <w:pStyle w:val="csl-entry"/>
        <w:spacing w:line="480" w:lineRule="auto"/>
        <w:ind w:left="720" w:hanging="720"/>
        <w:rPr>
          <w:rFonts w:asciiTheme="minorHAnsi" w:hAnsiTheme="minorHAnsi" w:cstheme="minorHAnsi"/>
          <w:color w:val="000000"/>
          <w:sz w:val="24"/>
          <w:szCs w:val="24"/>
          <w:lang w:val="fr-FR"/>
        </w:rPr>
      </w:pPr>
      <w:r w:rsidRPr="00FC0D4B">
        <w:rPr>
          <w:rFonts w:asciiTheme="minorHAnsi" w:hAnsiTheme="minorHAnsi" w:cstheme="minorHAnsi"/>
          <w:color w:val="000000"/>
          <w:sz w:val="24"/>
          <w:szCs w:val="24"/>
        </w:rPr>
        <w:t>109.</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Crotty S. A brief history of T cell help to B cells. </w:t>
      </w:r>
      <w:r w:rsidR="00032535" w:rsidRPr="005F60C1">
        <w:rPr>
          <w:rFonts w:asciiTheme="minorHAnsi" w:hAnsiTheme="minorHAnsi" w:cstheme="minorHAnsi"/>
          <w:i/>
          <w:iCs/>
          <w:color w:val="000000"/>
          <w:sz w:val="24"/>
          <w:szCs w:val="24"/>
          <w:lang w:val="fr-FR"/>
        </w:rPr>
        <w:t xml:space="preserve">Nat </w:t>
      </w:r>
      <w:proofErr w:type="spellStart"/>
      <w:r w:rsidR="00032535" w:rsidRPr="005F60C1">
        <w:rPr>
          <w:rFonts w:asciiTheme="minorHAnsi" w:hAnsiTheme="minorHAnsi" w:cstheme="minorHAnsi"/>
          <w:i/>
          <w:iCs/>
          <w:color w:val="000000"/>
          <w:sz w:val="24"/>
          <w:szCs w:val="24"/>
          <w:lang w:val="fr-FR"/>
        </w:rPr>
        <w:t>Rev</w:t>
      </w:r>
      <w:proofErr w:type="spellEnd"/>
      <w:r w:rsidR="00032535" w:rsidRPr="005F60C1">
        <w:rPr>
          <w:rFonts w:asciiTheme="minorHAnsi" w:hAnsiTheme="minorHAnsi" w:cstheme="minorHAnsi"/>
          <w:i/>
          <w:iCs/>
          <w:color w:val="000000"/>
          <w:sz w:val="24"/>
          <w:szCs w:val="24"/>
          <w:lang w:val="fr-FR"/>
        </w:rPr>
        <w:t xml:space="preserve"> </w:t>
      </w:r>
      <w:proofErr w:type="spellStart"/>
      <w:r w:rsidR="00032535" w:rsidRPr="005F60C1">
        <w:rPr>
          <w:rFonts w:asciiTheme="minorHAnsi" w:hAnsiTheme="minorHAnsi" w:cstheme="minorHAnsi"/>
          <w:i/>
          <w:iCs/>
          <w:color w:val="000000"/>
          <w:sz w:val="24"/>
          <w:szCs w:val="24"/>
          <w:lang w:val="fr-FR"/>
        </w:rPr>
        <w:t>Immunol</w:t>
      </w:r>
      <w:proofErr w:type="spellEnd"/>
      <w:r w:rsidR="00032535" w:rsidRPr="005F60C1">
        <w:rPr>
          <w:rFonts w:asciiTheme="minorHAnsi" w:hAnsiTheme="minorHAnsi" w:cstheme="minorHAnsi"/>
          <w:color w:val="000000"/>
          <w:sz w:val="24"/>
          <w:szCs w:val="24"/>
          <w:lang w:val="fr-FR"/>
        </w:rPr>
        <w:t xml:space="preserve">. </w:t>
      </w:r>
      <w:proofErr w:type="gramStart"/>
      <w:r w:rsidR="00032535" w:rsidRPr="005F60C1">
        <w:rPr>
          <w:rFonts w:asciiTheme="minorHAnsi" w:hAnsiTheme="minorHAnsi" w:cstheme="minorHAnsi"/>
          <w:color w:val="000000"/>
          <w:sz w:val="24"/>
          <w:szCs w:val="24"/>
          <w:lang w:val="fr-FR"/>
        </w:rPr>
        <w:t>2015;</w:t>
      </w:r>
      <w:proofErr w:type="gramEnd"/>
      <w:r w:rsidR="00032535" w:rsidRPr="005F60C1">
        <w:rPr>
          <w:rFonts w:asciiTheme="minorHAnsi" w:hAnsiTheme="minorHAnsi" w:cstheme="minorHAnsi"/>
          <w:color w:val="000000"/>
          <w:sz w:val="24"/>
          <w:szCs w:val="24"/>
          <w:lang w:val="fr-FR"/>
        </w:rPr>
        <w:t xml:space="preserve">15(3):185-189. </w:t>
      </w:r>
      <w:proofErr w:type="gramStart"/>
      <w:r w:rsidR="00032535" w:rsidRPr="005F60C1">
        <w:rPr>
          <w:rFonts w:asciiTheme="minorHAnsi" w:hAnsiTheme="minorHAnsi" w:cstheme="minorHAnsi"/>
          <w:color w:val="000000"/>
          <w:sz w:val="24"/>
          <w:szCs w:val="24"/>
          <w:lang w:val="fr-FR"/>
        </w:rPr>
        <w:t>doi:</w:t>
      </w:r>
      <w:proofErr w:type="gramEnd"/>
      <w:r w:rsidR="00032535" w:rsidRPr="005F60C1">
        <w:rPr>
          <w:rFonts w:asciiTheme="minorHAnsi" w:hAnsiTheme="minorHAnsi" w:cstheme="minorHAnsi"/>
          <w:color w:val="000000"/>
          <w:sz w:val="24"/>
          <w:szCs w:val="24"/>
          <w:lang w:val="fr-FR"/>
        </w:rPr>
        <w:t>10.1038/nri3803</w:t>
      </w:r>
    </w:p>
    <w:p w14:paraId="75EC867F" w14:textId="2CEA61D7" w:rsidR="00032535" w:rsidRPr="005F60C1" w:rsidRDefault="005D2EBA" w:rsidP="00FC0D4B">
      <w:pPr>
        <w:pStyle w:val="csl-entry"/>
        <w:spacing w:line="480" w:lineRule="auto"/>
        <w:ind w:left="720" w:hanging="720"/>
        <w:rPr>
          <w:rFonts w:asciiTheme="minorHAnsi" w:hAnsiTheme="minorHAnsi" w:cstheme="minorHAnsi"/>
          <w:color w:val="000000"/>
          <w:sz w:val="24"/>
          <w:szCs w:val="24"/>
          <w:lang w:val="fr-FR"/>
        </w:rPr>
      </w:pPr>
      <w:r w:rsidRPr="005F60C1">
        <w:rPr>
          <w:rFonts w:asciiTheme="minorHAnsi" w:hAnsiTheme="minorHAnsi" w:cstheme="minorHAnsi"/>
          <w:color w:val="000000"/>
          <w:sz w:val="24"/>
          <w:szCs w:val="24"/>
          <w:lang w:val="fr-FR"/>
        </w:rPr>
        <w:lastRenderedPageBreak/>
        <w:t>110.</w:t>
      </w:r>
      <w:r w:rsidR="00FC0D4B" w:rsidRPr="005F60C1">
        <w:rPr>
          <w:rFonts w:asciiTheme="minorHAnsi" w:hAnsiTheme="minorHAnsi" w:cstheme="minorHAnsi"/>
          <w:color w:val="000000"/>
          <w:sz w:val="24"/>
          <w:szCs w:val="24"/>
          <w:lang w:val="fr-FR"/>
        </w:rPr>
        <w:tab/>
      </w:r>
      <w:r w:rsidR="00032535" w:rsidRPr="005F60C1">
        <w:rPr>
          <w:rFonts w:asciiTheme="minorHAnsi" w:hAnsiTheme="minorHAnsi" w:cstheme="minorHAnsi"/>
          <w:color w:val="000000"/>
          <w:sz w:val="24"/>
          <w:szCs w:val="24"/>
          <w:lang w:val="fr-FR"/>
        </w:rPr>
        <w:t xml:space="preserve">Wilkinson TM, Li CKF, Chui CSC, et al. </w:t>
      </w:r>
      <w:r w:rsidR="00032535" w:rsidRPr="00FC0D4B">
        <w:rPr>
          <w:rFonts w:asciiTheme="minorHAnsi" w:hAnsiTheme="minorHAnsi" w:cstheme="minorHAnsi"/>
          <w:color w:val="000000"/>
          <w:sz w:val="24"/>
          <w:szCs w:val="24"/>
        </w:rPr>
        <w:t xml:space="preserve">Preexisting influenza-specific CD4+ T cells correlate with disease protection against influenza challenge in humans. </w:t>
      </w:r>
      <w:r w:rsidR="00032535" w:rsidRPr="005F60C1">
        <w:rPr>
          <w:rFonts w:asciiTheme="minorHAnsi" w:hAnsiTheme="minorHAnsi" w:cstheme="minorHAnsi"/>
          <w:i/>
          <w:iCs/>
          <w:color w:val="000000"/>
          <w:sz w:val="24"/>
          <w:szCs w:val="24"/>
          <w:lang w:val="fr-FR"/>
        </w:rPr>
        <w:t>Nat Med</w:t>
      </w:r>
      <w:r w:rsidR="00032535" w:rsidRPr="005F60C1">
        <w:rPr>
          <w:rFonts w:asciiTheme="minorHAnsi" w:hAnsiTheme="minorHAnsi" w:cstheme="minorHAnsi"/>
          <w:color w:val="000000"/>
          <w:sz w:val="24"/>
          <w:szCs w:val="24"/>
          <w:lang w:val="fr-FR"/>
        </w:rPr>
        <w:t xml:space="preserve">. </w:t>
      </w:r>
      <w:proofErr w:type="gramStart"/>
      <w:r w:rsidR="00032535" w:rsidRPr="005F60C1">
        <w:rPr>
          <w:rFonts w:asciiTheme="minorHAnsi" w:hAnsiTheme="minorHAnsi" w:cstheme="minorHAnsi"/>
          <w:color w:val="000000"/>
          <w:sz w:val="24"/>
          <w:szCs w:val="24"/>
          <w:lang w:val="fr-FR"/>
        </w:rPr>
        <w:t>2012;</w:t>
      </w:r>
      <w:proofErr w:type="gramEnd"/>
      <w:r w:rsidR="00032535" w:rsidRPr="005F60C1">
        <w:rPr>
          <w:rFonts w:asciiTheme="minorHAnsi" w:hAnsiTheme="minorHAnsi" w:cstheme="minorHAnsi"/>
          <w:color w:val="000000"/>
          <w:sz w:val="24"/>
          <w:szCs w:val="24"/>
          <w:lang w:val="fr-FR"/>
        </w:rPr>
        <w:t xml:space="preserve">18(2):274-280. </w:t>
      </w:r>
      <w:proofErr w:type="gramStart"/>
      <w:r w:rsidR="00032535" w:rsidRPr="005F60C1">
        <w:rPr>
          <w:rFonts w:asciiTheme="minorHAnsi" w:hAnsiTheme="minorHAnsi" w:cstheme="minorHAnsi"/>
          <w:color w:val="000000"/>
          <w:sz w:val="24"/>
          <w:szCs w:val="24"/>
          <w:lang w:val="fr-FR"/>
        </w:rPr>
        <w:t>doi:</w:t>
      </w:r>
      <w:proofErr w:type="gramEnd"/>
      <w:r w:rsidR="00032535" w:rsidRPr="005F60C1">
        <w:rPr>
          <w:rFonts w:asciiTheme="minorHAnsi" w:hAnsiTheme="minorHAnsi" w:cstheme="minorHAnsi"/>
          <w:color w:val="000000"/>
          <w:sz w:val="24"/>
          <w:szCs w:val="24"/>
          <w:lang w:val="fr-FR"/>
        </w:rPr>
        <w:t>10.1038/nm.2612</w:t>
      </w:r>
    </w:p>
    <w:p w14:paraId="2ADCB9EF" w14:textId="57F2E900" w:rsidR="005D2EBA"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111.</w:t>
      </w:r>
      <w:r w:rsidR="00FC0D4B" w:rsidRPr="005F60C1">
        <w:rPr>
          <w:rFonts w:asciiTheme="minorHAnsi" w:hAnsiTheme="minorHAnsi" w:cstheme="minorHAnsi"/>
          <w:color w:val="000000"/>
          <w:sz w:val="24"/>
          <w:szCs w:val="24"/>
          <w:lang w:val="fr-FR"/>
        </w:rPr>
        <w:tab/>
      </w:r>
      <w:r w:rsidR="00032535" w:rsidRPr="005F60C1">
        <w:rPr>
          <w:rFonts w:asciiTheme="minorHAnsi" w:hAnsiTheme="minorHAnsi" w:cstheme="minorHAnsi"/>
          <w:color w:val="000000"/>
          <w:sz w:val="24"/>
          <w:szCs w:val="24"/>
          <w:lang w:val="fr-FR"/>
        </w:rPr>
        <w:t xml:space="preserve">Zhao J, Zhao J, </w:t>
      </w:r>
      <w:proofErr w:type="spellStart"/>
      <w:r w:rsidR="00032535" w:rsidRPr="005F60C1">
        <w:rPr>
          <w:rFonts w:asciiTheme="minorHAnsi" w:hAnsiTheme="minorHAnsi" w:cstheme="minorHAnsi"/>
          <w:color w:val="000000"/>
          <w:sz w:val="24"/>
          <w:szCs w:val="24"/>
          <w:lang w:val="fr-FR"/>
        </w:rPr>
        <w:t>Mangalam</w:t>
      </w:r>
      <w:proofErr w:type="spellEnd"/>
      <w:r w:rsidR="00032535" w:rsidRPr="005F60C1">
        <w:rPr>
          <w:rFonts w:asciiTheme="minorHAnsi" w:hAnsiTheme="minorHAnsi" w:cstheme="minorHAnsi"/>
          <w:color w:val="000000"/>
          <w:sz w:val="24"/>
          <w:szCs w:val="24"/>
          <w:lang w:val="fr-FR"/>
        </w:rPr>
        <w:t xml:space="preserve"> AK, et al. </w:t>
      </w:r>
      <w:r w:rsidR="00032535" w:rsidRPr="00FC0D4B">
        <w:rPr>
          <w:rFonts w:asciiTheme="minorHAnsi" w:hAnsiTheme="minorHAnsi" w:cstheme="minorHAnsi"/>
          <w:color w:val="000000"/>
          <w:sz w:val="24"/>
          <w:szCs w:val="24"/>
        </w:rPr>
        <w:t xml:space="preserve">Airway Memory CD4 + T Cells Mediate Protective Immunity against Emerging Respiratory Coronaviruses. </w:t>
      </w:r>
      <w:r w:rsidR="00032535" w:rsidRPr="00FC0D4B">
        <w:rPr>
          <w:rFonts w:asciiTheme="minorHAnsi" w:hAnsiTheme="minorHAnsi" w:cstheme="minorHAnsi"/>
          <w:i/>
          <w:iCs/>
          <w:color w:val="000000"/>
          <w:sz w:val="24"/>
          <w:szCs w:val="24"/>
        </w:rPr>
        <w:t>Immunity</w:t>
      </w:r>
      <w:r w:rsidR="00032535" w:rsidRPr="00FC0D4B">
        <w:rPr>
          <w:rFonts w:asciiTheme="minorHAnsi" w:hAnsiTheme="minorHAnsi" w:cstheme="minorHAnsi"/>
          <w:color w:val="000000"/>
          <w:sz w:val="24"/>
          <w:szCs w:val="24"/>
        </w:rPr>
        <w:t xml:space="preserve">. 2016;44(6):1379-1391. </w:t>
      </w:r>
      <w:proofErr w:type="gramStart"/>
      <w:r w:rsidR="00032535" w:rsidRPr="00FC0D4B">
        <w:rPr>
          <w:rFonts w:asciiTheme="minorHAnsi" w:hAnsiTheme="minorHAnsi" w:cstheme="minorHAnsi"/>
          <w:color w:val="000000"/>
          <w:sz w:val="24"/>
          <w:szCs w:val="24"/>
        </w:rPr>
        <w:t>doi:10.1016/j.immuni</w:t>
      </w:r>
      <w:proofErr w:type="gramEnd"/>
      <w:r w:rsidR="00032535" w:rsidRPr="00FC0D4B">
        <w:rPr>
          <w:rFonts w:asciiTheme="minorHAnsi" w:hAnsiTheme="minorHAnsi" w:cstheme="minorHAnsi"/>
          <w:color w:val="000000"/>
          <w:sz w:val="24"/>
          <w:szCs w:val="24"/>
        </w:rPr>
        <w:t>.2016.05.006</w:t>
      </w:r>
    </w:p>
    <w:p w14:paraId="5209803F" w14:textId="10E01A63" w:rsidR="00032535"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112.</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Weiskopf D, Bangs DJ, Sidney J, et al. Dengue virus infection elicits highly polarized CX3CR1+ cytotoxic CD4+ T cells associated with protective immunity. </w:t>
      </w:r>
      <w:r w:rsidR="00032535" w:rsidRPr="00FC0D4B">
        <w:rPr>
          <w:rFonts w:asciiTheme="minorHAnsi" w:hAnsiTheme="minorHAnsi" w:cstheme="minorHAnsi"/>
          <w:i/>
          <w:iCs/>
          <w:color w:val="000000"/>
          <w:sz w:val="24"/>
          <w:szCs w:val="24"/>
        </w:rPr>
        <w:t xml:space="preserve">Proc National </w:t>
      </w:r>
      <w:proofErr w:type="spellStart"/>
      <w:r w:rsidR="00032535" w:rsidRPr="00FC0D4B">
        <w:rPr>
          <w:rFonts w:asciiTheme="minorHAnsi" w:hAnsiTheme="minorHAnsi" w:cstheme="minorHAnsi"/>
          <w:i/>
          <w:iCs/>
          <w:color w:val="000000"/>
          <w:sz w:val="24"/>
          <w:szCs w:val="24"/>
        </w:rPr>
        <w:t>Acad</w:t>
      </w:r>
      <w:proofErr w:type="spellEnd"/>
      <w:r w:rsidR="00032535" w:rsidRPr="00FC0D4B">
        <w:rPr>
          <w:rFonts w:asciiTheme="minorHAnsi" w:hAnsiTheme="minorHAnsi" w:cstheme="minorHAnsi"/>
          <w:i/>
          <w:iCs/>
          <w:color w:val="000000"/>
          <w:sz w:val="24"/>
          <w:szCs w:val="24"/>
        </w:rPr>
        <w:t xml:space="preserve"> Sci</w:t>
      </w:r>
      <w:r w:rsidR="00032535" w:rsidRPr="00FC0D4B">
        <w:rPr>
          <w:rFonts w:asciiTheme="minorHAnsi" w:hAnsiTheme="minorHAnsi" w:cstheme="minorHAnsi"/>
          <w:color w:val="000000"/>
          <w:sz w:val="24"/>
          <w:szCs w:val="24"/>
        </w:rPr>
        <w:t>. 2015;112(31</w:t>
      </w:r>
      <w:proofErr w:type="gramStart"/>
      <w:r w:rsidR="00032535" w:rsidRPr="00FC0D4B">
        <w:rPr>
          <w:rFonts w:asciiTheme="minorHAnsi" w:hAnsiTheme="minorHAnsi" w:cstheme="minorHAnsi"/>
          <w:color w:val="000000"/>
          <w:sz w:val="24"/>
          <w:szCs w:val="24"/>
        </w:rPr>
        <w:t>):E</w:t>
      </w:r>
      <w:proofErr w:type="gramEnd"/>
      <w:r w:rsidR="00032535" w:rsidRPr="00FC0D4B">
        <w:rPr>
          <w:rFonts w:asciiTheme="minorHAnsi" w:hAnsiTheme="minorHAnsi" w:cstheme="minorHAnsi"/>
          <w:color w:val="000000"/>
          <w:sz w:val="24"/>
          <w:szCs w:val="24"/>
        </w:rPr>
        <w:t>4256-E4263. doi:10.1073/pnas.1505956112</w:t>
      </w:r>
    </w:p>
    <w:p w14:paraId="1AADE5DE" w14:textId="226FFD2D" w:rsidR="005D2EBA"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113.</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Patil VS, Madrigal A, Schmiedel BJ, et al. Precursors of human CD4+ cytotoxic T lymphocytes identified by single-cell transcriptome analysis. </w:t>
      </w:r>
      <w:r w:rsidR="00032535" w:rsidRPr="00FC0D4B">
        <w:rPr>
          <w:rFonts w:asciiTheme="minorHAnsi" w:hAnsiTheme="minorHAnsi" w:cstheme="minorHAnsi"/>
          <w:i/>
          <w:iCs/>
          <w:color w:val="000000"/>
          <w:sz w:val="24"/>
          <w:szCs w:val="24"/>
        </w:rPr>
        <w:t>Sci Immunol</w:t>
      </w:r>
      <w:r w:rsidR="00032535" w:rsidRPr="00FC0D4B">
        <w:rPr>
          <w:rFonts w:asciiTheme="minorHAnsi" w:hAnsiTheme="minorHAnsi" w:cstheme="minorHAnsi"/>
          <w:color w:val="000000"/>
          <w:sz w:val="24"/>
          <w:szCs w:val="24"/>
        </w:rPr>
        <w:t>. 2018;3(19</w:t>
      </w:r>
      <w:proofErr w:type="gramStart"/>
      <w:r w:rsidR="00032535" w:rsidRPr="00FC0D4B">
        <w:rPr>
          <w:rFonts w:asciiTheme="minorHAnsi" w:hAnsiTheme="minorHAnsi" w:cstheme="minorHAnsi"/>
          <w:color w:val="000000"/>
          <w:sz w:val="24"/>
          <w:szCs w:val="24"/>
        </w:rPr>
        <w:t>):eaan</w:t>
      </w:r>
      <w:proofErr w:type="gramEnd"/>
      <w:r w:rsidR="00032535" w:rsidRPr="00FC0D4B">
        <w:rPr>
          <w:rFonts w:asciiTheme="minorHAnsi" w:hAnsiTheme="minorHAnsi" w:cstheme="minorHAnsi"/>
          <w:color w:val="000000"/>
          <w:sz w:val="24"/>
          <w:szCs w:val="24"/>
        </w:rPr>
        <w:t>8664. doi:10.1126/</w:t>
      </w:r>
      <w:proofErr w:type="gramStart"/>
      <w:r w:rsidR="00032535" w:rsidRPr="00FC0D4B">
        <w:rPr>
          <w:rFonts w:asciiTheme="minorHAnsi" w:hAnsiTheme="minorHAnsi" w:cstheme="minorHAnsi"/>
          <w:color w:val="000000"/>
          <w:sz w:val="24"/>
          <w:szCs w:val="24"/>
        </w:rPr>
        <w:t>sciimmunol.aan</w:t>
      </w:r>
      <w:proofErr w:type="gramEnd"/>
      <w:r w:rsidR="00032535" w:rsidRPr="00FC0D4B">
        <w:rPr>
          <w:rFonts w:asciiTheme="minorHAnsi" w:hAnsiTheme="minorHAnsi" w:cstheme="minorHAnsi"/>
          <w:color w:val="000000"/>
          <w:sz w:val="24"/>
          <w:szCs w:val="24"/>
        </w:rPr>
        <w:t>8664</w:t>
      </w:r>
    </w:p>
    <w:p w14:paraId="5630F8AB" w14:textId="4FA4E61B" w:rsidR="00032535"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114.</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Verma S, Weiskopf D, Gupta A, et al. Cytomegalovirus-Specific CD4 T Cells Are Cytolytic and Mediate Vaccine Protection. Longnecker RM, ed. </w:t>
      </w:r>
      <w:r w:rsidR="00032535" w:rsidRPr="00FC0D4B">
        <w:rPr>
          <w:rFonts w:asciiTheme="minorHAnsi" w:hAnsiTheme="minorHAnsi" w:cstheme="minorHAnsi"/>
          <w:i/>
          <w:iCs/>
          <w:color w:val="000000"/>
          <w:sz w:val="24"/>
          <w:szCs w:val="24"/>
        </w:rPr>
        <w:t>Journal of Virology</w:t>
      </w:r>
      <w:r w:rsidR="00032535" w:rsidRPr="00FC0D4B">
        <w:rPr>
          <w:rFonts w:asciiTheme="minorHAnsi" w:hAnsiTheme="minorHAnsi" w:cstheme="minorHAnsi"/>
          <w:color w:val="000000"/>
          <w:sz w:val="24"/>
          <w:szCs w:val="24"/>
        </w:rPr>
        <w:t>. 2016;90(2):650-658. doi:10.1128/jvi.02123-15</w:t>
      </w:r>
    </w:p>
    <w:p w14:paraId="00F4363C" w14:textId="52DDF55B" w:rsidR="005D2EBA" w:rsidRPr="005F60C1" w:rsidRDefault="005D2EBA" w:rsidP="00FC0D4B">
      <w:pPr>
        <w:pStyle w:val="csl-entry"/>
        <w:spacing w:line="480" w:lineRule="auto"/>
        <w:ind w:left="720" w:hanging="720"/>
        <w:rPr>
          <w:rFonts w:asciiTheme="minorHAnsi" w:hAnsiTheme="minorHAnsi" w:cstheme="minorHAnsi"/>
          <w:color w:val="000000"/>
          <w:sz w:val="24"/>
          <w:szCs w:val="24"/>
          <w:lang w:val="fr-FR"/>
        </w:rPr>
      </w:pPr>
      <w:r w:rsidRPr="00FC0D4B">
        <w:rPr>
          <w:rFonts w:asciiTheme="minorHAnsi" w:hAnsiTheme="minorHAnsi" w:cstheme="minorHAnsi"/>
          <w:color w:val="000000"/>
          <w:sz w:val="24"/>
          <w:szCs w:val="24"/>
        </w:rPr>
        <w:t>115.</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Watson AM, Lam LKM, </w:t>
      </w:r>
      <w:proofErr w:type="spellStart"/>
      <w:r w:rsidR="00032535" w:rsidRPr="00FC0D4B">
        <w:rPr>
          <w:rFonts w:asciiTheme="minorHAnsi" w:hAnsiTheme="minorHAnsi" w:cstheme="minorHAnsi"/>
          <w:color w:val="000000"/>
          <w:sz w:val="24"/>
          <w:szCs w:val="24"/>
        </w:rPr>
        <w:t>Klimstra</w:t>
      </w:r>
      <w:proofErr w:type="spellEnd"/>
      <w:r w:rsidR="00032535" w:rsidRPr="00FC0D4B">
        <w:rPr>
          <w:rFonts w:asciiTheme="minorHAnsi" w:hAnsiTheme="minorHAnsi" w:cstheme="minorHAnsi"/>
          <w:color w:val="000000"/>
          <w:sz w:val="24"/>
          <w:szCs w:val="24"/>
        </w:rPr>
        <w:t xml:space="preserve"> WB, Ryman KD. The 17D-204 Vaccine Strain-Induced Protection against Virulent Yellow Fever Virus Is Mediated by Humoral Immunity and CD4+ but not CD8+ T Cells. Pierson TC, ed. </w:t>
      </w:r>
      <w:proofErr w:type="spellStart"/>
      <w:r w:rsidR="00032535" w:rsidRPr="00FC0D4B">
        <w:rPr>
          <w:rFonts w:asciiTheme="minorHAnsi" w:hAnsiTheme="minorHAnsi" w:cstheme="minorHAnsi"/>
          <w:i/>
          <w:iCs/>
          <w:color w:val="000000"/>
          <w:sz w:val="24"/>
          <w:szCs w:val="24"/>
        </w:rPr>
        <w:t>PLoS</w:t>
      </w:r>
      <w:proofErr w:type="spellEnd"/>
      <w:r w:rsidR="00032535" w:rsidRPr="00FC0D4B">
        <w:rPr>
          <w:rFonts w:asciiTheme="minorHAnsi" w:hAnsiTheme="minorHAnsi" w:cstheme="minorHAnsi"/>
          <w:i/>
          <w:iCs/>
          <w:color w:val="000000"/>
          <w:sz w:val="24"/>
          <w:szCs w:val="24"/>
        </w:rPr>
        <w:t xml:space="preserve"> Pathogens</w:t>
      </w:r>
      <w:r w:rsidR="00032535" w:rsidRPr="00FC0D4B">
        <w:rPr>
          <w:rFonts w:asciiTheme="minorHAnsi" w:hAnsiTheme="minorHAnsi" w:cstheme="minorHAnsi"/>
          <w:color w:val="000000"/>
          <w:sz w:val="24"/>
          <w:szCs w:val="24"/>
        </w:rPr>
        <w:t xml:space="preserve">. </w:t>
      </w:r>
      <w:proofErr w:type="gramStart"/>
      <w:r w:rsidR="00032535" w:rsidRPr="005F60C1">
        <w:rPr>
          <w:rFonts w:asciiTheme="minorHAnsi" w:hAnsiTheme="minorHAnsi" w:cstheme="minorHAnsi"/>
          <w:color w:val="000000"/>
          <w:sz w:val="24"/>
          <w:szCs w:val="24"/>
          <w:lang w:val="fr-FR"/>
        </w:rPr>
        <w:t>2016;</w:t>
      </w:r>
      <w:proofErr w:type="gramEnd"/>
      <w:r w:rsidR="00032535" w:rsidRPr="005F60C1">
        <w:rPr>
          <w:rFonts w:asciiTheme="minorHAnsi" w:hAnsiTheme="minorHAnsi" w:cstheme="minorHAnsi"/>
          <w:color w:val="000000"/>
          <w:sz w:val="24"/>
          <w:szCs w:val="24"/>
          <w:lang w:val="fr-FR"/>
        </w:rPr>
        <w:t xml:space="preserve">12(7):e1005786. </w:t>
      </w:r>
      <w:proofErr w:type="gramStart"/>
      <w:r w:rsidR="00032535" w:rsidRPr="005F60C1">
        <w:rPr>
          <w:rFonts w:asciiTheme="minorHAnsi" w:hAnsiTheme="minorHAnsi" w:cstheme="minorHAnsi"/>
          <w:color w:val="000000"/>
          <w:sz w:val="24"/>
          <w:szCs w:val="24"/>
          <w:lang w:val="fr-FR"/>
        </w:rPr>
        <w:t>doi:10.1371/journal.ppat</w:t>
      </w:r>
      <w:proofErr w:type="gramEnd"/>
      <w:r w:rsidR="00032535" w:rsidRPr="005F60C1">
        <w:rPr>
          <w:rFonts w:asciiTheme="minorHAnsi" w:hAnsiTheme="minorHAnsi" w:cstheme="minorHAnsi"/>
          <w:color w:val="000000"/>
          <w:sz w:val="24"/>
          <w:szCs w:val="24"/>
          <w:lang w:val="fr-FR"/>
        </w:rPr>
        <w:t>.1005786</w:t>
      </w:r>
    </w:p>
    <w:p w14:paraId="5219D571" w14:textId="1B3FF386" w:rsidR="00032535"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lastRenderedPageBreak/>
        <w:t>116.</w:t>
      </w:r>
      <w:r w:rsidR="00FC0D4B" w:rsidRPr="005F60C1">
        <w:rPr>
          <w:rFonts w:asciiTheme="minorHAnsi" w:hAnsiTheme="minorHAnsi" w:cstheme="minorHAnsi"/>
          <w:color w:val="000000"/>
          <w:sz w:val="24"/>
          <w:szCs w:val="24"/>
          <w:lang w:val="fr-FR"/>
        </w:rPr>
        <w:tab/>
      </w:r>
      <w:proofErr w:type="spellStart"/>
      <w:r w:rsidR="00032535" w:rsidRPr="005F60C1">
        <w:rPr>
          <w:rFonts w:asciiTheme="minorHAnsi" w:hAnsiTheme="minorHAnsi" w:cstheme="minorHAnsi"/>
          <w:color w:val="000000"/>
          <w:sz w:val="24"/>
          <w:szCs w:val="24"/>
          <w:lang w:val="fr-FR"/>
        </w:rPr>
        <w:t>McKinstry</w:t>
      </w:r>
      <w:proofErr w:type="spellEnd"/>
      <w:r w:rsidR="00032535" w:rsidRPr="005F60C1">
        <w:rPr>
          <w:rFonts w:asciiTheme="minorHAnsi" w:hAnsiTheme="minorHAnsi" w:cstheme="minorHAnsi"/>
          <w:color w:val="000000"/>
          <w:sz w:val="24"/>
          <w:szCs w:val="24"/>
          <w:lang w:val="fr-FR"/>
        </w:rPr>
        <w:t xml:space="preserve"> KK, </w:t>
      </w:r>
      <w:proofErr w:type="spellStart"/>
      <w:r w:rsidR="00032535" w:rsidRPr="005F60C1">
        <w:rPr>
          <w:rFonts w:asciiTheme="minorHAnsi" w:hAnsiTheme="minorHAnsi" w:cstheme="minorHAnsi"/>
          <w:color w:val="000000"/>
          <w:sz w:val="24"/>
          <w:szCs w:val="24"/>
          <w:lang w:val="fr-FR"/>
        </w:rPr>
        <w:t>Strutt</w:t>
      </w:r>
      <w:proofErr w:type="spellEnd"/>
      <w:r w:rsidR="00032535" w:rsidRPr="005F60C1">
        <w:rPr>
          <w:rFonts w:asciiTheme="minorHAnsi" w:hAnsiTheme="minorHAnsi" w:cstheme="minorHAnsi"/>
          <w:color w:val="000000"/>
          <w:sz w:val="24"/>
          <w:szCs w:val="24"/>
          <w:lang w:val="fr-FR"/>
        </w:rPr>
        <w:t xml:space="preserve"> TM, </w:t>
      </w:r>
      <w:proofErr w:type="spellStart"/>
      <w:r w:rsidR="00032535" w:rsidRPr="005F60C1">
        <w:rPr>
          <w:rFonts w:asciiTheme="minorHAnsi" w:hAnsiTheme="minorHAnsi" w:cstheme="minorHAnsi"/>
          <w:color w:val="000000"/>
          <w:sz w:val="24"/>
          <w:szCs w:val="24"/>
          <w:lang w:val="fr-FR"/>
        </w:rPr>
        <w:t>Kuang</w:t>
      </w:r>
      <w:proofErr w:type="spellEnd"/>
      <w:r w:rsidR="00032535" w:rsidRPr="005F60C1">
        <w:rPr>
          <w:rFonts w:asciiTheme="minorHAnsi" w:hAnsiTheme="minorHAnsi" w:cstheme="minorHAnsi"/>
          <w:color w:val="000000"/>
          <w:sz w:val="24"/>
          <w:szCs w:val="24"/>
          <w:lang w:val="fr-FR"/>
        </w:rPr>
        <w:t xml:space="preserve"> Y, et al. </w:t>
      </w:r>
      <w:r w:rsidR="00032535" w:rsidRPr="00FC0D4B">
        <w:rPr>
          <w:rFonts w:asciiTheme="minorHAnsi" w:hAnsiTheme="minorHAnsi" w:cstheme="minorHAnsi"/>
          <w:color w:val="000000"/>
          <w:sz w:val="24"/>
          <w:szCs w:val="24"/>
        </w:rPr>
        <w:t xml:space="preserve">Memory CD4+ T cells protect against influenza through multiple synergizing mechanisms. </w:t>
      </w:r>
      <w:r w:rsidR="00032535" w:rsidRPr="00FC0D4B">
        <w:rPr>
          <w:rFonts w:asciiTheme="minorHAnsi" w:hAnsiTheme="minorHAnsi" w:cstheme="minorHAnsi"/>
          <w:i/>
          <w:iCs/>
          <w:color w:val="000000"/>
          <w:sz w:val="24"/>
          <w:szCs w:val="24"/>
        </w:rPr>
        <w:t>The Journal of clinical investigation</w:t>
      </w:r>
      <w:r w:rsidR="00032535" w:rsidRPr="00FC0D4B">
        <w:rPr>
          <w:rFonts w:asciiTheme="minorHAnsi" w:hAnsiTheme="minorHAnsi" w:cstheme="minorHAnsi"/>
          <w:color w:val="000000"/>
          <w:sz w:val="24"/>
          <w:szCs w:val="24"/>
        </w:rPr>
        <w:t>. 2012;122(8):2847-2856. doi:10.1172/jci63689</w:t>
      </w:r>
    </w:p>
    <w:p w14:paraId="2FBCA605" w14:textId="3CA43F11" w:rsidR="005D2EBA"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117.</w:t>
      </w:r>
      <w:r w:rsidR="00FC0D4B">
        <w:rPr>
          <w:rFonts w:asciiTheme="minorHAnsi" w:hAnsiTheme="minorHAnsi" w:cstheme="minorHAnsi"/>
          <w:color w:val="000000"/>
          <w:sz w:val="24"/>
          <w:szCs w:val="24"/>
        </w:rPr>
        <w:tab/>
      </w:r>
      <w:r w:rsidR="00032535" w:rsidRPr="00FC0D4B">
        <w:rPr>
          <w:rFonts w:asciiTheme="minorHAnsi" w:hAnsiTheme="minorHAnsi" w:cstheme="minorHAnsi"/>
          <w:color w:val="000000"/>
          <w:sz w:val="24"/>
          <w:szCs w:val="24"/>
        </w:rPr>
        <w:t xml:space="preserve">Masopust D, Soerens AG. Tissue-Resident T Cells and Other Resident Leukocytes. </w:t>
      </w:r>
      <w:r w:rsidR="00032535" w:rsidRPr="00FC0D4B">
        <w:rPr>
          <w:rFonts w:asciiTheme="minorHAnsi" w:hAnsiTheme="minorHAnsi" w:cstheme="minorHAnsi"/>
          <w:i/>
          <w:iCs/>
          <w:color w:val="000000"/>
          <w:sz w:val="24"/>
          <w:szCs w:val="24"/>
        </w:rPr>
        <w:t>Annu Rev Immunol</w:t>
      </w:r>
      <w:r w:rsidR="00032535" w:rsidRPr="00FC0D4B">
        <w:rPr>
          <w:rFonts w:asciiTheme="minorHAnsi" w:hAnsiTheme="minorHAnsi" w:cstheme="minorHAnsi"/>
          <w:color w:val="000000"/>
          <w:sz w:val="24"/>
          <w:szCs w:val="24"/>
        </w:rPr>
        <w:t>. 2019;37(1):1-26. doi:10.1146/annurev-immunol-042617-053214</w:t>
      </w:r>
    </w:p>
    <w:p w14:paraId="39050CF7" w14:textId="16B28D9D" w:rsidR="0073191B"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118.</w:t>
      </w:r>
      <w:r w:rsidR="00FC0D4B">
        <w:rPr>
          <w:rFonts w:asciiTheme="minorHAnsi" w:hAnsiTheme="minorHAnsi" w:cstheme="minorHAnsi"/>
          <w:color w:val="000000"/>
          <w:sz w:val="24"/>
          <w:szCs w:val="24"/>
        </w:rPr>
        <w:tab/>
      </w:r>
      <w:r w:rsidR="0073191B" w:rsidRPr="00FC0D4B">
        <w:rPr>
          <w:rFonts w:asciiTheme="minorHAnsi" w:hAnsiTheme="minorHAnsi" w:cstheme="minorHAnsi"/>
          <w:color w:val="000000"/>
          <w:sz w:val="24"/>
          <w:szCs w:val="24"/>
        </w:rPr>
        <w:t xml:space="preserve">Kaslow DC. Certainty of success: three critical parameters in coronavirus vaccine development. </w:t>
      </w:r>
      <w:proofErr w:type="spellStart"/>
      <w:r w:rsidR="0073191B" w:rsidRPr="00FC0D4B">
        <w:rPr>
          <w:rFonts w:asciiTheme="minorHAnsi" w:hAnsiTheme="minorHAnsi" w:cstheme="minorHAnsi"/>
          <w:i/>
          <w:iCs/>
          <w:color w:val="000000"/>
          <w:sz w:val="24"/>
          <w:szCs w:val="24"/>
        </w:rPr>
        <w:t>Npj</w:t>
      </w:r>
      <w:proofErr w:type="spellEnd"/>
      <w:r w:rsidR="0073191B" w:rsidRPr="00FC0D4B">
        <w:rPr>
          <w:rFonts w:asciiTheme="minorHAnsi" w:hAnsiTheme="minorHAnsi" w:cstheme="minorHAnsi"/>
          <w:i/>
          <w:iCs/>
          <w:color w:val="000000"/>
          <w:sz w:val="24"/>
          <w:szCs w:val="24"/>
        </w:rPr>
        <w:t xml:space="preserve"> Vaccines</w:t>
      </w:r>
      <w:r w:rsidR="0073191B" w:rsidRPr="00FC0D4B">
        <w:rPr>
          <w:rFonts w:asciiTheme="minorHAnsi" w:hAnsiTheme="minorHAnsi" w:cstheme="minorHAnsi"/>
          <w:color w:val="000000"/>
          <w:sz w:val="24"/>
          <w:szCs w:val="24"/>
        </w:rPr>
        <w:t>. 2020;5(1):42. doi:10.1038/s41541-020-0193-6</w:t>
      </w:r>
    </w:p>
    <w:p w14:paraId="11BC5628" w14:textId="31F25A73" w:rsidR="0073191B" w:rsidRPr="005F60C1" w:rsidRDefault="005D2EBA" w:rsidP="00C56A09">
      <w:pPr>
        <w:pStyle w:val="csl-entry"/>
        <w:spacing w:line="480" w:lineRule="auto"/>
        <w:ind w:left="720" w:hanging="720"/>
        <w:rPr>
          <w:rFonts w:asciiTheme="minorHAnsi" w:hAnsiTheme="minorHAnsi" w:cstheme="minorHAnsi"/>
          <w:color w:val="000000"/>
          <w:sz w:val="24"/>
          <w:szCs w:val="24"/>
          <w:lang w:val="fr-FR"/>
        </w:rPr>
      </w:pPr>
      <w:r w:rsidRPr="00FC0D4B">
        <w:rPr>
          <w:rFonts w:asciiTheme="minorHAnsi" w:hAnsiTheme="minorHAnsi" w:cstheme="minorHAnsi"/>
          <w:color w:val="000000"/>
          <w:sz w:val="24"/>
          <w:szCs w:val="24"/>
        </w:rPr>
        <w:t>119.</w:t>
      </w:r>
      <w:r w:rsidR="00FC0D4B">
        <w:rPr>
          <w:rFonts w:asciiTheme="minorHAnsi" w:hAnsiTheme="minorHAnsi" w:cstheme="minorHAnsi"/>
          <w:color w:val="000000"/>
          <w:sz w:val="24"/>
          <w:szCs w:val="24"/>
        </w:rPr>
        <w:tab/>
      </w:r>
      <w:r w:rsidR="0073191B" w:rsidRPr="00FC0D4B">
        <w:rPr>
          <w:rFonts w:asciiTheme="minorHAnsi" w:hAnsiTheme="minorHAnsi" w:cstheme="minorHAnsi"/>
          <w:color w:val="000000"/>
          <w:sz w:val="24"/>
          <w:szCs w:val="24"/>
        </w:rPr>
        <w:t xml:space="preserve">Garg S, Patel K, Pham H, et al. Clinical Trends Among U.S. Adults Hospitalized With COVID-19, March to December 2020. </w:t>
      </w:r>
      <w:r w:rsidR="0073191B" w:rsidRPr="005F60C1">
        <w:rPr>
          <w:rFonts w:asciiTheme="minorHAnsi" w:hAnsiTheme="minorHAnsi" w:cstheme="minorHAnsi"/>
          <w:i/>
          <w:iCs/>
          <w:color w:val="000000"/>
          <w:sz w:val="24"/>
          <w:szCs w:val="24"/>
          <w:lang w:val="fr-FR"/>
        </w:rPr>
        <w:t xml:space="preserve">Ann </w:t>
      </w:r>
      <w:proofErr w:type="spellStart"/>
      <w:r w:rsidR="0073191B" w:rsidRPr="005F60C1">
        <w:rPr>
          <w:rFonts w:asciiTheme="minorHAnsi" w:hAnsiTheme="minorHAnsi" w:cstheme="minorHAnsi"/>
          <w:i/>
          <w:iCs/>
          <w:color w:val="000000"/>
          <w:sz w:val="24"/>
          <w:szCs w:val="24"/>
          <w:lang w:val="fr-FR"/>
        </w:rPr>
        <w:t>Intern</w:t>
      </w:r>
      <w:proofErr w:type="spellEnd"/>
      <w:r w:rsidR="0073191B" w:rsidRPr="005F60C1">
        <w:rPr>
          <w:rFonts w:asciiTheme="minorHAnsi" w:hAnsiTheme="minorHAnsi" w:cstheme="minorHAnsi"/>
          <w:i/>
          <w:iCs/>
          <w:color w:val="000000"/>
          <w:sz w:val="24"/>
          <w:szCs w:val="24"/>
          <w:lang w:val="fr-FR"/>
        </w:rPr>
        <w:t xml:space="preserve"> Med</w:t>
      </w:r>
      <w:r w:rsidR="0073191B" w:rsidRPr="005F60C1">
        <w:rPr>
          <w:rFonts w:asciiTheme="minorHAnsi" w:hAnsiTheme="minorHAnsi" w:cstheme="minorHAnsi"/>
          <w:color w:val="000000"/>
          <w:sz w:val="24"/>
          <w:szCs w:val="24"/>
          <w:lang w:val="fr-FR"/>
        </w:rPr>
        <w:t xml:space="preserve">. </w:t>
      </w:r>
      <w:proofErr w:type="gramStart"/>
      <w:r w:rsidR="0073191B" w:rsidRPr="005F60C1">
        <w:rPr>
          <w:rFonts w:asciiTheme="minorHAnsi" w:hAnsiTheme="minorHAnsi" w:cstheme="minorHAnsi"/>
          <w:color w:val="000000"/>
          <w:sz w:val="24"/>
          <w:szCs w:val="24"/>
          <w:lang w:val="fr-FR"/>
        </w:rPr>
        <w:t>2021;</w:t>
      </w:r>
      <w:proofErr w:type="gramEnd"/>
      <w:r w:rsidR="0073191B" w:rsidRPr="005F60C1">
        <w:rPr>
          <w:rFonts w:asciiTheme="minorHAnsi" w:hAnsiTheme="minorHAnsi" w:cstheme="minorHAnsi"/>
          <w:color w:val="000000"/>
          <w:sz w:val="24"/>
          <w:szCs w:val="24"/>
          <w:lang w:val="fr-FR"/>
        </w:rPr>
        <w:t xml:space="preserve">174(10):M21-1991. </w:t>
      </w:r>
      <w:proofErr w:type="gramStart"/>
      <w:r w:rsidR="0073191B" w:rsidRPr="005F60C1">
        <w:rPr>
          <w:rFonts w:asciiTheme="minorHAnsi" w:hAnsiTheme="minorHAnsi" w:cstheme="minorHAnsi"/>
          <w:color w:val="000000"/>
          <w:sz w:val="24"/>
          <w:szCs w:val="24"/>
          <w:lang w:val="fr-FR"/>
        </w:rPr>
        <w:t>doi:</w:t>
      </w:r>
      <w:proofErr w:type="gramEnd"/>
      <w:r w:rsidR="0073191B" w:rsidRPr="005F60C1">
        <w:rPr>
          <w:rFonts w:asciiTheme="minorHAnsi" w:hAnsiTheme="minorHAnsi" w:cstheme="minorHAnsi"/>
          <w:color w:val="000000"/>
          <w:sz w:val="24"/>
          <w:szCs w:val="24"/>
          <w:lang w:val="fr-FR"/>
        </w:rPr>
        <w:t>10.7326/m21-1991</w:t>
      </w:r>
    </w:p>
    <w:p w14:paraId="7505CFB5" w14:textId="3366E70A" w:rsidR="005D2EBA" w:rsidRPr="005F60C1" w:rsidRDefault="005D2EBA" w:rsidP="00FC0D4B">
      <w:pPr>
        <w:pStyle w:val="csl-entry"/>
        <w:spacing w:line="480" w:lineRule="auto"/>
        <w:ind w:left="720" w:hanging="720"/>
        <w:rPr>
          <w:rFonts w:asciiTheme="minorHAnsi" w:hAnsiTheme="minorHAnsi" w:cstheme="minorHAnsi"/>
          <w:color w:val="000000"/>
          <w:sz w:val="24"/>
          <w:szCs w:val="24"/>
          <w:lang w:val="fr-FR"/>
        </w:rPr>
      </w:pPr>
      <w:r w:rsidRPr="005F60C1">
        <w:rPr>
          <w:rFonts w:asciiTheme="minorHAnsi" w:hAnsiTheme="minorHAnsi" w:cstheme="minorHAnsi"/>
          <w:color w:val="000000"/>
          <w:sz w:val="24"/>
          <w:szCs w:val="24"/>
          <w:lang w:val="fr-FR"/>
        </w:rPr>
        <w:t>120.</w:t>
      </w:r>
      <w:r w:rsidR="00FC0D4B" w:rsidRPr="005F60C1">
        <w:rPr>
          <w:rFonts w:asciiTheme="minorHAnsi" w:hAnsiTheme="minorHAnsi" w:cstheme="minorHAnsi"/>
          <w:color w:val="000000"/>
          <w:sz w:val="24"/>
          <w:szCs w:val="24"/>
          <w:lang w:val="fr-FR"/>
        </w:rPr>
        <w:tab/>
      </w:r>
      <w:r w:rsidR="0073191B" w:rsidRPr="005F60C1">
        <w:rPr>
          <w:rFonts w:asciiTheme="minorHAnsi" w:hAnsiTheme="minorHAnsi" w:cstheme="minorHAnsi"/>
          <w:color w:val="000000"/>
          <w:sz w:val="24"/>
          <w:szCs w:val="24"/>
          <w:lang w:val="fr-FR"/>
        </w:rPr>
        <w:t xml:space="preserve">Lauer SA, </w:t>
      </w:r>
      <w:proofErr w:type="spellStart"/>
      <w:r w:rsidR="0073191B" w:rsidRPr="005F60C1">
        <w:rPr>
          <w:rFonts w:asciiTheme="minorHAnsi" w:hAnsiTheme="minorHAnsi" w:cstheme="minorHAnsi"/>
          <w:color w:val="000000"/>
          <w:sz w:val="24"/>
          <w:szCs w:val="24"/>
          <w:lang w:val="fr-FR"/>
        </w:rPr>
        <w:t>Grantz</w:t>
      </w:r>
      <w:proofErr w:type="spellEnd"/>
      <w:r w:rsidR="0073191B" w:rsidRPr="005F60C1">
        <w:rPr>
          <w:rFonts w:asciiTheme="minorHAnsi" w:hAnsiTheme="minorHAnsi" w:cstheme="minorHAnsi"/>
          <w:color w:val="000000"/>
          <w:sz w:val="24"/>
          <w:szCs w:val="24"/>
          <w:lang w:val="fr-FR"/>
        </w:rPr>
        <w:t xml:space="preserve"> KH, Bi Q, et al. </w:t>
      </w:r>
      <w:r w:rsidR="0073191B" w:rsidRPr="00FC0D4B">
        <w:rPr>
          <w:rFonts w:asciiTheme="minorHAnsi" w:hAnsiTheme="minorHAnsi" w:cstheme="minorHAnsi"/>
          <w:color w:val="000000"/>
          <w:sz w:val="24"/>
          <w:szCs w:val="24"/>
        </w:rPr>
        <w:t xml:space="preserve">The Incubation Period of Coronavirus Disease 2019 (COVID-19) From Publicly Reported Confirmed Cases: Estimation and Application. </w:t>
      </w:r>
      <w:r w:rsidR="0073191B" w:rsidRPr="005F60C1">
        <w:rPr>
          <w:rFonts w:asciiTheme="minorHAnsi" w:hAnsiTheme="minorHAnsi" w:cstheme="minorHAnsi"/>
          <w:i/>
          <w:iCs/>
          <w:color w:val="000000"/>
          <w:sz w:val="24"/>
          <w:szCs w:val="24"/>
          <w:lang w:val="fr-FR"/>
        </w:rPr>
        <w:t xml:space="preserve">Ann </w:t>
      </w:r>
      <w:proofErr w:type="spellStart"/>
      <w:r w:rsidR="0073191B" w:rsidRPr="005F60C1">
        <w:rPr>
          <w:rFonts w:asciiTheme="minorHAnsi" w:hAnsiTheme="minorHAnsi" w:cstheme="minorHAnsi"/>
          <w:i/>
          <w:iCs/>
          <w:color w:val="000000"/>
          <w:sz w:val="24"/>
          <w:szCs w:val="24"/>
          <w:lang w:val="fr-FR"/>
        </w:rPr>
        <w:t>Intern</w:t>
      </w:r>
      <w:proofErr w:type="spellEnd"/>
      <w:r w:rsidR="0073191B" w:rsidRPr="005F60C1">
        <w:rPr>
          <w:rFonts w:asciiTheme="minorHAnsi" w:hAnsiTheme="minorHAnsi" w:cstheme="minorHAnsi"/>
          <w:i/>
          <w:iCs/>
          <w:color w:val="000000"/>
          <w:sz w:val="24"/>
          <w:szCs w:val="24"/>
          <w:lang w:val="fr-FR"/>
        </w:rPr>
        <w:t xml:space="preserve"> Med</w:t>
      </w:r>
      <w:r w:rsidR="0073191B" w:rsidRPr="005F60C1">
        <w:rPr>
          <w:rFonts w:asciiTheme="minorHAnsi" w:hAnsiTheme="minorHAnsi" w:cstheme="minorHAnsi"/>
          <w:color w:val="000000"/>
          <w:sz w:val="24"/>
          <w:szCs w:val="24"/>
          <w:lang w:val="fr-FR"/>
        </w:rPr>
        <w:t xml:space="preserve">. </w:t>
      </w:r>
      <w:proofErr w:type="gramStart"/>
      <w:r w:rsidR="0073191B" w:rsidRPr="005F60C1">
        <w:rPr>
          <w:rFonts w:asciiTheme="minorHAnsi" w:hAnsiTheme="minorHAnsi" w:cstheme="minorHAnsi"/>
          <w:color w:val="000000"/>
          <w:sz w:val="24"/>
          <w:szCs w:val="24"/>
          <w:lang w:val="fr-FR"/>
        </w:rPr>
        <w:t>2020;</w:t>
      </w:r>
      <w:proofErr w:type="gramEnd"/>
      <w:r w:rsidR="0073191B" w:rsidRPr="005F60C1">
        <w:rPr>
          <w:rFonts w:asciiTheme="minorHAnsi" w:hAnsiTheme="minorHAnsi" w:cstheme="minorHAnsi"/>
          <w:color w:val="000000"/>
          <w:sz w:val="24"/>
          <w:szCs w:val="24"/>
          <w:lang w:val="fr-FR"/>
        </w:rPr>
        <w:t xml:space="preserve">172(9):577-582. </w:t>
      </w:r>
      <w:proofErr w:type="gramStart"/>
      <w:r w:rsidR="0073191B" w:rsidRPr="005F60C1">
        <w:rPr>
          <w:rFonts w:asciiTheme="minorHAnsi" w:hAnsiTheme="minorHAnsi" w:cstheme="minorHAnsi"/>
          <w:color w:val="000000"/>
          <w:sz w:val="24"/>
          <w:szCs w:val="24"/>
          <w:lang w:val="fr-FR"/>
        </w:rPr>
        <w:t>doi:</w:t>
      </w:r>
      <w:proofErr w:type="gramEnd"/>
      <w:r w:rsidR="0073191B" w:rsidRPr="005F60C1">
        <w:rPr>
          <w:rFonts w:asciiTheme="minorHAnsi" w:hAnsiTheme="minorHAnsi" w:cstheme="minorHAnsi"/>
          <w:color w:val="000000"/>
          <w:sz w:val="24"/>
          <w:szCs w:val="24"/>
          <w:lang w:val="fr-FR"/>
        </w:rPr>
        <w:t>10.7326/m20-0504</w:t>
      </w:r>
    </w:p>
    <w:p w14:paraId="420AFE6F" w14:textId="3E2C6444" w:rsidR="005D2EBA"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121.</w:t>
      </w:r>
      <w:r w:rsidR="00FC0D4B" w:rsidRPr="005F60C1">
        <w:rPr>
          <w:rFonts w:asciiTheme="minorHAnsi" w:hAnsiTheme="minorHAnsi" w:cstheme="minorHAnsi"/>
          <w:color w:val="000000"/>
          <w:sz w:val="24"/>
          <w:szCs w:val="24"/>
          <w:lang w:val="fr-FR"/>
        </w:rPr>
        <w:tab/>
      </w:r>
      <w:proofErr w:type="spellStart"/>
      <w:r w:rsidR="0073191B" w:rsidRPr="005F60C1">
        <w:rPr>
          <w:rFonts w:asciiTheme="minorHAnsi" w:hAnsiTheme="minorHAnsi" w:cstheme="minorHAnsi"/>
          <w:color w:val="000000"/>
          <w:sz w:val="24"/>
          <w:szCs w:val="24"/>
          <w:lang w:val="fr-FR"/>
        </w:rPr>
        <w:t>Grifoni</w:t>
      </w:r>
      <w:proofErr w:type="spellEnd"/>
      <w:r w:rsidR="0073191B" w:rsidRPr="005F60C1">
        <w:rPr>
          <w:rFonts w:asciiTheme="minorHAnsi" w:hAnsiTheme="minorHAnsi" w:cstheme="minorHAnsi"/>
          <w:color w:val="000000"/>
          <w:sz w:val="24"/>
          <w:szCs w:val="24"/>
          <w:lang w:val="fr-FR"/>
        </w:rPr>
        <w:t xml:space="preserve"> A, </w:t>
      </w:r>
      <w:proofErr w:type="spellStart"/>
      <w:r w:rsidR="0073191B" w:rsidRPr="005F60C1">
        <w:rPr>
          <w:rFonts w:asciiTheme="minorHAnsi" w:hAnsiTheme="minorHAnsi" w:cstheme="minorHAnsi"/>
          <w:color w:val="000000"/>
          <w:sz w:val="24"/>
          <w:szCs w:val="24"/>
          <w:lang w:val="fr-FR"/>
        </w:rPr>
        <w:t>Weiskopf</w:t>
      </w:r>
      <w:proofErr w:type="spellEnd"/>
      <w:r w:rsidR="0073191B" w:rsidRPr="005F60C1">
        <w:rPr>
          <w:rFonts w:asciiTheme="minorHAnsi" w:hAnsiTheme="minorHAnsi" w:cstheme="minorHAnsi"/>
          <w:color w:val="000000"/>
          <w:sz w:val="24"/>
          <w:szCs w:val="24"/>
          <w:lang w:val="fr-FR"/>
        </w:rPr>
        <w:t xml:space="preserve"> D, Ramirez SI, et al. </w:t>
      </w:r>
      <w:r w:rsidR="0073191B" w:rsidRPr="00FC0D4B">
        <w:rPr>
          <w:rFonts w:asciiTheme="minorHAnsi" w:hAnsiTheme="minorHAnsi" w:cstheme="minorHAnsi"/>
          <w:color w:val="000000"/>
          <w:sz w:val="24"/>
          <w:szCs w:val="24"/>
        </w:rPr>
        <w:t xml:space="preserve">Targets of T Cell Responses to SARS-CoV-2 Coronavirus in Humans with COVID-19 Disease and Unexposed Individuals. </w:t>
      </w:r>
      <w:r w:rsidR="0073191B" w:rsidRPr="00FC0D4B">
        <w:rPr>
          <w:rFonts w:asciiTheme="minorHAnsi" w:hAnsiTheme="minorHAnsi" w:cstheme="minorHAnsi"/>
          <w:i/>
          <w:iCs/>
          <w:color w:val="000000"/>
          <w:sz w:val="24"/>
          <w:szCs w:val="24"/>
        </w:rPr>
        <w:t>Cell</w:t>
      </w:r>
      <w:r w:rsidR="0073191B" w:rsidRPr="00FC0D4B">
        <w:rPr>
          <w:rFonts w:asciiTheme="minorHAnsi" w:hAnsiTheme="minorHAnsi" w:cstheme="minorHAnsi"/>
          <w:color w:val="000000"/>
          <w:sz w:val="24"/>
          <w:szCs w:val="24"/>
        </w:rPr>
        <w:t xml:space="preserve">. 2020;181(7):1489-1501.e15. </w:t>
      </w:r>
      <w:proofErr w:type="gramStart"/>
      <w:r w:rsidR="0073191B" w:rsidRPr="00FC0D4B">
        <w:rPr>
          <w:rFonts w:asciiTheme="minorHAnsi" w:hAnsiTheme="minorHAnsi" w:cstheme="minorHAnsi"/>
          <w:color w:val="000000"/>
          <w:sz w:val="24"/>
          <w:szCs w:val="24"/>
        </w:rPr>
        <w:t>doi:10.1016/j.cell</w:t>
      </w:r>
      <w:proofErr w:type="gramEnd"/>
      <w:r w:rsidR="0073191B" w:rsidRPr="00FC0D4B">
        <w:rPr>
          <w:rFonts w:asciiTheme="minorHAnsi" w:hAnsiTheme="minorHAnsi" w:cstheme="minorHAnsi"/>
          <w:color w:val="000000"/>
          <w:sz w:val="24"/>
          <w:szCs w:val="24"/>
        </w:rPr>
        <w:t>.2020.05.015</w:t>
      </w:r>
    </w:p>
    <w:p w14:paraId="5D5D5776" w14:textId="11CA3F3D" w:rsidR="0073191B"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122.</w:t>
      </w:r>
      <w:r w:rsidR="00FC0D4B">
        <w:rPr>
          <w:rFonts w:asciiTheme="minorHAnsi" w:hAnsiTheme="minorHAnsi" w:cstheme="minorHAnsi"/>
          <w:color w:val="000000"/>
          <w:sz w:val="24"/>
          <w:szCs w:val="24"/>
        </w:rPr>
        <w:tab/>
      </w:r>
      <w:proofErr w:type="spellStart"/>
      <w:r w:rsidR="0073191B" w:rsidRPr="00FC0D4B">
        <w:rPr>
          <w:rFonts w:asciiTheme="minorHAnsi" w:hAnsiTheme="minorHAnsi" w:cstheme="minorHAnsi"/>
          <w:color w:val="000000"/>
          <w:sz w:val="24"/>
          <w:szCs w:val="24"/>
        </w:rPr>
        <w:t>Tarke</w:t>
      </w:r>
      <w:proofErr w:type="spellEnd"/>
      <w:r w:rsidR="0073191B" w:rsidRPr="00FC0D4B">
        <w:rPr>
          <w:rFonts w:asciiTheme="minorHAnsi" w:hAnsiTheme="minorHAnsi" w:cstheme="minorHAnsi"/>
          <w:color w:val="000000"/>
          <w:sz w:val="24"/>
          <w:szCs w:val="24"/>
        </w:rPr>
        <w:t xml:space="preserve"> A, Sidney J, Kidd CK, et al. Comprehensive analysis of T cell immunodominance and </w:t>
      </w:r>
      <w:proofErr w:type="spellStart"/>
      <w:r w:rsidR="0073191B" w:rsidRPr="00FC0D4B">
        <w:rPr>
          <w:rFonts w:asciiTheme="minorHAnsi" w:hAnsiTheme="minorHAnsi" w:cstheme="minorHAnsi"/>
          <w:color w:val="000000"/>
          <w:sz w:val="24"/>
          <w:szCs w:val="24"/>
        </w:rPr>
        <w:t>immunoprevalence</w:t>
      </w:r>
      <w:proofErr w:type="spellEnd"/>
      <w:r w:rsidR="0073191B" w:rsidRPr="00FC0D4B">
        <w:rPr>
          <w:rFonts w:asciiTheme="minorHAnsi" w:hAnsiTheme="minorHAnsi" w:cstheme="minorHAnsi"/>
          <w:color w:val="000000"/>
          <w:sz w:val="24"/>
          <w:szCs w:val="24"/>
        </w:rPr>
        <w:t xml:space="preserve"> of SARS-CoV-2 epitopes in COVID-19 cases. </w:t>
      </w:r>
      <w:r w:rsidR="0073191B" w:rsidRPr="00FC0D4B">
        <w:rPr>
          <w:rFonts w:asciiTheme="minorHAnsi" w:hAnsiTheme="minorHAnsi" w:cstheme="minorHAnsi"/>
          <w:i/>
          <w:iCs/>
          <w:color w:val="000000"/>
          <w:sz w:val="24"/>
          <w:szCs w:val="24"/>
        </w:rPr>
        <w:t>Cell Reports Medicine</w:t>
      </w:r>
      <w:r w:rsidR="0073191B" w:rsidRPr="00FC0D4B">
        <w:rPr>
          <w:rFonts w:asciiTheme="minorHAnsi" w:hAnsiTheme="minorHAnsi" w:cstheme="minorHAnsi"/>
          <w:color w:val="000000"/>
          <w:sz w:val="24"/>
          <w:szCs w:val="24"/>
        </w:rPr>
        <w:t xml:space="preserve">. 2021;2(2):100204. </w:t>
      </w:r>
      <w:proofErr w:type="gramStart"/>
      <w:r w:rsidR="0073191B" w:rsidRPr="00FC0D4B">
        <w:rPr>
          <w:rFonts w:asciiTheme="minorHAnsi" w:hAnsiTheme="minorHAnsi" w:cstheme="minorHAnsi"/>
          <w:color w:val="000000"/>
          <w:sz w:val="24"/>
          <w:szCs w:val="24"/>
        </w:rPr>
        <w:t>doi:10.1016/j.xcrm</w:t>
      </w:r>
      <w:proofErr w:type="gramEnd"/>
      <w:r w:rsidR="0073191B" w:rsidRPr="00FC0D4B">
        <w:rPr>
          <w:rFonts w:asciiTheme="minorHAnsi" w:hAnsiTheme="minorHAnsi" w:cstheme="minorHAnsi"/>
          <w:color w:val="000000"/>
          <w:sz w:val="24"/>
          <w:szCs w:val="24"/>
        </w:rPr>
        <w:t>.2021.100204</w:t>
      </w:r>
    </w:p>
    <w:p w14:paraId="3B0509E3" w14:textId="7AB70097" w:rsidR="005D2EBA"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lastRenderedPageBreak/>
        <w:t>123.</w:t>
      </w:r>
      <w:r w:rsidR="00FC0D4B">
        <w:rPr>
          <w:rFonts w:asciiTheme="minorHAnsi" w:hAnsiTheme="minorHAnsi" w:cstheme="minorHAnsi"/>
          <w:color w:val="000000"/>
          <w:sz w:val="24"/>
          <w:szCs w:val="24"/>
        </w:rPr>
        <w:tab/>
      </w:r>
      <w:proofErr w:type="spellStart"/>
      <w:r w:rsidR="00FC0D4B" w:rsidRPr="00FC0D4B">
        <w:rPr>
          <w:rFonts w:asciiTheme="minorHAnsi" w:hAnsiTheme="minorHAnsi" w:cstheme="minorHAnsi"/>
          <w:color w:val="000000"/>
          <w:sz w:val="24"/>
          <w:szCs w:val="24"/>
        </w:rPr>
        <w:t>Meckiff</w:t>
      </w:r>
      <w:proofErr w:type="spellEnd"/>
      <w:r w:rsidR="00FC0D4B" w:rsidRPr="00FC0D4B">
        <w:rPr>
          <w:rFonts w:asciiTheme="minorHAnsi" w:hAnsiTheme="minorHAnsi" w:cstheme="minorHAnsi"/>
          <w:color w:val="000000"/>
          <w:sz w:val="24"/>
          <w:szCs w:val="24"/>
        </w:rPr>
        <w:t xml:space="preserve"> BJ, Ramírez-</w:t>
      </w:r>
      <w:proofErr w:type="spellStart"/>
      <w:r w:rsidR="00FC0D4B" w:rsidRPr="00FC0D4B">
        <w:rPr>
          <w:rFonts w:asciiTheme="minorHAnsi" w:hAnsiTheme="minorHAnsi" w:cstheme="minorHAnsi"/>
          <w:color w:val="000000"/>
          <w:sz w:val="24"/>
          <w:szCs w:val="24"/>
        </w:rPr>
        <w:t>Suástegui</w:t>
      </w:r>
      <w:proofErr w:type="spellEnd"/>
      <w:r w:rsidR="00FC0D4B" w:rsidRPr="00FC0D4B">
        <w:rPr>
          <w:rFonts w:asciiTheme="minorHAnsi" w:hAnsiTheme="minorHAnsi" w:cstheme="minorHAnsi"/>
          <w:color w:val="000000"/>
          <w:sz w:val="24"/>
          <w:szCs w:val="24"/>
        </w:rPr>
        <w:t xml:space="preserve"> C, Fajardo V, et al. Imbalance of regulatory and cytotoxic SARS-CoV-2-reactive CD4+ T cells in COVID-19. </w:t>
      </w:r>
      <w:r w:rsidR="00FC0D4B" w:rsidRPr="00FC0D4B">
        <w:rPr>
          <w:rFonts w:asciiTheme="minorHAnsi" w:hAnsiTheme="minorHAnsi" w:cstheme="minorHAnsi"/>
          <w:i/>
          <w:iCs/>
          <w:color w:val="000000"/>
          <w:sz w:val="24"/>
          <w:szCs w:val="24"/>
        </w:rPr>
        <w:t>Cell</w:t>
      </w:r>
      <w:r w:rsidR="00FC0D4B" w:rsidRPr="00FC0D4B">
        <w:rPr>
          <w:rFonts w:asciiTheme="minorHAnsi" w:hAnsiTheme="minorHAnsi" w:cstheme="minorHAnsi"/>
          <w:color w:val="000000"/>
          <w:sz w:val="24"/>
          <w:szCs w:val="24"/>
        </w:rPr>
        <w:t xml:space="preserve">. Published online 2020. </w:t>
      </w:r>
      <w:proofErr w:type="gramStart"/>
      <w:r w:rsidR="00FC0D4B" w:rsidRPr="00FC0D4B">
        <w:rPr>
          <w:rFonts w:asciiTheme="minorHAnsi" w:hAnsiTheme="minorHAnsi" w:cstheme="minorHAnsi"/>
          <w:color w:val="000000"/>
          <w:sz w:val="24"/>
          <w:szCs w:val="24"/>
        </w:rPr>
        <w:t>doi:10.1016/j.cell</w:t>
      </w:r>
      <w:proofErr w:type="gramEnd"/>
      <w:r w:rsidR="00FC0D4B" w:rsidRPr="00FC0D4B">
        <w:rPr>
          <w:rFonts w:asciiTheme="minorHAnsi" w:hAnsiTheme="minorHAnsi" w:cstheme="minorHAnsi"/>
          <w:color w:val="000000"/>
          <w:sz w:val="24"/>
          <w:szCs w:val="24"/>
        </w:rPr>
        <w:t>.2020.10.001</w:t>
      </w:r>
    </w:p>
    <w:p w14:paraId="21265606" w14:textId="4A45CA02" w:rsidR="00FC0D4B" w:rsidRPr="005F60C1" w:rsidRDefault="005D2EBA" w:rsidP="00FC0D4B">
      <w:pPr>
        <w:pStyle w:val="csl-entry"/>
        <w:spacing w:line="480" w:lineRule="auto"/>
        <w:ind w:left="720" w:hanging="720"/>
        <w:rPr>
          <w:rFonts w:asciiTheme="minorHAnsi" w:hAnsiTheme="minorHAnsi" w:cstheme="minorHAnsi"/>
          <w:color w:val="000000"/>
          <w:sz w:val="24"/>
          <w:szCs w:val="24"/>
          <w:lang w:val="fr-FR"/>
        </w:rPr>
      </w:pPr>
      <w:r w:rsidRPr="00FC0D4B">
        <w:rPr>
          <w:rFonts w:asciiTheme="minorHAnsi" w:hAnsiTheme="minorHAnsi" w:cstheme="minorHAnsi"/>
          <w:color w:val="000000"/>
          <w:sz w:val="24"/>
          <w:szCs w:val="24"/>
        </w:rPr>
        <w:t>124.</w:t>
      </w:r>
      <w:r w:rsidR="00FC0D4B">
        <w:rPr>
          <w:rFonts w:asciiTheme="minorHAnsi" w:hAnsiTheme="minorHAnsi" w:cstheme="minorHAnsi"/>
          <w:color w:val="000000"/>
          <w:sz w:val="24"/>
          <w:szCs w:val="24"/>
        </w:rPr>
        <w:tab/>
      </w:r>
      <w:r w:rsidR="00FC0D4B" w:rsidRPr="00FC0D4B">
        <w:rPr>
          <w:rFonts w:asciiTheme="minorHAnsi" w:hAnsiTheme="minorHAnsi" w:cstheme="minorHAnsi"/>
          <w:color w:val="000000"/>
          <w:sz w:val="24"/>
          <w:szCs w:val="24"/>
        </w:rPr>
        <w:t xml:space="preserve">Kaneko N, </w:t>
      </w:r>
      <w:proofErr w:type="spellStart"/>
      <w:r w:rsidR="00FC0D4B" w:rsidRPr="00FC0D4B">
        <w:rPr>
          <w:rFonts w:asciiTheme="minorHAnsi" w:hAnsiTheme="minorHAnsi" w:cstheme="minorHAnsi"/>
          <w:color w:val="000000"/>
          <w:sz w:val="24"/>
          <w:szCs w:val="24"/>
        </w:rPr>
        <w:t>Boucau</w:t>
      </w:r>
      <w:proofErr w:type="spellEnd"/>
      <w:r w:rsidR="00FC0D4B" w:rsidRPr="00FC0D4B">
        <w:rPr>
          <w:rFonts w:asciiTheme="minorHAnsi" w:hAnsiTheme="minorHAnsi" w:cstheme="minorHAnsi"/>
          <w:color w:val="000000"/>
          <w:sz w:val="24"/>
          <w:szCs w:val="24"/>
        </w:rPr>
        <w:t xml:space="preserve"> J, Kuo HH, et al. Expansion of Cytotoxic CD4+ T cells in the lungs in severe COVID-19. </w:t>
      </w:r>
      <w:proofErr w:type="spellStart"/>
      <w:r w:rsidR="00FC0D4B" w:rsidRPr="005F60C1">
        <w:rPr>
          <w:rFonts w:asciiTheme="minorHAnsi" w:hAnsiTheme="minorHAnsi" w:cstheme="minorHAnsi"/>
          <w:i/>
          <w:iCs/>
          <w:color w:val="000000"/>
          <w:sz w:val="24"/>
          <w:szCs w:val="24"/>
          <w:lang w:val="fr-FR"/>
        </w:rPr>
        <w:t>Medrxiv</w:t>
      </w:r>
      <w:proofErr w:type="spellEnd"/>
      <w:r w:rsidR="00FC0D4B" w:rsidRPr="005F60C1">
        <w:rPr>
          <w:rFonts w:asciiTheme="minorHAnsi" w:hAnsiTheme="minorHAnsi" w:cstheme="minorHAnsi"/>
          <w:color w:val="000000"/>
          <w:sz w:val="24"/>
          <w:szCs w:val="24"/>
          <w:lang w:val="fr-FR"/>
        </w:rPr>
        <w:t xml:space="preserve">. </w:t>
      </w:r>
      <w:proofErr w:type="spellStart"/>
      <w:r w:rsidR="00FC0D4B" w:rsidRPr="005F60C1">
        <w:rPr>
          <w:rFonts w:asciiTheme="minorHAnsi" w:hAnsiTheme="minorHAnsi" w:cstheme="minorHAnsi"/>
          <w:color w:val="000000"/>
          <w:sz w:val="24"/>
          <w:szCs w:val="24"/>
          <w:lang w:val="fr-FR"/>
        </w:rPr>
        <w:t>Published</w:t>
      </w:r>
      <w:proofErr w:type="spellEnd"/>
      <w:r w:rsidR="00FC0D4B" w:rsidRPr="005F60C1">
        <w:rPr>
          <w:rFonts w:asciiTheme="minorHAnsi" w:hAnsiTheme="minorHAnsi" w:cstheme="minorHAnsi"/>
          <w:color w:val="000000"/>
          <w:sz w:val="24"/>
          <w:szCs w:val="24"/>
          <w:lang w:val="fr-FR"/>
        </w:rPr>
        <w:t xml:space="preserve"> online </w:t>
      </w:r>
      <w:proofErr w:type="gramStart"/>
      <w:r w:rsidR="00FC0D4B" w:rsidRPr="005F60C1">
        <w:rPr>
          <w:rFonts w:asciiTheme="minorHAnsi" w:hAnsiTheme="minorHAnsi" w:cstheme="minorHAnsi"/>
          <w:color w:val="000000"/>
          <w:sz w:val="24"/>
          <w:szCs w:val="24"/>
          <w:lang w:val="fr-FR"/>
        </w:rPr>
        <w:t>2021:</w:t>
      </w:r>
      <w:proofErr w:type="gramEnd"/>
      <w:r w:rsidR="00FC0D4B" w:rsidRPr="005F60C1">
        <w:rPr>
          <w:rFonts w:asciiTheme="minorHAnsi" w:hAnsiTheme="minorHAnsi" w:cstheme="minorHAnsi"/>
          <w:color w:val="000000"/>
          <w:sz w:val="24"/>
          <w:szCs w:val="24"/>
          <w:lang w:val="fr-FR"/>
        </w:rPr>
        <w:t xml:space="preserve">2021.03.23.21253885. </w:t>
      </w:r>
      <w:proofErr w:type="gramStart"/>
      <w:r w:rsidR="00FC0D4B" w:rsidRPr="005F60C1">
        <w:rPr>
          <w:rFonts w:asciiTheme="minorHAnsi" w:hAnsiTheme="minorHAnsi" w:cstheme="minorHAnsi"/>
          <w:color w:val="000000"/>
          <w:sz w:val="24"/>
          <w:szCs w:val="24"/>
          <w:lang w:val="fr-FR"/>
        </w:rPr>
        <w:t>doi:</w:t>
      </w:r>
      <w:proofErr w:type="gramEnd"/>
      <w:r w:rsidR="00FC0D4B" w:rsidRPr="005F60C1">
        <w:rPr>
          <w:rFonts w:asciiTheme="minorHAnsi" w:hAnsiTheme="minorHAnsi" w:cstheme="minorHAnsi"/>
          <w:color w:val="000000"/>
          <w:sz w:val="24"/>
          <w:szCs w:val="24"/>
          <w:lang w:val="fr-FR"/>
        </w:rPr>
        <w:t>10.1101/2021.03.23.21253885</w:t>
      </w:r>
    </w:p>
    <w:p w14:paraId="76DE7D63" w14:textId="7177BD74" w:rsidR="00FC0D4B" w:rsidRPr="00FC0D4B" w:rsidRDefault="005D2EBA" w:rsidP="00FC0D4B">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125.</w:t>
      </w:r>
      <w:r w:rsidR="00FC0D4B" w:rsidRPr="005F60C1">
        <w:rPr>
          <w:rFonts w:asciiTheme="minorHAnsi" w:hAnsiTheme="minorHAnsi" w:cstheme="minorHAnsi"/>
          <w:color w:val="000000"/>
          <w:sz w:val="24"/>
          <w:szCs w:val="24"/>
          <w:lang w:val="fr-FR"/>
        </w:rPr>
        <w:tab/>
      </w:r>
      <w:proofErr w:type="spellStart"/>
      <w:r w:rsidR="00FC0D4B" w:rsidRPr="005F60C1">
        <w:rPr>
          <w:rFonts w:asciiTheme="minorHAnsi" w:hAnsiTheme="minorHAnsi" w:cstheme="minorHAnsi"/>
          <w:color w:val="000000"/>
          <w:sz w:val="24"/>
          <w:szCs w:val="24"/>
          <w:lang w:val="fr-FR"/>
        </w:rPr>
        <w:t>Moderbacher</w:t>
      </w:r>
      <w:proofErr w:type="spellEnd"/>
      <w:r w:rsidR="00FC0D4B" w:rsidRPr="005F60C1">
        <w:rPr>
          <w:rFonts w:asciiTheme="minorHAnsi" w:hAnsiTheme="minorHAnsi" w:cstheme="minorHAnsi"/>
          <w:color w:val="000000"/>
          <w:sz w:val="24"/>
          <w:szCs w:val="24"/>
          <w:lang w:val="fr-FR"/>
        </w:rPr>
        <w:t xml:space="preserve"> CR, Ramirez SI, Dan JM, et al. </w:t>
      </w:r>
      <w:r w:rsidR="00FC0D4B" w:rsidRPr="00FC0D4B">
        <w:rPr>
          <w:rFonts w:asciiTheme="minorHAnsi" w:hAnsiTheme="minorHAnsi" w:cstheme="minorHAnsi"/>
          <w:color w:val="000000"/>
          <w:sz w:val="24"/>
          <w:szCs w:val="24"/>
        </w:rPr>
        <w:t xml:space="preserve">Antigen-specific adaptive immunity to SARS-CoV-2 in acute COVID-19 and associations with age and disease severity. </w:t>
      </w:r>
      <w:r w:rsidR="00FC0D4B" w:rsidRPr="00FC0D4B">
        <w:rPr>
          <w:rFonts w:asciiTheme="minorHAnsi" w:hAnsiTheme="minorHAnsi" w:cstheme="minorHAnsi"/>
          <w:i/>
          <w:iCs/>
          <w:color w:val="000000"/>
          <w:sz w:val="24"/>
          <w:szCs w:val="24"/>
        </w:rPr>
        <w:t>Cell</w:t>
      </w:r>
      <w:r w:rsidR="00FC0D4B" w:rsidRPr="00FC0D4B">
        <w:rPr>
          <w:rFonts w:asciiTheme="minorHAnsi" w:hAnsiTheme="minorHAnsi" w:cstheme="minorHAnsi"/>
          <w:color w:val="000000"/>
          <w:sz w:val="24"/>
          <w:szCs w:val="24"/>
        </w:rPr>
        <w:t xml:space="preserve">. 2020;183(4):996-1012.e19. </w:t>
      </w:r>
      <w:proofErr w:type="gramStart"/>
      <w:r w:rsidR="00FC0D4B" w:rsidRPr="00FC0D4B">
        <w:rPr>
          <w:rFonts w:asciiTheme="minorHAnsi" w:hAnsiTheme="minorHAnsi" w:cstheme="minorHAnsi"/>
          <w:color w:val="000000"/>
          <w:sz w:val="24"/>
          <w:szCs w:val="24"/>
        </w:rPr>
        <w:t>doi:10.1016/j.cell</w:t>
      </w:r>
      <w:proofErr w:type="gramEnd"/>
      <w:r w:rsidR="00FC0D4B" w:rsidRPr="00FC0D4B">
        <w:rPr>
          <w:rFonts w:asciiTheme="minorHAnsi" w:hAnsiTheme="minorHAnsi" w:cstheme="minorHAnsi"/>
          <w:color w:val="000000"/>
          <w:sz w:val="24"/>
          <w:szCs w:val="24"/>
        </w:rPr>
        <w:t>.2020.09.038</w:t>
      </w:r>
    </w:p>
    <w:p w14:paraId="5F7EF727" w14:textId="5AF72683" w:rsidR="00FC0D4B" w:rsidRPr="00FC0D4B" w:rsidRDefault="005D2EBA" w:rsidP="00A011B4">
      <w:pPr>
        <w:pStyle w:val="csl-entry"/>
        <w:spacing w:line="480" w:lineRule="auto"/>
        <w:ind w:left="720" w:hanging="720"/>
        <w:rPr>
          <w:rFonts w:asciiTheme="minorHAnsi" w:hAnsiTheme="minorHAnsi" w:cstheme="minorHAnsi"/>
          <w:color w:val="000000"/>
          <w:sz w:val="24"/>
          <w:szCs w:val="24"/>
        </w:rPr>
      </w:pPr>
      <w:r w:rsidRPr="00FC0D4B">
        <w:rPr>
          <w:rFonts w:asciiTheme="minorHAnsi" w:hAnsiTheme="minorHAnsi" w:cstheme="minorHAnsi"/>
          <w:color w:val="000000"/>
          <w:sz w:val="24"/>
          <w:szCs w:val="24"/>
        </w:rPr>
        <w:t>126</w:t>
      </w:r>
      <w:r w:rsidR="00A011B4">
        <w:rPr>
          <w:rFonts w:asciiTheme="minorHAnsi" w:hAnsiTheme="minorHAnsi" w:cstheme="minorHAnsi"/>
          <w:color w:val="000000"/>
          <w:sz w:val="24"/>
          <w:szCs w:val="24"/>
        </w:rPr>
        <w:t>.</w:t>
      </w:r>
      <w:r w:rsidR="00A011B4">
        <w:rPr>
          <w:rFonts w:asciiTheme="minorHAnsi" w:hAnsiTheme="minorHAnsi" w:cstheme="minorHAnsi"/>
          <w:color w:val="000000"/>
          <w:sz w:val="24"/>
          <w:szCs w:val="24"/>
        </w:rPr>
        <w:tab/>
      </w:r>
      <w:r w:rsidR="00FC0D4B" w:rsidRPr="00FC0D4B">
        <w:rPr>
          <w:rFonts w:asciiTheme="minorHAnsi" w:hAnsiTheme="minorHAnsi" w:cstheme="minorHAnsi"/>
          <w:color w:val="000000"/>
          <w:sz w:val="24"/>
          <w:szCs w:val="24"/>
        </w:rPr>
        <w:t xml:space="preserve">Zuo J, Dowell AC, Pearce H, et al. Robust SARS-CoV-2-specific T-cell immunity is maintained at 6 months following primary infection. </w:t>
      </w:r>
      <w:r w:rsidR="00FC0D4B" w:rsidRPr="00FC0D4B">
        <w:rPr>
          <w:rFonts w:asciiTheme="minorHAnsi" w:hAnsiTheme="minorHAnsi" w:cstheme="minorHAnsi"/>
          <w:i/>
          <w:iCs/>
          <w:color w:val="000000"/>
          <w:sz w:val="24"/>
          <w:szCs w:val="24"/>
        </w:rPr>
        <w:t>Nat Immunol</w:t>
      </w:r>
      <w:r w:rsidR="00FC0D4B" w:rsidRPr="00FC0D4B">
        <w:rPr>
          <w:rFonts w:asciiTheme="minorHAnsi" w:hAnsiTheme="minorHAnsi" w:cstheme="minorHAnsi"/>
          <w:color w:val="000000"/>
          <w:sz w:val="24"/>
          <w:szCs w:val="24"/>
        </w:rPr>
        <w:t>. 2021;22(5):620-626. doi:10.1038/s41590-021-00902-8</w:t>
      </w:r>
    </w:p>
    <w:p w14:paraId="76160233" w14:textId="403365E7" w:rsidR="005D2EBA" w:rsidRDefault="005D2EBA" w:rsidP="00F31F64">
      <w:pPr>
        <w:pStyle w:val="csl-entry"/>
        <w:spacing w:line="480" w:lineRule="auto"/>
        <w:ind w:left="720" w:hanging="720"/>
        <w:rPr>
          <w:rFonts w:asciiTheme="minorHAnsi" w:hAnsiTheme="minorHAnsi" w:cstheme="minorHAnsi"/>
          <w:color w:val="000000"/>
          <w:sz w:val="24"/>
          <w:szCs w:val="24"/>
        </w:rPr>
      </w:pPr>
      <w:r w:rsidRPr="00A011B4">
        <w:rPr>
          <w:rFonts w:asciiTheme="minorHAnsi" w:hAnsiTheme="minorHAnsi" w:cstheme="minorHAnsi"/>
          <w:color w:val="000000"/>
          <w:sz w:val="24"/>
          <w:szCs w:val="24"/>
        </w:rPr>
        <w:t>127</w:t>
      </w:r>
      <w:r w:rsidR="00A011B4">
        <w:rPr>
          <w:rFonts w:asciiTheme="minorHAnsi" w:hAnsiTheme="minorHAnsi" w:cstheme="minorHAnsi"/>
          <w:color w:val="000000"/>
          <w:sz w:val="24"/>
          <w:szCs w:val="24"/>
        </w:rPr>
        <w:t>.</w:t>
      </w:r>
      <w:r w:rsidR="00A011B4" w:rsidRPr="00A011B4">
        <w:rPr>
          <w:rFonts w:asciiTheme="minorHAnsi" w:hAnsiTheme="minorHAnsi" w:cstheme="minorHAnsi"/>
          <w:color w:val="000000"/>
          <w:sz w:val="24"/>
          <w:szCs w:val="24"/>
        </w:rPr>
        <w:tab/>
        <w:t xml:space="preserve">Tan AT, Linster M, Tan CW, et al. Early induction of functional SARS-CoV-2 specific T cells associates with rapid viral clearance and mild disease in COVID-19 patients. </w:t>
      </w:r>
      <w:r w:rsidR="00A011B4" w:rsidRPr="00A011B4">
        <w:rPr>
          <w:rFonts w:asciiTheme="minorHAnsi" w:hAnsiTheme="minorHAnsi" w:cstheme="minorHAnsi"/>
          <w:i/>
          <w:iCs/>
          <w:color w:val="000000"/>
          <w:sz w:val="24"/>
          <w:szCs w:val="24"/>
        </w:rPr>
        <w:t>Cell Reports</w:t>
      </w:r>
      <w:r w:rsidR="00A011B4" w:rsidRPr="00A011B4">
        <w:rPr>
          <w:rFonts w:asciiTheme="minorHAnsi" w:hAnsiTheme="minorHAnsi" w:cstheme="minorHAnsi"/>
          <w:color w:val="000000"/>
          <w:sz w:val="24"/>
          <w:szCs w:val="24"/>
        </w:rPr>
        <w:t xml:space="preserve">. Published online 2021:108728. </w:t>
      </w:r>
      <w:proofErr w:type="gramStart"/>
      <w:r w:rsidR="00A011B4" w:rsidRPr="00A011B4">
        <w:rPr>
          <w:rFonts w:asciiTheme="minorHAnsi" w:hAnsiTheme="minorHAnsi" w:cstheme="minorHAnsi"/>
          <w:color w:val="000000"/>
          <w:sz w:val="24"/>
          <w:szCs w:val="24"/>
        </w:rPr>
        <w:t>doi:10.1016/j.celrep</w:t>
      </w:r>
      <w:proofErr w:type="gramEnd"/>
      <w:r w:rsidR="00A011B4" w:rsidRPr="00A011B4">
        <w:rPr>
          <w:rFonts w:asciiTheme="minorHAnsi" w:hAnsiTheme="minorHAnsi" w:cstheme="minorHAnsi"/>
          <w:color w:val="000000"/>
          <w:sz w:val="24"/>
          <w:szCs w:val="24"/>
        </w:rPr>
        <w:t>.2021.108728</w:t>
      </w:r>
    </w:p>
    <w:p w14:paraId="0ED938A5" w14:textId="3CE5F30F" w:rsidR="00A011B4" w:rsidRPr="001F23A3" w:rsidRDefault="00A011B4" w:rsidP="001F23A3">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128.</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Cohen KW, Linderman SL, Moodie Z, et al. Longitudinal analysis shows durable and broad immune memory after SARS-CoV-2 infection with persisting antibody responses and memory B and T cells. </w:t>
      </w:r>
      <w:r w:rsidR="00513D44" w:rsidRPr="001F23A3">
        <w:rPr>
          <w:rFonts w:asciiTheme="minorHAnsi" w:hAnsiTheme="minorHAnsi" w:cstheme="minorHAnsi"/>
          <w:i/>
          <w:iCs/>
          <w:color w:val="000000"/>
          <w:sz w:val="24"/>
          <w:szCs w:val="24"/>
        </w:rPr>
        <w:t>Cell Reports Medicine</w:t>
      </w:r>
      <w:r w:rsidR="00513D44" w:rsidRPr="001F23A3">
        <w:rPr>
          <w:rFonts w:asciiTheme="minorHAnsi" w:hAnsiTheme="minorHAnsi" w:cstheme="minorHAnsi"/>
          <w:color w:val="000000"/>
          <w:sz w:val="24"/>
          <w:szCs w:val="24"/>
        </w:rPr>
        <w:t xml:space="preserve">. 2021;2(7):100354. </w:t>
      </w:r>
      <w:proofErr w:type="gramStart"/>
      <w:r w:rsidR="00513D44" w:rsidRPr="001F23A3">
        <w:rPr>
          <w:rFonts w:asciiTheme="minorHAnsi" w:hAnsiTheme="minorHAnsi" w:cstheme="minorHAnsi"/>
          <w:color w:val="000000"/>
          <w:sz w:val="24"/>
          <w:szCs w:val="24"/>
        </w:rPr>
        <w:t>doi:10.1016/j.xcrm</w:t>
      </w:r>
      <w:proofErr w:type="gramEnd"/>
      <w:r w:rsidR="00513D44" w:rsidRPr="001F23A3">
        <w:rPr>
          <w:rFonts w:asciiTheme="minorHAnsi" w:hAnsiTheme="minorHAnsi" w:cstheme="minorHAnsi"/>
          <w:color w:val="000000"/>
          <w:sz w:val="24"/>
          <w:szCs w:val="24"/>
        </w:rPr>
        <w:t>.2021.100354</w:t>
      </w:r>
    </w:p>
    <w:p w14:paraId="421EC3F0" w14:textId="1036DD4E" w:rsidR="00A011B4" w:rsidRPr="005F60C1" w:rsidRDefault="00A011B4" w:rsidP="001F23A3">
      <w:pPr>
        <w:pStyle w:val="csl-entry"/>
        <w:spacing w:line="480" w:lineRule="auto"/>
        <w:ind w:left="720" w:hanging="720"/>
        <w:rPr>
          <w:rFonts w:asciiTheme="minorHAnsi" w:hAnsiTheme="minorHAnsi" w:cstheme="minorHAnsi"/>
          <w:color w:val="000000"/>
          <w:sz w:val="24"/>
          <w:szCs w:val="24"/>
          <w:lang w:val="fr-FR"/>
        </w:rPr>
      </w:pPr>
      <w:r w:rsidRPr="001F23A3">
        <w:rPr>
          <w:rFonts w:asciiTheme="minorHAnsi" w:hAnsiTheme="minorHAnsi" w:cstheme="minorHAnsi"/>
          <w:color w:val="000000"/>
          <w:sz w:val="24"/>
          <w:szCs w:val="24"/>
        </w:rPr>
        <w:lastRenderedPageBreak/>
        <w:t>129.</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Peng Y, Mentzer AJ, Liu G, et al. Broad and strong memory CD4+ and CD8+ T cells induced by SARS-CoV-2 in UK convalescent individuals following COVID-19. </w:t>
      </w:r>
      <w:r w:rsidR="00513D44" w:rsidRPr="005F60C1">
        <w:rPr>
          <w:rFonts w:asciiTheme="minorHAnsi" w:hAnsiTheme="minorHAnsi" w:cstheme="minorHAnsi"/>
          <w:i/>
          <w:iCs/>
          <w:color w:val="000000"/>
          <w:sz w:val="24"/>
          <w:szCs w:val="24"/>
          <w:lang w:val="fr-FR"/>
        </w:rPr>
        <w:t xml:space="preserve">Nat </w:t>
      </w:r>
      <w:proofErr w:type="spellStart"/>
      <w:r w:rsidR="00513D44" w:rsidRPr="005F60C1">
        <w:rPr>
          <w:rFonts w:asciiTheme="minorHAnsi" w:hAnsiTheme="minorHAnsi" w:cstheme="minorHAnsi"/>
          <w:i/>
          <w:iCs/>
          <w:color w:val="000000"/>
          <w:sz w:val="24"/>
          <w:szCs w:val="24"/>
          <w:lang w:val="fr-FR"/>
        </w:rPr>
        <w:t>Immunol</w:t>
      </w:r>
      <w:proofErr w:type="spellEnd"/>
      <w:r w:rsidR="00513D44" w:rsidRPr="005F60C1">
        <w:rPr>
          <w:rFonts w:asciiTheme="minorHAnsi" w:hAnsiTheme="minorHAnsi" w:cstheme="minorHAnsi"/>
          <w:color w:val="000000"/>
          <w:sz w:val="24"/>
          <w:szCs w:val="24"/>
          <w:lang w:val="fr-FR"/>
        </w:rPr>
        <w:t xml:space="preserve">. </w:t>
      </w:r>
      <w:proofErr w:type="gramStart"/>
      <w:r w:rsidR="00513D44" w:rsidRPr="005F60C1">
        <w:rPr>
          <w:rFonts w:asciiTheme="minorHAnsi" w:hAnsiTheme="minorHAnsi" w:cstheme="minorHAnsi"/>
          <w:color w:val="000000"/>
          <w:sz w:val="24"/>
          <w:szCs w:val="24"/>
          <w:lang w:val="fr-FR"/>
        </w:rPr>
        <w:t>2020;</w:t>
      </w:r>
      <w:proofErr w:type="gramEnd"/>
      <w:r w:rsidR="00513D44" w:rsidRPr="005F60C1">
        <w:rPr>
          <w:rFonts w:asciiTheme="minorHAnsi" w:hAnsiTheme="minorHAnsi" w:cstheme="minorHAnsi"/>
          <w:color w:val="000000"/>
          <w:sz w:val="24"/>
          <w:szCs w:val="24"/>
          <w:lang w:val="fr-FR"/>
        </w:rPr>
        <w:t xml:space="preserve">21(11):1336-1345. </w:t>
      </w:r>
      <w:proofErr w:type="gramStart"/>
      <w:r w:rsidR="00513D44" w:rsidRPr="005F60C1">
        <w:rPr>
          <w:rFonts w:asciiTheme="minorHAnsi" w:hAnsiTheme="minorHAnsi" w:cstheme="minorHAnsi"/>
          <w:color w:val="000000"/>
          <w:sz w:val="24"/>
          <w:szCs w:val="24"/>
          <w:lang w:val="fr-FR"/>
        </w:rPr>
        <w:t>doi:</w:t>
      </w:r>
      <w:proofErr w:type="gramEnd"/>
      <w:r w:rsidR="00513D44" w:rsidRPr="005F60C1">
        <w:rPr>
          <w:rFonts w:asciiTheme="minorHAnsi" w:hAnsiTheme="minorHAnsi" w:cstheme="minorHAnsi"/>
          <w:color w:val="000000"/>
          <w:sz w:val="24"/>
          <w:szCs w:val="24"/>
          <w:lang w:val="fr-FR"/>
        </w:rPr>
        <w:t>10.1038/s41590-020-0782-6</w:t>
      </w:r>
    </w:p>
    <w:p w14:paraId="3AA222B9" w14:textId="34A82EB0" w:rsidR="00513D44" w:rsidRPr="001F23A3" w:rsidRDefault="00A011B4" w:rsidP="00E2394D">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130.</w:t>
      </w:r>
      <w:r w:rsidR="00E2394D" w:rsidRPr="005F60C1">
        <w:rPr>
          <w:rFonts w:asciiTheme="minorHAnsi" w:hAnsiTheme="minorHAnsi" w:cstheme="minorHAnsi"/>
          <w:color w:val="000000"/>
          <w:sz w:val="24"/>
          <w:szCs w:val="24"/>
          <w:lang w:val="fr-FR"/>
        </w:rPr>
        <w:tab/>
      </w:r>
      <w:proofErr w:type="spellStart"/>
      <w:r w:rsidR="00513D44" w:rsidRPr="005F60C1">
        <w:rPr>
          <w:rFonts w:asciiTheme="minorHAnsi" w:hAnsiTheme="minorHAnsi" w:cstheme="minorHAnsi"/>
          <w:color w:val="000000"/>
          <w:sz w:val="24"/>
          <w:szCs w:val="24"/>
          <w:lang w:val="fr-FR"/>
        </w:rPr>
        <w:t>Sekine</w:t>
      </w:r>
      <w:proofErr w:type="spellEnd"/>
      <w:r w:rsidR="00513D44" w:rsidRPr="005F60C1">
        <w:rPr>
          <w:rFonts w:asciiTheme="minorHAnsi" w:hAnsiTheme="minorHAnsi" w:cstheme="minorHAnsi"/>
          <w:color w:val="000000"/>
          <w:sz w:val="24"/>
          <w:szCs w:val="24"/>
          <w:lang w:val="fr-FR"/>
        </w:rPr>
        <w:t xml:space="preserve"> T, Perez-</w:t>
      </w:r>
      <w:proofErr w:type="spellStart"/>
      <w:r w:rsidR="00513D44" w:rsidRPr="005F60C1">
        <w:rPr>
          <w:rFonts w:asciiTheme="minorHAnsi" w:hAnsiTheme="minorHAnsi" w:cstheme="minorHAnsi"/>
          <w:color w:val="000000"/>
          <w:sz w:val="24"/>
          <w:szCs w:val="24"/>
          <w:lang w:val="fr-FR"/>
        </w:rPr>
        <w:t>Potti</w:t>
      </w:r>
      <w:proofErr w:type="spellEnd"/>
      <w:r w:rsidR="00513D44" w:rsidRPr="005F60C1">
        <w:rPr>
          <w:rFonts w:asciiTheme="minorHAnsi" w:hAnsiTheme="minorHAnsi" w:cstheme="minorHAnsi"/>
          <w:color w:val="000000"/>
          <w:sz w:val="24"/>
          <w:szCs w:val="24"/>
          <w:lang w:val="fr-FR"/>
        </w:rPr>
        <w:t xml:space="preserve"> A, Rivera-Ballesteros O, et al. </w:t>
      </w:r>
      <w:r w:rsidR="00513D44" w:rsidRPr="001F23A3">
        <w:rPr>
          <w:rFonts w:asciiTheme="minorHAnsi" w:hAnsiTheme="minorHAnsi" w:cstheme="minorHAnsi"/>
          <w:color w:val="000000"/>
          <w:sz w:val="24"/>
          <w:szCs w:val="24"/>
        </w:rPr>
        <w:t xml:space="preserve">Robust T cell immunity in convalescent individuals with asymptomatic or mild COVID-19. </w:t>
      </w:r>
      <w:r w:rsidR="00513D44" w:rsidRPr="001F23A3">
        <w:rPr>
          <w:rFonts w:asciiTheme="minorHAnsi" w:hAnsiTheme="minorHAnsi" w:cstheme="minorHAnsi"/>
          <w:i/>
          <w:iCs/>
          <w:color w:val="000000"/>
          <w:sz w:val="24"/>
          <w:szCs w:val="24"/>
        </w:rPr>
        <w:t>Cell</w:t>
      </w:r>
      <w:r w:rsidR="00513D44" w:rsidRPr="001F23A3">
        <w:rPr>
          <w:rFonts w:asciiTheme="minorHAnsi" w:hAnsiTheme="minorHAnsi" w:cstheme="minorHAnsi"/>
          <w:color w:val="000000"/>
          <w:sz w:val="24"/>
          <w:szCs w:val="24"/>
        </w:rPr>
        <w:t xml:space="preserve">. 2020;183(1):158-168.e14. </w:t>
      </w:r>
      <w:proofErr w:type="gramStart"/>
      <w:r w:rsidR="00513D44" w:rsidRPr="001F23A3">
        <w:rPr>
          <w:rFonts w:asciiTheme="minorHAnsi" w:hAnsiTheme="minorHAnsi" w:cstheme="minorHAnsi"/>
          <w:color w:val="000000"/>
          <w:sz w:val="24"/>
          <w:szCs w:val="24"/>
        </w:rPr>
        <w:t>doi:10.1016/j.cell</w:t>
      </w:r>
      <w:proofErr w:type="gramEnd"/>
      <w:r w:rsidR="00513D44" w:rsidRPr="001F23A3">
        <w:rPr>
          <w:rFonts w:asciiTheme="minorHAnsi" w:hAnsiTheme="minorHAnsi" w:cstheme="minorHAnsi"/>
          <w:color w:val="000000"/>
          <w:sz w:val="24"/>
          <w:szCs w:val="24"/>
        </w:rPr>
        <w:t>.2020.08.017</w:t>
      </w:r>
    </w:p>
    <w:p w14:paraId="0E4CD071" w14:textId="1CDA2E60" w:rsidR="00513D44" w:rsidRPr="001F23A3" w:rsidRDefault="00A011B4"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131.</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Peng Y, </w:t>
      </w:r>
      <w:proofErr w:type="spellStart"/>
      <w:r w:rsidR="00513D44" w:rsidRPr="001F23A3">
        <w:rPr>
          <w:rFonts w:asciiTheme="minorHAnsi" w:hAnsiTheme="minorHAnsi" w:cstheme="minorHAnsi"/>
          <w:color w:val="000000"/>
          <w:sz w:val="24"/>
          <w:szCs w:val="24"/>
        </w:rPr>
        <w:t>Felce</w:t>
      </w:r>
      <w:proofErr w:type="spellEnd"/>
      <w:r w:rsidR="00513D44" w:rsidRPr="001F23A3">
        <w:rPr>
          <w:rFonts w:asciiTheme="minorHAnsi" w:hAnsiTheme="minorHAnsi" w:cstheme="minorHAnsi"/>
          <w:color w:val="000000"/>
          <w:sz w:val="24"/>
          <w:szCs w:val="24"/>
        </w:rPr>
        <w:t xml:space="preserve"> SL, Dong D, et al. An immunodominant NP105–113-B*07:02 cytotoxic T cell response controls viral replication and is associated with less severe COVID-19 disease. </w:t>
      </w:r>
      <w:r w:rsidR="00513D44" w:rsidRPr="001F23A3">
        <w:rPr>
          <w:rFonts w:asciiTheme="minorHAnsi" w:hAnsiTheme="minorHAnsi" w:cstheme="minorHAnsi"/>
          <w:i/>
          <w:iCs/>
          <w:color w:val="000000"/>
          <w:sz w:val="24"/>
          <w:szCs w:val="24"/>
        </w:rPr>
        <w:t>Nat Immunol</w:t>
      </w:r>
      <w:r w:rsidR="00513D44" w:rsidRPr="001F23A3">
        <w:rPr>
          <w:rFonts w:asciiTheme="minorHAnsi" w:hAnsiTheme="minorHAnsi" w:cstheme="minorHAnsi"/>
          <w:color w:val="000000"/>
          <w:sz w:val="24"/>
          <w:szCs w:val="24"/>
        </w:rPr>
        <w:t>. 2022;23(1):50-61. doi:10.1038/s41590-021-01084-z</w:t>
      </w:r>
    </w:p>
    <w:p w14:paraId="7AE55B22" w14:textId="7931DCE8" w:rsidR="00513D44" w:rsidRPr="001F23A3" w:rsidRDefault="00A011B4"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132.</w:t>
      </w:r>
      <w:r w:rsidR="00513D44" w:rsidRPr="001F23A3">
        <w:rPr>
          <w:rFonts w:asciiTheme="minorHAnsi" w:hAnsiTheme="minorHAnsi" w:cstheme="minorHAnsi"/>
          <w:color w:val="000000"/>
          <w:sz w:val="24"/>
          <w:szCs w:val="24"/>
        </w:rPr>
        <w:t xml:space="preserve"> </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Thieme CJ, </w:t>
      </w:r>
      <w:proofErr w:type="spellStart"/>
      <w:r w:rsidR="00513D44" w:rsidRPr="001F23A3">
        <w:rPr>
          <w:rFonts w:asciiTheme="minorHAnsi" w:hAnsiTheme="minorHAnsi" w:cstheme="minorHAnsi"/>
          <w:color w:val="000000"/>
          <w:sz w:val="24"/>
          <w:szCs w:val="24"/>
        </w:rPr>
        <w:t>Anft</w:t>
      </w:r>
      <w:proofErr w:type="spellEnd"/>
      <w:r w:rsidR="00513D44" w:rsidRPr="001F23A3">
        <w:rPr>
          <w:rFonts w:asciiTheme="minorHAnsi" w:hAnsiTheme="minorHAnsi" w:cstheme="minorHAnsi"/>
          <w:color w:val="000000"/>
          <w:sz w:val="24"/>
          <w:szCs w:val="24"/>
        </w:rPr>
        <w:t xml:space="preserve"> M, </w:t>
      </w:r>
      <w:proofErr w:type="spellStart"/>
      <w:r w:rsidR="00513D44" w:rsidRPr="001F23A3">
        <w:rPr>
          <w:rFonts w:asciiTheme="minorHAnsi" w:hAnsiTheme="minorHAnsi" w:cstheme="minorHAnsi"/>
          <w:color w:val="000000"/>
          <w:sz w:val="24"/>
          <w:szCs w:val="24"/>
        </w:rPr>
        <w:t>Paniskaki</w:t>
      </w:r>
      <w:proofErr w:type="spellEnd"/>
      <w:r w:rsidR="00513D44" w:rsidRPr="001F23A3">
        <w:rPr>
          <w:rFonts w:asciiTheme="minorHAnsi" w:hAnsiTheme="minorHAnsi" w:cstheme="minorHAnsi"/>
          <w:color w:val="000000"/>
          <w:sz w:val="24"/>
          <w:szCs w:val="24"/>
        </w:rPr>
        <w:t xml:space="preserve"> K, et al. Robust T Cell Response Toward Spike, Membrane, and Nucleocapsid SARS-CoV-2 Proteins Is Not Associated with Recovery in Critical COVID-19 Patients. </w:t>
      </w:r>
      <w:r w:rsidR="00513D44" w:rsidRPr="001F23A3">
        <w:rPr>
          <w:rFonts w:asciiTheme="minorHAnsi" w:hAnsiTheme="minorHAnsi" w:cstheme="minorHAnsi"/>
          <w:i/>
          <w:iCs/>
          <w:color w:val="000000"/>
          <w:sz w:val="24"/>
          <w:szCs w:val="24"/>
        </w:rPr>
        <w:t>Cell Reports Medicine</w:t>
      </w:r>
      <w:r w:rsidR="00513D44" w:rsidRPr="001F23A3">
        <w:rPr>
          <w:rFonts w:asciiTheme="minorHAnsi" w:hAnsiTheme="minorHAnsi" w:cstheme="minorHAnsi"/>
          <w:color w:val="000000"/>
          <w:sz w:val="24"/>
          <w:szCs w:val="24"/>
        </w:rPr>
        <w:t xml:space="preserve">. 2020;1(6):100092. </w:t>
      </w:r>
      <w:proofErr w:type="gramStart"/>
      <w:r w:rsidR="00513D44" w:rsidRPr="001F23A3">
        <w:rPr>
          <w:rFonts w:asciiTheme="minorHAnsi" w:hAnsiTheme="minorHAnsi" w:cstheme="minorHAnsi"/>
          <w:color w:val="000000"/>
          <w:sz w:val="24"/>
          <w:szCs w:val="24"/>
        </w:rPr>
        <w:t>doi:10.1016/j.xcrm</w:t>
      </w:r>
      <w:proofErr w:type="gramEnd"/>
      <w:r w:rsidR="00513D44" w:rsidRPr="001F23A3">
        <w:rPr>
          <w:rFonts w:asciiTheme="minorHAnsi" w:hAnsiTheme="minorHAnsi" w:cstheme="minorHAnsi"/>
          <w:color w:val="000000"/>
          <w:sz w:val="24"/>
          <w:szCs w:val="24"/>
        </w:rPr>
        <w:t>.2020.100092</w:t>
      </w:r>
    </w:p>
    <w:p w14:paraId="5DC4674D" w14:textId="2DBBDB73" w:rsidR="00A011B4" w:rsidRPr="001F23A3" w:rsidRDefault="00A011B4" w:rsidP="001F23A3">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133.</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Mathew D, Giles JR, Baxter AE, et al. Deep immune profiling of COVID-19 patients reveals distinct immunotypes with therapeutic implications. </w:t>
      </w:r>
      <w:r w:rsidR="00513D44" w:rsidRPr="001F23A3">
        <w:rPr>
          <w:rFonts w:asciiTheme="minorHAnsi" w:hAnsiTheme="minorHAnsi" w:cstheme="minorHAnsi"/>
          <w:i/>
          <w:iCs/>
          <w:color w:val="000000"/>
          <w:sz w:val="24"/>
          <w:szCs w:val="24"/>
        </w:rPr>
        <w:t>Science</w:t>
      </w:r>
      <w:r w:rsidR="00513D44" w:rsidRPr="001F23A3">
        <w:rPr>
          <w:rFonts w:asciiTheme="minorHAnsi" w:hAnsiTheme="minorHAnsi" w:cstheme="minorHAnsi"/>
          <w:color w:val="000000"/>
          <w:sz w:val="24"/>
          <w:szCs w:val="24"/>
        </w:rPr>
        <w:t xml:space="preserve">. Published online </w:t>
      </w:r>
      <w:proofErr w:type="gramStart"/>
      <w:r w:rsidR="00513D44" w:rsidRPr="001F23A3">
        <w:rPr>
          <w:rFonts w:asciiTheme="minorHAnsi" w:hAnsiTheme="minorHAnsi" w:cstheme="minorHAnsi"/>
          <w:color w:val="000000"/>
          <w:sz w:val="24"/>
          <w:szCs w:val="24"/>
        </w:rPr>
        <w:t>2020:eabc</w:t>
      </w:r>
      <w:proofErr w:type="gramEnd"/>
      <w:r w:rsidR="00513D44" w:rsidRPr="001F23A3">
        <w:rPr>
          <w:rFonts w:asciiTheme="minorHAnsi" w:hAnsiTheme="minorHAnsi" w:cstheme="minorHAnsi"/>
          <w:color w:val="000000"/>
          <w:sz w:val="24"/>
          <w:szCs w:val="24"/>
        </w:rPr>
        <w:t>8511. doi:10.1126/science.abc8511</w:t>
      </w:r>
    </w:p>
    <w:p w14:paraId="29DBECC8" w14:textId="6A94B09C" w:rsidR="00513D44" w:rsidRPr="001F23A3" w:rsidRDefault="00A011B4"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134.</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Li S, Jiang L, Li X, et al. Clinical and pathological investigation of patients with severe COVID-19. </w:t>
      </w:r>
      <w:proofErr w:type="spellStart"/>
      <w:r w:rsidR="00513D44" w:rsidRPr="001F23A3">
        <w:rPr>
          <w:rFonts w:asciiTheme="minorHAnsi" w:hAnsiTheme="minorHAnsi" w:cstheme="minorHAnsi"/>
          <w:i/>
          <w:iCs/>
          <w:color w:val="000000"/>
          <w:sz w:val="24"/>
          <w:szCs w:val="24"/>
        </w:rPr>
        <w:t>Jci</w:t>
      </w:r>
      <w:proofErr w:type="spellEnd"/>
      <w:r w:rsidR="00513D44" w:rsidRPr="001F23A3">
        <w:rPr>
          <w:rFonts w:asciiTheme="minorHAnsi" w:hAnsiTheme="minorHAnsi" w:cstheme="minorHAnsi"/>
          <w:i/>
          <w:iCs/>
          <w:color w:val="000000"/>
          <w:sz w:val="24"/>
          <w:szCs w:val="24"/>
        </w:rPr>
        <w:t xml:space="preserve"> Insight</w:t>
      </w:r>
      <w:r w:rsidR="00513D44" w:rsidRPr="001F23A3">
        <w:rPr>
          <w:rFonts w:asciiTheme="minorHAnsi" w:hAnsiTheme="minorHAnsi" w:cstheme="minorHAnsi"/>
          <w:color w:val="000000"/>
          <w:sz w:val="24"/>
          <w:szCs w:val="24"/>
        </w:rPr>
        <w:t xml:space="preserve">. 2020;5(12). </w:t>
      </w:r>
      <w:proofErr w:type="gramStart"/>
      <w:r w:rsidR="00513D44" w:rsidRPr="001F23A3">
        <w:rPr>
          <w:rFonts w:asciiTheme="minorHAnsi" w:hAnsiTheme="minorHAnsi" w:cstheme="minorHAnsi"/>
          <w:color w:val="000000"/>
          <w:sz w:val="24"/>
          <w:szCs w:val="24"/>
        </w:rPr>
        <w:t>doi:10.1172/jci.insight</w:t>
      </w:r>
      <w:proofErr w:type="gramEnd"/>
      <w:r w:rsidR="00513D44" w:rsidRPr="001F23A3">
        <w:rPr>
          <w:rFonts w:asciiTheme="minorHAnsi" w:hAnsiTheme="minorHAnsi" w:cstheme="minorHAnsi"/>
          <w:color w:val="000000"/>
          <w:sz w:val="24"/>
          <w:szCs w:val="24"/>
        </w:rPr>
        <w:t>.138070</w:t>
      </w:r>
    </w:p>
    <w:p w14:paraId="7693A5A1" w14:textId="2205D68A" w:rsidR="00513D44" w:rsidRPr="001F23A3" w:rsidRDefault="00A011B4"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lastRenderedPageBreak/>
        <w:t>135</w:t>
      </w:r>
      <w:r w:rsidR="002251A5" w:rsidRPr="001F23A3">
        <w:rPr>
          <w:rFonts w:asciiTheme="minorHAnsi" w:hAnsiTheme="minorHAnsi" w:cstheme="minorHAnsi"/>
          <w:color w:val="000000"/>
          <w:sz w:val="24"/>
          <w:szCs w:val="24"/>
        </w:rPr>
        <w:t>.</w:t>
      </w:r>
      <w:r w:rsidR="00E2394D">
        <w:rPr>
          <w:rFonts w:asciiTheme="minorHAnsi" w:hAnsiTheme="minorHAnsi" w:cstheme="minorHAnsi"/>
          <w:color w:val="000000"/>
          <w:sz w:val="24"/>
          <w:szCs w:val="24"/>
        </w:rPr>
        <w:tab/>
      </w:r>
      <w:proofErr w:type="spellStart"/>
      <w:r w:rsidR="00513D44" w:rsidRPr="001F23A3">
        <w:rPr>
          <w:rFonts w:asciiTheme="minorHAnsi" w:hAnsiTheme="minorHAnsi" w:cstheme="minorHAnsi"/>
          <w:color w:val="000000"/>
          <w:sz w:val="24"/>
          <w:szCs w:val="24"/>
        </w:rPr>
        <w:t>Radermecker</w:t>
      </w:r>
      <w:proofErr w:type="spellEnd"/>
      <w:r w:rsidR="00513D44" w:rsidRPr="001F23A3">
        <w:rPr>
          <w:rFonts w:asciiTheme="minorHAnsi" w:hAnsiTheme="minorHAnsi" w:cstheme="minorHAnsi"/>
          <w:color w:val="000000"/>
          <w:sz w:val="24"/>
          <w:szCs w:val="24"/>
        </w:rPr>
        <w:t xml:space="preserve"> C, </w:t>
      </w:r>
      <w:proofErr w:type="spellStart"/>
      <w:r w:rsidR="00513D44" w:rsidRPr="001F23A3">
        <w:rPr>
          <w:rFonts w:asciiTheme="minorHAnsi" w:hAnsiTheme="minorHAnsi" w:cstheme="minorHAnsi"/>
          <w:color w:val="000000"/>
          <w:sz w:val="24"/>
          <w:szCs w:val="24"/>
        </w:rPr>
        <w:t>Detrembleur</w:t>
      </w:r>
      <w:proofErr w:type="spellEnd"/>
      <w:r w:rsidR="00513D44" w:rsidRPr="001F23A3">
        <w:rPr>
          <w:rFonts w:asciiTheme="minorHAnsi" w:hAnsiTheme="minorHAnsi" w:cstheme="minorHAnsi"/>
          <w:color w:val="000000"/>
          <w:sz w:val="24"/>
          <w:szCs w:val="24"/>
        </w:rPr>
        <w:t xml:space="preserve"> N, Guiot J, et al. Neutrophil extracellular traps infiltrate the lung airway, interstitial, and vascular compartments in severe COVID-19. </w:t>
      </w:r>
      <w:r w:rsidR="00513D44" w:rsidRPr="001F23A3">
        <w:rPr>
          <w:rFonts w:asciiTheme="minorHAnsi" w:hAnsiTheme="minorHAnsi" w:cstheme="minorHAnsi"/>
          <w:i/>
          <w:iCs/>
          <w:color w:val="000000"/>
          <w:sz w:val="24"/>
          <w:szCs w:val="24"/>
        </w:rPr>
        <w:t>J Exp Med</w:t>
      </w:r>
      <w:r w:rsidR="00513D44" w:rsidRPr="001F23A3">
        <w:rPr>
          <w:rFonts w:asciiTheme="minorHAnsi" w:hAnsiTheme="minorHAnsi" w:cstheme="minorHAnsi"/>
          <w:color w:val="000000"/>
          <w:sz w:val="24"/>
          <w:szCs w:val="24"/>
        </w:rPr>
        <w:t>. 2020;217(12). doi:10.1084/jem.20201012</w:t>
      </w:r>
    </w:p>
    <w:p w14:paraId="6778F9E8" w14:textId="1F595A81" w:rsidR="00513D44" w:rsidRPr="001F23A3" w:rsidRDefault="002251A5"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t>136.</w:t>
      </w:r>
      <w:r w:rsidR="00E2394D">
        <w:rPr>
          <w:rFonts w:asciiTheme="minorHAnsi" w:hAnsiTheme="minorHAnsi" w:cstheme="minorHAnsi"/>
          <w:color w:val="000000"/>
          <w:sz w:val="24"/>
          <w:szCs w:val="24"/>
        </w:rPr>
        <w:tab/>
      </w:r>
      <w:proofErr w:type="spellStart"/>
      <w:r w:rsidR="00513D44" w:rsidRPr="001F23A3">
        <w:rPr>
          <w:rFonts w:asciiTheme="minorHAnsi" w:hAnsiTheme="minorHAnsi" w:cstheme="minorHAnsi"/>
          <w:color w:val="000000"/>
          <w:sz w:val="24"/>
          <w:szCs w:val="24"/>
        </w:rPr>
        <w:t>Schurink</w:t>
      </w:r>
      <w:proofErr w:type="spellEnd"/>
      <w:r w:rsidR="00513D44" w:rsidRPr="001F23A3">
        <w:rPr>
          <w:rFonts w:asciiTheme="minorHAnsi" w:hAnsiTheme="minorHAnsi" w:cstheme="minorHAnsi"/>
          <w:color w:val="000000"/>
          <w:sz w:val="24"/>
          <w:szCs w:val="24"/>
        </w:rPr>
        <w:t xml:space="preserve"> B, </w:t>
      </w:r>
      <w:proofErr w:type="spellStart"/>
      <w:r w:rsidR="00513D44" w:rsidRPr="001F23A3">
        <w:rPr>
          <w:rFonts w:asciiTheme="minorHAnsi" w:hAnsiTheme="minorHAnsi" w:cstheme="minorHAnsi"/>
          <w:color w:val="000000"/>
          <w:sz w:val="24"/>
          <w:szCs w:val="24"/>
        </w:rPr>
        <w:t>Roos</w:t>
      </w:r>
      <w:proofErr w:type="spellEnd"/>
      <w:r w:rsidR="00513D44" w:rsidRPr="001F23A3">
        <w:rPr>
          <w:rFonts w:asciiTheme="minorHAnsi" w:hAnsiTheme="minorHAnsi" w:cstheme="minorHAnsi"/>
          <w:color w:val="000000"/>
          <w:sz w:val="24"/>
          <w:szCs w:val="24"/>
        </w:rPr>
        <w:t xml:space="preserve"> E, </w:t>
      </w:r>
      <w:proofErr w:type="spellStart"/>
      <w:r w:rsidR="00513D44" w:rsidRPr="001F23A3">
        <w:rPr>
          <w:rFonts w:asciiTheme="minorHAnsi" w:hAnsiTheme="minorHAnsi" w:cstheme="minorHAnsi"/>
          <w:color w:val="000000"/>
          <w:sz w:val="24"/>
          <w:szCs w:val="24"/>
        </w:rPr>
        <w:t>Radonic</w:t>
      </w:r>
      <w:proofErr w:type="spellEnd"/>
      <w:r w:rsidR="00513D44" w:rsidRPr="001F23A3">
        <w:rPr>
          <w:rFonts w:asciiTheme="minorHAnsi" w:hAnsiTheme="minorHAnsi" w:cstheme="minorHAnsi"/>
          <w:color w:val="000000"/>
          <w:sz w:val="24"/>
          <w:szCs w:val="24"/>
        </w:rPr>
        <w:t xml:space="preserve"> T, et al. Viral presence and immunopathology in patients with lethal COVID-19: a prospective autopsy cohort study. </w:t>
      </w:r>
      <w:r w:rsidR="00513D44" w:rsidRPr="001F23A3">
        <w:rPr>
          <w:rFonts w:asciiTheme="minorHAnsi" w:hAnsiTheme="minorHAnsi" w:cstheme="minorHAnsi"/>
          <w:i/>
          <w:iCs/>
          <w:color w:val="000000"/>
          <w:sz w:val="24"/>
          <w:szCs w:val="24"/>
        </w:rPr>
        <w:t>Lancet Microbe</w:t>
      </w:r>
      <w:r w:rsidR="00513D44" w:rsidRPr="001F23A3">
        <w:rPr>
          <w:rFonts w:asciiTheme="minorHAnsi" w:hAnsiTheme="minorHAnsi" w:cstheme="minorHAnsi"/>
          <w:color w:val="000000"/>
          <w:sz w:val="24"/>
          <w:szCs w:val="24"/>
        </w:rPr>
        <w:t>. 2020;1(7</w:t>
      </w:r>
      <w:proofErr w:type="gramStart"/>
      <w:r w:rsidR="00513D44" w:rsidRPr="001F23A3">
        <w:rPr>
          <w:rFonts w:asciiTheme="minorHAnsi" w:hAnsiTheme="minorHAnsi" w:cstheme="minorHAnsi"/>
          <w:color w:val="000000"/>
          <w:sz w:val="24"/>
          <w:szCs w:val="24"/>
        </w:rPr>
        <w:t>):e</w:t>
      </w:r>
      <w:proofErr w:type="gramEnd"/>
      <w:r w:rsidR="00513D44" w:rsidRPr="001F23A3">
        <w:rPr>
          <w:rFonts w:asciiTheme="minorHAnsi" w:hAnsiTheme="minorHAnsi" w:cstheme="minorHAnsi"/>
          <w:color w:val="000000"/>
          <w:sz w:val="24"/>
          <w:szCs w:val="24"/>
        </w:rPr>
        <w:t>290-e299. doi:10.1016/s2666-5247(20)30144-0</w:t>
      </w:r>
    </w:p>
    <w:p w14:paraId="3D4F6457" w14:textId="722A45E7" w:rsidR="00513D44" w:rsidRPr="005F60C1" w:rsidRDefault="002251A5" w:rsidP="00E2394D">
      <w:pPr>
        <w:pStyle w:val="csl-entry"/>
        <w:spacing w:line="480" w:lineRule="auto"/>
        <w:ind w:left="720" w:hanging="720"/>
        <w:rPr>
          <w:rFonts w:asciiTheme="minorHAnsi" w:hAnsiTheme="minorHAnsi" w:cstheme="minorHAnsi"/>
          <w:color w:val="000000"/>
          <w:sz w:val="24"/>
          <w:szCs w:val="24"/>
          <w:lang w:val="fr-FR"/>
        </w:rPr>
      </w:pPr>
      <w:r w:rsidRPr="001F23A3">
        <w:rPr>
          <w:rFonts w:asciiTheme="minorHAnsi" w:hAnsiTheme="minorHAnsi" w:cstheme="minorHAnsi"/>
          <w:color w:val="000000"/>
          <w:sz w:val="24"/>
          <w:szCs w:val="24"/>
        </w:rPr>
        <w:t>137</w:t>
      </w:r>
      <w:r w:rsidR="00E2394D">
        <w:rPr>
          <w:rFonts w:asciiTheme="minorHAnsi" w:hAnsiTheme="minorHAnsi" w:cstheme="minorHAnsi"/>
          <w:color w:val="000000"/>
          <w:sz w:val="24"/>
          <w:szCs w:val="24"/>
        </w:rPr>
        <w:tab/>
      </w:r>
      <w:r w:rsidR="00513D44" w:rsidRPr="001F23A3">
        <w:rPr>
          <w:rFonts w:asciiTheme="minorHAnsi" w:hAnsiTheme="minorHAnsi" w:cstheme="minorHAnsi"/>
          <w:color w:val="000000"/>
          <w:sz w:val="24"/>
          <w:szCs w:val="24"/>
        </w:rPr>
        <w:t xml:space="preserve">Masso-Silva JA, </w:t>
      </w:r>
      <w:proofErr w:type="spellStart"/>
      <w:r w:rsidR="00513D44" w:rsidRPr="001F23A3">
        <w:rPr>
          <w:rFonts w:asciiTheme="minorHAnsi" w:hAnsiTheme="minorHAnsi" w:cstheme="minorHAnsi"/>
          <w:color w:val="000000"/>
          <w:sz w:val="24"/>
          <w:szCs w:val="24"/>
        </w:rPr>
        <w:t>Moshensky</w:t>
      </w:r>
      <w:proofErr w:type="spellEnd"/>
      <w:r w:rsidR="00513D44" w:rsidRPr="001F23A3">
        <w:rPr>
          <w:rFonts w:asciiTheme="minorHAnsi" w:hAnsiTheme="minorHAnsi" w:cstheme="minorHAnsi"/>
          <w:color w:val="000000"/>
          <w:sz w:val="24"/>
          <w:szCs w:val="24"/>
        </w:rPr>
        <w:t xml:space="preserve"> A, Lam MTY, et al. Increased peripheral blood neutrophil activation phenotypes and </w:t>
      </w:r>
      <w:proofErr w:type="spellStart"/>
      <w:r w:rsidR="00513D44" w:rsidRPr="001F23A3">
        <w:rPr>
          <w:rFonts w:asciiTheme="minorHAnsi" w:hAnsiTheme="minorHAnsi" w:cstheme="minorHAnsi"/>
          <w:color w:val="000000"/>
          <w:sz w:val="24"/>
          <w:szCs w:val="24"/>
        </w:rPr>
        <w:t>NETosis</w:t>
      </w:r>
      <w:proofErr w:type="spellEnd"/>
      <w:r w:rsidR="00513D44" w:rsidRPr="001F23A3">
        <w:rPr>
          <w:rFonts w:asciiTheme="minorHAnsi" w:hAnsiTheme="minorHAnsi" w:cstheme="minorHAnsi"/>
          <w:color w:val="000000"/>
          <w:sz w:val="24"/>
          <w:szCs w:val="24"/>
        </w:rPr>
        <w:t xml:space="preserve"> in critically ill COVID-19 patients: a case series and review of the literature. </w:t>
      </w:r>
      <w:r w:rsidR="00513D44" w:rsidRPr="005F60C1">
        <w:rPr>
          <w:rFonts w:asciiTheme="minorHAnsi" w:hAnsiTheme="minorHAnsi" w:cstheme="minorHAnsi"/>
          <w:i/>
          <w:iCs/>
          <w:color w:val="000000"/>
          <w:sz w:val="24"/>
          <w:szCs w:val="24"/>
          <w:lang w:val="fr-FR"/>
        </w:rPr>
        <w:t>Clin Infect Dis</w:t>
      </w:r>
      <w:r w:rsidR="00513D44" w:rsidRPr="005F60C1">
        <w:rPr>
          <w:rFonts w:asciiTheme="minorHAnsi" w:hAnsiTheme="minorHAnsi" w:cstheme="minorHAnsi"/>
          <w:color w:val="000000"/>
          <w:sz w:val="24"/>
          <w:szCs w:val="24"/>
          <w:lang w:val="fr-FR"/>
        </w:rPr>
        <w:t xml:space="preserve">. </w:t>
      </w:r>
      <w:proofErr w:type="gramStart"/>
      <w:r w:rsidR="00513D44" w:rsidRPr="005F60C1">
        <w:rPr>
          <w:rFonts w:asciiTheme="minorHAnsi" w:hAnsiTheme="minorHAnsi" w:cstheme="minorHAnsi"/>
          <w:color w:val="000000"/>
          <w:sz w:val="24"/>
          <w:szCs w:val="24"/>
          <w:lang w:val="fr-FR"/>
        </w:rPr>
        <w:t>2021;</w:t>
      </w:r>
      <w:proofErr w:type="gramEnd"/>
      <w:r w:rsidR="00513D44" w:rsidRPr="005F60C1">
        <w:rPr>
          <w:rFonts w:asciiTheme="minorHAnsi" w:hAnsiTheme="minorHAnsi" w:cstheme="minorHAnsi"/>
          <w:color w:val="000000"/>
          <w:sz w:val="24"/>
          <w:szCs w:val="24"/>
          <w:lang w:val="fr-FR"/>
        </w:rPr>
        <w:t xml:space="preserve">21(10):ciab437-. </w:t>
      </w:r>
      <w:proofErr w:type="gramStart"/>
      <w:r w:rsidR="00513D44" w:rsidRPr="005F60C1">
        <w:rPr>
          <w:rFonts w:asciiTheme="minorHAnsi" w:hAnsiTheme="minorHAnsi" w:cstheme="minorHAnsi"/>
          <w:color w:val="000000"/>
          <w:sz w:val="24"/>
          <w:szCs w:val="24"/>
          <w:lang w:val="fr-FR"/>
        </w:rPr>
        <w:t>doi:</w:t>
      </w:r>
      <w:proofErr w:type="gramEnd"/>
      <w:r w:rsidR="00513D44" w:rsidRPr="005F60C1">
        <w:rPr>
          <w:rFonts w:asciiTheme="minorHAnsi" w:hAnsiTheme="minorHAnsi" w:cstheme="minorHAnsi"/>
          <w:color w:val="000000"/>
          <w:sz w:val="24"/>
          <w:szCs w:val="24"/>
          <w:lang w:val="fr-FR"/>
        </w:rPr>
        <w:t>10.1093/cid/ciab437</w:t>
      </w:r>
    </w:p>
    <w:p w14:paraId="7C04CC81" w14:textId="153F53F4" w:rsidR="00513D44" w:rsidRPr="001F23A3" w:rsidRDefault="002251A5" w:rsidP="00E2394D">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138.</w:t>
      </w:r>
      <w:r w:rsidR="00E2394D" w:rsidRPr="005F60C1">
        <w:rPr>
          <w:rFonts w:asciiTheme="minorHAnsi" w:hAnsiTheme="minorHAnsi" w:cstheme="minorHAnsi"/>
          <w:color w:val="000000"/>
          <w:sz w:val="24"/>
          <w:szCs w:val="24"/>
          <w:lang w:val="fr-FR"/>
        </w:rPr>
        <w:tab/>
      </w:r>
      <w:r w:rsidR="00513D44" w:rsidRPr="005F60C1">
        <w:rPr>
          <w:rFonts w:asciiTheme="minorHAnsi" w:hAnsiTheme="minorHAnsi" w:cstheme="minorHAnsi"/>
          <w:color w:val="000000"/>
          <w:sz w:val="24"/>
          <w:szCs w:val="24"/>
          <w:lang w:val="fr-FR"/>
        </w:rPr>
        <w:t xml:space="preserve">Liao M, Liu Y, Yuan J, et al. </w:t>
      </w:r>
      <w:r w:rsidR="00513D44" w:rsidRPr="001F23A3">
        <w:rPr>
          <w:rFonts w:asciiTheme="minorHAnsi" w:hAnsiTheme="minorHAnsi" w:cstheme="minorHAnsi"/>
          <w:color w:val="000000"/>
          <w:sz w:val="24"/>
          <w:szCs w:val="24"/>
        </w:rPr>
        <w:t xml:space="preserve">Single-cell landscape of bronchoalveolar immune cells in patients with COVID-19. </w:t>
      </w:r>
      <w:r w:rsidR="00513D44" w:rsidRPr="001F23A3">
        <w:rPr>
          <w:rFonts w:asciiTheme="minorHAnsi" w:hAnsiTheme="minorHAnsi" w:cstheme="minorHAnsi"/>
          <w:i/>
          <w:iCs/>
          <w:color w:val="000000"/>
          <w:sz w:val="24"/>
          <w:szCs w:val="24"/>
        </w:rPr>
        <w:t>Nat Med</w:t>
      </w:r>
      <w:r w:rsidR="00513D44" w:rsidRPr="001F23A3">
        <w:rPr>
          <w:rFonts w:asciiTheme="minorHAnsi" w:hAnsiTheme="minorHAnsi" w:cstheme="minorHAnsi"/>
          <w:color w:val="000000"/>
          <w:sz w:val="24"/>
          <w:szCs w:val="24"/>
        </w:rPr>
        <w:t>. 2020;26(6):842-844. doi:10.1038/s41591-020-0901-9</w:t>
      </w:r>
    </w:p>
    <w:p w14:paraId="15166D7E" w14:textId="2B050D6E" w:rsidR="00513D44" w:rsidRPr="005F60C1" w:rsidRDefault="00513D44" w:rsidP="00E2394D">
      <w:pPr>
        <w:pStyle w:val="csl-entry"/>
        <w:spacing w:line="480" w:lineRule="auto"/>
        <w:ind w:left="720" w:hanging="720"/>
        <w:rPr>
          <w:rFonts w:asciiTheme="minorHAnsi" w:hAnsiTheme="minorHAnsi" w:cstheme="minorHAnsi"/>
          <w:color w:val="000000"/>
          <w:sz w:val="24"/>
          <w:szCs w:val="24"/>
          <w:lang w:val="fr-FR"/>
        </w:rPr>
      </w:pPr>
      <w:r w:rsidRPr="001F23A3">
        <w:rPr>
          <w:rFonts w:asciiTheme="minorHAnsi" w:hAnsiTheme="minorHAnsi" w:cstheme="minorHAnsi"/>
          <w:color w:val="000000"/>
          <w:sz w:val="24"/>
          <w:szCs w:val="24"/>
        </w:rPr>
        <w:t>139.</w:t>
      </w:r>
      <w:r w:rsidR="00E2394D">
        <w:rPr>
          <w:rFonts w:asciiTheme="minorHAnsi" w:hAnsiTheme="minorHAnsi" w:cstheme="minorHAnsi"/>
          <w:color w:val="000000"/>
          <w:sz w:val="24"/>
          <w:szCs w:val="24"/>
        </w:rPr>
        <w:tab/>
      </w:r>
      <w:r w:rsidRPr="001F23A3">
        <w:rPr>
          <w:rFonts w:asciiTheme="minorHAnsi" w:hAnsiTheme="minorHAnsi" w:cstheme="minorHAnsi"/>
          <w:color w:val="000000"/>
          <w:sz w:val="24"/>
          <w:szCs w:val="24"/>
        </w:rPr>
        <w:t xml:space="preserve">Oja AE, Saris A, Ghandour CA, et al. Divergent SARS‐CoV‐2‐specific T‐ and B‐cell responses in severe but not mild COVID‐19 patients. </w:t>
      </w:r>
      <w:proofErr w:type="spellStart"/>
      <w:r w:rsidRPr="005F60C1">
        <w:rPr>
          <w:rFonts w:asciiTheme="minorHAnsi" w:hAnsiTheme="minorHAnsi" w:cstheme="minorHAnsi"/>
          <w:i/>
          <w:iCs/>
          <w:color w:val="000000"/>
          <w:sz w:val="24"/>
          <w:szCs w:val="24"/>
          <w:lang w:val="fr-FR"/>
        </w:rPr>
        <w:t>Eur</w:t>
      </w:r>
      <w:proofErr w:type="spellEnd"/>
      <w:r w:rsidRPr="005F60C1">
        <w:rPr>
          <w:rFonts w:asciiTheme="minorHAnsi" w:hAnsiTheme="minorHAnsi" w:cstheme="minorHAnsi"/>
          <w:i/>
          <w:iCs/>
          <w:color w:val="000000"/>
          <w:sz w:val="24"/>
          <w:szCs w:val="24"/>
          <w:lang w:val="fr-FR"/>
        </w:rPr>
        <w:t xml:space="preserve"> J </w:t>
      </w:r>
      <w:proofErr w:type="spellStart"/>
      <w:r w:rsidRPr="005F60C1">
        <w:rPr>
          <w:rFonts w:asciiTheme="minorHAnsi" w:hAnsiTheme="minorHAnsi" w:cstheme="minorHAnsi"/>
          <w:i/>
          <w:iCs/>
          <w:color w:val="000000"/>
          <w:sz w:val="24"/>
          <w:szCs w:val="24"/>
          <w:lang w:val="fr-FR"/>
        </w:rPr>
        <w:t>Immunol</w:t>
      </w:r>
      <w:proofErr w:type="spellEnd"/>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2020;</w:t>
      </w:r>
      <w:proofErr w:type="gramEnd"/>
      <w:r w:rsidRPr="005F60C1">
        <w:rPr>
          <w:rFonts w:asciiTheme="minorHAnsi" w:hAnsiTheme="minorHAnsi" w:cstheme="minorHAnsi"/>
          <w:color w:val="000000"/>
          <w:sz w:val="24"/>
          <w:szCs w:val="24"/>
          <w:lang w:val="fr-FR"/>
        </w:rPr>
        <w:t xml:space="preserve">50(12):1998-2012.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10.1002/eji.202048908</w:t>
      </w:r>
    </w:p>
    <w:p w14:paraId="7CEBDDFD" w14:textId="01DF78B8" w:rsidR="00513D44" w:rsidRPr="001F23A3" w:rsidRDefault="00513D44" w:rsidP="00E2394D">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140.</w:t>
      </w:r>
      <w:r w:rsidR="00E2394D" w:rsidRPr="005F60C1">
        <w:rPr>
          <w:rFonts w:asciiTheme="minorHAnsi" w:hAnsiTheme="minorHAnsi" w:cstheme="minorHAnsi"/>
          <w:color w:val="000000"/>
          <w:sz w:val="24"/>
          <w:szCs w:val="24"/>
          <w:lang w:val="fr-FR"/>
        </w:rPr>
        <w:tab/>
      </w:r>
      <w:r w:rsidRPr="005F60C1">
        <w:rPr>
          <w:rFonts w:asciiTheme="minorHAnsi" w:hAnsiTheme="minorHAnsi" w:cstheme="minorHAnsi"/>
          <w:color w:val="000000"/>
          <w:sz w:val="24"/>
          <w:szCs w:val="24"/>
          <w:lang w:val="fr-FR"/>
        </w:rPr>
        <w:t xml:space="preserve">Szabo PA, </w:t>
      </w:r>
      <w:proofErr w:type="spellStart"/>
      <w:r w:rsidRPr="005F60C1">
        <w:rPr>
          <w:rFonts w:asciiTheme="minorHAnsi" w:hAnsiTheme="minorHAnsi" w:cstheme="minorHAnsi"/>
          <w:color w:val="000000"/>
          <w:sz w:val="24"/>
          <w:szCs w:val="24"/>
          <w:lang w:val="fr-FR"/>
        </w:rPr>
        <w:t>Dogra</w:t>
      </w:r>
      <w:proofErr w:type="spellEnd"/>
      <w:r w:rsidRPr="005F60C1">
        <w:rPr>
          <w:rFonts w:asciiTheme="minorHAnsi" w:hAnsiTheme="minorHAnsi" w:cstheme="minorHAnsi"/>
          <w:color w:val="000000"/>
          <w:sz w:val="24"/>
          <w:szCs w:val="24"/>
          <w:lang w:val="fr-FR"/>
        </w:rPr>
        <w:t xml:space="preserve"> P, Gray JI, et al. </w:t>
      </w:r>
      <w:r w:rsidRPr="001F23A3">
        <w:rPr>
          <w:rFonts w:asciiTheme="minorHAnsi" w:hAnsiTheme="minorHAnsi" w:cstheme="minorHAnsi"/>
          <w:color w:val="000000"/>
          <w:sz w:val="24"/>
          <w:szCs w:val="24"/>
        </w:rPr>
        <w:t xml:space="preserve">Longitudinal profiling of respiratory and systemic immune responses reveals myeloid cell-driven lung inflammation in severe COVID-19. </w:t>
      </w:r>
      <w:r w:rsidRPr="001F23A3">
        <w:rPr>
          <w:rFonts w:asciiTheme="minorHAnsi" w:hAnsiTheme="minorHAnsi" w:cstheme="minorHAnsi"/>
          <w:i/>
          <w:iCs/>
          <w:color w:val="000000"/>
          <w:sz w:val="24"/>
          <w:szCs w:val="24"/>
        </w:rPr>
        <w:t>Immunity</w:t>
      </w:r>
      <w:r w:rsidRPr="001F23A3">
        <w:rPr>
          <w:rFonts w:asciiTheme="minorHAnsi" w:hAnsiTheme="minorHAnsi" w:cstheme="minorHAnsi"/>
          <w:color w:val="000000"/>
          <w:sz w:val="24"/>
          <w:szCs w:val="24"/>
        </w:rPr>
        <w:t xml:space="preserve">. Published online 2021. </w:t>
      </w:r>
      <w:proofErr w:type="gramStart"/>
      <w:r w:rsidRPr="001F23A3">
        <w:rPr>
          <w:rFonts w:asciiTheme="minorHAnsi" w:hAnsiTheme="minorHAnsi" w:cstheme="minorHAnsi"/>
          <w:color w:val="000000"/>
          <w:sz w:val="24"/>
          <w:szCs w:val="24"/>
        </w:rPr>
        <w:t>doi:10.1016/j.immuni</w:t>
      </w:r>
      <w:proofErr w:type="gramEnd"/>
      <w:r w:rsidRPr="001F23A3">
        <w:rPr>
          <w:rFonts w:asciiTheme="minorHAnsi" w:hAnsiTheme="minorHAnsi" w:cstheme="minorHAnsi"/>
          <w:color w:val="000000"/>
          <w:sz w:val="24"/>
          <w:szCs w:val="24"/>
        </w:rPr>
        <w:t>.2021.03.005</w:t>
      </w:r>
    </w:p>
    <w:p w14:paraId="5FBAB3A0" w14:textId="71762714" w:rsidR="00513D44" w:rsidRPr="001F23A3" w:rsidRDefault="00513D44" w:rsidP="00E2394D">
      <w:pPr>
        <w:pStyle w:val="csl-entry"/>
        <w:spacing w:line="480" w:lineRule="auto"/>
        <w:ind w:left="720" w:hanging="720"/>
        <w:rPr>
          <w:rFonts w:asciiTheme="minorHAnsi" w:hAnsiTheme="minorHAnsi" w:cstheme="minorHAnsi"/>
          <w:color w:val="000000"/>
          <w:sz w:val="24"/>
          <w:szCs w:val="24"/>
        </w:rPr>
      </w:pPr>
      <w:r w:rsidRPr="001F23A3">
        <w:rPr>
          <w:rFonts w:asciiTheme="minorHAnsi" w:hAnsiTheme="minorHAnsi" w:cstheme="minorHAnsi"/>
          <w:color w:val="000000"/>
          <w:sz w:val="24"/>
          <w:szCs w:val="24"/>
        </w:rPr>
        <w:lastRenderedPageBreak/>
        <w:t>141.</w:t>
      </w:r>
      <w:r w:rsidR="00E2394D">
        <w:rPr>
          <w:rFonts w:asciiTheme="minorHAnsi" w:hAnsiTheme="minorHAnsi" w:cstheme="minorHAnsi"/>
          <w:color w:val="000000"/>
          <w:sz w:val="24"/>
          <w:szCs w:val="24"/>
        </w:rPr>
        <w:tab/>
      </w:r>
      <w:r w:rsidRPr="001F23A3">
        <w:rPr>
          <w:rFonts w:asciiTheme="minorHAnsi" w:hAnsiTheme="minorHAnsi" w:cstheme="minorHAnsi"/>
          <w:color w:val="000000"/>
          <w:sz w:val="24"/>
          <w:szCs w:val="24"/>
        </w:rPr>
        <w:t>Grant RA, Morales-</w:t>
      </w:r>
      <w:proofErr w:type="spellStart"/>
      <w:r w:rsidRPr="001F23A3">
        <w:rPr>
          <w:rFonts w:asciiTheme="minorHAnsi" w:hAnsiTheme="minorHAnsi" w:cstheme="minorHAnsi"/>
          <w:color w:val="000000"/>
          <w:sz w:val="24"/>
          <w:szCs w:val="24"/>
        </w:rPr>
        <w:t>Nebreda</w:t>
      </w:r>
      <w:proofErr w:type="spellEnd"/>
      <w:r w:rsidRPr="001F23A3">
        <w:rPr>
          <w:rFonts w:asciiTheme="minorHAnsi" w:hAnsiTheme="minorHAnsi" w:cstheme="minorHAnsi"/>
          <w:color w:val="000000"/>
          <w:sz w:val="24"/>
          <w:szCs w:val="24"/>
        </w:rPr>
        <w:t xml:space="preserve"> L, Markov NS, et al. Circuits between infected macrophages and T cells in SARS-CoV-2 pneumonia. </w:t>
      </w:r>
      <w:r w:rsidRPr="001F23A3">
        <w:rPr>
          <w:rFonts w:asciiTheme="minorHAnsi" w:hAnsiTheme="minorHAnsi" w:cstheme="minorHAnsi"/>
          <w:i/>
          <w:iCs/>
          <w:color w:val="000000"/>
          <w:sz w:val="24"/>
          <w:szCs w:val="24"/>
        </w:rPr>
        <w:t>Nature</w:t>
      </w:r>
      <w:r w:rsidRPr="001F23A3">
        <w:rPr>
          <w:rFonts w:asciiTheme="minorHAnsi" w:hAnsiTheme="minorHAnsi" w:cstheme="minorHAnsi"/>
          <w:color w:val="000000"/>
          <w:sz w:val="24"/>
          <w:szCs w:val="24"/>
        </w:rPr>
        <w:t>. 2021;590(7847):635-641. doi:10.1038/s41586-020-03148-w</w:t>
      </w:r>
    </w:p>
    <w:p w14:paraId="6B9180E1" w14:textId="5CC61E07" w:rsidR="001F23A3" w:rsidRPr="005F60C1" w:rsidRDefault="001F23A3" w:rsidP="001F23A3">
      <w:pPr>
        <w:pStyle w:val="csl-entry"/>
        <w:spacing w:line="480" w:lineRule="auto"/>
        <w:ind w:left="720" w:hanging="720"/>
        <w:rPr>
          <w:rFonts w:asciiTheme="minorHAnsi" w:hAnsiTheme="minorHAnsi" w:cstheme="minorHAnsi"/>
          <w:color w:val="000000"/>
          <w:sz w:val="24"/>
          <w:szCs w:val="24"/>
          <w:lang w:val="fr-FR"/>
        </w:rPr>
      </w:pPr>
      <w:r w:rsidRPr="00E2394D">
        <w:rPr>
          <w:rFonts w:asciiTheme="minorHAnsi" w:hAnsiTheme="minorHAnsi" w:cstheme="minorHAnsi"/>
          <w:color w:val="000000"/>
          <w:sz w:val="24"/>
          <w:szCs w:val="24"/>
        </w:rPr>
        <w:t>142.</w:t>
      </w:r>
      <w:r w:rsidR="00E2394D">
        <w:rPr>
          <w:rFonts w:asciiTheme="minorHAnsi" w:hAnsiTheme="minorHAnsi" w:cstheme="minorHAnsi"/>
          <w:color w:val="000000"/>
          <w:sz w:val="24"/>
          <w:szCs w:val="24"/>
        </w:rPr>
        <w:tab/>
      </w:r>
      <w:r w:rsidRPr="00E2394D">
        <w:rPr>
          <w:rFonts w:asciiTheme="minorHAnsi" w:hAnsiTheme="minorHAnsi" w:cstheme="minorHAnsi"/>
          <w:color w:val="000000"/>
          <w:sz w:val="24"/>
          <w:szCs w:val="24"/>
        </w:rPr>
        <w:t xml:space="preserve">Poon MML, </w:t>
      </w:r>
      <w:proofErr w:type="spellStart"/>
      <w:r w:rsidRPr="00E2394D">
        <w:rPr>
          <w:rFonts w:asciiTheme="minorHAnsi" w:hAnsiTheme="minorHAnsi" w:cstheme="minorHAnsi"/>
          <w:color w:val="000000"/>
          <w:sz w:val="24"/>
          <w:szCs w:val="24"/>
        </w:rPr>
        <w:t>Rybkina</w:t>
      </w:r>
      <w:proofErr w:type="spellEnd"/>
      <w:r w:rsidRPr="00E2394D">
        <w:rPr>
          <w:rFonts w:asciiTheme="minorHAnsi" w:hAnsiTheme="minorHAnsi" w:cstheme="minorHAnsi"/>
          <w:color w:val="000000"/>
          <w:sz w:val="24"/>
          <w:szCs w:val="24"/>
        </w:rPr>
        <w:t xml:space="preserve"> K, Kato Y, et al. SARS-CoV-2 infection generates tissue-localized immunological memory in humans. </w:t>
      </w:r>
      <w:proofErr w:type="spellStart"/>
      <w:r w:rsidRPr="005F60C1">
        <w:rPr>
          <w:rFonts w:asciiTheme="minorHAnsi" w:hAnsiTheme="minorHAnsi" w:cstheme="minorHAnsi"/>
          <w:i/>
          <w:iCs/>
          <w:color w:val="000000"/>
          <w:sz w:val="24"/>
          <w:szCs w:val="24"/>
          <w:lang w:val="fr-FR"/>
        </w:rPr>
        <w:t>Sci</w:t>
      </w:r>
      <w:proofErr w:type="spellEnd"/>
      <w:r w:rsidRPr="005F60C1">
        <w:rPr>
          <w:rFonts w:asciiTheme="minorHAnsi" w:hAnsiTheme="minorHAnsi" w:cstheme="minorHAnsi"/>
          <w:i/>
          <w:iCs/>
          <w:color w:val="000000"/>
          <w:sz w:val="24"/>
          <w:szCs w:val="24"/>
          <w:lang w:val="fr-FR"/>
        </w:rPr>
        <w:t xml:space="preserve"> </w:t>
      </w:r>
      <w:proofErr w:type="spellStart"/>
      <w:r w:rsidRPr="005F60C1">
        <w:rPr>
          <w:rFonts w:asciiTheme="minorHAnsi" w:hAnsiTheme="minorHAnsi" w:cstheme="minorHAnsi"/>
          <w:i/>
          <w:iCs/>
          <w:color w:val="000000"/>
          <w:sz w:val="24"/>
          <w:szCs w:val="24"/>
          <w:lang w:val="fr-FR"/>
        </w:rPr>
        <w:t>Immunol</w:t>
      </w:r>
      <w:proofErr w:type="spellEnd"/>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2021;</w:t>
      </w:r>
      <w:proofErr w:type="gramEnd"/>
      <w:r w:rsidRPr="005F60C1">
        <w:rPr>
          <w:rFonts w:asciiTheme="minorHAnsi" w:hAnsiTheme="minorHAnsi" w:cstheme="minorHAnsi"/>
          <w:color w:val="000000"/>
          <w:sz w:val="24"/>
          <w:szCs w:val="24"/>
          <w:lang w:val="fr-FR"/>
        </w:rPr>
        <w:t xml:space="preserve">6(65):eabl9105.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10.1126/sciimmunol.abl9105</w:t>
      </w:r>
    </w:p>
    <w:p w14:paraId="06AB223F" w14:textId="22B5C18E" w:rsidR="00513D44" w:rsidRPr="001F23A3" w:rsidRDefault="00513D44" w:rsidP="00E2394D">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14</w:t>
      </w:r>
      <w:r w:rsidR="00C450CA" w:rsidRPr="005F60C1">
        <w:rPr>
          <w:rFonts w:asciiTheme="minorHAnsi" w:hAnsiTheme="minorHAnsi" w:cstheme="minorHAnsi"/>
          <w:color w:val="000000"/>
          <w:sz w:val="24"/>
          <w:szCs w:val="24"/>
          <w:lang w:val="fr-FR"/>
        </w:rPr>
        <w:t>3</w:t>
      </w:r>
      <w:r w:rsidRPr="005F60C1">
        <w:rPr>
          <w:rFonts w:asciiTheme="minorHAnsi" w:hAnsiTheme="minorHAnsi" w:cstheme="minorHAnsi"/>
          <w:color w:val="000000"/>
          <w:sz w:val="24"/>
          <w:szCs w:val="24"/>
          <w:lang w:val="fr-FR"/>
        </w:rPr>
        <w:t>.</w:t>
      </w:r>
      <w:r w:rsidR="00E2394D" w:rsidRPr="005F60C1">
        <w:rPr>
          <w:rFonts w:asciiTheme="minorHAnsi" w:hAnsiTheme="minorHAnsi" w:cstheme="minorHAnsi"/>
          <w:color w:val="000000"/>
          <w:sz w:val="24"/>
          <w:szCs w:val="24"/>
          <w:lang w:val="fr-FR"/>
        </w:rPr>
        <w:tab/>
      </w:r>
      <w:r w:rsidRPr="005F60C1">
        <w:rPr>
          <w:rFonts w:asciiTheme="minorHAnsi" w:hAnsiTheme="minorHAnsi" w:cstheme="minorHAnsi"/>
          <w:color w:val="000000"/>
          <w:sz w:val="24"/>
          <w:szCs w:val="24"/>
          <w:lang w:val="fr-FR"/>
        </w:rPr>
        <w:t xml:space="preserve">Soresina A, </w:t>
      </w:r>
      <w:proofErr w:type="spellStart"/>
      <w:r w:rsidRPr="005F60C1">
        <w:rPr>
          <w:rFonts w:asciiTheme="minorHAnsi" w:hAnsiTheme="minorHAnsi" w:cstheme="minorHAnsi"/>
          <w:color w:val="000000"/>
          <w:sz w:val="24"/>
          <w:szCs w:val="24"/>
          <w:lang w:val="fr-FR"/>
        </w:rPr>
        <w:t>Moratto</w:t>
      </w:r>
      <w:proofErr w:type="spellEnd"/>
      <w:r w:rsidRPr="005F60C1">
        <w:rPr>
          <w:rFonts w:asciiTheme="minorHAnsi" w:hAnsiTheme="minorHAnsi" w:cstheme="minorHAnsi"/>
          <w:color w:val="000000"/>
          <w:sz w:val="24"/>
          <w:szCs w:val="24"/>
          <w:lang w:val="fr-FR"/>
        </w:rPr>
        <w:t xml:space="preserve"> D, </w:t>
      </w:r>
      <w:proofErr w:type="spellStart"/>
      <w:r w:rsidRPr="005F60C1">
        <w:rPr>
          <w:rFonts w:asciiTheme="minorHAnsi" w:hAnsiTheme="minorHAnsi" w:cstheme="minorHAnsi"/>
          <w:color w:val="000000"/>
          <w:sz w:val="24"/>
          <w:szCs w:val="24"/>
          <w:lang w:val="fr-FR"/>
        </w:rPr>
        <w:t>Chiarini</w:t>
      </w:r>
      <w:proofErr w:type="spellEnd"/>
      <w:r w:rsidRPr="005F60C1">
        <w:rPr>
          <w:rFonts w:asciiTheme="minorHAnsi" w:hAnsiTheme="minorHAnsi" w:cstheme="minorHAnsi"/>
          <w:color w:val="000000"/>
          <w:sz w:val="24"/>
          <w:szCs w:val="24"/>
          <w:lang w:val="fr-FR"/>
        </w:rPr>
        <w:t xml:space="preserve"> M, et al. </w:t>
      </w:r>
      <w:r w:rsidRPr="001F23A3">
        <w:rPr>
          <w:rFonts w:asciiTheme="minorHAnsi" w:hAnsiTheme="minorHAnsi" w:cstheme="minorHAnsi"/>
          <w:color w:val="000000"/>
          <w:sz w:val="24"/>
          <w:szCs w:val="24"/>
        </w:rPr>
        <w:t xml:space="preserve">Two X‐linked agammaglobulinemia patients develop pneumonia as COVID‐19 manifestation but recover. </w:t>
      </w:r>
      <w:proofErr w:type="spellStart"/>
      <w:r w:rsidRPr="001F23A3">
        <w:rPr>
          <w:rFonts w:asciiTheme="minorHAnsi" w:hAnsiTheme="minorHAnsi" w:cstheme="minorHAnsi"/>
          <w:i/>
          <w:iCs/>
          <w:color w:val="000000"/>
          <w:sz w:val="24"/>
          <w:szCs w:val="24"/>
        </w:rPr>
        <w:t>Pediatr</w:t>
      </w:r>
      <w:proofErr w:type="spellEnd"/>
      <w:r w:rsidRPr="001F23A3">
        <w:rPr>
          <w:rFonts w:asciiTheme="minorHAnsi" w:hAnsiTheme="minorHAnsi" w:cstheme="minorHAnsi"/>
          <w:i/>
          <w:iCs/>
          <w:color w:val="000000"/>
          <w:sz w:val="24"/>
          <w:szCs w:val="24"/>
        </w:rPr>
        <w:t xml:space="preserve"> Allergy </w:t>
      </w:r>
      <w:proofErr w:type="spellStart"/>
      <w:r w:rsidRPr="001F23A3">
        <w:rPr>
          <w:rFonts w:asciiTheme="minorHAnsi" w:hAnsiTheme="minorHAnsi" w:cstheme="minorHAnsi"/>
          <w:i/>
          <w:iCs/>
          <w:color w:val="000000"/>
          <w:sz w:val="24"/>
          <w:szCs w:val="24"/>
        </w:rPr>
        <w:t>Immu</w:t>
      </w:r>
      <w:proofErr w:type="spellEnd"/>
      <w:r w:rsidRPr="001F23A3">
        <w:rPr>
          <w:rFonts w:asciiTheme="minorHAnsi" w:hAnsiTheme="minorHAnsi" w:cstheme="minorHAnsi"/>
          <w:color w:val="000000"/>
          <w:sz w:val="24"/>
          <w:szCs w:val="24"/>
        </w:rPr>
        <w:t>. 2020;31(5):565-569. doi:10.1111/pai.13263</w:t>
      </w:r>
    </w:p>
    <w:p w14:paraId="731D1261" w14:textId="7389F093" w:rsidR="0064682D" w:rsidRPr="005F60C1" w:rsidRDefault="00513D44" w:rsidP="0064682D">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14</w:t>
      </w:r>
      <w:r w:rsidR="00C450CA" w:rsidRPr="005F60C1">
        <w:rPr>
          <w:rFonts w:cstheme="minorHAnsi"/>
          <w:color w:val="000000"/>
          <w:sz w:val="24"/>
          <w:szCs w:val="24"/>
          <w:lang w:val="en-US"/>
        </w:rPr>
        <w:t>4</w:t>
      </w:r>
      <w:r w:rsidRPr="005F60C1">
        <w:rPr>
          <w:rFonts w:cstheme="minorHAnsi"/>
          <w:color w:val="000000"/>
          <w:sz w:val="24"/>
          <w:szCs w:val="24"/>
          <w:lang w:val="en-US"/>
        </w:rPr>
        <w:t>.</w:t>
      </w:r>
      <w:r w:rsidR="0064682D" w:rsidRPr="005F60C1">
        <w:rPr>
          <w:rFonts w:cstheme="minorHAnsi"/>
          <w:color w:val="000000"/>
          <w:sz w:val="24"/>
          <w:szCs w:val="24"/>
          <w:lang w:val="en-US"/>
        </w:rPr>
        <w:tab/>
        <w:t xml:space="preserve">Hughes R, Whitley L, </w:t>
      </w:r>
      <w:proofErr w:type="spellStart"/>
      <w:r w:rsidR="0064682D" w:rsidRPr="005F60C1">
        <w:rPr>
          <w:rFonts w:cstheme="minorHAnsi"/>
          <w:color w:val="000000"/>
          <w:sz w:val="24"/>
          <w:szCs w:val="24"/>
          <w:lang w:val="en-US"/>
        </w:rPr>
        <w:t>Fitovski</w:t>
      </w:r>
      <w:proofErr w:type="spellEnd"/>
      <w:r w:rsidR="0064682D" w:rsidRPr="005F60C1">
        <w:rPr>
          <w:rFonts w:cstheme="minorHAnsi"/>
          <w:color w:val="000000"/>
          <w:sz w:val="24"/>
          <w:szCs w:val="24"/>
          <w:lang w:val="en-US"/>
        </w:rPr>
        <w:t xml:space="preserve"> K, et al. COVID-19 in ocrelizumab-treated people with multiple sclerosis. </w:t>
      </w:r>
      <w:proofErr w:type="spellStart"/>
      <w:r w:rsidR="0064682D" w:rsidRPr="005F60C1">
        <w:rPr>
          <w:rFonts w:cstheme="minorHAnsi"/>
          <w:i/>
          <w:iCs/>
          <w:color w:val="000000"/>
          <w:sz w:val="24"/>
          <w:szCs w:val="24"/>
          <w:lang w:val="en-US"/>
        </w:rPr>
        <w:t>Mult</w:t>
      </w:r>
      <w:proofErr w:type="spellEnd"/>
      <w:r w:rsidR="0064682D" w:rsidRPr="005F60C1">
        <w:rPr>
          <w:rFonts w:cstheme="minorHAnsi"/>
          <w:i/>
          <w:iCs/>
          <w:color w:val="000000"/>
          <w:sz w:val="24"/>
          <w:szCs w:val="24"/>
          <w:lang w:val="en-US"/>
        </w:rPr>
        <w:t xml:space="preserve"> </w:t>
      </w:r>
      <w:proofErr w:type="spellStart"/>
      <w:r w:rsidR="0064682D" w:rsidRPr="005F60C1">
        <w:rPr>
          <w:rFonts w:cstheme="minorHAnsi"/>
          <w:i/>
          <w:iCs/>
          <w:color w:val="000000"/>
          <w:sz w:val="24"/>
          <w:szCs w:val="24"/>
          <w:lang w:val="en-US"/>
        </w:rPr>
        <w:t>Scler</w:t>
      </w:r>
      <w:proofErr w:type="spellEnd"/>
      <w:r w:rsidR="0064682D" w:rsidRPr="005F60C1">
        <w:rPr>
          <w:rFonts w:cstheme="minorHAnsi"/>
          <w:i/>
          <w:iCs/>
          <w:color w:val="000000"/>
          <w:sz w:val="24"/>
          <w:szCs w:val="24"/>
          <w:lang w:val="en-US"/>
        </w:rPr>
        <w:t xml:space="preserve"> </w:t>
      </w:r>
      <w:proofErr w:type="spellStart"/>
      <w:r w:rsidR="0064682D" w:rsidRPr="005F60C1">
        <w:rPr>
          <w:rFonts w:cstheme="minorHAnsi"/>
          <w:i/>
          <w:iCs/>
          <w:color w:val="000000"/>
          <w:sz w:val="24"/>
          <w:szCs w:val="24"/>
          <w:lang w:val="en-US"/>
        </w:rPr>
        <w:t>Relat</w:t>
      </w:r>
      <w:proofErr w:type="spellEnd"/>
      <w:r w:rsidR="0064682D" w:rsidRPr="005F60C1">
        <w:rPr>
          <w:rFonts w:cstheme="minorHAnsi"/>
          <w:i/>
          <w:iCs/>
          <w:color w:val="000000"/>
          <w:sz w:val="24"/>
          <w:szCs w:val="24"/>
          <w:lang w:val="en-US"/>
        </w:rPr>
        <w:t xml:space="preserve"> Dis</w:t>
      </w:r>
      <w:r w:rsidR="0064682D" w:rsidRPr="005F60C1">
        <w:rPr>
          <w:rFonts w:cstheme="minorHAnsi"/>
          <w:color w:val="000000"/>
          <w:sz w:val="24"/>
          <w:szCs w:val="24"/>
          <w:lang w:val="en-US"/>
        </w:rPr>
        <w:t xml:space="preserve">. </w:t>
      </w:r>
      <w:proofErr w:type="gramStart"/>
      <w:r w:rsidR="0064682D" w:rsidRPr="005F60C1">
        <w:rPr>
          <w:rFonts w:cstheme="minorHAnsi"/>
          <w:color w:val="000000"/>
          <w:sz w:val="24"/>
          <w:szCs w:val="24"/>
          <w:lang w:val="en-US"/>
        </w:rPr>
        <w:t>2021;49:102725</w:t>
      </w:r>
      <w:proofErr w:type="gramEnd"/>
      <w:r w:rsidR="0064682D" w:rsidRPr="005F60C1">
        <w:rPr>
          <w:rFonts w:cstheme="minorHAnsi"/>
          <w:color w:val="000000"/>
          <w:sz w:val="24"/>
          <w:szCs w:val="24"/>
          <w:lang w:val="en-US"/>
        </w:rPr>
        <w:t xml:space="preserve">. </w:t>
      </w:r>
      <w:proofErr w:type="gramStart"/>
      <w:r w:rsidR="0064682D" w:rsidRPr="005F60C1">
        <w:rPr>
          <w:rFonts w:cstheme="minorHAnsi"/>
          <w:color w:val="000000"/>
          <w:sz w:val="24"/>
          <w:szCs w:val="24"/>
          <w:lang w:val="en-US"/>
        </w:rPr>
        <w:t>doi:10.1016/j.msard</w:t>
      </w:r>
      <w:proofErr w:type="gramEnd"/>
      <w:r w:rsidR="0064682D" w:rsidRPr="005F60C1">
        <w:rPr>
          <w:rFonts w:cstheme="minorHAnsi"/>
          <w:color w:val="000000"/>
          <w:sz w:val="24"/>
          <w:szCs w:val="24"/>
          <w:lang w:val="en-US"/>
        </w:rPr>
        <w:t>.2020.102725</w:t>
      </w:r>
    </w:p>
    <w:p w14:paraId="74BB46D4" w14:textId="43741460" w:rsidR="0064682D" w:rsidRPr="0064682D" w:rsidRDefault="00513D44" w:rsidP="0064682D">
      <w:pPr>
        <w:pStyle w:val="csl-entry"/>
        <w:spacing w:line="480" w:lineRule="auto"/>
        <w:ind w:left="720" w:hanging="720"/>
        <w:rPr>
          <w:rFonts w:asciiTheme="minorHAnsi" w:hAnsiTheme="minorHAnsi" w:cstheme="minorHAnsi"/>
          <w:color w:val="000000"/>
          <w:sz w:val="24"/>
          <w:szCs w:val="24"/>
        </w:rPr>
      </w:pPr>
      <w:r w:rsidRPr="0064682D">
        <w:rPr>
          <w:rFonts w:asciiTheme="minorHAnsi" w:hAnsiTheme="minorHAnsi" w:cstheme="minorHAnsi"/>
          <w:color w:val="000000"/>
          <w:sz w:val="24"/>
          <w:szCs w:val="24"/>
        </w:rPr>
        <w:t>14</w:t>
      </w:r>
      <w:r w:rsidR="00C450CA">
        <w:rPr>
          <w:rFonts w:asciiTheme="minorHAnsi" w:hAnsiTheme="minorHAnsi" w:cstheme="minorHAnsi"/>
          <w:color w:val="000000"/>
          <w:sz w:val="24"/>
          <w:szCs w:val="24"/>
        </w:rPr>
        <w:t>5</w:t>
      </w:r>
      <w:r w:rsidRPr="0064682D">
        <w:rPr>
          <w:rFonts w:asciiTheme="minorHAnsi" w:hAnsiTheme="minorHAnsi" w:cstheme="minorHAnsi"/>
          <w:color w:val="000000"/>
          <w:sz w:val="24"/>
          <w:szCs w:val="24"/>
        </w:rPr>
        <w:t>.</w:t>
      </w:r>
      <w:r w:rsidR="0064682D">
        <w:rPr>
          <w:rFonts w:asciiTheme="minorHAnsi" w:hAnsiTheme="minorHAnsi" w:cstheme="minorHAnsi"/>
          <w:color w:val="000000"/>
          <w:sz w:val="24"/>
          <w:szCs w:val="24"/>
        </w:rPr>
        <w:tab/>
      </w:r>
      <w:r w:rsidR="0064682D" w:rsidRPr="0064682D">
        <w:rPr>
          <w:rFonts w:asciiTheme="minorHAnsi" w:hAnsiTheme="minorHAnsi" w:cstheme="minorHAnsi"/>
          <w:color w:val="000000"/>
          <w:sz w:val="24"/>
          <w:szCs w:val="24"/>
        </w:rPr>
        <w:t xml:space="preserve">Coyle PK, Gocke A, </w:t>
      </w:r>
      <w:proofErr w:type="spellStart"/>
      <w:r w:rsidR="0064682D" w:rsidRPr="0064682D">
        <w:rPr>
          <w:rFonts w:asciiTheme="minorHAnsi" w:hAnsiTheme="minorHAnsi" w:cstheme="minorHAnsi"/>
          <w:color w:val="000000"/>
          <w:sz w:val="24"/>
          <w:szCs w:val="24"/>
        </w:rPr>
        <w:t>Vignos</w:t>
      </w:r>
      <w:proofErr w:type="spellEnd"/>
      <w:r w:rsidR="0064682D" w:rsidRPr="0064682D">
        <w:rPr>
          <w:rFonts w:asciiTheme="minorHAnsi" w:hAnsiTheme="minorHAnsi" w:cstheme="minorHAnsi"/>
          <w:color w:val="000000"/>
          <w:sz w:val="24"/>
          <w:szCs w:val="24"/>
        </w:rPr>
        <w:t xml:space="preserve"> M, Newsome SD. Vaccine Considerations for Multiple Sclerosis in the COVID-19 Era. </w:t>
      </w:r>
      <w:r w:rsidR="0064682D" w:rsidRPr="0064682D">
        <w:rPr>
          <w:rFonts w:asciiTheme="minorHAnsi" w:hAnsiTheme="minorHAnsi" w:cstheme="minorHAnsi"/>
          <w:i/>
          <w:iCs/>
          <w:color w:val="000000"/>
          <w:sz w:val="24"/>
          <w:szCs w:val="24"/>
        </w:rPr>
        <w:t>Adv Ther</w:t>
      </w:r>
      <w:r w:rsidR="0064682D" w:rsidRPr="0064682D">
        <w:rPr>
          <w:rFonts w:asciiTheme="minorHAnsi" w:hAnsiTheme="minorHAnsi" w:cstheme="minorHAnsi"/>
          <w:color w:val="000000"/>
          <w:sz w:val="24"/>
          <w:szCs w:val="24"/>
        </w:rPr>
        <w:t>. 2021;38(7):3550-3588. doi:10.1007/s12325-021-01761-3</w:t>
      </w:r>
    </w:p>
    <w:p w14:paraId="52E78F61" w14:textId="12197276" w:rsidR="00513D44" w:rsidRPr="0064682D" w:rsidRDefault="00513D44" w:rsidP="0064682D">
      <w:pPr>
        <w:pStyle w:val="csl-entry"/>
        <w:spacing w:line="480" w:lineRule="auto"/>
        <w:ind w:left="720" w:hanging="720"/>
        <w:rPr>
          <w:rFonts w:asciiTheme="minorHAnsi" w:hAnsiTheme="minorHAnsi" w:cstheme="minorHAnsi"/>
          <w:color w:val="000000"/>
          <w:sz w:val="24"/>
          <w:szCs w:val="24"/>
        </w:rPr>
      </w:pPr>
      <w:r w:rsidRPr="0064682D">
        <w:rPr>
          <w:rFonts w:asciiTheme="minorHAnsi" w:hAnsiTheme="minorHAnsi" w:cstheme="minorHAnsi"/>
          <w:color w:val="000000"/>
          <w:sz w:val="24"/>
          <w:szCs w:val="24"/>
        </w:rPr>
        <w:t>14</w:t>
      </w:r>
      <w:r w:rsidR="00C450CA">
        <w:rPr>
          <w:rFonts w:asciiTheme="minorHAnsi" w:hAnsiTheme="minorHAnsi" w:cstheme="minorHAnsi"/>
          <w:color w:val="000000"/>
          <w:sz w:val="24"/>
          <w:szCs w:val="24"/>
        </w:rPr>
        <w:t>6</w:t>
      </w:r>
      <w:r w:rsidRPr="0064682D">
        <w:rPr>
          <w:rFonts w:asciiTheme="minorHAnsi" w:hAnsiTheme="minorHAnsi" w:cstheme="minorHAnsi"/>
          <w:color w:val="000000"/>
          <w:sz w:val="24"/>
          <w:szCs w:val="24"/>
        </w:rPr>
        <w:t>.</w:t>
      </w:r>
      <w:r w:rsidR="0064682D">
        <w:rPr>
          <w:rFonts w:asciiTheme="minorHAnsi" w:hAnsiTheme="minorHAnsi" w:cstheme="minorHAnsi"/>
          <w:color w:val="000000"/>
          <w:sz w:val="24"/>
          <w:szCs w:val="24"/>
        </w:rPr>
        <w:tab/>
      </w:r>
      <w:proofErr w:type="spellStart"/>
      <w:r w:rsidR="0064682D" w:rsidRPr="0064682D">
        <w:rPr>
          <w:rFonts w:asciiTheme="minorHAnsi" w:hAnsiTheme="minorHAnsi" w:cstheme="minorHAnsi"/>
          <w:color w:val="000000"/>
          <w:sz w:val="24"/>
          <w:szCs w:val="24"/>
        </w:rPr>
        <w:t>Yek</w:t>
      </w:r>
      <w:proofErr w:type="spellEnd"/>
      <w:r w:rsidR="0064682D" w:rsidRPr="0064682D">
        <w:rPr>
          <w:rFonts w:asciiTheme="minorHAnsi" w:hAnsiTheme="minorHAnsi" w:cstheme="minorHAnsi"/>
          <w:color w:val="000000"/>
          <w:sz w:val="24"/>
          <w:szCs w:val="24"/>
        </w:rPr>
        <w:t xml:space="preserve"> C, Warner S, Wiltz JL, et al. Risk Factors for Severe COVID-19 Outcomes Among Persons Aged ≥18 Years Who Completed a Primary COVID-19 Vaccination Series — 465 Health Care Facilities, United States, December 2020–October 2021. </w:t>
      </w:r>
      <w:proofErr w:type="spellStart"/>
      <w:r w:rsidR="0064682D" w:rsidRPr="0064682D">
        <w:rPr>
          <w:rFonts w:asciiTheme="minorHAnsi" w:hAnsiTheme="minorHAnsi" w:cstheme="minorHAnsi"/>
          <w:i/>
          <w:iCs/>
          <w:color w:val="000000"/>
          <w:sz w:val="24"/>
          <w:szCs w:val="24"/>
        </w:rPr>
        <w:t>Mmwr</w:t>
      </w:r>
      <w:proofErr w:type="spellEnd"/>
      <w:r w:rsidR="0064682D" w:rsidRPr="0064682D">
        <w:rPr>
          <w:rFonts w:asciiTheme="minorHAnsi" w:hAnsiTheme="minorHAnsi" w:cstheme="minorHAnsi"/>
          <w:i/>
          <w:iCs/>
          <w:color w:val="000000"/>
          <w:sz w:val="24"/>
          <w:szCs w:val="24"/>
        </w:rPr>
        <w:t xml:space="preserve"> Morbidity Mortal </w:t>
      </w:r>
      <w:proofErr w:type="spellStart"/>
      <w:r w:rsidR="0064682D" w:rsidRPr="0064682D">
        <w:rPr>
          <w:rFonts w:asciiTheme="minorHAnsi" w:hAnsiTheme="minorHAnsi" w:cstheme="minorHAnsi"/>
          <w:i/>
          <w:iCs/>
          <w:color w:val="000000"/>
          <w:sz w:val="24"/>
          <w:szCs w:val="24"/>
        </w:rPr>
        <w:t>Wkly</w:t>
      </w:r>
      <w:proofErr w:type="spellEnd"/>
      <w:r w:rsidR="0064682D" w:rsidRPr="0064682D">
        <w:rPr>
          <w:rFonts w:asciiTheme="minorHAnsi" w:hAnsiTheme="minorHAnsi" w:cstheme="minorHAnsi"/>
          <w:i/>
          <w:iCs/>
          <w:color w:val="000000"/>
          <w:sz w:val="24"/>
          <w:szCs w:val="24"/>
        </w:rPr>
        <w:t xml:space="preserve"> Rep</w:t>
      </w:r>
      <w:r w:rsidR="0064682D" w:rsidRPr="0064682D">
        <w:rPr>
          <w:rFonts w:asciiTheme="minorHAnsi" w:hAnsiTheme="minorHAnsi" w:cstheme="minorHAnsi"/>
          <w:color w:val="000000"/>
          <w:sz w:val="24"/>
          <w:szCs w:val="24"/>
        </w:rPr>
        <w:t>. 2022;71(1):19-25. doi:10.15585/mmwr.mm7101a4</w:t>
      </w:r>
    </w:p>
    <w:p w14:paraId="0BE5A746" w14:textId="03FC8758" w:rsidR="0064682D" w:rsidRPr="0064682D" w:rsidRDefault="00513D44" w:rsidP="0064682D">
      <w:pPr>
        <w:pStyle w:val="csl-entry"/>
        <w:spacing w:line="480" w:lineRule="auto"/>
        <w:ind w:left="720" w:hanging="720"/>
        <w:rPr>
          <w:rFonts w:asciiTheme="minorHAnsi" w:hAnsiTheme="minorHAnsi" w:cstheme="minorHAnsi"/>
          <w:color w:val="000000"/>
          <w:sz w:val="24"/>
          <w:szCs w:val="24"/>
        </w:rPr>
      </w:pPr>
      <w:r w:rsidRPr="0064682D">
        <w:rPr>
          <w:rFonts w:asciiTheme="minorHAnsi" w:hAnsiTheme="minorHAnsi" w:cstheme="minorHAnsi"/>
          <w:color w:val="000000"/>
          <w:sz w:val="24"/>
          <w:szCs w:val="24"/>
        </w:rPr>
        <w:lastRenderedPageBreak/>
        <w:t>14</w:t>
      </w:r>
      <w:r w:rsidR="00C450CA">
        <w:rPr>
          <w:rFonts w:asciiTheme="minorHAnsi" w:hAnsiTheme="minorHAnsi" w:cstheme="minorHAnsi"/>
          <w:color w:val="000000"/>
          <w:sz w:val="24"/>
          <w:szCs w:val="24"/>
        </w:rPr>
        <w:t>7</w:t>
      </w:r>
      <w:r w:rsidRPr="0064682D">
        <w:rPr>
          <w:rFonts w:asciiTheme="minorHAnsi" w:hAnsiTheme="minorHAnsi" w:cstheme="minorHAnsi"/>
          <w:color w:val="000000"/>
          <w:sz w:val="24"/>
          <w:szCs w:val="24"/>
        </w:rPr>
        <w:t>.</w:t>
      </w:r>
      <w:r w:rsidR="0064682D">
        <w:rPr>
          <w:rFonts w:asciiTheme="minorHAnsi" w:hAnsiTheme="minorHAnsi" w:cstheme="minorHAnsi"/>
          <w:color w:val="000000"/>
          <w:sz w:val="24"/>
          <w:szCs w:val="24"/>
        </w:rPr>
        <w:tab/>
      </w:r>
      <w:r w:rsidR="0064682D" w:rsidRPr="0064682D">
        <w:rPr>
          <w:rFonts w:asciiTheme="minorHAnsi" w:hAnsiTheme="minorHAnsi" w:cstheme="minorHAnsi"/>
          <w:color w:val="000000"/>
          <w:sz w:val="24"/>
          <w:szCs w:val="24"/>
        </w:rPr>
        <w:t xml:space="preserve">Apostolidis SA, Kakara M, Painter MM, et al. Cellular and humoral immune responses following SARS-CoV-2 mRNA vaccination in patients with multiple sclerosis on anti-CD20 therapy. </w:t>
      </w:r>
      <w:r w:rsidR="0064682D" w:rsidRPr="0064682D">
        <w:rPr>
          <w:rFonts w:asciiTheme="minorHAnsi" w:hAnsiTheme="minorHAnsi" w:cstheme="minorHAnsi"/>
          <w:i/>
          <w:iCs/>
          <w:color w:val="000000"/>
          <w:sz w:val="24"/>
          <w:szCs w:val="24"/>
        </w:rPr>
        <w:t>Nat Med</w:t>
      </w:r>
      <w:r w:rsidR="0064682D" w:rsidRPr="0064682D">
        <w:rPr>
          <w:rFonts w:asciiTheme="minorHAnsi" w:hAnsiTheme="minorHAnsi" w:cstheme="minorHAnsi"/>
          <w:color w:val="000000"/>
          <w:sz w:val="24"/>
          <w:szCs w:val="24"/>
        </w:rPr>
        <w:t>. Published online 2021:1-12. doi:10.1038/s41591-021-01507-2</w:t>
      </w:r>
    </w:p>
    <w:p w14:paraId="25DA35AC" w14:textId="156D59FC" w:rsidR="00513D44" w:rsidRPr="005F60C1" w:rsidRDefault="00513D44" w:rsidP="0064682D">
      <w:pPr>
        <w:pStyle w:val="csl-entry"/>
        <w:spacing w:line="480" w:lineRule="auto"/>
        <w:ind w:left="720" w:hanging="720"/>
        <w:rPr>
          <w:rFonts w:asciiTheme="minorHAnsi" w:hAnsiTheme="minorHAnsi" w:cstheme="minorHAnsi"/>
          <w:color w:val="000000"/>
          <w:sz w:val="24"/>
          <w:szCs w:val="24"/>
          <w:lang w:val="fr-FR"/>
        </w:rPr>
      </w:pPr>
      <w:r w:rsidRPr="0064682D">
        <w:rPr>
          <w:rFonts w:asciiTheme="minorHAnsi" w:hAnsiTheme="minorHAnsi" w:cstheme="minorHAnsi"/>
          <w:color w:val="000000"/>
          <w:sz w:val="24"/>
          <w:szCs w:val="24"/>
        </w:rPr>
        <w:t>14</w:t>
      </w:r>
      <w:r w:rsidR="00C450CA">
        <w:rPr>
          <w:rFonts w:asciiTheme="minorHAnsi" w:hAnsiTheme="minorHAnsi" w:cstheme="minorHAnsi"/>
          <w:color w:val="000000"/>
          <w:sz w:val="24"/>
          <w:szCs w:val="24"/>
        </w:rPr>
        <w:t>8</w:t>
      </w:r>
      <w:r w:rsidRPr="0064682D">
        <w:rPr>
          <w:rFonts w:asciiTheme="minorHAnsi" w:hAnsiTheme="minorHAnsi" w:cstheme="minorHAnsi"/>
          <w:color w:val="000000"/>
          <w:sz w:val="24"/>
          <w:szCs w:val="24"/>
        </w:rPr>
        <w:t>.</w:t>
      </w:r>
      <w:r w:rsidR="0064682D">
        <w:rPr>
          <w:rFonts w:asciiTheme="minorHAnsi" w:hAnsiTheme="minorHAnsi" w:cstheme="minorHAnsi"/>
          <w:color w:val="000000"/>
          <w:sz w:val="24"/>
          <w:szCs w:val="24"/>
        </w:rPr>
        <w:tab/>
      </w:r>
      <w:proofErr w:type="spellStart"/>
      <w:r w:rsidR="0064682D" w:rsidRPr="0064682D">
        <w:rPr>
          <w:rFonts w:asciiTheme="minorHAnsi" w:hAnsiTheme="minorHAnsi" w:cstheme="minorHAnsi"/>
          <w:color w:val="000000"/>
          <w:sz w:val="24"/>
          <w:szCs w:val="24"/>
        </w:rPr>
        <w:t>Sormani</w:t>
      </w:r>
      <w:proofErr w:type="spellEnd"/>
      <w:r w:rsidR="0064682D" w:rsidRPr="0064682D">
        <w:rPr>
          <w:rFonts w:asciiTheme="minorHAnsi" w:hAnsiTheme="minorHAnsi" w:cstheme="minorHAnsi"/>
          <w:color w:val="000000"/>
          <w:sz w:val="24"/>
          <w:szCs w:val="24"/>
        </w:rPr>
        <w:t xml:space="preserve"> MP, Salvetti M, </w:t>
      </w:r>
      <w:proofErr w:type="spellStart"/>
      <w:r w:rsidR="0064682D" w:rsidRPr="0064682D">
        <w:rPr>
          <w:rFonts w:asciiTheme="minorHAnsi" w:hAnsiTheme="minorHAnsi" w:cstheme="minorHAnsi"/>
          <w:color w:val="000000"/>
          <w:sz w:val="24"/>
          <w:szCs w:val="24"/>
        </w:rPr>
        <w:t>Labauge</w:t>
      </w:r>
      <w:proofErr w:type="spellEnd"/>
      <w:r w:rsidR="0064682D" w:rsidRPr="0064682D">
        <w:rPr>
          <w:rFonts w:asciiTheme="minorHAnsi" w:hAnsiTheme="minorHAnsi" w:cstheme="minorHAnsi"/>
          <w:color w:val="000000"/>
          <w:sz w:val="24"/>
          <w:szCs w:val="24"/>
        </w:rPr>
        <w:t xml:space="preserve"> P, et al. DMTs and Covid‐19 severity in MS: a pooled analysis from Italy and France. </w:t>
      </w:r>
      <w:r w:rsidR="0064682D" w:rsidRPr="005F60C1">
        <w:rPr>
          <w:rFonts w:asciiTheme="minorHAnsi" w:hAnsiTheme="minorHAnsi" w:cstheme="minorHAnsi"/>
          <w:i/>
          <w:iCs/>
          <w:color w:val="000000"/>
          <w:sz w:val="24"/>
          <w:szCs w:val="24"/>
          <w:lang w:val="fr-FR"/>
        </w:rPr>
        <w:t xml:space="preserve">Ann Clin </w:t>
      </w:r>
      <w:proofErr w:type="spellStart"/>
      <w:r w:rsidR="0064682D" w:rsidRPr="005F60C1">
        <w:rPr>
          <w:rFonts w:asciiTheme="minorHAnsi" w:hAnsiTheme="minorHAnsi" w:cstheme="minorHAnsi"/>
          <w:i/>
          <w:iCs/>
          <w:color w:val="000000"/>
          <w:sz w:val="24"/>
          <w:szCs w:val="24"/>
          <w:lang w:val="fr-FR"/>
        </w:rPr>
        <w:t>Transl</w:t>
      </w:r>
      <w:proofErr w:type="spellEnd"/>
      <w:r w:rsidR="0064682D" w:rsidRPr="005F60C1">
        <w:rPr>
          <w:rFonts w:asciiTheme="minorHAnsi" w:hAnsiTheme="minorHAnsi" w:cstheme="minorHAnsi"/>
          <w:i/>
          <w:iCs/>
          <w:color w:val="000000"/>
          <w:sz w:val="24"/>
          <w:szCs w:val="24"/>
          <w:lang w:val="fr-FR"/>
        </w:rPr>
        <w:t xml:space="preserve"> </w:t>
      </w:r>
      <w:proofErr w:type="spellStart"/>
      <w:r w:rsidR="0064682D" w:rsidRPr="005F60C1">
        <w:rPr>
          <w:rFonts w:asciiTheme="minorHAnsi" w:hAnsiTheme="minorHAnsi" w:cstheme="minorHAnsi"/>
          <w:i/>
          <w:iCs/>
          <w:color w:val="000000"/>
          <w:sz w:val="24"/>
          <w:szCs w:val="24"/>
          <w:lang w:val="fr-FR"/>
        </w:rPr>
        <w:t>Neur</w:t>
      </w:r>
      <w:proofErr w:type="spellEnd"/>
      <w:r w:rsidR="0064682D" w:rsidRPr="005F60C1">
        <w:rPr>
          <w:rFonts w:asciiTheme="minorHAnsi" w:hAnsiTheme="minorHAnsi" w:cstheme="minorHAnsi"/>
          <w:color w:val="000000"/>
          <w:sz w:val="24"/>
          <w:szCs w:val="24"/>
          <w:lang w:val="fr-FR"/>
        </w:rPr>
        <w:t xml:space="preserve">. </w:t>
      </w:r>
      <w:proofErr w:type="gramStart"/>
      <w:r w:rsidR="0064682D" w:rsidRPr="005F60C1">
        <w:rPr>
          <w:rFonts w:asciiTheme="minorHAnsi" w:hAnsiTheme="minorHAnsi" w:cstheme="minorHAnsi"/>
          <w:color w:val="000000"/>
          <w:sz w:val="24"/>
          <w:szCs w:val="24"/>
          <w:lang w:val="fr-FR"/>
        </w:rPr>
        <w:t>2021;</w:t>
      </w:r>
      <w:proofErr w:type="gramEnd"/>
      <w:r w:rsidR="0064682D" w:rsidRPr="005F60C1">
        <w:rPr>
          <w:rFonts w:asciiTheme="minorHAnsi" w:hAnsiTheme="minorHAnsi" w:cstheme="minorHAnsi"/>
          <w:color w:val="000000"/>
          <w:sz w:val="24"/>
          <w:szCs w:val="24"/>
          <w:lang w:val="fr-FR"/>
        </w:rPr>
        <w:t xml:space="preserve">8(8):1738-1744. </w:t>
      </w:r>
      <w:proofErr w:type="gramStart"/>
      <w:r w:rsidR="0064682D" w:rsidRPr="005F60C1">
        <w:rPr>
          <w:rFonts w:asciiTheme="minorHAnsi" w:hAnsiTheme="minorHAnsi" w:cstheme="minorHAnsi"/>
          <w:color w:val="000000"/>
          <w:sz w:val="24"/>
          <w:szCs w:val="24"/>
          <w:lang w:val="fr-FR"/>
        </w:rPr>
        <w:t>doi:</w:t>
      </w:r>
      <w:proofErr w:type="gramEnd"/>
      <w:r w:rsidR="0064682D" w:rsidRPr="005F60C1">
        <w:rPr>
          <w:rFonts w:asciiTheme="minorHAnsi" w:hAnsiTheme="minorHAnsi" w:cstheme="minorHAnsi"/>
          <w:color w:val="000000"/>
          <w:sz w:val="24"/>
          <w:szCs w:val="24"/>
          <w:lang w:val="fr-FR"/>
        </w:rPr>
        <w:t>10.1002/acn3.51408</w:t>
      </w:r>
    </w:p>
    <w:p w14:paraId="02559280" w14:textId="70F878B1" w:rsidR="0064682D" w:rsidRDefault="00513D44" w:rsidP="0064682D">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14</w:t>
      </w:r>
      <w:r w:rsidR="00C450CA" w:rsidRPr="005F60C1">
        <w:rPr>
          <w:rFonts w:asciiTheme="minorHAnsi" w:hAnsiTheme="minorHAnsi" w:cstheme="minorHAnsi"/>
          <w:color w:val="000000"/>
          <w:sz w:val="24"/>
          <w:szCs w:val="24"/>
          <w:lang w:val="fr-FR"/>
        </w:rPr>
        <w:t>9</w:t>
      </w:r>
      <w:r w:rsidRPr="005F60C1">
        <w:rPr>
          <w:rFonts w:asciiTheme="minorHAnsi" w:hAnsiTheme="minorHAnsi" w:cstheme="minorHAnsi"/>
          <w:color w:val="000000"/>
          <w:sz w:val="24"/>
          <w:szCs w:val="24"/>
          <w:lang w:val="fr-FR"/>
        </w:rPr>
        <w:t>.</w:t>
      </w:r>
      <w:r w:rsidR="0064682D" w:rsidRPr="005F60C1">
        <w:rPr>
          <w:rFonts w:asciiTheme="minorHAnsi" w:hAnsiTheme="minorHAnsi" w:cstheme="minorHAnsi"/>
          <w:color w:val="000000"/>
          <w:sz w:val="24"/>
          <w:szCs w:val="24"/>
          <w:lang w:val="fr-FR"/>
        </w:rPr>
        <w:tab/>
        <w:t xml:space="preserve">Braun J, Loyal L, </w:t>
      </w:r>
      <w:proofErr w:type="spellStart"/>
      <w:r w:rsidR="0064682D" w:rsidRPr="005F60C1">
        <w:rPr>
          <w:rFonts w:asciiTheme="minorHAnsi" w:hAnsiTheme="minorHAnsi" w:cstheme="minorHAnsi"/>
          <w:color w:val="000000"/>
          <w:sz w:val="24"/>
          <w:szCs w:val="24"/>
          <w:lang w:val="fr-FR"/>
        </w:rPr>
        <w:t>Frentsch</w:t>
      </w:r>
      <w:proofErr w:type="spellEnd"/>
      <w:r w:rsidR="0064682D" w:rsidRPr="005F60C1">
        <w:rPr>
          <w:rFonts w:asciiTheme="minorHAnsi" w:hAnsiTheme="minorHAnsi" w:cstheme="minorHAnsi"/>
          <w:color w:val="000000"/>
          <w:sz w:val="24"/>
          <w:szCs w:val="24"/>
          <w:lang w:val="fr-FR"/>
        </w:rPr>
        <w:t xml:space="preserve"> M, et al. </w:t>
      </w:r>
      <w:r w:rsidR="0064682D" w:rsidRPr="0064682D">
        <w:rPr>
          <w:rFonts w:asciiTheme="minorHAnsi" w:hAnsiTheme="minorHAnsi" w:cstheme="minorHAnsi"/>
          <w:color w:val="000000"/>
          <w:sz w:val="24"/>
          <w:szCs w:val="24"/>
        </w:rPr>
        <w:t xml:space="preserve">SARS-CoV-2-reactive T cells in healthy donors and patients with COVID-19. </w:t>
      </w:r>
      <w:r w:rsidR="0064682D" w:rsidRPr="0064682D">
        <w:rPr>
          <w:rFonts w:asciiTheme="minorHAnsi" w:hAnsiTheme="minorHAnsi" w:cstheme="minorHAnsi"/>
          <w:i/>
          <w:iCs/>
          <w:color w:val="000000"/>
          <w:sz w:val="24"/>
          <w:szCs w:val="24"/>
        </w:rPr>
        <w:t>Nature</w:t>
      </w:r>
      <w:r w:rsidR="0064682D" w:rsidRPr="0064682D">
        <w:rPr>
          <w:rFonts w:asciiTheme="minorHAnsi" w:hAnsiTheme="minorHAnsi" w:cstheme="minorHAnsi"/>
          <w:color w:val="000000"/>
          <w:sz w:val="24"/>
          <w:szCs w:val="24"/>
        </w:rPr>
        <w:t>. 2020;587(7833):270-274. doi:10.1038/s41586-020-2598-9</w:t>
      </w:r>
    </w:p>
    <w:p w14:paraId="0977AB2A" w14:textId="05B78AF5" w:rsidR="00736193" w:rsidRPr="003B40F6" w:rsidRDefault="0064682D" w:rsidP="003B40F6">
      <w:pPr>
        <w:spacing w:line="480" w:lineRule="auto"/>
        <w:ind w:left="720" w:hanging="720"/>
        <w:rPr>
          <w:rFonts w:cstheme="minorHAnsi"/>
          <w:color w:val="000000"/>
          <w:sz w:val="24"/>
          <w:szCs w:val="24"/>
        </w:rPr>
      </w:pPr>
      <w:r w:rsidRPr="005F60C1">
        <w:rPr>
          <w:rFonts w:cstheme="minorHAnsi"/>
          <w:color w:val="000000"/>
          <w:sz w:val="24"/>
          <w:szCs w:val="24"/>
          <w:lang w:val="en-US"/>
        </w:rPr>
        <w:t>1</w:t>
      </w:r>
      <w:r w:rsidR="00C450CA" w:rsidRPr="005F60C1">
        <w:rPr>
          <w:rFonts w:cstheme="minorHAnsi"/>
          <w:color w:val="000000"/>
          <w:sz w:val="24"/>
          <w:szCs w:val="24"/>
          <w:lang w:val="en-US"/>
        </w:rPr>
        <w:t>50</w:t>
      </w:r>
      <w:r w:rsidRPr="005F60C1">
        <w:rPr>
          <w:rFonts w:cstheme="minorHAnsi"/>
          <w:color w:val="000000"/>
          <w:sz w:val="24"/>
          <w:szCs w:val="24"/>
          <w:lang w:val="en-US"/>
        </w:rPr>
        <w:t>.</w:t>
      </w:r>
      <w:r w:rsidRPr="005F60C1">
        <w:rPr>
          <w:rFonts w:cstheme="minorHAnsi"/>
          <w:color w:val="000000"/>
          <w:sz w:val="24"/>
          <w:szCs w:val="24"/>
          <w:lang w:val="en-US"/>
        </w:rPr>
        <w:tab/>
      </w:r>
      <w:r w:rsidR="00736193" w:rsidRPr="005F60C1">
        <w:rPr>
          <w:rFonts w:cstheme="minorHAnsi"/>
          <w:color w:val="000000"/>
          <w:sz w:val="24"/>
          <w:szCs w:val="24"/>
          <w:lang w:val="en-US"/>
        </w:rPr>
        <w:t xml:space="preserve">Bert NL, Tan AT, </w:t>
      </w:r>
      <w:proofErr w:type="spellStart"/>
      <w:r w:rsidR="00736193" w:rsidRPr="005F60C1">
        <w:rPr>
          <w:rFonts w:cstheme="minorHAnsi"/>
          <w:color w:val="000000"/>
          <w:sz w:val="24"/>
          <w:szCs w:val="24"/>
          <w:lang w:val="en-US"/>
        </w:rPr>
        <w:t>Kunasegaran</w:t>
      </w:r>
      <w:proofErr w:type="spellEnd"/>
      <w:r w:rsidR="00736193" w:rsidRPr="005F60C1">
        <w:rPr>
          <w:rFonts w:cstheme="minorHAnsi"/>
          <w:color w:val="000000"/>
          <w:sz w:val="24"/>
          <w:szCs w:val="24"/>
          <w:lang w:val="en-US"/>
        </w:rPr>
        <w:t xml:space="preserve"> K, et al. SARS-CoV-2-specific T cell immunity in cases of COVID-19 and SARS, and uninfected controls. </w:t>
      </w:r>
      <w:r w:rsidR="00736193" w:rsidRPr="003B40F6">
        <w:rPr>
          <w:rFonts w:cstheme="minorHAnsi"/>
          <w:i/>
          <w:iCs/>
          <w:color w:val="000000"/>
          <w:sz w:val="24"/>
          <w:szCs w:val="24"/>
        </w:rPr>
        <w:t>Nature</w:t>
      </w:r>
      <w:r w:rsidR="00736193" w:rsidRPr="003B40F6">
        <w:rPr>
          <w:rFonts w:cstheme="minorHAnsi"/>
          <w:color w:val="000000"/>
          <w:sz w:val="24"/>
          <w:szCs w:val="24"/>
        </w:rPr>
        <w:t xml:space="preserve">. </w:t>
      </w:r>
      <w:proofErr w:type="gramStart"/>
      <w:r w:rsidR="00736193" w:rsidRPr="003B40F6">
        <w:rPr>
          <w:rFonts w:cstheme="minorHAnsi"/>
          <w:color w:val="000000"/>
          <w:sz w:val="24"/>
          <w:szCs w:val="24"/>
        </w:rPr>
        <w:t>2020;</w:t>
      </w:r>
      <w:proofErr w:type="gramEnd"/>
      <w:r w:rsidR="00736193" w:rsidRPr="003B40F6">
        <w:rPr>
          <w:rFonts w:cstheme="minorHAnsi"/>
          <w:color w:val="000000"/>
          <w:sz w:val="24"/>
          <w:szCs w:val="24"/>
        </w:rPr>
        <w:t xml:space="preserve">584(7821):457-462. </w:t>
      </w:r>
      <w:proofErr w:type="gramStart"/>
      <w:r w:rsidR="00736193" w:rsidRPr="003B40F6">
        <w:rPr>
          <w:rFonts w:cstheme="minorHAnsi"/>
          <w:color w:val="000000"/>
          <w:sz w:val="24"/>
          <w:szCs w:val="24"/>
        </w:rPr>
        <w:t>doi:</w:t>
      </w:r>
      <w:proofErr w:type="gramEnd"/>
      <w:r w:rsidR="00736193" w:rsidRPr="003B40F6">
        <w:rPr>
          <w:rFonts w:cstheme="minorHAnsi"/>
          <w:color w:val="000000"/>
          <w:sz w:val="24"/>
          <w:szCs w:val="24"/>
        </w:rPr>
        <w:t>10.1038/s41586-020-2550-z</w:t>
      </w:r>
    </w:p>
    <w:p w14:paraId="0B8BB393" w14:textId="44B548E6" w:rsidR="00736193" w:rsidRPr="005F60C1" w:rsidRDefault="00736193" w:rsidP="000B3690">
      <w:pPr>
        <w:pStyle w:val="csl-entry"/>
        <w:spacing w:line="480" w:lineRule="auto"/>
        <w:ind w:left="720" w:hanging="720"/>
        <w:rPr>
          <w:rFonts w:asciiTheme="minorHAnsi" w:hAnsiTheme="minorHAnsi" w:cstheme="minorHAnsi"/>
          <w:color w:val="000000"/>
          <w:sz w:val="24"/>
          <w:szCs w:val="24"/>
          <w:lang w:val="fr-FR"/>
        </w:rPr>
      </w:pPr>
      <w:r w:rsidRPr="005F60C1">
        <w:rPr>
          <w:rFonts w:asciiTheme="minorHAnsi" w:hAnsiTheme="minorHAnsi" w:cstheme="minorHAnsi"/>
          <w:color w:val="000000"/>
          <w:sz w:val="24"/>
          <w:szCs w:val="24"/>
          <w:lang w:val="fr-FR"/>
        </w:rPr>
        <w:t>15</w:t>
      </w:r>
      <w:r w:rsidR="00C450CA" w:rsidRPr="005F60C1">
        <w:rPr>
          <w:rFonts w:asciiTheme="minorHAnsi" w:hAnsiTheme="minorHAnsi" w:cstheme="minorHAnsi"/>
          <w:color w:val="000000"/>
          <w:sz w:val="24"/>
          <w:szCs w:val="24"/>
          <w:lang w:val="fr-FR"/>
        </w:rPr>
        <w:t>1</w:t>
      </w:r>
      <w:r w:rsidRPr="005F60C1">
        <w:rPr>
          <w:rFonts w:asciiTheme="minorHAnsi" w:hAnsiTheme="minorHAnsi" w:cstheme="minorHAnsi"/>
          <w:color w:val="000000"/>
          <w:sz w:val="24"/>
          <w:szCs w:val="24"/>
          <w:lang w:val="fr-FR"/>
        </w:rPr>
        <w:t>.</w:t>
      </w:r>
      <w:r w:rsidR="000B3690" w:rsidRPr="005F60C1">
        <w:rPr>
          <w:rFonts w:asciiTheme="minorHAnsi" w:hAnsiTheme="minorHAnsi" w:cstheme="minorHAnsi"/>
          <w:color w:val="000000"/>
          <w:sz w:val="24"/>
          <w:szCs w:val="24"/>
          <w:lang w:val="fr-FR"/>
        </w:rPr>
        <w:tab/>
      </w:r>
      <w:proofErr w:type="spellStart"/>
      <w:r w:rsidRPr="005F60C1">
        <w:rPr>
          <w:rFonts w:asciiTheme="minorHAnsi" w:hAnsiTheme="minorHAnsi" w:cstheme="minorHAnsi"/>
          <w:color w:val="000000"/>
          <w:sz w:val="24"/>
          <w:szCs w:val="24"/>
          <w:lang w:val="fr-FR"/>
        </w:rPr>
        <w:t>Mateus</w:t>
      </w:r>
      <w:proofErr w:type="spellEnd"/>
      <w:r w:rsidRPr="005F60C1">
        <w:rPr>
          <w:rFonts w:asciiTheme="minorHAnsi" w:hAnsiTheme="minorHAnsi" w:cstheme="minorHAnsi"/>
          <w:color w:val="000000"/>
          <w:sz w:val="24"/>
          <w:szCs w:val="24"/>
          <w:lang w:val="fr-FR"/>
        </w:rPr>
        <w:t xml:space="preserve"> J, </w:t>
      </w:r>
      <w:proofErr w:type="spellStart"/>
      <w:r w:rsidRPr="005F60C1">
        <w:rPr>
          <w:rFonts w:asciiTheme="minorHAnsi" w:hAnsiTheme="minorHAnsi" w:cstheme="minorHAnsi"/>
          <w:color w:val="000000"/>
          <w:sz w:val="24"/>
          <w:szCs w:val="24"/>
          <w:lang w:val="fr-FR"/>
        </w:rPr>
        <w:t>Grifoni</w:t>
      </w:r>
      <w:proofErr w:type="spellEnd"/>
      <w:r w:rsidRPr="005F60C1">
        <w:rPr>
          <w:rFonts w:asciiTheme="minorHAnsi" w:hAnsiTheme="minorHAnsi" w:cstheme="minorHAnsi"/>
          <w:color w:val="000000"/>
          <w:sz w:val="24"/>
          <w:szCs w:val="24"/>
          <w:lang w:val="fr-FR"/>
        </w:rPr>
        <w:t xml:space="preserve"> A, </w:t>
      </w:r>
      <w:proofErr w:type="spellStart"/>
      <w:r w:rsidRPr="005F60C1">
        <w:rPr>
          <w:rFonts w:asciiTheme="minorHAnsi" w:hAnsiTheme="minorHAnsi" w:cstheme="minorHAnsi"/>
          <w:color w:val="000000"/>
          <w:sz w:val="24"/>
          <w:szCs w:val="24"/>
          <w:lang w:val="fr-FR"/>
        </w:rPr>
        <w:t>Tarke</w:t>
      </w:r>
      <w:proofErr w:type="spellEnd"/>
      <w:r w:rsidRPr="005F60C1">
        <w:rPr>
          <w:rFonts w:asciiTheme="minorHAnsi" w:hAnsiTheme="minorHAnsi" w:cstheme="minorHAnsi"/>
          <w:color w:val="000000"/>
          <w:sz w:val="24"/>
          <w:szCs w:val="24"/>
          <w:lang w:val="fr-FR"/>
        </w:rPr>
        <w:t xml:space="preserve"> A, et al. </w:t>
      </w:r>
      <w:r w:rsidRPr="003B40F6">
        <w:rPr>
          <w:rFonts w:asciiTheme="minorHAnsi" w:hAnsiTheme="minorHAnsi" w:cstheme="minorHAnsi"/>
          <w:color w:val="000000"/>
          <w:sz w:val="24"/>
          <w:szCs w:val="24"/>
        </w:rPr>
        <w:t xml:space="preserve">Selective and cross-reactive SARS-CoV-2 T cell epitopes in unexposed humans. </w:t>
      </w:r>
      <w:proofErr w:type="spellStart"/>
      <w:r w:rsidRPr="005F60C1">
        <w:rPr>
          <w:rFonts w:asciiTheme="minorHAnsi" w:hAnsiTheme="minorHAnsi" w:cstheme="minorHAnsi"/>
          <w:i/>
          <w:iCs/>
          <w:color w:val="000000"/>
          <w:sz w:val="24"/>
          <w:szCs w:val="24"/>
          <w:lang w:val="fr-FR"/>
        </w:rPr>
        <w:t>Sci</w:t>
      </w:r>
      <w:proofErr w:type="spellEnd"/>
      <w:r w:rsidRPr="005F60C1">
        <w:rPr>
          <w:rFonts w:asciiTheme="minorHAnsi" w:hAnsiTheme="minorHAnsi" w:cstheme="minorHAnsi"/>
          <w:i/>
          <w:iCs/>
          <w:color w:val="000000"/>
          <w:sz w:val="24"/>
          <w:szCs w:val="24"/>
          <w:lang w:val="fr-FR"/>
        </w:rPr>
        <w:t xml:space="preserve"> New York N Y</w:t>
      </w:r>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2020;</w:t>
      </w:r>
      <w:proofErr w:type="gramEnd"/>
      <w:r w:rsidRPr="005F60C1">
        <w:rPr>
          <w:rFonts w:asciiTheme="minorHAnsi" w:hAnsiTheme="minorHAnsi" w:cstheme="minorHAnsi"/>
          <w:color w:val="000000"/>
          <w:sz w:val="24"/>
          <w:szCs w:val="24"/>
          <w:lang w:val="fr-FR"/>
        </w:rPr>
        <w:t xml:space="preserve">370(6512):89-94.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10.1126/science.abd3871</w:t>
      </w:r>
    </w:p>
    <w:p w14:paraId="414CF93A" w14:textId="042B8E35" w:rsidR="00736193" w:rsidRPr="003B40F6" w:rsidRDefault="00736193" w:rsidP="003B40F6">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15</w:t>
      </w:r>
      <w:r w:rsidR="00C450CA" w:rsidRPr="005F60C1">
        <w:rPr>
          <w:rFonts w:asciiTheme="minorHAnsi" w:hAnsiTheme="minorHAnsi" w:cstheme="minorHAnsi"/>
          <w:color w:val="000000"/>
          <w:sz w:val="24"/>
          <w:szCs w:val="24"/>
          <w:lang w:val="fr-FR"/>
        </w:rPr>
        <w:t>2</w:t>
      </w:r>
      <w:r w:rsidRPr="005F60C1">
        <w:rPr>
          <w:rFonts w:asciiTheme="minorHAnsi" w:hAnsiTheme="minorHAnsi" w:cstheme="minorHAnsi"/>
          <w:color w:val="000000"/>
          <w:sz w:val="24"/>
          <w:szCs w:val="24"/>
          <w:lang w:val="fr-FR"/>
        </w:rPr>
        <w:t>.</w:t>
      </w:r>
      <w:r w:rsidR="000B3690" w:rsidRPr="005F60C1">
        <w:rPr>
          <w:rFonts w:asciiTheme="minorHAnsi" w:hAnsiTheme="minorHAnsi" w:cstheme="minorHAnsi"/>
          <w:color w:val="000000"/>
          <w:sz w:val="24"/>
          <w:szCs w:val="24"/>
          <w:lang w:val="fr-FR"/>
        </w:rPr>
        <w:tab/>
      </w:r>
      <w:proofErr w:type="spellStart"/>
      <w:r w:rsidRPr="005F60C1">
        <w:rPr>
          <w:rFonts w:asciiTheme="minorHAnsi" w:hAnsiTheme="minorHAnsi" w:cstheme="minorHAnsi"/>
          <w:color w:val="000000"/>
          <w:sz w:val="24"/>
          <w:szCs w:val="24"/>
          <w:lang w:val="fr-FR"/>
        </w:rPr>
        <w:t>Mateus</w:t>
      </w:r>
      <w:proofErr w:type="spellEnd"/>
      <w:r w:rsidRPr="005F60C1">
        <w:rPr>
          <w:rFonts w:asciiTheme="minorHAnsi" w:hAnsiTheme="minorHAnsi" w:cstheme="minorHAnsi"/>
          <w:color w:val="000000"/>
          <w:sz w:val="24"/>
          <w:szCs w:val="24"/>
          <w:lang w:val="fr-FR"/>
        </w:rPr>
        <w:t xml:space="preserve"> J, Dan JM, Zhang Z, et al. </w:t>
      </w:r>
      <w:r w:rsidRPr="003B40F6">
        <w:rPr>
          <w:rFonts w:asciiTheme="minorHAnsi" w:hAnsiTheme="minorHAnsi" w:cstheme="minorHAnsi"/>
          <w:color w:val="000000"/>
          <w:sz w:val="24"/>
          <w:szCs w:val="24"/>
        </w:rPr>
        <w:t xml:space="preserve">Low-dose mRNA-1273 COVID-19 vaccine generates durable memory enhanced by cross-reactive T cells. </w:t>
      </w:r>
      <w:r w:rsidRPr="003B40F6">
        <w:rPr>
          <w:rFonts w:asciiTheme="minorHAnsi" w:hAnsiTheme="minorHAnsi" w:cstheme="minorHAnsi"/>
          <w:i/>
          <w:iCs/>
          <w:color w:val="000000"/>
          <w:sz w:val="24"/>
          <w:szCs w:val="24"/>
        </w:rPr>
        <w:t>Sci New York N Y</w:t>
      </w:r>
      <w:r w:rsidRPr="003B40F6">
        <w:rPr>
          <w:rFonts w:asciiTheme="minorHAnsi" w:hAnsiTheme="minorHAnsi" w:cstheme="minorHAnsi"/>
          <w:color w:val="000000"/>
          <w:sz w:val="24"/>
          <w:szCs w:val="24"/>
        </w:rPr>
        <w:t>. 2021;374(6566</w:t>
      </w:r>
      <w:proofErr w:type="gramStart"/>
      <w:r w:rsidRPr="003B40F6">
        <w:rPr>
          <w:rFonts w:asciiTheme="minorHAnsi" w:hAnsiTheme="minorHAnsi" w:cstheme="minorHAnsi"/>
          <w:color w:val="000000"/>
          <w:sz w:val="24"/>
          <w:szCs w:val="24"/>
        </w:rPr>
        <w:t>):eabj</w:t>
      </w:r>
      <w:proofErr w:type="gramEnd"/>
      <w:r w:rsidRPr="003B40F6">
        <w:rPr>
          <w:rFonts w:asciiTheme="minorHAnsi" w:hAnsiTheme="minorHAnsi" w:cstheme="minorHAnsi"/>
          <w:color w:val="000000"/>
          <w:sz w:val="24"/>
          <w:szCs w:val="24"/>
        </w:rPr>
        <w:t>9853-eabj9853. doi:10.1126/</w:t>
      </w:r>
      <w:proofErr w:type="gramStart"/>
      <w:r w:rsidRPr="003B40F6">
        <w:rPr>
          <w:rFonts w:asciiTheme="minorHAnsi" w:hAnsiTheme="minorHAnsi" w:cstheme="minorHAnsi"/>
          <w:color w:val="000000"/>
          <w:sz w:val="24"/>
          <w:szCs w:val="24"/>
        </w:rPr>
        <w:t>science.abj</w:t>
      </w:r>
      <w:proofErr w:type="gramEnd"/>
      <w:r w:rsidRPr="003B40F6">
        <w:rPr>
          <w:rFonts w:asciiTheme="minorHAnsi" w:hAnsiTheme="minorHAnsi" w:cstheme="minorHAnsi"/>
          <w:color w:val="000000"/>
          <w:sz w:val="24"/>
          <w:szCs w:val="24"/>
        </w:rPr>
        <w:t>9853</w:t>
      </w:r>
    </w:p>
    <w:p w14:paraId="07F66A83" w14:textId="64814D27" w:rsidR="00736193" w:rsidRPr="003B40F6" w:rsidRDefault="00736193" w:rsidP="003B40F6">
      <w:pPr>
        <w:pStyle w:val="csl-entry"/>
        <w:spacing w:line="480" w:lineRule="auto"/>
        <w:ind w:left="720" w:hanging="720"/>
        <w:rPr>
          <w:rFonts w:asciiTheme="minorHAnsi" w:hAnsiTheme="minorHAnsi" w:cstheme="minorHAnsi"/>
          <w:color w:val="000000"/>
          <w:sz w:val="24"/>
          <w:szCs w:val="24"/>
        </w:rPr>
      </w:pPr>
      <w:r w:rsidRPr="003B40F6">
        <w:rPr>
          <w:rFonts w:asciiTheme="minorHAnsi" w:hAnsiTheme="minorHAnsi" w:cstheme="minorHAnsi"/>
          <w:color w:val="000000"/>
          <w:sz w:val="24"/>
          <w:szCs w:val="24"/>
        </w:rPr>
        <w:lastRenderedPageBreak/>
        <w:t>15</w:t>
      </w:r>
      <w:r w:rsidR="00C450CA">
        <w:rPr>
          <w:rFonts w:asciiTheme="minorHAnsi" w:hAnsiTheme="minorHAnsi" w:cstheme="minorHAnsi"/>
          <w:color w:val="000000"/>
          <w:sz w:val="24"/>
          <w:szCs w:val="24"/>
        </w:rPr>
        <w:t>3</w:t>
      </w:r>
      <w:r w:rsidRPr="003B40F6">
        <w:rPr>
          <w:rFonts w:asciiTheme="minorHAnsi" w:hAnsiTheme="minorHAnsi" w:cstheme="minorHAnsi"/>
          <w:color w:val="000000"/>
          <w:sz w:val="24"/>
          <w:szCs w:val="24"/>
        </w:rPr>
        <w:t>.</w:t>
      </w:r>
      <w:r w:rsidR="000B3690">
        <w:rPr>
          <w:rFonts w:asciiTheme="minorHAnsi" w:hAnsiTheme="minorHAnsi" w:cstheme="minorHAnsi"/>
          <w:color w:val="000000"/>
          <w:sz w:val="24"/>
          <w:szCs w:val="24"/>
        </w:rPr>
        <w:tab/>
      </w:r>
      <w:r w:rsidRPr="003B40F6">
        <w:rPr>
          <w:rFonts w:asciiTheme="minorHAnsi" w:hAnsiTheme="minorHAnsi" w:cstheme="minorHAnsi"/>
          <w:color w:val="000000"/>
          <w:sz w:val="24"/>
          <w:szCs w:val="24"/>
        </w:rPr>
        <w:t xml:space="preserve">Loyal L, Braun J, Henze L, et al. Cross-reactive CD4 + T cells enhance SARS-CoV-2 immune responses upon infection and vaccination. </w:t>
      </w:r>
      <w:r w:rsidRPr="003B40F6">
        <w:rPr>
          <w:rFonts w:asciiTheme="minorHAnsi" w:hAnsiTheme="minorHAnsi" w:cstheme="minorHAnsi"/>
          <w:i/>
          <w:iCs/>
          <w:color w:val="000000"/>
          <w:sz w:val="24"/>
          <w:szCs w:val="24"/>
        </w:rPr>
        <w:t>Science</w:t>
      </w:r>
      <w:r w:rsidRPr="003B40F6">
        <w:rPr>
          <w:rFonts w:asciiTheme="minorHAnsi" w:hAnsiTheme="minorHAnsi" w:cstheme="minorHAnsi"/>
          <w:color w:val="000000"/>
          <w:sz w:val="24"/>
          <w:szCs w:val="24"/>
        </w:rPr>
        <w:t xml:space="preserve">. Published online </w:t>
      </w:r>
      <w:proofErr w:type="gramStart"/>
      <w:r w:rsidRPr="003B40F6">
        <w:rPr>
          <w:rFonts w:asciiTheme="minorHAnsi" w:hAnsiTheme="minorHAnsi" w:cstheme="minorHAnsi"/>
          <w:color w:val="000000"/>
          <w:sz w:val="24"/>
          <w:szCs w:val="24"/>
        </w:rPr>
        <w:t>2021:eabh</w:t>
      </w:r>
      <w:proofErr w:type="gramEnd"/>
      <w:r w:rsidRPr="003B40F6">
        <w:rPr>
          <w:rFonts w:asciiTheme="minorHAnsi" w:hAnsiTheme="minorHAnsi" w:cstheme="minorHAnsi"/>
          <w:color w:val="000000"/>
          <w:sz w:val="24"/>
          <w:szCs w:val="24"/>
        </w:rPr>
        <w:t>1823. doi:10.1126/</w:t>
      </w:r>
      <w:proofErr w:type="gramStart"/>
      <w:r w:rsidRPr="003B40F6">
        <w:rPr>
          <w:rFonts w:asciiTheme="minorHAnsi" w:hAnsiTheme="minorHAnsi" w:cstheme="minorHAnsi"/>
          <w:color w:val="000000"/>
          <w:sz w:val="24"/>
          <w:szCs w:val="24"/>
        </w:rPr>
        <w:t>science.abh</w:t>
      </w:r>
      <w:proofErr w:type="gramEnd"/>
      <w:r w:rsidRPr="003B40F6">
        <w:rPr>
          <w:rFonts w:asciiTheme="minorHAnsi" w:hAnsiTheme="minorHAnsi" w:cstheme="minorHAnsi"/>
          <w:color w:val="000000"/>
          <w:sz w:val="24"/>
          <w:szCs w:val="24"/>
        </w:rPr>
        <w:t>1823</w:t>
      </w:r>
    </w:p>
    <w:p w14:paraId="08889A91" w14:textId="0BAD65DD" w:rsidR="00736193" w:rsidRPr="005F60C1" w:rsidRDefault="00736193" w:rsidP="000B3690">
      <w:pPr>
        <w:pStyle w:val="csl-entry"/>
        <w:spacing w:line="480" w:lineRule="auto"/>
        <w:ind w:left="720" w:hanging="720"/>
        <w:rPr>
          <w:rFonts w:asciiTheme="minorHAnsi" w:hAnsiTheme="minorHAnsi" w:cstheme="minorHAnsi"/>
          <w:color w:val="000000"/>
          <w:sz w:val="24"/>
          <w:szCs w:val="24"/>
          <w:lang w:val="fr-FR"/>
        </w:rPr>
      </w:pPr>
      <w:r w:rsidRPr="003B40F6">
        <w:rPr>
          <w:rFonts w:asciiTheme="minorHAnsi" w:hAnsiTheme="minorHAnsi" w:cstheme="minorHAnsi"/>
          <w:color w:val="000000"/>
          <w:sz w:val="24"/>
          <w:szCs w:val="24"/>
        </w:rPr>
        <w:t>15</w:t>
      </w:r>
      <w:r w:rsidR="00C450CA">
        <w:rPr>
          <w:rFonts w:asciiTheme="minorHAnsi" w:hAnsiTheme="minorHAnsi" w:cstheme="minorHAnsi"/>
          <w:color w:val="000000"/>
          <w:sz w:val="24"/>
          <w:szCs w:val="24"/>
        </w:rPr>
        <w:t>4</w:t>
      </w:r>
      <w:r w:rsidRPr="003B40F6">
        <w:rPr>
          <w:rFonts w:asciiTheme="minorHAnsi" w:hAnsiTheme="minorHAnsi" w:cstheme="minorHAnsi"/>
          <w:color w:val="000000"/>
          <w:sz w:val="24"/>
          <w:szCs w:val="24"/>
        </w:rPr>
        <w:t>.</w:t>
      </w:r>
      <w:r w:rsidR="000B3690">
        <w:rPr>
          <w:rFonts w:asciiTheme="minorHAnsi" w:hAnsiTheme="minorHAnsi" w:cstheme="minorHAnsi"/>
          <w:color w:val="000000"/>
          <w:sz w:val="24"/>
          <w:szCs w:val="24"/>
        </w:rPr>
        <w:tab/>
      </w:r>
      <w:r w:rsidRPr="003B40F6">
        <w:rPr>
          <w:rFonts w:asciiTheme="minorHAnsi" w:hAnsiTheme="minorHAnsi" w:cstheme="minorHAnsi"/>
          <w:color w:val="000000"/>
          <w:sz w:val="24"/>
          <w:szCs w:val="24"/>
        </w:rPr>
        <w:t xml:space="preserve">Sette A, Crotty S. Pre-existing immunity to SARS-CoV-2: the knowns and unknowns. </w:t>
      </w:r>
      <w:r w:rsidRPr="005F60C1">
        <w:rPr>
          <w:rFonts w:asciiTheme="minorHAnsi" w:hAnsiTheme="minorHAnsi" w:cstheme="minorHAnsi"/>
          <w:i/>
          <w:iCs/>
          <w:color w:val="000000"/>
          <w:sz w:val="24"/>
          <w:szCs w:val="24"/>
          <w:lang w:val="fr-FR"/>
        </w:rPr>
        <w:t xml:space="preserve">Nat </w:t>
      </w:r>
      <w:proofErr w:type="spellStart"/>
      <w:r w:rsidRPr="005F60C1">
        <w:rPr>
          <w:rFonts w:asciiTheme="minorHAnsi" w:hAnsiTheme="minorHAnsi" w:cstheme="minorHAnsi"/>
          <w:i/>
          <w:iCs/>
          <w:color w:val="000000"/>
          <w:sz w:val="24"/>
          <w:szCs w:val="24"/>
          <w:lang w:val="fr-FR"/>
        </w:rPr>
        <w:t>Rev</w:t>
      </w:r>
      <w:proofErr w:type="spellEnd"/>
      <w:r w:rsidRPr="005F60C1">
        <w:rPr>
          <w:rFonts w:asciiTheme="minorHAnsi" w:hAnsiTheme="minorHAnsi" w:cstheme="minorHAnsi"/>
          <w:i/>
          <w:iCs/>
          <w:color w:val="000000"/>
          <w:sz w:val="24"/>
          <w:szCs w:val="24"/>
          <w:lang w:val="fr-FR"/>
        </w:rPr>
        <w:t xml:space="preserve"> </w:t>
      </w:r>
      <w:proofErr w:type="spellStart"/>
      <w:r w:rsidRPr="005F60C1">
        <w:rPr>
          <w:rFonts w:asciiTheme="minorHAnsi" w:hAnsiTheme="minorHAnsi" w:cstheme="minorHAnsi"/>
          <w:i/>
          <w:iCs/>
          <w:color w:val="000000"/>
          <w:sz w:val="24"/>
          <w:szCs w:val="24"/>
          <w:lang w:val="fr-FR"/>
        </w:rPr>
        <w:t>Immunol</w:t>
      </w:r>
      <w:proofErr w:type="spellEnd"/>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2020;</w:t>
      </w:r>
      <w:proofErr w:type="gramEnd"/>
      <w:r w:rsidRPr="005F60C1">
        <w:rPr>
          <w:rFonts w:asciiTheme="minorHAnsi" w:hAnsiTheme="minorHAnsi" w:cstheme="minorHAnsi"/>
          <w:color w:val="000000"/>
          <w:sz w:val="24"/>
          <w:szCs w:val="24"/>
          <w:lang w:val="fr-FR"/>
        </w:rPr>
        <w:t xml:space="preserve">20(8):457-458.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10.1038/s41577-020-0389-z</w:t>
      </w:r>
    </w:p>
    <w:p w14:paraId="2192A4D1" w14:textId="540E278B" w:rsidR="00736193" w:rsidRPr="003B40F6" w:rsidRDefault="00736193" w:rsidP="000B3690">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15</w:t>
      </w:r>
      <w:r w:rsidR="00C450CA" w:rsidRPr="005F60C1">
        <w:rPr>
          <w:rFonts w:asciiTheme="minorHAnsi" w:hAnsiTheme="minorHAnsi" w:cstheme="minorHAnsi"/>
          <w:color w:val="000000"/>
          <w:sz w:val="24"/>
          <w:szCs w:val="24"/>
          <w:lang w:val="fr-FR"/>
        </w:rPr>
        <w:t>5</w:t>
      </w:r>
      <w:r w:rsidRPr="005F60C1">
        <w:rPr>
          <w:rFonts w:asciiTheme="minorHAnsi" w:hAnsiTheme="minorHAnsi" w:cstheme="minorHAnsi"/>
          <w:color w:val="000000"/>
          <w:sz w:val="24"/>
          <w:szCs w:val="24"/>
          <w:lang w:val="fr-FR"/>
        </w:rPr>
        <w:t>.</w:t>
      </w:r>
      <w:r w:rsidR="000B3690" w:rsidRPr="005F60C1">
        <w:rPr>
          <w:rFonts w:asciiTheme="minorHAnsi" w:hAnsiTheme="minorHAnsi" w:cstheme="minorHAnsi"/>
          <w:color w:val="000000"/>
          <w:sz w:val="24"/>
          <w:szCs w:val="24"/>
          <w:lang w:val="fr-FR"/>
        </w:rPr>
        <w:tab/>
      </w:r>
      <w:r w:rsidRPr="005F60C1">
        <w:rPr>
          <w:rFonts w:asciiTheme="minorHAnsi" w:hAnsiTheme="minorHAnsi" w:cstheme="minorHAnsi"/>
          <w:color w:val="000000"/>
          <w:sz w:val="24"/>
          <w:szCs w:val="24"/>
          <w:lang w:val="fr-FR"/>
        </w:rPr>
        <w:t xml:space="preserve">Sagar M, </w:t>
      </w:r>
      <w:proofErr w:type="spellStart"/>
      <w:r w:rsidRPr="005F60C1">
        <w:rPr>
          <w:rFonts w:asciiTheme="minorHAnsi" w:hAnsiTheme="minorHAnsi" w:cstheme="minorHAnsi"/>
          <w:color w:val="000000"/>
          <w:sz w:val="24"/>
          <w:szCs w:val="24"/>
          <w:lang w:val="fr-FR"/>
        </w:rPr>
        <w:t>Reifler</w:t>
      </w:r>
      <w:proofErr w:type="spellEnd"/>
      <w:r w:rsidRPr="005F60C1">
        <w:rPr>
          <w:rFonts w:asciiTheme="minorHAnsi" w:hAnsiTheme="minorHAnsi" w:cstheme="minorHAnsi"/>
          <w:color w:val="000000"/>
          <w:sz w:val="24"/>
          <w:szCs w:val="24"/>
          <w:lang w:val="fr-FR"/>
        </w:rPr>
        <w:t xml:space="preserve"> K, Rossi M, et al. </w:t>
      </w:r>
      <w:r w:rsidRPr="003B40F6">
        <w:rPr>
          <w:rFonts w:asciiTheme="minorHAnsi" w:hAnsiTheme="minorHAnsi" w:cstheme="minorHAnsi"/>
          <w:color w:val="000000"/>
          <w:sz w:val="24"/>
          <w:szCs w:val="24"/>
        </w:rPr>
        <w:t xml:space="preserve">Recent endemic coronavirus infection is associated with less severe COVID-19. </w:t>
      </w:r>
      <w:r w:rsidRPr="003B40F6">
        <w:rPr>
          <w:rFonts w:asciiTheme="minorHAnsi" w:hAnsiTheme="minorHAnsi" w:cstheme="minorHAnsi"/>
          <w:i/>
          <w:iCs/>
          <w:color w:val="000000"/>
          <w:sz w:val="24"/>
          <w:szCs w:val="24"/>
        </w:rPr>
        <w:t>J Clin Invest</w:t>
      </w:r>
      <w:r w:rsidRPr="003B40F6">
        <w:rPr>
          <w:rFonts w:asciiTheme="minorHAnsi" w:hAnsiTheme="minorHAnsi" w:cstheme="minorHAnsi"/>
          <w:color w:val="000000"/>
          <w:sz w:val="24"/>
          <w:szCs w:val="24"/>
        </w:rPr>
        <w:t>. 2020;131(1). doi:10.1172/jci143380</w:t>
      </w:r>
    </w:p>
    <w:p w14:paraId="0BC9C0DF" w14:textId="00A44ED5" w:rsidR="00736193" w:rsidRPr="003B40F6" w:rsidRDefault="00736193" w:rsidP="000B3690">
      <w:pPr>
        <w:pStyle w:val="csl-entry"/>
        <w:spacing w:line="480" w:lineRule="auto"/>
        <w:ind w:left="720" w:hanging="720"/>
        <w:rPr>
          <w:rFonts w:asciiTheme="minorHAnsi" w:hAnsiTheme="minorHAnsi" w:cstheme="minorHAnsi"/>
          <w:color w:val="000000"/>
          <w:sz w:val="24"/>
          <w:szCs w:val="24"/>
        </w:rPr>
      </w:pPr>
      <w:r w:rsidRPr="003B40F6">
        <w:rPr>
          <w:rFonts w:asciiTheme="minorHAnsi" w:hAnsiTheme="minorHAnsi" w:cstheme="minorHAnsi"/>
          <w:color w:val="000000"/>
          <w:sz w:val="24"/>
          <w:szCs w:val="24"/>
        </w:rPr>
        <w:t>15</w:t>
      </w:r>
      <w:r w:rsidR="00C450CA">
        <w:rPr>
          <w:rFonts w:asciiTheme="minorHAnsi" w:hAnsiTheme="minorHAnsi" w:cstheme="minorHAnsi"/>
          <w:color w:val="000000"/>
          <w:sz w:val="24"/>
          <w:szCs w:val="24"/>
        </w:rPr>
        <w:t>6</w:t>
      </w:r>
      <w:r w:rsidRPr="003B40F6">
        <w:rPr>
          <w:rFonts w:asciiTheme="minorHAnsi" w:hAnsiTheme="minorHAnsi" w:cstheme="minorHAnsi"/>
          <w:color w:val="000000"/>
          <w:sz w:val="24"/>
          <w:szCs w:val="24"/>
        </w:rPr>
        <w:t>.</w:t>
      </w:r>
      <w:r w:rsidR="000B3690">
        <w:rPr>
          <w:rFonts w:asciiTheme="minorHAnsi" w:hAnsiTheme="minorHAnsi" w:cstheme="minorHAnsi"/>
          <w:color w:val="000000"/>
          <w:sz w:val="24"/>
          <w:szCs w:val="24"/>
        </w:rPr>
        <w:tab/>
      </w:r>
      <w:r w:rsidRPr="003B40F6">
        <w:rPr>
          <w:rFonts w:asciiTheme="minorHAnsi" w:hAnsiTheme="minorHAnsi" w:cstheme="minorHAnsi"/>
          <w:color w:val="000000"/>
          <w:sz w:val="24"/>
          <w:szCs w:val="24"/>
        </w:rPr>
        <w:t xml:space="preserve">Swadling L, Diniz MO, Schmidt NM, et al. Pre-existing polymerase-specific T cells expand in abortive seronegative SARS-CoV-2. </w:t>
      </w:r>
      <w:r w:rsidRPr="003B40F6">
        <w:rPr>
          <w:rFonts w:asciiTheme="minorHAnsi" w:hAnsiTheme="minorHAnsi" w:cstheme="minorHAnsi"/>
          <w:i/>
          <w:iCs/>
          <w:color w:val="000000"/>
          <w:sz w:val="24"/>
          <w:szCs w:val="24"/>
        </w:rPr>
        <w:t>Nature</w:t>
      </w:r>
      <w:r w:rsidRPr="003B40F6">
        <w:rPr>
          <w:rFonts w:asciiTheme="minorHAnsi" w:hAnsiTheme="minorHAnsi" w:cstheme="minorHAnsi"/>
          <w:color w:val="000000"/>
          <w:sz w:val="24"/>
          <w:szCs w:val="24"/>
        </w:rPr>
        <w:t>. Published online 2021:1-8. doi:10.1038/s41586-021-04186-8</w:t>
      </w:r>
    </w:p>
    <w:p w14:paraId="78634DE1" w14:textId="1AD5C294" w:rsidR="00736193" w:rsidRPr="005F60C1" w:rsidRDefault="00736193" w:rsidP="000B3690">
      <w:pPr>
        <w:pStyle w:val="csl-entry"/>
        <w:spacing w:line="480" w:lineRule="auto"/>
        <w:ind w:left="720" w:hanging="720"/>
        <w:rPr>
          <w:rFonts w:asciiTheme="minorHAnsi" w:hAnsiTheme="minorHAnsi" w:cstheme="minorHAnsi"/>
          <w:color w:val="000000"/>
          <w:sz w:val="24"/>
          <w:szCs w:val="24"/>
          <w:lang w:val="fr-FR"/>
        </w:rPr>
      </w:pPr>
      <w:r w:rsidRPr="003B40F6">
        <w:rPr>
          <w:rFonts w:asciiTheme="minorHAnsi" w:hAnsiTheme="minorHAnsi" w:cstheme="minorHAnsi"/>
          <w:color w:val="000000"/>
          <w:sz w:val="24"/>
          <w:szCs w:val="24"/>
        </w:rPr>
        <w:t>15</w:t>
      </w:r>
      <w:r w:rsidR="00C450CA">
        <w:rPr>
          <w:rFonts w:asciiTheme="minorHAnsi" w:hAnsiTheme="minorHAnsi" w:cstheme="minorHAnsi"/>
          <w:color w:val="000000"/>
          <w:sz w:val="24"/>
          <w:szCs w:val="24"/>
        </w:rPr>
        <w:t>7</w:t>
      </w:r>
      <w:r w:rsidR="000B3690">
        <w:rPr>
          <w:rFonts w:asciiTheme="minorHAnsi" w:hAnsiTheme="minorHAnsi" w:cstheme="minorHAnsi"/>
          <w:color w:val="000000"/>
          <w:sz w:val="24"/>
          <w:szCs w:val="24"/>
        </w:rPr>
        <w:t>.</w:t>
      </w:r>
      <w:r w:rsidR="000B3690">
        <w:rPr>
          <w:rFonts w:asciiTheme="minorHAnsi" w:hAnsiTheme="minorHAnsi" w:cstheme="minorHAnsi"/>
          <w:color w:val="000000"/>
          <w:sz w:val="24"/>
          <w:szCs w:val="24"/>
        </w:rPr>
        <w:tab/>
      </w:r>
      <w:r w:rsidRPr="003B40F6">
        <w:rPr>
          <w:rFonts w:asciiTheme="minorHAnsi" w:hAnsiTheme="minorHAnsi" w:cstheme="minorHAnsi"/>
          <w:color w:val="000000"/>
          <w:sz w:val="24"/>
          <w:szCs w:val="24"/>
        </w:rPr>
        <w:t xml:space="preserve">Antunes R da S, </w:t>
      </w:r>
      <w:proofErr w:type="spellStart"/>
      <w:r w:rsidRPr="003B40F6">
        <w:rPr>
          <w:rFonts w:asciiTheme="minorHAnsi" w:hAnsiTheme="minorHAnsi" w:cstheme="minorHAnsi"/>
          <w:color w:val="000000"/>
          <w:sz w:val="24"/>
          <w:szCs w:val="24"/>
        </w:rPr>
        <w:t>Pallikkuth</w:t>
      </w:r>
      <w:proofErr w:type="spellEnd"/>
      <w:r w:rsidRPr="003B40F6">
        <w:rPr>
          <w:rFonts w:asciiTheme="minorHAnsi" w:hAnsiTheme="minorHAnsi" w:cstheme="minorHAnsi"/>
          <w:color w:val="000000"/>
          <w:sz w:val="24"/>
          <w:szCs w:val="24"/>
        </w:rPr>
        <w:t xml:space="preserve"> S, Williams E, et al. Differential T cell reactivity to endemic coronaviruses and SARS-CoV-2 in community and health care workers. </w:t>
      </w:r>
      <w:r w:rsidRPr="005F60C1">
        <w:rPr>
          <w:rFonts w:asciiTheme="minorHAnsi" w:hAnsiTheme="minorHAnsi" w:cstheme="minorHAnsi"/>
          <w:i/>
          <w:iCs/>
          <w:color w:val="000000"/>
          <w:sz w:val="24"/>
          <w:szCs w:val="24"/>
          <w:lang w:val="fr-FR"/>
        </w:rPr>
        <w:t>J Infect Dis</w:t>
      </w:r>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2021;</w:t>
      </w:r>
      <w:proofErr w:type="gramEnd"/>
      <w:r w:rsidRPr="005F60C1">
        <w:rPr>
          <w:rFonts w:asciiTheme="minorHAnsi" w:hAnsiTheme="minorHAnsi" w:cstheme="minorHAnsi"/>
          <w:color w:val="000000"/>
          <w:sz w:val="24"/>
          <w:szCs w:val="24"/>
          <w:lang w:val="fr-FR"/>
        </w:rPr>
        <w:t xml:space="preserve">224(1):jiab176-.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10.1093/</w:t>
      </w:r>
      <w:proofErr w:type="spellStart"/>
      <w:r w:rsidRPr="005F60C1">
        <w:rPr>
          <w:rFonts w:asciiTheme="minorHAnsi" w:hAnsiTheme="minorHAnsi" w:cstheme="minorHAnsi"/>
          <w:color w:val="000000"/>
          <w:sz w:val="24"/>
          <w:szCs w:val="24"/>
          <w:lang w:val="fr-FR"/>
        </w:rPr>
        <w:t>infdis</w:t>
      </w:r>
      <w:proofErr w:type="spellEnd"/>
      <w:r w:rsidRPr="005F60C1">
        <w:rPr>
          <w:rFonts w:asciiTheme="minorHAnsi" w:hAnsiTheme="minorHAnsi" w:cstheme="minorHAnsi"/>
          <w:color w:val="000000"/>
          <w:sz w:val="24"/>
          <w:szCs w:val="24"/>
          <w:lang w:val="fr-FR"/>
        </w:rPr>
        <w:t>/jiab176</w:t>
      </w:r>
    </w:p>
    <w:p w14:paraId="16785B0A" w14:textId="46A12F64" w:rsidR="00736193" w:rsidRPr="005F60C1" w:rsidRDefault="00736193" w:rsidP="000B3690">
      <w:pPr>
        <w:pStyle w:val="csl-entry"/>
        <w:spacing w:line="480" w:lineRule="auto"/>
        <w:ind w:left="720" w:hanging="720"/>
        <w:rPr>
          <w:rFonts w:asciiTheme="minorHAnsi" w:hAnsiTheme="minorHAnsi" w:cstheme="minorHAnsi"/>
          <w:color w:val="000000"/>
          <w:sz w:val="24"/>
          <w:szCs w:val="24"/>
          <w:lang w:val="fr-FR"/>
        </w:rPr>
      </w:pPr>
      <w:r w:rsidRPr="005F60C1">
        <w:rPr>
          <w:rFonts w:asciiTheme="minorHAnsi" w:hAnsiTheme="minorHAnsi" w:cstheme="minorHAnsi"/>
          <w:color w:val="000000"/>
          <w:sz w:val="24"/>
          <w:szCs w:val="24"/>
          <w:lang w:val="fr-FR"/>
        </w:rPr>
        <w:t>15</w:t>
      </w:r>
      <w:r w:rsidR="00C450CA" w:rsidRPr="005F60C1">
        <w:rPr>
          <w:rFonts w:asciiTheme="minorHAnsi" w:hAnsiTheme="minorHAnsi" w:cstheme="minorHAnsi"/>
          <w:color w:val="000000"/>
          <w:sz w:val="24"/>
          <w:szCs w:val="24"/>
          <w:lang w:val="fr-FR"/>
        </w:rPr>
        <w:t>8</w:t>
      </w:r>
      <w:r w:rsidRPr="005F60C1">
        <w:rPr>
          <w:rFonts w:asciiTheme="minorHAnsi" w:hAnsiTheme="minorHAnsi" w:cstheme="minorHAnsi"/>
          <w:color w:val="000000"/>
          <w:sz w:val="24"/>
          <w:szCs w:val="24"/>
          <w:lang w:val="fr-FR"/>
        </w:rPr>
        <w:t>.</w:t>
      </w:r>
      <w:r w:rsidR="000B3690" w:rsidRPr="005F60C1">
        <w:rPr>
          <w:rFonts w:asciiTheme="minorHAnsi" w:hAnsiTheme="minorHAnsi" w:cstheme="minorHAnsi"/>
          <w:color w:val="000000"/>
          <w:sz w:val="24"/>
          <w:szCs w:val="24"/>
          <w:lang w:val="fr-FR"/>
        </w:rPr>
        <w:tab/>
      </w:r>
      <w:proofErr w:type="spellStart"/>
      <w:r w:rsidRPr="005F60C1">
        <w:rPr>
          <w:rFonts w:asciiTheme="minorHAnsi" w:hAnsiTheme="minorHAnsi" w:cstheme="minorHAnsi"/>
          <w:color w:val="000000"/>
          <w:sz w:val="24"/>
          <w:szCs w:val="24"/>
          <w:lang w:val="fr-FR"/>
        </w:rPr>
        <w:t>Chandrashekar</w:t>
      </w:r>
      <w:proofErr w:type="spellEnd"/>
      <w:r w:rsidRPr="005F60C1">
        <w:rPr>
          <w:rFonts w:asciiTheme="minorHAnsi" w:hAnsiTheme="minorHAnsi" w:cstheme="minorHAnsi"/>
          <w:color w:val="000000"/>
          <w:sz w:val="24"/>
          <w:szCs w:val="24"/>
          <w:lang w:val="fr-FR"/>
        </w:rPr>
        <w:t xml:space="preserve"> A, Liu J, Martinot AJ, et al. </w:t>
      </w:r>
      <w:r w:rsidRPr="003B40F6">
        <w:rPr>
          <w:rFonts w:asciiTheme="minorHAnsi" w:hAnsiTheme="minorHAnsi" w:cstheme="minorHAnsi"/>
          <w:color w:val="000000"/>
          <w:sz w:val="24"/>
          <w:szCs w:val="24"/>
        </w:rPr>
        <w:t xml:space="preserve">SARS-CoV-2 infection protects against rechallenge in rhesus macaques. </w:t>
      </w:r>
      <w:r w:rsidRPr="005F60C1">
        <w:rPr>
          <w:rFonts w:asciiTheme="minorHAnsi" w:hAnsiTheme="minorHAnsi" w:cstheme="minorHAnsi"/>
          <w:i/>
          <w:iCs/>
          <w:color w:val="000000"/>
          <w:sz w:val="24"/>
          <w:szCs w:val="24"/>
          <w:lang w:val="fr-FR"/>
        </w:rPr>
        <w:t>Science</w:t>
      </w:r>
      <w:r w:rsidRPr="005F60C1">
        <w:rPr>
          <w:rFonts w:asciiTheme="minorHAnsi" w:hAnsiTheme="minorHAnsi" w:cstheme="minorHAnsi"/>
          <w:color w:val="000000"/>
          <w:sz w:val="24"/>
          <w:szCs w:val="24"/>
          <w:lang w:val="fr-FR"/>
        </w:rPr>
        <w:t xml:space="preserve">. </w:t>
      </w:r>
      <w:proofErr w:type="gramStart"/>
      <w:r w:rsidRPr="005F60C1">
        <w:rPr>
          <w:rFonts w:asciiTheme="minorHAnsi" w:hAnsiTheme="minorHAnsi" w:cstheme="minorHAnsi"/>
          <w:color w:val="000000"/>
          <w:sz w:val="24"/>
          <w:szCs w:val="24"/>
          <w:lang w:val="fr-FR"/>
        </w:rPr>
        <w:t>2020;</w:t>
      </w:r>
      <w:proofErr w:type="gramEnd"/>
      <w:r w:rsidRPr="005F60C1">
        <w:rPr>
          <w:rFonts w:asciiTheme="minorHAnsi" w:hAnsiTheme="minorHAnsi" w:cstheme="minorHAnsi"/>
          <w:color w:val="000000"/>
          <w:sz w:val="24"/>
          <w:szCs w:val="24"/>
          <w:lang w:val="fr-FR"/>
        </w:rPr>
        <w:t xml:space="preserve">369(6505):812-817. </w:t>
      </w:r>
      <w:proofErr w:type="gramStart"/>
      <w:r w:rsidRPr="005F60C1">
        <w:rPr>
          <w:rFonts w:asciiTheme="minorHAnsi" w:hAnsiTheme="minorHAnsi" w:cstheme="minorHAnsi"/>
          <w:color w:val="000000"/>
          <w:sz w:val="24"/>
          <w:szCs w:val="24"/>
          <w:lang w:val="fr-FR"/>
        </w:rPr>
        <w:t>doi:</w:t>
      </w:r>
      <w:proofErr w:type="gramEnd"/>
      <w:r w:rsidRPr="005F60C1">
        <w:rPr>
          <w:rFonts w:asciiTheme="minorHAnsi" w:hAnsiTheme="minorHAnsi" w:cstheme="minorHAnsi"/>
          <w:color w:val="000000"/>
          <w:sz w:val="24"/>
          <w:szCs w:val="24"/>
          <w:lang w:val="fr-FR"/>
        </w:rPr>
        <w:t>10.1126/science.abc4776</w:t>
      </w:r>
    </w:p>
    <w:p w14:paraId="6986A1D7" w14:textId="1A96CF69" w:rsidR="00736193" w:rsidRPr="003B40F6" w:rsidRDefault="00736193" w:rsidP="000B3690">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15</w:t>
      </w:r>
      <w:r w:rsidR="00C450CA" w:rsidRPr="005F60C1">
        <w:rPr>
          <w:rFonts w:asciiTheme="minorHAnsi" w:hAnsiTheme="minorHAnsi" w:cstheme="minorHAnsi"/>
          <w:color w:val="000000"/>
          <w:sz w:val="24"/>
          <w:szCs w:val="24"/>
          <w:lang w:val="fr-FR"/>
        </w:rPr>
        <w:t>9</w:t>
      </w:r>
      <w:r w:rsidRPr="005F60C1">
        <w:rPr>
          <w:rFonts w:asciiTheme="minorHAnsi" w:hAnsiTheme="minorHAnsi" w:cstheme="minorHAnsi"/>
          <w:color w:val="000000"/>
          <w:sz w:val="24"/>
          <w:szCs w:val="24"/>
          <w:lang w:val="fr-FR"/>
        </w:rPr>
        <w:t>.</w:t>
      </w:r>
      <w:r w:rsidR="000B3690" w:rsidRPr="005F60C1">
        <w:rPr>
          <w:rFonts w:asciiTheme="minorHAnsi" w:hAnsiTheme="minorHAnsi" w:cstheme="minorHAnsi"/>
          <w:color w:val="000000"/>
          <w:sz w:val="24"/>
          <w:szCs w:val="24"/>
          <w:lang w:val="fr-FR"/>
        </w:rPr>
        <w:tab/>
      </w:r>
      <w:r w:rsidRPr="005F60C1">
        <w:rPr>
          <w:rFonts w:asciiTheme="minorHAnsi" w:hAnsiTheme="minorHAnsi" w:cstheme="minorHAnsi"/>
          <w:color w:val="000000"/>
          <w:sz w:val="24"/>
          <w:szCs w:val="24"/>
          <w:lang w:val="fr-FR"/>
        </w:rPr>
        <w:t xml:space="preserve">Deng W, Bao L, Liu J, et al. </w:t>
      </w:r>
      <w:r w:rsidRPr="003B40F6">
        <w:rPr>
          <w:rFonts w:asciiTheme="minorHAnsi" w:hAnsiTheme="minorHAnsi" w:cstheme="minorHAnsi"/>
          <w:color w:val="000000"/>
          <w:sz w:val="24"/>
          <w:szCs w:val="24"/>
        </w:rPr>
        <w:t xml:space="preserve">Primary exposure to SARS-CoV-2 protects against reinfection in rhesus macaques. </w:t>
      </w:r>
      <w:r w:rsidRPr="003B40F6">
        <w:rPr>
          <w:rFonts w:asciiTheme="minorHAnsi" w:hAnsiTheme="minorHAnsi" w:cstheme="minorHAnsi"/>
          <w:i/>
          <w:iCs/>
          <w:color w:val="000000"/>
          <w:sz w:val="24"/>
          <w:szCs w:val="24"/>
        </w:rPr>
        <w:t>Science</w:t>
      </w:r>
      <w:r w:rsidRPr="003B40F6">
        <w:rPr>
          <w:rFonts w:asciiTheme="minorHAnsi" w:hAnsiTheme="minorHAnsi" w:cstheme="minorHAnsi"/>
          <w:color w:val="000000"/>
          <w:sz w:val="24"/>
          <w:szCs w:val="24"/>
        </w:rPr>
        <w:t xml:space="preserve">. Published online </w:t>
      </w:r>
      <w:proofErr w:type="gramStart"/>
      <w:r w:rsidRPr="003B40F6">
        <w:rPr>
          <w:rFonts w:asciiTheme="minorHAnsi" w:hAnsiTheme="minorHAnsi" w:cstheme="minorHAnsi"/>
          <w:color w:val="000000"/>
          <w:sz w:val="24"/>
          <w:szCs w:val="24"/>
        </w:rPr>
        <w:t>2020:eabc</w:t>
      </w:r>
      <w:proofErr w:type="gramEnd"/>
      <w:r w:rsidRPr="003B40F6">
        <w:rPr>
          <w:rFonts w:asciiTheme="minorHAnsi" w:hAnsiTheme="minorHAnsi" w:cstheme="minorHAnsi"/>
          <w:color w:val="000000"/>
          <w:sz w:val="24"/>
          <w:szCs w:val="24"/>
        </w:rPr>
        <w:t>5343. doi:10.1126/science.abc5343</w:t>
      </w:r>
    </w:p>
    <w:p w14:paraId="4F6728D9" w14:textId="26241B85" w:rsidR="00736193" w:rsidRDefault="00B41BA9" w:rsidP="000B3690">
      <w:pPr>
        <w:pStyle w:val="csl-entry"/>
        <w:spacing w:line="480" w:lineRule="auto"/>
        <w:ind w:left="720" w:hanging="720"/>
        <w:rPr>
          <w:rFonts w:asciiTheme="minorHAnsi" w:hAnsiTheme="minorHAnsi" w:cstheme="minorHAnsi"/>
          <w:color w:val="000000"/>
          <w:sz w:val="24"/>
          <w:szCs w:val="24"/>
        </w:rPr>
      </w:pPr>
      <w:r>
        <w:rPr>
          <w:rFonts w:asciiTheme="minorHAnsi" w:hAnsiTheme="minorHAnsi" w:cstheme="minorHAnsi"/>
          <w:color w:val="000000"/>
          <w:sz w:val="24"/>
          <w:szCs w:val="24"/>
        </w:rPr>
        <w:lastRenderedPageBreak/>
        <w:t>1</w:t>
      </w:r>
      <w:r w:rsidR="00C450CA">
        <w:rPr>
          <w:rFonts w:asciiTheme="minorHAnsi" w:hAnsiTheme="minorHAnsi" w:cstheme="minorHAnsi"/>
          <w:color w:val="000000"/>
          <w:sz w:val="24"/>
          <w:szCs w:val="24"/>
        </w:rPr>
        <w:t>60.</w:t>
      </w:r>
      <w:r w:rsidR="000B3690">
        <w:rPr>
          <w:rFonts w:asciiTheme="minorHAnsi" w:hAnsiTheme="minorHAnsi" w:cstheme="minorHAnsi"/>
          <w:color w:val="000000"/>
          <w:sz w:val="24"/>
          <w:szCs w:val="24"/>
        </w:rPr>
        <w:tab/>
      </w:r>
      <w:r w:rsidR="00736193" w:rsidRPr="003B40F6">
        <w:rPr>
          <w:rFonts w:asciiTheme="minorHAnsi" w:hAnsiTheme="minorHAnsi" w:cstheme="minorHAnsi"/>
          <w:color w:val="000000"/>
          <w:sz w:val="24"/>
          <w:szCs w:val="24"/>
        </w:rPr>
        <w:t xml:space="preserve">Lumley SF, O’Donnell D, Stoesser NE, et al. Antibody Status and Incidence of SARS-CoV-2 Infection in Health Care Workers. </w:t>
      </w:r>
      <w:r w:rsidR="00736193" w:rsidRPr="003B40F6">
        <w:rPr>
          <w:rFonts w:asciiTheme="minorHAnsi" w:hAnsiTheme="minorHAnsi" w:cstheme="minorHAnsi"/>
          <w:i/>
          <w:iCs/>
          <w:color w:val="000000"/>
          <w:sz w:val="24"/>
          <w:szCs w:val="24"/>
        </w:rPr>
        <w:t>New Engl J Med</w:t>
      </w:r>
      <w:r w:rsidR="00736193" w:rsidRPr="003B40F6">
        <w:rPr>
          <w:rFonts w:asciiTheme="minorHAnsi" w:hAnsiTheme="minorHAnsi" w:cstheme="minorHAnsi"/>
          <w:color w:val="000000"/>
          <w:sz w:val="24"/>
          <w:szCs w:val="24"/>
        </w:rPr>
        <w:t>. 2020;384(6):533-540. doi:10.1056/nejmoa2034545</w:t>
      </w:r>
    </w:p>
    <w:p w14:paraId="6F2010FF" w14:textId="0DA40861" w:rsidR="00BD6BCD" w:rsidRPr="00C450CA" w:rsidRDefault="000B3690" w:rsidP="00852C7A">
      <w:pPr>
        <w:ind w:left="720" w:hanging="720"/>
        <w:rPr>
          <w:color w:val="000000"/>
          <w:sz w:val="24"/>
          <w:szCs w:val="24"/>
          <w:lang w:val="en-US"/>
        </w:rPr>
      </w:pPr>
      <w:r w:rsidRPr="005F60C1">
        <w:rPr>
          <w:rFonts w:cstheme="minorHAnsi"/>
          <w:color w:val="000000"/>
          <w:sz w:val="24"/>
          <w:szCs w:val="24"/>
          <w:lang w:val="en-US"/>
        </w:rPr>
        <w:t>16</w:t>
      </w:r>
      <w:r w:rsidR="00C450CA" w:rsidRPr="005F60C1">
        <w:rPr>
          <w:rFonts w:cstheme="minorHAnsi"/>
          <w:color w:val="000000"/>
          <w:sz w:val="24"/>
          <w:szCs w:val="24"/>
          <w:lang w:val="en-US"/>
        </w:rPr>
        <w:t>1</w:t>
      </w:r>
      <w:r w:rsidRPr="005F60C1">
        <w:rPr>
          <w:rFonts w:cstheme="minorHAnsi"/>
          <w:color w:val="000000"/>
          <w:sz w:val="24"/>
          <w:szCs w:val="24"/>
          <w:lang w:val="en-US"/>
        </w:rPr>
        <w:t>.</w:t>
      </w:r>
      <w:r w:rsidRPr="005F60C1">
        <w:rPr>
          <w:rFonts w:cstheme="minorHAnsi"/>
          <w:color w:val="000000"/>
          <w:sz w:val="24"/>
          <w:szCs w:val="24"/>
          <w:lang w:val="en-US"/>
        </w:rPr>
        <w:tab/>
      </w:r>
      <w:r w:rsidR="00BD6BCD" w:rsidRPr="00C450CA">
        <w:rPr>
          <w:color w:val="000000"/>
          <w:sz w:val="24"/>
          <w:szCs w:val="24"/>
          <w:lang w:val="en-US"/>
        </w:rPr>
        <w:t>Abu-</w:t>
      </w:r>
      <w:proofErr w:type="spellStart"/>
      <w:r w:rsidR="00BD6BCD" w:rsidRPr="00C450CA">
        <w:rPr>
          <w:color w:val="000000"/>
          <w:sz w:val="24"/>
          <w:szCs w:val="24"/>
          <w:lang w:val="en-US"/>
        </w:rPr>
        <w:t>Raddad</w:t>
      </w:r>
      <w:proofErr w:type="spellEnd"/>
      <w:r w:rsidR="00BD6BCD" w:rsidRPr="00C450CA">
        <w:rPr>
          <w:color w:val="000000"/>
          <w:sz w:val="24"/>
          <w:szCs w:val="24"/>
          <w:lang w:val="en-US"/>
        </w:rPr>
        <w:t xml:space="preserve"> LJ, </w:t>
      </w:r>
      <w:proofErr w:type="spellStart"/>
      <w:r w:rsidR="00BD6BCD" w:rsidRPr="00C450CA">
        <w:rPr>
          <w:color w:val="000000"/>
          <w:sz w:val="24"/>
          <w:szCs w:val="24"/>
          <w:lang w:val="en-US"/>
        </w:rPr>
        <w:t>Chemaitelly</w:t>
      </w:r>
      <w:proofErr w:type="spellEnd"/>
      <w:r w:rsidR="00BD6BCD" w:rsidRPr="00C450CA">
        <w:rPr>
          <w:color w:val="000000"/>
          <w:sz w:val="24"/>
          <w:szCs w:val="24"/>
          <w:lang w:val="en-US"/>
        </w:rPr>
        <w:t xml:space="preserve"> H, Coyle P, et al. SARS-CoV-2 antibody-positivity protects against reinfection for at least seven months with 95% efficacy. </w:t>
      </w:r>
      <w:proofErr w:type="spellStart"/>
      <w:r w:rsidR="00BD6BCD" w:rsidRPr="00C450CA">
        <w:rPr>
          <w:i/>
          <w:iCs/>
          <w:color w:val="000000"/>
          <w:sz w:val="24"/>
          <w:szCs w:val="24"/>
          <w:lang w:val="en-US"/>
        </w:rPr>
        <w:t>Eclinicalmedicine</w:t>
      </w:r>
      <w:proofErr w:type="spellEnd"/>
      <w:r w:rsidR="00BD6BCD" w:rsidRPr="00C450CA">
        <w:rPr>
          <w:color w:val="000000"/>
          <w:sz w:val="24"/>
          <w:szCs w:val="24"/>
          <w:lang w:val="en-US"/>
        </w:rPr>
        <w:t xml:space="preserve">. </w:t>
      </w:r>
      <w:proofErr w:type="gramStart"/>
      <w:r w:rsidR="00BD6BCD" w:rsidRPr="00C450CA">
        <w:rPr>
          <w:color w:val="000000"/>
          <w:sz w:val="24"/>
          <w:szCs w:val="24"/>
          <w:lang w:val="en-US"/>
        </w:rPr>
        <w:t>2021;35:100861</w:t>
      </w:r>
      <w:proofErr w:type="gramEnd"/>
      <w:r w:rsidR="00BD6BCD" w:rsidRPr="00C450CA">
        <w:rPr>
          <w:color w:val="000000"/>
          <w:sz w:val="24"/>
          <w:szCs w:val="24"/>
          <w:lang w:val="en-US"/>
        </w:rPr>
        <w:t xml:space="preserve">. </w:t>
      </w:r>
      <w:proofErr w:type="gramStart"/>
      <w:r w:rsidR="00BD6BCD" w:rsidRPr="00C450CA">
        <w:rPr>
          <w:color w:val="000000"/>
          <w:sz w:val="24"/>
          <w:szCs w:val="24"/>
          <w:lang w:val="en-US"/>
        </w:rPr>
        <w:t>doi:10.1016/j.eclinm</w:t>
      </w:r>
      <w:proofErr w:type="gramEnd"/>
      <w:r w:rsidR="00BD6BCD" w:rsidRPr="00C450CA">
        <w:rPr>
          <w:color w:val="000000"/>
          <w:sz w:val="24"/>
          <w:szCs w:val="24"/>
          <w:lang w:val="en-US"/>
        </w:rPr>
        <w:t>.2021.100861</w:t>
      </w:r>
    </w:p>
    <w:p w14:paraId="46F678E4" w14:textId="0A08C9A8" w:rsidR="00852C7A" w:rsidRPr="005F60C1" w:rsidRDefault="00BD6BCD" w:rsidP="00996AAF">
      <w:pPr>
        <w:spacing w:line="480" w:lineRule="auto"/>
        <w:ind w:left="720" w:hanging="720"/>
        <w:rPr>
          <w:color w:val="000000"/>
          <w:sz w:val="24"/>
          <w:szCs w:val="24"/>
        </w:rPr>
      </w:pPr>
      <w:r w:rsidRPr="00C450CA">
        <w:rPr>
          <w:color w:val="000000"/>
          <w:sz w:val="24"/>
          <w:szCs w:val="24"/>
          <w:lang w:val="en-US"/>
        </w:rPr>
        <w:t>16</w:t>
      </w:r>
      <w:r w:rsidR="00C450CA" w:rsidRPr="00C450CA">
        <w:rPr>
          <w:color w:val="000000"/>
          <w:sz w:val="24"/>
          <w:szCs w:val="24"/>
          <w:lang w:val="en-US"/>
        </w:rPr>
        <w:t>2</w:t>
      </w:r>
      <w:r w:rsidRPr="00C450CA">
        <w:rPr>
          <w:color w:val="000000"/>
          <w:sz w:val="24"/>
          <w:szCs w:val="24"/>
          <w:lang w:val="en-US"/>
        </w:rPr>
        <w:t>.</w:t>
      </w:r>
      <w:r w:rsidR="00996AAF">
        <w:rPr>
          <w:color w:val="000000"/>
          <w:sz w:val="24"/>
          <w:szCs w:val="24"/>
          <w:lang w:val="en-US"/>
        </w:rPr>
        <w:tab/>
      </w:r>
      <w:r w:rsidR="00852C7A" w:rsidRPr="00C450CA">
        <w:rPr>
          <w:color w:val="000000"/>
          <w:sz w:val="24"/>
          <w:szCs w:val="24"/>
          <w:lang w:val="en-US"/>
        </w:rPr>
        <w:t xml:space="preserve">Hall VJ, Foulkes S, Charlett A, et al. SARS-CoV-2 infection rates of antibody-positive compared with antibody-negative health-care workers in England: a large, </w:t>
      </w:r>
      <w:proofErr w:type="spellStart"/>
      <w:r w:rsidR="00852C7A" w:rsidRPr="00C450CA">
        <w:rPr>
          <w:color w:val="000000"/>
          <w:sz w:val="24"/>
          <w:szCs w:val="24"/>
          <w:lang w:val="en-US"/>
        </w:rPr>
        <w:t>multicentre</w:t>
      </w:r>
      <w:proofErr w:type="spellEnd"/>
      <w:r w:rsidR="00852C7A" w:rsidRPr="00C450CA">
        <w:rPr>
          <w:color w:val="000000"/>
          <w:sz w:val="24"/>
          <w:szCs w:val="24"/>
          <w:lang w:val="en-US"/>
        </w:rPr>
        <w:t xml:space="preserve">, prospective cohort study (SIREN). </w:t>
      </w:r>
      <w:r w:rsidR="00852C7A" w:rsidRPr="005F60C1">
        <w:rPr>
          <w:i/>
          <w:iCs/>
          <w:color w:val="000000"/>
          <w:sz w:val="24"/>
          <w:szCs w:val="24"/>
        </w:rPr>
        <w:t>Lancet</w:t>
      </w:r>
      <w:r w:rsidR="00852C7A" w:rsidRPr="005F60C1">
        <w:rPr>
          <w:color w:val="000000"/>
          <w:sz w:val="24"/>
          <w:szCs w:val="24"/>
        </w:rPr>
        <w:t xml:space="preserve">. </w:t>
      </w:r>
      <w:proofErr w:type="gramStart"/>
      <w:r w:rsidR="00852C7A" w:rsidRPr="005F60C1">
        <w:rPr>
          <w:color w:val="000000"/>
          <w:sz w:val="24"/>
          <w:szCs w:val="24"/>
        </w:rPr>
        <w:t>2021;</w:t>
      </w:r>
      <w:proofErr w:type="gramEnd"/>
      <w:r w:rsidR="00852C7A" w:rsidRPr="005F60C1">
        <w:rPr>
          <w:color w:val="000000"/>
          <w:sz w:val="24"/>
          <w:szCs w:val="24"/>
        </w:rPr>
        <w:t xml:space="preserve">397(10283):1459-1469. </w:t>
      </w:r>
      <w:proofErr w:type="gramStart"/>
      <w:r w:rsidR="00852C7A" w:rsidRPr="005F60C1">
        <w:rPr>
          <w:color w:val="000000"/>
          <w:sz w:val="24"/>
          <w:szCs w:val="24"/>
        </w:rPr>
        <w:t>doi:</w:t>
      </w:r>
      <w:proofErr w:type="gramEnd"/>
      <w:r w:rsidR="00852C7A" w:rsidRPr="005F60C1">
        <w:rPr>
          <w:color w:val="000000"/>
          <w:sz w:val="24"/>
          <w:szCs w:val="24"/>
        </w:rPr>
        <w:t>10.1016/s0140-6736(21)00675-9</w:t>
      </w:r>
    </w:p>
    <w:p w14:paraId="03B6BD12" w14:textId="5DE7A5F4" w:rsidR="00BD6BCD" w:rsidRPr="005F60C1" w:rsidRDefault="00BD6BCD" w:rsidP="009C18DC">
      <w:pPr>
        <w:spacing w:line="480" w:lineRule="auto"/>
        <w:ind w:left="720" w:hanging="720"/>
        <w:rPr>
          <w:rFonts w:cstheme="minorHAnsi"/>
          <w:color w:val="000000"/>
          <w:sz w:val="24"/>
          <w:szCs w:val="24"/>
          <w:lang w:val="en-US"/>
        </w:rPr>
      </w:pPr>
      <w:r w:rsidRPr="009C18DC">
        <w:rPr>
          <w:rFonts w:cstheme="minorHAnsi"/>
          <w:color w:val="000000"/>
          <w:sz w:val="24"/>
          <w:szCs w:val="24"/>
        </w:rPr>
        <w:t>16</w:t>
      </w:r>
      <w:r w:rsidR="00C450CA" w:rsidRPr="009C18DC">
        <w:rPr>
          <w:rFonts w:cstheme="minorHAnsi"/>
          <w:color w:val="000000"/>
          <w:sz w:val="24"/>
          <w:szCs w:val="24"/>
        </w:rPr>
        <w:t>3</w:t>
      </w:r>
      <w:r w:rsidR="00852C7A" w:rsidRPr="009C18DC">
        <w:rPr>
          <w:rFonts w:cstheme="minorHAnsi"/>
          <w:color w:val="000000"/>
          <w:sz w:val="24"/>
          <w:szCs w:val="24"/>
        </w:rPr>
        <w:t>.</w:t>
      </w:r>
      <w:r w:rsidR="009C18DC">
        <w:rPr>
          <w:rFonts w:cstheme="minorHAnsi"/>
          <w:color w:val="000000"/>
          <w:sz w:val="24"/>
          <w:szCs w:val="24"/>
        </w:rPr>
        <w:tab/>
      </w:r>
      <w:r w:rsidR="00996AAF" w:rsidRPr="009C18DC">
        <w:rPr>
          <w:rFonts w:cstheme="minorHAnsi"/>
          <w:color w:val="000000"/>
          <w:sz w:val="24"/>
          <w:szCs w:val="24"/>
        </w:rPr>
        <w:t xml:space="preserve">León TM, </w:t>
      </w:r>
      <w:proofErr w:type="spellStart"/>
      <w:r w:rsidR="00996AAF" w:rsidRPr="009C18DC">
        <w:rPr>
          <w:rFonts w:cstheme="minorHAnsi"/>
          <w:color w:val="000000"/>
          <w:sz w:val="24"/>
          <w:szCs w:val="24"/>
        </w:rPr>
        <w:t>Dorabawila</w:t>
      </w:r>
      <w:proofErr w:type="spellEnd"/>
      <w:r w:rsidR="00996AAF" w:rsidRPr="009C18DC">
        <w:rPr>
          <w:rFonts w:cstheme="minorHAnsi"/>
          <w:color w:val="000000"/>
          <w:sz w:val="24"/>
          <w:szCs w:val="24"/>
        </w:rPr>
        <w:t xml:space="preserve"> V, Nelson L, et al. </w:t>
      </w:r>
      <w:r w:rsidR="00996AAF" w:rsidRPr="005F60C1">
        <w:rPr>
          <w:rFonts w:cstheme="minorHAnsi"/>
          <w:color w:val="000000"/>
          <w:sz w:val="24"/>
          <w:szCs w:val="24"/>
          <w:lang w:val="en-US"/>
        </w:rPr>
        <w:t xml:space="preserve">COVID-19 Cases and Hospitalizations by COVID-19 Vaccination Status and Previous COVID-19 Diagnosis — California and New York, May–November 2021. </w:t>
      </w:r>
      <w:proofErr w:type="spellStart"/>
      <w:r w:rsidR="00996AAF" w:rsidRPr="005F60C1">
        <w:rPr>
          <w:rFonts w:cstheme="minorHAnsi"/>
          <w:i/>
          <w:iCs/>
          <w:color w:val="000000"/>
          <w:sz w:val="24"/>
          <w:szCs w:val="24"/>
          <w:lang w:val="en-US"/>
        </w:rPr>
        <w:t>Mmwr</w:t>
      </w:r>
      <w:proofErr w:type="spellEnd"/>
      <w:r w:rsidR="00996AAF" w:rsidRPr="005F60C1">
        <w:rPr>
          <w:rFonts w:cstheme="minorHAnsi"/>
          <w:i/>
          <w:iCs/>
          <w:color w:val="000000"/>
          <w:sz w:val="24"/>
          <w:szCs w:val="24"/>
          <w:lang w:val="en-US"/>
        </w:rPr>
        <w:t xml:space="preserve"> Morbidity Mortal </w:t>
      </w:r>
      <w:proofErr w:type="spellStart"/>
      <w:r w:rsidR="00996AAF" w:rsidRPr="005F60C1">
        <w:rPr>
          <w:rFonts w:cstheme="minorHAnsi"/>
          <w:i/>
          <w:iCs/>
          <w:color w:val="000000"/>
          <w:sz w:val="24"/>
          <w:szCs w:val="24"/>
          <w:lang w:val="en-US"/>
        </w:rPr>
        <w:t>Wkly</w:t>
      </w:r>
      <w:proofErr w:type="spellEnd"/>
      <w:r w:rsidR="00996AAF" w:rsidRPr="005F60C1">
        <w:rPr>
          <w:rFonts w:cstheme="minorHAnsi"/>
          <w:i/>
          <w:iCs/>
          <w:color w:val="000000"/>
          <w:sz w:val="24"/>
          <w:szCs w:val="24"/>
          <w:lang w:val="en-US"/>
        </w:rPr>
        <w:t xml:space="preserve"> Rep</w:t>
      </w:r>
      <w:r w:rsidR="00996AAF" w:rsidRPr="005F60C1">
        <w:rPr>
          <w:rFonts w:cstheme="minorHAnsi"/>
          <w:color w:val="000000"/>
          <w:sz w:val="24"/>
          <w:szCs w:val="24"/>
          <w:lang w:val="en-US"/>
        </w:rPr>
        <w:t>. 2022;71(4):125-131. doi:10.15585/mmwr.mm7104e1</w:t>
      </w:r>
    </w:p>
    <w:p w14:paraId="7343E5E3" w14:textId="2E7478DB" w:rsidR="00996AAF" w:rsidRPr="009C18DC" w:rsidRDefault="00BD6BCD" w:rsidP="009C18DC">
      <w:pPr>
        <w:pStyle w:val="csl-entry"/>
        <w:spacing w:line="480" w:lineRule="auto"/>
        <w:ind w:left="720" w:hanging="720"/>
        <w:rPr>
          <w:rFonts w:asciiTheme="minorHAnsi" w:hAnsiTheme="minorHAnsi" w:cstheme="minorHAnsi"/>
          <w:color w:val="000000"/>
          <w:sz w:val="24"/>
          <w:szCs w:val="24"/>
        </w:rPr>
      </w:pPr>
      <w:r w:rsidRPr="009C18DC">
        <w:rPr>
          <w:rFonts w:asciiTheme="minorHAnsi" w:hAnsiTheme="minorHAnsi" w:cstheme="minorHAnsi"/>
          <w:color w:val="000000"/>
          <w:sz w:val="24"/>
          <w:szCs w:val="24"/>
        </w:rPr>
        <w:t>16</w:t>
      </w:r>
      <w:r w:rsidR="00C450CA" w:rsidRPr="009C18DC">
        <w:rPr>
          <w:rFonts w:asciiTheme="minorHAnsi" w:hAnsiTheme="minorHAnsi" w:cstheme="minorHAnsi"/>
          <w:color w:val="000000"/>
          <w:sz w:val="24"/>
          <w:szCs w:val="24"/>
        </w:rPr>
        <w:t>4</w:t>
      </w:r>
      <w:r w:rsidRPr="009C18DC">
        <w:rPr>
          <w:rFonts w:asciiTheme="minorHAnsi" w:hAnsiTheme="minorHAnsi" w:cstheme="minorHAnsi"/>
          <w:color w:val="000000"/>
          <w:sz w:val="24"/>
          <w:szCs w:val="24"/>
        </w:rPr>
        <w:t>.</w:t>
      </w:r>
      <w:r w:rsidR="009C18DC">
        <w:rPr>
          <w:rFonts w:asciiTheme="minorHAnsi" w:hAnsiTheme="minorHAnsi" w:cstheme="minorHAnsi"/>
          <w:color w:val="000000"/>
          <w:sz w:val="24"/>
          <w:szCs w:val="24"/>
        </w:rPr>
        <w:tab/>
      </w:r>
      <w:r w:rsidR="00996AAF" w:rsidRPr="009C18DC">
        <w:rPr>
          <w:rFonts w:asciiTheme="minorHAnsi" w:hAnsiTheme="minorHAnsi" w:cstheme="minorHAnsi"/>
          <w:color w:val="000000"/>
          <w:sz w:val="24"/>
          <w:szCs w:val="24"/>
        </w:rPr>
        <w:t xml:space="preserve">Walls AC, Sprouse KR, Bowen JE, et al. SARS-CoV-2 breakthrough infections elicit potent, broad and durable neutralizing antibody responses. </w:t>
      </w:r>
      <w:r w:rsidR="00996AAF" w:rsidRPr="009C18DC">
        <w:rPr>
          <w:rFonts w:asciiTheme="minorHAnsi" w:hAnsiTheme="minorHAnsi" w:cstheme="minorHAnsi"/>
          <w:i/>
          <w:iCs/>
          <w:color w:val="000000"/>
          <w:sz w:val="24"/>
          <w:szCs w:val="24"/>
        </w:rPr>
        <w:t>Cell</w:t>
      </w:r>
      <w:r w:rsidR="00996AAF" w:rsidRPr="009C18DC">
        <w:rPr>
          <w:rFonts w:asciiTheme="minorHAnsi" w:hAnsiTheme="minorHAnsi" w:cstheme="minorHAnsi"/>
          <w:color w:val="000000"/>
          <w:sz w:val="24"/>
          <w:szCs w:val="24"/>
        </w:rPr>
        <w:t xml:space="preserve">. Published online 2022. </w:t>
      </w:r>
      <w:proofErr w:type="gramStart"/>
      <w:r w:rsidR="00996AAF" w:rsidRPr="009C18DC">
        <w:rPr>
          <w:rFonts w:asciiTheme="minorHAnsi" w:hAnsiTheme="minorHAnsi" w:cstheme="minorHAnsi"/>
          <w:color w:val="000000"/>
          <w:sz w:val="24"/>
          <w:szCs w:val="24"/>
        </w:rPr>
        <w:t>doi:10.1016/j.cell</w:t>
      </w:r>
      <w:proofErr w:type="gramEnd"/>
      <w:r w:rsidR="00996AAF" w:rsidRPr="009C18DC">
        <w:rPr>
          <w:rFonts w:asciiTheme="minorHAnsi" w:hAnsiTheme="minorHAnsi" w:cstheme="minorHAnsi"/>
          <w:color w:val="000000"/>
          <w:sz w:val="24"/>
          <w:szCs w:val="24"/>
        </w:rPr>
        <w:t>.2022.01.011</w:t>
      </w:r>
    </w:p>
    <w:p w14:paraId="7E3B5087" w14:textId="3C14A049" w:rsidR="00996AAF" w:rsidRPr="009C18DC" w:rsidRDefault="00BD6BCD" w:rsidP="009C18DC">
      <w:pPr>
        <w:pStyle w:val="csl-entry"/>
        <w:spacing w:line="480" w:lineRule="auto"/>
        <w:ind w:left="720" w:hanging="720"/>
        <w:rPr>
          <w:rFonts w:asciiTheme="minorHAnsi" w:hAnsiTheme="minorHAnsi" w:cstheme="minorHAnsi"/>
          <w:color w:val="000000"/>
          <w:sz w:val="24"/>
          <w:szCs w:val="24"/>
        </w:rPr>
      </w:pPr>
      <w:r w:rsidRPr="009C18DC">
        <w:rPr>
          <w:rFonts w:asciiTheme="minorHAnsi" w:hAnsiTheme="minorHAnsi" w:cstheme="minorHAnsi"/>
          <w:color w:val="000000"/>
          <w:sz w:val="24"/>
          <w:szCs w:val="24"/>
        </w:rPr>
        <w:t>16</w:t>
      </w:r>
      <w:r w:rsidR="00C450CA" w:rsidRPr="009C18DC">
        <w:rPr>
          <w:rFonts w:asciiTheme="minorHAnsi" w:hAnsiTheme="minorHAnsi" w:cstheme="minorHAnsi"/>
          <w:color w:val="000000"/>
          <w:sz w:val="24"/>
          <w:szCs w:val="24"/>
        </w:rPr>
        <w:t>5</w:t>
      </w:r>
      <w:r w:rsidRPr="009C18DC">
        <w:rPr>
          <w:rFonts w:asciiTheme="minorHAnsi" w:hAnsiTheme="minorHAnsi" w:cstheme="minorHAnsi"/>
          <w:color w:val="000000"/>
          <w:sz w:val="24"/>
          <w:szCs w:val="24"/>
        </w:rPr>
        <w:t>.</w:t>
      </w:r>
      <w:r w:rsidR="009C18DC">
        <w:rPr>
          <w:rFonts w:asciiTheme="minorHAnsi" w:hAnsiTheme="minorHAnsi" w:cstheme="minorHAnsi"/>
          <w:color w:val="000000"/>
          <w:sz w:val="24"/>
          <w:szCs w:val="24"/>
        </w:rPr>
        <w:tab/>
      </w:r>
      <w:proofErr w:type="spellStart"/>
      <w:r w:rsidR="00996AAF" w:rsidRPr="009C18DC">
        <w:rPr>
          <w:rFonts w:asciiTheme="minorHAnsi" w:hAnsiTheme="minorHAnsi" w:cstheme="minorHAnsi"/>
          <w:color w:val="000000"/>
          <w:sz w:val="24"/>
          <w:szCs w:val="24"/>
        </w:rPr>
        <w:t>Altarawneh</w:t>
      </w:r>
      <w:proofErr w:type="spellEnd"/>
      <w:r w:rsidR="00996AAF" w:rsidRPr="009C18DC">
        <w:rPr>
          <w:rFonts w:asciiTheme="minorHAnsi" w:hAnsiTheme="minorHAnsi" w:cstheme="minorHAnsi"/>
          <w:color w:val="000000"/>
          <w:sz w:val="24"/>
          <w:szCs w:val="24"/>
        </w:rPr>
        <w:t xml:space="preserve"> HN, </w:t>
      </w:r>
      <w:proofErr w:type="spellStart"/>
      <w:r w:rsidR="00996AAF" w:rsidRPr="009C18DC">
        <w:rPr>
          <w:rFonts w:asciiTheme="minorHAnsi" w:hAnsiTheme="minorHAnsi" w:cstheme="minorHAnsi"/>
          <w:color w:val="000000"/>
          <w:sz w:val="24"/>
          <w:szCs w:val="24"/>
        </w:rPr>
        <w:t>Chemaitelly</w:t>
      </w:r>
      <w:proofErr w:type="spellEnd"/>
      <w:r w:rsidR="00996AAF" w:rsidRPr="009C18DC">
        <w:rPr>
          <w:rFonts w:asciiTheme="minorHAnsi" w:hAnsiTheme="minorHAnsi" w:cstheme="minorHAnsi"/>
          <w:color w:val="000000"/>
          <w:sz w:val="24"/>
          <w:szCs w:val="24"/>
        </w:rPr>
        <w:t xml:space="preserve"> H, Hasan MR, et al. Protection against the Omicron Variant from Previous SARS-CoV-2 Infection. </w:t>
      </w:r>
      <w:r w:rsidR="00996AAF" w:rsidRPr="009C18DC">
        <w:rPr>
          <w:rFonts w:asciiTheme="minorHAnsi" w:hAnsiTheme="minorHAnsi" w:cstheme="minorHAnsi"/>
          <w:i/>
          <w:iCs/>
          <w:color w:val="000000"/>
          <w:sz w:val="24"/>
          <w:szCs w:val="24"/>
        </w:rPr>
        <w:t>New Engl J Med</w:t>
      </w:r>
      <w:r w:rsidR="00996AAF" w:rsidRPr="009C18DC">
        <w:rPr>
          <w:rFonts w:asciiTheme="minorHAnsi" w:hAnsiTheme="minorHAnsi" w:cstheme="minorHAnsi"/>
          <w:color w:val="000000"/>
          <w:sz w:val="24"/>
          <w:szCs w:val="24"/>
        </w:rPr>
        <w:t>. Published online 2022. doi:10.1056/nejmc2200133</w:t>
      </w:r>
    </w:p>
    <w:p w14:paraId="274B1822" w14:textId="3F187399" w:rsidR="00996AAF" w:rsidRPr="009C18DC" w:rsidRDefault="00BD6BCD" w:rsidP="009C18DC">
      <w:pPr>
        <w:pStyle w:val="csl-entry"/>
        <w:spacing w:line="480" w:lineRule="auto"/>
        <w:ind w:left="720" w:hanging="720"/>
        <w:rPr>
          <w:rFonts w:asciiTheme="minorHAnsi" w:hAnsiTheme="minorHAnsi" w:cstheme="minorHAnsi"/>
          <w:color w:val="000000"/>
          <w:sz w:val="24"/>
          <w:szCs w:val="24"/>
        </w:rPr>
      </w:pPr>
      <w:r w:rsidRPr="009C18DC">
        <w:rPr>
          <w:rFonts w:asciiTheme="minorHAnsi" w:hAnsiTheme="minorHAnsi" w:cstheme="minorHAnsi"/>
          <w:color w:val="000000"/>
          <w:sz w:val="24"/>
          <w:szCs w:val="24"/>
        </w:rPr>
        <w:lastRenderedPageBreak/>
        <w:t>16</w:t>
      </w:r>
      <w:r w:rsidR="00C450CA" w:rsidRPr="009C18DC">
        <w:rPr>
          <w:rFonts w:asciiTheme="minorHAnsi" w:hAnsiTheme="minorHAnsi" w:cstheme="minorHAnsi"/>
          <w:color w:val="000000"/>
          <w:sz w:val="24"/>
          <w:szCs w:val="24"/>
        </w:rPr>
        <w:t>6</w:t>
      </w:r>
      <w:r w:rsidRPr="009C18DC">
        <w:rPr>
          <w:rFonts w:asciiTheme="minorHAnsi" w:hAnsiTheme="minorHAnsi" w:cstheme="minorHAnsi"/>
          <w:color w:val="000000"/>
          <w:sz w:val="24"/>
          <w:szCs w:val="24"/>
        </w:rPr>
        <w:t>.</w:t>
      </w:r>
      <w:r w:rsidR="009C18DC">
        <w:rPr>
          <w:rFonts w:asciiTheme="minorHAnsi" w:hAnsiTheme="minorHAnsi" w:cstheme="minorHAnsi"/>
          <w:color w:val="000000"/>
          <w:sz w:val="24"/>
          <w:szCs w:val="24"/>
        </w:rPr>
        <w:tab/>
      </w:r>
      <w:proofErr w:type="spellStart"/>
      <w:r w:rsidR="00996AAF" w:rsidRPr="009C18DC">
        <w:rPr>
          <w:rFonts w:asciiTheme="minorHAnsi" w:hAnsiTheme="minorHAnsi" w:cstheme="minorHAnsi"/>
          <w:color w:val="000000"/>
          <w:sz w:val="24"/>
          <w:szCs w:val="24"/>
        </w:rPr>
        <w:t>Tarke</w:t>
      </w:r>
      <w:proofErr w:type="spellEnd"/>
      <w:r w:rsidR="00996AAF" w:rsidRPr="009C18DC">
        <w:rPr>
          <w:rFonts w:asciiTheme="minorHAnsi" w:hAnsiTheme="minorHAnsi" w:cstheme="minorHAnsi"/>
          <w:color w:val="000000"/>
          <w:sz w:val="24"/>
          <w:szCs w:val="24"/>
        </w:rPr>
        <w:t xml:space="preserve"> A, Coelho CH, Zhang Z, et al. SARS-CoV-2 vaccination induces immunological T cell memory able to cross-recognize variants from Alpha to Omicron. </w:t>
      </w:r>
      <w:r w:rsidR="00996AAF" w:rsidRPr="009C18DC">
        <w:rPr>
          <w:rFonts w:asciiTheme="minorHAnsi" w:hAnsiTheme="minorHAnsi" w:cstheme="minorHAnsi"/>
          <w:i/>
          <w:iCs/>
          <w:color w:val="000000"/>
          <w:sz w:val="24"/>
          <w:szCs w:val="24"/>
        </w:rPr>
        <w:t>Cell</w:t>
      </w:r>
      <w:r w:rsidR="00996AAF" w:rsidRPr="009C18DC">
        <w:rPr>
          <w:rFonts w:asciiTheme="minorHAnsi" w:hAnsiTheme="minorHAnsi" w:cstheme="minorHAnsi"/>
          <w:color w:val="000000"/>
          <w:sz w:val="24"/>
          <w:szCs w:val="24"/>
        </w:rPr>
        <w:t xml:space="preserve">. Published online 2022. </w:t>
      </w:r>
      <w:proofErr w:type="gramStart"/>
      <w:r w:rsidR="00996AAF" w:rsidRPr="009C18DC">
        <w:rPr>
          <w:rFonts w:asciiTheme="minorHAnsi" w:hAnsiTheme="minorHAnsi" w:cstheme="minorHAnsi"/>
          <w:color w:val="000000"/>
          <w:sz w:val="24"/>
          <w:szCs w:val="24"/>
        </w:rPr>
        <w:t>doi:10.1016/j.cell</w:t>
      </w:r>
      <w:proofErr w:type="gramEnd"/>
      <w:r w:rsidR="00996AAF" w:rsidRPr="009C18DC">
        <w:rPr>
          <w:rFonts w:asciiTheme="minorHAnsi" w:hAnsiTheme="minorHAnsi" w:cstheme="minorHAnsi"/>
          <w:color w:val="000000"/>
          <w:sz w:val="24"/>
          <w:szCs w:val="24"/>
        </w:rPr>
        <w:t>.2022.01.015</w:t>
      </w:r>
    </w:p>
    <w:p w14:paraId="085E794B" w14:textId="067A0455" w:rsidR="009C18DC" w:rsidRPr="005F60C1" w:rsidRDefault="00BD6BCD" w:rsidP="009C18DC">
      <w:pPr>
        <w:pStyle w:val="csl-entry"/>
        <w:spacing w:line="480" w:lineRule="auto"/>
        <w:ind w:left="720" w:hanging="720"/>
        <w:rPr>
          <w:rFonts w:asciiTheme="minorHAnsi" w:hAnsiTheme="minorHAnsi" w:cstheme="minorHAnsi"/>
          <w:color w:val="000000"/>
          <w:sz w:val="24"/>
          <w:szCs w:val="24"/>
          <w:lang w:val="fr-FR"/>
        </w:rPr>
      </w:pPr>
      <w:r w:rsidRPr="009C18DC">
        <w:rPr>
          <w:rFonts w:asciiTheme="minorHAnsi" w:hAnsiTheme="minorHAnsi" w:cstheme="minorHAnsi"/>
          <w:color w:val="000000"/>
          <w:sz w:val="24"/>
          <w:szCs w:val="24"/>
        </w:rPr>
        <w:t>16</w:t>
      </w:r>
      <w:r w:rsidR="00C450CA" w:rsidRPr="009C18DC">
        <w:rPr>
          <w:rFonts w:asciiTheme="minorHAnsi" w:hAnsiTheme="minorHAnsi" w:cstheme="minorHAnsi"/>
          <w:color w:val="000000"/>
          <w:sz w:val="24"/>
          <w:szCs w:val="24"/>
        </w:rPr>
        <w:t>7</w:t>
      </w:r>
      <w:r w:rsidRPr="009C18DC">
        <w:rPr>
          <w:rFonts w:asciiTheme="minorHAnsi" w:hAnsiTheme="minorHAnsi" w:cstheme="minorHAnsi"/>
          <w:color w:val="000000"/>
          <w:sz w:val="24"/>
          <w:szCs w:val="24"/>
        </w:rPr>
        <w:t>.</w:t>
      </w:r>
      <w:r w:rsidR="009C18DC">
        <w:rPr>
          <w:rFonts w:asciiTheme="minorHAnsi" w:hAnsiTheme="minorHAnsi" w:cstheme="minorHAnsi"/>
          <w:color w:val="000000"/>
          <w:sz w:val="24"/>
          <w:szCs w:val="24"/>
        </w:rPr>
        <w:tab/>
      </w:r>
      <w:r w:rsidR="009C18DC" w:rsidRPr="009C18DC">
        <w:rPr>
          <w:rFonts w:asciiTheme="minorHAnsi" w:hAnsiTheme="minorHAnsi" w:cstheme="minorHAnsi"/>
          <w:color w:val="000000"/>
          <w:sz w:val="24"/>
          <w:szCs w:val="24"/>
        </w:rPr>
        <w:t xml:space="preserve">Keeton R, Tincho MB, </w:t>
      </w:r>
      <w:proofErr w:type="spellStart"/>
      <w:r w:rsidR="009C18DC" w:rsidRPr="009C18DC">
        <w:rPr>
          <w:rFonts w:asciiTheme="minorHAnsi" w:hAnsiTheme="minorHAnsi" w:cstheme="minorHAnsi"/>
          <w:color w:val="000000"/>
          <w:sz w:val="24"/>
          <w:szCs w:val="24"/>
        </w:rPr>
        <w:t>Ngomti</w:t>
      </w:r>
      <w:proofErr w:type="spellEnd"/>
      <w:r w:rsidR="009C18DC" w:rsidRPr="009C18DC">
        <w:rPr>
          <w:rFonts w:asciiTheme="minorHAnsi" w:hAnsiTheme="minorHAnsi" w:cstheme="minorHAnsi"/>
          <w:color w:val="000000"/>
          <w:sz w:val="24"/>
          <w:szCs w:val="24"/>
        </w:rPr>
        <w:t xml:space="preserve"> A, et al. T cell responses to SARS-CoV-2 spike cross-recognize Omicron. </w:t>
      </w:r>
      <w:r w:rsidR="009C18DC" w:rsidRPr="005F60C1">
        <w:rPr>
          <w:rFonts w:asciiTheme="minorHAnsi" w:hAnsiTheme="minorHAnsi" w:cstheme="minorHAnsi"/>
          <w:i/>
          <w:iCs/>
          <w:color w:val="000000"/>
          <w:sz w:val="24"/>
          <w:szCs w:val="24"/>
          <w:lang w:val="fr-FR"/>
        </w:rPr>
        <w:t>Nature</w:t>
      </w:r>
      <w:r w:rsidR="009C18DC" w:rsidRPr="005F60C1">
        <w:rPr>
          <w:rFonts w:asciiTheme="minorHAnsi" w:hAnsiTheme="minorHAnsi" w:cstheme="minorHAnsi"/>
          <w:color w:val="000000"/>
          <w:sz w:val="24"/>
          <w:szCs w:val="24"/>
          <w:lang w:val="fr-FR"/>
        </w:rPr>
        <w:t xml:space="preserve">. Pub. </w:t>
      </w:r>
      <w:proofErr w:type="gramStart"/>
      <w:r w:rsidR="009C18DC" w:rsidRPr="005F60C1">
        <w:rPr>
          <w:rFonts w:asciiTheme="minorHAnsi" w:hAnsiTheme="minorHAnsi" w:cstheme="minorHAnsi"/>
          <w:color w:val="000000"/>
          <w:sz w:val="24"/>
          <w:szCs w:val="24"/>
          <w:lang w:val="fr-FR"/>
        </w:rPr>
        <w:t>online</w:t>
      </w:r>
      <w:proofErr w:type="gramEnd"/>
      <w:r w:rsidR="009C18DC" w:rsidRPr="005F60C1">
        <w:rPr>
          <w:rFonts w:asciiTheme="minorHAnsi" w:hAnsiTheme="minorHAnsi" w:cstheme="minorHAnsi"/>
          <w:color w:val="000000"/>
          <w:sz w:val="24"/>
          <w:szCs w:val="24"/>
          <w:lang w:val="fr-FR"/>
        </w:rPr>
        <w:t xml:space="preserve"> 2022:1-5. </w:t>
      </w:r>
      <w:proofErr w:type="gramStart"/>
      <w:r w:rsidR="009C18DC" w:rsidRPr="005F60C1">
        <w:rPr>
          <w:rFonts w:asciiTheme="minorHAnsi" w:hAnsiTheme="minorHAnsi" w:cstheme="minorHAnsi"/>
          <w:color w:val="000000"/>
          <w:sz w:val="24"/>
          <w:szCs w:val="24"/>
          <w:lang w:val="fr-FR"/>
        </w:rPr>
        <w:t>doi:</w:t>
      </w:r>
      <w:proofErr w:type="gramEnd"/>
      <w:r w:rsidR="009C18DC" w:rsidRPr="005F60C1">
        <w:rPr>
          <w:rFonts w:asciiTheme="minorHAnsi" w:hAnsiTheme="minorHAnsi" w:cstheme="minorHAnsi"/>
          <w:color w:val="000000"/>
          <w:sz w:val="24"/>
          <w:szCs w:val="24"/>
          <w:lang w:val="fr-FR"/>
        </w:rPr>
        <w:t>10.1038/s41586-022-04460-3</w:t>
      </w:r>
    </w:p>
    <w:p w14:paraId="46CB2CCD" w14:textId="1FA74256" w:rsidR="009C18DC" w:rsidRPr="009C18DC" w:rsidRDefault="00BD6BCD" w:rsidP="009C18DC">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16</w:t>
      </w:r>
      <w:r w:rsidR="00C450CA" w:rsidRPr="005F60C1">
        <w:rPr>
          <w:rFonts w:asciiTheme="minorHAnsi" w:hAnsiTheme="minorHAnsi" w:cstheme="minorHAnsi"/>
          <w:color w:val="000000"/>
          <w:sz w:val="24"/>
          <w:szCs w:val="24"/>
          <w:lang w:val="fr-FR"/>
        </w:rPr>
        <w:t>8</w:t>
      </w:r>
      <w:r w:rsidRPr="005F60C1">
        <w:rPr>
          <w:rFonts w:asciiTheme="minorHAnsi" w:hAnsiTheme="minorHAnsi" w:cstheme="minorHAnsi"/>
          <w:color w:val="000000"/>
          <w:sz w:val="24"/>
          <w:szCs w:val="24"/>
          <w:lang w:val="fr-FR"/>
        </w:rPr>
        <w:t>.</w:t>
      </w:r>
      <w:r w:rsidR="009C18DC" w:rsidRPr="005F60C1">
        <w:rPr>
          <w:rFonts w:asciiTheme="minorHAnsi" w:hAnsiTheme="minorHAnsi" w:cstheme="minorHAnsi"/>
          <w:color w:val="000000"/>
          <w:sz w:val="24"/>
          <w:szCs w:val="24"/>
          <w:lang w:val="fr-FR"/>
        </w:rPr>
        <w:tab/>
        <w:t xml:space="preserve">Gao Y, Cai C, </w:t>
      </w:r>
      <w:proofErr w:type="spellStart"/>
      <w:r w:rsidR="009C18DC" w:rsidRPr="005F60C1">
        <w:rPr>
          <w:rFonts w:asciiTheme="minorHAnsi" w:hAnsiTheme="minorHAnsi" w:cstheme="minorHAnsi"/>
          <w:color w:val="000000"/>
          <w:sz w:val="24"/>
          <w:szCs w:val="24"/>
          <w:lang w:val="fr-FR"/>
        </w:rPr>
        <w:t>Grifoni</w:t>
      </w:r>
      <w:proofErr w:type="spellEnd"/>
      <w:r w:rsidR="009C18DC" w:rsidRPr="005F60C1">
        <w:rPr>
          <w:rFonts w:asciiTheme="minorHAnsi" w:hAnsiTheme="minorHAnsi" w:cstheme="minorHAnsi"/>
          <w:color w:val="000000"/>
          <w:sz w:val="24"/>
          <w:szCs w:val="24"/>
          <w:lang w:val="fr-FR"/>
        </w:rPr>
        <w:t xml:space="preserve"> A, et al. </w:t>
      </w:r>
      <w:r w:rsidR="009C18DC" w:rsidRPr="009C18DC">
        <w:rPr>
          <w:rFonts w:asciiTheme="minorHAnsi" w:hAnsiTheme="minorHAnsi" w:cstheme="minorHAnsi"/>
          <w:color w:val="000000"/>
          <w:sz w:val="24"/>
          <w:szCs w:val="24"/>
        </w:rPr>
        <w:t xml:space="preserve">Ancestral SARS-CoV-2-specific T cells cross-recognize the Omicron variant. </w:t>
      </w:r>
      <w:r w:rsidR="009C18DC" w:rsidRPr="009C18DC">
        <w:rPr>
          <w:rFonts w:asciiTheme="minorHAnsi" w:hAnsiTheme="minorHAnsi" w:cstheme="minorHAnsi"/>
          <w:i/>
          <w:iCs/>
          <w:color w:val="000000"/>
          <w:sz w:val="24"/>
          <w:szCs w:val="24"/>
        </w:rPr>
        <w:t>Nat Med</w:t>
      </w:r>
      <w:r w:rsidR="009C18DC" w:rsidRPr="009C18DC">
        <w:rPr>
          <w:rFonts w:asciiTheme="minorHAnsi" w:hAnsiTheme="minorHAnsi" w:cstheme="minorHAnsi"/>
          <w:color w:val="000000"/>
          <w:sz w:val="24"/>
          <w:szCs w:val="24"/>
        </w:rPr>
        <w:t>. Published online 2022:1-9. doi:10.1038/s41591-022-01700-x</w:t>
      </w:r>
    </w:p>
    <w:p w14:paraId="47BBC33F" w14:textId="7988B36C" w:rsidR="00BD6BCD" w:rsidRPr="005F60C1" w:rsidRDefault="00BD6BCD"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16</w:t>
      </w:r>
      <w:r w:rsidR="00C450CA" w:rsidRPr="005F60C1">
        <w:rPr>
          <w:rFonts w:cstheme="minorHAnsi"/>
          <w:color w:val="000000"/>
          <w:sz w:val="24"/>
          <w:szCs w:val="24"/>
          <w:lang w:val="en-US"/>
        </w:rPr>
        <w:t>9</w:t>
      </w:r>
      <w:r w:rsidRPr="005F60C1">
        <w:rPr>
          <w:rFonts w:cstheme="minorHAnsi"/>
          <w:color w:val="000000"/>
          <w:sz w:val="24"/>
          <w:szCs w:val="24"/>
          <w:lang w:val="en-US"/>
        </w:rPr>
        <w:t>.</w:t>
      </w:r>
      <w:r w:rsidR="000C529F" w:rsidRPr="005F60C1">
        <w:rPr>
          <w:rFonts w:cstheme="minorHAnsi"/>
          <w:color w:val="000000"/>
          <w:sz w:val="24"/>
          <w:szCs w:val="24"/>
          <w:lang w:val="en-US"/>
        </w:rPr>
        <w:tab/>
      </w:r>
      <w:proofErr w:type="spellStart"/>
      <w:r w:rsidR="009C18DC" w:rsidRPr="005F60C1">
        <w:rPr>
          <w:rFonts w:cstheme="minorHAnsi"/>
          <w:color w:val="000000"/>
          <w:sz w:val="24"/>
          <w:szCs w:val="24"/>
          <w:lang w:val="en-US"/>
        </w:rPr>
        <w:t>Tarke</w:t>
      </w:r>
      <w:proofErr w:type="spellEnd"/>
      <w:r w:rsidR="009C18DC" w:rsidRPr="005F60C1">
        <w:rPr>
          <w:rFonts w:cstheme="minorHAnsi"/>
          <w:color w:val="000000"/>
          <w:sz w:val="24"/>
          <w:szCs w:val="24"/>
          <w:lang w:val="en-US"/>
        </w:rPr>
        <w:t xml:space="preserve"> A, Sidney J, Methot N, et al. Impact of SARS-CoV-2 variants on the total CD4+ and CD8+ T cell reactivity in infected or vaccinated individuals. </w:t>
      </w:r>
      <w:r w:rsidR="009C18DC" w:rsidRPr="005F60C1">
        <w:rPr>
          <w:rFonts w:cstheme="minorHAnsi"/>
          <w:i/>
          <w:iCs/>
          <w:color w:val="000000"/>
          <w:sz w:val="24"/>
          <w:szCs w:val="24"/>
          <w:lang w:val="en-US"/>
        </w:rPr>
        <w:t>Cell Reports Medicine</w:t>
      </w:r>
      <w:r w:rsidR="009C18DC" w:rsidRPr="005F60C1">
        <w:rPr>
          <w:rFonts w:cstheme="minorHAnsi"/>
          <w:color w:val="000000"/>
          <w:sz w:val="24"/>
          <w:szCs w:val="24"/>
          <w:lang w:val="en-US"/>
        </w:rPr>
        <w:t xml:space="preserve">. 2021;2(7):100355. </w:t>
      </w:r>
      <w:proofErr w:type="gramStart"/>
      <w:r w:rsidR="009C18DC" w:rsidRPr="005F60C1">
        <w:rPr>
          <w:rFonts w:cstheme="minorHAnsi"/>
          <w:color w:val="000000"/>
          <w:sz w:val="24"/>
          <w:szCs w:val="24"/>
          <w:lang w:val="en-US"/>
        </w:rPr>
        <w:t>doi:10.1016/j.xcrm</w:t>
      </w:r>
      <w:proofErr w:type="gramEnd"/>
      <w:r w:rsidR="009C18DC" w:rsidRPr="005F60C1">
        <w:rPr>
          <w:rFonts w:cstheme="minorHAnsi"/>
          <w:color w:val="000000"/>
          <w:sz w:val="24"/>
          <w:szCs w:val="24"/>
          <w:lang w:val="en-US"/>
        </w:rPr>
        <w:t>.2021.100355</w:t>
      </w:r>
    </w:p>
    <w:p w14:paraId="3BBAD3DB" w14:textId="5E7A0854" w:rsidR="009C18DC" w:rsidRPr="000C529F" w:rsidRDefault="00BD6BCD" w:rsidP="004E25F7">
      <w:pPr>
        <w:pStyle w:val="csl-entry"/>
        <w:spacing w:line="480" w:lineRule="auto"/>
        <w:ind w:left="720" w:hanging="720"/>
        <w:rPr>
          <w:rFonts w:asciiTheme="minorHAnsi" w:hAnsiTheme="minorHAnsi" w:cstheme="minorHAnsi"/>
          <w:color w:val="000000"/>
          <w:sz w:val="24"/>
          <w:szCs w:val="24"/>
        </w:rPr>
      </w:pPr>
      <w:r w:rsidRPr="000C529F">
        <w:rPr>
          <w:rFonts w:asciiTheme="minorHAnsi" w:hAnsiTheme="minorHAnsi" w:cstheme="minorHAnsi"/>
          <w:color w:val="000000"/>
          <w:sz w:val="24"/>
          <w:szCs w:val="24"/>
        </w:rPr>
        <w:t>1</w:t>
      </w:r>
      <w:r w:rsidR="00C450CA" w:rsidRPr="000C529F">
        <w:rPr>
          <w:rFonts w:asciiTheme="minorHAnsi" w:hAnsiTheme="minorHAnsi" w:cstheme="minorHAnsi"/>
          <w:color w:val="000000"/>
          <w:sz w:val="24"/>
          <w:szCs w:val="24"/>
        </w:rPr>
        <w:t>70</w:t>
      </w:r>
      <w:r w:rsidRPr="000C529F">
        <w:rPr>
          <w:rFonts w:asciiTheme="minorHAnsi" w:hAnsiTheme="minorHAnsi" w:cstheme="minorHAnsi"/>
          <w:color w:val="000000"/>
          <w:sz w:val="24"/>
          <w:szCs w:val="24"/>
        </w:rPr>
        <w:t>.</w:t>
      </w:r>
      <w:r w:rsidR="0053154C">
        <w:rPr>
          <w:rFonts w:asciiTheme="minorHAnsi" w:hAnsiTheme="minorHAnsi" w:cstheme="minorHAnsi"/>
          <w:color w:val="000000"/>
          <w:sz w:val="24"/>
          <w:szCs w:val="24"/>
        </w:rPr>
        <w:tab/>
      </w:r>
      <w:r w:rsidR="009C18DC" w:rsidRPr="000C529F">
        <w:rPr>
          <w:rFonts w:asciiTheme="minorHAnsi" w:hAnsiTheme="minorHAnsi" w:cstheme="minorHAnsi"/>
          <w:color w:val="000000"/>
          <w:sz w:val="24"/>
          <w:szCs w:val="24"/>
        </w:rPr>
        <w:t>Schenkel JM, Fraser KA, Vezys V, Masopust D. Sensing and alarm function of resident memory CD8</w:t>
      </w:r>
      <w:r w:rsidR="009C18DC" w:rsidRPr="000C529F">
        <w:rPr>
          <w:rFonts w:asciiTheme="minorHAnsi" w:hAnsiTheme="minorHAnsi" w:cstheme="minorHAnsi"/>
          <w:color w:val="000000"/>
          <w:sz w:val="24"/>
          <w:szCs w:val="24"/>
          <w:vertAlign w:val="superscript"/>
        </w:rPr>
        <w:t>+</w:t>
      </w:r>
      <w:r w:rsidR="009C18DC" w:rsidRPr="000C529F">
        <w:rPr>
          <w:rFonts w:asciiTheme="minorHAnsi" w:hAnsiTheme="minorHAnsi" w:cstheme="minorHAnsi"/>
          <w:color w:val="000000"/>
          <w:sz w:val="24"/>
          <w:szCs w:val="24"/>
        </w:rPr>
        <w:t xml:space="preserve"> T cells. </w:t>
      </w:r>
      <w:r w:rsidR="009C18DC" w:rsidRPr="000C529F">
        <w:rPr>
          <w:rFonts w:asciiTheme="minorHAnsi" w:hAnsiTheme="minorHAnsi" w:cstheme="minorHAnsi"/>
          <w:i/>
          <w:iCs/>
          <w:color w:val="000000"/>
          <w:sz w:val="24"/>
          <w:szCs w:val="24"/>
        </w:rPr>
        <w:t>Nature Immunology</w:t>
      </w:r>
      <w:r w:rsidR="009C18DC" w:rsidRPr="000C529F">
        <w:rPr>
          <w:rFonts w:asciiTheme="minorHAnsi" w:hAnsiTheme="minorHAnsi" w:cstheme="minorHAnsi"/>
          <w:color w:val="000000"/>
          <w:sz w:val="24"/>
          <w:szCs w:val="24"/>
        </w:rPr>
        <w:t>. 2013;14(5):509-513. doi:10.1038/ni.2568</w:t>
      </w:r>
    </w:p>
    <w:p w14:paraId="5D1BFD62" w14:textId="7C84751E" w:rsidR="009C18DC" w:rsidRPr="000C529F" w:rsidRDefault="00BD6BCD" w:rsidP="004E25F7">
      <w:pPr>
        <w:pStyle w:val="csl-entry"/>
        <w:spacing w:line="480" w:lineRule="auto"/>
        <w:ind w:left="720" w:hanging="720"/>
        <w:rPr>
          <w:rFonts w:asciiTheme="minorHAnsi" w:hAnsiTheme="minorHAnsi" w:cstheme="minorHAnsi"/>
          <w:color w:val="000000"/>
          <w:sz w:val="24"/>
          <w:szCs w:val="24"/>
        </w:rPr>
      </w:pPr>
      <w:r w:rsidRPr="000C529F">
        <w:rPr>
          <w:rFonts w:asciiTheme="minorHAnsi" w:hAnsiTheme="minorHAnsi" w:cstheme="minorHAnsi"/>
          <w:color w:val="000000"/>
          <w:sz w:val="24"/>
          <w:szCs w:val="24"/>
        </w:rPr>
        <w:t>17</w:t>
      </w:r>
      <w:r w:rsidR="00C450CA" w:rsidRPr="000C529F">
        <w:rPr>
          <w:rFonts w:asciiTheme="minorHAnsi" w:hAnsiTheme="minorHAnsi" w:cstheme="minorHAnsi"/>
          <w:color w:val="000000"/>
          <w:sz w:val="24"/>
          <w:szCs w:val="24"/>
        </w:rPr>
        <w:t>1</w:t>
      </w:r>
      <w:r w:rsidRPr="000C529F">
        <w:rPr>
          <w:rFonts w:asciiTheme="minorHAnsi" w:hAnsiTheme="minorHAnsi" w:cstheme="minorHAnsi"/>
          <w:color w:val="000000"/>
          <w:sz w:val="24"/>
          <w:szCs w:val="24"/>
        </w:rPr>
        <w:t>.</w:t>
      </w:r>
      <w:r w:rsidR="0053154C">
        <w:rPr>
          <w:rFonts w:asciiTheme="minorHAnsi" w:hAnsiTheme="minorHAnsi" w:cstheme="minorHAnsi"/>
          <w:color w:val="000000"/>
          <w:sz w:val="24"/>
          <w:szCs w:val="24"/>
        </w:rPr>
        <w:tab/>
      </w:r>
      <w:r w:rsidR="009C18DC" w:rsidRPr="000C529F">
        <w:rPr>
          <w:rFonts w:asciiTheme="minorHAnsi" w:hAnsiTheme="minorHAnsi" w:cstheme="minorHAnsi"/>
          <w:color w:val="000000"/>
          <w:sz w:val="24"/>
          <w:szCs w:val="24"/>
        </w:rPr>
        <w:t xml:space="preserve">Schenkel JM, Fraser KA, </w:t>
      </w:r>
      <w:proofErr w:type="spellStart"/>
      <w:r w:rsidR="009C18DC" w:rsidRPr="000C529F">
        <w:rPr>
          <w:rFonts w:asciiTheme="minorHAnsi" w:hAnsiTheme="minorHAnsi" w:cstheme="minorHAnsi"/>
          <w:color w:val="000000"/>
          <w:sz w:val="24"/>
          <w:szCs w:val="24"/>
        </w:rPr>
        <w:t>Beura</w:t>
      </w:r>
      <w:proofErr w:type="spellEnd"/>
      <w:r w:rsidR="009C18DC" w:rsidRPr="000C529F">
        <w:rPr>
          <w:rFonts w:asciiTheme="minorHAnsi" w:hAnsiTheme="minorHAnsi" w:cstheme="minorHAnsi"/>
          <w:color w:val="000000"/>
          <w:sz w:val="24"/>
          <w:szCs w:val="24"/>
        </w:rPr>
        <w:t xml:space="preserve"> LK, Pauken KE, Vezys V, Masopust D. T cell memory. Resident memory CD8 T cells trigger protective innate and adaptive immune responses. </w:t>
      </w:r>
      <w:r w:rsidR="009C18DC" w:rsidRPr="000C529F">
        <w:rPr>
          <w:rFonts w:asciiTheme="minorHAnsi" w:hAnsiTheme="minorHAnsi" w:cstheme="minorHAnsi"/>
          <w:i/>
          <w:iCs/>
          <w:color w:val="000000"/>
          <w:sz w:val="24"/>
          <w:szCs w:val="24"/>
        </w:rPr>
        <w:t>Science (New York, NY)</w:t>
      </w:r>
      <w:r w:rsidR="009C18DC" w:rsidRPr="000C529F">
        <w:rPr>
          <w:rFonts w:asciiTheme="minorHAnsi" w:hAnsiTheme="minorHAnsi" w:cstheme="minorHAnsi"/>
          <w:color w:val="000000"/>
          <w:sz w:val="24"/>
          <w:szCs w:val="24"/>
        </w:rPr>
        <w:t>. 2014;346(6205):98-101. doi:10.1126/science.1254536</w:t>
      </w:r>
    </w:p>
    <w:p w14:paraId="70521737" w14:textId="617BC4A4" w:rsidR="009C18DC" w:rsidRPr="000C529F" w:rsidRDefault="00BD6BCD" w:rsidP="004E25F7">
      <w:pPr>
        <w:pStyle w:val="csl-entry"/>
        <w:spacing w:line="480" w:lineRule="auto"/>
        <w:ind w:left="720" w:hanging="720"/>
        <w:rPr>
          <w:rFonts w:asciiTheme="minorHAnsi" w:hAnsiTheme="minorHAnsi" w:cstheme="minorHAnsi"/>
          <w:color w:val="000000"/>
          <w:sz w:val="24"/>
          <w:szCs w:val="24"/>
        </w:rPr>
      </w:pPr>
      <w:r w:rsidRPr="000C529F">
        <w:rPr>
          <w:rFonts w:asciiTheme="minorHAnsi" w:hAnsiTheme="minorHAnsi" w:cstheme="minorHAnsi"/>
          <w:color w:val="000000"/>
          <w:sz w:val="24"/>
          <w:szCs w:val="24"/>
        </w:rPr>
        <w:t>17</w:t>
      </w:r>
      <w:r w:rsidR="00C450CA" w:rsidRPr="000C529F">
        <w:rPr>
          <w:rFonts w:asciiTheme="minorHAnsi" w:hAnsiTheme="minorHAnsi" w:cstheme="minorHAnsi"/>
          <w:color w:val="000000"/>
          <w:sz w:val="24"/>
          <w:szCs w:val="24"/>
        </w:rPr>
        <w:t>2</w:t>
      </w:r>
      <w:r w:rsidRPr="000C529F">
        <w:rPr>
          <w:rFonts w:asciiTheme="minorHAnsi" w:hAnsiTheme="minorHAnsi" w:cstheme="minorHAnsi"/>
          <w:color w:val="000000"/>
          <w:sz w:val="24"/>
          <w:szCs w:val="24"/>
        </w:rPr>
        <w:t>.</w:t>
      </w:r>
      <w:r w:rsidR="0053154C">
        <w:rPr>
          <w:rFonts w:asciiTheme="minorHAnsi" w:hAnsiTheme="minorHAnsi" w:cstheme="minorHAnsi"/>
          <w:color w:val="000000"/>
          <w:sz w:val="24"/>
          <w:szCs w:val="24"/>
        </w:rPr>
        <w:tab/>
      </w:r>
      <w:r w:rsidR="009C18DC" w:rsidRPr="000C529F">
        <w:rPr>
          <w:rFonts w:asciiTheme="minorHAnsi" w:hAnsiTheme="minorHAnsi" w:cstheme="minorHAnsi"/>
          <w:color w:val="000000"/>
          <w:sz w:val="24"/>
          <w:szCs w:val="24"/>
        </w:rPr>
        <w:t xml:space="preserve">Strutt TM, McKinstry KK, Dibble JP, et al. Memory CD4+ T cells induce innate responses independently of pathogen. </w:t>
      </w:r>
      <w:r w:rsidR="009C18DC" w:rsidRPr="000C529F">
        <w:rPr>
          <w:rFonts w:asciiTheme="minorHAnsi" w:hAnsiTheme="minorHAnsi" w:cstheme="minorHAnsi"/>
          <w:i/>
          <w:iCs/>
          <w:color w:val="000000"/>
          <w:sz w:val="24"/>
          <w:szCs w:val="24"/>
        </w:rPr>
        <w:t>Nature Medicine</w:t>
      </w:r>
      <w:r w:rsidR="009C18DC" w:rsidRPr="000C529F">
        <w:rPr>
          <w:rFonts w:asciiTheme="minorHAnsi" w:hAnsiTheme="minorHAnsi" w:cstheme="minorHAnsi"/>
          <w:color w:val="000000"/>
          <w:sz w:val="24"/>
          <w:szCs w:val="24"/>
        </w:rPr>
        <w:t>. 2010;16(5):558-64-1p following 564. doi:10.1038/nm.2142</w:t>
      </w:r>
    </w:p>
    <w:p w14:paraId="5C5EEAA1" w14:textId="76638BAD" w:rsidR="00C0384C" w:rsidRPr="00C0384C" w:rsidRDefault="00BD6BCD" w:rsidP="004E25F7">
      <w:pPr>
        <w:pStyle w:val="csl-entry"/>
        <w:spacing w:line="480" w:lineRule="auto"/>
        <w:ind w:left="720" w:hanging="720"/>
        <w:rPr>
          <w:rFonts w:asciiTheme="minorHAnsi" w:hAnsiTheme="minorHAnsi" w:cstheme="minorHAnsi"/>
          <w:color w:val="000000"/>
          <w:sz w:val="24"/>
          <w:szCs w:val="24"/>
        </w:rPr>
      </w:pPr>
      <w:r w:rsidRPr="00C0384C">
        <w:rPr>
          <w:rFonts w:asciiTheme="minorHAnsi" w:hAnsiTheme="minorHAnsi" w:cstheme="minorHAnsi"/>
          <w:color w:val="000000"/>
          <w:sz w:val="24"/>
          <w:szCs w:val="24"/>
        </w:rPr>
        <w:lastRenderedPageBreak/>
        <w:t>17</w:t>
      </w:r>
      <w:r w:rsidR="00C450CA" w:rsidRPr="00C0384C">
        <w:rPr>
          <w:rFonts w:asciiTheme="minorHAnsi" w:hAnsiTheme="minorHAnsi" w:cstheme="minorHAnsi"/>
          <w:color w:val="000000"/>
          <w:sz w:val="24"/>
          <w:szCs w:val="24"/>
        </w:rPr>
        <w:t>3</w:t>
      </w:r>
      <w:r w:rsidR="004E25F7">
        <w:rPr>
          <w:rFonts w:asciiTheme="minorHAnsi" w:hAnsiTheme="minorHAnsi" w:cstheme="minorHAnsi"/>
          <w:color w:val="000000"/>
          <w:sz w:val="24"/>
          <w:szCs w:val="24"/>
        </w:rPr>
        <w:t>.</w:t>
      </w:r>
      <w:r w:rsidR="00C0384C">
        <w:rPr>
          <w:rFonts w:asciiTheme="minorHAnsi" w:hAnsiTheme="minorHAnsi" w:cstheme="minorHAnsi"/>
          <w:color w:val="000000"/>
          <w:sz w:val="24"/>
          <w:szCs w:val="24"/>
        </w:rPr>
        <w:tab/>
      </w:r>
      <w:r w:rsidR="00C0384C" w:rsidRPr="00C0384C">
        <w:rPr>
          <w:rFonts w:asciiTheme="minorHAnsi" w:hAnsiTheme="minorHAnsi" w:cstheme="minorHAnsi"/>
          <w:color w:val="000000"/>
          <w:sz w:val="24"/>
          <w:szCs w:val="24"/>
        </w:rPr>
        <w:t xml:space="preserve">Pardi N, Hogan MJ, </w:t>
      </w:r>
      <w:proofErr w:type="spellStart"/>
      <w:r w:rsidR="00C0384C" w:rsidRPr="00C0384C">
        <w:rPr>
          <w:rFonts w:asciiTheme="minorHAnsi" w:hAnsiTheme="minorHAnsi" w:cstheme="minorHAnsi"/>
          <w:color w:val="000000"/>
          <w:sz w:val="24"/>
          <w:szCs w:val="24"/>
        </w:rPr>
        <w:t>Naradikian</w:t>
      </w:r>
      <w:proofErr w:type="spellEnd"/>
      <w:r w:rsidR="00C0384C" w:rsidRPr="00C0384C">
        <w:rPr>
          <w:rFonts w:asciiTheme="minorHAnsi" w:hAnsiTheme="minorHAnsi" w:cstheme="minorHAnsi"/>
          <w:color w:val="000000"/>
          <w:sz w:val="24"/>
          <w:szCs w:val="24"/>
        </w:rPr>
        <w:t xml:space="preserve"> MS, et al. Nucleoside-modified mRNA vaccines induce potent T follicular helper and germinal center B cell responses. </w:t>
      </w:r>
      <w:r w:rsidR="00C0384C" w:rsidRPr="00C0384C">
        <w:rPr>
          <w:rFonts w:asciiTheme="minorHAnsi" w:hAnsiTheme="minorHAnsi" w:cstheme="minorHAnsi"/>
          <w:i/>
          <w:iCs/>
          <w:color w:val="000000"/>
          <w:sz w:val="24"/>
          <w:szCs w:val="24"/>
        </w:rPr>
        <w:t>The Journal of experimental medicine</w:t>
      </w:r>
      <w:r w:rsidR="00C0384C" w:rsidRPr="00C0384C">
        <w:rPr>
          <w:rFonts w:asciiTheme="minorHAnsi" w:hAnsiTheme="minorHAnsi" w:cstheme="minorHAnsi"/>
          <w:color w:val="000000"/>
          <w:sz w:val="24"/>
          <w:szCs w:val="24"/>
        </w:rPr>
        <w:t>. 2018;215(6):1571-1588. doi:10.1084/jem.20171450</w:t>
      </w:r>
    </w:p>
    <w:p w14:paraId="31920B53" w14:textId="5A7F5D34" w:rsidR="00C450CA" w:rsidRPr="00C0384C"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174</w:t>
      </w:r>
      <w:r w:rsidR="00C0384C" w:rsidRPr="005F60C1">
        <w:rPr>
          <w:rFonts w:cstheme="minorHAnsi"/>
          <w:color w:val="000000"/>
          <w:sz w:val="24"/>
          <w:szCs w:val="24"/>
          <w:lang w:val="en-US"/>
        </w:rPr>
        <w:t>.</w:t>
      </w:r>
      <w:r w:rsidR="00C0384C" w:rsidRPr="005F60C1">
        <w:rPr>
          <w:rFonts w:cstheme="minorHAnsi"/>
          <w:color w:val="000000"/>
          <w:sz w:val="24"/>
          <w:szCs w:val="24"/>
          <w:lang w:val="en-US"/>
        </w:rPr>
        <w:tab/>
      </w:r>
      <w:proofErr w:type="spellStart"/>
      <w:r w:rsidR="00C0384C" w:rsidRPr="00C0384C">
        <w:rPr>
          <w:rFonts w:cstheme="minorHAnsi"/>
          <w:color w:val="000000"/>
          <w:sz w:val="24"/>
          <w:szCs w:val="24"/>
          <w:lang w:val="en-US"/>
        </w:rPr>
        <w:t>Alameh</w:t>
      </w:r>
      <w:proofErr w:type="spellEnd"/>
      <w:r w:rsidR="00C0384C" w:rsidRPr="00C0384C">
        <w:rPr>
          <w:rFonts w:cstheme="minorHAnsi"/>
          <w:color w:val="000000"/>
          <w:sz w:val="24"/>
          <w:szCs w:val="24"/>
          <w:lang w:val="en-US"/>
        </w:rPr>
        <w:t xml:space="preserve"> MG, Tombácz I, Bettini E, et al. Lipid nanoparticles enhance the efficacy of mRNA and protein subunit vaccines by inducing robust T follicular helper cell and humoral responses. </w:t>
      </w:r>
      <w:r w:rsidR="00C0384C" w:rsidRPr="00C0384C">
        <w:rPr>
          <w:rFonts w:cstheme="minorHAnsi"/>
          <w:i/>
          <w:iCs/>
          <w:color w:val="000000"/>
          <w:sz w:val="24"/>
          <w:szCs w:val="24"/>
          <w:lang w:val="en-US"/>
        </w:rPr>
        <w:t>Immunity</w:t>
      </w:r>
      <w:r w:rsidR="00C0384C" w:rsidRPr="00C0384C">
        <w:rPr>
          <w:rFonts w:cstheme="minorHAnsi"/>
          <w:color w:val="000000"/>
          <w:sz w:val="24"/>
          <w:szCs w:val="24"/>
          <w:lang w:val="en-US"/>
        </w:rPr>
        <w:t xml:space="preserve">. 2021;54(12):2877-2892.e7. </w:t>
      </w:r>
      <w:proofErr w:type="gramStart"/>
      <w:r w:rsidR="00C0384C" w:rsidRPr="00C0384C">
        <w:rPr>
          <w:rFonts w:cstheme="minorHAnsi"/>
          <w:color w:val="000000"/>
          <w:sz w:val="24"/>
          <w:szCs w:val="24"/>
          <w:lang w:val="en-US"/>
        </w:rPr>
        <w:t>doi:10.1016/j.immuni</w:t>
      </w:r>
      <w:proofErr w:type="gramEnd"/>
      <w:r w:rsidR="00C0384C" w:rsidRPr="00C0384C">
        <w:rPr>
          <w:rFonts w:cstheme="minorHAnsi"/>
          <w:color w:val="000000"/>
          <w:sz w:val="24"/>
          <w:szCs w:val="24"/>
          <w:lang w:val="en-US"/>
        </w:rPr>
        <w:t>.2021.11.001</w:t>
      </w:r>
      <w:r w:rsidRPr="00C0384C">
        <w:rPr>
          <w:rFonts w:cstheme="minorHAnsi"/>
          <w:color w:val="000000"/>
          <w:sz w:val="24"/>
          <w:szCs w:val="24"/>
          <w:lang w:val="en-US"/>
        </w:rPr>
        <w:t>.</w:t>
      </w:r>
    </w:p>
    <w:p w14:paraId="609D4133" w14:textId="7E4FA692" w:rsidR="00C0384C" w:rsidRPr="00C0384C" w:rsidRDefault="00C450CA" w:rsidP="004E25F7">
      <w:pPr>
        <w:pStyle w:val="csl-entry"/>
        <w:spacing w:line="480" w:lineRule="auto"/>
        <w:ind w:left="720" w:hanging="720"/>
        <w:rPr>
          <w:rFonts w:asciiTheme="minorHAnsi" w:hAnsiTheme="minorHAnsi" w:cstheme="minorHAnsi"/>
          <w:color w:val="000000"/>
          <w:sz w:val="24"/>
          <w:szCs w:val="24"/>
        </w:rPr>
      </w:pPr>
      <w:r w:rsidRPr="00C0384C">
        <w:rPr>
          <w:rFonts w:asciiTheme="minorHAnsi" w:hAnsiTheme="minorHAnsi" w:cstheme="minorHAnsi"/>
          <w:color w:val="000000"/>
          <w:sz w:val="24"/>
          <w:szCs w:val="24"/>
        </w:rPr>
        <w:t>175.</w:t>
      </w:r>
      <w:r w:rsidR="00C0384C">
        <w:rPr>
          <w:rFonts w:asciiTheme="minorHAnsi" w:hAnsiTheme="minorHAnsi" w:cstheme="minorHAnsi"/>
          <w:color w:val="000000"/>
          <w:sz w:val="24"/>
          <w:szCs w:val="24"/>
        </w:rPr>
        <w:tab/>
      </w:r>
      <w:r w:rsidR="00C0384C" w:rsidRPr="00C0384C">
        <w:rPr>
          <w:rFonts w:asciiTheme="minorHAnsi" w:hAnsiTheme="minorHAnsi" w:cstheme="minorHAnsi"/>
          <w:color w:val="000000"/>
          <w:sz w:val="24"/>
          <w:szCs w:val="24"/>
        </w:rPr>
        <w:t xml:space="preserve">Lederer K, Bettini E, Parvathaneni K, et al. Germinal center responses to SARS-CoV-2 mRNA vaccines in healthy and immunocompromised individuals. </w:t>
      </w:r>
      <w:r w:rsidR="00C0384C" w:rsidRPr="00C0384C">
        <w:rPr>
          <w:rFonts w:asciiTheme="minorHAnsi" w:hAnsiTheme="minorHAnsi" w:cstheme="minorHAnsi"/>
          <w:i/>
          <w:iCs/>
          <w:color w:val="000000"/>
          <w:sz w:val="24"/>
          <w:szCs w:val="24"/>
        </w:rPr>
        <w:t>Cell</w:t>
      </w:r>
      <w:r w:rsidR="00C0384C" w:rsidRPr="00C0384C">
        <w:rPr>
          <w:rFonts w:asciiTheme="minorHAnsi" w:hAnsiTheme="minorHAnsi" w:cstheme="minorHAnsi"/>
          <w:color w:val="000000"/>
          <w:sz w:val="24"/>
          <w:szCs w:val="24"/>
        </w:rPr>
        <w:t xml:space="preserve">. Published online 2022. </w:t>
      </w:r>
      <w:proofErr w:type="gramStart"/>
      <w:r w:rsidR="00C0384C" w:rsidRPr="00C0384C">
        <w:rPr>
          <w:rFonts w:asciiTheme="minorHAnsi" w:hAnsiTheme="minorHAnsi" w:cstheme="minorHAnsi"/>
          <w:color w:val="000000"/>
          <w:sz w:val="24"/>
          <w:szCs w:val="24"/>
        </w:rPr>
        <w:t>doi:10.1016/j.cell</w:t>
      </w:r>
      <w:proofErr w:type="gramEnd"/>
      <w:r w:rsidR="00C0384C" w:rsidRPr="00C0384C">
        <w:rPr>
          <w:rFonts w:asciiTheme="minorHAnsi" w:hAnsiTheme="minorHAnsi" w:cstheme="minorHAnsi"/>
          <w:color w:val="000000"/>
          <w:sz w:val="24"/>
          <w:szCs w:val="24"/>
        </w:rPr>
        <w:t>.2022.01.027</w:t>
      </w:r>
    </w:p>
    <w:p w14:paraId="1D4130F6" w14:textId="63F2617C" w:rsidR="00C0384C" w:rsidRPr="00C0384C" w:rsidRDefault="00C450CA" w:rsidP="004E25F7">
      <w:pPr>
        <w:pStyle w:val="csl-entry"/>
        <w:spacing w:line="480" w:lineRule="auto"/>
        <w:ind w:left="720" w:hanging="720"/>
        <w:rPr>
          <w:rFonts w:asciiTheme="minorHAnsi" w:hAnsiTheme="minorHAnsi" w:cstheme="minorHAnsi"/>
          <w:color w:val="000000"/>
          <w:sz w:val="24"/>
          <w:szCs w:val="24"/>
        </w:rPr>
      </w:pPr>
      <w:r w:rsidRPr="00C0384C">
        <w:rPr>
          <w:rFonts w:asciiTheme="minorHAnsi" w:hAnsiTheme="minorHAnsi" w:cstheme="minorHAnsi"/>
          <w:color w:val="000000"/>
          <w:sz w:val="24"/>
          <w:szCs w:val="24"/>
        </w:rPr>
        <w:t>176</w:t>
      </w:r>
      <w:r w:rsidR="004E25F7">
        <w:rPr>
          <w:rFonts w:asciiTheme="minorHAnsi" w:hAnsiTheme="minorHAnsi" w:cstheme="minorHAnsi"/>
          <w:color w:val="000000"/>
          <w:sz w:val="24"/>
          <w:szCs w:val="24"/>
        </w:rPr>
        <w:t>.</w:t>
      </w:r>
      <w:r w:rsidR="00C0384C">
        <w:rPr>
          <w:rFonts w:asciiTheme="minorHAnsi" w:hAnsiTheme="minorHAnsi" w:cstheme="minorHAnsi"/>
          <w:color w:val="000000"/>
          <w:sz w:val="24"/>
          <w:szCs w:val="24"/>
        </w:rPr>
        <w:tab/>
      </w:r>
      <w:r w:rsidR="00C0384C" w:rsidRPr="00C0384C">
        <w:rPr>
          <w:rFonts w:asciiTheme="minorHAnsi" w:hAnsiTheme="minorHAnsi" w:cstheme="minorHAnsi"/>
          <w:color w:val="000000"/>
          <w:sz w:val="24"/>
          <w:szCs w:val="24"/>
        </w:rPr>
        <w:t xml:space="preserve">Kim W, Zhou JQ, Horvath SC, et al. Germinal </w:t>
      </w:r>
      <w:proofErr w:type="spellStart"/>
      <w:r w:rsidR="00C0384C" w:rsidRPr="00C0384C">
        <w:rPr>
          <w:rFonts w:asciiTheme="minorHAnsi" w:hAnsiTheme="minorHAnsi" w:cstheme="minorHAnsi"/>
          <w:color w:val="000000"/>
          <w:sz w:val="24"/>
          <w:szCs w:val="24"/>
        </w:rPr>
        <w:t>centre</w:t>
      </w:r>
      <w:proofErr w:type="spellEnd"/>
      <w:r w:rsidR="00C0384C" w:rsidRPr="00C0384C">
        <w:rPr>
          <w:rFonts w:asciiTheme="minorHAnsi" w:hAnsiTheme="minorHAnsi" w:cstheme="minorHAnsi"/>
          <w:color w:val="000000"/>
          <w:sz w:val="24"/>
          <w:szCs w:val="24"/>
        </w:rPr>
        <w:t xml:space="preserve">-driven maturation of B cell response to mRNA vaccination. </w:t>
      </w:r>
      <w:r w:rsidR="00C0384C" w:rsidRPr="00C0384C">
        <w:rPr>
          <w:rFonts w:asciiTheme="minorHAnsi" w:hAnsiTheme="minorHAnsi" w:cstheme="minorHAnsi"/>
          <w:i/>
          <w:iCs/>
          <w:color w:val="000000"/>
          <w:sz w:val="24"/>
          <w:szCs w:val="24"/>
        </w:rPr>
        <w:t>Nature</w:t>
      </w:r>
      <w:r w:rsidR="00C0384C" w:rsidRPr="00C0384C">
        <w:rPr>
          <w:rFonts w:asciiTheme="minorHAnsi" w:hAnsiTheme="minorHAnsi" w:cstheme="minorHAnsi"/>
          <w:color w:val="000000"/>
          <w:sz w:val="24"/>
          <w:szCs w:val="24"/>
        </w:rPr>
        <w:t>. Published online 2022:1-8. doi:10.1038/s41586-022-04527-1</w:t>
      </w:r>
    </w:p>
    <w:p w14:paraId="3081782F" w14:textId="6492B2C7" w:rsidR="00C0384C" w:rsidRPr="00C0384C" w:rsidRDefault="00C450CA" w:rsidP="004E25F7">
      <w:pPr>
        <w:pStyle w:val="csl-entry"/>
        <w:spacing w:line="480" w:lineRule="auto"/>
        <w:ind w:left="720" w:hanging="720"/>
        <w:rPr>
          <w:rFonts w:asciiTheme="minorHAnsi" w:hAnsiTheme="minorHAnsi" w:cstheme="minorHAnsi"/>
          <w:color w:val="000000"/>
          <w:sz w:val="24"/>
          <w:szCs w:val="24"/>
        </w:rPr>
      </w:pPr>
      <w:r w:rsidRPr="00C0384C">
        <w:rPr>
          <w:rFonts w:asciiTheme="minorHAnsi" w:hAnsiTheme="minorHAnsi" w:cstheme="minorHAnsi"/>
          <w:color w:val="000000"/>
          <w:sz w:val="24"/>
          <w:szCs w:val="24"/>
        </w:rPr>
        <w:t>177</w:t>
      </w:r>
      <w:r w:rsidR="004E25F7">
        <w:rPr>
          <w:rFonts w:asciiTheme="minorHAnsi" w:hAnsiTheme="minorHAnsi" w:cstheme="minorHAnsi"/>
          <w:color w:val="000000"/>
          <w:sz w:val="24"/>
          <w:szCs w:val="24"/>
        </w:rPr>
        <w:t>.</w:t>
      </w:r>
      <w:r w:rsidR="00C0384C">
        <w:rPr>
          <w:rFonts w:asciiTheme="minorHAnsi" w:hAnsiTheme="minorHAnsi" w:cstheme="minorHAnsi"/>
          <w:color w:val="000000"/>
          <w:sz w:val="24"/>
          <w:szCs w:val="24"/>
        </w:rPr>
        <w:tab/>
      </w:r>
      <w:r w:rsidR="00C0384C" w:rsidRPr="00C0384C">
        <w:rPr>
          <w:rFonts w:asciiTheme="minorHAnsi" w:hAnsiTheme="minorHAnsi" w:cstheme="minorHAnsi"/>
          <w:color w:val="000000"/>
          <w:sz w:val="24"/>
          <w:szCs w:val="24"/>
        </w:rPr>
        <w:t xml:space="preserve">Mudd PA, Minervina AA, </w:t>
      </w:r>
      <w:proofErr w:type="spellStart"/>
      <w:r w:rsidR="00C0384C" w:rsidRPr="00C0384C">
        <w:rPr>
          <w:rFonts w:asciiTheme="minorHAnsi" w:hAnsiTheme="minorHAnsi" w:cstheme="minorHAnsi"/>
          <w:color w:val="000000"/>
          <w:sz w:val="24"/>
          <w:szCs w:val="24"/>
        </w:rPr>
        <w:t>Pogorelyy</w:t>
      </w:r>
      <w:proofErr w:type="spellEnd"/>
      <w:r w:rsidR="00C0384C" w:rsidRPr="00C0384C">
        <w:rPr>
          <w:rFonts w:asciiTheme="minorHAnsi" w:hAnsiTheme="minorHAnsi" w:cstheme="minorHAnsi"/>
          <w:color w:val="000000"/>
          <w:sz w:val="24"/>
          <w:szCs w:val="24"/>
        </w:rPr>
        <w:t xml:space="preserve"> MV, et al. SARS-CoV-2 mRNA vaccination elicits a robust and persistent T follicular helper cell response in humans. </w:t>
      </w:r>
      <w:r w:rsidR="00C0384C" w:rsidRPr="00C0384C">
        <w:rPr>
          <w:rFonts w:asciiTheme="minorHAnsi" w:hAnsiTheme="minorHAnsi" w:cstheme="minorHAnsi"/>
          <w:i/>
          <w:iCs/>
          <w:color w:val="000000"/>
          <w:sz w:val="24"/>
          <w:szCs w:val="24"/>
        </w:rPr>
        <w:t>Cell</w:t>
      </w:r>
      <w:r w:rsidR="00C0384C" w:rsidRPr="00C0384C">
        <w:rPr>
          <w:rFonts w:asciiTheme="minorHAnsi" w:hAnsiTheme="minorHAnsi" w:cstheme="minorHAnsi"/>
          <w:color w:val="000000"/>
          <w:sz w:val="24"/>
          <w:szCs w:val="24"/>
        </w:rPr>
        <w:t xml:space="preserve">. Published online 2021. </w:t>
      </w:r>
      <w:proofErr w:type="gramStart"/>
      <w:r w:rsidR="00C0384C" w:rsidRPr="00C0384C">
        <w:rPr>
          <w:rFonts w:asciiTheme="minorHAnsi" w:hAnsiTheme="minorHAnsi" w:cstheme="minorHAnsi"/>
          <w:color w:val="000000"/>
          <w:sz w:val="24"/>
          <w:szCs w:val="24"/>
        </w:rPr>
        <w:t>doi:10.1016/j.cell</w:t>
      </w:r>
      <w:proofErr w:type="gramEnd"/>
      <w:r w:rsidR="00C0384C" w:rsidRPr="00C0384C">
        <w:rPr>
          <w:rFonts w:asciiTheme="minorHAnsi" w:hAnsiTheme="minorHAnsi" w:cstheme="minorHAnsi"/>
          <w:color w:val="000000"/>
          <w:sz w:val="24"/>
          <w:szCs w:val="24"/>
        </w:rPr>
        <w:t>.2021.12.026</w:t>
      </w:r>
    </w:p>
    <w:p w14:paraId="4FCAB6B8" w14:textId="38CDF646" w:rsidR="00C04B3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178.</w:t>
      </w:r>
      <w:r w:rsidR="004E25F7" w:rsidRPr="005F60C1">
        <w:rPr>
          <w:rFonts w:cstheme="minorHAnsi"/>
          <w:color w:val="000000"/>
          <w:sz w:val="24"/>
          <w:szCs w:val="24"/>
          <w:lang w:val="en-US"/>
        </w:rPr>
        <w:tab/>
      </w:r>
      <w:r w:rsidR="00C04B3A" w:rsidRPr="005F60C1">
        <w:rPr>
          <w:rFonts w:cstheme="minorHAnsi"/>
          <w:color w:val="000000"/>
          <w:sz w:val="24"/>
          <w:szCs w:val="24"/>
          <w:lang w:val="en-US"/>
        </w:rPr>
        <w:t xml:space="preserve">Sadoff J, Gars ML, </w:t>
      </w:r>
      <w:proofErr w:type="spellStart"/>
      <w:r w:rsidR="00C04B3A" w:rsidRPr="005F60C1">
        <w:rPr>
          <w:rFonts w:cstheme="minorHAnsi"/>
          <w:color w:val="000000"/>
          <w:sz w:val="24"/>
          <w:szCs w:val="24"/>
          <w:lang w:val="en-US"/>
        </w:rPr>
        <w:t>Shukarev</w:t>
      </w:r>
      <w:proofErr w:type="spellEnd"/>
      <w:r w:rsidR="00C04B3A" w:rsidRPr="005F60C1">
        <w:rPr>
          <w:rFonts w:cstheme="minorHAnsi"/>
          <w:color w:val="000000"/>
          <w:sz w:val="24"/>
          <w:szCs w:val="24"/>
          <w:lang w:val="en-US"/>
        </w:rPr>
        <w:t xml:space="preserve"> G, et al. Interim Results of a Phase 1–2a Trial of Ad26.COV</w:t>
      </w:r>
      <w:proofErr w:type="gramStart"/>
      <w:r w:rsidR="00C04B3A" w:rsidRPr="005F60C1">
        <w:rPr>
          <w:rFonts w:cstheme="minorHAnsi"/>
          <w:color w:val="000000"/>
          <w:sz w:val="24"/>
          <w:szCs w:val="24"/>
          <w:lang w:val="en-US"/>
        </w:rPr>
        <w:t>2.S</w:t>
      </w:r>
      <w:proofErr w:type="gramEnd"/>
      <w:r w:rsidR="00C04B3A" w:rsidRPr="005F60C1">
        <w:rPr>
          <w:rFonts w:cstheme="minorHAnsi"/>
          <w:color w:val="000000"/>
          <w:sz w:val="24"/>
          <w:szCs w:val="24"/>
          <w:lang w:val="en-US"/>
        </w:rPr>
        <w:t xml:space="preserve"> Covid-19 Vaccine. </w:t>
      </w:r>
      <w:r w:rsidR="00C04B3A" w:rsidRPr="005F60C1">
        <w:rPr>
          <w:rFonts w:cstheme="minorHAnsi"/>
          <w:i/>
          <w:iCs/>
          <w:color w:val="000000"/>
          <w:sz w:val="24"/>
          <w:szCs w:val="24"/>
          <w:lang w:val="en-US"/>
        </w:rPr>
        <w:t>New Engl J Med</w:t>
      </w:r>
      <w:r w:rsidR="00C04B3A" w:rsidRPr="005F60C1">
        <w:rPr>
          <w:rFonts w:cstheme="minorHAnsi"/>
          <w:color w:val="000000"/>
          <w:sz w:val="24"/>
          <w:szCs w:val="24"/>
          <w:lang w:val="en-US"/>
        </w:rPr>
        <w:t>. Published online 2021. doi:10.1056/nejmoa2034201</w:t>
      </w:r>
    </w:p>
    <w:p w14:paraId="67142DE2" w14:textId="1A8DF83A"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lastRenderedPageBreak/>
        <w:t>179.</w:t>
      </w:r>
      <w:r w:rsidR="004E25F7">
        <w:rPr>
          <w:rFonts w:asciiTheme="minorHAnsi" w:hAnsiTheme="minorHAnsi" w:cstheme="minorHAnsi"/>
          <w:color w:val="000000"/>
          <w:sz w:val="24"/>
          <w:szCs w:val="24"/>
        </w:rPr>
        <w:tab/>
      </w:r>
      <w:r w:rsidR="00C04B3A" w:rsidRPr="004E25F7">
        <w:rPr>
          <w:rFonts w:asciiTheme="minorHAnsi" w:hAnsiTheme="minorHAnsi" w:cstheme="minorHAnsi"/>
          <w:color w:val="000000"/>
          <w:sz w:val="24"/>
          <w:szCs w:val="24"/>
        </w:rPr>
        <w:t xml:space="preserve">Atmar RL, Lyke KE, Deming ME, et al. Homologous and Heterologous Covid-19 Booster Vaccinations. </w:t>
      </w:r>
      <w:r w:rsidR="00C04B3A" w:rsidRPr="004E25F7">
        <w:rPr>
          <w:rFonts w:asciiTheme="minorHAnsi" w:hAnsiTheme="minorHAnsi" w:cstheme="minorHAnsi"/>
          <w:i/>
          <w:iCs/>
          <w:color w:val="000000"/>
          <w:sz w:val="24"/>
          <w:szCs w:val="24"/>
        </w:rPr>
        <w:t>New Engl J Med</w:t>
      </w:r>
      <w:r w:rsidR="00C04B3A" w:rsidRPr="004E25F7">
        <w:rPr>
          <w:rFonts w:asciiTheme="minorHAnsi" w:hAnsiTheme="minorHAnsi" w:cstheme="minorHAnsi"/>
          <w:color w:val="000000"/>
          <w:sz w:val="24"/>
          <w:szCs w:val="24"/>
        </w:rPr>
        <w:t>. Published online 2022. doi:10.1056/nejmoa2116414</w:t>
      </w:r>
    </w:p>
    <w:p w14:paraId="2B89B3C9" w14:textId="506B973D"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180.</w:t>
      </w:r>
      <w:r w:rsidR="004E25F7">
        <w:rPr>
          <w:rFonts w:asciiTheme="minorHAnsi" w:hAnsiTheme="minorHAnsi" w:cstheme="minorHAnsi"/>
          <w:color w:val="000000"/>
          <w:sz w:val="24"/>
          <w:szCs w:val="24"/>
        </w:rPr>
        <w:tab/>
      </w:r>
      <w:r w:rsidR="00C04B3A" w:rsidRPr="004E25F7">
        <w:rPr>
          <w:rFonts w:asciiTheme="minorHAnsi" w:hAnsiTheme="minorHAnsi" w:cstheme="minorHAnsi"/>
          <w:color w:val="000000"/>
          <w:sz w:val="24"/>
          <w:szCs w:val="24"/>
        </w:rPr>
        <w:t xml:space="preserve">Murugesan K, Jagannathan P, Pham TD, et al. Interferon-gamma release assay for accurate detection of SARS-CoV-2 T cell response. </w:t>
      </w:r>
      <w:r w:rsidR="00C04B3A" w:rsidRPr="004E25F7">
        <w:rPr>
          <w:rFonts w:asciiTheme="minorHAnsi" w:hAnsiTheme="minorHAnsi" w:cstheme="minorHAnsi"/>
          <w:i/>
          <w:iCs/>
          <w:color w:val="000000"/>
          <w:sz w:val="24"/>
          <w:szCs w:val="24"/>
        </w:rPr>
        <w:t>Clin Infect Dis</w:t>
      </w:r>
      <w:r w:rsidR="00C04B3A" w:rsidRPr="004E25F7">
        <w:rPr>
          <w:rFonts w:asciiTheme="minorHAnsi" w:hAnsiTheme="minorHAnsi" w:cstheme="minorHAnsi"/>
          <w:color w:val="000000"/>
          <w:sz w:val="24"/>
          <w:szCs w:val="24"/>
        </w:rPr>
        <w:t xml:space="preserve">. Published online </w:t>
      </w:r>
      <w:proofErr w:type="gramStart"/>
      <w:r w:rsidR="00C04B3A" w:rsidRPr="004E25F7">
        <w:rPr>
          <w:rFonts w:asciiTheme="minorHAnsi" w:hAnsiTheme="minorHAnsi" w:cstheme="minorHAnsi"/>
          <w:color w:val="000000"/>
          <w:sz w:val="24"/>
          <w:szCs w:val="24"/>
        </w:rPr>
        <w:t>2020:ciaa</w:t>
      </w:r>
      <w:proofErr w:type="gramEnd"/>
      <w:r w:rsidR="00C04B3A" w:rsidRPr="004E25F7">
        <w:rPr>
          <w:rFonts w:asciiTheme="minorHAnsi" w:hAnsiTheme="minorHAnsi" w:cstheme="minorHAnsi"/>
          <w:color w:val="000000"/>
          <w:sz w:val="24"/>
          <w:szCs w:val="24"/>
        </w:rPr>
        <w:t>1537-. doi:10.1093/</w:t>
      </w:r>
      <w:proofErr w:type="spellStart"/>
      <w:r w:rsidR="00C04B3A" w:rsidRPr="004E25F7">
        <w:rPr>
          <w:rFonts w:asciiTheme="minorHAnsi" w:hAnsiTheme="minorHAnsi" w:cstheme="minorHAnsi"/>
          <w:color w:val="000000"/>
          <w:sz w:val="24"/>
          <w:szCs w:val="24"/>
        </w:rPr>
        <w:t>cid</w:t>
      </w:r>
      <w:proofErr w:type="spellEnd"/>
      <w:r w:rsidR="00C04B3A" w:rsidRPr="004E25F7">
        <w:rPr>
          <w:rFonts w:asciiTheme="minorHAnsi" w:hAnsiTheme="minorHAnsi" w:cstheme="minorHAnsi"/>
          <w:color w:val="000000"/>
          <w:sz w:val="24"/>
          <w:szCs w:val="24"/>
        </w:rPr>
        <w:t>/ciaa1537</w:t>
      </w:r>
    </w:p>
    <w:p w14:paraId="5FCC9903" w14:textId="71342C5C" w:rsidR="00C04B3A" w:rsidRPr="005F60C1" w:rsidRDefault="00C450CA" w:rsidP="004E25F7">
      <w:pPr>
        <w:pStyle w:val="csl-entry"/>
        <w:spacing w:line="480" w:lineRule="auto"/>
        <w:ind w:left="720" w:hanging="720"/>
        <w:rPr>
          <w:rFonts w:asciiTheme="minorHAnsi" w:hAnsiTheme="minorHAnsi" w:cstheme="minorHAnsi"/>
          <w:color w:val="000000"/>
          <w:sz w:val="24"/>
          <w:szCs w:val="24"/>
          <w:lang w:val="fr-FR"/>
        </w:rPr>
      </w:pPr>
      <w:r w:rsidRPr="004E25F7">
        <w:rPr>
          <w:rFonts w:asciiTheme="minorHAnsi" w:hAnsiTheme="minorHAnsi" w:cstheme="minorHAnsi"/>
          <w:color w:val="000000"/>
          <w:sz w:val="24"/>
          <w:szCs w:val="24"/>
        </w:rPr>
        <w:t>181.</w:t>
      </w:r>
      <w:r w:rsidR="004E25F7">
        <w:rPr>
          <w:rFonts w:asciiTheme="minorHAnsi" w:hAnsiTheme="minorHAnsi" w:cstheme="minorHAnsi"/>
          <w:color w:val="000000"/>
          <w:sz w:val="24"/>
          <w:szCs w:val="24"/>
        </w:rPr>
        <w:tab/>
      </w:r>
      <w:proofErr w:type="spellStart"/>
      <w:r w:rsidR="00C04B3A" w:rsidRPr="004E25F7">
        <w:rPr>
          <w:rFonts w:asciiTheme="minorHAnsi" w:hAnsiTheme="minorHAnsi" w:cstheme="minorHAnsi"/>
          <w:color w:val="000000"/>
          <w:sz w:val="24"/>
          <w:szCs w:val="24"/>
        </w:rPr>
        <w:t>Goletti</w:t>
      </w:r>
      <w:proofErr w:type="spellEnd"/>
      <w:r w:rsidR="00C04B3A" w:rsidRPr="004E25F7">
        <w:rPr>
          <w:rFonts w:asciiTheme="minorHAnsi" w:hAnsiTheme="minorHAnsi" w:cstheme="minorHAnsi"/>
          <w:color w:val="000000"/>
          <w:sz w:val="24"/>
          <w:szCs w:val="24"/>
        </w:rPr>
        <w:t xml:space="preserve"> D, Petrone L, </w:t>
      </w:r>
      <w:proofErr w:type="spellStart"/>
      <w:r w:rsidR="00C04B3A" w:rsidRPr="004E25F7">
        <w:rPr>
          <w:rFonts w:asciiTheme="minorHAnsi" w:hAnsiTheme="minorHAnsi" w:cstheme="minorHAnsi"/>
          <w:color w:val="000000"/>
          <w:sz w:val="24"/>
          <w:szCs w:val="24"/>
        </w:rPr>
        <w:t>Manissero</w:t>
      </w:r>
      <w:proofErr w:type="spellEnd"/>
      <w:r w:rsidR="00C04B3A" w:rsidRPr="004E25F7">
        <w:rPr>
          <w:rFonts w:asciiTheme="minorHAnsi" w:hAnsiTheme="minorHAnsi" w:cstheme="minorHAnsi"/>
          <w:color w:val="000000"/>
          <w:sz w:val="24"/>
          <w:szCs w:val="24"/>
        </w:rPr>
        <w:t xml:space="preserve"> D, et al. The potential clinical utility of measuring SARS-CoV-2-specific T-cell responses. </w:t>
      </w:r>
      <w:r w:rsidR="00C04B3A" w:rsidRPr="005F60C1">
        <w:rPr>
          <w:rFonts w:asciiTheme="minorHAnsi" w:hAnsiTheme="minorHAnsi" w:cstheme="minorHAnsi"/>
          <w:i/>
          <w:iCs/>
          <w:color w:val="000000"/>
          <w:sz w:val="24"/>
          <w:szCs w:val="24"/>
          <w:lang w:val="fr-FR"/>
        </w:rPr>
        <w:t xml:space="preserve">Clin </w:t>
      </w:r>
      <w:proofErr w:type="spellStart"/>
      <w:r w:rsidR="00C04B3A" w:rsidRPr="005F60C1">
        <w:rPr>
          <w:rFonts w:asciiTheme="minorHAnsi" w:hAnsiTheme="minorHAnsi" w:cstheme="minorHAnsi"/>
          <w:i/>
          <w:iCs/>
          <w:color w:val="000000"/>
          <w:sz w:val="24"/>
          <w:szCs w:val="24"/>
          <w:lang w:val="fr-FR"/>
        </w:rPr>
        <w:t>Microbiol</w:t>
      </w:r>
      <w:proofErr w:type="spellEnd"/>
      <w:r w:rsidR="00C04B3A" w:rsidRPr="005F60C1">
        <w:rPr>
          <w:rFonts w:asciiTheme="minorHAnsi" w:hAnsiTheme="minorHAnsi" w:cstheme="minorHAnsi"/>
          <w:i/>
          <w:iCs/>
          <w:color w:val="000000"/>
          <w:sz w:val="24"/>
          <w:szCs w:val="24"/>
          <w:lang w:val="fr-FR"/>
        </w:rPr>
        <w:t xml:space="preserve"> </w:t>
      </w:r>
      <w:proofErr w:type="spellStart"/>
      <w:r w:rsidR="00C04B3A" w:rsidRPr="005F60C1">
        <w:rPr>
          <w:rFonts w:asciiTheme="minorHAnsi" w:hAnsiTheme="minorHAnsi" w:cstheme="minorHAnsi"/>
          <w:i/>
          <w:iCs/>
          <w:color w:val="000000"/>
          <w:sz w:val="24"/>
          <w:szCs w:val="24"/>
          <w:lang w:val="fr-FR"/>
        </w:rPr>
        <w:t>Infec</w:t>
      </w:r>
      <w:proofErr w:type="spellEnd"/>
      <w:r w:rsidR="00C04B3A" w:rsidRPr="005F60C1">
        <w:rPr>
          <w:rFonts w:asciiTheme="minorHAnsi" w:hAnsiTheme="minorHAnsi" w:cstheme="minorHAnsi"/>
          <w:color w:val="000000"/>
          <w:sz w:val="24"/>
          <w:szCs w:val="24"/>
          <w:lang w:val="fr-FR"/>
        </w:rPr>
        <w:t xml:space="preserve">. </w:t>
      </w:r>
      <w:proofErr w:type="gramStart"/>
      <w:r w:rsidR="00C04B3A" w:rsidRPr="005F60C1">
        <w:rPr>
          <w:rFonts w:asciiTheme="minorHAnsi" w:hAnsiTheme="minorHAnsi" w:cstheme="minorHAnsi"/>
          <w:color w:val="000000"/>
          <w:sz w:val="24"/>
          <w:szCs w:val="24"/>
          <w:lang w:val="fr-FR"/>
        </w:rPr>
        <w:t>2021;</w:t>
      </w:r>
      <w:proofErr w:type="gramEnd"/>
      <w:r w:rsidR="00C04B3A" w:rsidRPr="005F60C1">
        <w:rPr>
          <w:rFonts w:asciiTheme="minorHAnsi" w:hAnsiTheme="minorHAnsi" w:cstheme="minorHAnsi"/>
          <w:color w:val="000000"/>
          <w:sz w:val="24"/>
          <w:szCs w:val="24"/>
          <w:lang w:val="fr-FR"/>
        </w:rPr>
        <w:t xml:space="preserve">27(12):1784-1789. </w:t>
      </w:r>
      <w:proofErr w:type="gramStart"/>
      <w:r w:rsidR="00C04B3A" w:rsidRPr="005F60C1">
        <w:rPr>
          <w:rFonts w:asciiTheme="minorHAnsi" w:hAnsiTheme="minorHAnsi" w:cstheme="minorHAnsi"/>
          <w:color w:val="000000"/>
          <w:sz w:val="24"/>
          <w:szCs w:val="24"/>
          <w:lang w:val="fr-FR"/>
        </w:rPr>
        <w:t>doi:10.1016/j.cmi</w:t>
      </w:r>
      <w:proofErr w:type="gramEnd"/>
      <w:r w:rsidR="00C04B3A" w:rsidRPr="005F60C1">
        <w:rPr>
          <w:rFonts w:asciiTheme="minorHAnsi" w:hAnsiTheme="minorHAnsi" w:cstheme="minorHAnsi"/>
          <w:color w:val="000000"/>
          <w:sz w:val="24"/>
          <w:szCs w:val="24"/>
          <w:lang w:val="fr-FR"/>
        </w:rPr>
        <w:t>.2021.07.005</w:t>
      </w:r>
    </w:p>
    <w:p w14:paraId="28017C3D" w14:textId="2684AFC1" w:rsidR="00C04B3A" w:rsidRPr="005F60C1" w:rsidRDefault="00C450CA" w:rsidP="004E25F7">
      <w:pPr>
        <w:pStyle w:val="csl-entry"/>
        <w:spacing w:line="480" w:lineRule="auto"/>
        <w:ind w:left="720" w:hanging="720"/>
        <w:rPr>
          <w:rFonts w:asciiTheme="minorHAnsi" w:hAnsiTheme="minorHAnsi" w:cstheme="minorHAnsi"/>
          <w:color w:val="000000"/>
          <w:sz w:val="24"/>
          <w:szCs w:val="24"/>
          <w:lang w:val="fr-FR"/>
        </w:rPr>
      </w:pPr>
      <w:r w:rsidRPr="005F60C1">
        <w:rPr>
          <w:rFonts w:asciiTheme="minorHAnsi" w:hAnsiTheme="minorHAnsi" w:cstheme="minorHAnsi"/>
          <w:color w:val="000000"/>
          <w:sz w:val="24"/>
          <w:szCs w:val="24"/>
          <w:lang w:val="fr-FR"/>
        </w:rPr>
        <w:t>182.</w:t>
      </w:r>
      <w:r w:rsidR="004E25F7" w:rsidRPr="005F60C1">
        <w:rPr>
          <w:rFonts w:asciiTheme="minorHAnsi" w:hAnsiTheme="minorHAnsi" w:cstheme="minorHAnsi"/>
          <w:color w:val="000000"/>
          <w:sz w:val="24"/>
          <w:szCs w:val="24"/>
          <w:lang w:val="fr-FR"/>
        </w:rPr>
        <w:tab/>
      </w:r>
      <w:r w:rsidR="00C04B3A" w:rsidRPr="005F60C1">
        <w:rPr>
          <w:rFonts w:asciiTheme="minorHAnsi" w:hAnsiTheme="minorHAnsi" w:cstheme="minorHAnsi"/>
          <w:color w:val="000000"/>
          <w:sz w:val="24"/>
          <w:szCs w:val="24"/>
          <w:lang w:val="fr-FR"/>
        </w:rPr>
        <w:t xml:space="preserve">Tan AT, Lim JME, Bert NL, et al. </w:t>
      </w:r>
      <w:r w:rsidR="00C04B3A" w:rsidRPr="004E25F7">
        <w:rPr>
          <w:rFonts w:asciiTheme="minorHAnsi" w:hAnsiTheme="minorHAnsi" w:cstheme="minorHAnsi"/>
          <w:color w:val="000000"/>
          <w:sz w:val="24"/>
          <w:szCs w:val="24"/>
        </w:rPr>
        <w:t xml:space="preserve">Rapid measurement of SARS-CoV-2 spike T cells in whole blood from vaccinated and naturally infected individuals. </w:t>
      </w:r>
      <w:r w:rsidR="00C04B3A" w:rsidRPr="005F60C1">
        <w:rPr>
          <w:rFonts w:asciiTheme="minorHAnsi" w:hAnsiTheme="minorHAnsi" w:cstheme="minorHAnsi"/>
          <w:i/>
          <w:iCs/>
          <w:color w:val="000000"/>
          <w:sz w:val="24"/>
          <w:szCs w:val="24"/>
          <w:lang w:val="fr-FR"/>
        </w:rPr>
        <w:t>J Clin Invest</w:t>
      </w:r>
      <w:r w:rsidR="00C04B3A" w:rsidRPr="005F60C1">
        <w:rPr>
          <w:rFonts w:asciiTheme="minorHAnsi" w:hAnsiTheme="minorHAnsi" w:cstheme="minorHAnsi"/>
          <w:color w:val="000000"/>
          <w:sz w:val="24"/>
          <w:szCs w:val="24"/>
          <w:lang w:val="fr-FR"/>
        </w:rPr>
        <w:t xml:space="preserve">. </w:t>
      </w:r>
      <w:proofErr w:type="gramStart"/>
      <w:r w:rsidR="00C04B3A" w:rsidRPr="005F60C1">
        <w:rPr>
          <w:rFonts w:asciiTheme="minorHAnsi" w:hAnsiTheme="minorHAnsi" w:cstheme="minorHAnsi"/>
          <w:color w:val="000000"/>
          <w:sz w:val="24"/>
          <w:szCs w:val="24"/>
          <w:lang w:val="fr-FR"/>
        </w:rPr>
        <w:t>2021;</w:t>
      </w:r>
      <w:proofErr w:type="gramEnd"/>
      <w:r w:rsidR="00C04B3A" w:rsidRPr="005F60C1">
        <w:rPr>
          <w:rFonts w:asciiTheme="minorHAnsi" w:hAnsiTheme="minorHAnsi" w:cstheme="minorHAnsi"/>
          <w:color w:val="000000"/>
          <w:sz w:val="24"/>
          <w:szCs w:val="24"/>
          <w:lang w:val="fr-FR"/>
        </w:rPr>
        <w:t xml:space="preserve">131(17):e152379. </w:t>
      </w:r>
      <w:proofErr w:type="gramStart"/>
      <w:r w:rsidR="00C04B3A" w:rsidRPr="005F60C1">
        <w:rPr>
          <w:rFonts w:asciiTheme="minorHAnsi" w:hAnsiTheme="minorHAnsi" w:cstheme="minorHAnsi"/>
          <w:color w:val="000000"/>
          <w:sz w:val="24"/>
          <w:szCs w:val="24"/>
          <w:lang w:val="fr-FR"/>
        </w:rPr>
        <w:t>doi:</w:t>
      </w:r>
      <w:proofErr w:type="gramEnd"/>
      <w:r w:rsidR="00C04B3A" w:rsidRPr="005F60C1">
        <w:rPr>
          <w:rFonts w:asciiTheme="minorHAnsi" w:hAnsiTheme="minorHAnsi" w:cstheme="minorHAnsi"/>
          <w:color w:val="000000"/>
          <w:sz w:val="24"/>
          <w:szCs w:val="24"/>
          <w:lang w:val="fr-FR"/>
        </w:rPr>
        <w:t>10.1172/jci152379</w:t>
      </w:r>
    </w:p>
    <w:p w14:paraId="16CF8C01" w14:textId="596D696F"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5F60C1">
        <w:rPr>
          <w:rFonts w:asciiTheme="minorHAnsi" w:hAnsiTheme="minorHAnsi" w:cstheme="minorHAnsi"/>
          <w:color w:val="000000"/>
          <w:sz w:val="24"/>
          <w:szCs w:val="24"/>
          <w:lang w:val="fr-FR"/>
        </w:rPr>
        <w:t>183.</w:t>
      </w:r>
      <w:r w:rsidR="004E25F7" w:rsidRPr="005F60C1">
        <w:rPr>
          <w:rFonts w:asciiTheme="minorHAnsi" w:hAnsiTheme="minorHAnsi" w:cstheme="minorHAnsi"/>
          <w:color w:val="000000"/>
          <w:sz w:val="24"/>
          <w:szCs w:val="24"/>
          <w:lang w:val="fr-FR"/>
        </w:rPr>
        <w:tab/>
      </w:r>
      <w:proofErr w:type="spellStart"/>
      <w:r w:rsidR="00C04B3A" w:rsidRPr="005F60C1">
        <w:rPr>
          <w:rFonts w:asciiTheme="minorHAnsi" w:hAnsiTheme="minorHAnsi" w:cstheme="minorHAnsi"/>
          <w:color w:val="000000"/>
          <w:sz w:val="24"/>
          <w:szCs w:val="24"/>
          <w:lang w:val="fr-FR"/>
        </w:rPr>
        <w:t>Painter</w:t>
      </w:r>
      <w:proofErr w:type="spellEnd"/>
      <w:r w:rsidR="00C04B3A" w:rsidRPr="005F60C1">
        <w:rPr>
          <w:rFonts w:asciiTheme="minorHAnsi" w:hAnsiTheme="minorHAnsi" w:cstheme="minorHAnsi"/>
          <w:color w:val="000000"/>
          <w:sz w:val="24"/>
          <w:szCs w:val="24"/>
          <w:lang w:val="fr-FR"/>
        </w:rPr>
        <w:t xml:space="preserve"> MM, Mathew D, </w:t>
      </w:r>
      <w:proofErr w:type="spellStart"/>
      <w:r w:rsidR="00C04B3A" w:rsidRPr="005F60C1">
        <w:rPr>
          <w:rFonts w:asciiTheme="minorHAnsi" w:hAnsiTheme="minorHAnsi" w:cstheme="minorHAnsi"/>
          <w:color w:val="000000"/>
          <w:sz w:val="24"/>
          <w:szCs w:val="24"/>
          <w:lang w:val="fr-FR"/>
        </w:rPr>
        <w:t>Goel</w:t>
      </w:r>
      <w:proofErr w:type="spellEnd"/>
      <w:r w:rsidR="00C04B3A" w:rsidRPr="005F60C1">
        <w:rPr>
          <w:rFonts w:asciiTheme="minorHAnsi" w:hAnsiTheme="minorHAnsi" w:cstheme="minorHAnsi"/>
          <w:color w:val="000000"/>
          <w:sz w:val="24"/>
          <w:szCs w:val="24"/>
          <w:lang w:val="fr-FR"/>
        </w:rPr>
        <w:t xml:space="preserve"> RR, et al. </w:t>
      </w:r>
      <w:r w:rsidR="00C04B3A" w:rsidRPr="004E25F7">
        <w:rPr>
          <w:rFonts w:asciiTheme="minorHAnsi" w:hAnsiTheme="minorHAnsi" w:cstheme="minorHAnsi"/>
          <w:color w:val="000000"/>
          <w:sz w:val="24"/>
          <w:szCs w:val="24"/>
        </w:rPr>
        <w:t xml:space="preserve">Rapid induction of antigen-specific CD4+ T cells is associated with coordinated humoral and cellular immunity to SARS-CoV-2 mRNA vaccination. </w:t>
      </w:r>
      <w:r w:rsidR="00C04B3A" w:rsidRPr="004E25F7">
        <w:rPr>
          <w:rFonts w:asciiTheme="minorHAnsi" w:hAnsiTheme="minorHAnsi" w:cstheme="minorHAnsi"/>
          <w:i/>
          <w:iCs/>
          <w:color w:val="000000"/>
          <w:sz w:val="24"/>
          <w:szCs w:val="24"/>
        </w:rPr>
        <w:t>Immunity</w:t>
      </w:r>
      <w:r w:rsidR="00C04B3A" w:rsidRPr="004E25F7">
        <w:rPr>
          <w:rFonts w:asciiTheme="minorHAnsi" w:hAnsiTheme="minorHAnsi" w:cstheme="minorHAnsi"/>
          <w:color w:val="000000"/>
          <w:sz w:val="24"/>
          <w:szCs w:val="24"/>
        </w:rPr>
        <w:t xml:space="preserve">. 2021;54(9):2133-2142.e3. </w:t>
      </w:r>
      <w:proofErr w:type="gramStart"/>
      <w:r w:rsidR="00C04B3A" w:rsidRPr="004E25F7">
        <w:rPr>
          <w:rFonts w:asciiTheme="minorHAnsi" w:hAnsiTheme="minorHAnsi" w:cstheme="minorHAnsi"/>
          <w:color w:val="000000"/>
          <w:sz w:val="24"/>
          <w:szCs w:val="24"/>
        </w:rPr>
        <w:t>doi:10.1016/j.immuni</w:t>
      </w:r>
      <w:proofErr w:type="gramEnd"/>
      <w:r w:rsidR="00C04B3A" w:rsidRPr="004E25F7">
        <w:rPr>
          <w:rFonts w:asciiTheme="minorHAnsi" w:hAnsiTheme="minorHAnsi" w:cstheme="minorHAnsi"/>
          <w:color w:val="000000"/>
          <w:sz w:val="24"/>
          <w:szCs w:val="24"/>
        </w:rPr>
        <w:t>.2021.08.001</w:t>
      </w:r>
    </w:p>
    <w:p w14:paraId="21A5CE23" w14:textId="333AD349" w:rsidR="00C450CA" w:rsidRPr="005F60C1" w:rsidRDefault="00C450CA" w:rsidP="004E25F7">
      <w:pPr>
        <w:spacing w:line="480" w:lineRule="auto"/>
        <w:rPr>
          <w:rFonts w:cstheme="minorHAnsi"/>
          <w:color w:val="000000"/>
          <w:sz w:val="24"/>
          <w:szCs w:val="24"/>
          <w:lang w:val="en-US"/>
        </w:rPr>
      </w:pPr>
    </w:p>
    <w:p w14:paraId="5D269747" w14:textId="59D9468C"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184.</w:t>
      </w:r>
      <w:r w:rsidR="004E25F7">
        <w:rPr>
          <w:rFonts w:asciiTheme="minorHAnsi" w:hAnsiTheme="minorHAnsi" w:cstheme="minorHAnsi"/>
          <w:color w:val="000000"/>
          <w:sz w:val="24"/>
          <w:szCs w:val="24"/>
        </w:rPr>
        <w:tab/>
      </w:r>
      <w:r w:rsidR="00C04B3A" w:rsidRPr="004E25F7">
        <w:rPr>
          <w:rFonts w:asciiTheme="minorHAnsi" w:hAnsiTheme="minorHAnsi" w:cstheme="minorHAnsi"/>
          <w:color w:val="000000"/>
          <w:sz w:val="24"/>
          <w:szCs w:val="24"/>
        </w:rPr>
        <w:t xml:space="preserve">Corbett KS, Flynn B, Foulds KE, et al. Evaluation of the mRNA-1273 Vaccine against SARS-CoV-2 in Nonhuman Primates. </w:t>
      </w:r>
      <w:r w:rsidR="00C04B3A" w:rsidRPr="004E25F7">
        <w:rPr>
          <w:rFonts w:asciiTheme="minorHAnsi" w:hAnsiTheme="minorHAnsi" w:cstheme="minorHAnsi"/>
          <w:i/>
          <w:iCs/>
          <w:color w:val="000000"/>
          <w:sz w:val="24"/>
          <w:szCs w:val="24"/>
        </w:rPr>
        <w:t>New Engl J Med</w:t>
      </w:r>
      <w:r w:rsidR="00C04B3A" w:rsidRPr="004E25F7">
        <w:rPr>
          <w:rFonts w:asciiTheme="minorHAnsi" w:hAnsiTheme="minorHAnsi" w:cstheme="minorHAnsi"/>
          <w:color w:val="000000"/>
          <w:sz w:val="24"/>
          <w:szCs w:val="24"/>
        </w:rPr>
        <w:t>. 2020;383(16):1544-1555. doi:10.1056/nejmoa2024671</w:t>
      </w:r>
    </w:p>
    <w:p w14:paraId="72AF08D5" w14:textId="2C0CC93C"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lastRenderedPageBreak/>
        <w:t>185.</w:t>
      </w:r>
      <w:r w:rsidR="004E25F7">
        <w:rPr>
          <w:rFonts w:asciiTheme="minorHAnsi" w:hAnsiTheme="minorHAnsi" w:cstheme="minorHAnsi"/>
          <w:color w:val="000000"/>
          <w:sz w:val="24"/>
          <w:szCs w:val="24"/>
        </w:rPr>
        <w:tab/>
      </w:r>
      <w:r w:rsidR="00C04B3A" w:rsidRPr="004E25F7">
        <w:rPr>
          <w:rFonts w:asciiTheme="minorHAnsi" w:hAnsiTheme="minorHAnsi" w:cstheme="minorHAnsi"/>
          <w:color w:val="000000"/>
          <w:sz w:val="24"/>
          <w:szCs w:val="24"/>
        </w:rPr>
        <w:t xml:space="preserve">Thomas SJ, Moreira ED, Kitchin N, et al. Safety and Efficacy of the BNT162b2 mRNA Covid-19 Vaccine through 6 Months. </w:t>
      </w:r>
      <w:r w:rsidR="00C04B3A" w:rsidRPr="004E25F7">
        <w:rPr>
          <w:rFonts w:asciiTheme="minorHAnsi" w:hAnsiTheme="minorHAnsi" w:cstheme="minorHAnsi"/>
          <w:i/>
          <w:iCs/>
          <w:color w:val="000000"/>
          <w:sz w:val="24"/>
          <w:szCs w:val="24"/>
        </w:rPr>
        <w:t>New Engl J Med</w:t>
      </w:r>
      <w:r w:rsidR="00C04B3A" w:rsidRPr="004E25F7">
        <w:rPr>
          <w:rFonts w:asciiTheme="minorHAnsi" w:hAnsiTheme="minorHAnsi" w:cstheme="minorHAnsi"/>
          <w:color w:val="000000"/>
          <w:sz w:val="24"/>
          <w:szCs w:val="24"/>
        </w:rPr>
        <w:t>. Published online 2021. doi:10.1056/nejmoa2110345</w:t>
      </w:r>
    </w:p>
    <w:p w14:paraId="0053CC66" w14:textId="15122842" w:rsidR="00C450C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186.</w:t>
      </w:r>
      <w:r w:rsidR="004E25F7" w:rsidRPr="005F60C1">
        <w:rPr>
          <w:rFonts w:cstheme="minorHAnsi"/>
          <w:color w:val="000000"/>
          <w:sz w:val="24"/>
          <w:szCs w:val="24"/>
          <w:lang w:val="en-US"/>
        </w:rPr>
        <w:tab/>
      </w:r>
      <w:proofErr w:type="spellStart"/>
      <w:r w:rsidR="00C04B3A" w:rsidRPr="005F60C1">
        <w:rPr>
          <w:rFonts w:cstheme="minorHAnsi"/>
          <w:color w:val="000000"/>
          <w:sz w:val="24"/>
          <w:szCs w:val="24"/>
          <w:lang w:val="en-US"/>
        </w:rPr>
        <w:t>Sahly</w:t>
      </w:r>
      <w:proofErr w:type="spellEnd"/>
      <w:r w:rsidR="00C04B3A" w:rsidRPr="005F60C1">
        <w:rPr>
          <w:rFonts w:cstheme="minorHAnsi"/>
          <w:color w:val="000000"/>
          <w:sz w:val="24"/>
          <w:szCs w:val="24"/>
          <w:lang w:val="en-US"/>
        </w:rPr>
        <w:t xml:space="preserve"> HME, Baden LR, Essink B, et al. Efficacy of the mRNA-1273 SARS-CoV-2 Vaccine at Completion of Blinded Phase. </w:t>
      </w:r>
      <w:r w:rsidR="00C04B3A" w:rsidRPr="005F60C1">
        <w:rPr>
          <w:rFonts w:cstheme="minorHAnsi"/>
          <w:i/>
          <w:iCs/>
          <w:color w:val="000000"/>
          <w:sz w:val="24"/>
          <w:szCs w:val="24"/>
          <w:lang w:val="en-US"/>
        </w:rPr>
        <w:t>New Engl J Med</w:t>
      </w:r>
      <w:r w:rsidR="00C04B3A" w:rsidRPr="005F60C1">
        <w:rPr>
          <w:rFonts w:cstheme="minorHAnsi"/>
          <w:color w:val="000000"/>
          <w:sz w:val="24"/>
          <w:szCs w:val="24"/>
          <w:lang w:val="en-US"/>
        </w:rPr>
        <w:t>. 2021;385(19):1774-1785. doi:10.1056/nejmoa2113017</w:t>
      </w:r>
    </w:p>
    <w:p w14:paraId="59DA4869" w14:textId="59193738" w:rsidR="00C450C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187.</w:t>
      </w:r>
      <w:r w:rsidR="004E25F7" w:rsidRPr="005F60C1">
        <w:rPr>
          <w:rFonts w:cstheme="minorHAnsi"/>
          <w:color w:val="000000"/>
          <w:sz w:val="24"/>
          <w:szCs w:val="24"/>
          <w:lang w:val="en-US"/>
        </w:rPr>
        <w:tab/>
      </w:r>
      <w:r w:rsidR="00C04B3A" w:rsidRPr="005F60C1">
        <w:rPr>
          <w:rFonts w:cstheme="minorHAnsi"/>
          <w:color w:val="000000"/>
          <w:sz w:val="24"/>
          <w:szCs w:val="24"/>
          <w:lang w:val="en-US"/>
        </w:rPr>
        <w:t xml:space="preserve">Corbett KS, Nason MC, Flach B, et al. Immune correlates of protection by mRNA-1273 vaccine against SARS-CoV-2 in nonhuman primates. </w:t>
      </w:r>
      <w:r w:rsidR="00C04B3A" w:rsidRPr="005F60C1">
        <w:rPr>
          <w:rFonts w:cstheme="minorHAnsi"/>
          <w:i/>
          <w:iCs/>
          <w:color w:val="000000"/>
          <w:sz w:val="24"/>
          <w:szCs w:val="24"/>
          <w:lang w:val="en-US"/>
        </w:rPr>
        <w:t>Science</w:t>
      </w:r>
      <w:r w:rsidR="00C04B3A" w:rsidRPr="005F60C1">
        <w:rPr>
          <w:rFonts w:cstheme="minorHAnsi"/>
          <w:color w:val="000000"/>
          <w:sz w:val="24"/>
          <w:szCs w:val="24"/>
          <w:lang w:val="en-US"/>
        </w:rPr>
        <w:t>. 2021;373(6561</w:t>
      </w:r>
      <w:proofErr w:type="gramStart"/>
      <w:r w:rsidR="00C04B3A" w:rsidRPr="005F60C1">
        <w:rPr>
          <w:rFonts w:cstheme="minorHAnsi"/>
          <w:color w:val="000000"/>
          <w:sz w:val="24"/>
          <w:szCs w:val="24"/>
          <w:lang w:val="en-US"/>
        </w:rPr>
        <w:t>):eabj</w:t>
      </w:r>
      <w:proofErr w:type="gramEnd"/>
      <w:r w:rsidR="00C04B3A" w:rsidRPr="005F60C1">
        <w:rPr>
          <w:rFonts w:cstheme="minorHAnsi"/>
          <w:color w:val="000000"/>
          <w:sz w:val="24"/>
          <w:szCs w:val="24"/>
          <w:lang w:val="en-US"/>
        </w:rPr>
        <w:t>0299. doi:10.1126/</w:t>
      </w:r>
      <w:proofErr w:type="gramStart"/>
      <w:r w:rsidR="00C04B3A" w:rsidRPr="005F60C1">
        <w:rPr>
          <w:rFonts w:cstheme="minorHAnsi"/>
          <w:color w:val="000000"/>
          <w:sz w:val="24"/>
          <w:szCs w:val="24"/>
          <w:lang w:val="en-US"/>
        </w:rPr>
        <w:t>science.abj</w:t>
      </w:r>
      <w:proofErr w:type="gramEnd"/>
      <w:r w:rsidR="00C04B3A" w:rsidRPr="005F60C1">
        <w:rPr>
          <w:rFonts w:cstheme="minorHAnsi"/>
          <w:color w:val="000000"/>
          <w:sz w:val="24"/>
          <w:szCs w:val="24"/>
          <w:lang w:val="en-US"/>
        </w:rPr>
        <w:t>0299</w:t>
      </w:r>
    </w:p>
    <w:p w14:paraId="541B015C" w14:textId="371872B5"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188.</w:t>
      </w:r>
      <w:r w:rsidR="004E25F7">
        <w:rPr>
          <w:rFonts w:asciiTheme="minorHAnsi" w:hAnsiTheme="minorHAnsi" w:cstheme="minorHAnsi"/>
          <w:color w:val="000000"/>
          <w:sz w:val="24"/>
          <w:szCs w:val="24"/>
        </w:rPr>
        <w:tab/>
      </w:r>
      <w:r w:rsidR="00C04B3A" w:rsidRPr="004E25F7">
        <w:rPr>
          <w:rFonts w:asciiTheme="minorHAnsi" w:hAnsiTheme="minorHAnsi" w:cstheme="minorHAnsi"/>
          <w:color w:val="000000"/>
          <w:sz w:val="24"/>
          <w:szCs w:val="24"/>
        </w:rPr>
        <w:t xml:space="preserve">Chiu C, </w:t>
      </w:r>
      <w:proofErr w:type="spellStart"/>
      <w:r w:rsidR="00C04B3A" w:rsidRPr="004E25F7">
        <w:rPr>
          <w:rFonts w:asciiTheme="minorHAnsi" w:hAnsiTheme="minorHAnsi" w:cstheme="minorHAnsi"/>
          <w:color w:val="000000"/>
          <w:sz w:val="24"/>
          <w:szCs w:val="24"/>
        </w:rPr>
        <w:t>Killingley</w:t>
      </w:r>
      <w:proofErr w:type="spellEnd"/>
      <w:r w:rsidR="00C04B3A" w:rsidRPr="004E25F7">
        <w:rPr>
          <w:rFonts w:asciiTheme="minorHAnsi" w:hAnsiTheme="minorHAnsi" w:cstheme="minorHAnsi"/>
          <w:color w:val="000000"/>
          <w:sz w:val="24"/>
          <w:szCs w:val="24"/>
        </w:rPr>
        <w:t xml:space="preserve"> B, Mann A, et al. Safety, tolerability and viral kinetics during SARS-CoV-2 human challenge. Published online 2022. doi:10.21203/rs.3.rs-1121993/v1</w:t>
      </w:r>
    </w:p>
    <w:p w14:paraId="0976FF5E" w14:textId="452B422F"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189.</w:t>
      </w:r>
      <w:r w:rsidR="004E25F7">
        <w:rPr>
          <w:rFonts w:asciiTheme="minorHAnsi" w:hAnsiTheme="minorHAnsi" w:cstheme="minorHAnsi"/>
          <w:color w:val="000000"/>
          <w:sz w:val="24"/>
          <w:szCs w:val="24"/>
        </w:rPr>
        <w:tab/>
      </w:r>
      <w:proofErr w:type="spellStart"/>
      <w:r w:rsidR="00C04B3A" w:rsidRPr="004E25F7">
        <w:rPr>
          <w:rFonts w:asciiTheme="minorHAnsi" w:hAnsiTheme="minorHAnsi" w:cstheme="minorHAnsi"/>
          <w:color w:val="000000"/>
          <w:sz w:val="24"/>
          <w:szCs w:val="24"/>
        </w:rPr>
        <w:t>Vikkurthi</w:t>
      </w:r>
      <w:proofErr w:type="spellEnd"/>
      <w:r w:rsidR="00C04B3A" w:rsidRPr="004E25F7">
        <w:rPr>
          <w:rFonts w:asciiTheme="minorHAnsi" w:hAnsiTheme="minorHAnsi" w:cstheme="minorHAnsi"/>
          <w:color w:val="000000"/>
          <w:sz w:val="24"/>
          <w:szCs w:val="24"/>
        </w:rPr>
        <w:t xml:space="preserve"> R, Ansari A, Pai AR, et al. Inactivated virus vaccine BBV152/</w:t>
      </w:r>
      <w:proofErr w:type="spellStart"/>
      <w:r w:rsidR="00C04B3A" w:rsidRPr="004E25F7">
        <w:rPr>
          <w:rFonts w:asciiTheme="minorHAnsi" w:hAnsiTheme="minorHAnsi" w:cstheme="minorHAnsi"/>
          <w:color w:val="000000"/>
          <w:sz w:val="24"/>
          <w:szCs w:val="24"/>
        </w:rPr>
        <w:t>Covaxin</w:t>
      </w:r>
      <w:proofErr w:type="spellEnd"/>
      <w:r w:rsidR="00C04B3A" w:rsidRPr="004E25F7">
        <w:rPr>
          <w:rFonts w:asciiTheme="minorHAnsi" w:hAnsiTheme="minorHAnsi" w:cstheme="minorHAnsi"/>
          <w:color w:val="000000"/>
          <w:sz w:val="24"/>
          <w:szCs w:val="24"/>
        </w:rPr>
        <w:t xml:space="preserve"> elicits robust cellular immune memory to SARS-CoV-2 and variants of concern. </w:t>
      </w:r>
      <w:proofErr w:type="spellStart"/>
      <w:r w:rsidR="00C04B3A" w:rsidRPr="004E25F7">
        <w:rPr>
          <w:rFonts w:asciiTheme="minorHAnsi" w:hAnsiTheme="minorHAnsi" w:cstheme="minorHAnsi"/>
          <w:i/>
          <w:iCs/>
          <w:color w:val="000000"/>
          <w:sz w:val="24"/>
          <w:szCs w:val="24"/>
        </w:rPr>
        <w:t>Medrxiv</w:t>
      </w:r>
      <w:proofErr w:type="spellEnd"/>
      <w:r w:rsidR="00C04B3A" w:rsidRPr="004E25F7">
        <w:rPr>
          <w:rFonts w:asciiTheme="minorHAnsi" w:hAnsiTheme="minorHAnsi" w:cstheme="minorHAnsi"/>
          <w:color w:val="000000"/>
          <w:sz w:val="24"/>
          <w:szCs w:val="24"/>
        </w:rPr>
        <w:t>. Published online 2021:2021.11.14.21266294. doi:10.1101/2021.11.14.21266294</w:t>
      </w:r>
    </w:p>
    <w:p w14:paraId="5BC99CFD" w14:textId="5FA8230F" w:rsidR="00C450C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190.</w:t>
      </w:r>
      <w:r w:rsidR="004E25F7" w:rsidRPr="005F60C1">
        <w:rPr>
          <w:rFonts w:cstheme="minorHAnsi"/>
          <w:color w:val="000000"/>
          <w:sz w:val="24"/>
          <w:szCs w:val="24"/>
          <w:lang w:val="en-US"/>
        </w:rPr>
        <w:tab/>
      </w:r>
      <w:r w:rsidR="00C04B3A" w:rsidRPr="005F60C1">
        <w:rPr>
          <w:rFonts w:cstheme="minorHAnsi"/>
          <w:color w:val="000000"/>
          <w:sz w:val="24"/>
          <w:szCs w:val="24"/>
          <w:lang w:val="en-US"/>
        </w:rPr>
        <w:t xml:space="preserve">Goldberg Y, Mandel M, Bar-On YM, et al. Waning Immunity after the BNT162b2 Vaccine in Israel. </w:t>
      </w:r>
      <w:r w:rsidR="00C04B3A" w:rsidRPr="005F60C1">
        <w:rPr>
          <w:rFonts w:cstheme="minorHAnsi"/>
          <w:i/>
          <w:iCs/>
          <w:color w:val="000000"/>
          <w:sz w:val="24"/>
          <w:szCs w:val="24"/>
          <w:lang w:val="en-US"/>
        </w:rPr>
        <w:t>New Engl J Medicine</w:t>
      </w:r>
      <w:r w:rsidR="00C04B3A" w:rsidRPr="005F60C1">
        <w:rPr>
          <w:rFonts w:cstheme="minorHAnsi"/>
          <w:color w:val="000000"/>
          <w:sz w:val="24"/>
          <w:szCs w:val="24"/>
          <w:lang w:val="en-US"/>
        </w:rPr>
        <w:t>. 2021;385(24</w:t>
      </w:r>
      <w:proofErr w:type="gramStart"/>
      <w:r w:rsidR="00C04B3A" w:rsidRPr="005F60C1">
        <w:rPr>
          <w:rFonts w:cstheme="minorHAnsi"/>
          <w:color w:val="000000"/>
          <w:sz w:val="24"/>
          <w:szCs w:val="24"/>
          <w:lang w:val="en-US"/>
        </w:rPr>
        <w:t>):NEJMoa</w:t>
      </w:r>
      <w:proofErr w:type="gramEnd"/>
      <w:r w:rsidR="00C04B3A" w:rsidRPr="005F60C1">
        <w:rPr>
          <w:rFonts w:cstheme="minorHAnsi"/>
          <w:color w:val="000000"/>
          <w:sz w:val="24"/>
          <w:szCs w:val="24"/>
          <w:lang w:val="en-US"/>
        </w:rPr>
        <w:t>2114228. doi:10.1056/nejmoa2114228</w:t>
      </w:r>
    </w:p>
    <w:p w14:paraId="60C19F5D" w14:textId="0C547CCF" w:rsidR="00C04B3A"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191.</w:t>
      </w:r>
      <w:r w:rsidR="004E25F7">
        <w:rPr>
          <w:rFonts w:asciiTheme="minorHAnsi" w:hAnsiTheme="minorHAnsi" w:cstheme="minorHAnsi"/>
          <w:color w:val="000000"/>
          <w:sz w:val="24"/>
          <w:szCs w:val="24"/>
        </w:rPr>
        <w:tab/>
      </w:r>
      <w:proofErr w:type="spellStart"/>
      <w:r w:rsidR="00C04B3A" w:rsidRPr="004E25F7">
        <w:rPr>
          <w:rFonts w:asciiTheme="minorHAnsi" w:hAnsiTheme="minorHAnsi" w:cstheme="minorHAnsi"/>
          <w:color w:val="000000"/>
          <w:sz w:val="24"/>
          <w:szCs w:val="24"/>
        </w:rPr>
        <w:t>Tartof</w:t>
      </w:r>
      <w:proofErr w:type="spellEnd"/>
      <w:r w:rsidR="00C04B3A" w:rsidRPr="004E25F7">
        <w:rPr>
          <w:rFonts w:asciiTheme="minorHAnsi" w:hAnsiTheme="minorHAnsi" w:cstheme="minorHAnsi"/>
          <w:color w:val="000000"/>
          <w:sz w:val="24"/>
          <w:szCs w:val="24"/>
        </w:rPr>
        <w:t xml:space="preserve"> SY, Slezak JM, Fischer H, et al. Effectiveness of mRNA BNT162b2 COVID-19 vaccine up to 6 months in a large integrated health system in the USA: a retrospective </w:t>
      </w:r>
      <w:r w:rsidR="00C04B3A" w:rsidRPr="004E25F7">
        <w:rPr>
          <w:rFonts w:asciiTheme="minorHAnsi" w:hAnsiTheme="minorHAnsi" w:cstheme="minorHAnsi"/>
          <w:color w:val="000000"/>
          <w:sz w:val="24"/>
          <w:szCs w:val="24"/>
        </w:rPr>
        <w:lastRenderedPageBreak/>
        <w:t xml:space="preserve">cohort study. </w:t>
      </w:r>
      <w:r w:rsidR="00C04B3A" w:rsidRPr="004E25F7">
        <w:rPr>
          <w:rFonts w:asciiTheme="minorHAnsi" w:hAnsiTheme="minorHAnsi" w:cstheme="minorHAnsi"/>
          <w:i/>
          <w:iCs/>
          <w:color w:val="000000"/>
          <w:sz w:val="24"/>
          <w:szCs w:val="24"/>
        </w:rPr>
        <w:t>Lancet Lond Engl</w:t>
      </w:r>
      <w:r w:rsidR="00C04B3A" w:rsidRPr="004E25F7">
        <w:rPr>
          <w:rFonts w:asciiTheme="minorHAnsi" w:hAnsiTheme="minorHAnsi" w:cstheme="minorHAnsi"/>
          <w:color w:val="000000"/>
          <w:sz w:val="24"/>
          <w:szCs w:val="24"/>
        </w:rPr>
        <w:t>. 2021;398(10309):1407-1416. doi:10.1016/s0140-6736(21)02183-8</w:t>
      </w:r>
    </w:p>
    <w:p w14:paraId="014782A2" w14:textId="0B4ADABA" w:rsidR="00C450C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192</w:t>
      </w:r>
      <w:r w:rsidR="00C04B3A" w:rsidRPr="005F60C1">
        <w:rPr>
          <w:rFonts w:cstheme="minorHAnsi"/>
          <w:color w:val="000000"/>
          <w:sz w:val="24"/>
          <w:szCs w:val="24"/>
          <w:lang w:val="en-US"/>
        </w:rPr>
        <w:t>.</w:t>
      </w:r>
      <w:r w:rsidR="004E25F7" w:rsidRPr="005F60C1">
        <w:rPr>
          <w:rFonts w:cstheme="minorHAnsi"/>
          <w:color w:val="000000"/>
          <w:sz w:val="24"/>
          <w:szCs w:val="24"/>
          <w:lang w:val="en-US"/>
        </w:rPr>
        <w:tab/>
      </w:r>
      <w:r w:rsidR="00C04B3A" w:rsidRPr="005F60C1">
        <w:rPr>
          <w:rFonts w:cstheme="minorHAnsi"/>
          <w:color w:val="000000"/>
          <w:sz w:val="24"/>
          <w:szCs w:val="24"/>
          <w:lang w:val="en-US"/>
        </w:rPr>
        <w:t xml:space="preserve">Danza P, Koo TH, Haddix M, et al. SARS-CoV-2 Infection and Hospitalization Among Adults Aged ≥18 Years, by Vaccination Status, Before and During SARS-CoV-2 B.1.1.529 (Omicron) Variant Predominance — Los Angeles County, California, November 7, 2021–January 8, 2022. </w:t>
      </w:r>
      <w:proofErr w:type="spellStart"/>
      <w:r w:rsidR="00C04B3A" w:rsidRPr="005F60C1">
        <w:rPr>
          <w:rFonts w:cstheme="minorHAnsi"/>
          <w:i/>
          <w:iCs/>
          <w:color w:val="000000"/>
          <w:sz w:val="24"/>
          <w:szCs w:val="24"/>
          <w:lang w:val="en-US"/>
        </w:rPr>
        <w:t>Mmwr</w:t>
      </w:r>
      <w:proofErr w:type="spellEnd"/>
      <w:r w:rsidR="00C04B3A" w:rsidRPr="005F60C1">
        <w:rPr>
          <w:rFonts w:cstheme="minorHAnsi"/>
          <w:i/>
          <w:iCs/>
          <w:color w:val="000000"/>
          <w:sz w:val="24"/>
          <w:szCs w:val="24"/>
          <w:lang w:val="en-US"/>
        </w:rPr>
        <w:t xml:space="preserve"> Morbidity Mortal </w:t>
      </w:r>
      <w:proofErr w:type="spellStart"/>
      <w:r w:rsidR="00C04B3A" w:rsidRPr="005F60C1">
        <w:rPr>
          <w:rFonts w:cstheme="minorHAnsi"/>
          <w:i/>
          <w:iCs/>
          <w:color w:val="000000"/>
          <w:sz w:val="24"/>
          <w:szCs w:val="24"/>
          <w:lang w:val="en-US"/>
        </w:rPr>
        <w:t>Wkly</w:t>
      </w:r>
      <w:proofErr w:type="spellEnd"/>
      <w:r w:rsidR="00C04B3A" w:rsidRPr="005F60C1">
        <w:rPr>
          <w:rFonts w:cstheme="minorHAnsi"/>
          <w:i/>
          <w:iCs/>
          <w:color w:val="000000"/>
          <w:sz w:val="24"/>
          <w:szCs w:val="24"/>
          <w:lang w:val="en-US"/>
        </w:rPr>
        <w:t xml:space="preserve"> Rep</w:t>
      </w:r>
      <w:r w:rsidR="00C04B3A" w:rsidRPr="005F60C1">
        <w:rPr>
          <w:rFonts w:cstheme="minorHAnsi"/>
          <w:color w:val="000000"/>
          <w:sz w:val="24"/>
          <w:szCs w:val="24"/>
          <w:lang w:val="en-US"/>
        </w:rPr>
        <w:t>. 2022;71(5). doi:10.15585/mmwr.mm7105e1</w:t>
      </w:r>
    </w:p>
    <w:p w14:paraId="4375E254" w14:textId="469CE04A" w:rsidR="00C450CA" w:rsidRPr="005F60C1" w:rsidRDefault="00C450CA" w:rsidP="004E25F7">
      <w:pPr>
        <w:spacing w:line="480" w:lineRule="auto"/>
        <w:ind w:left="720" w:hanging="720"/>
        <w:rPr>
          <w:rFonts w:cstheme="minorHAnsi"/>
          <w:color w:val="000000"/>
          <w:sz w:val="24"/>
          <w:szCs w:val="24"/>
          <w:lang w:val="en-US"/>
        </w:rPr>
      </w:pPr>
      <w:r w:rsidRPr="005F60C1">
        <w:rPr>
          <w:rFonts w:cstheme="minorHAnsi"/>
          <w:color w:val="000000"/>
          <w:sz w:val="24"/>
          <w:szCs w:val="24"/>
          <w:lang w:val="en-US"/>
        </w:rPr>
        <w:t>193.</w:t>
      </w:r>
      <w:r w:rsidR="004E25F7" w:rsidRPr="005F60C1">
        <w:rPr>
          <w:rFonts w:cstheme="minorHAnsi"/>
          <w:color w:val="000000"/>
          <w:sz w:val="24"/>
          <w:szCs w:val="24"/>
          <w:lang w:val="en-US"/>
        </w:rPr>
        <w:tab/>
        <w:t xml:space="preserve">Gaebler C, Wang Z, Lorenzi JCC, et al. Evolution of antibody immunity to SARS-CoV-2. </w:t>
      </w:r>
      <w:r w:rsidR="004E25F7" w:rsidRPr="005F60C1">
        <w:rPr>
          <w:rFonts w:cstheme="minorHAnsi"/>
          <w:i/>
          <w:iCs/>
          <w:color w:val="000000"/>
          <w:sz w:val="24"/>
          <w:szCs w:val="24"/>
          <w:lang w:val="en-US"/>
        </w:rPr>
        <w:t>Nature</w:t>
      </w:r>
      <w:r w:rsidR="004E25F7" w:rsidRPr="005F60C1">
        <w:rPr>
          <w:rFonts w:cstheme="minorHAnsi"/>
          <w:color w:val="000000"/>
          <w:sz w:val="24"/>
          <w:szCs w:val="24"/>
          <w:lang w:val="en-US"/>
        </w:rPr>
        <w:t>. 2021;591(7851):639-644. doi:10.1038/s41586-021-03207-w</w:t>
      </w:r>
    </w:p>
    <w:p w14:paraId="2BB98BAB" w14:textId="3321E990" w:rsidR="004E25F7" w:rsidRPr="004E25F7" w:rsidRDefault="00C450CA" w:rsidP="004E25F7">
      <w:pPr>
        <w:pStyle w:val="csl-entry"/>
        <w:spacing w:line="480" w:lineRule="auto"/>
        <w:ind w:left="720" w:hanging="720"/>
        <w:rPr>
          <w:rFonts w:asciiTheme="minorHAnsi" w:hAnsiTheme="minorHAnsi" w:cstheme="minorHAnsi"/>
          <w:color w:val="000000"/>
          <w:sz w:val="24"/>
          <w:szCs w:val="24"/>
        </w:rPr>
      </w:pPr>
      <w:r w:rsidRPr="004E25F7">
        <w:rPr>
          <w:rFonts w:asciiTheme="minorHAnsi" w:hAnsiTheme="minorHAnsi" w:cstheme="minorHAnsi"/>
          <w:color w:val="000000"/>
          <w:sz w:val="24"/>
          <w:szCs w:val="24"/>
        </w:rPr>
        <w:t>194</w:t>
      </w:r>
      <w:r w:rsidR="004E25F7">
        <w:rPr>
          <w:rFonts w:asciiTheme="minorHAnsi" w:hAnsiTheme="minorHAnsi" w:cstheme="minorHAnsi"/>
          <w:color w:val="000000"/>
          <w:sz w:val="24"/>
          <w:szCs w:val="24"/>
        </w:rPr>
        <w:tab/>
      </w:r>
      <w:r w:rsidR="004E25F7" w:rsidRPr="004E25F7">
        <w:rPr>
          <w:rFonts w:asciiTheme="minorHAnsi" w:hAnsiTheme="minorHAnsi" w:cstheme="minorHAnsi"/>
          <w:color w:val="000000"/>
          <w:sz w:val="24"/>
          <w:szCs w:val="24"/>
        </w:rPr>
        <w:t xml:space="preserve">Turner JS, Day A, </w:t>
      </w:r>
      <w:proofErr w:type="spellStart"/>
      <w:r w:rsidR="004E25F7" w:rsidRPr="004E25F7">
        <w:rPr>
          <w:rFonts w:asciiTheme="minorHAnsi" w:hAnsiTheme="minorHAnsi" w:cstheme="minorHAnsi"/>
          <w:color w:val="000000"/>
          <w:sz w:val="24"/>
          <w:szCs w:val="24"/>
        </w:rPr>
        <w:t>Alsoussi</w:t>
      </w:r>
      <w:proofErr w:type="spellEnd"/>
      <w:r w:rsidR="004E25F7" w:rsidRPr="004E25F7">
        <w:rPr>
          <w:rFonts w:asciiTheme="minorHAnsi" w:hAnsiTheme="minorHAnsi" w:cstheme="minorHAnsi"/>
          <w:color w:val="000000"/>
          <w:sz w:val="24"/>
          <w:szCs w:val="24"/>
        </w:rPr>
        <w:t xml:space="preserve"> WB, et al. SARS-CoV-2 Viral RNA Shedding for More Than 87 Days in an Individual </w:t>
      </w:r>
      <w:proofErr w:type="gramStart"/>
      <w:r w:rsidR="004E25F7" w:rsidRPr="004E25F7">
        <w:rPr>
          <w:rFonts w:asciiTheme="minorHAnsi" w:hAnsiTheme="minorHAnsi" w:cstheme="minorHAnsi"/>
          <w:color w:val="000000"/>
          <w:sz w:val="24"/>
          <w:szCs w:val="24"/>
        </w:rPr>
        <w:t>With</w:t>
      </w:r>
      <w:proofErr w:type="gramEnd"/>
      <w:r w:rsidR="004E25F7" w:rsidRPr="004E25F7">
        <w:rPr>
          <w:rFonts w:asciiTheme="minorHAnsi" w:hAnsiTheme="minorHAnsi" w:cstheme="minorHAnsi"/>
          <w:color w:val="000000"/>
          <w:sz w:val="24"/>
          <w:szCs w:val="24"/>
        </w:rPr>
        <w:t xml:space="preserve"> an Impaired CD8+ T Cell Response. </w:t>
      </w:r>
      <w:r w:rsidR="004E25F7" w:rsidRPr="004E25F7">
        <w:rPr>
          <w:rFonts w:asciiTheme="minorHAnsi" w:hAnsiTheme="minorHAnsi" w:cstheme="minorHAnsi"/>
          <w:i/>
          <w:iCs/>
          <w:color w:val="000000"/>
          <w:sz w:val="24"/>
          <w:szCs w:val="24"/>
        </w:rPr>
        <w:t>Front Immunol</w:t>
      </w:r>
      <w:r w:rsidR="004E25F7" w:rsidRPr="004E25F7">
        <w:rPr>
          <w:rFonts w:asciiTheme="minorHAnsi" w:hAnsiTheme="minorHAnsi" w:cstheme="minorHAnsi"/>
          <w:color w:val="000000"/>
          <w:sz w:val="24"/>
          <w:szCs w:val="24"/>
        </w:rPr>
        <w:t xml:space="preserve">. </w:t>
      </w:r>
      <w:proofErr w:type="gramStart"/>
      <w:r w:rsidR="004E25F7" w:rsidRPr="004E25F7">
        <w:rPr>
          <w:rFonts w:asciiTheme="minorHAnsi" w:hAnsiTheme="minorHAnsi" w:cstheme="minorHAnsi"/>
          <w:color w:val="000000"/>
          <w:sz w:val="24"/>
          <w:szCs w:val="24"/>
        </w:rPr>
        <w:t>2021;11:618402</w:t>
      </w:r>
      <w:proofErr w:type="gramEnd"/>
      <w:r w:rsidR="004E25F7" w:rsidRPr="004E25F7">
        <w:rPr>
          <w:rFonts w:asciiTheme="minorHAnsi" w:hAnsiTheme="minorHAnsi" w:cstheme="minorHAnsi"/>
          <w:color w:val="000000"/>
          <w:sz w:val="24"/>
          <w:szCs w:val="24"/>
        </w:rPr>
        <w:t>. doi:10.3389/fimmu.2020.618402</w:t>
      </w:r>
    </w:p>
    <w:p w14:paraId="20FAEEA4" w14:textId="15269807" w:rsidR="004E25F7" w:rsidRPr="004E25F7" w:rsidRDefault="00C450CA" w:rsidP="004E25F7">
      <w:pPr>
        <w:spacing w:line="480" w:lineRule="auto"/>
        <w:ind w:left="720" w:hanging="720"/>
        <w:rPr>
          <w:rFonts w:cstheme="minorHAnsi"/>
          <w:color w:val="212121"/>
          <w:sz w:val="24"/>
          <w:szCs w:val="24"/>
          <w:shd w:val="clear" w:color="auto" w:fill="FFFFFF"/>
          <w:lang w:val="en-US"/>
        </w:rPr>
      </w:pPr>
      <w:r w:rsidRPr="005F60C1">
        <w:rPr>
          <w:rFonts w:cstheme="minorHAnsi"/>
          <w:color w:val="000000"/>
          <w:sz w:val="24"/>
          <w:szCs w:val="24"/>
          <w:lang w:val="en-US"/>
        </w:rPr>
        <w:t>195.</w:t>
      </w:r>
      <w:r w:rsidR="004E25F7" w:rsidRPr="005F60C1">
        <w:rPr>
          <w:rFonts w:cstheme="minorHAnsi"/>
          <w:color w:val="000000"/>
          <w:sz w:val="24"/>
          <w:szCs w:val="24"/>
          <w:lang w:val="en-US"/>
        </w:rPr>
        <w:tab/>
      </w:r>
      <w:r w:rsidR="004E25F7" w:rsidRPr="004E25F7">
        <w:rPr>
          <w:rFonts w:cstheme="minorHAnsi"/>
          <w:color w:val="212121"/>
          <w:sz w:val="24"/>
          <w:szCs w:val="24"/>
          <w:shd w:val="clear" w:color="auto" w:fill="FFFFFF"/>
          <w:lang w:val="en-US"/>
        </w:rPr>
        <w:t xml:space="preserve">Rapeport G, Smith E, Gilbert A, Catchpole A, McShane H, Chiu C. SARS-CoV-2 Human Challenge Studies - Establishing the Model during an Evolving Pandemic. N Engl J Med. 2021 Sept. ;385(11):961-964. </w:t>
      </w:r>
      <w:proofErr w:type="spellStart"/>
      <w:r w:rsidR="004E25F7" w:rsidRPr="004E25F7">
        <w:rPr>
          <w:rFonts w:cstheme="minorHAnsi"/>
          <w:color w:val="212121"/>
          <w:sz w:val="24"/>
          <w:szCs w:val="24"/>
          <w:shd w:val="clear" w:color="auto" w:fill="FFFFFF"/>
          <w:lang w:val="en-US"/>
        </w:rPr>
        <w:t>doi</w:t>
      </w:r>
      <w:proofErr w:type="spellEnd"/>
      <w:r w:rsidR="004E25F7" w:rsidRPr="004E25F7">
        <w:rPr>
          <w:rFonts w:cstheme="minorHAnsi"/>
          <w:color w:val="212121"/>
          <w:sz w:val="24"/>
          <w:szCs w:val="24"/>
          <w:shd w:val="clear" w:color="auto" w:fill="FFFFFF"/>
          <w:lang w:val="en-US"/>
        </w:rPr>
        <w:t xml:space="preserve">: 10.1056/NEJMp2106970. </w:t>
      </w:r>
      <w:proofErr w:type="spellStart"/>
      <w:r w:rsidR="004E25F7" w:rsidRPr="004E25F7">
        <w:rPr>
          <w:rFonts w:cstheme="minorHAnsi"/>
          <w:color w:val="212121"/>
          <w:sz w:val="24"/>
          <w:szCs w:val="24"/>
          <w:shd w:val="clear" w:color="auto" w:fill="FFFFFF"/>
          <w:lang w:val="en-US"/>
        </w:rPr>
        <w:t>Epub</w:t>
      </w:r>
      <w:proofErr w:type="spellEnd"/>
      <w:r w:rsidR="004E25F7" w:rsidRPr="004E25F7">
        <w:rPr>
          <w:rFonts w:cstheme="minorHAnsi"/>
          <w:color w:val="212121"/>
          <w:sz w:val="24"/>
          <w:szCs w:val="24"/>
          <w:shd w:val="clear" w:color="auto" w:fill="FFFFFF"/>
          <w:lang w:val="en-US"/>
        </w:rPr>
        <w:t xml:space="preserve"> 2021 Jul 21. PMID: 34289273.</w:t>
      </w:r>
    </w:p>
    <w:p w14:paraId="5A0870F4" w14:textId="55A1C512" w:rsidR="00C450CA" w:rsidRPr="005F60C1" w:rsidRDefault="00C450CA" w:rsidP="00BD6BCD">
      <w:pPr>
        <w:rPr>
          <w:rFonts w:cstheme="minorHAnsi"/>
          <w:color w:val="000000"/>
          <w:sz w:val="24"/>
          <w:szCs w:val="24"/>
          <w:lang w:val="en-US"/>
        </w:rPr>
      </w:pPr>
    </w:p>
    <w:p w14:paraId="2D47E8C5" w14:textId="77777777" w:rsidR="00376D60" w:rsidRPr="003A468C" w:rsidRDefault="00376D60" w:rsidP="00376D60">
      <w:pPr>
        <w:spacing w:line="480" w:lineRule="auto"/>
        <w:rPr>
          <w:lang w:val="en-US"/>
        </w:rPr>
      </w:pPr>
    </w:p>
    <w:p w14:paraId="3AB991D4" w14:textId="77777777" w:rsidR="00376D60" w:rsidRPr="003A468C" w:rsidRDefault="00376D60" w:rsidP="00376D60">
      <w:pPr>
        <w:spacing w:line="480" w:lineRule="auto"/>
        <w:rPr>
          <w:lang w:val="en-US"/>
        </w:rPr>
      </w:pPr>
      <w:r w:rsidRPr="003A468C">
        <w:rPr>
          <w:lang w:val="en-US"/>
        </w:rPr>
        <w:br w:type="page"/>
      </w:r>
    </w:p>
    <w:p w14:paraId="7C1C37B2" w14:textId="4AD87751" w:rsidR="00376D60" w:rsidRPr="003A468C" w:rsidRDefault="00F20A50" w:rsidP="00376D60">
      <w:pPr>
        <w:rPr>
          <w:lang w:val="en-US"/>
        </w:rPr>
      </w:pPr>
      <w:r w:rsidRPr="003A468C">
        <w:rPr>
          <w:noProof/>
          <w:lang w:val="en-US"/>
        </w:rPr>
        <w:lastRenderedPageBreak/>
        <w:drawing>
          <wp:inline distT="0" distB="0" distL="0" distR="0" wp14:anchorId="6D663EDB" wp14:editId="06864F00">
            <wp:extent cx="5731510" cy="2635250"/>
            <wp:effectExtent l="0" t="0" r="254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15"/>
                    <a:stretch>
                      <a:fillRect/>
                    </a:stretch>
                  </pic:blipFill>
                  <pic:spPr>
                    <a:xfrm>
                      <a:off x="0" y="0"/>
                      <a:ext cx="5731510" cy="2635250"/>
                    </a:xfrm>
                    <a:prstGeom prst="rect">
                      <a:avLst/>
                    </a:prstGeom>
                  </pic:spPr>
                </pic:pic>
              </a:graphicData>
            </a:graphic>
          </wp:inline>
        </w:drawing>
      </w:r>
    </w:p>
    <w:p w14:paraId="6191A504" w14:textId="7325CB95" w:rsidR="00376D60" w:rsidRPr="003A468C" w:rsidRDefault="00376D60" w:rsidP="00376D60">
      <w:pPr>
        <w:spacing w:line="480" w:lineRule="auto"/>
        <w:rPr>
          <w:lang w:val="en-US"/>
        </w:rPr>
      </w:pPr>
    </w:p>
    <w:p w14:paraId="2B748650" w14:textId="77777777" w:rsidR="00376D60" w:rsidRPr="003A468C" w:rsidRDefault="00376D60" w:rsidP="00376D60">
      <w:pPr>
        <w:spacing w:line="480" w:lineRule="auto"/>
        <w:rPr>
          <w:lang w:val="en-US"/>
        </w:rPr>
      </w:pPr>
      <w:r w:rsidRPr="003A468C">
        <w:rPr>
          <w:b/>
          <w:bCs/>
          <w:lang w:val="en-US"/>
        </w:rPr>
        <w:t>Figure 1.</w:t>
      </w:r>
      <w:r w:rsidRPr="003A468C">
        <w:rPr>
          <w:lang w:val="en-US"/>
        </w:rPr>
        <w:t xml:space="preserve"> </w:t>
      </w:r>
      <w:r w:rsidRPr="00F20A50">
        <w:rPr>
          <w:b/>
          <w:bCs/>
          <w:lang w:val="en-US"/>
        </w:rPr>
        <w:t>Correlation between antibody responses and efficacy rate for 7 COVID-19 vaccines</w:t>
      </w:r>
      <w:r w:rsidRPr="003A468C">
        <w:rPr>
          <w:lang w:val="en-US"/>
        </w:rPr>
        <w:t xml:space="preserve">. Panels A and B display correlations of antibody responses for neutralization and ELISA assay ratios, respectively, normalized to HCS panel titers from the same assay. Dot size corresponds to the number of cases reported for Phase III efficacy analyses. The y-axis is estimated log risk ratio reported on the vaccine efficacy scale. The x-axis is ratio of the peak geometric mean neutralization titer or ELISA titer at 7-28 days post vaccination, relative to HCS. Error bars indicate 95% confidence Intervals (except for Oxford/AZ antibody responses, which represent ratios of median titers with interquartile ranges) with dashed line showing non-parametric LOESS fit. A rank correlation value was calculated with R2 in a linear model utilized for variance explanation. </w:t>
      </w:r>
      <w:r w:rsidRPr="003A468C">
        <w:rPr>
          <w:i/>
          <w:iCs/>
          <w:lang w:val="en-US"/>
        </w:rPr>
        <w:t xml:space="preserve">Reprinted from Vaccine Volume 39, Earle KA, Ambrosino DM, Fiore-Gartland </w:t>
      </w:r>
      <w:proofErr w:type="spellStart"/>
      <w:proofErr w:type="gramStart"/>
      <w:r w:rsidRPr="003A468C">
        <w:rPr>
          <w:i/>
          <w:iCs/>
          <w:lang w:val="en-US"/>
        </w:rPr>
        <w:t>A,et</w:t>
      </w:r>
      <w:proofErr w:type="spellEnd"/>
      <w:proofErr w:type="gramEnd"/>
      <w:r w:rsidRPr="003A468C">
        <w:rPr>
          <w:i/>
          <w:iCs/>
          <w:lang w:val="en-US"/>
        </w:rPr>
        <w:t>. al. Evidence for Antibody as a protective correlate for COVID-19 vaccines, 4423-4428, 2021 with permission from Elsevier</w:t>
      </w:r>
    </w:p>
    <w:p w14:paraId="30516835" w14:textId="77777777" w:rsidR="00376D60" w:rsidRPr="003A468C" w:rsidRDefault="00376D60" w:rsidP="00376D60">
      <w:pPr>
        <w:rPr>
          <w:lang w:val="en-US"/>
        </w:rPr>
      </w:pPr>
      <w:r w:rsidRPr="003A468C">
        <w:rPr>
          <w:lang w:val="en-US"/>
        </w:rPr>
        <w:br w:type="page"/>
      </w:r>
    </w:p>
    <w:p w14:paraId="3E17751F" w14:textId="77777777" w:rsidR="00376D60" w:rsidRPr="003A468C" w:rsidRDefault="00376D60" w:rsidP="00376D60">
      <w:pPr>
        <w:spacing w:line="480" w:lineRule="auto"/>
        <w:rPr>
          <w:lang w:val="en-US"/>
        </w:rPr>
      </w:pPr>
      <w:r w:rsidRPr="003A468C">
        <w:rPr>
          <w:noProof/>
          <w:lang w:val="en-US"/>
        </w:rPr>
        <w:lastRenderedPageBreak/>
        <w:drawing>
          <wp:inline distT="0" distB="0" distL="0" distR="0" wp14:anchorId="51813339" wp14:editId="6DF77823">
            <wp:extent cx="4542729" cy="3848100"/>
            <wp:effectExtent l="0" t="0" r="0" b="0"/>
            <wp:docPr id="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16">
                      <a:extLst>
                        <a:ext uri="{28A0092B-C50C-407E-A947-70E740481C1C}">
                          <a14:useLocalDpi xmlns:a14="http://schemas.microsoft.com/office/drawing/2010/main" val="0"/>
                        </a:ext>
                      </a:extLst>
                    </a:blip>
                    <a:srcRect l="52340"/>
                    <a:stretch/>
                  </pic:blipFill>
                  <pic:spPr bwMode="auto">
                    <a:xfrm>
                      <a:off x="0" y="0"/>
                      <a:ext cx="4582941" cy="3882163"/>
                    </a:xfrm>
                    <a:prstGeom prst="rect">
                      <a:avLst/>
                    </a:prstGeom>
                    <a:ln>
                      <a:noFill/>
                    </a:ln>
                    <a:extLst>
                      <a:ext uri="{53640926-AAD7-44D8-BBD7-CCE9431645EC}">
                        <a14:shadowObscured xmlns:a14="http://schemas.microsoft.com/office/drawing/2010/main"/>
                      </a:ext>
                    </a:extLst>
                  </pic:spPr>
                </pic:pic>
              </a:graphicData>
            </a:graphic>
          </wp:inline>
        </w:drawing>
      </w:r>
    </w:p>
    <w:p w14:paraId="24F5051F" w14:textId="699138C3" w:rsidR="00FF30B1" w:rsidRDefault="00376D60" w:rsidP="00376D60">
      <w:pPr>
        <w:spacing w:line="480" w:lineRule="auto"/>
        <w:rPr>
          <w:i/>
          <w:iCs/>
          <w:lang w:val="en-US"/>
        </w:rPr>
      </w:pPr>
      <w:r w:rsidRPr="004A61AD">
        <w:rPr>
          <w:rFonts w:cstheme="minorHAnsi"/>
          <w:b/>
          <w:bCs/>
          <w:lang w:val="en-US"/>
        </w:rPr>
        <w:t>Figure 2. Correlation of Spike IgG binding antibody measured on the same platform with vaccine efficacy for wild type, alpha and delta variants.</w:t>
      </w:r>
      <w:r w:rsidRPr="004A61AD">
        <w:rPr>
          <w:rFonts w:cstheme="minorHAnsi"/>
          <w:lang w:val="en-US"/>
        </w:rPr>
        <w:t xml:space="preserve"> Vaccine efficacy/effectiveness (VE) and SARS-CoV-2 spike binding IgG GMC, against Original (WT), alpha and delta variants. Superscript 1 or 2 indicates the number of doses for the vaccine regimen. The y-axis is estimated log risk-ratio reported on the vaccine efficacy scale. The x-axis is the geometric mean concentration (GMC) of spike-specific IgG antibody binding measured by MSD and calibrated to the WHO standard (binding antibody units per mL). Error bars indicate 95% confidence intervals for either the GMC IgG level (x-axis) or VE (y-axis). Weighted least-squares linear regression fit using inverse variance weighting on VE estimates (dashed line black for WT, dashed line blue for alpha variant). Rank correlation coefficient, variance explained by the model, and mean squared error (MSE) are indicated for the WT, and alpha variant models. </w:t>
      </w:r>
      <w:r w:rsidRPr="004A61AD">
        <w:rPr>
          <w:rFonts w:cstheme="minorHAnsi"/>
          <w:i/>
          <w:iCs/>
          <w:lang w:val="en-US"/>
        </w:rPr>
        <w:t>Reprinted from Vaccine</w:t>
      </w:r>
      <w:r w:rsidRPr="003A468C">
        <w:rPr>
          <w:i/>
          <w:iCs/>
          <w:lang w:val="en-US"/>
        </w:rPr>
        <w:t xml:space="preserve"> Volume 40, Goldblatt D, Fiore-Gartland A, Johnson M, et. al., Towards A Population-Based Threshold of Protection for COVID-19 Vaccines, 306-315, 2022 with permission from Elsevier </w:t>
      </w:r>
    </w:p>
    <w:p w14:paraId="033B76E5" w14:textId="355D795D" w:rsidR="00FF30B1" w:rsidRDefault="00FF30B1">
      <w:pPr>
        <w:rPr>
          <w:i/>
          <w:iCs/>
          <w:lang w:val="en-US"/>
        </w:rPr>
      </w:pPr>
    </w:p>
    <w:p w14:paraId="389C91C6" w14:textId="213FC8F9" w:rsidR="00376D60" w:rsidRDefault="00FF30B1" w:rsidP="00376D60">
      <w:pPr>
        <w:spacing w:line="480" w:lineRule="auto"/>
        <w:rPr>
          <w:i/>
          <w:iCs/>
          <w:lang w:val="en-US"/>
        </w:rPr>
      </w:pPr>
      <w:r w:rsidRPr="003A468C">
        <w:rPr>
          <w:noProof/>
          <w:color w:val="000000" w:themeColor="text1"/>
          <w:lang w:val="en-US"/>
        </w:rPr>
        <w:drawing>
          <wp:inline distT="0" distB="0" distL="0" distR="0" wp14:anchorId="71E531AB" wp14:editId="57B0D162">
            <wp:extent cx="5943600" cy="3054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1v1-0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3054350"/>
                    </a:xfrm>
                    <a:prstGeom prst="rect">
                      <a:avLst/>
                    </a:prstGeom>
                  </pic:spPr>
                </pic:pic>
              </a:graphicData>
            </a:graphic>
          </wp:inline>
        </w:drawing>
      </w:r>
    </w:p>
    <w:p w14:paraId="530DFB8C" w14:textId="77777777" w:rsidR="00FF30B1" w:rsidRPr="003A468C" w:rsidRDefault="00FF30B1" w:rsidP="00FF30B1">
      <w:pPr>
        <w:widowControl w:val="0"/>
        <w:rPr>
          <w:color w:val="000000" w:themeColor="text1"/>
          <w:lang w:val="en-US"/>
        </w:rPr>
      </w:pPr>
      <w:r w:rsidRPr="003A468C">
        <w:rPr>
          <w:b/>
          <w:color w:val="000000" w:themeColor="text1"/>
          <w:lang w:val="en-US"/>
        </w:rPr>
        <w:t xml:space="preserve">Figure </w:t>
      </w:r>
      <w:r>
        <w:rPr>
          <w:b/>
          <w:color w:val="000000" w:themeColor="text1"/>
          <w:lang w:val="en-US"/>
        </w:rPr>
        <w:t>3</w:t>
      </w:r>
      <w:r w:rsidRPr="003A468C">
        <w:rPr>
          <w:color w:val="000000" w:themeColor="text1"/>
          <w:lang w:val="en-US"/>
        </w:rPr>
        <w:t xml:space="preserve">. </w:t>
      </w:r>
      <w:r w:rsidRPr="003A468C">
        <w:rPr>
          <w:b/>
          <w:bCs/>
          <w:color w:val="000000" w:themeColor="text1"/>
          <w:lang w:val="en-US"/>
        </w:rPr>
        <w:t>Layered defenses against SARS-CoV-2, or the “Swiss cheese” model of immunity</w:t>
      </w:r>
      <w:r w:rsidRPr="003A468C">
        <w:rPr>
          <w:color w:val="000000" w:themeColor="text1"/>
          <w:lang w:val="en-US"/>
        </w:rPr>
        <w:t>. Multiple types of adaptive immunity with diverse mechanisms and locations likely provide layers of defense against COVID-19. Conceptually, layered defenses are like a “Swiss cheese model”: even though each layer is imperfect, all together they make it highly unlikely that the pathogen breaches all of the layers of defense. Graphic inspired by the masking and public health layered defenses Swiss cheese model of Ian M. Mackay.</w:t>
      </w:r>
    </w:p>
    <w:p w14:paraId="270DAF62" w14:textId="77777777" w:rsidR="00FF30B1" w:rsidRPr="003A468C" w:rsidRDefault="00FF30B1" w:rsidP="00376D60">
      <w:pPr>
        <w:spacing w:line="480" w:lineRule="auto"/>
        <w:rPr>
          <w:i/>
          <w:iCs/>
          <w:lang w:val="en-US"/>
        </w:rPr>
      </w:pPr>
    </w:p>
    <w:p w14:paraId="66D24E73" w14:textId="7045710F" w:rsidR="00FF30B1" w:rsidRDefault="00FF30B1">
      <w:pPr>
        <w:rPr>
          <w:lang w:val="en-US"/>
        </w:rPr>
      </w:pPr>
      <w:r>
        <w:rPr>
          <w:lang w:val="en-US"/>
        </w:rPr>
        <w:br w:type="page"/>
      </w:r>
    </w:p>
    <w:p w14:paraId="64D34C6D" w14:textId="72D9E61C" w:rsidR="00E64B3C" w:rsidRDefault="00E64B3C" w:rsidP="00E64B3C">
      <w:pPr>
        <w:widowControl w:val="0"/>
        <w:jc w:val="both"/>
        <w:rPr>
          <w:b/>
          <w:bCs/>
          <w:color w:val="000000" w:themeColor="text1"/>
          <w:sz w:val="24"/>
          <w:szCs w:val="24"/>
          <w:lang w:val="en-US"/>
        </w:rPr>
      </w:pPr>
      <w:r>
        <w:rPr>
          <w:noProof/>
          <w:color w:val="000000" w:themeColor="text1"/>
        </w:rPr>
        <w:lastRenderedPageBreak/>
        <w:drawing>
          <wp:inline distT="0" distB="0" distL="0" distR="0" wp14:anchorId="2C5DBA62" wp14:editId="7B4F018A">
            <wp:extent cx="5943600" cy="260413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2-0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604135"/>
                    </a:xfrm>
                    <a:prstGeom prst="rect">
                      <a:avLst/>
                    </a:prstGeom>
                  </pic:spPr>
                </pic:pic>
              </a:graphicData>
            </a:graphic>
          </wp:inline>
        </w:drawing>
      </w:r>
    </w:p>
    <w:p w14:paraId="097F2B4E" w14:textId="0CB9AC18" w:rsidR="00E64B3C" w:rsidRPr="000C16A4" w:rsidRDefault="00E64B3C" w:rsidP="00E64B3C">
      <w:pPr>
        <w:widowControl w:val="0"/>
        <w:jc w:val="both"/>
        <w:rPr>
          <w:color w:val="000000" w:themeColor="text1"/>
          <w:sz w:val="24"/>
          <w:szCs w:val="24"/>
          <w:lang w:val="en-US"/>
        </w:rPr>
      </w:pPr>
      <w:r w:rsidRPr="000C16A4">
        <w:rPr>
          <w:b/>
          <w:bCs/>
          <w:color w:val="000000" w:themeColor="text1"/>
          <w:sz w:val="24"/>
          <w:szCs w:val="24"/>
          <w:lang w:val="en-US"/>
        </w:rPr>
        <w:t>Figure</w:t>
      </w:r>
      <w:r>
        <w:rPr>
          <w:b/>
          <w:bCs/>
          <w:color w:val="000000" w:themeColor="text1"/>
          <w:sz w:val="24"/>
          <w:szCs w:val="24"/>
          <w:lang w:val="en-US"/>
        </w:rPr>
        <w:t xml:space="preserve"> 4</w:t>
      </w:r>
      <w:r w:rsidRPr="000C16A4">
        <w:rPr>
          <w:b/>
          <w:bCs/>
          <w:color w:val="000000" w:themeColor="text1"/>
          <w:sz w:val="24"/>
          <w:szCs w:val="24"/>
          <w:lang w:val="en-US"/>
        </w:rPr>
        <w:t>. Gradations of protective immunity.</w:t>
      </w:r>
      <w:r w:rsidRPr="000C16A4">
        <w:rPr>
          <w:color w:val="000000" w:themeColor="text1"/>
          <w:sz w:val="24"/>
          <w:szCs w:val="24"/>
          <w:lang w:val="en-US"/>
        </w:rPr>
        <w:t xml:space="preserve"> “Protection” can be defined many ways, and can be categorized based on COVID-19 disease severity. Sterilizing immunity can only be provided by antibodies at the portal of entry. Prevention of detectable infection (e.g., a positive test) can be accomplishing by neutralizing antibodies and possibly tissue resident T cells. Prevention of hospitalization-level COVID-19 or fatal COVID-19 can likely be accomplished by multiple branches of adaptive immunity acting together over time. </w:t>
      </w:r>
    </w:p>
    <w:p w14:paraId="330F4C94" w14:textId="42BD888F" w:rsidR="000C16A4" w:rsidRDefault="000C16A4">
      <w:pPr>
        <w:rPr>
          <w:lang w:val="en-US"/>
        </w:rPr>
      </w:pPr>
    </w:p>
    <w:p w14:paraId="67DEC28D" w14:textId="686D57D6" w:rsidR="000C16A4" w:rsidRDefault="000C16A4">
      <w:pPr>
        <w:rPr>
          <w:lang w:val="en-US"/>
        </w:rPr>
      </w:pPr>
      <w:r>
        <w:rPr>
          <w:lang w:val="en-US"/>
        </w:rPr>
        <w:br w:type="page"/>
      </w:r>
    </w:p>
    <w:p w14:paraId="45CF9C4F" w14:textId="6FD2DD8A" w:rsidR="000C16A4" w:rsidRDefault="00D8476E">
      <w:pPr>
        <w:rPr>
          <w:lang w:val="en-US"/>
        </w:rPr>
      </w:pPr>
      <w:r w:rsidRPr="003A468C">
        <w:rPr>
          <w:noProof/>
          <w:lang w:val="en-US"/>
        </w:rPr>
        <w:lastRenderedPageBreak/>
        <w:drawing>
          <wp:anchor distT="0" distB="0" distL="114300" distR="114300" simplePos="0" relativeHeight="251659264" behindDoc="0" locked="0" layoutInCell="1" allowOverlap="1" wp14:anchorId="0FFC0753" wp14:editId="34D6CC02">
            <wp:simplePos x="0" y="0"/>
            <wp:positionH relativeFrom="column">
              <wp:posOffset>104775</wp:posOffset>
            </wp:positionH>
            <wp:positionV relativeFrom="paragraph">
              <wp:posOffset>247650</wp:posOffset>
            </wp:positionV>
            <wp:extent cx="4491990" cy="1695450"/>
            <wp:effectExtent l="0" t="0" r="3810" b="0"/>
            <wp:wrapSquare wrapText="bothSides"/>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45849" t="32606" r="16836" b="47242"/>
                    <a:stretch/>
                  </pic:blipFill>
                  <pic:spPr bwMode="auto">
                    <a:xfrm>
                      <a:off x="0" y="0"/>
                      <a:ext cx="4491990" cy="1695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CB11A56" w14:textId="217BF164" w:rsidR="00376D60" w:rsidRPr="003A468C" w:rsidRDefault="00376D60" w:rsidP="00376D60">
      <w:pPr>
        <w:rPr>
          <w:lang w:val="en-US"/>
        </w:rPr>
      </w:pPr>
    </w:p>
    <w:p w14:paraId="2D1889F7" w14:textId="2D31F00D" w:rsidR="00376D60" w:rsidRPr="003A468C" w:rsidRDefault="00376D60" w:rsidP="00376D60">
      <w:pPr>
        <w:spacing w:line="480" w:lineRule="auto"/>
        <w:rPr>
          <w:lang w:val="en-US"/>
        </w:rPr>
      </w:pPr>
    </w:p>
    <w:p w14:paraId="217189B2" w14:textId="77777777" w:rsidR="00376D60" w:rsidRPr="003A468C" w:rsidRDefault="00376D60" w:rsidP="00376D60">
      <w:pPr>
        <w:spacing w:line="480" w:lineRule="auto"/>
        <w:rPr>
          <w:lang w:val="en-US"/>
        </w:rPr>
      </w:pPr>
    </w:p>
    <w:p w14:paraId="1BBC37A6" w14:textId="77777777" w:rsidR="00376D60" w:rsidRPr="003A468C" w:rsidRDefault="00376D60" w:rsidP="00376D60">
      <w:pPr>
        <w:spacing w:line="480" w:lineRule="auto"/>
        <w:rPr>
          <w:lang w:val="en-US"/>
        </w:rPr>
      </w:pPr>
    </w:p>
    <w:p w14:paraId="1EAFA7CF" w14:textId="76018352" w:rsidR="00376D60" w:rsidRPr="003A468C" w:rsidRDefault="00D8476E" w:rsidP="00376D60">
      <w:pPr>
        <w:spacing w:line="480" w:lineRule="auto"/>
        <w:rPr>
          <w:lang w:val="en-US"/>
        </w:rPr>
      </w:pPr>
      <w:r w:rsidRPr="003A468C">
        <w:rPr>
          <w:noProof/>
          <w:lang w:val="en-US"/>
        </w:rPr>
        <mc:AlternateContent>
          <mc:Choice Requires="wps">
            <w:drawing>
              <wp:anchor distT="0" distB="0" distL="114300" distR="114300" simplePos="0" relativeHeight="251663360" behindDoc="0" locked="0" layoutInCell="1" allowOverlap="1" wp14:anchorId="20AD2075" wp14:editId="47256DBB">
                <wp:simplePos x="0" y="0"/>
                <wp:positionH relativeFrom="column">
                  <wp:posOffset>180975</wp:posOffset>
                </wp:positionH>
                <wp:positionV relativeFrom="paragraph">
                  <wp:posOffset>387985</wp:posOffset>
                </wp:positionV>
                <wp:extent cx="6444615" cy="1933575"/>
                <wp:effectExtent l="0" t="0" r="0" b="9525"/>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44615" cy="1933575"/>
                        </a:xfrm>
                        <a:prstGeom prst="rect">
                          <a:avLst/>
                        </a:prstGeom>
                        <a:solidFill>
                          <a:schemeClr val="lt1"/>
                        </a:solidFill>
                        <a:ln w="6350">
                          <a:noFill/>
                        </a:ln>
                      </wps:spPr>
                      <wps:txbx>
                        <w:txbxContent>
                          <w:p w14:paraId="4DA5B984" w14:textId="57765071" w:rsidR="00376D60" w:rsidRPr="00D8476E" w:rsidRDefault="00376D60" w:rsidP="00376D60">
                            <w:pPr>
                              <w:spacing w:line="480" w:lineRule="auto"/>
                              <w:ind w:right="1485"/>
                              <w:jc w:val="both"/>
                              <w:rPr>
                                <w:sz w:val="24"/>
                                <w:szCs w:val="24"/>
                                <w:lang w:val="en-US"/>
                              </w:rPr>
                            </w:pPr>
                            <w:r w:rsidRPr="00D8476E">
                              <w:rPr>
                                <w:b/>
                                <w:bCs/>
                                <w:sz w:val="24"/>
                                <w:szCs w:val="24"/>
                                <w:lang w:val="en-US"/>
                              </w:rPr>
                              <w:t xml:space="preserve">Figure </w:t>
                            </w:r>
                            <w:r w:rsidR="00E64B3C">
                              <w:rPr>
                                <w:b/>
                                <w:bCs/>
                                <w:sz w:val="24"/>
                                <w:szCs w:val="24"/>
                                <w:lang w:val="en-US"/>
                              </w:rPr>
                              <w:t>5</w:t>
                            </w:r>
                            <w:r w:rsidRPr="00D8476E">
                              <w:rPr>
                                <w:b/>
                                <w:bCs/>
                                <w:sz w:val="24"/>
                                <w:szCs w:val="24"/>
                                <w:lang w:val="en-US"/>
                              </w:rPr>
                              <w:t>. Antibody anatomy.</w:t>
                            </w:r>
                            <w:r w:rsidRPr="00D8476E">
                              <w:rPr>
                                <w:sz w:val="24"/>
                                <w:szCs w:val="24"/>
                                <w:lang w:val="en-US"/>
                              </w:rPr>
                              <w:t xml:space="preserve"> Antibody molecules can be divided into 2 functional domains: Domain #1- composed of 2 antigen binding domains that contribute to antigen specificity and drive neutralization and Domain #2- consisting of a single constant domain that provides instructions to the immune system for elimination of antibody-opsonized material.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20AD2075" id="_x0000_t202" coordsize="21600,21600" o:spt="202" path="m,l,21600r21600,l21600,xe">
                <v:stroke joinstyle="miter"/>
                <v:path gradientshapeok="t" o:connecttype="rect"/>
              </v:shapetype>
              <v:shape id="Text Box 7" o:spid="_x0000_s1026" type="#_x0000_t202" style="position:absolute;margin-left:14.25pt;margin-top:30.55pt;width:507.45pt;height:15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DGsOAIAAG4EAAAOAAAAZHJzL2Uyb0RvYy54bWysVE1v2zAMvQ/YfxB0Xxznq60Rp8hSZBgQ&#10;tAXSoWdFlmJjsqhJSuzs14+SnSbrdhp2kSmRovj4Hj2/b2tFjsK6CnRO08GQEqE5FJXe5/Tby/rT&#10;LSXOM10wBVrk9CQcvV98/DBvTCZGUIIqhCWYRLusMTktvTdZkjheipq5ARih0SnB1szj1u6TwrIG&#10;s9cqGQ2Hs6QBWxgLXDiHpw+dky5ifikF909SOuGJyinW5uNq47oLa7KYs2xvmSkr3pfB/qGKmlUa&#10;H31L9cA8Iwdb/ZGqrrgFB9IPONQJSFlxETEgmnT4Ds22ZEZELNgcZ97a5P5fWv543JpnS3z7GVok&#10;MIJwZgP8u8PeJI1xWR8Teuoyh9EBaCttHb4IgeBF7O3prZ+i9YTj4WwymczSKSUcfendeDy9mYaO&#10;J5frxjr/RUBNgpFTi4TFEthx43wXeg4JrzlQVbGulIqbIBKxUpYcGdKrfNon/y1KadJgKePpMCbW&#10;EK53mZXuEXagAjzf7lp0BnMHxQk7Y6ETjTN8XWGRG+b8M7OoEsSMyvdPuEgF+Aj0FiUl2J9/Ow/x&#10;SB56KWlQdTl1Pw7MCkrUV4203qWTSZBp3EymNyPc2GvP7tqjD/UKEHmKM2Z4NEO8V2dTWqhfcUCW&#10;4VV0Mc3x7Zz6s7ny3SzggHGxXMYgFKZhfqO3hp8FESh4aV+ZNT1PHil+hLM+WfaOri42cKRhefAg&#10;q8jlpat931HUUQ39AIapud7HqMtvYvELAAD//wMAUEsDBBQABgAIAAAAIQCJP1ha4gAAAAoBAAAP&#10;AAAAZHJzL2Rvd25yZXYueG1sTI9LT8MwEITvSPwHa5G4IOqkaUIVsqkQ4iH1RsND3Nx4SSLidRS7&#10;afj3uCc4jmY0802xmU0vJhpdZxkhXkQgiGurO24QXqvH6zUI5xVr1VsmhB9ysCnPzwqVa3vkF5p2&#10;vhGhhF2uEFrvh1xKV7dklFvYgTh4X3Y0ygc5NlKP6hjKTS+XUZRJozoOC60a6L6l+nt3MAifV83H&#10;1s1Pb8ckTYaH56m6edcV4uXFfHcLwtPs/8Jwwg/oUAamvT2wdqJHWK7TkETI4hjEyY9WyQrEHiHJ&#10;0gxkWcj/F8pfAAAA//8DAFBLAQItABQABgAIAAAAIQC2gziS/gAAAOEBAAATAAAAAAAAAAAAAAAA&#10;AAAAAABbQ29udGVudF9UeXBlc10ueG1sUEsBAi0AFAAGAAgAAAAhADj9If/WAAAAlAEAAAsAAAAA&#10;AAAAAAAAAAAALwEAAF9yZWxzLy5yZWxzUEsBAi0AFAAGAAgAAAAhACAMMaw4AgAAbgQAAA4AAAAA&#10;AAAAAAAAAAAALgIAAGRycy9lMm9Eb2MueG1sUEsBAi0AFAAGAAgAAAAhAIk/WFriAAAACgEAAA8A&#10;AAAAAAAAAAAAAAAAkgQAAGRycy9kb3ducmV2LnhtbFBLBQYAAAAABAAEAPMAAAChBQAAAAA=&#10;" fillcolor="white [3201]" stroked="f" strokeweight=".5pt">
                <v:textbox>
                  <w:txbxContent>
                    <w:p w14:paraId="4DA5B984" w14:textId="57765071" w:rsidR="00376D60" w:rsidRPr="00D8476E" w:rsidRDefault="00376D60" w:rsidP="00376D60">
                      <w:pPr>
                        <w:spacing w:line="480" w:lineRule="auto"/>
                        <w:ind w:right="1485"/>
                        <w:jc w:val="both"/>
                        <w:rPr>
                          <w:sz w:val="24"/>
                          <w:szCs w:val="24"/>
                          <w:lang w:val="en-US"/>
                        </w:rPr>
                      </w:pPr>
                      <w:r w:rsidRPr="00D8476E">
                        <w:rPr>
                          <w:b/>
                          <w:bCs/>
                          <w:sz w:val="24"/>
                          <w:szCs w:val="24"/>
                          <w:lang w:val="en-US"/>
                        </w:rPr>
                        <w:t xml:space="preserve">Figure </w:t>
                      </w:r>
                      <w:r w:rsidR="00E64B3C">
                        <w:rPr>
                          <w:b/>
                          <w:bCs/>
                          <w:sz w:val="24"/>
                          <w:szCs w:val="24"/>
                          <w:lang w:val="en-US"/>
                        </w:rPr>
                        <w:t>5</w:t>
                      </w:r>
                      <w:r w:rsidRPr="00D8476E">
                        <w:rPr>
                          <w:b/>
                          <w:bCs/>
                          <w:sz w:val="24"/>
                          <w:szCs w:val="24"/>
                          <w:lang w:val="en-US"/>
                        </w:rPr>
                        <w:t>. Antibody anatomy.</w:t>
                      </w:r>
                      <w:r w:rsidRPr="00D8476E">
                        <w:rPr>
                          <w:sz w:val="24"/>
                          <w:szCs w:val="24"/>
                          <w:lang w:val="en-US"/>
                        </w:rPr>
                        <w:t xml:space="preserve"> Antibody molecules can be divided into 2 functional domains: Domain #1- composed of 2 antigen binding domains that contribute to antigen specificity and drive neutralization and Domain #2- consisting of a single constant domain that provides instructions to the immune system for elimination of antibody-opsonized material.</w:t>
                      </w:r>
                    </w:p>
                  </w:txbxContent>
                </v:textbox>
                <w10:wrap type="square"/>
              </v:shape>
            </w:pict>
          </mc:Fallback>
        </mc:AlternateContent>
      </w:r>
    </w:p>
    <w:p w14:paraId="53C57522" w14:textId="0B8B31C8" w:rsidR="00376D60" w:rsidRPr="003A468C" w:rsidRDefault="00376D60" w:rsidP="00376D60">
      <w:pPr>
        <w:spacing w:line="480" w:lineRule="auto"/>
        <w:rPr>
          <w:lang w:val="en-US"/>
        </w:rPr>
      </w:pPr>
    </w:p>
    <w:p w14:paraId="592B7763" w14:textId="40FBEB26" w:rsidR="00376D60" w:rsidRDefault="00376D60" w:rsidP="00376D60">
      <w:pPr>
        <w:rPr>
          <w:lang w:val="en-US"/>
        </w:rPr>
      </w:pPr>
      <w:r w:rsidRPr="003A468C">
        <w:rPr>
          <w:lang w:val="en-US"/>
        </w:rPr>
        <w:br w:type="page"/>
      </w:r>
    </w:p>
    <w:p w14:paraId="1B78E913" w14:textId="33972491" w:rsidR="00E65ED4" w:rsidRDefault="00E65ED4" w:rsidP="00376D60">
      <w:pPr>
        <w:rPr>
          <w:lang w:val="en-US"/>
        </w:rPr>
      </w:pPr>
      <w:r w:rsidRPr="003A468C">
        <w:rPr>
          <w:noProof/>
          <w:lang w:val="en-US"/>
        </w:rPr>
        <w:lastRenderedPageBreak/>
        <w:drawing>
          <wp:anchor distT="0" distB="0" distL="114300" distR="114300" simplePos="0" relativeHeight="251670528" behindDoc="0" locked="0" layoutInCell="1" allowOverlap="1" wp14:anchorId="486297BB" wp14:editId="0963BE99">
            <wp:simplePos x="0" y="0"/>
            <wp:positionH relativeFrom="column">
              <wp:posOffset>0</wp:posOffset>
            </wp:positionH>
            <wp:positionV relativeFrom="paragraph">
              <wp:posOffset>320040</wp:posOffset>
            </wp:positionV>
            <wp:extent cx="4286250" cy="3743325"/>
            <wp:effectExtent l="0" t="0" r="0" b="9525"/>
            <wp:wrapSquare wrapText="bothSides"/>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a:picLocks noChangeAspect="1"/>
                    </pic:cNvPicPr>
                  </pic:nvPicPr>
                  <pic:blipFill rotWithShape="1">
                    <a:blip r:embed="rId20" cstate="print">
                      <a:extLst>
                        <a:ext uri="{28A0092B-C50C-407E-A947-70E740481C1C}">
                          <a14:useLocalDpi xmlns:a14="http://schemas.microsoft.com/office/drawing/2010/main" val="0"/>
                        </a:ext>
                      </a:extLst>
                    </a:blip>
                    <a:srcRect l="16585" r="11651" b="10473"/>
                    <a:stretch/>
                  </pic:blipFill>
                  <pic:spPr bwMode="auto">
                    <a:xfrm>
                      <a:off x="0" y="0"/>
                      <a:ext cx="4286250" cy="3743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2A14A61" w14:textId="182C14EC" w:rsidR="00150F18" w:rsidRDefault="00150F18" w:rsidP="00286E8C">
      <w:pPr>
        <w:spacing w:line="480" w:lineRule="auto"/>
        <w:ind w:right="1365"/>
        <w:jc w:val="both"/>
        <w:rPr>
          <w:b/>
          <w:bCs/>
          <w:lang w:val="en-US"/>
        </w:rPr>
      </w:pPr>
    </w:p>
    <w:p w14:paraId="12ACB545" w14:textId="77777777" w:rsidR="00E65ED4" w:rsidRDefault="00E65ED4" w:rsidP="00286E8C">
      <w:pPr>
        <w:spacing w:line="480" w:lineRule="auto"/>
        <w:ind w:right="1365"/>
        <w:jc w:val="both"/>
        <w:rPr>
          <w:b/>
          <w:bCs/>
          <w:lang w:val="en-US"/>
        </w:rPr>
      </w:pPr>
    </w:p>
    <w:p w14:paraId="16BE2813" w14:textId="77777777" w:rsidR="00E65ED4" w:rsidRDefault="00E65ED4" w:rsidP="00286E8C">
      <w:pPr>
        <w:spacing w:line="480" w:lineRule="auto"/>
        <w:ind w:right="1365"/>
        <w:jc w:val="both"/>
        <w:rPr>
          <w:b/>
          <w:bCs/>
          <w:lang w:val="en-US"/>
        </w:rPr>
      </w:pPr>
    </w:p>
    <w:p w14:paraId="54534AF0" w14:textId="77777777" w:rsidR="00E65ED4" w:rsidRDefault="00E65ED4" w:rsidP="00286E8C">
      <w:pPr>
        <w:spacing w:line="480" w:lineRule="auto"/>
        <w:ind w:right="1365"/>
        <w:jc w:val="both"/>
        <w:rPr>
          <w:b/>
          <w:bCs/>
          <w:lang w:val="en-US"/>
        </w:rPr>
      </w:pPr>
    </w:p>
    <w:p w14:paraId="23B746A4" w14:textId="77777777" w:rsidR="00E65ED4" w:rsidRDefault="00E65ED4" w:rsidP="00286E8C">
      <w:pPr>
        <w:spacing w:line="480" w:lineRule="auto"/>
        <w:ind w:right="1365"/>
        <w:jc w:val="both"/>
        <w:rPr>
          <w:b/>
          <w:bCs/>
          <w:lang w:val="en-US"/>
        </w:rPr>
      </w:pPr>
    </w:p>
    <w:p w14:paraId="14B1C082" w14:textId="77777777" w:rsidR="00E65ED4" w:rsidRDefault="00E65ED4" w:rsidP="00286E8C">
      <w:pPr>
        <w:spacing w:line="480" w:lineRule="auto"/>
        <w:ind w:right="1365"/>
        <w:jc w:val="both"/>
        <w:rPr>
          <w:b/>
          <w:bCs/>
          <w:lang w:val="en-US"/>
        </w:rPr>
      </w:pPr>
    </w:p>
    <w:p w14:paraId="7AADF683" w14:textId="77777777" w:rsidR="00E65ED4" w:rsidRDefault="00E65ED4" w:rsidP="00286E8C">
      <w:pPr>
        <w:spacing w:line="480" w:lineRule="auto"/>
        <w:ind w:right="1365"/>
        <w:jc w:val="both"/>
        <w:rPr>
          <w:b/>
          <w:bCs/>
          <w:lang w:val="en-US"/>
        </w:rPr>
      </w:pPr>
    </w:p>
    <w:p w14:paraId="1717AEE8" w14:textId="77777777" w:rsidR="00E65ED4" w:rsidRDefault="00E65ED4" w:rsidP="00286E8C">
      <w:pPr>
        <w:spacing w:line="480" w:lineRule="auto"/>
        <w:ind w:right="1365"/>
        <w:jc w:val="both"/>
        <w:rPr>
          <w:b/>
          <w:bCs/>
          <w:lang w:val="en-US"/>
        </w:rPr>
      </w:pPr>
    </w:p>
    <w:p w14:paraId="0C524B9B" w14:textId="77777777" w:rsidR="00E65ED4" w:rsidRDefault="00E65ED4" w:rsidP="00E65ED4">
      <w:pPr>
        <w:spacing w:line="480" w:lineRule="auto"/>
        <w:ind w:left="540" w:right="1230"/>
        <w:rPr>
          <w:b/>
          <w:bCs/>
          <w:lang w:val="en-US"/>
        </w:rPr>
      </w:pPr>
    </w:p>
    <w:p w14:paraId="6F39B615" w14:textId="14832191" w:rsidR="00E65ED4" w:rsidRPr="003A468C" w:rsidRDefault="00E65ED4" w:rsidP="00E65ED4">
      <w:pPr>
        <w:spacing w:line="480" w:lineRule="auto"/>
        <w:ind w:left="540" w:right="1230"/>
        <w:rPr>
          <w:lang w:val="en-US"/>
        </w:rPr>
      </w:pPr>
      <w:r w:rsidRPr="003A468C">
        <w:rPr>
          <w:b/>
          <w:bCs/>
          <w:lang w:val="en-US"/>
        </w:rPr>
        <w:t xml:space="preserve">Figure </w:t>
      </w:r>
      <w:r w:rsidR="00E64B3C">
        <w:rPr>
          <w:b/>
          <w:bCs/>
          <w:lang w:val="en-US"/>
        </w:rPr>
        <w:t>6</w:t>
      </w:r>
      <w:r w:rsidRPr="003A468C">
        <w:rPr>
          <w:b/>
          <w:bCs/>
          <w:lang w:val="en-US"/>
        </w:rPr>
        <w:t>. Antibody mechanisms of action.</w:t>
      </w:r>
      <w:r w:rsidRPr="003A468C">
        <w:rPr>
          <w:lang w:val="en-US"/>
        </w:rPr>
        <w:t xml:space="preserve"> The cartoon depicts that potential contribution of Fab versus Fc mediated antibody functions at different antibody titers. Where neutralization alone may be sufficient to block transmission at peak titers (left). However</w:t>
      </w:r>
      <w:r>
        <w:rPr>
          <w:lang w:val="en-US"/>
        </w:rPr>
        <w:t>,</w:t>
      </w:r>
      <w:r w:rsidRPr="003A468C">
        <w:rPr>
          <w:lang w:val="en-US"/>
        </w:rPr>
        <w:t xml:space="preserve"> as titers wane, or variants evade large fractions of antibodies, the ability of antibodies to leverage immune effector functions may be vital to protection from disease. </w:t>
      </w:r>
    </w:p>
    <w:p w14:paraId="2D249375" w14:textId="77777777" w:rsidR="00E65ED4" w:rsidRDefault="00E65ED4" w:rsidP="00286E8C">
      <w:pPr>
        <w:spacing w:line="480" w:lineRule="auto"/>
        <w:ind w:right="1365"/>
        <w:jc w:val="both"/>
        <w:rPr>
          <w:b/>
          <w:bCs/>
          <w:lang w:val="en-US"/>
        </w:rPr>
      </w:pPr>
    </w:p>
    <w:p w14:paraId="4E1597AB" w14:textId="1B4ED372" w:rsidR="00286E8C" w:rsidRPr="003A468C" w:rsidRDefault="00E65ED4" w:rsidP="00286E8C">
      <w:pPr>
        <w:spacing w:line="480" w:lineRule="auto"/>
        <w:ind w:right="1365"/>
        <w:jc w:val="both"/>
        <w:rPr>
          <w:lang w:val="en-US"/>
        </w:rPr>
      </w:pPr>
      <w:r w:rsidRPr="006F193C">
        <w:rPr>
          <w:noProof/>
          <w:highlight w:val="lightGray"/>
          <w:lang w:val="en-US"/>
        </w:rPr>
        <w:lastRenderedPageBreak/>
        <w:drawing>
          <wp:anchor distT="0" distB="0" distL="114300" distR="114300" simplePos="0" relativeHeight="251668480" behindDoc="0" locked="0" layoutInCell="1" allowOverlap="1" wp14:anchorId="216C85BF" wp14:editId="2439D27B">
            <wp:simplePos x="0" y="0"/>
            <wp:positionH relativeFrom="column">
              <wp:posOffset>-236220</wp:posOffset>
            </wp:positionH>
            <wp:positionV relativeFrom="paragraph">
              <wp:posOffset>3175</wp:posOffset>
            </wp:positionV>
            <wp:extent cx="5229225" cy="3637280"/>
            <wp:effectExtent l="0" t="0" r="0" b="0"/>
            <wp:wrapSquare wrapText="bothSides"/>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a:picLocks noChangeAspect="1"/>
                    </pic:cNvPicPr>
                  </pic:nvPicPr>
                  <pic:blipFill rotWithShape="1">
                    <a:blip r:embed="rId21" cstate="print">
                      <a:extLst>
                        <a:ext uri="{28A0092B-C50C-407E-A947-70E740481C1C}">
                          <a14:useLocalDpi xmlns:a14="http://schemas.microsoft.com/office/drawing/2010/main" val="0"/>
                        </a:ext>
                      </a:extLst>
                    </a:blip>
                    <a:srcRect r="5491" b="6070"/>
                    <a:stretch/>
                  </pic:blipFill>
                  <pic:spPr bwMode="auto">
                    <a:xfrm>
                      <a:off x="0" y="0"/>
                      <a:ext cx="5229225" cy="3637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6E8C" w:rsidRPr="003A468C">
        <w:rPr>
          <w:b/>
          <w:bCs/>
          <w:lang w:val="en-US"/>
        </w:rPr>
        <w:t xml:space="preserve">Figure </w:t>
      </w:r>
      <w:r w:rsidR="00E64B3C">
        <w:rPr>
          <w:b/>
          <w:bCs/>
          <w:lang w:val="en-US"/>
        </w:rPr>
        <w:t>7</w:t>
      </w:r>
      <w:r w:rsidR="00286E8C" w:rsidRPr="003A468C">
        <w:rPr>
          <w:b/>
          <w:bCs/>
          <w:lang w:val="en-US"/>
        </w:rPr>
        <w:t>. Relevance of antibody effector functions throughout the SARS-CoV-2 viral life-cycle.</w:t>
      </w:r>
      <w:r w:rsidR="00286E8C" w:rsidRPr="003A468C">
        <w:rPr>
          <w:lang w:val="en-US"/>
        </w:rPr>
        <w:t xml:space="preserve"> The cartoon depicts the interactions of the virus with the host cell, and the moments when the Spike antigen may be visible to circulating antibodies. As the virus roles across the cell surface and may be targetable by many effector mechanisms including those driven by phagocytic cells and Natural Killer (NK) cells (left). However, once binding to ACE2 has occurred, the virus is rapidly endocytosed, leaving limited to no Spike on the surface of cells. Moreover, new viruses assemble and release from the Golgi, leaving little to no spike on the surface at the time of egress (right). Thus, functional Spike specific antibodies likely confer the bulk of their protective functions via the recognition and elimination of free particles prior to infection or soon after egress, providing a critical bottleneck for the virus.</w:t>
      </w:r>
    </w:p>
    <w:p w14:paraId="6CB7466C" w14:textId="77777777" w:rsidR="00286E8C" w:rsidRDefault="00286E8C" w:rsidP="00376D60">
      <w:pPr>
        <w:rPr>
          <w:lang w:val="en-US"/>
        </w:rPr>
      </w:pPr>
    </w:p>
    <w:p w14:paraId="5C4FCFA0" w14:textId="67FB4548" w:rsidR="00286E8C" w:rsidRDefault="00286E8C">
      <w:pPr>
        <w:rPr>
          <w:b/>
          <w:bCs/>
          <w:lang w:val="en-US"/>
        </w:rPr>
      </w:pPr>
    </w:p>
    <w:p w14:paraId="47A445A5" w14:textId="77777777" w:rsidR="003B1E42" w:rsidRPr="003A468C" w:rsidRDefault="003B1E42" w:rsidP="00376D60">
      <w:pPr>
        <w:rPr>
          <w:lang w:val="en-US"/>
        </w:rPr>
      </w:pPr>
    </w:p>
    <w:p w14:paraId="200B09DB" w14:textId="77777777" w:rsidR="00376D60" w:rsidRPr="003A468C" w:rsidRDefault="00376D60" w:rsidP="00376D60">
      <w:pPr>
        <w:spacing w:line="480" w:lineRule="auto"/>
        <w:rPr>
          <w:lang w:val="en-US"/>
        </w:rPr>
      </w:pPr>
      <w:r w:rsidRPr="003A468C">
        <w:rPr>
          <w:noProof/>
          <w:lang w:val="en-US"/>
        </w:rPr>
        <w:drawing>
          <wp:anchor distT="0" distB="0" distL="114300" distR="114300" simplePos="0" relativeHeight="251662336" behindDoc="0" locked="0" layoutInCell="1" allowOverlap="1" wp14:anchorId="7826D65B" wp14:editId="04FA5EDE">
            <wp:simplePos x="0" y="0"/>
            <wp:positionH relativeFrom="column">
              <wp:posOffset>-76835</wp:posOffset>
            </wp:positionH>
            <wp:positionV relativeFrom="paragraph">
              <wp:posOffset>198120</wp:posOffset>
            </wp:positionV>
            <wp:extent cx="4257675" cy="2807335"/>
            <wp:effectExtent l="0" t="0" r="0" b="0"/>
            <wp:wrapSquare wrapText="bothSides"/>
            <wp:docPr id="4" name="Picture 4"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with low confidence"/>
                    <pic:cNvPicPr>
                      <a:picLocks noChangeAspect="1"/>
                    </pic:cNvPicPr>
                  </pic:nvPicPr>
                  <pic:blipFill rotWithShape="1">
                    <a:blip r:embed="rId22" cstate="print">
                      <a:extLst>
                        <a:ext uri="{28A0092B-C50C-407E-A947-70E740481C1C}">
                          <a14:useLocalDpi xmlns:a14="http://schemas.microsoft.com/office/drawing/2010/main" val="0"/>
                        </a:ext>
                      </a:extLst>
                    </a:blip>
                    <a:srcRect l="10807" t="20147" r="18676" b="13396"/>
                    <a:stretch/>
                  </pic:blipFill>
                  <pic:spPr bwMode="auto">
                    <a:xfrm>
                      <a:off x="0" y="0"/>
                      <a:ext cx="4257675" cy="28073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85E6CE" w14:textId="77777777" w:rsidR="00376D60" w:rsidRPr="003A468C" w:rsidRDefault="00376D60" w:rsidP="00376D60">
      <w:pPr>
        <w:spacing w:line="480" w:lineRule="auto"/>
        <w:rPr>
          <w:lang w:val="en-US"/>
        </w:rPr>
      </w:pPr>
    </w:p>
    <w:p w14:paraId="45F45B48" w14:textId="77777777" w:rsidR="00376D60" w:rsidRPr="003A468C" w:rsidRDefault="00376D60" w:rsidP="00376D60">
      <w:pPr>
        <w:spacing w:line="480" w:lineRule="auto"/>
        <w:rPr>
          <w:lang w:val="en-US"/>
        </w:rPr>
      </w:pPr>
    </w:p>
    <w:p w14:paraId="4A5EA8F4" w14:textId="77777777" w:rsidR="00376D60" w:rsidRPr="003A468C" w:rsidRDefault="00376D60" w:rsidP="00376D60">
      <w:pPr>
        <w:spacing w:line="480" w:lineRule="auto"/>
        <w:rPr>
          <w:lang w:val="en-US"/>
        </w:rPr>
      </w:pPr>
    </w:p>
    <w:p w14:paraId="2C8483A4" w14:textId="77777777" w:rsidR="00376D60" w:rsidRPr="003A468C" w:rsidRDefault="00376D60" w:rsidP="00376D60">
      <w:pPr>
        <w:spacing w:line="480" w:lineRule="auto"/>
        <w:ind w:firstLine="720"/>
        <w:rPr>
          <w:lang w:val="en-US"/>
        </w:rPr>
      </w:pPr>
    </w:p>
    <w:p w14:paraId="72BAECBD" w14:textId="77777777" w:rsidR="00376D60" w:rsidRPr="003A468C" w:rsidRDefault="00376D60" w:rsidP="00376D60">
      <w:pPr>
        <w:spacing w:line="480" w:lineRule="auto"/>
        <w:rPr>
          <w:lang w:val="en-US"/>
        </w:rPr>
      </w:pPr>
    </w:p>
    <w:p w14:paraId="0818F76A" w14:textId="77777777" w:rsidR="00376D60" w:rsidRPr="003A468C" w:rsidRDefault="00376D60" w:rsidP="00376D60">
      <w:pPr>
        <w:spacing w:line="480" w:lineRule="auto"/>
        <w:rPr>
          <w:lang w:val="en-US"/>
        </w:rPr>
      </w:pPr>
    </w:p>
    <w:p w14:paraId="40D84E96" w14:textId="065017CC" w:rsidR="00376D60" w:rsidRPr="003A468C" w:rsidRDefault="00376D60" w:rsidP="00376D60">
      <w:pPr>
        <w:spacing w:line="480" w:lineRule="auto"/>
        <w:rPr>
          <w:lang w:val="en-US"/>
        </w:rPr>
      </w:pPr>
    </w:p>
    <w:p w14:paraId="454BA95B" w14:textId="49ADA920" w:rsidR="00376D60" w:rsidRPr="003A468C" w:rsidRDefault="003B1E42" w:rsidP="00376D60">
      <w:pPr>
        <w:spacing w:line="480" w:lineRule="auto"/>
        <w:rPr>
          <w:lang w:val="en-US"/>
        </w:rPr>
      </w:pPr>
      <w:r w:rsidRPr="003A468C">
        <w:rPr>
          <w:noProof/>
          <w:lang w:val="en-US"/>
        </w:rPr>
        <mc:AlternateContent>
          <mc:Choice Requires="wps">
            <w:drawing>
              <wp:anchor distT="0" distB="0" distL="114300" distR="114300" simplePos="0" relativeHeight="251664384" behindDoc="0" locked="0" layoutInCell="1" allowOverlap="1" wp14:anchorId="2CC2F109" wp14:editId="263E1D6C">
                <wp:simplePos x="0" y="0"/>
                <wp:positionH relativeFrom="margin">
                  <wp:align>right</wp:align>
                </wp:positionH>
                <wp:positionV relativeFrom="paragraph">
                  <wp:posOffset>242570</wp:posOffset>
                </wp:positionV>
                <wp:extent cx="6059805" cy="23520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59805" cy="2352040"/>
                        </a:xfrm>
                        <a:prstGeom prst="rect">
                          <a:avLst/>
                        </a:prstGeom>
                        <a:solidFill>
                          <a:schemeClr val="lt1"/>
                        </a:solidFill>
                        <a:ln w="6350">
                          <a:noFill/>
                        </a:ln>
                      </wps:spPr>
                      <wps:txbx>
                        <w:txbxContent>
                          <w:p w14:paraId="247CA87B" w14:textId="42DF88A6" w:rsidR="00376D60" w:rsidRPr="003B1E42" w:rsidRDefault="00376D60" w:rsidP="00376D60">
                            <w:pPr>
                              <w:spacing w:line="480" w:lineRule="auto"/>
                              <w:ind w:right="405"/>
                              <w:jc w:val="both"/>
                              <w:rPr>
                                <w:sz w:val="24"/>
                                <w:szCs w:val="24"/>
                                <w:lang w:val="en-US"/>
                              </w:rPr>
                            </w:pPr>
                            <w:r w:rsidRPr="003B1E42">
                              <w:rPr>
                                <w:b/>
                                <w:bCs/>
                                <w:sz w:val="24"/>
                                <w:szCs w:val="24"/>
                                <w:lang w:val="en-US"/>
                              </w:rPr>
                              <w:t xml:space="preserve">Figure </w:t>
                            </w:r>
                            <w:r w:rsidR="003B1E42" w:rsidRPr="003B1E42">
                              <w:rPr>
                                <w:b/>
                                <w:bCs/>
                                <w:sz w:val="24"/>
                                <w:szCs w:val="24"/>
                                <w:lang w:val="en-US"/>
                              </w:rPr>
                              <w:t>8</w:t>
                            </w:r>
                            <w:r w:rsidRPr="003B1E42">
                              <w:rPr>
                                <w:b/>
                                <w:bCs/>
                                <w:sz w:val="24"/>
                                <w:szCs w:val="24"/>
                                <w:lang w:val="en-US"/>
                              </w:rPr>
                              <w:t>. Impact of viral mutation on antibody recognition.</w:t>
                            </w:r>
                            <w:r w:rsidRPr="003B1E42">
                              <w:rPr>
                                <w:sz w:val="24"/>
                                <w:szCs w:val="24"/>
                                <w:lang w:val="en-US"/>
                              </w:rPr>
                              <w:t xml:space="preserve"> The cartoon on the left depicts the restricted binding sites for neutralizing antibodies (purple), that either interfere directly with binding or fusion machinery, or may allosterically interfere with binding/fusion. Conversely, non-neutralizing Fc-functional antibodies (yellow) may bind to the entire surface of the Spike. Yet, with the incorporation of mutations, in Variants of Concern, changes that may impede neutralizing antibody binding may disrupt a few, but only a fraction of non-neutralizing antibodies. </w:t>
                            </w:r>
                          </w:p>
                          <w:p w14:paraId="3A957C06" w14:textId="77777777" w:rsidR="00596E59" w:rsidRPr="003A468C" w:rsidRDefault="00596E59" w:rsidP="00376D60">
                            <w:pPr>
                              <w:spacing w:line="480" w:lineRule="auto"/>
                              <w:ind w:right="405"/>
                              <w:jc w:val="both"/>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2F109" id="Text Box 2" o:spid="_x0000_s1027" type="#_x0000_t202" style="position:absolute;margin-left:425.95pt;margin-top:19.1pt;width:477.15pt;height:185.2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4S9PwIAAHUEAAAOAAAAZHJzL2Uyb0RvYy54bWysVFFv2jAQfp+0/2D5fSRQ6NqIUDEqpkmo&#10;rUSrPhvHBmuOz7MNCfv1OzuhsG5P014c23e+u+/77jK9a2tNDsJ5Baakw0FOiTAcKmW2JX15Xn66&#10;ocQHZiqmwYiSHoWnd7OPH6aNLcQIdqAr4QgGMb5obEl3IdgiyzzfiZr5AVhh0CjB1Szg0W2zyrEG&#10;o9c6G+X5ddaAq6wDLrzH2/vOSGcpvpSCh0cpvQhElxRrC2l1ad3ENZtNWbF1zO4U78tg/1BFzZTB&#10;pG+h7llgZO/UH6FqxR14kGHAoc5ASsVFwoBohvk7NOsdsyJhQXK8faPJ/7+w/OGwtk+OhPYLtChg&#10;AuHtCvh3j9xkjfVF7xM59YVH7wi0la6OX4RA8CFye3zjU7SBcLy8zie3N/mEEo620dVklI8T49n5&#10;uXU+fBVQk7gpqUPBUgnssPIhFsCKk0vM5kGraqm0TofYJGKhHTkwlFeHYZQTX/zmpQ1psJSrSZ4C&#10;G4jPOz9teoQdqAgvtJuWqCoygT7xZgPVEQly0PWOt3ypsNYV8+GJOWwWhI4DEB5xkRowF/Q7Snbg&#10;fv7tPvqjhmilpMHmK6n/sWdOUKK/GVT3djhGpkhIh/Hk8wgP7tKyubSYfb0AJGCIo2Z52kb/oE9b&#10;6aB+xTmZx6xoYoZj7pKG03YRupHAOeNiPk9O2J+WhZVZW37qi6jEc/vKnO3lCqj0A5zalBXvVOt8&#10;o1QG5vsAUiVJz6z29GNvJ936OYzDc3lOXue/xewXAAAA//8DAFBLAwQUAAYACAAAACEAe09GsOAA&#10;AAAHAQAADwAAAGRycy9kb3ducmV2LnhtbEyPS0/DMBCE70j8B2srcUHUoWlLCNlUCPGQeqPhIW5u&#10;vE0i4nUUu0n495gTPY5mNPNNtplMKwbqXWMZ4XoegSAurW64Qngrnq4SEM4r1qq1TAg/5GCTn59l&#10;KtV25Fcadr4SoYRdqhBq77tUSlfWZJSb2444eAfbG+WD7CupezWGctPKRRStpVENh4VadfRQU/m9&#10;OxqEr8vqc+um5/cxXsXd48tQ3HzoAvFiNt3fgfA0+f8w/OEHdMgD094eWTvRIoQjHiFOFiCCe7ta&#10;xiD2CMsoWYPMM3nKn/8CAAD//wMAUEsBAi0AFAAGAAgAAAAhALaDOJL+AAAA4QEAABMAAAAAAAAA&#10;AAAAAAAAAAAAAFtDb250ZW50X1R5cGVzXS54bWxQSwECLQAUAAYACAAAACEAOP0h/9YAAACUAQAA&#10;CwAAAAAAAAAAAAAAAAAvAQAAX3JlbHMvLnJlbHNQSwECLQAUAAYACAAAACEA0m+EvT8CAAB1BAAA&#10;DgAAAAAAAAAAAAAAAAAuAgAAZHJzL2Uyb0RvYy54bWxQSwECLQAUAAYACAAAACEAe09GsOAAAAAH&#10;AQAADwAAAAAAAAAAAAAAAACZBAAAZHJzL2Rvd25yZXYueG1sUEsFBgAAAAAEAAQA8wAAAKYFAAAA&#10;AA==&#10;" fillcolor="white [3201]" stroked="f" strokeweight=".5pt">
                <v:textbox>
                  <w:txbxContent>
                    <w:p w14:paraId="247CA87B" w14:textId="42DF88A6" w:rsidR="00376D60" w:rsidRPr="003B1E42" w:rsidRDefault="00376D60" w:rsidP="00376D60">
                      <w:pPr>
                        <w:spacing w:line="480" w:lineRule="auto"/>
                        <w:ind w:right="405"/>
                        <w:jc w:val="both"/>
                        <w:rPr>
                          <w:sz w:val="24"/>
                          <w:szCs w:val="24"/>
                          <w:lang w:val="en-US"/>
                        </w:rPr>
                      </w:pPr>
                      <w:r w:rsidRPr="003B1E42">
                        <w:rPr>
                          <w:b/>
                          <w:bCs/>
                          <w:sz w:val="24"/>
                          <w:szCs w:val="24"/>
                          <w:lang w:val="en-US"/>
                        </w:rPr>
                        <w:t xml:space="preserve">Figure </w:t>
                      </w:r>
                      <w:r w:rsidR="003B1E42" w:rsidRPr="003B1E42">
                        <w:rPr>
                          <w:b/>
                          <w:bCs/>
                          <w:sz w:val="24"/>
                          <w:szCs w:val="24"/>
                          <w:lang w:val="en-US"/>
                        </w:rPr>
                        <w:t>8</w:t>
                      </w:r>
                      <w:r w:rsidRPr="003B1E42">
                        <w:rPr>
                          <w:b/>
                          <w:bCs/>
                          <w:sz w:val="24"/>
                          <w:szCs w:val="24"/>
                          <w:lang w:val="en-US"/>
                        </w:rPr>
                        <w:t>. Impact of viral mutation on antibody recognition.</w:t>
                      </w:r>
                      <w:r w:rsidRPr="003B1E42">
                        <w:rPr>
                          <w:sz w:val="24"/>
                          <w:szCs w:val="24"/>
                          <w:lang w:val="en-US"/>
                        </w:rPr>
                        <w:t xml:space="preserve"> The cartoon on the left depicts the restricted binding sites for neutralizing antibodies (purple), that either interfere directly with binding or fusion machinery, or may allosterically interfere with binding/fusion. Conversely, non-neutralizing Fc-functional antibodies (yellow) may bind to the entire surface of the Spike. Yet, with the incorporation of mutations, in Variants of Concern, changes that may impede neutralizing antibody binding may disrupt a few, but only a fraction of non-neutralizing antibodies. </w:t>
                      </w:r>
                    </w:p>
                    <w:p w14:paraId="3A957C06" w14:textId="77777777" w:rsidR="00596E59" w:rsidRPr="003A468C" w:rsidRDefault="00596E59" w:rsidP="00376D60">
                      <w:pPr>
                        <w:spacing w:line="480" w:lineRule="auto"/>
                        <w:ind w:right="405"/>
                        <w:jc w:val="both"/>
                        <w:rPr>
                          <w:lang w:val="en-US"/>
                        </w:rPr>
                      </w:pPr>
                    </w:p>
                  </w:txbxContent>
                </v:textbox>
                <w10:wrap type="square" anchorx="margin"/>
              </v:shape>
            </w:pict>
          </mc:Fallback>
        </mc:AlternateContent>
      </w:r>
    </w:p>
    <w:p w14:paraId="02ACF23C" w14:textId="77777777" w:rsidR="00376D60" w:rsidRPr="003A468C" w:rsidRDefault="00376D60" w:rsidP="00376D60">
      <w:pPr>
        <w:spacing w:line="480" w:lineRule="auto"/>
        <w:rPr>
          <w:lang w:val="en-US"/>
        </w:rPr>
      </w:pPr>
    </w:p>
    <w:p w14:paraId="3FD5AA09" w14:textId="77777777" w:rsidR="00376D60" w:rsidRPr="003A468C" w:rsidRDefault="00376D60" w:rsidP="00376D60">
      <w:pPr>
        <w:spacing w:line="480" w:lineRule="auto"/>
        <w:rPr>
          <w:lang w:val="en-US"/>
        </w:rPr>
      </w:pPr>
    </w:p>
    <w:p w14:paraId="02E8E4A1" w14:textId="77777777" w:rsidR="00376D60" w:rsidRPr="003A468C" w:rsidRDefault="00376D60" w:rsidP="00376D60">
      <w:pPr>
        <w:rPr>
          <w:lang w:val="en-US"/>
        </w:rPr>
      </w:pPr>
    </w:p>
    <w:p w14:paraId="0BC0D55C" w14:textId="77777777" w:rsidR="003B1E42" w:rsidRPr="003A468C" w:rsidRDefault="003B1E42" w:rsidP="003B1E42">
      <w:pPr>
        <w:rPr>
          <w:color w:val="000000" w:themeColor="text1"/>
          <w:lang w:val="en-US"/>
        </w:rPr>
      </w:pPr>
    </w:p>
    <w:p w14:paraId="7FC5D1E8" w14:textId="77777777" w:rsidR="003B1E42" w:rsidRPr="003A468C" w:rsidRDefault="003B1E42" w:rsidP="003B1E42">
      <w:pPr>
        <w:widowControl w:val="0"/>
        <w:rPr>
          <w:color w:val="000000" w:themeColor="text1"/>
          <w:lang w:val="en-US"/>
        </w:rPr>
      </w:pPr>
    </w:p>
    <w:p w14:paraId="6312A6EB" w14:textId="77777777" w:rsidR="003B1E42" w:rsidRPr="003A468C" w:rsidRDefault="003B1E42" w:rsidP="003B1E42">
      <w:pPr>
        <w:widowControl w:val="0"/>
        <w:rPr>
          <w:color w:val="000000" w:themeColor="text1"/>
          <w:lang w:val="en-US"/>
        </w:rPr>
      </w:pPr>
    </w:p>
    <w:p w14:paraId="5D9A661A" w14:textId="77777777" w:rsidR="003B1E42" w:rsidRPr="003A468C" w:rsidRDefault="003B1E42" w:rsidP="003B1E42">
      <w:pPr>
        <w:widowControl w:val="0"/>
        <w:rPr>
          <w:color w:val="000000" w:themeColor="text1"/>
          <w:lang w:val="en-US"/>
        </w:rPr>
      </w:pPr>
      <w:r w:rsidRPr="003A468C">
        <w:rPr>
          <w:noProof/>
          <w:color w:val="000000" w:themeColor="text1"/>
          <w:lang w:val="en-US"/>
        </w:rPr>
        <w:drawing>
          <wp:inline distT="0" distB="0" distL="0" distR="0" wp14:anchorId="75821A4E" wp14:editId="2ABC2B38">
            <wp:extent cx="5410911" cy="290489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3-0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43269" cy="2922267"/>
                    </a:xfrm>
                    <a:prstGeom prst="rect">
                      <a:avLst/>
                    </a:prstGeom>
                  </pic:spPr>
                </pic:pic>
              </a:graphicData>
            </a:graphic>
          </wp:inline>
        </w:drawing>
      </w:r>
    </w:p>
    <w:p w14:paraId="074BE065" w14:textId="77777777" w:rsidR="003B1E42" w:rsidRPr="003A468C" w:rsidRDefault="003B1E42" w:rsidP="003B1E42">
      <w:pPr>
        <w:widowControl w:val="0"/>
        <w:rPr>
          <w:color w:val="000000" w:themeColor="text1"/>
          <w:lang w:val="en-US"/>
        </w:rPr>
      </w:pPr>
    </w:p>
    <w:p w14:paraId="04EC3A38" w14:textId="493019D4" w:rsidR="003B1E42" w:rsidRDefault="003B1E42" w:rsidP="003B1E42">
      <w:pPr>
        <w:widowControl w:val="0"/>
        <w:rPr>
          <w:color w:val="000000" w:themeColor="text1"/>
          <w:lang w:val="en-US"/>
        </w:rPr>
      </w:pPr>
      <w:r w:rsidRPr="003A468C">
        <w:rPr>
          <w:b/>
          <w:bCs/>
          <w:color w:val="000000" w:themeColor="text1"/>
          <w:lang w:val="en-US"/>
        </w:rPr>
        <w:t xml:space="preserve">Figure </w:t>
      </w:r>
      <w:r>
        <w:rPr>
          <w:b/>
          <w:bCs/>
          <w:color w:val="000000" w:themeColor="text1"/>
          <w:lang w:val="en-US"/>
        </w:rPr>
        <w:t>9</w:t>
      </w:r>
      <w:r w:rsidRPr="003A468C">
        <w:rPr>
          <w:b/>
          <w:bCs/>
          <w:color w:val="000000" w:themeColor="text1"/>
          <w:lang w:val="en-US"/>
        </w:rPr>
        <w:t>. T cell mechanisms of action in protection against disease.</w:t>
      </w:r>
      <w:r w:rsidRPr="003A468C">
        <w:rPr>
          <w:color w:val="000000" w:themeColor="text1"/>
          <w:lang w:val="en-US"/>
        </w:rPr>
        <w:t xml:space="preserve"> CD4 T cells and CD8 T cells possess multiple mechanisms of action that are valuable in protection against viral infections.</w:t>
      </w:r>
    </w:p>
    <w:p w14:paraId="555BB67A" w14:textId="594C7932" w:rsidR="00E65ED4" w:rsidRDefault="00E65ED4">
      <w:pPr>
        <w:rPr>
          <w:color w:val="000000" w:themeColor="text1"/>
          <w:lang w:val="en-US"/>
        </w:rPr>
      </w:pPr>
    </w:p>
    <w:p w14:paraId="19A2ED00" w14:textId="77777777" w:rsidR="00E65ED4" w:rsidRPr="003A468C" w:rsidRDefault="00E65ED4" w:rsidP="003B1E42">
      <w:pPr>
        <w:widowControl w:val="0"/>
        <w:rPr>
          <w:color w:val="000000" w:themeColor="text1"/>
          <w:lang w:val="en-US"/>
        </w:rPr>
      </w:pPr>
    </w:p>
    <w:p w14:paraId="3B97B84D" w14:textId="77777777" w:rsidR="00376D60" w:rsidRPr="003A468C" w:rsidRDefault="00376D60" w:rsidP="00376D60">
      <w:pPr>
        <w:rPr>
          <w:lang w:val="en-US"/>
        </w:rPr>
      </w:pPr>
    </w:p>
    <w:p w14:paraId="650182B5" w14:textId="325EAAD7" w:rsidR="00596E59" w:rsidRDefault="00807491" w:rsidP="00376D60">
      <w:pPr>
        <w:spacing w:line="480" w:lineRule="auto"/>
        <w:rPr>
          <w:lang w:val="en-US"/>
        </w:rPr>
      </w:pPr>
      <w:r>
        <w:rPr>
          <w:lang w:val="en-US"/>
        </w:rPr>
        <w:t>March 11, 2022</w:t>
      </w:r>
    </w:p>
    <w:sectPr w:rsidR="00596E59" w:rsidSect="00060072">
      <w:footerReference w:type="default" r:id="rId2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D86373" w14:textId="77777777" w:rsidR="00B84E64" w:rsidRDefault="00B84E64" w:rsidP="00E84EAB">
      <w:pPr>
        <w:spacing w:after="0" w:line="240" w:lineRule="auto"/>
      </w:pPr>
      <w:r>
        <w:separator/>
      </w:r>
    </w:p>
  </w:endnote>
  <w:endnote w:type="continuationSeparator" w:id="0">
    <w:p w14:paraId="72CFAEC9" w14:textId="77777777" w:rsidR="00B84E64" w:rsidRDefault="00B84E64" w:rsidP="00E84E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venir Book">
    <w:altName w:val="Tw Cen MT"/>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venir">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7140350"/>
      <w:docPartObj>
        <w:docPartGallery w:val="Page Numbers (Bottom of Page)"/>
        <w:docPartUnique/>
      </w:docPartObj>
    </w:sdtPr>
    <w:sdtEndPr>
      <w:rPr>
        <w:noProof/>
      </w:rPr>
    </w:sdtEndPr>
    <w:sdtContent>
      <w:p w14:paraId="1D15FC06" w14:textId="0CEFA39B" w:rsidR="00E84EAB" w:rsidRDefault="00E84EA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30B4882" w14:textId="77777777" w:rsidR="00E84EAB" w:rsidRDefault="00E84E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1BFCF" w14:textId="77777777" w:rsidR="00B84E64" w:rsidRDefault="00B84E64" w:rsidP="00E84EAB">
      <w:pPr>
        <w:spacing w:after="0" w:line="240" w:lineRule="auto"/>
      </w:pPr>
      <w:r>
        <w:separator/>
      </w:r>
    </w:p>
  </w:footnote>
  <w:footnote w:type="continuationSeparator" w:id="0">
    <w:p w14:paraId="38A82A07" w14:textId="77777777" w:rsidR="00B84E64" w:rsidRDefault="00B84E64" w:rsidP="00E84EA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C8B"/>
    <w:rsid w:val="00000160"/>
    <w:rsid w:val="00001AF8"/>
    <w:rsid w:val="0000337A"/>
    <w:rsid w:val="00003494"/>
    <w:rsid w:val="000048C5"/>
    <w:rsid w:val="00004AE6"/>
    <w:rsid w:val="00004BA2"/>
    <w:rsid w:val="0000628F"/>
    <w:rsid w:val="0000638B"/>
    <w:rsid w:val="0000653D"/>
    <w:rsid w:val="00006EA0"/>
    <w:rsid w:val="0000745D"/>
    <w:rsid w:val="00007B3B"/>
    <w:rsid w:val="00010570"/>
    <w:rsid w:val="00010D2C"/>
    <w:rsid w:val="00010E3F"/>
    <w:rsid w:val="00011BB5"/>
    <w:rsid w:val="000122F2"/>
    <w:rsid w:val="00012987"/>
    <w:rsid w:val="00013057"/>
    <w:rsid w:val="0001315C"/>
    <w:rsid w:val="000142D4"/>
    <w:rsid w:val="000146ED"/>
    <w:rsid w:val="00014C2B"/>
    <w:rsid w:val="00015853"/>
    <w:rsid w:val="00015B04"/>
    <w:rsid w:val="000160CC"/>
    <w:rsid w:val="00016B1E"/>
    <w:rsid w:val="00016BEF"/>
    <w:rsid w:val="000173F0"/>
    <w:rsid w:val="00017B02"/>
    <w:rsid w:val="0002170E"/>
    <w:rsid w:val="00021899"/>
    <w:rsid w:val="0002262E"/>
    <w:rsid w:val="000227CF"/>
    <w:rsid w:val="00023000"/>
    <w:rsid w:val="00024B55"/>
    <w:rsid w:val="0002738C"/>
    <w:rsid w:val="000306AA"/>
    <w:rsid w:val="000318E5"/>
    <w:rsid w:val="00031E7C"/>
    <w:rsid w:val="00032535"/>
    <w:rsid w:val="000328C8"/>
    <w:rsid w:val="00033281"/>
    <w:rsid w:val="00033EBC"/>
    <w:rsid w:val="00035043"/>
    <w:rsid w:val="0003556E"/>
    <w:rsid w:val="00035EE8"/>
    <w:rsid w:val="000361FE"/>
    <w:rsid w:val="00036867"/>
    <w:rsid w:val="000370E6"/>
    <w:rsid w:val="00037C32"/>
    <w:rsid w:val="00040016"/>
    <w:rsid w:val="0004078F"/>
    <w:rsid w:val="00040862"/>
    <w:rsid w:val="00040C7A"/>
    <w:rsid w:val="0004112A"/>
    <w:rsid w:val="0004291E"/>
    <w:rsid w:val="00042B44"/>
    <w:rsid w:val="00043210"/>
    <w:rsid w:val="00043C35"/>
    <w:rsid w:val="00043E17"/>
    <w:rsid w:val="00043F67"/>
    <w:rsid w:val="00045CA9"/>
    <w:rsid w:val="000469AE"/>
    <w:rsid w:val="00047078"/>
    <w:rsid w:val="00047211"/>
    <w:rsid w:val="00047745"/>
    <w:rsid w:val="00047BC0"/>
    <w:rsid w:val="00047D5E"/>
    <w:rsid w:val="00047E23"/>
    <w:rsid w:val="00050CE0"/>
    <w:rsid w:val="00051316"/>
    <w:rsid w:val="000513BF"/>
    <w:rsid w:val="0005174D"/>
    <w:rsid w:val="000519B3"/>
    <w:rsid w:val="00052221"/>
    <w:rsid w:val="00052F6B"/>
    <w:rsid w:val="000534F0"/>
    <w:rsid w:val="00053C4B"/>
    <w:rsid w:val="00054103"/>
    <w:rsid w:val="00054B03"/>
    <w:rsid w:val="00054E38"/>
    <w:rsid w:val="00056560"/>
    <w:rsid w:val="000568A2"/>
    <w:rsid w:val="00056D68"/>
    <w:rsid w:val="00057062"/>
    <w:rsid w:val="000574E7"/>
    <w:rsid w:val="0005794A"/>
    <w:rsid w:val="00057FA0"/>
    <w:rsid w:val="00060072"/>
    <w:rsid w:val="000600ED"/>
    <w:rsid w:val="00063A64"/>
    <w:rsid w:val="0006428D"/>
    <w:rsid w:val="00064D89"/>
    <w:rsid w:val="000662C9"/>
    <w:rsid w:val="00070553"/>
    <w:rsid w:val="0007122F"/>
    <w:rsid w:val="00071322"/>
    <w:rsid w:val="00071778"/>
    <w:rsid w:val="00071E9A"/>
    <w:rsid w:val="00071EEA"/>
    <w:rsid w:val="00071EF6"/>
    <w:rsid w:val="00072336"/>
    <w:rsid w:val="00072973"/>
    <w:rsid w:val="00072EF5"/>
    <w:rsid w:val="000735C4"/>
    <w:rsid w:val="0007389F"/>
    <w:rsid w:val="00073A50"/>
    <w:rsid w:val="00073C32"/>
    <w:rsid w:val="00074086"/>
    <w:rsid w:val="0007438C"/>
    <w:rsid w:val="000746A2"/>
    <w:rsid w:val="00074A37"/>
    <w:rsid w:val="00075FBD"/>
    <w:rsid w:val="00076352"/>
    <w:rsid w:val="000766F7"/>
    <w:rsid w:val="0007671B"/>
    <w:rsid w:val="000767BA"/>
    <w:rsid w:val="00076934"/>
    <w:rsid w:val="00077607"/>
    <w:rsid w:val="00077DCA"/>
    <w:rsid w:val="000801EE"/>
    <w:rsid w:val="00081747"/>
    <w:rsid w:val="000820D6"/>
    <w:rsid w:val="00082D58"/>
    <w:rsid w:val="00082ED0"/>
    <w:rsid w:val="00083AD8"/>
    <w:rsid w:val="00084245"/>
    <w:rsid w:val="000843BD"/>
    <w:rsid w:val="00085275"/>
    <w:rsid w:val="000855CE"/>
    <w:rsid w:val="00085FA2"/>
    <w:rsid w:val="000865D1"/>
    <w:rsid w:val="00086CEC"/>
    <w:rsid w:val="00087BD9"/>
    <w:rsid w:val="00090ADB"/>
    <w:rsid w:val="00091713"/>
    <w:rsid w:val="00092DD5"/>
    <w:rsid w:val="00093977"/>
    <w:rsid w:val="00093D91"/>
    <w:rsid w:val="000942A4"/>
    <w:rsid w:val="0009532D"/>
    <w:rsid w:val="00095F1E"/>
    <w:rsid w:val="00097056"/>
    <w:rsid w:val="000972D0"/>
    <w:rsid w:val="0009748B"/>
    <w:rsid w:val="00097493"/>
    <w:rsid w:val="00097755"/>
    <w:rsid w:val="00097C38"/>
    <w:rsid w:val="000A0CB9"/>
    <w:rsid w:val="000A1045"/>
    <w:rsid w:val="000A13CD"/>
    <w:rsid w:val="000A31DA"/>
    <w:rsid w:val="000A3310"/>
    <w:rsid w:val="000A4EE0"/>
    <w:rsid w:val="000A5185"/>
    <w:rsid w:val="000A5C8B"/>
    <w:rsid w:val="000A672C"/>
    <w:rsid w:val="000A675C"/>
    <w:rsid w:val="000B03A6"/>
    <w:rsid w:val="000B0837"/>
    <w:rsid w:val="000B103B"/>
    <w:rsid w:val="000B1550"/>
    <w:rsid w:val="000B16F8"/>
    <w:rsid w:val="000B1F44"/>
    <w:rsid w:val="000B2998"/>
    <w:rsid w:val="000B2AA0"/>
    <w:rsid w:val="000B2F14"/>
    <w:rsid w:val="000B366D"/>
    <w:rsid w:val="000B3690"/>
    <w:rsid w:val="000B3A87"/>
    <w:rsid w:val="000B3B94"/>
    <w:rsid w:val="000B3C26"/>
    <w:rsid w:val="000B3C4B"/>
    <w:rsid w:val="000B4161"/>
    <w:rsid w:val="000B4986"/>
    <w:rsid w:val="000B4A39"/>
    <w:rsid w:val="000B53C5"/>
    <w:rsid w:val="000B5DE8"/>
    <w:rsid w:val="000B6426"/>
    <w:rsid w:val="000B753A"/>
    <w:rsid w:val="000C16A4"/>
    <w:rsid w:val="000C1869"/>
    <w:rsid w:val="000C1B51"/>
    <w:rsid w:val="000C3D68"/>
    <w:rsid w:val="000C4023"/>
    <w:rsid w:val="000C4C9A"/>
    <w:rsid w:val="000C5055"/>
    <w:rsid w:val="000C5166"/>
    <w:rsid w:val="000C529F"/>
    <w:rsid w:val="000C61CA"/>
    <w:rsid w:val="000C65B1"/>
    <w:rsid w:val="000C6948"/>
    <w:rsid w:val="000C6BC1"/>
    <w:rsid w:val="000C758B"/>
    <w:rsid w:val="000C7652"/>
    <w:rsid w:val="000C77AA"/>
    <w:rsid w:val="000C7E17"/>
    <w:rsid w:val="000C7E1B"/>
    <w:rsid w:val="000D2518"/>
    <w:rsid w:val="000D3432"/>
    <w:rsid w:val="000D3D32"/>
    <w:rsid w:val="000D3EEB"/>
    <w:rsid w:val="000D4258"/>
    <w:rsid w:val="000D4AF7"/>
    <w:rsid w:val="000D4E5A"/>
    <w:rsid w:val="000D5439"/>
    <w:rsid w:val="000D63B5"/>
    <w:rsid w:val="000D6A6D"/>
    <w:rsid w:val="000D6FAE"/>
    <w:rsid w:val="000D7045"/>
    <w:rsid w:val="000E04B6"/>
    <w:rsid w:val="000E07C4"/>
    <w:rsid w:val="000E1D43"/>
    <w:rsid w:val="000E21D0"/>
    <w:rsid w:val="000E274D"/>
    <w:rsid w:val="000E28D2"/>
    <w:rsid w:val="000E3173"/>
    <w:rsid w:val="000E3B3D"/>
    <w:rsid w:val="000E4593"/>
    <w:rsid w:val="000E559D"/>
    <w:rsid w:val="000E5B25"/>
    <w:rsid w:val="000E6032"/>
    <w:rsid w:val="000E613B"/>
    <w:rsid w:val="000E674D"/>
    <w:rsid w:val="000E722C"/>
    <w:rsid w:val="000F16CB"/>
    <w:rsid w:val="000F1C83"/>
    <w:rsid w:val="000F2007"/>
    <w:rsid w:val="000F283E"/>
    <w:rsid w:val="000F3111"/>
    <w:rsid w:val="000F335B"/>
    <w:rsid w:val="000F408B"/>
    <w:rsid w:val="000F4877"/>
    <w:rsid w:val="000F54DF"/>
    <w:rsid w:val="000F61A4"/>
    <w:rsid w:val="000F678D"/>
    <w:rsid w:val="000F6AA9"/>
    <w:rsid w:val="000F7D76"/>
    <w:rsid w:val="00101509"/>
    <w:rsid w:val="00102885"/>
    <w:rsid w:val="00102D26"/>
    <w:rsid w:val="00102EA5"/>
    <w:rsid w:val="001032E4"/>
    <w:rsid w:val="00104678"/>
    <w:rsid w:val="0010525D"/>
    <w:rsid w:val="001054D9"/>
    <w:rsid w:val="00106EA2"/>
    <w:rsid w:val="0010756B"/>
    <w:rsid w:val="00107F23"/>
    <w:rsid w:val="00110387"/>
    <w:rsid w:val="001105B7"/>
    <w:rsid w:val="00111072"/>
    <w:rsid w:val="00111628"/>
    <w:rsid w:val="00111D82"/>
    <w:rsid w:val="00112CC6"/>
    <w:rsid w:val="00112F1A"/>
    <w:rsid w:val="00112F2A"/>
    <w:rsid w:val="00114134"/>
    <w:rsid w:val="00114297"/>
    <w:rsid w:val="00114882"/>
    <w:rsid w:val="00114A37"/>
    <w:rsid w:val="00114AA0"/>
    <w:rsid w:val="001152AD"/>
    <w:rsid w:val="00116263"/>
    <w:rsid w:val="0011654B"/>
    <w:rsid w:val="00116C4D"/>
    <w:rsid w:val="001174CF"/>
    <w:rsid w:val="00117ECD"/>
    <w:rsid w:val="00120334"/>
    <w:rsid w:val="0012060D"/>
    <w:rsid w:val="00120B7C"/>
    <w:rsid w:val="00120CDE"/>
    <w:rsid w:val="0012144C"/>
    <w:rsid w:val="001219A0"/>
    <w:rsid w:val="00122726"/>
    <w:rsid w:val="00123595"/>
    <w:rsid w:val="00123D8C"/>
    <w:rsid w:val="00124049"/>
    <w:rsid w:val="0012458F"/>
    <w:rsid w:val="0012535B"/>
    <w:rsid w:val="0012537D"/>
    <w:rsid w:val="0012568B"/>
    <w:rsid w:val="00125B20"/>
    <w:rsid w:val="00125DEE"/>
    <w:rsid w:val="00130123"/>
    <w:rsid w:val="00130682"/>
    <w:rsid w:val="00131CAE"/>
    <w:rsid w:val="00131CF1"/>
    <w:rsid w:val="00132722"/>
    <w:rsid w:val="001329E0"/>
    <w:rsid w:val="00132C3C"/>
    <w:rsid w:val="001344D0"/>
    <w:rsid w:val="001345D3"/>
    <w:rsid w:val="00134903"/>
    <w:rsid w:val="00134A62"/>
    <w:rsid w:val="00134B8C"/>
    <w:rsid w:val="00135184"/>
    <w:rsid w:val="0013535C"/>
    <w:rsid w:val="0013620E"/>
    <w:rsid w:val="0013741F"/>
    <w:rsid w:val="00137716"/>
    <w:rsid w:val="001400B8"/>
    <w:rsid w:val="001405E1"/>
    <w:rsid w:val="00140B6D"/>
    <w:rsid w:val="00141628"/>
    <w:rsid w:val="001416A3"/>
    <w:rsid w:val="0014170F"/>
    <w:rsid w:val="00141A1F"/>
    <w:rsid w:val="00141D60"/>
    <w:rsid w:val="00142204"/>
    <w:rsid w:val="00142998"/>
    <w:rsid w:val="00144883"/>
    <w:rsid w:val="001448A9"/>
    <w:rsid w:val="001448F2"/>
    <w:rsid w:val="001454D4"/>
    <w:rsid w:val="00145AC2"/>
    <w:rsid w:val="00145EB8"/>
    <w:rsid w:val="001463CC"/>
    <w:rsid w:val="0014646B"/>
    <w:rsid w:val="0014677F"/>
    <w:rsid w:val="001468D4"/>
    <w:rsid w:val="00146D5F"/>
    <w:rsid w:val="00147770"/>
    <w:rsid w:val="0015002F"/>
    <w:rsid w:val="00150293"/>
    <w:rsid w:val="00150A1F"/>
    <w:rsid w:val="00150AED"/>
    <w:rsid w:val="00150F18"/>
    <w:rsid w:val="00151564"/>
    <w:rsid w:val="001516E8"/>
    <w:rsid w:val="0015184C"/>
    <w:rsid w:val="00153A74"/>
    <w:rsid w:val="00154112"/>
    <w:rsid w:val="001543E1"/>
    <w:rsid w:val="001547A9"/>
    <w:rsid w:val="00155920"/>
    <w:rsid w:val="00155CF9"/>
    <w:rsid w:val="001562E8"/>
    <w:rsid w:val="001567D6"/>
    <w:rsid w:val="00156C30"/>
    <w:rsid w:val="00157BE3"/>
    <w:rsid w:val="00160759"/>
    <w:rsid w:val="00160773"/>
    <w:rsid w:val="00160998"/>
    <w:rsid w:val="001609B3"/>
    <w:rsid w:val="00160AF7"/>
    <w:rsid w:val="00160D53"/>
    <w:rsid w:val="00160F00"/>
    <w:rsid w:val="00161672"/>
    <w:rsid w:val="00161D9B"/>
    <w:rsid w:val="00163D94"/>
    <w:rsid w:val="001646EB"/>
    <w:rsid w:val="00164C7B"/>
    <w:rsid w:val="00165A3D"/>
    <w:rsid w:val="001663E6"/>
    <w:rsid w:val="00166F65"/>
    <w:rsid w:val="00167090"/>
    <w:rsid w:val="001671C4"/>
    <w:rsid w:val="00167613"/>
    <w:rsid w:val="001677D9"/>
    <w:rsid w:val="0017069C"/>
    <w:rsid w:val="00170CE0"/>
    <w:rsid w:val="00170EBB"/>
    <w:rsid w:val="001726EB"/>
    <w:rsid w:val="00172D46"/>
    <w:rsid w:val="0017369D"/>
    <w:rsid w:val="00173C75"/>
    <w:rsid w:val="00173DEA"/>
    <w:rsid w:val="0017409B"/>
    <w:rsid w:val="001751CE"/>
    <w:rsid w:val="00175313"/>
    <w:rsid w:val="00175C0A"/>
    <w:rsid w:val="00176935"/>
    <w:rsid w:val="00176CA6"/>
    <w:rsid w:val="00176D44"/>
    <w:rsid w:val="00176F07"/>
    <w:rsid w:val="00177463"/>
    <w:rsid w:val="00180269"/>
    <w:rsid w:val="00182075"/>
    <w:rsid w:val="00182356"/>
    <w:rsid w:val="00182F41"/>
    <w:rsid w:val="00183347"/>
    <w:rsid w:val="00183C6C"/>
    <w:rsid w:val="001841E8"/>
    <w:rsid w:val="00184770"/>
    <w:rsid w:val="00184B2B"/>
    <w:rsid w:val="00184C46"/>
    <w:rsid w:val="0018646B"/>
    <w:rsid w:val="00186F57"/>
    <w:rsid w:val="00186FF9"/>
    <w:rsid w:val="00187016"/>
    <w:rsid w:val="0018755C"/>
    <w:rsid w:val="00187D97"/>
    <w:rsid w:val="00190D5C"/>
    <w:rsid w:val="00191110"/>
    <w:rsid w:val="00191505"/>
    <w:rsid w:val="001919C8"/>
    <w:rsid w:val="00191D56"/>
    <w:rsid w:val="00192690"/>
    <w:rsid w:val="0019276F"/>
    <w:rsid w:val="00192966"/>
    <w:rsid w:val="00192E5E"/>
    <w:rsid w:val="001938AF"/>
    <w:rsid w:val="00193906"/>
    <w:rsid w:val="00193B1D"/>
    <w:rsid w:val="001941F1"/>
    <w:rsid w:val="0019422F"/>
    <w:rsid w:val="00195394"/>
    <w:rsid w:val="001956FE"/>
    <w:rsid w:val="00195B86"/>
    <w:rsid w:val="00196565"/>
    <w:rsid w:val="00197AAB"/>
    <w:rsid w:val="001A0A62"/>
    <w:rsid w:val="001A5BE4"/>
    <w:rsid w:val="001A5F3B"/>
    <w:rsid w:val="001A67BF"/>
    <w:rsid w:val="001A67DD"/>
    <w:rsid w:val="001A6905"/>
    <w:rsid w:val="001A700C"/>
    <w:rsid w:val="001B07F4"/>
    <w:rsid w:val="001B0C74"/>
    <w:rsid w:val="001B0CEC"/>
    <w:rsid w:val="001B0E5D"/>
    <w:rsid w:val="001B15CA"/>
    <w:rsid w:val="001B164C"/>
    <w:rsid w:val="001B1E19"/>
    <w:rsid w:val="001B229C"/>
    <w:rsid w:val="001B2860"/>
    <w:rsid w:val="001B3334"/>
    <w:rsid w:val="001B44B0"/>
    <w:rsid w:val="001B463E"/>
    <w:rsid w:val="001B4AA4"/>
    <w:rsid w:val="001B4CB4"/>
    <w:rsid w:val="001B60D6"/>
    <w:rsid w:val="001B6C4B"/>
    <w:rsid w:val="001C1238"/>
    <w:rsid w:val="001C1BDE"/>
    <w:rsid w:val="001C1F4C"/>
    <w:rsid w:val="001C2210"/>
    <w:rsid w:val="001C4C35"/>
    <w:rsid w:val="001C4D56"/>
    <w:rsid w:val="001C4EFB"/>
    <w:rsid w:val="001C4F03"/>
    <w:rsid w:val="001C58F5"/>
    <w:rsid w:val="001C685B"/>
    <w:rsid w:val="001C7708"/>
    <w:rsid w:val="001C7894"/>
    <w:rsid w:val="001D043D"/>
    <w:rsid w:val="001D1F5F"/>
    <w:rsid w:val="001D1FF1"/>
    <w:rsid w:val="001D241B"/>
    <w:rsid w:val="001D27E6"/>
    <w:rsid w:val="001D387E"/>
    <w:rsid w:val="001D3CE6"/>
    <w:rsid w:val="001D4042"/>
    <w:rsid w:val="001D40B3"/>
    <w:rsid w:val="001D4340"/>
    <w:rsid w:val="001D4D89"/>
    <w:rsid w:val="001D4E8A"/>
    <w:rsid w:val="001D4ECC"/>
    <w:rsid w:val="001D4F4E"/>
    <w:rsid w:val="001D5BB4"/>
    <w:rsid w:val="001E05A8"/>
    <w:rsid w:val="001E175A"/>
    <w:rsid w:val="001E23BD"/>
    <w:rsid w:val="001E27CF"/>
    <w:rsid w:val="001E2C3C"/>
    <w:rsid w:val="001E347D"/>
    <w:rsid w:val="001E407A"/>
    <w:rsid w:val="001E492C"/>
    <w:rsid w:val="001E5260"/>
    <w:rsid w:val="001E5B2F"/>
    <w:rsid w:val="001E5C4C"/>
    <w:rsid w:val="001E625B"/>
    <w:rsid w:val="001E6347"/>
    <w:rsid w:val="001E7DEF"/>
    <w:rsid w:val="001F06AE"/>
    <w:rsid w:val="001F097F"/>
    <w:rsid w:val="001F13B3"/>
    <w:rsid w:val="001F1625"/>
    <w:rsid w:val="001F1680"/>
    <w:rsid w:val="001F1719"/>
    <w:rsid w:val="001F1AE6"/>
    <w:rsid w:val="001F2046"/>
    <w:rsid w:val="001F23A3"/>
    <w:rsid w:val="001F29A9"/>
    <w:rsid w:val="001F341B"/>
    <w:rsid w:val="001F4973"/>
    <w:rsid w:val="001F56B3"/>
    <w:rsid w:val="001F67F8"/>
    <w:rsid w:val="001F68A8"/>
    <w:rsid w:val="001F70B9"/>
    <w:rsid w:val="001F7468"/>
    <w:rsid w:val="00200555"/>
    <w:rsid w:val="0020075F"/>
    <w:rsid w:val="00201A22"/>
    <w:rsid w:val="002027A5"/>
    <w:rsid w:val="00203181"/>
    <w:rsid w:val="00204396"/>
    <w:rsid w:val="00206048"/>
    <w:rsid w:val="002074F7"/>
    <w:rsid w:val="00207F46"/>
    <w:rsid w:val="00210158"/>
    <w:rsid w:val="0021045F"/>
    <w:rsid w:val="002109BB"/>
    <w:rsid w:val="00210C51"/>
    <w:rsid w:val="002112ED"/>
    <w:rsid w:val="002113F5"/>
    <w:rsid w:val="00211E2A"/>
    <w:rsid w:val="00212758"/>
    <w:rsid w:val="00212DE7"/>
    <w:rsid w:val="00212FD6"/>
    <w:rsid w:val="002135F5"/>
    <w:rsid w:val="00213778"/>
    <w:rsid w:val="00213AC7"/>
    <w:rsid w:val="00214087"/>
    <w:rsid w:val="0021408D"/>
    <w:rsid w:val="00214BA6"/>
    <w:rsid w:val="002160AA"/>
    <w:rsid w:val="002160B3"/>
    <w:rsid w:val="0021681E"/>
    <w:rsid w:val="00216D6E"/>
    <w:rsid w:val="00217355"/>
    <w:rsid w:val="00217A84"/>
    <w:rsid w:val="0022162E"/>
    <w:rsid w:val="00223354"/>
    <w:rsid w:val="0022338A"/>
    <w:rsid w:val="0022350A"/>
    <w:rsid w:val="002239C3"/>
    <w:rsid w:val="00223B90"/>
    <w:rsid w:val="00224118"/>
    <w:rsid w:val="00224578"/>
    <w:rsid w:val="002251A5"/>
    <w:rsid w:val="002253B0"/>
    <w:rsid w:val="00225825"/>
    <w:rsid w:val="00225835"/>
    <w:rsid w:val="00226183"/>
    <w:rsid w:val="002307C8"/>
    <w:rsid w:val="00231721"/>
    <w:rsid w:val="002318DF"/>
    <w:rsid w:val="00231BAB"/>
    <w:rsid w:val="00231CA5"/>
    <w:rsid w:val="00232417"/>
    <w:rsid w:val="00233160"/>
    <w:rsid w:val="002332FA"/>
    <w:rsid w:val="00233B5E"/>
    <w:rsid w:val="00234527"/>
    <w:rsid w:val="00234685"/>
    <w:rsid w:val="00234E35"/>
    <w:rsid w:val="002366FB"/>
    <w:rsid w:val="002368C6"/>
    <w:rsid w:val="00236B61"/>
    <w:rsid w:val="00236D34"/>
    <w:rsid w:val="00241BA5"/>
    <w:rsid w:val="00242A68"/>
    <w:rsid w:val="00242B91"/>
    <w:rsid w:val="00243997"/>
    <w:rsid w:val="0024399D"/>
    <w:rsid w:val="0024432D"/>
    <w:rsid w:val="00245829"/>
    <w:rsid w:val="00246BAA"/>
    <w:rsid w:val="002475C8"/>
    <w:rsid w:val="00247A87"/>
    <w:rsid w:val="002514F1"/>
    <w:rsid w:val="002521EC"/>
    <w:rsid w:val="00252483"/>
    <w:rsid w:val="00252687"/>
    <w:rsid w:val="00252E1C"/>
    <w:rsid w:val="00253002"/>
    <w:rsid w:val="002530F3"/>
    <w:rsid w:val="00253B6B"/>
    <w:rsid w:val="00254827"/>
    <w:rsid w:val="00255163"/>
    <w:rsid w:val="00255287"/>
    <w:rsid w:val="0025535C"/>
    <w:rsid w:val="00255BE4"/>
    <w:rsid w:val="00256BF0"/>
    <w:rsid w:val="0025714E"/>
    <w:rsid w:val="0025762D"/>
    <w:rsid w:val="002604E5"/>
    <w:rsid w:val="002607D7"/>
    <w:rsid w:val="00260975"/>
    <w:rsid w:val="00260D31"/>
    <w:rsid w:val="002610D9"/>
    <w:rsid w:val="002622CE"/>
    <w:rsid w:val="002638B0"/>
    <w:rsid w:val="0026427E"/>
    <w:rsid w:val="00264845"/>
    <w:rsid w:val="00264880"/>
    <w:rsid w:val="00265180"/>
    <w:rsid w:val="002660CC"/>
    <w:rsid w:val="002663EA"/>
    <w:rsid w:val="002676B5"/>
    <w:rsid w:val="00267A2B"/>
    <w:rsid w:val="00270443"/>
    <w:rsid w:val="00270447"/>
    <w:rsid w:val="00270862"/>
    <w:rsid w:val="00271A01"/>
    <w:rsid w:val="00272DA5"/>
    <w:rsid w:val="00272F61"/>
    <w:rsid w:val="0027434D"/>
    <w:rsid w:val="00274831"/>
    <w:rsid w:val="00274AB8"/>
    <w:rsid w:val="00275061"/>
    <w:rsid w:val="00275A3F"/>
    <w:rsid w:val="002767FA"/>
    <w:rsid w:val="002775C2"/>
    <w:rsid w:val="002778D1"/>
    <w:rsid w:val="00280198"/>
    <w:rsid w:val="002809DF"/>
    <w:rsid w:val="00280B61"/>
    <w:rsid w:val="00280B86"/>
    <w:rsid w:val="002815C0"/>
    <w:rsid w:val="00281F47"/>
    <w:rsid w:val="00281FE7"/>
    <w:rsid w:val="0028222B"/>
    <w:rsid w:val="002822C0"/>
    <w:rsid w:val="00282AFB"/>
    <w:rsid w:val="00282B71"/>
    <w:rsid w:val="00282B94"/>
    <w:rsid w:val="00283515"/>
    <w:rsid w:val="00284838"/>
    <w:rsid w:val="0028487F"/>
    <w:rsid w:val="00285FDE"/>
    <w:rsid w:val="00286D05"/>
    <w:rsid w:val="00286E8C"/>
    <w:rsid w:val="00286FE1"/>
    <w:rsid w:val="00287226"/>
    <w:rsid w:val="00287AD5"/>
    <w:rsid w:val="002901FC"/>
    <w:rsid w:val="00290DB7"/>
    <w:rsid w:val="002913D2"/>
    <w:rsid w:val="00291D26"/>
    <w:rsid w:val="00291E11"/>
    <w:rsid w:val="00292217"/>
    <w:rsid w:val="002924FD"/>
    <w:rsid w:val="00292CBC"/>
    <w:rsid w:val="00293251"/>
    <w:rsid w:val="002935D5"/>
    <w:rsid w:val="002945C3"/>
    <w:rsid w:val="00294938"/>
    <w:rsid w:val="002957BA"/>
    <w:rsid w:val="00295920"/>
    <w:rsid w:val="00296097"/>
    <w:rsid w:val="00296ACC"/>
    <w:rsid w:val="00296B85"/>
    <w:rsid w:val="00296EFB"/>
    <w:rsid w:val="0029796F"/>
    <w:rsid w:val="002A00B5"/>
    <w:rsid w:val="002A08D4"/>
    <w:rsid w:val="002A0A96"/>
    <w:rsid w:val="002A0ED2"/>
    <w:rsid w:val="002A21B0"/>
    <w:rsid w:val="002A22BF"/>
    <w:rsid w:val="002A2D7E"/>
    <w:rsid w:val="002A3171"/>
    <w:rsid w:val="002A31AB"/>
    <w:rsid w:val="002A3ACC"/>
    <w:rsid w:val="002A3D34"/>
    <w:rsid w:val="002A4247"/>
    <w:rsid w:val="002A4AED"/>
    <w:rsid w:val="002A577D"/>
    <w:rsid w:val="002A71E7"/>
    <w:rsid w:val="002A78C0"/>
    <w:rsid w:val="002A7BA0"/>
    <w:rsid w:val="002B0422"/>
    <w:rsid w:val="002B0ABF"/>
    <w:rsid w:val="002B1109"/>
    <w:rsid w:val="002B14CC"/>
    <w:rsid w:val="002B1CA9"/>
    <w:rsid w:val="002B210A"/>
    <w:rsid w:val="002B266B"/>
    <w:rsid w:val="002B2A0A"/>
    <w:rsid w:val="002B3215"/>
    <w:rsid w:val="002B3B16"/>
    <w:rsid w:val="002B44B3"/>
    <w:rsid w:val="002B4B06"/>
    <w:rsid w:val="002B5F2C"/>
    <w:rsid w:val="002B6822"/>
    <w:rsid w:val="002B6AA1"/>
    <w:rsid w:val="002C01C2"/>
    <w:rsid w:val="002C0A41"/>
    <w:rsid w:val="002C0E7B"/>
    <w:rsid w:val="002C19A4"/>
    <w:rsid w:val="002C1D0E"/>
    <w:rsid w:val="002C2547"/>
    <w:rsid w:val="002C28EB"/>
    <w:rsid w:val="002C313B"/>
    <w:rsid w:val="002C4208"/>
    <w:rsid w:val="002C427D"/>
    <w:rsid w:val="002C49BE"/>
    <w:rsid w:val="002C4D30"/>
    <w:rsid w:val="002C51C2"/>
    <w:rsid w:val="002C5355"/>
    <w:rsid w:val="002C58DE"/>
    <w:rsid w:val="002C5935"/>
    <w:rsid w:val="002C60D9"/>
    <w:rsid w:val="002C6896"/>
    <w:rsid w:val="002D0088"/>
    <w:rsid w:val="002D15CC"/>
    <w:rsid w:val="002D2826"/>
    <w:rsid w:val="002D4179"/>
    <w:rsid w:val="002D4435"/>
    <w:rsid w:val="002D44A5"/>
    <w:rsid w:val="002D44B1"/>
    <w:rsid w:val="002D4933"/>
    <w:rsid w:val="002D4DDC"/>
    <w:rsid w:val="002D4E62"/>
    <w:rsid w:val="002D57B9"/>
    <w:rsid w:val="002D5B9C"/>
    <w:rsid w:val="002D5E52"/>
    <w:rsid w:val="002D65CA"/>
    <w:rsid w:val="002D689A"/>
    <w:rsid w:val="002E061C"/>
    <w:rsid w:val="002E0FE8"/>
    <w:rsid w:val="002E1E64"/>
    <w:rsid w:val="002E273C"/>
    <w:rsid w:val="002E3204"/>
    <w:rsid w:val="002E392B"/>
    <w:rsid w:val="002E3CB3"/>
    <w:rsid w:val="002E3D23"/>
    <w:rsid w:val="002E4266"/>
    <w:rsid w:val="002E453A"/>
    <w:rsid w:val="002E5869"/>
    <w:rsid w:val="002E5C51"/>
    <w:rsid w:val="002E6452"/>
    <w:rsid w:val="002E6FDD"/>
    <w:rsid w:val="002E7983"/>
    <w:rsid w:val="002E7D2A"/>
    <w:rsid w:val="002F005A"/>
    <w:rsid w:val="002F0EA2"/>
    <w:rsid w:val="002F1707"/>
    <w:rsid w:val="002F1811"/>
    <w:rsid w:val="002F1C1A"/>
    <w:rsid w:val="002F1EE8"/>
    <w:rsid w:val="002F218D"/>
    <w:rsid w:val="002F22F7"/>
    <w:rsid w:val="002F24D3"/>
    <w:rsid w:val="002F2ED8"/>
    <w:rsid w:val="002F42FD"/>
    <w:rsid w:val="002F4A51"/>
    <w:rsid w:val="002F4A72"/>
    <w:rsid w:val="002F55C9"/>
    <w:rsid w:val="002F5F2D"/>
    <w:rsid w:val="002F61C3"/>
    <w:rsid w:val="002F6A1B"/>
    <w:rsid w:val="002F6EE4"/>
    <w:rsid w:val="002F7BFB"/>
    <w:rsid w:val="002F7CD2"/>
    <w:rsid w:val="00302CD5"/>
    <w:rsid w:val="00303122"/>
    <w:rsid w:val="00303438"/>
    <w:rsid w:val="0030368A"/>
    <w:rsid w:val="003040DE"/>
    <w:rsid w:val="00304253"/>
    <w:rsid w:val="003043D6"/>
    <w:rsid w:val="00305059"/>
    <w:rsid w:val="0030540F"/>
    <w:rsid w:val="003056D7"/>
    <w:rsid w:val="003060C5"/>
    <w:rsid w:val="00307AA9"/>
    <w:rsid w:val="00307ECF"/>
    <w:rsid w:val="003102D2"/>
    <w:rsid w:val="00310E0C"/>
    <w:rsid w:val="00311404"/>
    <w:rsid w:val="003124D6"/>
    <w:rsid w:val="003130A9"/>
    <w:rsid w:val="00313435"/>
    <w:rsid w:val="00313483"/>
    <w:rsid w:val="003141AF"/>
    <w:rsid w:val="0031429B"/>
    <w:rsid w:val="00314B9A"/>
    <w:rsid w:val="003153FE"/>
    <w:rsid w:val="003154BA"/>
    <w:rsid w:val="00315F61"/>
    <w:rsid w:val="00316689"/>
    <w:rsid w:val="003166AD"/>
    <w:rsid w:val="0031670C"/>
    <w:rsid w:val="00320460"/>
    <w:rsid w:val="00320498"/>
    <w:rsid w:val="003207B8"/>
    <w:rsid w:val="0032095E"/>
    <w:rsid w:val="00320DE2"/>
    <w:rsid w:val="00321938"/>
    <w:rsid w:val="00321E50"/>
    <w:rsid w:val="00323F49"/>
    <w:rsid w:val="00324209"/>
    <w:rsid w:val="00324E98"/>
    <w:rsid w:val="003266B2"/>
    <w:rsid w:val="00326E93"/>
    <w:rsid w:val="00327819"/>
    <w:rsid w:val="00327BC2"/>
    <w:rsid w:val="00330C5D"/>
    <w:rsid w:val="003310C2"/>
    <w:rsid w:val="003312CF"/>
    <w:rsid w:val="00331AE1"/>
    <w:rsid w:val="003334FA"/>
    <w:rsid w:val="003339D3"/>
    <w:rsid w:val="00333B85"/>
    <w:rsid w:val="003348AE"/>
    <w:rsid w:val="00334EC9"/>
    <w:rsid w:val="00335291"/>
    <w:rsid w:val="00335390"/>
    <w:rsid w:val="0033540B"/>
    <w:rsid w:val="00335F4E"/>
    <w:rsid w:val="00336193"/>
    <w:rsid w:val="00336CB8"/>
    <w:rsid w:val="00337AC2"/>
    <w:rsid w:val="00340046"/>
    <w:rsid w:val="003406A5"/>
    <w:rsid w:val="003417F3"/>
    <w:rsid w:val="00341EC7"/>
    <w:rsid w:val="00342C78"/>
    <w:rsid w:val="003430DC"/>
    <w:rsid w:val="003437B5"/>
    <w:rsid w:val="003453CF"/>
    <w:rsid w:val="00345699"/>
    <w:rsid w:val="00345760"/>
    <w:rsid w:val="00345AD8"/>
    <w:rsid w:val="00346223"/>
    <w:rsid w:val="0034649F"/>
    <w:rsid w:val="00346B51"/>
    <w:rsid w:val="003473FC"/>
    <w:rsid w:val="003477E9"/>
    <w:rsid w:val="00350CD1"/>
    <w:rsid w:val="00350D38"/>
    <w:rsid w:val="00351282"/>
    <w:rsid w:val="00352873"/>
    <w:rsid w:val="00352D48"/>
    <w:rsid w:val="00352E52"/>
    <w:rsid w:val="00353078"/>
    <w:rsid w:val="003532B6"/>
    <w:rsid w:val="00354613"/>
    <w:rsid w:val="003571F6"/>
    <w:rsid w:val="00357766"/>
    <w:rsid w:val="00360315"/>
    <w:rsid w:val="00360CCD"/>
    <w:rsid w:val="003614C1"/>
    <w:rsid w:val="00361559"/>
    <w:rsid w:val="00361E82"/>
    <w:rsid w:val="00362301"/>
    <w:rsid w:val="00362D46"/>
    <w:rsid w:val="00362D77"/>
    <w:rsid w:val="00363047"/>
    <w:rsid w:val="003638B9"/>
    <w:rsid w:val="0036406D"/>
    <w:rsid w:val="003649DD"/>
    <w:rsid w:val="00365758"/>
    <w:rsid w:val="00365AE5"/>
    <w:rsid w:val="00366D62"/>
    <w:rsid w:val="003676EF"/>
    <w:rsid w:val="00367D71"/>
    <w:rsid w:val="00371155"/>
    <w:rsid w:val="0037122A"/>
    <w:rsid w:val="003716D2"/>
    <w:rsid w:val="00371A91"/>
    <w:rsid w:val="00371ADD"/>
    <w:rsid w:val="00371D96"/>
    <w:rsid w:val="00372250"/>
    <w:rsid w:val="00372BC2"/>
    <w:rsid w:val="003731E9"/>
    <w:rsid w:val="00373605"/>
    <w:rsid w:val="00373698"/>
    <w:rsid w:val="00373B43"/>
    <w:rsid w:val="00373DCF"/>
    <w:rsid w:val="00374F32"/>
    <w:rsid w:val="00375253"/>
    <w:rsid w:val="003755CA"/>
    <w:rsid w:val="00375F30"/>
    <w:rsid w:val="00376D60"/>
    <w:rsid w:val="003777A6"/>
    <w:rsid w:val="00377AB1"/>
    <w:rsid w:val="003800B6"/>
    <w:rsid w:val="00381018"/>
    <w:rsid w:val="0038202B"/>
    <w:rsid w:val="00382C04"/>
    <w:rsid w:val="00382CF5"/>
    <w:rsid w:val="0038363B"/>
    <w:rsid w:val="00384370"/>
    <w:rsid w:val="00384963"/>
    <w:rsid w:val="00384DCC"/>
    <w:rsid w:val="0038535E"/>
    <w:rsid w:val="003857BC"/>
    <w:rsid w:val="00386E51"/>
    <w:rsid w:val="00387693"/>
    <w:rsid w:val="003877B2"/>
    <w:rsid w:val="00387E01"/>
    <w:rsid w:val="0039059A"/>
    <w:rsid w:val="00391FAC"/>
    <w:rsid w:val="003923DA"/>
    <w:rsid w:val="00392895"/>
    <w:rsid w:val="00392A89"/>
    <w:rsid w:val="00392C74"/>
    <w:rsid w:val="00392FA4"/>
    <w:rsid w:val="0039311A"/>
    <w:rsid w:val="00393214"/>
    <w:rsid w:val="00393326"/>
    <w:rsid w:val="003935C9"/>
    <w:rsid w:val="0039399B"/>
    <w:rsid w:val="00394229"/>
    <w:rsid w:val="00394684"/>
    <w:rsid w:val="00394D70"/>
    <w:rsid w:val="00395144"/>
    <w:rsid w:val="00395B11"/>
    <w:rsid w:val="00395DE7"/>
    <w:rsid w:val="00395E7C"/>
    <w:rsid w:val="003963A5"/>
    <w:rsid w:val="003974B3"/>
    <w:rsid w:val="0039784C"/>
    <w:rsid w:val="00397A3B"/>
    <w:rsid w:val="003A025C"/>
    <w:rsid w:val="003A07E6"/>
    <w:rsid w:val="003A09FC"/>
    <w:rsid w:val="003A0EA2"/>
    <w:rsid w:val="003A1BA0"/>
    <w:rsid w:val="003A1CE4"/>
    <w:rsid w:val="003A2296"/>
    <w:rsid w:val="003A235C"/>
    <w:rsid w:val="003A2AFB"/>
    <w:rsid w:val="003A468C"/>
    <w:rsid w:val="003A52C5"/>
    <w:rsid w:val="003A58AD"/>
    <w:rsid w:val="003A59F5"/>
    <w:rsid w:val="003A5CB1"/>
    <w:rsid w:val="003A5DD3"/>
    <w:rsid w:val="003A6C89"/>
    <w:rsid w:val="003A7963"/>
    <w:rsid w:val="003A7F5C"/>
    <w:rsid w:val="003A7FCF"/>
    <w:rsid w:val="003B06CD"/>
    <w:rsid w:val="003B0B4D"/>
    <w:rsid w:val="003B1E42"/>
    <w:rsid w:val="003B2282"/>
    <w:rsid w:val="003B3672"/>
    <w:rsid w:val="003B40F6"/>
    <w:rsid w:val="003B4394"/>
    <w:rsid w:val="003B4573"/>
    <w:rsid w:val="003B5505"/>
    <w:rsid w:val="003B58CA"/>
    <w:rsid w:val="003B5D37"/>
    <w:rsid w:val="003B5D3E"/>
    <w:rsid w:val="003B62F6"/>
    <w:rsid w:val="003B63EB"/>
    <w:rsid w:val="003B73C7"/>
    <w:rsid w:val="003B774B"/>
    <w:rsid w:val="003C0025"/>
    <w:rsid w:val="003C0A6D"/>
    <w:rsid w:val="003C0E20"/>
    <w:rsid w:val="003C21AC"/>
    <w:rsid w:val="003C27AC"/>
    <w:rsid w:val="003C2A5D"/>
    <w:rsid w:val="003C2ADF"/>
    <w:rsid w:val="003C2B07"/>
    <w:rsid w:val="003C2CCA"/>
    <w:rsid w:val="003C4220"/>
    <w:rsid w:val="003C582E"/>
    <w:rsid w:val="003C59C9"/>
    <w:rsid w:val="003C6392"/>
    <w:rsid w:val="003C6F74"/>
    <w:rsid w:val="003C7584"/>
    <w:rsid w:val="003D0D05"/>
    <w:rsid w:val="003D0F0E"/>
    <w:rsid w:val="003D3490"/>
    <w:rsid w:val="003D38D3"/>
    <w:rsid w:val="003D38EF"/>
    <w:rsid w:val="003D451C"/>
    <w:rsid w:val="003D4CE0"/>
    <w:rsid w:val="003D503B"/>
    <w:rsid w:val="003D564B"/>
    <w:rsid w:val="003D5779"/>
    <w:rsid w:val="003D628F"/>
    <w:rsid w:val="003D6C2D"/>
    <w:rsid w:val="003E066E"/>
    <w:rsid w:val="003E0A34"/>
    <w:rsid w:val="003E0D58"/>
    <w:rsid w:val="003E174F"/>
    <w:rsid w:val="003E1AAA"/>
    <w:rsid w:val="003E2325"/>
    <w:rsid w:val="003E2376"/>
    <w:rsid w:val="003E25CA"/>
    <w:rsid w:val="003E2724"/>
    <w:rsid w:val="003E2A5F"/>
    <w:rsid w:val="003E3038"/>
    <w:rsid w:val="003E37FB"/>
    <w:rsid w:val="003E4CFC"/>
    <w:rsid w:val="003E5A10"/>
    <w:rsid w:val="003E5D21"/>
    <w:rsid w:val="003E646B"/>
    <w:rsid w:val="003E690A"/>
    <w:rsid w:val="003E7A32"/>
    <w:rsid w:val="003F04CB"/>
    <w:rsid w:val="003F2246"/>
    <w:rsid w:val="003F224C"/>
    <w:rsid w:val="003F2ABA"/>
    <w:rsid w:val="003F2ED9"/>
    <w:rsid w:val="003F339F"/>
    <w:rsid w:val="003F4B40"/>
    <w:rsid w:val="003F52CC"/>
    <w:rsid w:val="003F5E4B"/>
    <w:rsid w:val="003F6F5D"/>
    <w:rsid w:val="003F7211"/>
    <w:rsid w:val="003F7441"/>
    <w:rsid w:val="003F748F"/>
    <w:rsid w:val="003F7DC7"/>
    <w:rsid w:val="0040028F"/>
    <w:rsid w:val="004008BF"/>
    <w:rsid w:val="004014D2"/>
    <w:rsid w:val="00401F3B"/>
    <w:rsid w:val="0040200A"/>
    <w:rsid w:val="004022E4"/>
    <w:rsid w:val="00402A5B"/>
    <w:rsid w:val="00403894"/>
    <w:rsid w:val="004039C8"/>
    <w:rsid w:val="00406F5D"/>
    <w:rsid w:val="0040771B"/>
    <w:rsid w:val="00410B5C"/>
    <w:rsid w:val="00410F57"/>
    <w:rsid w:val="00411014"/>
    <w:rsid w:val="00411110"/>
    <w:rsid w:val="0041139D"/>
    <w:rsid w:val="00411D01"/>
    <w:rsid w:val="004120F9"/>
    <w:rsid w:val="0041239A"/>
    <w:rsid w:val="0041256E"/>
    <w:rsid w:val="004130A6"/>
    <w:rsid w:val="004137CD"/>
    <w:rsid w:val="00413934"/>
    <w:rsid w:val="00413A69"/>
    <w:rsid w:val="00413C4A"/>
    <w:rsid w:val="00414C75"/>
    <w:rsid w:val="00415005"/>
    <w:rsid w:val="004151B8"/>
    <w:rsid w:val="0041525A"/>
    <w:rsid w:val="004159A0"/>
    <w:rsid w:val="004201EC"/>
    <w:rsid w:val="00420220"/>
    <w:rsid w:val="00420458"/>
    <w:rsid w:val="00420680"/>
    <w:rsid w:val="00420B33"/>
    <w:rsid w:val="00420C85"/>
    <w:rsid w:val="00420D6A"/>
    <w:rsid w:val="00421C6B"/>
    <w:rsid w:val="00421DC1"/>
    <w:rsid w:val="004221AC"/>
    <w:rsid w:val="00422355"/>
    <w:rsid w:val="00423BE0"/>
    <w:rsid w:val="004247BA"/>
    <w:rsid w:val="00424BE2"/>
    <w:rsid w:val="004256E7"/>
    <w:rsid w:val="00425E80"/>
    <w:rsid w:val="0042643B"/>
    <w:rsid w:val="00426A6E"/>
    <w:rsid w:val="004315D2"/>
    <w:rsid w:val="004317DE"/>
    <w:rsid w:val="00432C37"/>
    <w:rsid w:val="0043317F"/>
    <w:rsid w:val="0043385B"/>
    <w:rsid w:val="00434FF7"/>
    <w:rsid w:val="00435219"/>
    <w:rsid w:val="0043588D"/>
    <w:rsid w:val="004360D2"/>
    <w:rsid w:val="0043659F"/>
    <w:rsid w:val="00436EE0"/>
    <w:rsid w:val="00437716"/>
    <w:rsid w:val="00441CA3"/>
    <w:rsid w:val="004420B7"/>
    <w:rsid w:val="0044215B"/>
    <w:rsid w:val="00443B2E"/>
    <w:rsid w:val="00444D7A"/>
    <w:rsid w:val="0044505C"/>
    <w:rsid w:val="004451CC"/>
    <w:rsid w:val="0044549C"/>
    <w:rsid w:val="00445A35"/>
    <w:rsid w:val="00446922"/>
    <w:rsid w:val="00447552"/>
    <w:rsid w:val="0044758B"/>
    <w:rsid w:val="0045061E"/>
    <w:rsid w:val="00450739"/>
    <w:rsid w:val="00450F03"/>
    <w:rsid w:val="00451092"/>
    <w:rsid w:val="0045111D"/>
    <w:rsid w:val="0045137E"/>
    <w:rsid w:val="00451C78"/>
    <w:rsid w:val="004526EA"/>
    <w:rsid w:val="00452DC8"/>
    <w:rsid w:val="00452F94"/>
    <w:rsid w:val="004541E1"/>
    <w:rsid w:val="0045447D"/>
    <w:rsid w:val="00455F8B"/>
    <w:rsid w:val="00455FE5"/>
    <w:rsid w:val="004566AD"/>
    <w:rsid w:val="0045675F"/>
    <w:rsid w:val="00457DB3"/>
    <w:rsid w:val="004602FA"/>
    <w:rsid w:val="00461202"/>
    <w:rsid w:val="00461987"/>
    <w:rsid w:val="004619EB"/>
    <w:rsid w:val="00461BE0"/>
    <w:rsid w:val="00461C98"/>
    <w:rsid w:val="00461FB4"/>
    <w:rsid w:val="00461FC2"/>
    <w:rsid w:val="00463984"/>
    <w:rsid w:val="004644CB"/>
    <w:rsid w:val="00464976"/>
    <w:rsid w:val="0046518D"/>
    <w:rsid w:val="00465281"/>
    <w:rsid w:val="00465EE8"/>
    <w:rsid w:val="0046611F"/>
    <w:rsid w:val="0046636C"/>
    <w:rsid w:val="004665DD"/>
    <w:rsid w:val="00467FD4"/>
    <w:rsid w:val="004708E7"/>
    <w:rsid w:val="00470CA1"/>
    <w:rsid w:val="0047169F"/>
    <w:rsid w:val="004718F6"/>
    <w:rsid w:val="00472E42"/>
    <w:rsid w:val="004736F9"/>
    <w:rsid w:val="00473A04"/>
    <w:rsid w:val="00474BFF"/>
    <w:rsid w:val="00474CFC"/>
    <w:rsid w:val="004767D5"/>
    <w:rsid w:val="004767F1"/>
    <w:rsid w:val="00476B4F"/>
    <w:rsid w:val="00476E70"/>
    <w:rsid w:val="004770F1"/>
    <w:rsid w:val="00480670"/>
    <w:rsid w:val="004806E3"/>
    <w:rsid w:val="00480D03"/>
    <w:rsid w:val="00480F52"/>
    <w:rsid w:val="00481C16"/>
    <w:rsid w:val="00482496"/>
    <w:rsid w:val="0048251E"/>
    <w:rsid w:val="004832B3"/>
    <w:rsid w:val="00483618"/>
    <w:rsid w:val="0048394D"/>
    <w:rsid w:val="00484E08"/>
    <w:rsid w:val="00485F4C"/>
    <w:rsid w:val="00486754"/>
    <w:rsid w:val="00486AE7"/>
    <w:rsid w:val="00487C46"/>
    <w:rsid w:val="00487C69"/>
    <w:rsid w:val="00487CC2"/>
    <w:rsid w:val="00487E0D"/>
    <w:rsid w:val="00487F00"/>
    <w:rsid w:val="0049056B"/>
    <w:rsid w:val="004907AE"/>
    <w:rsid w:val="00490F9F"/>
    <w:rsid w:val="004918AE"/>
    <w:rsid w:val="00492726"/>
    <w:rsid w:val="00493353"/>
    <w:rsid w:val="004935B1"/>
    <w:rsid w:val="004937F8"/>
    <w:rsid w:val="00494569"/>
    <w:rsid w:val="0049460B"/>
    <w:rsid w:val="0049471E"/>
    <w:rsid w:val="00495E5A"/>
    <w:rsid w:val="00496998"/>
    <w:rsid w:val="0049743C"/>
    <w:rsid w:val="00497811"/>
    <w:rsid w:val="00497E3D"/>
    <w:rsid w:val="00497E4C"/>
    <w:rsid w:val="004A07E2"/>
    <w:rsid w:val="004A097A"/>
    <w:rsid w:val="004A191D"/>
    <w:rsid w:val="004A1D58"/>
    <w:rsid w:val="004A290D"/>
    <w:rsid w:val="004A3572"/>
    <w:rsid w:val="004A422D"/>
    <w:rsid w:val="004A4E7A"/>
    <w:rsid w:val="004A61AD"/>
    <w:rsid w:val="004A64E0"/>
    <w:rsid w:val="004B0441"/>
    <w:rsid w:val="004B1148"/>
    <w:rsid w:val="004B11D5"/>
    <w:rsid w:val="004B15BA"/>
    <w:rsid w:val="004B1D82"/>
    <w:rsid w:val="004B280F"/>
    <w:rsid w:val="004B36D6"/>
    <w:rsid w:val="004B39F8"/>
    <w:rsid w:val="004B3A38"/>
    <w:rsid w:val="004B3D0D"/>
    <w:rsid w:val="004B4277"/>
    <w:rsid w:val="004B574B"/>
    <w:rsid w:val="004B5B5A"/>
    <w:rsid w:val="004B5D7A"/>
    <w:rsid w:val="004B6CFB"/>
    <w:rsid w:val="004C0191"/>
    <w:rsid w:val="004C056B"/>
    <w:rsid w:val="004C0BA2"/>
    <w:rsid w:val="004C306B"/>
    <w:rsid w:val="004C366B"/>
    <w:rsid w:val="004C37DB"/>
    <w:rsid w:val="004C48C8"/>
    <w:rsid w:val="004C4EC3"/>
    <w:rsid w:val="004C50A5"/>
    <w:rsid w:val="004C56FB"/>
    <w:rsid w:val="004C5B03"/>
    <w:rsid w:val="004C5B3D"/>
    <w:rsid w:val="004C6570"/>
    <w:rsid w:val="004C736C"/>
    <w:rsid w:val="004C737B"/>
    <w:rsid w:val="004C7628"/>
    <w:rsid w:val="004D061E"/>
    <w:rsid w:val="004D0628"/>
    <w:rsid w:val="004D1153"/>
    <w:rsid w:val="004D19C4"/>
    <w:rsid w:val="004D27E2"/>
    <w:rsid w:val="004D2E48"/>
    <w:rsid w:val="004D3B84"/>
    <w:rsid w:val="004D4A17"/>
    <w:rsid w:val="004D5B98"/>
    <w:rsid w:val="004D5EB2"/>
    <w:rsid w:val="004D69F4"/>
    <w:rsid w:val="004D6B4F"/>
    <w:rsid w:val="004D7C01"/>
    <w:rsid w:val="004E0444"/>
    <w:rsid w:val="004E0712"/>
    <w:rsid w:val="004E14B3"/>
    <w:rsid w:val="004E1D0C"/>
    <w:rsid w:val="004E25CB"/>
    <w:rsid w:val="004E25F7"/>
    <w:rsid w:val="004E29C2"/>
    <w:rsid w:val="004E2C37"/>
    <w:rsid w:val="004E30A1"/>
    <w:rsid w:val="004E3180"/>
    <w:rsid w:val="004E3696"/>
    <w:rsid w:val="004E3BAF"/>
    <w:rsid w:val="004E3FEC"/>
    <w:rsid w:val="004E46AC"/>
    <w:rsid w:val="004E4DA4"/>
    <w:rsid w:val="004E6612"/>
    <w:rsid w:val="004E6A11"/>
    <w:rsid w:val="004E7356"/>
    <w:rsid w:val="004E7896"/>
    <w:rsid w:val="004E7D96"/>
    <w:rsid w:val="004F02EE"/>
    <w:rsid w:val="004F0909"/>
    <w:rsid w:val="004F17F9"/>
    <w:rsid w:val="004F1A66"/>
    <w:rsid w:val="004F1B84"/>
    <w:rsid w:val="004F4113"/>
    <w:rsid w:val="004F4692"/>
    <w:rsid w:val="004F609D"/>
    <w:rsid w:val="004F7001"/>
    <w:rsid w:val="004F7AF5"/>
    <w:rsid w:val="0050041A"/>
    <w:rsid w:val="00500C8C"/>
    <w:rsid w:val="00500C9E"/>
    <w:rsid w:val="00500FE4"/>
    <w:rsid w:val="005010F2"/>
    <w:rsid w:val="00501340"/>
    <w:rsid w:val="005025BD"/>
    <w:rsid w:val="00502939"/>
    <w:rsid w:val="005029C1"/>
    <w:rsid w:val="00503B7A"/>
    <w:rsid w:val="005047F7"/>
    <w:rsid w:val="005053C2"/>
    <w:rsid w:val="00505BB1"/>
    <w:rsid w:val="00506C63"/>
    <w:rsid w:val="00506DEB"/>
    <w:rsid w:val="00506DEF"/>
    <w:rsid w:val="005077BA"/>
    <w:rsid w:val="005077DE"/>
    <w:rsid w:val="005102E3"/>
    <w:rsid w:val="005112A8"/>
    <w:rsid w:val="0051164A"/>
    <w:rsid w:val="005118A3"/>
    <w:rsid w:val="0051293B"/>
    <w:rsid w:val="00513D44"/>
    <w:rsid w:val="00514347"/>
    <w:rsid w:val="005145A2"/>
    <w:rsid w:val="00514C1E"/>
    <w:rsid w:val="00514F53"/>
    <w:rsid w:val="00515176"/>
    <w:rsid w:val="00516D0B"/>
    <w:rsid w:val="00516E3C"/>
    <w:rsid w:val="00517C96"/>
    <w:rsid w:val="00520154"/>
    <w:rsid w:val="005211B0"/>
    <w:rsid w:val="00523A6E"/>
    <w:rsid w:val="00523B62"/>
    <w:rsid w:val="005245FA"/>
    <w:rsid w:val="0052508F"/>
    <w:rsid w:val="00525A9E"/>
    <w:rsid w:val="00526A32"/>
    <w:rsid w:val="00527831"/>
    <w:rsid w:val="0053154C"/>
    <w:rsid w:val="005315A4"/>
    <w:rsid w:val="005317ED"/>
    <w:rsid w:val="00531C07"/>
    <w:rsid w:val="00532105"/>
    <w:rsid w:val="00532145"/>
    <w:rsid w:val="005337ED"/>
    <w:rsid w:val="005338DC"/>
    <w:rsid w:val="00533A3F"/>
    <w:rsid w:val="00534930"/>
    <w:rsid w:val="0053593E"/>
    <w:rsid w:val="00535B80"/>
    <w:rsid w:val="00536630"/>
    <w:rsid w:val="00537A75"/>
    <w:rsid w:val="00537BD0"/>
    <w:rsid w:val="00541111"/>
    <w:rsid w:val="0054156E"/>
    <w:rsid w:val="005417AD"/>
    <w:rsid w:val="00542413"/>
    <w:rsid w:val="005428E8"/>
    <w:rsid w:val="00544A40"/>
    <w:rsid w:val="00544B23"/>
    <w:rsid w:val="00545275"/>
    <w:rsid w:val="00545A40"/>
    <w:rsid w:val="0054606E"/>
    <w:rsid w:val="00546A4B"/>
    <w:rsid w:val="00547ED6"/>
    <w:rsid w:val="00547F54"/>
    <w:rsid w:val="0055003F"/>
    <w:rsid w:val="00550C97"/>
    <w:rsid w:val="005512DB"/>
    <w:rsid w:val="00552728"/>
    <w:rsid w:val="00553183"/>
    <w:rsid w:val="005532F9"/>
    <w:rsid w:val="00553548"/>
    <w:rsid w:val="005539CB"/>
    <w:rsid w:val="005545C1"/>
    <w:rsid w:val="00554988"/>
    <w:rsid w:val="00554DBD"/>
    <w:rsid w:val="00554F45"/>
    <w:rsid w:val="00555187"/>
    <w:rsid w:val="0055553B"/>
    <w:rsid w:val="00555CB0"/>
    <w:rsid w:val="005572DD"/>
    <w:rsid w:val="00557557"/>
    <w:rsid w:val="00557A47"/>
    <w:rsid w:val="005607EE"/>
    <w:rsid w:val="00560FDD"/>
    <w:rsid w:val="00561D24"/>
    <w:rsid w:val="005624FE"/>
    <w:rsid w:val="005626E1"/>
    <w:rsid w:val="00563F1E"/>
    <w:rsid w:val="005643E5"/>
    <w:rsid w:val="00564637"/>
    <w:rsid w:val="005651A5"/>
    <w:rsid w:val="0056605F"/>
    <w:rsid w:val="00566474"/>
    <w:rsid w:val="00567964"/>
    <w:rsid w:val="00567C0E"/>
    <w:rsid w:val="00567E25"/>
    <w:rsid w:val="0057014F"/>
    <w:rsid w:val="005709E2"/>
    <w:rsid w:val="00570C6F"/>
    <w:rsid w:val="00571706"/>
    <w:rsid w:val="00571A7D"/>
    <w:rsid w:val="00571DB1"/>
    <w:rsid w:val="0057215D"/>
    <w:rsid w:val="00572527"/>
    <w:rsid w:val="0057304F"/>
    <w:rsid w:val="005734E1"/>
    <w:rsid w:val="00573576"/>
    <w:rsid w:val="00573E7E"/>
    <w:rsid w:val="00574595"/>
    <w:rsid w:val="00574C7A"/>
    <w:rsid w:val="00576194"/>
    <w:rsid w:val="005772AD"/>
    <w:rsid w:val="005779E7"/>
    <w:rsid w:val="00577B9F"/>
    <w:rsid w:val="005817D4"/>
    <w:rsid w:val="00581C39"/>
    <w:rsid w:val="005825A9"/>
    <w:rsid w:val="00582D1B"/>
    <w:rsid w:val="005830D3"/>
    <w:rsid w:val="00583B97"/>
    <w:rsid w:val="00584792"/>
    <w:rsid w:val="00585D3B"/>
    <w:rsid w:val="00586CCC"/>
    <w:rsid w:val="00586E28"/>
    <w:rsid w:val="00587098"/>
    <w:rsid w:val="00587886"/>
    <w:rsid w:val="00587D99"/>
    <w:rsid w:val="00590347"/>
    <w:rsid w:val="0059067A"/>
    <w:rsid w:val="0059067C"/>
    <w:rsid w:val="005910BE"/>
    <w:rsid w:val="005910E0"/>
    <w:rsid w:val="00591B4B"/>
    <w:rsid w:val="005929BF"/>
    <w:rsid w:val="00592DD4"/>
    <w:rsid w:val="005935E1"/>
    <w:rsid w:val="00593D9A"/>
    <w:rsid w:val="00594B29"/>
    <w:rsid w:val="0059547A"/>
    <w:rsid w:val="00595FCB"/>
    <w:rsid w:val="00596386"/>
    <w:rsid w:val="00596AE1"/>
    <w:rsid w:val="00596E59"/>
    <w:rsid w:val="005977A2"/>
    <w:rsid w:val="00597C09"/>
    <w:rsid w:val="005A017C"/>
    <w:rsid w:val="005A0801"/>
    <w:rsid w:val="005A09EC"/>
    <w:rsid w:val="005A1189"/>
    <w:rsid w:val="005A11A1"/>
    <w:rsid w:val="005A3887"/>
    <w:rsid w:val="005A39F8"/>
    <w:rsid w:val="005A426B"/>
    <w:rsid w:val="005A51C9"/>
    <w:rsid w:val="005A5A97"/>
    <w:rsid w:val="005A690B"/>
    <w:rsid w:val="005A7D74"/>
    <w:rsid w:val="005B093E"/>
    <w:rsid w:val="005B0ABD"/>
    <w:rsid w:val="005B0D26"/>
    <w:rsid w:val="005B1BEF"/>
    <w:rsid w:val="005B2626"/>
    <w:rsid w:val="005B2ADD"/>
    <w:rsid w:val="005B3567"/>
    <w:rsid w:val="005B3610"/>
    <w:rsid w:val="005B38A2"/>
    <w:rsid w:val="005B38B9"/>
    <w:rsid w:val="005B41B7"/>
    <w:rsid w:val="005B447D"/>
    <w:rsid w:val="005B4C15"/>
    <w:rsid w:val="005B4CB2"/>
    <w:rsid w:val="005B4F87"/>
    <w:rsid w:val="005B5747"/>
    <w:rsid w:val="005B6F96"/>
    <w:rsid w:val="005B72BF"/>
    <w:rsid w:val="005B7545"/>
    <w:rsid w:val="005B7D37"/>
    <w:rsid w:val="005C0891"/>
    <w:rsid w:val="005C1616"/>
    <w:rsid w:val="005C1A38"/>
    <w:rsid w:val="005C2278"/>
    <w:rsid w:val="005C4804"/>
    <w:rsid w:val="005C4CAD"/>
    <w:rsid w:val="005C5028"/>
    <w:rsid w:val="005C51A6"/>
    <w:rsid w:val="005C5DEE"/>
    <w:rsid w:val="005C6C91"/>
    <w:rsid w:val="005C73AA"/>
    <w:rsid w:val="005C7887"/>
    <w:rsid w:val="005D036B"/>
    <w:rsid w:val="005D1142"/>
    <w:rsid w:val="005D1DDC"/>
    <w:rsid w:val="005D1FE9"/>
    <w:rsid w:val="005D26D7"/>
    <w:rsid w:val="005D2D3D"/>
    <w:rsid w:val="005D2EBA"/>
    <w:rsid w:val="005D437E"/>
    <w:rsid w:val="005D6A41"/>
    <w:rsid w:val="005D6B2A"/>
    <w:rsid w:val="005D6B91"/>
    <w:rsid w:val="005D746F"/>
    <w:rsid w:val="005D7F7B"/>
    <w:rsid w:val="005E0DD9"/>
    <w:rsid w:val="005E0E3C"/>
    <w:rsid w:val="005E1025"/>
    <w:rsid w:val="005E2CC8"/>
    <w:rsid w:val="005E2FFF"/>
    <w:rsid w:val="005E3282"/>
    <w:rsid w:val="005E3FA3"/>
    <w:rsid w:val="005E4401"/>
    <w:rsid w:val="005E4DA7"/>
    <w:rsid w:val="005E59E7"/>
    <w:rsid w:val="005E5DB4"/>
    <w:rsid w:val="005F0DC9"/>
    <w:rsid w:val="005F0FBA"/>
    <w:rsid w:val="005F1001"/>
    <w:rsid w:val="005F167B"/>
    <w:rsid w:val="005F2B8A"/>
    <w:rsid w:val="005F3119"/>
    <w:rsid w:val="005F40E7"/>
    <w:rsid w:val="005F4F46"/>
    <w:rsid w:val="005F55F2"/>
    <w:rsid w:val="005F5DD7"/>
    <w:rsid w:val="005F5DF4"/>
    <w:rsid w:val="005F5F55"/>
    <w:rsid w:val="005F60C1"/>
    <w:rsid w:val="005F6279"/>
    <w:rsid w:val="005F65BE"/>
    <w:rsid w:val="005F6CF2"/>
    <w:rsid w:val="005F74AF"/>
    <w:rsid w:val="005F7B77"/>
    <w:rsid w:val="005F7D14"/>
    <w:rsid w:val="005F7D48"/>
    <w:rsid w:val="00600567"/>
    <w:rsid w:val="00600589"/>
    <w:rsid w:val="00600699"/>
    <w:rsid w:val="00600934"/>
    <w:rsid w:val="00600F14"/>
    <w:rsid w:val="00601B09"/>
    <w:rsid w:val="00601D74"/>
    <w:rsid w:val="00602B7B"/>
    <w:rsid w:val="0060355C"/>
    <w:rsid w:val="0060484F"/>
    <w:rsid w:val="00604D19"/>
    <w:rsid w:val="00604FCF"/>
    <w:rsid w:val="0060502E"/>
    <w:rsid w:val="0060516F"/>
    <w:rsid w:val="00605408"/>
    <w:rsid w:val="00605A96"/>
    <w:rsid w:val="00605D71"/>
    <w:rsid w:val="00606081"/>
    <w:rsid w:val="0060620E"/>
    <w:rsid w:val="006068F5"/>
    <w:rsid w:val="00606DF9"/>
    <w:rsid w:val="00606F94"/>
    <w:rsid w:val="00606FB6"/>
    <w:rsid w:val="006072F4"/>
    <w:rsid w:val="00607C87"/>
    <w:rsid w:val="00607D4A"/>
    <w:rsid w:val="006103A4"/>
    <w:rsid w:val="0061076F"/>
    <w:rsid w:val="00610BAE"/>
    <w:rsid w:val="00610F98"/>
    <w:rsid w:val="006128E4"/>
    <w:rsid w:val="00612CFA"/>
    <w:rsid w:val="00612D95"/>
    <w:rsid w:val="00612EF2"/>
    <w:rsid w:val="00613317"/>
    <w:rsid w:val="00614974"/>
    <w:rsid w:val="0061687F"/>
    <w:rsid w:val="00616897"/>
    <w:rsid w:val="00616AD1"/>
    <w:rsid w:val="006174F3"/>
    <w:rsid w:val="006175AA"/>
    <w:rsid w:val="00617890"/>
    <w:rsid w:val="00617A09"/>
    <w:rsid w:val="0062014E"/>
    <w:rsid w:val="0062081A"/>
    <w:rsid w:val="00620FEA"/>
    <w:rsid w:val="00621613"/>
    <w:rsid w:val="00622764"/>
    <w:rsid w:val="006227A5"/>
    <w:rsid w:val="006229E2"/>
    <w:rsid w:val="00622BF3"/>
    <w:rsid w:val="00625DD4"/>
    <w:rsid w:val="00626031"/>
    <w:rsid w:val="0062664F"/>
    <w:rsid w:val="00626E78"/>
    <w:rsid w:val="00626FF3"/>
    <w:rsid w:val="00627362"/>
    <w:rsid w:val="0062736D"/>
    <w:rsid w:val="00630019"/>
    <w:rsid w:val="00630064"/>
    <w:rsid w:val="006302FB"/>
    <w:rsid w:val="00630608"/>
    <w:rsid w:val="00630E76"/>
    <w:rsid w:val="0063153E"/>
    <w:rsid w:val="00632A07"/>
    <w:rsid w:val="0063335F"/>
    <w:rsid w:val="00634CC4"/>
    <w:rsid w:val="00635237"/>
    <w:rsid w:val="006356CD"/>
    <w:rsid w:val="00635737"/>
    <w:rsid w:val="00635BF5"/>
    <w:rsid w:val="00635C60"/>
    <w:rsid w:val="0063609E"/>
    <w:rsid w:val="006362CD"/>
    <w:rsid w:val="00636D71"/>
    <w:rsid w:val="0063733F"/>
    <w:rsid w:val="00637662"/>
    <w:rsid w:val="006377E2"/>
    <w:rsid w:val="0063784C"/>
    <w:rsid w:val="00637D77"/>
    <w:rsid w:val="00640791"/>
    <w:rsid w:val="006415EE"/>
    <w:rsid w:val="00641763"/>
    <w:rsid w:val="00641967"/>
    <w:rsid w:val="006429A7"/>
    <w:rsid w:val="00642AE2"/>
    <w:rsid w:val="006436D2"/>
    <w:rsid w:val="006438AD"/>
    <w:rsid w:val="00643F84"/>
    <w:rsid w:val="006442D7"/>
    <w:rsid w:val="00644771"/>
    <w:rsid w:val="00644A72"/>
    <w:rsid w:val="00645BCB"/>
    <w:rsid w:val="0064682D"/>
    <w:rsid w:val="00646EE7"/>
    <w:rsid w:val="00647845"/>
    <w:rsid w:val="00650BF6"/>
    <w:rsid w:val="00650E3C"/>
    <w:rsid w:val="006514D7"/>
    <w:rsid w:val="0065169E"/>
    <w:rsid w:val="00651928"/>
    <w:rsid w:val="00651D5D"/>
    <w:rsid w:val="00652090"/>
    <w:rsid w:val="0065291C"/>
    <w:rsid w:val="006532C3"/>
    <w:rsid w:val="00653A1B"/>
    <w:rsid w:val="00653CBD"/>
    <w:rsid w:val="00653F3D"/>
    <w:rsid w:val="00653FE6"/>
    <w:rsid w:val="006543FA"/>
    <w:rsid w:val="0065450D"/>
    <w:rsid w:val="00654663"/>
    <w:rsid w:val="00655017"/>
    <w:rsid w:val="006552B3"/>
    <w:rsid w:val="006552FB"/>
    <w:rsid w:val="006557FF"/>
    <w:rsid w:val="006558A1"/>
    <w:rsid w:val="00655E3F"/>
    <w:rsid w:val="006568ED"/>
    <w:rsid w:val="0065748C"/>
    <w:rsid w:val="00657E68"/>
    <w:rsid w:val="006611AE"/>
    <w:rsid w:val="00661E0D"/>
    <w:rsid w:val="00662541"/>
    <w:rsid w:val="006627D3"/>
    <w:rsid w:val="006636DB"/>
    <w:rsid w:val="00663C05"/>
    <w:rsid w:val="00663D41"/>
    <w:rsid w:val="006643C4"/>
    <w:rsid w:val="0066488E"/>
    <w:rsid w:val="00664C05"/>
    <w:rsid w:val="00664E67"/>
    <w:rsid w:val="006656D9"/>
    <w:rsid w:val="00665A3F"/>
    <w:rsid w:val="00665A95"/>
    <w:rsid w:val="00665E04"/>
    <w:rsid w:val="00667034"/>
    <w:rsid w:val="00667130"/>
    <w:rsid w:val="00670265"/>
    <w:rsid w:val="0067086A"/>
    <w:rsid w:val="00670A6D"/>
    <w:rsid w:val="0067207E"/>
    <w:rsid w:val="006720BC"/>
    <w:rsid w:val="006721BB"/>
    <w:rsid w:val="00672BAE"/>
    <w:rsid w:val="006730D0"/>
    <w:rsid w:val="006737BD"/>
    <w:rsid w:val="0067389A"/>
    <w:rsid w:val="00673928"/>
    <w:rsid w:val="00673EF0"/>
    <w:rsid w:val="00673F3E"/>
    <w:rsid w:val="0067555E"/>
    <w:rsid w:val="00675BC4"/>
    <w:rsid w:val="00675C65"/>
    <w:rsid w:val="0067604D"/>
    <w:rsid w:val="00676701"/>
    <w:rsid w:val="006769F4"/>
    <w:rsid w:val="00676CE8"/>
    <w:rsid w:val="0067796B"/>
    <w:rsid w:val="0067799B"/>
    <w:rsid w:val="006800C7"/>
    <w:rsid w:val="00680699"/>
    <w:rsid w:val="00680842"/>
    <w:rsid w:val="00681E4D"/>
    <w:rsid w:val="006820EB"/>
    <w:rsid w:val="00682423"/>
    <w:rsid w:val="00682AE4"/>
    <w:rsid w:val="00683343"/>
    <w:rsid w:val="00684AB6"/>
    <w:rsid w:val="00684B23"/>
    <w:rsid w:val="00684D8E"/>
    <w:rsid w:val="00685437"/>
    <w:rsid w:val="00686994"/>
    <w:rsid w:val="006875CF"/>
    <w:rsid w:val="00690498"/>
    <w:rsid w:val="006907DF"/>
    <w:rsid w:val="00690959"/>
    <w:rsid w:val="0069122B"/>
    <w:rsid w:val="00691375"/>
    <w:rsid w:val="006915E1"/>
    <w:rsid w:val="00693609"/>
    <w:rsid w:val="00693F89"/>
    <w:rsid w:val="00694160"/>
    <w:rsid w:val="0069454D"/>
    <w:rsid w:val="006963B6"/>
    <w:rsid w:val="0069729E"/>
    <w:rsid w:val="0069784A"/>
    <w:rsid w:val="00697945"/>
    <w:rsid w:val="00697947"/>
    <w:rsid w:val="00697E5A"/>
    <w:rsid w:val="006A0D88"/>
    <w:rsid w:val="006A173D"/>
    <w:rsid w:val="006A2A83"/>
    <w:rsid w:val="006A2E3C"/>
    <w:rsid w:val="006A399B"/>
    <w:rsid w:val="006A41BA"/>
    <w:rsid w:val="006A4B70"/>
    <w:rsid w:val="006A4CBB"/>
    <w:rsid w:val="006A594E"/>
    <w:rsid w:val="006A5D8A"/>
    <w:rsid w:val="006A65DE"/>
    <w:rsid w:val="006A662A"/>
    <w:rsid w:val="006A69AF"/>
    <w:rsid w:val="006A6EB8"/>
    <w:rsid w:val="006A7336"/>
    <w:rsid w:val="006A7E5B"/>
    <w:rsid w:val="006B0224"/>
    <w:rsid w:val="006B022D"/>
    <w:rsid w:val="006B03AA"/>
    <w:rsid w:val="006B1F37"/>
    <w:rsid w:val="006B2801"/>
    <w:rsid w:val="006B29C2"/>
    <w:rsid w:val="006B2BAD"/>
    <w:rsid w:val="006B33E9"/>
    <w:rsid w:val="006B351E"/>
    <w:rsid w:val="006B3E09"/>
    <w:rsid w:val="006B3F89"/>
    <w:rsid w:val="006B4665"/>
    <w:rsid w:val="006B4E3D"/>
    <w:rsid w:val="006B5147"/>
    <w:rsid w:val="006B5D26"/>
    <w:rsid w:val="006B68EC"/>
    <w:rsid w:val="006B6931"/>
    <w:rsid w:val="006B6C08"/>
    <w:rsid w:val="006B7177"/>
    <w:rsid w:val="006B71D3"/>
    <w:rsid w:val="006B722A"/>
    <w:rsid w:val="006C0A51"/>
    <w:rsid w:val="006C1135"/>
    <w:rsid w:val="006C1375"/>
    <w:rsid w:val="006C14F8"/>
    <w:rsid w:val="006C202D"/>
    <w:rsid w:val="006C27DE"/>
    <w:rsid w:val="006C2AFB"/>
    <w:rsid w:val="006C385F"/>
    <w:rsid w:val="006C3EA4"/>
    <w:rsid w:val="006C3F65"/>
    <w:rsid w:val="006C4357"/>
    <w:rsid w:val="006C497C"/>
    <w:rsid w:val="006C4E34"/>
    <w:rsid w:val="006C7D22"/>
    <w:rsid w:val="006D00FE"/>
    <w:rsid w:val="006D23AC"/>
    <w:rsid w:val="006D40A5"/>
    <w:rsid w:val="006D4D62"/>
    <w:rsid w:val="006D5339"/>
    <w:rsid w:val="006D5FE1"/>
    <w:rsid w:val="006D618B"/>
    <w:rsid w:val="006D6C2E"/>
    <w:rsid w:val="006D73E2"/>
    <w:rsid w:val="006D7670"/>
    <w:rsid w:val="006D7CFC"/>
    <w:rsid w:val="006E015A"/>
    <w:rsid w:val="006E0976"/>
    <w:rsid w:val="006E11F6"/>
    <w:rsid w:val="006E1546"/>
    <w:rsid w:val="006E18B8"/>
    <w:rsid w:val="006E1DED"/>
    <w:rsid w:val="006E20A2"/>
    <w:rsid w:val="006E261B"/>
    <w:rsid w:val="006E3825"/>
    <w:rsid w:val="006E3B18"/>
    <w:rsid w:val="006E4515"/>
    <w:rsid w:val="006E52FA"/>
    <w:rsid w:val="006E550F"/>
    <w:rsid w:val="006E5C28"/>
    <w:rsid w:val="006E5CD7"/>
    <w:rsid w:val="006E61B5"/>
    <w:rsid w:val="006E6E58"/>
    <w:rsid w:val="006E7123"/>
    <w:rsid w:val="006E7A07"/>
    <w:rsid w:val="006F121A"/>
    <w:rsid w:val="006F15C8"/>
    <w:rsid w:val="006F172A"/>
    <w:rsid w:val="006F3CA9"/>
    <w:rsid w:val="006F4298"/>
    <w:rsid w:val="006F464C"/>
    <w:rsid w:val="006F472B"/>
    <w:rsid w:val="006F4D60"/>
    <w:rsid w:val="006F5457"/>
    <w:rsid w:val="006F5567"/>
    <w:rsid w:val="006F64B2"/>
    <w:rsid w:val="006F7905"/>
    <w:rsid w:val="006F7908"/>
    <w:rsid w:val="006F7B8D"/>
    <w:rsid w:val="006F7BF5"/>
    <w:rsid w:val="00700395"/>
    <w:rsid w:val="007005BD"/>
    <w:rsid w:val="00701E4D"/>
    <w:rsid w:val="007025C5"/>
    <w:rsid w:val="0070262C"/>
    <w:rsid w:val="00702D96"/>
    <w:rsid w:val="007033BC"/>
    <w:rsid w:val="00703653"/>
    <w:rsid w:val="007038EC"/>
    <w:rsid w:val="00703E43"/>
    <w:rsid w:val="007047E3"/>
    <w:rsid w:val="00705FC9"/>
    <w:rsid w:val="0070601E"/>
    <w:rsid w:val="00706500"/>
    <w:rsid w:val="00706CD7"/>
    <w:rsid w:val="007078A2"/>
    <w:rsid w:val="007079D7"/>
    <w:rsid w:val="007103AA"/>
    <w:rsid w:val="00710551"/>
    <w:rsid w:val="00710573"/>
    <w:rsid w:val="00712F75"/>
    <w:rsid w:val="00713BD3"/>
    <w:rsid w:val="00713E82"/>
    <w:rsid w:val="00714104"/>
    <w:rsid w:val="007144B2"/>
    <w:rsid w:val="00714837"/>
    <w:rsid w:val="00714F49"/>
    <w:rsid w:val="00715140"/>
    <w:rsid w:val="00715E98"/>
    <w:rsid w:val="00716913"/>
    <w:rsid w:val="00716F63"/>
    <w:rsid w:val="0071786E"/>
    <w:rsid w:val="00720346"/>
    <w:rsid w:val="00720BC5"/>
    <w:rsid w:val="0072134F"/>
    <w:rsid w:val="007223BC"/>
    <w:rsid w:val="007226A0"/>
    <w:rsid w:val="0072315D"/>
    <w:rsid w:val="00723201"/>
    <w:rsid w:val="00723360"/>
    <w:rsid w:val="0072378A"/>
    <w:rsid w:val="00723DD0"/>
    <w:rsid w:val="007242D0"/>
    <w:rsid w:val="00724CB3"/>
    <w:rsid w:val="00724D16"/>
    <w:rsid w:val="00726034"/>
    <w:rsid w:val="0073060D"/>
    <w:rsid w:val="0073191B"/>
    <w:rsid w:val="00731945"/>
    <w:rsid w:val="00732D08"/>
    <w:rsid w:val="00732F63"/>
    <w:rsid w:val="00732FE0"/>
    <w:rsid w:val="00733431"/>
    <w:rsid w:val="007337A9"/>
    <w:rsid w:val="00733A31"/>
    <w:rsid w:val="00733C8F"/>
    <w:rsid w:val="007350F4"/>
    <w:rsid w:val="00736046"/>
    <w:rsid w:val="007360F3"/>
    <w:rsid w:val="00736193"/>
    <w:rsid w:val="0073640F"/>
    <w:rsid w:val="0073693D"/>
    <w:rsid w:val="007373A0"/>
    <w:rsid w:val="00737823"/>
    <w:rsid w:val="0074012D"/>
    <w:rsid w:val="00740CCE"/>
    <w:rsid w:val="00741742"/>
    <w:rsid w:val="007418C1"/>
    <w:rsid w:val="00741D7D"/>
    <w:rsid w:val="00742994"/>
    <w:rsid w:val="00742FB3"/>
    <w:rsid w:val="007435C6"/>
    <w:rsid w:val="0074433E"/>
    <w:rsid w:val="00744AAF"/>
    <w:rsid w:val="00744FEA"/>
    <w:rsid w:val="00745BDF"/>
    <w:rsid w:val="0074673B"/>
    <w:rsid w:val="00746E38"/>
    <w:rsid w:val="00747050"/>
    <w:rsid w:val="007475CB"/>
    <w:rsid w:val="00747DF4"/>
    <w:rsid w:val="007501D5"/>
    <w:rsid w:val="00750664"/>
    <w:rsid w:val="007507C4"/>
    <w:rsid w:val="007507E8"/>
    <w:rsid w:val="00750A51"/>
    <w:rsid w:val="00750F37"/>
    <w:rsid w:val="00750F67"/>
    <w:rsid w:val="007511D7"/>
    <w:rsid w:val="00751492"/>
    <w:rsid w:val="007514D5"/>
    <w:rsid w:val="00751B82"/>
    <w:rsid w:val="007525C5"/>
    <w:rsid w:val="0075322A"/>
    <w:rsid w:val="00753519"/>
    <w:rsid w:val="0075386F"/>
    <w:rsid w:val="00753F89"/>
    <w:rsid w:val="00754931"/>
    <w:rsid w:val="00755B70"/>
    <w:rsid w:val="00755DF6"/>
    <w:rsid w:val="007560E9"/>
    <w:rsid w:val="007565A6"/>
    <w:rsid w:val="00756632"/>
    <w:rsid w:val="007575FB"/>
    <w:rsid w:val="0076038A"/>
    <w:rsid w:val="00760467"/>
    <w:rsid w:val="007608E7"/>
    <w:rsid w:val="00761673"/>
    <w:rsid w:val="007636F3"/>
    <w:rsid w:val="00764316"/>
    <w:rsid w:val="00764EEE"/>
    <w:rsid w:val="00765A90"/>
    <w:rsid w:val="00765F5C"/>
    <w:rsid w:val="0076636B"/>
    <w:rsid w:val="00766A91"/>
    <w:rsid w:val="007671C7"/>
    <w:rsid w:val="00770E6C"/>
    <w:rsid w:val="007712A5"/>
    <w:rsid w:val="00771BC5"/>
    <w:rsid w:val="00772594"/>
    <w:rsid w:val="00772F42"/>
    <w:rsid w:val="007733A0"/>
    <w:rsid w:val="007735A6"/>
    <w:rsid w:val="007803DD"/>
    <w:rsid w:val="0078181B"/>
    <w:rsid w:val="007820A6"/>
    <w:rsid w:val="00783324"/>
    <w:rsid w:val="00783B43"/>
    <w:rsid w:val="0078446B"/>
    <w:rsid w:val="007856F1"/>
    <w:rsid w:val="00786084"/>
    <w:rsid w:val="00787745"/>
    <w:rsid w:val="00787D89"/>
    <w:rsid w:val="007902D4"/>
    <w:rsid w:val="00790361"/>
    <w:rsid w:val="00790522"/>
    <w:rsid w:val="007905B2"/>
    <w:rsid w:val="007907BF"/>
    <w:rsid w:val="007909C9"/>
    <w:rsid w:val="00791A6F"/>
    <w:rsid w:val="00792216"/>
    <w:rsid w:val="007923AC"/>
    <w:rsid w:val="00792791"/>
    <w:rsid w:val="00792A79"/>
    <w:rsid w:val="00792FAB"/>
    <w:rsid w:val="00793147"/>
    <w:rsid w:val="007933B1"/>
    <w:rsid w:val="00793958"/>
    <w:rsid w:val="0079436C"/>
    <w:rsid w:val="00794AAA"/>
    <w:rsid w:val="00795267"/>
    <w:rsid w:val="007956FB"/>
    <w:rsid w:val="0079614D"/>
    <w:rsid w:val="007962A4"/>
    <w:rsid w:val="00796744"/>
    <w:rsid w:val="00796E87"/>
    <w:rsid w:val="00797062"/>
    <w:rsid w:val="00797683"/>
    <w:rsid w:val="007978EF"/>
    <w:rsid w:val="00797EE0"/>
    <w:rsid w:val="007A11F3"/>
    <w:rsid w:val="007A1247"/>
    <w:rsid w:val="007A1432"/>
    <w:rsid w:val="007A2D53"/>
    <w:rsid w:val="007A2D85"/>
    <w:rsid w:val="007A350E"/>
    <w:rsid w:val="007A35D6"/>
    <w:rsid w:val="007A367B"/>
    <w:rsid w:val="007A39F2"/>
    <w:rsid w:val="007A3B5C"/>
    <w:rsid w:val="007A3BB2"/>
    <w:rsid w:val="007A42DF"/>
    <w:rsid w:val="007A48D9"/>
    <w:rsid w:val="007A4AE8"/>
    <w:rsid w:val="007A4EE4"/>
    <w:rsid w:val="007A5850"/>
    <w:rsid w:val="007A58AC"/>
    <w:rsid w:val="007A6219"/>
    <w:rsid w:val="007A6384"/>
    <w:rsid w:val="007A66B7"/>
    <w:rsid w:val="007B07BF"/>
    <w:rsid w:val="007B0BA3"/>
    <w:rsid w:val="007B0E56"/>
    <w:rsid w:val="007B1048"/>
    <w:rsid w:val="007B15C9"/>
    <w:rsid w:val="007B1BB5"/>
    <w:rsid w:val="007B268C"/>
    <w:rsid w:val="007B2AA5"/>
    <w:rsid w:val="007B310A"/>
    <w:rsid w:val="007B3845"/>
    <w:rsid w:val="007B3B87"/>
    <w:rsid w:val="007B40E4"/>
    <w:rsid w:val="007B69C4"/>
    <w:rsid w:val="007B6F9A"/>
    <w:rsid w:val="007B742C"/>
    <w:rsid w:val="007B7788"/>
    <w:rsid w:val="007B7DA3"/>
    <w:rsid w:val="007C1BA3"/>
    <w:rsid w:val="007C2347"/>
    <w:rsid w:val="007C2565"/>
    <w:rsid w:val="007C25C7"/>
    <w:rsid w:val="007C2B99"/>
    <w:rsid w:val="007C2BE8"/>
    <w:rsid w:val="007C39CE"/>
    <w:rsid w:val="007C4231"/>
    <w:rsid w:val="007C4CE5"/>
    <w:rsid w:val="007C5317"/>
    <w:rsid w:val="007C5CCC"/>
    <w:rsid w:val="007C6134"/>
    <w:rsid w:val="007D0452"/>
    <w:rsid w:val="007D116C"/>
    <w:rsid w:val="007D1379"/>
    <w:rsid w:val="007D16C0"/>
    <w:rsid w:val="007D228B"/>
    <w:rsid w:val="007D295E"/>
    <w:rsid w:val="007D32AA"/>
    <w:rsid w:val="007D3904"/>
    <w:rsid w:val="007D4895"/>
    <w:rsid w:val="007D4B79"/>
    <w:rsid w:val="007D50EF"/>
    <w:rsid w:val="007D55CA"/>
    <w:rsid w:val="007D578A"/>
    <w:rsid w:val="007D5CE6"/>
    <w:rsid w:val="007D7DA0"/>
    <w:rsid w:val="007D7E7E"/>
    <w:rsid w:val="007E0070"/>
    <w:rsid w:val="007E02E3"/>
    <w:rsid w:val="007E0A0D"/>
    <w:rsid w:val="007E0A65"/>
    <w:rsid w:val="007E0AFC"/>
    <w:rsid w:val="007E0CFE"/>
    <w:rsid w:val="007E1AAD"/>
    <w:rsid w:val="007E1B3F"/>
    <w:rsid w:val="007E1DD3"/>
    <w:rsid w:val="007E20BA"/>
    <w:rsid w:val="007E27D1"/>
    <w:rsid w:val="007E2B9C"/>
    <w:rsid w:val="007E3957"/>
    <w:rsid w:val="007E3DD8"/>
    <w:rsid w:val="007E4C30"/>
    <w:rsid w:val="007E57DF"/>
    <w:rsid w:val="007E5E4F"/>
    <w:rsid w:val="007E63BB"/>
    <w:rsid w:val="007E650C"/>
    <w:rsid w:val="007E6658"/>
    <w:rsid w:val="007E6711"/>
    <w:rsid w:val="007E6834"/>
    <w:rsid w:val="007E6A65"/>
    <w:rsid w:val="007E71B4"/>
    <w:rsid w:val="007E75D5"/>
    <w:rsid w:val="007F03C3"/>
    <w:rsid w:val="007F10B5"/>
    <w:rsid w:val="007F2F9C"/>
    <w:rsid w:val="007F4A08"/>
    <w:rsid w:val="007F4C36"/>
    <w:rsid w:val="007F5834"/>
    <w:rsid w:val="007F6A04"/>
    <w:rsid w:val="007F6B67"/>
    <w:rsid w:val="007F70AD"/>
    <w:rsid w:val="007F740C"/>
    <w:rsid w:val="007F76F5"/>
    <w:rsid w:val="008002F0"/>
    <w:rsid w:val="008016EC"/>
    <w:rsid w:val="00801F54"/>
    <w:rsid w:val="00802599"/>
    <w:rsid w:val="00802727"/>
    <w:rsid w:val="008032EA"/>
    <w:rsid w:val="008034FA"/>
    <w:rsid w:val="008050B5"/>
    <w:rsid w:val="008056ED"/>
    <w:rsid w:val="00806A8F"/>
    <w:rsid w:val="00806E1A"/>
    <w:rsid w:val="00806FBE"/>
    <w:rsid w:val="0080719C"/>
    <w:rsid w:val="00807491"/>
    <w:rsid w:val="0081095D"/>
    <w:rsid w:val="00810C52"/>
    <w:rsid w:val="00810CE4"/>
    <w:rsid w:val="00810D9C"/>
    <w:rsid w:val="00811823"/>
    <w:rsid w:val="00811ECE"/>
    <w:rsid w:val="00812886"/>
    <w:rsid w:val="00812FA6"/>
    <w:rsid w:val="0081322A"/>
    <w:rsid w:val="008134F3"/>
    <w:rsid w:val="00813F2E"/>
    <w:rsid w:val="00813F50"/>
    <w:rsid w:val="00813F58"/>
    <w:rsid w:val="00814806"/>
    <w:rsid w:val="00814D09"/>
    <w:rsid w:val="008165A6"/>
    <w:rsid w:val="00816661"/>
    <w:rsid w:val="00817C73"/>
    <w:rsid w:val="0082069A"/>
    <w:rsid w:val="00820741"/>
    <w:rsid w:val="008208DA"/>
    <w:rsid w:val="00820CC7"/>
    <w:rsid w:val="00820D70"/>
    <w:rsid w:val="00820F00"/>
    <w:rsid w:val="00822AAB"/>
    <w:rsid w:val="00823FA0"/>
    <w:rsid w:val="00825362"/>
    <w:rsid w:val="008255B5"/>
    <w:rsid w:val="008258B7"/>
    <w:rsid w:val="00825B23"/>
    <w:rsid w:val="00825E58"/>
    <w:rsid w:val="008263F1"/>
    <w:rsid w:val="00827016"/>
    <w:rsid w:val="00827AD5"/>
    <w:rsid w:val="008301AF"/>
    <w:rsid w:val="00830257"/>
    <w:rsid w:val="00830D15"/>
    <w:rsid w:val="0083112F"/>
    <w:rsid w:val="0083169F"/>
    <w:rsid w:val="00831823"/>
    <w:rsid w:val="008321F3"/>
    <w:rsid w:val="008322E4"/>
    <w:rsid w:val="00833410"/>
    <w:rsid w:val="00833BA2"/>
    <w:rsid w:val="00834118"/>
    <w:rsid w:val="0083487C"/>
    <w:rsid w:val="00834C72"/>
    <w:rsid w:val="00834CB8"/>
    <w:rsid w:val="00834FA1"/>
    <w:rsid w:val="00835427"/>
    <w:rsid w:val="0083548A"/>
    <w:rsid w:val="00835611"/>
    <w:rsid w:val="00835999"/>
    <w:rsid w:val="00835B85"/>
    <w:rsid w:val="00836EE5"/>
    <w:rsid w:val="00837540"/>
    <w:rsid w:val="0083780E"/>
    <w:rsid w:val="0084044E"/>
    <w:rsid w:val="0084073E"/>
    <w:rsid w:val="00843A02"/>
    <w:rsid w:val="00843F52"/>
    <w:rsid w:val="00844841"/>
    <w:rsid w:val="00844B0A"/>
    <w:rsid w:val="00844F29"/>
    <w:rsid w:val="00845842"/>
    <w:rsid w:val="0084702D"/>
    <w:rsid w:val="00847794"/>
    <w:rsid w:val="00850748"/>
    <w:rsid w:val="008507A9"/>
    <w:rsid w:val="00850B31"/>
    <w:rsid w:val="00850E84"/>
    <w:rsid w:val="00851713"/>
    <w:rsid w:val="00851CD6"/>
    <w:rsid w:val="00852290"/>
    <w:rsid w:val="008527E0"/>
    <w:rsid w:val="00852C7A"/>
    <w:rsid w:val="00853471"/>
    <w:rsid w:val="008539BE"/>
    <w:rsid w:val="008545ED"/>
    <w:rsid w:val="00854633"/>
    <w:rsid w:val="00854EE2"/>
    <w:rsid w:val="0085575E"/>
    <w:rsid w:val="008558A1"/>
    <w:rsid w:val="0085668F"/>
    <w:rsid w:val="008575D0"/>
    <w:rsid w:val="00862197"/>
    <w:rsid w:val="0086358F"/>
    <w:rsid w:val="008644C2"/>
    <w:rsid w:val="00864606"/>
    <w:rsid w:val="008663D2"/>
    <w:rsid w:val="0086668B"/>
    <w:rsid w:val="008667D1"/>
    <w:rsid w:val="00867358"/>
    <w:rsid w:val="00867A3B"/>
    <w:rsid w:val="00867F18"/>
    <w:rsid w:val="008702ED"/>
    <w:rsid w:val="00870414"/>
    <w:rsid w:val="00871075"/>
    <w:rsid w:val="008710BE"/>
    <w:rsid w:val="00871510"/>
    <w:rsid w:val="00871D8D"/>
    <w:rsid w:val="008721C7"/>
    <w:rsid w:val="008725D7"/>
    <w:rsid w:val="008725D8"/>
    <w:rsid w:val="008725E1"/>
    <w:rsid w:val="00872BF2"/>
    <w:rsid w:val="00873A00"/>
    <w:rsid w:val="00874B52"/>
    <w:rsid w:val="00874E0D"/>
    <w:rsid w:val="00875430"/>
    <w:rsid w:val="00875BB9"/>
    <w:rsid w:val="00875FF5"/>
    <w:rsid w:val="008806EB"/>
    <w:rsid w:val="00882007"/>
    <w:rsid w:val="008824CC"/>
    <w:rsid w:val="00882EAB"/>
    <w:rsid w:val="00883D5F"/>
    <w:rsid w:val="00883FCC"/>
    <w:rsid w:val="0088409D"/>
    <w:rsid w:val="0088492B"/>
    <w:rsid w:val="00885225"/>
    <w:rsid w:val="00886B40"/>
    <w:rsid w:val="00886CE5"/>
    <w:rsid w:val="008903B1"/>
    <w:rsid w:val="00890BFC"/>
    <w:rsid w:val="0089189F"/>
    <w:rsid w:val="00891950"/>
    <w:rsid w:val="00891E53"/>
    <w:rsid w:val="008924AD"/>
    <w:rsid w:val="00892F76"/>
    <w:rsid w:val="0089304F"/>
    <w:rsid w:val="008973D7"/>
    <w:rsid w:val="00897EF4"/>
    <w:rsid w:val="008A011D"/>
    <w:rsid w:val="008A1288"/>
    <w:rsid w:val="008A16DF"/>
    <w:rsid w:val="008A18A1"/>
    <w:rsid w:val="008A2779"/>
    <w:rsid w:val="008A2D6D"/>
    <w:rsid w:val="008A2FC9"/>
    <w:rsid w:val="008A3600"/>
    <w:rsid w:val="008A3E90"/>
    <w:rsid w:val="008A60B8"/>
    <w:rsid w:val="008A6BF3"/>
    <w:rsid w:val="008A7002"/>
    <w:rsid w:val="008A7278"/>
    <w:rsid w:val="008A7EC4"/>
    <w:rsid w:val="008A7F54"/>
    <w:rsid w:val="008A7FD1"/>
    <w:rsid w:val="008B01F7"/>
    <w:rsid w:val="008B1104"/>
    <w:rsid w:val="008B13A7"/>
    <w:rsid w:val="008B1798"/>
    <w:rsid w:val="008B198A"/>
    <w:rsid w:val="008B28F8"/>
    <w:rsid w:val="008B2904"/>
    <w:rsid w:val="008B2A09"/>
    <w:rsid w:val="008B3B0F"/>
    <w:rsid w:val="008B4B1B"/>
    <w:rsid w:val="008B4CAC"/>
    <w:rsid w:val="008B50F4"/>
    <w:rsid w:val="008B5317"/>
    <w:rsid w:val="008B638F"/>
    <w:rsid w:val="008B6645"/>
    <w:rsid w:val="008B6952"/>
    <w:rsid w:val="008C118A"/>
    <w:rsid w:val="008C1B11"/>
    <w:rsid w:val="008C1EB1"/>
    <w:rsid w:val="008C20C8"/>
    <w:rsid w:val="008C2709"/>
    <w:rsid w:val="008C315B"/>
    <w:rsid w:val="008C316F"/>
    <w:rsid w:val="008C324B"/>
    <w:rsid w:val="008C33CC"/>
    <w:rsid w:val="008C3B98"/>
    <w:rsid w:val="008C4163"/>
    <w:rsid w:val="008C50FA"/>
    <w:rsid w:val="008C5213"/>
    <w:rsid w:val="008C59FC"/>
    <w:rsid w:val="008C67FD"/>
    <w:rsid w:val="008C6D89"/>
    <w:rsid w:val="008D119F"/>
    <w:rsid w:val="008D2C94"/>
    <w:rsid w:val="008D3331"/>
    <w:rsid w:val="008D373E"/>
    <w:rsid w:val="008D3E37"/>
    <w:rsid w:val="008D5BEC"/>
    <w:rsid w:val="008D6837"/>
    <w:rsid w:val="008D6F90"/>
    <w:rsid w:val="008D7227"/>
    <w:rsid w:val="008E016D"/>
    <w:rsid w:val="008E049A"/>
    <w:rsid w:val="008E0827"/>
    <w:rsid w:val="008E0BCC"/>
    <w:rsid w:val="008E107E"/>
    <w:rsid w:val="008E11AE"/>
    <w:rsid w:val="008E123F"/>
    <w:rsid w:val="008E24A9"/>
    <w:rsid w:val="008E33F9"/>
    <w:rsid w:val="008E36CF"/>
    <w:rsid w:val="008E3CBF"/>
    <w:rsid w:val="008E44F8"/>
    <w:rsid w:val="008E5BAB"/>
    <w:rsid w:val="008E6892"/>
    <w:rsid w:val="008E693D"/>
    <w:rsid w:val="008F0099"/>
    <w:rsid w:val="008F0475"/>
    <w:rsid w:val="008F090F"/>
    <w:rsid w:val="008F0CEC"/>
    <w:rsid w:val="008F1C6B"/>
    <w:rsid w:val="008F2063"/>
    <w:rsid w:val="008F2A72"/>
    <w:rsid w:val="008F2A94"/>
    <w:rsid w:val="008F2BB1"/>
    <w:rsid w:val="008F35C4"/>
    <w:rsid w:val="008F3FEF"/>
    <w:rsid w:val="008F4211"/>
    <w:rsid w:val="008F43EB"/>
    <w:rsid w:val="008F478A"/>
    <w:rsid w:val="008F48A1"/>
    <w:rsid w:val="008F59E3"/>
    <w:rsid w:val="008F5DFA"/>
    <w:rsid w:val="008F6362"/>
    <w:rsid w:val="008F777F"/>
    <w:rsid w:val="008F7BF3"/>
    <w:rsid w:val="00900067"/>
    <w:rsid w:val="00900168"/>
    <w:rsid w:val="0090034C"/>
    <w:rsid w:val="0090086F"/>
    <w:rsid w:val="00900B15"/>
    <w:rsid w:val="00900D02"/>
    <w:rsid w:val="0090126A"/>
    <w:rsid w:val="00901A0C"/>
    <w:rsid w:val="00901DE3"/>
    <w:rsid w:val="0090239D"/>
    <w:rsid w:val="00902647"/>
    <w:rsid w:val="00902F4B"/>
    <w:rsid w:val="00903095"/>
    <w:rsid w:val="009032B8"/>
    <w:rsid w:val="00903416"/>
    <w:rsid w:val="0090358C"/>
    <w:rsid w:val="009037C9"/>
    <w:rsid w:val="00903DA1"/>
    <w:rsid w:val="00904254"/>
    <w:rsid w:val="009047B7"/>
    <w:rsid w:val="009048A6"/>
    <w:rsid w:val="0090533C"/>
    <w:rsid w:val="009058F8"/>
    <w:rsid w:val="00905CCC"/>
    <w:rsid w:val="0090632D"/>
    <w:rsid w:val="0090638F"/>
    <w:rsid w:val="00907306"/>
    <w:rsid w:val="009075A6"/>
    <w:rsid w:val="00907B11"/>
    <w:rsid w:val="00910960"/>
    <w:rsid w:val="009113D7"/>
    <w:rsid w:val="0091236C"/>
    <w:rsid w:val="00913177"/>
    <w:rsid w:val="009148A1"/>
    <w:rsid w:val="00914B86"/>
    <w:rsid w:val="009162A6"/>
    <w:rsid w:val="009162B2"/>
    <w:rsid w:val="00916382"/>
    <w:rsid w:val="00916618"/>
    <w:rsid w:val="00916E0A"/>
    <w:rsid w:val="0091782A"/>
    <w:rsid w:val="00920103"/>
    <w:rsid w:val="009202F0"/>
    <w:rsid w:val="009206D2"/>
    <w:rsid w:val="00920E76"/>
    <w:rsid w:val="00921536"/>
    <w:rsid w:val="0092157B"/>
    <w:rsid w:val="00921811"/>
    <w:rsid w:val="00921C3D"/>
    <w:rsid w:val="00922920"/>
    <w:rsid w:val="00922AD6"/>
    <w:rsid w:val="009243E4"/>
    <w:rsid w:val="00924AB9"/>
    <w:rsid w:val="00925457"/>
    <w:rsid w:val="0092613C"/>
    <w:rsid w:val="009261B3"/>
    <w:rsid w:val="00926BF0"/>
    <w:rsid w:val="00926C7B"/>
    <w:rsid w:val="009302B4"/>
    <w:rsid w:val="00931991"/>
    <w:rsid w:val="00932520"/>
    <w:rsid w:val="009326E8"/>
    <w:rsid w:val="00933034"/>
    <w:rsid w:val="00933452"/>
    <w:rsid w:val="00933715"/>
    <w:rsid w:val="00934D98"/>
    <w:rsid w:val="00935BBE"/>
    <w:rsid w:val="00935DCC"/>
    <w:rsid w:val="00936056"/>
    <w:rsid w:val="0093637C"/>
    <w:rsid w:val="009363F1"/>
    <w:rsid w:val="00936E97"/>
    <w:rsid w:val="00937E2C"/>
    <w:rsid w:val="009405E1"/>
    <w:rsid w:val="009407C8"/>
    <w:rsid w:val="00940E65"/>
    <w:rsid w:val="0094161B"/>
    <w:rsid w:val="0094177D"/>
    <w:rsid w:val="00942A5E"/>
    <w:rsid w:val="00942CA5"/>
    <w:rsid w:val="00942CBF"/>
    <w:rsid w:val="00942D30"/>
    <w:rsid w:val="00943622"/>
    <w:rsid w:val="00943666"/>
    <w:rsid w:val="0094396E"/>
    <w:rsid w:val="00943D54"/>
    <w:rsid w:val="009446B9"/>
    <w:rsid w:val="009446E1"/>
    <w:rsid w:val="0094484D"/>
    <w:rsid w:val="00945133"/>
    <w:rsid w:val="009457DD"/>
    <w:rsid w:val="00945995"/>
    <w:rsid w:val="0094647D"/>
    <w:rsid w:val="00946819"/>
    <w:rsid w:val="009468F9"/>
    <w:rsid w:val="00946C31"/>
    <w:rsid w:val="009476C9"/>
    <w:rsid w:val="00947E10"/>
    <w:rsid w:val="00950671"/>
    <w:rsid w:val="00950D44"/>
    <w:rsid w:val="00951AFD"/>
    <w:rsid w:val="00951EDA"/>
    <w:rsid w:val="00952775"/>
    <w:rsid w:val="009529D0"/>
    <w:rsid w:val="009538B8"/>
    <w:rsid w:val="0095444F"/>
    <w:rsid w:val="009545D4"/>
    <w:rsid w:val="0095462C"/>
    <w:rsid w:val="00955427"/>
    <w:rsid w:val="009569CB"/>
    <w:rsid w:val="00956E9C"/>
    <w:rsid w:val="00957BD2"/>
    <w:rsid w:val="00961312"/>
    <w:rsid w:val="009616FF"/>
    <w:rsid w:val="00961802"/>
    <w:rsid w:val="00961AF6"/>
    <w:rsid w:val="00962D91"/>
    <w:rsid w:val="00962F7F"/>
    <w:rsid w:val="009642AE"/>
    <w:rsid w:val="009647B4"/>
    <w:rsid w:val="00965D58"/>
    <w:rsid w:val="00965F51"/>
    <w:rsid w:val="00965F6E"/>
    <w:rsid w:val="0096624E"/>
    <w:rsid w:val="00966900"/>
    <w:rsid w:val="00966E8D"/>
    <w:rsid w:val="0096714C"/>
    <w:rsid w:val="009671D9"/>
    <w:rsid w:val="00967396"/>
    <w:rsid w:val="009676B1"/>
    <w:rsid w:val="00970E8F"/>
    <w:rsid w:val="009717A3"/>
    <w:rsid w:val="009717AC"/>
    <w:rsid w:val="009721CF"/>
    <w:rsid w:val="0097227A"/>
    <w:rsid w:val="009737A5"/>
    <w:rsid w:val="00973BCC"/>
    <w:rsid w:val="00974003"/>
    <w:rsid w:val="00974471"/>
    <w:rsid w:val="00974991"/>
    <w:rsid w:val="00974E65"/>
    <w:rsid w:val="00974F38"/>
    <w:rsid w:val="00975159"/>
    <w:rsid w:val="00975FBB"/>
    <w:rsid w:val="0097620D"/>
    <w:rsid w:val="009767CB"/>
    <w:rsid w:val="00976FCA"/>
    <w:rsid w:val="00977F0E"/>
    <w:rsid w:val="009811C9"/>
    <w:rsid w:val="009815A8"/>
    <w:rsid w:val="00982429"/>
    <w:rsid w:val="00982D27"/>
    <w:rsid w:val="009834E9"/>
    <w:rsid w:val="00983DB6"/>
    <w:rsid w:val="009849E4"/>
    <w:rsid w:val="00984A7D"/>
    <w:rsid w:val="00984DDA"/>
    <w:rsid w:val="0098541B"/>
    <w:rsid w:val="009854FF"/>
    <w:rsid w:val="00985E98"/>
    <w:rsid w:val="0098689A"/>
    <w:rsid w:val="00986979"/>
    <w:rsid w:val="00987EA8"/>
    <w:rsid w:val="009903BA"/>
    <w:rsid w:val="00990607"/>
    <w:rsid w:val="0099097B"/>
    <w:rsid w:val="00990E35"/>
    <w:rsid w:val="00991316"/>
    <w:rsid w:val="00991B3D"/>
    <w:rsid w:val="0099207F"/>
    <w:rsid w:val="0099263D"/>
    <w:rsid w:val="00992C9A"/>
    <w:rsid w:val="009933D1"/>
    <w:rsid w:val="0099369E"/>
    <w:rsid w:val="0099396D"/>
    <w:rsid w:val="00993BEB"/>
    <w:rsid w:val="00993D9B"/>
    <w:rsid w:val="00993DDE"/>
    <w:rsid w:val="009942FF"/>
    <w:rsid w:val="0099554C"/>
    <w:rsid w:val="009957C9"/>
    <w:rsid w:val="00995934"/>
    <w:rsid w:val="0099602D"/>
    <w:rsid w:val="009965D1"/>
    <w:rsid w:val="00996746"/>
    <w:rsid w:val="00996AAF"/>
    <w:rsid w:val="00996B9B"/>
    <w:rsid w:val="00997288"/>
    <w:rsid w:val="00997535"/>
    <w:rsid w:val="00997D6B"/>
    <w:rsid w:val="009A1368"/>
    <w:rsid w:val="009A1CF0"/>
    <w:rsid w:val="009A306E"/>
    <w:rsid w:val="009A37A8"/>
    <w:rsid w:val="009A4B6E"/>
    <w:rsid w:val="009A5422"/>
    <w:rsid w:val="009A5499"/>
    <w:rsid w:val="009A5904"/>
    <w:rsid w:val="009A597D"/>
    <w:rsid w:val="009A5B12"/>
    <w:rsid w:val="009A610E"/>
    <w:rsid w:val="009A6618"/>
    <w:rsid w:val="009A6DBC"/>
    <w:rsid w:val="009A70D2"/>
    <w:rsid w:val="009B1140"/>
    <w:rsid w:val="009B2069"/>
    <w:rsid w:val="009B2077"/>
    <w:rsid w:val="009B420A"/>
    <w:rsid w:val="009B47AE"/>
    <w:rsid w:val="009B4D28"/>
    <w:rsid w:val="009B4E58"/>
    <w:rsid w:val="009B534C"/>
    <w:rsid w:val="009B5B9A"/>
    <w:rsid w:val="009B6592"/>
    <w:rsid w:val="009B7615"/>
    <w:rsid w:val="009B7676"/>
    <w:rsid w:val="009C08F2"/>
    <w:rsid w:val="009C0B91"/>
    <w:rsid w:val="009C15E8"/>
    <w:rsid w:val="009C169F"/>
    <w:rsid w:val="009C18DC"/>
    <w:rsid w:val="009C1D47"/>
    <w:rsid w:val="009C1F50"/>
    <w:rsid w:val="009C2082"/>
    <w:rsid w:val="009C27D8"/>
    <w:rsid w:val="009C27F9"/>
    <w:rsid w:val="009C326D"/>
    <w:rsid w:val="009C4591"/>
    <w:rsid w:val="009C4D64"/>
    <w:rsid w:val="009C6464"/>
    <w:rsid w:val="009C66E4"/>
    <w:rsid w:val="009C714B"/>
    <w:rsid w:val="009C736E"/>
    <w:rsid w:val="009C7783"/>
    <w:rsid w:val="009C7C2C"/>
    <w:rsid w:val="009C7F8A"/>
    <w:rsid w:val="009D096A"/>
    <w:rsid w:val="009D0CF6"/>
    <w:rsid w:val="009D1630"/>
    <w:rsid w:val="009D35E9"/>
    <w:rsid w:val="009D3E69"/>
    <w:rsid w:val="009D4A19"/>
    <w:rsid w:val="009D5147"/>
    <w:rsid w:val="009D5572"/>
    <w:rsid w:val="009D604F"/>
    <w:rsid w:val="009D6754"/>
    <w:rsid w:val="009D684D"/>
    <w:rsid w:val="009D770C"/>
    <w:rsid w:val="009D78A2"/>
    <w:rsid w:val="009D7990"/>
    <w:rsid w:val="009D7D10"/>
    <w:rsid w:val="009D7DA5"/>
    <w:rsid w:val="009E1596"/>
    <w:rsid w:val="009E2232"/>
    <w:rsid w:val="009E2879"/>
    <w:rsid w:val="009E32D0"/>
    <w:rsid w:val="009E391D"/>
    <w:rsid w:val="009E4DDB"/>
    <w:rsid w:val="009E5CCF"/>
    <w:rsid w:val="009E5CED"/>
    <w:rsid w:val="009E628A"/>
    <w:rsid w:val="009E6AC5"/>
    <w:rsid w:val="009E6AE7"/>
    <w:rsid w:val="009E6DF3"/>
    <w:rsid w:val="009E7092"/>
    <w:rsid w:val="009E72BE"/>
    <w:rsid w:val="009E7720"/>
    <w:rsid w:val="009E7D73"/>
    <w:rsid w:val="009F1DF5"/>
    <w:rsid w:val="009F2A67"/>
    <w:rsid w:val="009F2DCE"/>
    <w:rsid w:val="009F3630"/>
    <w:rsid w:val="009F3FC1"/>
    <w:rsid w:val="009F4810"/>
    <w:rsid w:val="009F535B"/>
    <w:rsid w:val="009F5EA4"/>
    <w:rsid w:val="009F6227"/>
    <w:rsid w:val="009F683D"/>
    <w:rsid w:val="009F7C1D"/>
    <w:rsid w:val="009F7FB7"/>
    <w:rsid w:val="00A008B1"/>
    <w:rsid w:val="00A00906"/>
    <w:rsid w:val="00A011B4"/>
    <w:rsid w:val="00A017D7"/>
    <w:rsid w:val="00A0198A"/>
    <w:rsid w:val="00A01CB3"/>
    <w:rsid w:val="00A01E95"/>
    <w:rsid w:val="00A035B2"/>
    <w:rsid w:val="00A03EF4"/>
    <w:rsid w:val="00A04416"/>
    <w:rsid w:val="00A05414"/>
    <w:rsid w:val="00A05909"/>
    <w:rsid w:val="00A05955"/>
    <w:rsid w:val="00A061EE"/>
    <w:rsid w:val="00A06A35"/>
    <w:rsid w:val="00A06E82"/>
    <w:rsid w:val="00A0716E"/>
    <w:rsid w:val="00A1044F"/>
    <w:rsid w:val="00A105AF"/>
    <w:rsid w:val="00A1063D"/>
    <w:rsid w:val="00A12226"/>
    <w:rsid w:val="00A122B4"/>
    <w:rsid w:val="00A12673"/>
    <w:rsid w:val="00A1276C"/>
    <w:rsid w:val="00A132E3"/>
    <w:rsid w:val="00A1365F"/>
    <w:rsid w:val="00A13D48"/>
    <w:rsid w:val="00A14632"/>
    <w:rsid w:val="00A165B3"/>
    <w:rsid w:val="00A169C8"/>
    <w:rsid w:val="00A16E83"/>
    <w:rsid w:val="00A20B04"/>
    <w:rsid w:val="00A21354"/>
    <w:rsid w:val="00A2195D"/>
    <w:rsid w:val="00A21FAF"/>
    <w:rsid w:val="00A22067"/>
    <w:rsid w:val="00A23A11"/>
    <w:rsid w:val="00A2408F"/>
    <w:rsid w:val="00A24E10"/>
    <w:rsid w:val="00A26A2A"/>
    <w:rsid w:val="00A274E3"/>
    <w:rsid w:val="00A27AE8"/>
    <w:rsid w:val="00A30B24"/>
    <w:rsid w:val="00A31A68"/>
    <w:rsid w:val="00A32AB1"/>
    <w:rsid w:val="00A339DA"/>
    <w:rsid w:val="00A357AE"/>
    <w:rsid w:val="00A35AE4"/>
    <w:rsid w:val="00A36113"/>
    <w:rsid w:val="00A368DC"/>
    <w:rsid w:val="00A37CEC"/>
    <w:rsid w:val="00A40282"/>
    <w:rsid w:val="00A421CD"/>
    <w:rsid w:val="00A42347"/>
    <w:rsid w:val="00A436AA"/>
    <w:rsid w:val="00A43D23"/>
    <w:rsid w:val="00A43E4A"/>
    <w:rsid w:val="00A44538"/>
    <w:rsid w:val="00A44A28"/>
    <w:rsid w:val="00A44B04"/>
    <w:rsid w:val="00A46EEE"/>
    <w:rsid w:val="00A470DB"/>
    <w:rsid w:val="00A47171"/>
    <w:rsid w:val="00A474F7"/>
    <w:rsid w:val="00A47BF9"/>
    <w:rsid w:val="00A50630"/>
    <w:rsid w:val="00A51CBB"/>
    <w:rsid w:val="00A536F5"/>
    <w:rsid w:val="00A53A2A"/>
    <w:rsid w:val="00A53A63"/>
    <w:rsid w:val="00A549FF"/>
    <w:rsid w:val="00A54CF3"/>
    <w:rsid w:val="00A54F7D"/>
    <w:rsid w:val="00A55FE4"/>
    <w:rsid w:val="00A5608F"/>
    <w:rsid w:val="00A56DB0"/>
    <w:rsid w:val="00A573FA"/>
    <w:rsid w:val="00A60AA3"/>
    <w:rsid w:val="00A60C9F"/>
    <w:rsid w:val="00A61755"/>
    <w:rsid w:val="00A635B8"/>
    <w:rsid w:val="00A63873"/>
    <w:rsid w:val="00A63F03"/>
    <w:rsid w:val="00A648CF"/>
    <w:rsid w:val="00A664E4"/>
    <w:rsid w:val="00A67593"/>
    <w:rsid w:val="00A67F91"/>
    <w:rsid w:val="00A70019"/>
    <w:rsid w:val="00A72134"/>
    <w:rsid w:val="00A73399"/>
    <w:rsid w:val="00A747FB"/>
    <w:rsid w:val="00A7508D"/>
    <w:rsid w:val="00A75192"/>
    <w:rsid w:val="00A751A4"/>
    <w:rsid w:val="00A755D1"/>
    <w:rsid w:val="00A760F4"/>
    <w:rsid w:val="00A768F1"/>
    <w:rsid w:val="00A76B37"/>
    <w:rsid w:val="00A77609"/>
    <w:rsid w:val="00A7795D"/>
    <w:rsid w:val="00A80D89"/>
    <w:rsid w:val="00A81089"/>
    <w:rsid w:val="00A8140C"/>
    <w:rsid w:val="00A81656"/>
    <w:rsid w:val="00A8307F"/>
    <w:rsid w:val="00A837D5"/>
    <w:rsid w:val="00A837EF"/>
    <w:rsid w:val="00A843E2"/>
    <w:rsid w:val="00A84CEC"/>
    <w:rsid w:val="00A84DE6"/>
    <w:rsid w:val="00A84F6E"/>
    <w:rsid w:val="00A8553D"/>
    <w:rsid w:val="00A85906"/>
    <w:rsid w:val="00A85C97"/>
    <w:rsid w:val="00A867CA"/>
    <w:rsid w:val="00A867E9"/>
    <w:rsid w:val="00A86926"/>
    <w:rsid w:val="00A86CC5"/>
    <w:rsid w:val="00A86CDD"/>
    <w:rsid w:val="00A8701C"/>
    <w:rsid w:val="00A875CF"/>
    <w:rsid w:val="00A904A5"/>
    <w:rsid w:val="00A905A4"/>
    <w:rsid w:val="00A9087A"/>
    <w:rsid w:val="00A90BBB"/>
    <w:rsid w:val="00A90F17"/>
    <w:rsid w:val="00A90FF0"/>
    <w:rsid w:val="00A91352"/>
    <w:rsid w:val="00A916A2"/>
    <w:rsid w:val="00A91856"/>
    <w:rsid w:val="00A91C12"/>
    <w:rsid w:val="00A93BC0"/>
    <w:rsid w:val="00A93DFF"/>
    <w:rsid w:val="00A94564"/>
    <w:rsid w:val="00A94760"/>
    <w:rsid w:val="00A96C0E"/>
    <w:rsid w:val="00A96E32"/>
    <w:rsid w:val="00A97B96"/>
    <w:rsid w:val="00AA0BCC"/>
    <w:rsid w:val="00AA0F2A"/>
    <w:rsid w:val="00AA1096"/>
    <w:rsid w:val="00AA1B68"/>
    <w:rsid w:val="00AA28C6"/>
    <w:rsid w:val="00AA2DBB"/>
    <w:rsid w:val="00AA2EDF"/>
    <w:rsid w:val="00AA32CB"/>
    <w:rsid w:val="00AA512F"/>
    <w:rsid w:val="00AA51FF"/>
    <w:rsid w:val="00AA5980"/>
    <w:rsid w:val="00AA5E36"/>
    <w:rsid w:val="00AA7A1C"/>
    <w:rsid w:val="00AA7FC6"/>
    <w:rsid w:val="00AB010C"/>
    <w:rsid w:val="00AB0180"/>
    <w:rsid w:val="00AB03BC"/>
    <w:rsid w:val="00AB073D"/>
    <w:rsid w:val="00AB0B91"/>
    <w:rsid w:val="00AB100A"/>
    <w:rsid w:val="00AB1442"/>
    <w:rsid w:val="00AB2C42"/>
    <w:rsid w:val="00AB334B"/>
    <w:rsid w:val="00AB3D56"/>
    <w:rsid w:val="00AB3E49"/>
    <w:rsid w:val="00AB42DC"/>
    <w:rsid w:val="00AB455E"/>
    <w:rsid w:val="00AB48E3"/>
    <w:rsid w:val="00AB4BDF"/>
    <w:rsid w:val="00AB50FE"/>
    <w:rsid w:val="00AB5B40"/>
    <w:rsid w:val="00AB5D76"/>
    <w:rsid w:val="00AB5FB3"/>
    <w:rsid w:val="00AB603B"/>
    <w:rsid w:val="00AB6371"/>
    <w:rsid w:val="00AB7075"/>
    <w:rsid w:val="00AC1415"/>
    <w:rsid w:val="00AC1595"/>
    <w:rsid w:val="00AC1CAE"/>
    <w:rsid w:val="00AC2018"/>
    <w:rsid w:val="00AC20DE"/>
    <w:rsid w:val="00AC2233"/>
    <w:rsid w:val="00AC2A78"/>
    <w:rsid w:val="00AC32BF"/>
    <w:rsid w:val="00AC5365"/>
    <w:rsid w:val="00AC54D7"/>
    <w:rsid w:val="00AC6203"/>
    <w:rsid w:val="00AC6372"/>
    <w:rsid w:val="00AC6392"/>
    <w:rsid w:val="00AC6A71"/>
    <w:rsid w:val="00AC6C92"/>
    <w:rsid w:val="00AC6D45"/>
    <w:rsid w:val="00AD07EF"/>
    <w:rsid w:val="00AD0B2F"/>
    <w:rsid w:val="00AD1027"/>
    <w:rsid w:val="00AD18B2"/>
    <w:rsid w:val="00AD1CAF"/>
    <w:rsid w:val="00AD1E22"/>
    <w:rsid w:val="00AD3106"/>
    <w:rsid w:val="00AD38F6"/>
    <w:rsid w:val="00AD59E8"/>
    <w:rsid w:val="00AD719C"/>
    <w:rsid w:val="00AD72CD"/>
    <w:rsid w:val="00AD7659"/>
    <w:rsid w:val="00AD7FB5"/>
    <w:rsid w:val="00AE279C"/>
    <w:rsid w:val="00AE2D31"/>
    <w:rsid w:val="00AE3769"/>
    <w:rsid w:val="00AE38DE"/>
    <w:rsid w:val="00AE3D4C"/>
    <w:rsid w:val="00AE3DE3"/>
    <w:rsid w:val="00AE4DA6"/>
    <w:rsid w:val="00AE50CC"/>
    <w:rsid w:val="00AE5CB9"/>
    <w:rsid w:val="00AE5F38"/>
    <w:rsid w:val="00AF03E3"/>
    <w:rsid w:val="00AF0800"/>
    <w:rsid w:val="00AF08FF"/>
    <w:rsid w:val="00AF0911"/>
    <w:rsid w:val="00AF22A5"/>
    <w:rsid w:val="00AF34BD"/>
    <w:rsid w:val="00AF42B9"/>
    <w:rsid w:val="00AF5126"/>
    <w:rsid w:val="00AF6366"/>
    <w:rsid w:val="00AF694D"/>
    <w:rsid w:val="00AF6D86"/>
    <w:rsid w:val="00AF73F0"/>
    <w:rsid w:val="00AF7FD4"/>
    <w:rsid w:val="00B01D80"/>
    <w:rsid w:val="00B01DF7"/>
    <w:rsid w:val="00B01EC5"/>
    <w:rsid w:val="00B02940"/>
    <w:rsid w:val="00B02957"/>
    <w:rsid w:val="00B02F6A"/>
    <w:rsid w:val="00B03118"/>
    <w:rsid w:val="00B035A8"/>
    <w:rsid w:val="00B03E24"/>
    <w:rsid w:val="00B03F47"/>
    <w:rsid w:val="00B03F73"/>
    <w:rsid w:val="00B04922"/>
    <w:rsid w:val="00B04963"/>
    <w:rsid w:val="00B04C72"/>
    <w:rsid w:val="00B054B7"/>
    <w:rsid w:val="00B0593A"/>
    <w:rsid w:val="00B05A5C"/>
    <w:rsid w:val="00B05B66"/>
    <w:rsid w:val="00B0710D"/>
    <w:rsid w:val="00B078D8"/>
    <w:rsid w:val="00B07947"/>
    <w:rsid w:val="00B07FB0"/>
    <w:rsid w:val="00B1005D"/>
    <w:rsid w:val="00B102DF"/>
    <w:rsid w:val="00B108AE"/>
    <w:rsid w:val="00B11133"/>
    <w:rsid w:val="00B11F99"/>
    <w:rsid w:val="00B12109"/>
    <w:rsid w:val="00B129DA"/>
    <w:rsid w:val="00B12AFB"/>
    <w:rsid w:val="00B12C9A"/>
    <w:rsid w:val="00B136AA"/>
    <w:rsid w:val="00B13A3F"/>
    <w:rsid w:val="00B13B11"/>
    <w:rsid w:val="00B13CB3"/>
    <w:rsid w:val="00B149EB"/>
    <w:rsid w:val="00B1564C"/>
    <w:rsid w:val="00B15C9F"/>
    <w:rsid w:val="00B15CB4"/>
    <w:rsid w:val="00B16973"/>
    <w:rsid w:val="00B172CB"/>
    <w:rsid w:val="00B17FD4"/>
    <w:rsid w:val="00B20581"/>
    <w:rsid w:val="00B2070A"/>
    <w:rsid w:val="00B21567"/>
    <w:rsid w:val="00B21AA8"/>
    <w:rsid w:val="00B223D5"/>
    <w:rsid w:val="00B2283B"/>
    <w:rsid w:val="00B234A2"/>
    <w:rsid w:val="00B239F7"/>
    <w:rsid w:val="00B23D3D"/>
    <w:rsid w:val="00B249B3"/>
    <w:rsid w:val="00B24D24"/>
    <w:rsid w:val="00B24F21"/>
    <w:rsid w:val="00B25532"/>
    <w:rsid w:val="00B255E4"/>
    <w:rsid w:val="00B255F9"/>
    <w:rsid w:val="00B25679"/>
    <w:rsid w:val="00B25750"/>
    <w:rsid w:val="00B272F1"/>
    <w:rsid w:val="00B27B02"/>
    <w:rsid w:val="00B300A8"/>
    <w:rsid w:val="00B314C6"/>
    <w:rsid w:val="00B31740"/>
    <w:rsid w:val="00B321EB"/>
    <w:rsid w:val="00B323F0"/>
    <w:rsid w:val="00B329E1"/>
    <w:rsid w:val="00B32A42"/>
    <w:rsid w:val="00B3317C"/>
    <w:rsid w:val="00B332AB"/>
    <w:rsid w:val="00B34219"/>
    <w:rsid w:val="00B35889"/>
    <w:rsid w:val="00B35F9D"/>
    <w:rsid w:val="00B375FE"/>
    <w:rsid w:val="00B404C3"/>
    <w:rsid w:val="00B40733"/>
    <w:rsid w:val="00B40A16"/>
    <w:rsid w:val="00B40E18"/>
    <w:rsid w:val="00B41BA9"/>
    <w:rsid w:val="00B425F7"/>
    <w:rsid w:val="00B42FFC"/>
    <w:rsid w:val="00B430FD"/>
    <w:rsid w:val="00B434BD"/>
    <w:rsid w:val="00B4350C"/>
    <w:rsid w:val="00B4392E"/>
    <w:rsid w:val="00B43A55"/>
    <w:rsid w:val="00B447E6"/>
    <w:rsid w:val="00B44A9E"/>
    <w:rsid w:val="00B45781"/>
    <w:rsid w:val="00B45C75"/>
    <w:rsid w:val="00B47990"/>
    <w:rsid w:val="00B503D3"/>
    <w:rsid w:val="00B51856"/>
    <w:rsid w:val="00B51952"/>
    <w:rsid w:val="00B51B74"/>
    <w:rsid w:val="00B5298F"/>
    <w:rsid w:val="00B52F01"/>
    <w:rsid w:val="00B536F7"/>
    <w:rsid w:val="00B5384D"/>
    <w:rsid w:val="00B53B28"/>
    <w:rsid w:val="00B53F6C"/>
    <w:rsid w:val="00B55296"/>
    <w:rsid w:val="00B55C6F"/>
    <w:rsid w:val="00B5676B"/>
    <w:rsid w:val="00B56936"/>
    <w:rsid w:val="00B56F78"/>
    <w:rsid w:val="00B60DDA"/>
    <w:rsid w:val="00B616A5"/>
    <w:rsid w:val="00B6179D"/>
    <w:rsid w:val="00B6249C"/>
    <w:rsid w:val="00B62A92"/>
    <w:rsid w:val="00B63EED"/>
    <w:rsid w:val="00B64361"/>
    <w:rsid w:val="00B65697"/>
    <w:rsid w:val="00B659B9"/>
    <w:rsid w:val="00B65EEB"/>
    <w:rsid w:val="00B66006"/>
    <w:rsid w:val="00B67700"/>
    <w:rsid w:val="00B67D22"/>
    <w:rsid w:val="00B67E1D"/>
    <w:rsid w:val="00B701B4"/>
    <w:rsid w:val="00B70E98"/>
    <w:rsid w:val="00B718BE"/>
    <w:rsid w:val="00B71ABE"/>
    <w:rsid w:val="00B7214A"/>
    <w:rsid w:val="00B7268C"/>
    <w:rsid w:val="00B72BF7"/>
    <w:rsid w:val="00B73825"/>
    <w:rsid w:val="00B73935"/>
    <w:rsid w:val="00B73B2C"/>
    <w:rsid w:val="00B75419"/>
    <w:rsid w:val="00B76D5E"/>
    <w:rsid w:val="00B76DB3"/>
    <w:rsid w:val="00B77211"/>
    <w:rsid w:val="00B77614"/>
    <w:rsid w:val="00B77DA4"/>
    <w:rsid w:val="00B80676"/>
    <w:rsid w:val="00B81383"/>
    <w:rsid w:val="00B8181D"/>
    <w:rsid w:val="00B81912"/>
    <w:rsid w:val="00B8247B"/>
    <w:rsid w:val="00B833A2"/>
    <w:rsid w:val="00B8348E"/>
    <w:rsid w:val="00B842B8"/>
    <w:rsid w:val="00B84E64"/>
    <w:rsid w:val="00B85013"/>
    <w:rsid w:val="00B85689"/>
    <w:rsid w:val="00B86950"/>
    <w:rsid w:val="00B86BBF"/>
    <w:rsid w:val="00B86C3D"/>
    <w:rsid w:val="00B87723"/>
    <w:rsid w:val="00B87C5A"/>
    <w:rsid w:val="00B90F71"/>
    <w:rsid w:val="00B9201E"/>
    <w:rsid w:val="00B92ABB"/>
    <w:rsid w:val="00B92ED9"/>
    <w:rsid w:val="00B92EE7"/>
    <w:rsid w:val="00B93861"/>
    <w:rsid w:val="00B93F52"/>
    <w:rsid w:val="00B96563"/>
    <w:rsid w:val="00B9705B"/>
    <w:rsid w:val="00B979BB"/>
    <w:rsid w:val="00B979FB"/>
    <w:rsid w:val="00BA0B83"/>
    <w:rsid w:val="00BA1AA2"/>
    <w:rsid w:val="00BA2863"/>
    <w:rsid w:val="00BA4098"/>
    <w:rsid w:val="00BA58F7"/>
    <w:rsid w:val="00BA6A80"/>
    <w:rsid w:val="00BA6D99"/>
    <w:rsid w:val="00BA6F87"/>
    <w:rsid w:val="00BA7B57"/>
    <w:rsid w:val="00BB1CF3"/>
    <w:rsid w:val="00BB204A"/>
    <w:rsid w:val="00BB311F"/>
    <w:rsid w:val="00BB327D"/>
    <w:rsid w:val="00BB337E"/>
    <w:rsid w:val="00BB4579"/>
    <w:rsid w:val="00BB488B"/>
    <w:rsid w:val="00BB5B70"/>
    <w:rsid w:val="00BB68E8"/>
    <w:rsid w:val="00BC0122"/>
    <w:rsid w:val="00BC0542"/>
    <w:rsid w:val="00BC0B30"/>
    <w:rsid w:val="00BC0C32"/>
    <w:rsid w:val="00BC150E"/>
    <w:rsid w:val="00BC20A9"/>
    <w:rsid w:val="00BC22D2"/>
    <w:rsid w:val="00BC257F"/>
    <w:rsid w:val="00BC39F9"/>
    <w:rsid w:val="00BC3AED"/>
    <w:rsid w:val="00BC4263"/>
    <w:rsid w:val="00BC4370"/>
    <w:rsid w:val="00BC53F8"/>
    <w:rsid w:val="00BC5698"/>
    <w:rsid w:val="00BC5882"/>
    <w:rsid w:val="00BC5DF9"/>
    <w:rsid w:val="00BC6335"/>
    <w:rsid w:val="00BC72BF"/>
    <w:rsid w:val="00BC7A79"/>
    <w:rsid w:val="00BD0040"/>
    <w:rsid w:val="00BD0CB8"/>
    <w:rsid w:val="00BD1034"/>
    <w:rsid w:val="00BD12AC"/>
    <w:rsid w:val="00BD15D9"/>
    <w:rsid w:val="00BD1938"/>
    <w:rsid w:val="00BD216C"/>
    <w:rsid w:val="00BD22BE"/>
    <w:rsid w:val="00BD24ED"/>
    <w:rsid w:val="00BD29C0"/>
    <w:rsid w:val="00BD2C5A"/>
    <w:rsid w:val="00BD3C13"/>
    <w:rsid w:val="00BD3C8A"/>
    <w:rsid w:val="00BD4831"/>
    <w:rsid w:val="00BD4F9C"/>
    <w:rsid w:val="00BD53F6"/>
    <w:rsid w:val="00BD58EE"/>
    <w:rsid w:val="00BD5B89"/>
    <w:rsid w:val="00BD61B1"/>
    <w:rsid w:val="00BD6442"/>
    <w:rsid w:val="00BD6AE1"/>
    <w:rsid w:val="00BD6BCD"/>
    <w:rsid w:val="00BD6C51"/>
    <w:rsid w:val="00BD7A66"/>
    <w:rsid w:val="00BE0075"/>
    <w:rsid w:val="00BE00EA"/>
    <w:rsid w:val="00BE06AD"/>
    <w:rsid w:val="00BE0F08"/>
    <w:rsid w:val="00BE12F5"/>
    <w:rsid w:val="00BE23C0"/>
    <w:rsid w:val="00BE2D47"/>
    <w:rsid w:val="00BE2F4D"/>
    <w:rsid w:val="00BE359B"/>
    <w:rsid w:val="00BE39A1"/>
    <w:rsid w:val="00BE430B"/>
    <w:rsid w:val="00BE4BAE"/>
    <w:rsid w:val="00BE55CE"/>
    <w:rsid w:val="00BE58A3"/>
    <w:rsid w:val="00BE6399"/>
    <w:rsid w:val="00BE716A"/>
    <w:rsid w:val="00BE72AE"/>
    <w:rsid w:val="00BE730B"/>
    <w:rsid w:val="00BE7711"/>
    <w:rsid w:val="00BE7C07"/>
    <w:rsid w:val="00BE7C56"/>
    <w:rsid w:val="00BE7D2F"/>
    <w:rsid w:val="00BF0B55"/>
    <w:rsid w:val="00BF232E"/>
    <w:rsid w:val="00BF24A5"/>
    <w:rsid w:val="00BF2A88"/>
    <w:rsid w:val="00BF3B7B"/>
    <w:rsid w:val="00BF4473"/>
    <w:rsid w:val="00BF4D1D"/>
    <w:rsid w:val="00BF54B8"/>
    <w:rsid w:val="00BF5524"/>
    <w:rsid w:val="00BF56DB"/>
    <w:rsid w:val="00BF63D0"/>
    <w:rsid w:val="00BF686F"/>
    <w:rsid w:val="00BF698F"/>
    <w:rsid w:val="00BF7773"/>
    <w:rsid w:val="00BF7FC2"/>
    <w:rsid w:val="00C0088B"/>
    <w:rsid w:val="00C01BFB"/>
    <w:rsid w:val="00C02FB7"/>
    <w:rsid w:val="00C03289"/>
    <w:rsid w:val="00C0384C"/>
    <w:rsid w:val="00C039BC"/>
    <w:rsid w:val="00C04294"/>
    <w:rsid w:val="00C04B3A"/>
    <w:rsid w:val="00C04D84"/>
    <w:rsid w:val="00C04E0A"/>
    <w:rsid w:val="00C05402"/>
    <w:rsid w:val="00C05614"/>
    <w:rsid w:val="00C0741C"/>
    <w:rsid w:val="00C1035B"/>
    <w:rsid w:val="00C1038D"/>
    <w:rsid w:val="00C10538"/>
    <w:rsid w:val="00C11145"/>
    <w:rsid w:val="00C116C1"/>
    <w:rsid w:val="00C11988"/>
    <w:rsid w:val="00C119F4"/>
    <w:rsid w:val="00C11F1A"/>
    <w:rsid w:val="00C123A6"/>
    <w:rsid w:val="00C125F7"/>
    <w:rsid w:val="00C12AD9"/>
    <w:rsid w:val="00C12D9D"/>
    <w:rsid w:val="00C13618"/>
    <w:rsid w:val="00C1429A"/>
    <w:rsid w:val="00C14940"/>
    <w:rsid w:val="00C1513A"/>
    <w:rsid w:val="00C156D5"/>
    <w:rsid w:val="00C15B44"/>
    <w:rsid w:val="00C15FEF"/>
    <w:rsid w:val="00C16869"/>
    <w:rsid w:val="00C17FC5"/>
    <w:rsid w:val="00C20790"/>
    <w:rsid w:val="00C208A4"/>
    <w:rsid w:val="00C21DE4"/>
    <w:rsid w:val="00C22C4C"/>
    <w:rsid w:val="00C23261"/>
    <w:rsid w:val="00C236C0"/>
    <w:rsid w:val="00C23CFF"/>
    <w:rsid w:val="00C240C2"/>
    <w:rsid w:val="00C24299"/>
    <w:rsid w:val="00C2497D"/>
    <w:rsid w:val="00C24BAD"/>
    <w:rsid w:val="00C25C2D"/>
    <w:rsid w:val="00C25E30"/>
    <w:rsid w:val="00C265B0"/>
    <w:rsid w:val="00C27A64"/>
    <w:rsid w:val="00C27D8E"/>
    <w:rsid w:val="00C303C0"/>
    <w:rsid w:val="00C30A8D"/>
    <w:rsid w:val="00C30B79"/>
    <w:rsid w:val="00C31B24"/>
    <w:rsid w:val="00C31C84"/>
    <w:rsid w:val="00C324EB"/>
    <w:rsid w:val="00C325B4"/>
    <w:rsid w:val="00C332BA"/>
    <w:rsid w:val="00C33DB5"/>
    <w:rsid w:val="00C35565"/>
    <w:rsid w:val="00C3572D"/>
    <w:rsid w:val="00C35A65"/>
    <w:rsid w:val="00C35D01"/>
    <w:rsid w:val="00C36A13"/>
    <w:rsid w:val="00C36F45"/>
    <w:rsid w:val="00C37BBF"/>
    <w:rsid w:val="00C37C85"/>
    <w:rsid w:val="00C37F8E"/>
    <w:rsid w:val="00C40824"/>
    <w:rsid w:val="00C40B15"/>
    <w:rsid w:val="00C40B88"/>
    <w:rsid w:val="00C40F8B"/>
    <w:rsid w:val="00C412FF"/>
    <w:rsid w:val="00C415FB"/>
    <w:rsid w:val="00C41BAD"/>
    <w:rsid w:val="00C421D6"/>
    <w:rsid w:val="00C428F0"/>
    <w:rsid w:val="00C42E5C"/>
    <w:rsid w:val="00C43D06"/>
    <w:rsid w:val="00C43D87"/>
    <w:rsid w:val="00C43ED2"/>
    <w:rsid w:val="00C44668"/>
    <w:rsid w:val="00C44B48"/>
    <w:rsid w:val="00C450CA"/>
    <w:rsid w:val="00C45F92"/>
    <w:rsid w:val="00C460DA"/>
    <w:rsid w:val="00C4679A"/>
    <w:rsid w:val="00C477C6"/>
    <w:rsid w:val="00C507AD"/>
    <w:rsid w:val="00C50F53"/>
    <w:rsid w:val="00C51914"/>
    <w:rsid w:val="00C5199C"/>
    <w:rsid w:val="00C51AC4"/>
    <w:rsid w:val="00C52CB7"/>
    <w:rsid w:val="00C52FB1"/>
    <w:rsid w:val="00C535DA"/>
    <w:rsid w:val="00C53CE5"/>
    <w:rsid w:val="00C54FF3"/>
    <w:rsid w:val="00C5523B"/>
    <w:rsid w:val="00C55982"/>
    <w:rsid w:val="00C55D87"/>
    <w:rsid w:val="00C56948"/>
    <w:rsid w:val="00C56A09"/>
    <w:rsid w:val="00C5762C"/>
    <w:rsid w:val="00C57903"/>
    <w:rsid w:val="00C57A77"/>
    <w:rsid w:val="00C60180"/>
    <w:rsid w:val="00C60A6F"/>
    <w:rsid w:val="00C60CD8"/>
    <w:rsid w:val="00C61A3F"/>
    <w:rsid w:val="00C61A4B"/>
    <w:rsid w:val="00C62115"/>
    <w:rsid w:val="00C62137"/>
    <w:rsid w:val="00C624ED"/>
    <w:rsid w:val="00C626BF"/>
    <w:rsid w:val="00C6297C"/>
    <w:rsid w:val="00C639AF"/>
    <w:rsid w:val="00C64184"/>
    <w:rsid w:val="00C64271"/>
    <w:rsid w:val="00C65E6B"/>
    <w:rsid w:val="00C66F59"/>
    <w:rsid w:val="00C67039"/>
    <w:rsid w:val="00C67356"/>
    <w:rsid w:val="00C67588"/>
    <w:rsid w:val="00C6765B"/>
    <w:rsid w:val="00C67D5F"/>
    <w:rsid w:val="00C67DE5"/>
    <w:rsid w:val="00C7004C"/>
    <w:rsid w:val="00C70819"/>
    <w:rsid w:val="00C70A04"/>
    <w:rsid w:val="00C70BBB"/>
    <w:rsid w:val="00C7227E"/>
    <w:rsid w:val="00C72B23"/>
    <w:rsid w:val="00C72DEE"/>
    <w:rsid w:val="00C733FB"/>
    <w:rsid w:val="00C738CE"/>
    <w:rsid w:val="00C73913"/>
    <w:rsid w:val="00C7409B"/>
    <w:rsid w:val="00C74667"/>
    <w:rsid w:val="00C74A16"/>
    <w:rsid w:val="00C75000"/>
    <w:rsid w:val="00C75FAF"/>
    <w:rsid w:val="00C76420"/>
    <w:rsid w:val="00C768F3"/>
    <w:rsid w:val="00C77565"/>
    <w:rsid w:val="00C77CC8"/>
    <w:rsid w:val="00C77EB2"/>
    <w:rsid w:val="00C803FC"/>
    <w:rsid w:val="00C8131B"/>
    <w:rsid w:val="00C81546"/>
    <w:rsid w:val="00C81C27"/>
    <w:rsid w:val="00C81D4F"/>
    <w:rsid w:val="00C828F2"/>
    <w:rsid w:val="00C82BFE"/>
    <w:rsid w:val="00C8478E"/>
    <w:rsid w:val="00C84C7A"/>
    <w:rsid w:val="00C8554B"/>
    <w:rsid w:val="00C85A08"/>
    <w:rsid w:val="00C864FB"/>
    <w:rsid w:val="00C86B49"/>
    <w:rsid w:val="00C8748D"/>
    <w:rsid w:val="00C87C36"/>
    <w:rsid w:val="00C9053A"/>
    <w:rsid w:val="00C9233E"/>
    <w:rsid w:val="00C92548"/>
    <w:rsid w:val="00C92AFE"/>
    <w:rsid w:val="00C92DE1"/>
    <w:rsid w:val="00C94D80"/>
    <w:rsid w:val="00C959B9"/>
    <w:rsid w:val="00C95B21"/>
    <w:rsid w:val="00C96738"/>
    <w:rsid w:val="00C97164"/>
    <w:rsid w:val="00C97BCA"/>
    <w:rsid w:val="00C97C2F"/>
    <w:rsid w:val="00C97D9C"/>
    <w:rsid w:val="00CA1158"/>
    <w:rsid w:val="00CA12C1"/>
    <w:rsid w:val="00CA1470"/>
    <w:rsid w:val="00CA2853"/>
    <w:rsid w:val="00CA2A88"/>
    <w:rsid w:val="00CA2B80"/>
    <w:rsid w:val="00CA36FD"/>
    <w:rsid w:val="00CA370C"/>
    <w:rsid w:val="00CA3A1F"/>
    <w:rsid w:val="00CA445F"/>
    <w:rsid w:val="00CA4E35"/>
    <w:rsid w:val="00CA4E87"/>
    <w:rsid w:val="00CA4FA0"/>
    <w:rsid w:val="00CA5120"/>
    <w:rsid w:val="00CA5D08"/>
    <w:rsid w:val="00CA6D11"/>
    <w:rsid w:val="00CB00A2"/>
    <w:rsid w:val="00CB0219"/>
    <w:rsid w:val="00CB0BA2"/>
    <w:rsid w:val="00CB194A"/>
    <w:rsid w:val="00CB3A44"/>
    <w:rsid w:val="00CB4B3D"/>
    <w:rsid w:val="00CB4E2F"/>
    <w:rsid w:val="00CB5C41"/>
    <w:rsid w:val="00CB666F"/>
    <w:rsid w:val="00CB6704"/>
    <w:rsid w:val="00CB6A4D"/>
    <w:rsid w:val="00CB6CF5"/>
    <w:rsid w:val="00CB76AB"/>
    <w:rsid w:val="00CB7A35"/>
    <w:rsid w:val="00CB7DD6"/>
    <w:rsid w:val="00CC037C"/>
    <w:rsid w:val="00CC11B5"/>
    <w:rsid w:val="00CC172D"/>
    <w:rsid w:val="00CC3054"/>
    <w:rsid w:val="00CC306E"/>
    <w:rsid w:val="00CC3086"/>
    <w:rsid w:val="00CC353B"/>
    <w:rsid w:val="00CC3F25"/>
    <w:rsid w:val="00CC482F"/>
    <w:rsid w:val="00CC6107"/>
    <w:rsid w:val="00CC6186"/>
    <w:rsid w:val="00CC61DB"/>
    <w:rsid w:val="00CD07D6"/>
    <w:rsid w:val="00CD241F"/>
    <w:rsid w:val="00CD2433"/>
    <w:rsid w:val="00CD2B9A"/>
    <w:rsid w:val="00CD488E"/>
    <w:rsid w:val="00CD4FCD"/>
    <w:rsid w:val="00CD5169"/>
    <w:rsid w:val="00CD5408"/>
    <w:rsid w:val="00CD5A2D"/>
    <w:rsid w:val="00CD5EB0"/>
    <w:rsid w:val="00CD607D"/>
    <w:rsid w:val="00CD60F9"/>
    <w:rsid w:val="00CD6607"/>
    <w:rsid w:val="00CD6727"/>
    <w:rsid w:val="00CD6766"/>
    <w:rsid w:val="00CE0525"/>
    <w:rsid w:val="00CE074F"/>
    <w:rsid w:val="00CE16AB"/>
    <w:rsid w:val="00CE2A17"/>
    <w:rsid w:val="00CE2CAE"/>
    <w:rsid w:val="00CE4608"/>
    <w:rsid w:val="00CE52B8"/>
    <w:rsid w:val="00CE5BE6"/>
    <w:rsid w:val="00CE628B"/>
    <w:rsid w:val="00CE6A2C"/>
    <w:rsid w:val="00CE7158"/>
    <w:rsid w:val="00CE71D5"/>
    <w:rsid w:val="00CE750B"/>
    <w:rsid w:val="00CE758E"/>
    <w:rsid w:val="00CF015E"/>
    <w:rsid w:val="00CF0C25"/>
    <w:rsid w:val="00CF1052"/>
    <w:rsid w:val="00CF12F6"/>
    <w:rsid w:val="00CF176D"/>
    <w:rsid w:val="00CF1825"/>
    <w:rsid w:val="00CF1C55"/>
    <w:rsid w:val="00CF2374"/>
    <w:rsid w:val="00CF262C"/>
    <w:rsid w:val="00CF2A1B"/>
    <w:rsid w:val="00CF3394"/>
    <w:rsid w:val="00CF3CC8"/>
    <w:rsid w:val="00CF4127"/>
    <w:rsid w:val="00CF5947"/>
    <w:rsid w:val="00CF61A8"/>
    <w:rsid w:val="00CF7D4B"/>
    <w:rsid w:val="00D0017D"/>
    <w:rsid w:val="00D00396"/>
    <w:rsid w:val="00D00F53"/>
    <w:rsid w:val="00D01313"/>
    <w:rsid w:val="00D014F4"/>
    <w:rsid w:val="00D0168D"/>
    <w:rsid w:val="00D0206D"/>
    <w:rsid w:val="00D0224F"/>
    <w:rsid w:val="00D024A8"/>
    <w:rsid w:val="00D024F4"/>
    <w:rsid w:val="00D02CBF"/>
    <w:rsid w:val="00D035CB"/>
    <w:rsid w:val="00D042AD"/>
    <w:rsid w:val="00D04439"/>
    <w:rsid w:val="00D05234"/>
    <w:rsid w:val="00D055E8"/>
    <w:rsid w:val="00D060FF"/>
    <w:rsid w:val="00D06456"/>
    <w:rsid w:val="00D06694"/>
    <w:rsid w:val="00D06793"/>
    <w:rsid w:val="00D0686E"/>
    <w:rsid w:val="00D06F48"/>
    <w:rsid w:val="00D1009B"/>
    <w:rsid w:val="00D10253"/>
    <w:rsid w:val="00D10472"/>
    <w:rsid w:val="00D1098D"/>
    <w:rsid w:val="00D11EEA"/>
    <w:rsid w:val="00D12970"/>
    <w:rsid w:val="00D13702"/>
    <w:rsid w:val="00D13CED"/>
    <w:rsid w:val="00D13D17"/>
    <w:rsid w:val="00D13EDE"/>
    <w:rsid w:val="00D13F1D"/>
    <w:rsid w:val="00D146EA"/>
    <w:rsid w:val="00D160B3"/>
    <w:rsid w:val="00D16439"/>
    <w:rsid w:val="00D16992"/>
    <w:rsid w:val="00D16FFF"/>
    <w:rsid w:val="00D20404"/>
    <w:rsid w:val="00D20539"/>
    <w:rsid w:val="00D205C0"/>
    <w:rsid w:val="00D20A04"/>
    <w:rsid w:val="00D20A84"/>
    <w:rsid w:val="00D20F94"/>
    <w:rsid w:val="00D2140A"/>
    <w:rsid w:val="00D21D5A"/>
    <w:rsid w:val="00D21D73"/>
    <w:rsid w:val="00D2248A"/>
    <w:rsid w:val="00D225A0"/>
    <w:rsid w:val="00D22855"/>
    <w:rsid w:val="00D2369E"/>
    <w:rsid w:val="00D245DC"/>
    <w:rsid w:val="00D256C9"/>
    <w:rsid w:val="00D26A9B"/>
    <w:rsid w:val="00D26FEC"/>
    <w:rsid w:val="00D2700F"/>
    <w:rsid w:val="00D30951"/>
    <w:rsid w:val="00D31DEE"/>
    <w:rsid w:val="00D32350"/>
    <w:rsid w:val="00D323B2"/>
    <w:rsid w:val="00D331AB"/>
    <w:rsid w:val="00D3337B"/>
    <w:rsid w:val="00D33E1D"/>
    <w:rsid w:val="00D3485E"/>
    <w:rsid w:val="00D35348"/>
    <w:rsid w:val="00D35750"/>
    <w:rsid w:val="00D357F1"/>
    <w:rsid w:val="00D35C57"/>
    <w:rsid w:val="00D368D8"/>
    <w:rsid w:val="00D36C5E"/>
    <w:rsid w:val="00D37B49"/>
    <w:rsid w:val="00D4016F"/>
    <w:rsid w:val="00D40D6C"/>
    <w:rsid w:val="00D41486"/>
    <w:rsid w:val="00D414D0"/>
    <w:rsid w:val="00D417D5"/>
    <w:rsid w:val="00D41A81"/>
    <w:rsid w:val="00D41EAB"/>
    <w:rsid w:val="00D41F0B"/>
    <w:rsid w:val="00D42205"/>
    <w:rsid w:val="00D439A5"/>
    <w:rsid w:val="00D43B00"/>
    <w:rsid w:val="00D43E9B"/>
    <w:rsid w:val="00D44550"/>
    <w:rsid w:val="00D44799"/>
    <w:rsid w:val="00D457F3"/>
    <w:rsid w:val="00D45868"/>
    <w:rsid w:val="00D464F1"/>
    <w:rsid w:val="00D468AB"/>
    <w:rsid w:val="00D47C74"/>
    <w:rsid w:val="00D50927"/>
    <w:rsid w:val="00D516BA"/>
    <w:rsid w:val="00D51866"/>
    <w:rsid w:val="00D51C08"/>
    <w:rsid w:val="00D51F1B"/>
    <w:rsid w:val="00D5349C"/>
    <w:rsid w:val="00D55445"/>
    <w:rsid w:val="00D55C64"/>
    <w:rsid w:val="00D56015"/>
    <w:rsid w:val="00D5620C"/>
    <w:rsid w:val="00D56915"/>
    <w:rsid w:val="00D57A33"/>
    <w:rsid w:val="00D608F1"/>
    <w:rsid w:val="00D609BA"/>
    <w:rsid w:val="00D60AFE"/>
    <w:rsid w:val="00D60CD3"/>
    <w:rsid w:val="00D61C05"/>
    <w:rsid w:val="00D61CBB"/>
    <w:rsid w:val="00D62662"/>
    <w:rsid w:val="00D62867"/>
    <w:rsid w:val="00D63029"/>
    <w:rsid w:val="00D6393F"/>
    <w:rsid w:val="00D63CDB"/>
    <w:rsid w:val="00D63CEE"/>
    <w:rsid w:val="00D642BE"/>
    <w:rsid w:val="00D64703"/>
    <w:rsid w:val="00D654DD"/>
    <w:rsid w:val="00D6583A"/>
    <w:rsid w:val="00D67854"/>
    <w:rsid w:val="00D70103"/>
    <w:rsid w:val="00D711E6"/>
    <w:rsid w:val="00D714ED"/>
    <w:rsid w:val="00D71A6B"/>
    <w:rsid w:val="00D72343"/>
    <w:rsid w:val="00D726E9"/>
    <w:rsid w:val="00D73919"/>
    <w:rsid w:val="00D74064"/>
    <w:rsid w:val="00D7448C"/>
    <w:rsid w:val="00D75708"/>
    <w:rsid w:val="00D7604F"/>
    <w:rsid w:val="00D76603"/>
    <w:rsid w:val="00D767EE"/>
    <w:rsid w:val="00D76D82"/>
    <w:rsid w:val="00D77084"/>
    <w:rsid w:val="00D77168"/>
    <w:rsid w:val="00D77C20"/>
    <w:rsid w:val="00D80284"/>
    <w:rsid w:val="00D802DF"/>
    <w:rsid w:val="00D80727"/>
    <w:rsid w:val="00D80B13"/>
    <w:rsid w:val="00D811F3"/>
    <w:rsid w:val="00D82957"/>
    <w:rsid w:val="00D82B26"/>
    <w:rsid w:val="00D835D7"/>
    <w:rsid w:val="00D839E6"/>
    <w:rsid w:val="00D8476E"/>
    <w:rsid w:val="00D84D41"/>
    <w:rsid w:val="00D85C2D"/>
    <w:rsid w:val="00D85CDD"/>
    <w:rsid w:val="00D85DEF"/>
    <w:rsid w:val="00D867C9"/>
    <w:rsid w:val="00D86AF5"/>
    <w:rsid w:val="00D86DC2"/>
    <w:rsid w:val="00D8702B"/>
    <w:rsid w:val="00D873B3"/>
    <w:rsid w:val="00D900DD"/>
    <w:rsid w:val="00D90426"/>
    <w:rsid w:val="00D90ACE"/>
    <w:rsid w:val="00D91759"/>
    <w:rsid w:val="00D91AFC"/>
    <w:rsid w:val="00D91DDC"/>
    <w:rsid w:val="00D9238A"/>
    <w:rsid w:val="00D92687"/>
    <w:rsid w:val="00D92919"/>
    <w:rsid w:val="00D92B4E"/>
    <w:rsid w:val="00D92F57"/>
    <w:rsid w:val="00D93882"/>
    <w:rsid w:val="00D93B9F"/>
    <w:rsid w:val="00D93C5D"/>
    <w:rsid w:val="00D93F7D"/>
    <w:rsid w:val="00D94B40"/>
    <w:rsid w:val="00D94C7C"/>
    <w:rsid w:val="00D95955"/>
    <w:rsid w:val="00D95C14"/>
    <w:rsid w:val="00D96B02"/>
    <w:rsid w:val="00DA01EF"/>
    <w:rsid w:val="00DA05C2"/>
    <w:rsid w:val="00DA0E47"/>
    <w:rsid w:val="00DA0E69"/>
    <w:rsid w:val="00DA12FB"/>
    <w:rsid w:val="00DA1E73"/>
    <w:rsid w:val="00DA20E0"/>
    <w:rsid w:val="00DA24CE"/>
    <w:rsid w:val="00DA2EB1"/>
    <w:rsid w:val="00DA33CC"/>
    <w:rsid w:val="00DA343D"/>
    <w:rsid w:val="00DA3ABA"/>
    <w:rsid w:val="00DA4987"/>
    <w:rsid w:val="00DA49F9"/>
    <w:rsid w:val="00DA523F"/>
    <w:rsid w:val="00DA5A79"/>
    <w:rsid w:val="00DA5BD0"/>
    <w:rsid w:val="00DA7005"/>
    <w:rsid w:val="00DA718A"/>
    <w:rsid w:val="00DA75A4"/>
    <w:rsid w:val="00DA7B75"/>
    <w:rsid w:val="00DB04CA"/>
    <w:rsid w:val="00DB09D2"/>
    <w:rsid w:val="00DB0B44"/>
    <w:rsid w:val="00DB288B"/>
    <w:rsid w:val="00DB2BC8"/>
    <w:rsid w:val="00DB3EFA"/>
    <w:rsid w:val="00DB44FC"/>
    <w:rsid w:val="00DB4ACB"/>
    <w:rsid w:val="00DB4D50"/>
    <w:rsid w:val="00DB668F"/>
    <w:rsid w:val="00DB6815"/>
    <w:rsid w:val="00DB690C"/>
    <w:rsid w:val="00DB6EEC"/>
    <w:rsid w:val="00DB75AD"/>
    <w:rsid w:val="00DC2122"/>
    <w:rsid w:val="00DC2AE9"/>
    <w:rsid w:val="00DC3B4E"/>
    <w:rsid w:val="00DC4AB8"/>
    <w:rsid w:val="00DC5D16"/>
    <w:rsid w:val="00DC7174"/>
    <w:rsid w:val="00DC7A5A"/>
    <w:rsid w:val="00DD152F"/>
    <w:rsid w:val="00DD1B61"/>
    <w:rsid w:val="00DD1D8A"/>
    <w:rsid w:val="00DD2AF0"/>
    <w:rsid w:val="00DD2E83"/>
    <w:rsid w:val="00DD2F91"/>
    <w:rsid w:val="00DD3707"/>
    <w:rsid w:val="00DD3811"/>
    <w:rsid w:val="00DD3943"/>
    <w:rsid w:val="00DD3DB8"/>
    <w:rsid w:val="00DD3EC4"/>
    <w:rsid w:val="00DD4760"/>
    <w:rsid w:val="00DD4B8D"/>
    <w:rsid w:val="00DD566E"/>
    <w:rsid w:val="00DD57DF"/>
    <w:rsid w:val="00DD646A"/>
    <w:rsid w:val="00DD6F2B"/>
    <w:rsid w:val="00DD7405"/>
    <w:rsid w:val="00DD74C1"/>
    <w:rsid w:val="00DD7779"/>
    <w:rsid w:val="00DD79CD"/>
    <w:rsid w:val="00DD7ECF"/>
    <w:rsid w:val="00DE023E"/>
    <w:rsid w:val="00DE0599"/>
    <w:rsid w:val="00DE1198"/>
    <w:rsid w:val="00DE137B"/>
    <w:rsid w:val="00DE2B86"/>
    <w:rsid w:val="00DE3AAB"/>
    <w:rsid w:val="00DE3B17"/>
    <w:rsid w:val="00DE46BE"/>
    <w:rsid w:val="00DE6C0E"/>
    <w:rsid w:val="00DE6FAE"/>
    <w:rsid w:val="00DF023C"/>
    <w:rsid w:val="00DF0FFA"/>
    <w:rsid w:val="00DF14EB"/>
    <w:rsid w:val="00DF2085"/>
    <w:rsid w:val="00DF2951"/>
    <w:rsid w:val="00DF2E6B"/>
    <w:rsid w:val="00DF336D"/>
    <w:rsid w:val="00DF3D45"/>
    <w:rsid w:val="00DF3ED2"/>
    <w:rsid w:val="00DF44AA"/>
    <w:rsid w:val="00DF4FB9"/>
    <w:rsid w:val="00DF561C"/>
    <w:rsid w:val="00DF6576"/>
    <w:rsid w:val="00DF6A6F"/>
    <w:rsid w:val="00DF6C4A"/>
    <w:rsid w:val="00DF7528"/>
    <w:rsid w:val="00DF76D7"/>
    <w:rsid w:val="00DF7A51"/>
    <w:rsid w:val="00DF7A54"/>
    <w:rsid w:val="00E00285"/>
    <w:rsid w:val="00E00FCA"/>
    <w:rsid w:val="00E01B07"/>
    <w:rsid w:val="00E01EB4"/>
    <w:rsid w:val="00E02F5E"/>
    <w:rsid w:val="00E054DE"/>
    <w:rsid w:val="00E055E8"/>
    <w:rsid w:val="00E0581C"/>
    <w:rsid w:val="00E05DF3"/>
    <w:rsid w:val="00E06132"/>
    <w:rsid w:val="00E06275"/>
    <w:rsid w:val="00E070A6"/>
    <w:rsid w:val="00E07201"/>
    <w:rsid w:val="00E078B3"/>
    <w:rsid w:val="00E07EA8"/>
    <w:rsid w:val="00E1037B"/>
    <w:rsid w:val="00E10829"/>
    <w:rsid w:val="00E111CC"/>
    <w:rsid w:val="00E11309"/>
    <w:rsid w:val="00E11E6C"/>
    <w:rsid w:val="00E135E9"/>
    <w:rsid w:val="00E13C7B"/>
    <w:rsid w:val="00E15152"/>
    <w:rsid w:val="00E15335"/>
    <w:rsid w:val="00E15468"/>
    <w:rsid w:val="00E15B34"/>
    <w:rsid w:val="00E171B1"/>
    <w:rsid w:val="00E17FF4"/>
    <w:rsid w:val="00E2017D"/>
    <w:rsid w:val="00E206C7"/>
    <w:rsid w:val="00E20765"/>
    <w:rsid w:val="00E20866"/>
    <w:rsid w:val="00E20DD8"/>
    <w:rsid w:val="00E21417"/>
    <w:rsid w:val="00E214DA"/>
    <w:rsid w:val="00E219AC"/>
    <w:rsid w:val="00E21D67"/>
    <w:rsid w:val="00E22344"/>
    <w:rsid w:val="00E22D37"/>
    <w:rsid w:val="00E2394D"/>
    <w:rsid w:val="00E24390"/>
    <w:rsid w:val="00E26076"/>
    <w:rsid w:val="00E26C26"/>
    <w:rsid w:val="00E26E17"/>
    <w:rsid w:val="00E27034"/>
    <w:rsid w:val="00E27972"/>
    <w:rsid w:val="00E27A86"/>
    <w:rsid w:val="00E301A5"/>
    <w:rsid w:val="00E30AFF"/>
    <w:rsid w:val="00E31607"/>
    <w:rsid w:val="00E316E6"/>
    <w:rsid w:val="00E31A63"/>
    <w:rsid w:val="00E31AB9"/>
    <w:rsid w:val="00E31C29"/>
    <w:rsid w:val="00E32702"/>
    <w:rsid w:val="00E328FB"/>
    <w:rsid w:val="00E32D90"/>
    <w:rsid w:val="00E32F75"/>
    <w:rsid w:val="00E35021"/>
    <w:rsid w:val="00E3539A"/>
    <w:rsid w:val="00E35CBE"/>
    <w:rsid w:val="00E36483"/>
    <w:rsid w:val="00E367E0"/>
    <w:rsid w:val="00E37679"/>
    <w:rsid w:val="00E377A7"/>
    <w:rsid w:val="00E40118"/>
    <w:rsid w:val="00E40E02"/>
    <w:rsid w:val="00E4334B"/>
    <w:rsid w:val="00E437AF"/>
    <w:rsid w:val="00E43A1E"/>
    <w:rsid w:val="00E43A5B"/>
    <w:rsid w:val="00E43BDC"/>
    <w:rsid w:val="00E43D9E"/>
    <w:rsid w:val="00E4409C"/>
    <w:rsid w:val="00E4603B"/>
    <w:rsid w:val="00E46184"/>
    <w:rsid w:val="00E463D0"/>
    <w:rsid w:val="00E46B4A"/>
    <w:rsid w:val="00E46BE2"/>
    <w:rsid w:val="00E47010"/>
    <w:rsid w:val="00E47EDA"/>
    <w:rsid w:val="00E501D2"/>
    <w:rsid w:val="00E506D6"/>
    <w:rsid w:val="00E51414"/>
    <w:rsid w:val="00E521F5"/>
    <w:rsid w:val="00E52427"/>
    <w:rsid w:val="00E52C56"/>
    <w:rsid w:val="00E53502"/>
    <w:rsid w:val="00E5361C"/>
    <w:rsid w:val="00E536B3"/>
    <w:rsid w:val="00E53B33"/>
    <w:rsid w:val="00E54131"/>
    <w:rsid w:val="00E5494D"/>
    <w:rsid w:val="00E549EE"/>
    <w:rsid w:val="00E5552F"/>
    <w:rsid w:val="00E55821"/>
    <w:rsid w:val="00E55D57"/>
    <w:rsid w:val="00E5680F"/>
    <w:rsid w:val="00E56968"/>
    <w:rsid w:val="00E56AA2"/>
    <w:rsid w:val="00E57476"/>
    <w:rsid w:val="00E57A9A"/>
    <w:rsid w:val="00E57D0C"/>
    <w:rsid w:val="00E60805"/>
    <w:rsid w:val="00E60F95"/>
    <w:rsid w:val="00E61BB6"/>
    <w:rsid w:val="00E61CCF"/>
    <w:rsid w:val="00E626D1"/>
    <w:rsid w:val="00E6281D"/>
    <w:rsid w:val="00E6285D"/>
    <w:rsid w:val="00E633D8"/>
    <w:rsid w:val="00E63639"/>
    <w:rsid w:val="00E63729"/>
    <w:rsid w:val="00E6437A"/>
    <w:rsid w:val="00E64990"/>
    <w:rsid w:val="00E64B3C"/>
    <w:rsid w:val="00E65748"/>
    <w:rsid w:val="00E65ED4"/>
    <w:rsid w:val="00E67819"/>
    <w:rsid w:val="00E67883"/>
    <w:rsid w:val="00E67965"/>
    <w:rsid w:val="00E7021A"/>
    <w:rsid w:val="00E70FC5"/>
    <w:rsid w:val="00E71022"/>
    <w:rsid w:val="00E71112"/>
    <w:rsid w:val="00E71362"/>
    <w:rsid w:val="00E7162E"/>
    <w:rsid w:val="00E7195F"/>
    <w:rsid w:val="00E7257A"/>
    <w:rsid w:val="00E729D9"/>
    <w:rsid w:val="00E72DC7"/>
    <w:rsid w:val="00E72DD1"/>
    <w:rsid w:val="00E7361A"/>
    <w:rsid w:val="00E74393"/>
    <w:rsid w:val="00E74615"/>
    <w:rsid w:val="00E74F56"/>
    <w:rsid w:val="00E75DA8"/>
    <w:rsid w:val="00E76F19"/>
    <w:rsid w:val="00E76F62"/>
    <w:rsid w:val="00E77187"/>
    <w:rsid w:val="00E7773E"/>
    <w:rsid w:val="00E77B5E"/>
    <w:rsid w:val="00E80D8C"/>
    <w:rsid w:val="00E81857"/>
    <w:rsid w:val="00E81D5C"/>
    <w:rsid w:val="00E827FB"/>
    <w:rsid w:val="00E829E7"/>
    <w:rsid w:val="00E83084"/>
    <w:rsid w:val="00E83A35"/>
    <w:rsid w:val="00E83E7B"/>
    <w:rsid w:val="00E84EAB"/>
    <w:rsid w:val="00E851B9"/>
    <w:rsid w:val="00E85505"/>
    <w:rsid w:val="00E85532"/>
    <w:rsid w:val="00E85DF1"/>
    <w:rsid w:val="00E869BF"/>
    <w:rsid w:val="00E86C77"/>
    <w:rsid w:val="00E876B6"/>
    <w:rsid w:val="00E879FC"/>
    <w:rsid w:val="00E90192"/>
    <w:rsid w:val="00E912FE"/>
    <w:rsid w:val="00E91415"/>
    <w:rsid w:val="00E91693"/>
    <w:rsid w:val="00E91E42"/>
    <w:rsid w:val="00E91FC9"/>
    <w:rsid w:val="00E923A3"/>
    <w:rsid w:val="00E9248B"/>
    <w:rsid w:val="00E92B23"/>
    <w:rsid w:val="00E93913"/>
    <w:rsid w:val="00E93BD2"/>
    <w:rsid w:val="00E94257"/>
    <w:rsid w:val="00E942F6"/>
    <w:rsid w:val="00E95013"/>
    <w:rsid w:val="00E9571B"/>
    <w:rsid w:val="00E95C6B"/>
    <w:rsid w:val="00E95F12"/>
    <w:rsid w:val="00E975D5"/>
    <w:rsid w:val="00E979C4"/>
    <w:rsid w:val="00E97F29"/>
    <w:rsid w:val="00EA037F"/>
    <w:rsid w:val="00EA0E3E"/>
    <w:rsid w:val="00EA2973"/>
    <w:rsid w:val="00EA2F50"/>
    <w:rsid w:val="00EA3804"/>
    <w:rsid w:val="00EA3BDA"/>
    <w:rsid w:val="00EA5206"/>
    <w:rsid w:val="00EA5F58"/>
    <w:rsid w:val="00EA5F8F"/>
    <w:rsid w:val="00EA61BD"/>
    <w:rsid w:val="00EA6540"/>
    <w:rsid w:val="00EA71AF"/>
    <w:rsid w:val="00EA7423"/>
    <w:rsid w:val="00EA7803"/>
    <w:rsid w:val="00EB0466"/>
    <w:rsid w:val="00EB121D"/>
    <w:rsid w:val="00EB37F2"/>
    <w:rsid w:val="00EB3ABB"/>
    <w:rsid w:val="00EB3B90"/>
    <w:rsid w:val="00EB3D43"/>
    <w:rsid w:val="00EB4A05"/>
    <w:rsid w:val="00EB4D1C"/>
    <w:rsid w:val="00EB5A47"/>
    <w:rsid w:val="00EB6AC4"/>
    <w:rsid w:val="00EB6EC4"/>
    <w:rsid w:val="00EB73F2"/>
    <w:rsid w:val="00EB7741"/>
    <w:rsid w:val="00EC000F"/>
    <w:rsid w:val="00EC18C0"/>
    <w:rsid w:val="00EC236B"/>
    <w:rsid w:val="00EC2881"/>
    <w:rsid w:val="00EC34C0"/>
    <w:rsid w:val="00EC3533"/>
    <w:rsid w:val="00EC3928"/>
    <w:rsid w:val="00EC3A89"/>
    <w:rsid w:val="00EC3D0B"/>
    <w:rsid w:val="00EC4A26"/>
    <w:rsid w:val="00EC4E94"/>
    <w:rsid w:val="00EC52F4"/>
    <w:rsid w:val="00EC6701"/>
    <w:rsid w:val="00EC6786"/>
    <w:rsid w:val="00EC6A55"/>
    <w:rsid w:val="00EC6B93"/>
    <w:rsid w:val="00EC7042"/>
    <w:rsid w:val="00EC7A78"/>
    <w:rsid w:val="00EC7D5D"/>
    <w:rsid w:val="00ED0FD4"/>
    <w:rsid w:val="00ED1A38"/>
    <w:rsid w:val="00ED26DF"/>
    <w:rsid w:val="00ED2B0F"/>
    <w:rsid w:val="00ED3673"/>
    <w:rsid w:val="00ED3B12"/>
    <w:rsid w:val="00ED4E83"/>
    <w:rsid w:val="00ED4FB4"/>
    <w:rsid w:val="00ED4FE6"/>
    <w:rsid w:val="00ED52C1"/>
    <w:rsid w:val="00ED5AC9"/>
    <w:rsid w:val="00ED5F67"/>
    <w:rsid w:val="00ED6D5A"/>
    <w:rsid w:val="00ED6DB5"/>
    <w:rsid w:val="00ED6E98"/>
    <w:rsid w:val="00ED70AE"/>
    <w:rsid w:val="00ED78C2"/>
    <w:rsid w:val="00ED7BF7"/>
    <w:rsid w:val="00EE0B80"/>
    <w:rsid w:val="00EE1288"/>
    <w:rsid w:val="00EE18B9"/>
    <w:rsid w:val="00EE1CE5"/>
    <w:rsid w:val="00EE2504"/>
    <w:rsid w:val="00EE2A2B"/>
    <w:rsid w:val="00EE2C57"/>
    <w:rsid w:val="00EE2D20"/>
    <w:rsid w:val="00EE2E9C"/>
    <w:rsid w:val="00EE33D3"/>
    <w:rsid w:val="00EE3F0E"/>
    <w:rsid w:val="00EE4B90"/>
    <w:rsid w:val="00EE5058"/>
    <w:rsid w:val="00EE5186"/>
    <w:rsid w:val="00EE5649"/>
    <w:rsid w:val="00EE5CCE"/>
    <w:rsid w:val="00EE613A"/>
    <w:rsid w:val="00EE6A4B"/>
    <w:rsid w:val="00EE6B2A"/>
    <w:rsid w:val="00EE6C90"/>
    <w:rsid w:val="00EE6E28"/>
    <w:rsid w:val="00EF1105"/>
    <w:rsid w:val="00EF1884"/>
    <w:rsid w:val="00EF1A8F"/>
    <w:rsid w:val="00EF1E98"/>
    <w:rsid w:val="00EF25BF"/>
    <w:rsid w:val="00EF2C59"/>
    <w:rsid w:val="00EF3532"/>
    <w:rsid w:val="00EF37C7"/>
    <w:rsid w:val="00EF536D"/>
    <w:rsid w:val="00EF5FEE"/>
    <w:rsid w:val="00EF60A3"/>
    <w:rsid w:val="00EF60CC"/>
    <w:rsid w:val="00EF6C22"/>
    <w:rsid w:val="00EF7191"/>
    <w:rsid w:val="00EF745A"/>
    <w:rsid w:val="00EF7940"/>
    <w:rsid w:val="00EF7B55"/>
    <w:rsid w:val="00F002BE"/>
    <w:rsid w:val="00F00979"/>
    <w:rsid w:val="00F0162E"/>
    <w:rsid w:val="00F01A44"/>
    <w:rsid w:val="00F01D60"/>
    <w:rsid w:val="00F03007"/>
    <w:rsid w:val="00F03DE5"/>
    <w:rsid w:val="00F041F8"/>
    <w:rsid w:val="00F059BC"/>
    <w:rsid w:val="00F05BD6"/>
    <w:rsid w:val="00F05F20"/>
    <w:rsid w:val="00F077E8"/>
    <w:rsid w:val="00F10A81"/>
    <w:rsid w:val="00F11817"/>
    <w:rsid w:val="00F12434"/>
    <w:rsid w:val="00F136FA"/>
    <w:rsid w:val="00F13968"/>
    <w:rsid w:val="00F13EC1"/>
    <w:rsid w:val="00F13ECE"/>
    <w:rsid w:val="00F13F1F"/>
    <w:rsid w:val="00F1491B"/>
    <w:rsid w:val="00F14DA5"/>
    <w:rsid w:val="00F14EF8"/>
    <w:rsid w:val="00F15A40"/>
    <w:rsid w:val="00F16A45"/>
    <w:rsid w:val="00F16C3E"/>
    <w:rsid w:val="00F16D44"/>
    <w:rsid w:val="00F16DA0"/>
    <w:rsid w:val="00F172C6"/>
    <w:rsid w:val="00F17AA3"/>
    <w:rsid w:val="00F17E37"/>
    <w:rsid w:val="00F201D2"/>
    <w:rsid w:val="00F204C6"/>
    <w:rsid w:val="00F20948"/>
    <w:rsid w:val="00F20A50"/>
    <w:rsid w:val="00F20EE0"/>
    <w:rsid w:val="00F21128"/>
    <w:rsid w:val="00F216DC"/>
    <w:rsid w:val="00F2271B"/>
    <w:rsid w:val="00F22808"/>
    <w:rsid w:val="00F229A3"/>
    <w:rsid w:val="00F22B4E"/>
    <w:rsid w:val="00F230FB"/>
    <w:rsid w:val="00F234C2"/>
    <w:rsid w:val="00F23F3F"/>
    <w:rsid w:val="00F24CFD"/>
    <w:rsid w:val="00F2514B"/>
    <w:rsid w:val="00F251A1"/>
    <w:rsid w:val="00F256EB"/>
    <w:rsid w:val="00F2615C"/>
    <w:rsid w:val="00F2669A"/>
    <w:rsid w:val="00F26E0D"/>
    <w:rsid w:val="00F26E77"/>
    <w:rsid w:val="00F30252"/>
    <w:rsid w:val="00F3060F"/>
    <w:rsid w:val="00F309FF"/>
    <w:rsid w:val="00F3102E"/>
    <w:rsid w:val="00F31DB9"/>
    <w:rsid w:val="00F31ECB"/>
    <w:rsid w:val="00F31F64"/>
    <w:rsid w:val="00F320BA"/>
    <w:rsid w:val="00F32147"/>
    <w:rsid w:val="00F32902"/>
    <w:rsid w:val="00F33545"/>
    <w:rsid w:val="00F34534"/>
    <w:rsid w:val="00F352C0"/>
    <w:rsid w:val="00F3572D"/>
    <w:rsid w:val="00F36118"/>
    <w:rsid w:val="00F36515"/>
    <w:rsid w:val="00F36F72"/>
    <w:rsid w:val="00F36FB4"/>
    <w:rsid w:val="00F37699"/>
    <w:rsid w:val="00F37740"/>
    <w:rsid w:val="00F37AFB"/>
    <w:rsid w:val="00F407F1"/>
    <w:rsid w:val="00F40EBE"/>
    <w:rsid w:val="00F40FBA"/>
    <w:rsid w:val="00F4130B"/>
    <w:rsid w:val="00F4205F"/>
    <w:rsid w:val="00F427D1"/>
    <w:rsid w:val="00F43481"/>
    <w:rsid w:val="00F445E4"/>
    <w:rsid w:val="00F45424"/>
    <w:rsid w:val="00F45834"/>
    <w:rsid w:val="00F45BF6"/>
    <w:rsid w:val="00F47264"/>
    <w:rsid w:val="00F47809"/>
    <w:rsid w:val="00F47F1F"/>
    <w:rsid w:val="00F51198"/>
    <w:rsid w:val="00F51682"/>
    <w:rsid w:val="00F51C4F"/>
    <w:rsid w:val="00F51D50"/>
    <w:rsid w:val="00F522F4"/>
    <w:rsid w:val="00F52902"/>
    <w:rsid w:val="00F52F8F"/>
    <w:rsid w:val="00F53241"/>
    <w:rsid w:val="00F53819"/>
    <w:rsid w:val="00F5385F"/>
    <w:rsid w:val="00F53DDC"/>
    <w:rsid w:val="00F53EBE"/>
    <w:rsid w:val="00F5411D"/>
    <w:rsid w:val="00F545EA"/>
    <w:rsid w:val="00F553F3"/>
    <w:rsid w:val="00F557AF"/>
    <w:rsid w:val="00F55CF2"/>
    <w:rsid w:val="00F56690"/>
    <w:rsid w:val="00F5683D"/>
    <w:rsid w:val="00F57543"/>
    <w:rsid w:val="00F57DEA"/>
    <w:rsid w:val="00F57F65"/>
    <w:rsid w:val="00F61210"/>
    <w:rsid w:val="00F615EB"/>
    <w:rsid w:val="00F61B04"/>
    <w:rsid w:val="00F61F8B"/>
    <w:rsid w:val="00F625D8"/>
    <w:rsid w:val="00F63311"/>
    <w:rsid w:val="00F6463D"/>
    <w:rsid w:val="00F65B5B"/>
    <w:rsid w:val="00F65C1C"/>
    <w:rsid w:val="00F66916"/>
    <w:rsid w:val="00F66AFE"/>
    <w:rsid w:val="00F675F3"/>
    <w:rsid w:val="00F700F1"/>
    <w:rsid w:val="00F70780"/>
    <w:rsid w:val="00F7098E"/>
    <w:rsid w:val="00F71843"/>
    <w:rsid w:val="00F71DD6"/>
    <w:rsid w:val="00F72115"/>
    <w:rsid w:val="00F72AF3"/>
    <w:rsid w:val="00F73CAE"/>
    <w:rsid w:val="00F73E05"/>
    <w:rsid w:val="00F73E0F"/>
    <w:rsid w:val="00F740BB"/>
    <w:rsid w:val="00F742C9"/>
    <w:rsid w:val="00F74694"/>
    <w:rsid w:val="00F74A1E"/>
    <w:rsid w:val="00F75D32"/>
    <w:rsid w:val="00F76F2E"/>
    <w:rsid w:val="00F8061A"/>
    <w:rsid w:val="00F8098F"/>
    <w:rsid w:val="00F80E81"/>
    <w:rsid w:val="00F81A1D"/>
    <w:rsid w:val="00F82244"/>
    <w:rsid w:val="00F82271"/>
    <w:rsid w:val="00F829EF"/>
    <w:rsid w:val="00F82A38"/>
    <w:rsid w:val="00F82B72"/>
    <w:rsid w:val="00F83601"/>
    <w:rsid w:val="00F83EBE"/>
    <w:rsid w:val="00F854CD"/>
    <w:rsid w:val="00F86408"/>
    <w:rsid w:val="00F87CB7"/>
    <w:rsid w:val="00F87DED"/>
    <w:rsid w:val="00F91B1D"/>
    <w:rsid w:val="00F91E3F"/>
    <w:rsid w:val="00F920A0"/>
    <w:rsid w:val="00F920FC"/>
    <w:rsid w:val="00F93802"/>
    <w:rsid w:val="00F94025"/>
    <w:rsid w:val="00F941CC"/>
    <w:rsid w:val="00F942A1"/>
    <w:rsid w:val="00F947ED"/>
    <w:rsid w:val="00F94B36"/>
    <w:rsid w:val="00F95A88"/>
    <w:rsid w:val="00F962BD"/>
    <w:rsid w:val="00F9795A"/>
    <w:rsid w:val="00F97E3F"/>
    <w:rsid w:val="00FA01E4"/>
    <w:rsid w:val="00FA0C11"/>
    <w:rsid w:val="00FA449B"/>
    <w:rsid w:val="00FA5D84"/>
    <w:rsid w:val="00FA6C86"/>
    <w:rsid w:val="00FB01B2"/>
    <w:rsid w:val="00FB2020"/>
    <w:rsid w:val="00FB2A5C"/>
    <w:rsid w:val="00FB2B01"/>
    <w:rsid w:val="00FB2E6A"/>
    <w:rsid w:val="00FB338A"/>
    <w:rsid w:val="00FB4101"/>
    <w:rsid w:val="00FB4D07"/>
    <w:rsid w:val="00FB53DA"/>
    <w:rsid w:val="00FB552F"/>
    <w:rsid w:val="00FB627E"/>
    <w:rsid w:val="00FB6733"/>
    <w:rsid w:val="00FB6CA9"/>
    <w:rsid w:val="00FB6CCB"/>
    <w:rsid w:val="00FB705D"/>
    <w:rsid w:val="00FB73FF"/>
    <w:rsid w:val="00FB7C36"/>
    <w:rsid w:val="00FB7DA6"/>
    <w:rsid w:val="00FB7F29"/>
    <w:rsid w:val="00FC0D4B"/>
    <w:rsid w:val="00FC1D61"/>
    <w:rsid w:val="00FC2242"/>
    <w:rsid w:val="00FC2788"/>
    <w:rsid w:val="00FC34F3"/>
    <w:rsid w:val="00FC418C"/>
    <w:rsid w:val="00FC4215"/>
    <w:rsid w:val="00FC568B"/>
    <w:rsid w:val="00FC64F5"/>
    <w:rsid w:val="00FC6594"/>
    <w:rsid w:val="00FC6906"/>
    <w:rsid w:val="00FD13D3"/>
    <w:rsid w:val="00FD13F5"/>
    <w:rsid w:val="00FD1798"/>
    <w:rsid w:val="00FD2D10"/>
    <w:rsid w:val="00FD519C"/>
    <w:rsid w:val="00FD5A48"/>
    <w:rsid w:val="00FE1254"/>
    <w:rsid w:val="00FE1C80"/>
    <w:rsid w:val="00FE2428"/>
    <w:rsid w:val="00FE3042"/>
    <w:rsid w:val="00FE47CC"/>
    <w:rsid w:val="00FE4911"/>
    <w:rsid w:val="00FE50D3"/>
    <w:rsid w:val="00FE53E1"/>
    <w:rsid w:val="00FE603B"/>
    <w:rsid w:val="00FE7942"/>
    <w:rsid w:val="00FE7993"/>
    <w:rsid w:val="00FE7D3E"/>
    <w:rsid w:val="00FF0391"/>
    <w:rsid w:val="00FF169E"/>
    <w:rsid w:val="00FF1AA9"/>
    <w:rsid w:val="00FF27A6"/>
    <w:rsid w:val="00FF30B1"/>
    <w:rsid w:val="00FF312F"/>
    <w:rsid w:val="00FF32B5"/>
    <w:rsid w:val="00FF36C0"/>
    <w:rsid w:val="00FF3B01"/>
    <w:rsid w:val="00FF3E54"/>
    <w:rsid w:val="00FF3EA0"/>
    <w:rsid w:val="00FF41B3"/>
    <w:rsid w:val="00FF4875"/>
    <w:rsid w:val="00FF566A"/>
    <w:rsid w:val="00FF5B05"/>
    <w:rsid w:val="00FF62C3"/>
    <w:rsid w:val="00FF693F"/>
    <w:rsid w:val="00FF77AD"/>
    <w:rsid w:val="00FF7CC5"/>
    <w:rsid w:val="00FF7F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08980"/>
  <w15:chartTrackingRefBased/>
  <w15:docId w15:val="{62F59C57-9AF0-4C53-A549-75DCC214E7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60072"/>
    <w:rPr>
      <w:lang w:val="fr-FR"/>
    </w:rPr>
  </w:style>
  <w:style w:type="paragraph" w:styleId="Heading1">
    <w:name w:val="heading 1"/>
    <w:basedOn w:val="Normal"/>
    <w:next w:val="Normal"/>
    <w:link w:val="Heading1Char"/>
    <w:uiPriority w:val="9"/>
    <w:qFormat/>
    <w:rsid w:val="0046611F"/>
    <w:pPr>
      <w:keepNext/>
      <w:keepLines/>
      <w:spacing w:before="240" w:after="0" w:line="240" w:lineRule="auto"/>
      <w:outlineLvl w:val="0"/>
    </w:pPr>
    <w:rPr>
      <w:rFonts w:asciiTheme="majorHAnsi" w:eastAsiaTheme="majorEastAsia" w:hAnsiTheme="majorHAnsi" w:cstheme="majorBidi"/>
      <w:color w:val="365F91" w:themeColor="accent1" w:themeShade="BF"/>
      <w:sz w:val="32"/>
      <w:szCs w:val="32"/>
      <w:lang w:val="en-US"/>
    </w:rPr>
  </w:style>
  <w:style w:type="paragraph" w:styleId="Heading4">
    <w:name w:val="heading 4"/>
    <w:basedOn w:val="Normal"/>
    <w:link w:val="Heading4Char"/>
    <w:uiPriority w:val="9"/>
    <w:qFormat/>
    <w:rsid w:val="0046611F"/>
    <w:pPr>
      <w:spacing w:before="100" w:beforeAutospacing="1" w:after="100" w:afterAutospacing="1" w:line="240" w:lineRule="auto"/>
      <w:outlineLvl w:val="3"/>
    </w:pPr>
    <w:rPr>
      <w:rFonts w:ascii="Times New Roman" w:eastAsia="Times New Roman" w:hAnsi="Times New Roman" w:cs="Times New Roman"/>
      <w:b/>
      <w:bCs/>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0710D"/>
    <w:rPr>
      <w:color w:val="0000FF" w:themeColor="hyperlink"/>
      <w:u w:val="single"/>
    </w:rPr>
  </w:style>
  <w:style w:type="paragraph" w:styleId="NoSpacing">
    <w:name w:val="No Spacing"/>
    <w:uiPriority w:val="1"/>
    <w:qFormat/>
    <w:rsid w:val="00B0710D"/>
    <w:pPr>
      <w:spacing w:after="0" w:line="240" w:lineRule="auto"/>
    </w:pPr>
    <w:rPr>
      <w:lang w:val="fr-FR"/>
    </w:rPr>
  </w:style>
  <w:style w:type="character" w:styleId="UnresolvedMention">
    <w:name w:val="Unresolved Mention"/>
    <w:basedOn w:val="DefaultParagraphFont"/>
    <w:uiPriority w:val="99"/>
    <w:semiHidden/>
    <w:unhideWhenUsed/>
    <w:rsid w:val="00E84EAB"/>
    <w:rPr>
      <w:color w:val="605E5C"/>
      <w:shd w:val="clear" w:color="auto" w:fill="E1DFDD"/>
    </w:rPr>
  </w:style>
  <w:style w:type="paragraph" w:styleId="Header">
    <w:name w:val="header"/>
    <w:basedOn w:val="Normal"/>
    <w:link w:val="HeaderChar"/>
    <w:uiPriority w:val="99"/>
    <w:unhideWhenUsed/>
    <w:rsid w:val="00E84EA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84EAB"/>
    <w:rPr>
      <w:lang w:val="fr-FR"/>
    </w:rPr>
  </w:style>
  <w:style w:type="paragraph" w:styleId="Footer">
    <w:name w:val="footer"/>
    <w:basedOn w:val="Normal"/>
    <w:link w:val="FooterChar"/>
    <w:uiPriority w:val="99"/>
    <w:unhideWhenUsed/>
    <w:rsid w:val="00E84EA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4EAB"/>
    <w:rPr>
      <w:lang w:val="fr-FR"/>
    </w:rPr>
  </w:style>
  <w:style w:type="character" w:styleId="CommentReference">
    <w:name w:val="annotation reference"/>
    <w:basedOn w:val="DefaultParagraphFont"/>
    <w:uiPriority w:val="99"/>
    <w:semiHidden/>
    <w:unhideWhenUsed/>
    <w:rsid w:val="00142204"/>
    <w:rPr>
      <w:sz w:val="16"/>
      <w:szCs w:val="16"/>
    </w:rPr>
  </w:style>
  <w:style w:type="paragraph" w:styleId="CommentText">
    <w:name w:val="annotation text"/>
    <w:basedOn w:val="Normal"/>
    <w:link w:val="CommentTextChar"/>
    <w:uiPriority w:val="99"/>
    <w:semiHidden/>
    <w:unhideWhenUsed/>
    <w:rsid w:val="00142204"/>
    <w:pPr>
      <w:spacing w:after="0" w:line="240" w:lineRule="auto"/>
    </w:pPr>
    <w:rPr>
      <w:rFonts w:eastAsiaTheme="minorEastAsia"/>
      <w:sz w:val="20"/>
      <w:szCs w:val="20"/>
      <w:lang w:val="en-GB" w:eastAsia="zh-CN"/>
    </w:rPr>
  </w:style>
  <w:style w:type="character" w:customStyle="1" w:styleId="CommentTextChar">
    <w:name w:val="Comment Text Char"/>
    <w:basedOn w:val="DefaultParagraphFont"/>
    <w:link w:val="CommentText"/>
    <w:uiPriority w:val="99"/>
    <w:semiHidden/>
    <w:rsid w:val="00142204"/>
    <w:rPr>
      <w:rFonts w:eastAsiaTheme="minorEastAsia"/>
      <w:sz w:val="20"/>
      <w:szCs w:val="20"/>
      <w:lang w:val="en-GB" w:eastAsia="zh-CN"/>
    </w:rPr>
  </w:style>
  <w:style w:type="character" w:customStyle="1" w:styleId="Heading1Char">
    <w:name w:val="Heading 1 Char"/>
    <w:basedOn w:val="DefaultParagraphFont"/>
    <w:link w:val="Heading1"/>
    <w:uiPriority w:val="9"/>
    <w:rsid w:val="0046611F"/>
    <w:rPr>
      <w:rFonts w:asciiTheme="majorHAnsi" w:eastAsiaTheme="majorEastAsia" w:hAnsiTheme="majorHAnsi" w:cstheme="majorBidi"/>
      <w:color w:val="365F91" w:themeColor="accent1" w:themeShade="BF"/>
      <w:sz w:val="32"/>
      <w:szCs w:val="32"/>
    </w:rPr>
  </w:style>
  <w:style w:type="character" w:customStyle="1" w:styleId="Heading4Char">
    <w:name w:val="Heading 4 Char"/>
    <w:basedOn w:val="DefaultParagraphFont"/>
    <w:link w:val="Heading4"/>
    <w:uiPriority w:val="9"/>
    <w:rsid w:val="0046611F"/>
    <w:rPr>
      <w:rFonts w:ascii="Times New Roman" w:eastAsia="Times New Roman" w:hAnsi="Times New Roman" w:cs="Times New Roman"/>
      <w:b/>
      <w:bCs/>
      <w:sz w:val="20"/>
      <w:szCs w:val="20"/>
    </w:rPr>
  </w:style>
  <w:style w:type="paragraph" w:styleId="NormalWeb">
    <w:name w:val="Normal (Web)"/>
    <w:basedOn w:val="Normal"/>
    <w:uiPriority w:val="99"/>
    <w:semiHidden/>
    <w:unhideWhenUsed/>
    <w:rsid w:val="0046611F"/>
    <w:pPr>
      <w:spacing w:before="100" w:beforeAutospacing="1" w:after="100" w:afterAutospacing="1" w:line="240" w:lineRule="auto"/>
    </w:pPr>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46611F"/>
    <w:rPr>
      <w:rFonts w:ascii="Avenir Book" w:eastAsiaTheme="minorHAnsi" w:hAnsi="Avenir Book" w:cs="Arial"/>
      <w:b/>
      <w:bCs/>
      <w:lang w:val="en-US" w:eastAsia="en-US"/>
    </w:rPr>
  </w:style>
  <w:style w:type="character" w:customStyle="1" w:styleId="CommentSubjectChar">
    <w:name w:val="Comment Subject Char"/>
    <w:basedOn w:val="CommentTextChar"/>
    <w:link w:val="CommentSubject"/>
    <w:uiPriority w:val="99"/>
    <w:semiHidden/>
    <w:rsid w:val="0046611F"/>
    <w:rPr>
      <w:rFonts w:ascii="Avenir Book" w:eastAsiaTheme="minorEastAsia" w:hAnsi="Avenir Book" w:cs="Arial"/>
      <w:b/>
      <w:bCs/>
      <w:sz w:val="20"/>
      <w:szCs w:val="20"/>
      <w:lang w:val="en-GB" w:eastAsia="zh-CN"/>
    </w:rPr>
  </w:style>
  <w:style w:type="paragraph" w:styleId="BalloonText">
    <w:name w:val="Balloon Text"/>
    <w:basedOn w:val="Normal"/>
    <w:link w:val="BalloonTextChar"/>
    <w:uiPriority w:val="99"/>
    <w:semiHidden/>
    <w:unhideWhenUsed/>
    <w:rsid w:val="0046611F"/>
    <w:pPr>
      <w:spacing w:after="0" w:line="240" w:lineRule="auto"/>
    </w:pPr>
    <w:rPr>
      <w:rFonts w:ascii="Times New Roman" w:hAnsi="Times New Roman" w:cs="Times New Roman"/>
      <w:sz w:val="18"/>
      <w:szCs w:val="18"/>
      <w:lang w:val="en-US"/>
    </w:rPr>
  </w:style>
  <w:style w:type="character" w:customStyle="1" w:styleId="BalloonTextChar">
    <w:name w:val="Balloon Text Char"/>
    <w:basedOn w:val="DefaultParagraphFont"/>
    <w:link w:val="BalloonText"/>
    <w:uiPriority w:val="99"/>
    <w:semiHidden/>
    <w:rsid w:val="0046611F"/>
    <w:rPr>
      <w:rFonts w:ascii="Times New Roman" w:hAnsi="Times New Roman" w:cs="Times New Roman"/>
      <w:sz w:val="18"/>
      <w:szCs w:val="18"/>
    </w:rPr>
  </w:style>
  <w:style w:type="character" w:customStyle="1" w:styleId="csl-left-margin">
    <w:name w:val="csl-left-margin"/>
    <w:basedOn w:val="DefaultParagraphFont"/>
    <w:rsid w:val="0046611F"/>
  </w:style>
  <w:style w:type="character" w:customStyle="1" w:styleId="csl-right-inline">
    <w:name w:val="csl-right-inline"/>
    <w:basedOn w:val="DefaultParagraphFont"/>
    <w:rsid w:val="0046611F"/>
  </w:style>
  <w:style w:type="paragraph" w:styleId="Revision">
    <w:name w:val="Revision"/>
    <w:hidden/>
    <w:uiPriority w:val="99"/>
    <w:semiHidden/>
    <w:rsid w:val="0046611F"/>
    <w:pPr>
      <w:spacing w:after="0" w:line="240" w:lineRule="auto"/>
    </w:pPr>
    <w:rPr>
      <w:rFonts w:ascii="Avenir Book" w:hAnsi="Avenir Book" w:cs="Arial"/>
      <w:sz w:val="20"/>
      <w:szCs w:val="20"/>
    </w:rPr>
  </w:style>
  <w:style w:type="paragraph" w:styleId="EndnoteText">
    <w:name w:val="endnote text"/>
    <w:basedOn w:val="Normal"/>
    <w:link w:val="EndnoteTextChar"/>
    <w:uiPriority w:val="99"/>
    <w:semiHidden/>
    <w:unhideWhenUsed/>
    <w:rsid w:val="0046611F"/>
    <w:pPr>
      <w:spacing w:after="0" w:line="240" w:lineRule="auto"/>
    </w:pPr>
    <w:rPr>
      <w:rFonts w:ascii="Avenir Book" w:hAnsi="Avenir Book" w:cs="Arial"/>
      <w:sz w:val="20"/>
      <w:szCs w:val="20"/>
      <w:lang w:val="en-US"/>
    </w:rPr>
  </w:style>
  <w:style w:type="character" w:customStyle="1" w:styleId="EndnoteTextChar">
    <w:name w:val="Endnote Text Char"/>
    <w:basedOn w:val="DefaultParagraphFont"/>
    <w:link w:val="EndnoteText"/>
    <w:uiPriority w:val="99"/>
    <w:semiHidden/>
    <w:rsid w:val="0046611F"/>
    <w:rPr>
      <w:rFonts w:ascii="Avenir Book" w:hAnsi="Avenir Book" w:cs="Arial"/>
      <w:sz w:val="20"/>
      <w:szCs w:val="20"/>
    </w:rPr>
  </w:style>
  <w:style w:type="character" w:styleId="EndnoteReference">
    <w:name w:val="endnote reference"/>
    <w:basedOn w:val="DefaultParagraphFont"/>
    <w:uiPriority w:val="99"/>
    <w:semiHidden/>
    <w:unhideWhenUsed/>
    <w:rsid w:val="0046611F"/>
    <w:rPr>
      <w:vertAlign w:val="superscript"/>
    </w:rPr>
  </w:style>
  <w:style w:type="character" w:styleId="PlaceholderText">
    <w:name w:val="Placeholder Text"/>
    <w:basedOn w:val="DefaultParagraphFont"/>
    <w:rsid w:val="0046611F"/>
    <w:rPr>
      <w:color w:val="808080"/>
    </w:rPr>
  </w:style>
  <w:style w:type="paragraph" w:customStyle="1" w:styleId="csl-entry">
    <w:name w:val="csl-entry"/>
    <w:basedOn w:val="Normal"/>
    <w:rsid w:val="0046611F"/>
    <w:pPr>
      <w:spacing w:before="100" w:beforeAutospacing="1" w:after="100" w:afterAutospacing="1" w:line="240" w:lineRule="auto"/>
    </w:pPr>
    <w:rPr>
      <w:rFonts w:ascii="Times New Roman" w:eastAsiaTheme="minorEastAsia" w:hAnsi="Times New Roman" w:cs="Times New Roman"/>
      <w:sz w:val="20"/>
      <w:szCs w:val="20"/>
      <w:lang w:val="en-US"/>
    </w:rPr>
  </w:style>
  <w:style w:type="character" w:customStyle="1" w:styleId="apple-converted-space">
    <w:name w:val="apple-converted-space"/>
    <w:basedOn w:val="DefaultParagraphFont"/>
    <w:rsid w:val="0046611F"/>
  </w:style>
  <w:style w:type="character" w:styleId="FollowedHyperlink">
    <w:name w:val="FollowedHyperlink"/>
    <w:basedOn w:val="DefaultParagraphFont"/>
    <w:uiPriority w:val="99"/>
    <w:semiHidden/>
    <w:unhideWhenUsed/>
    <w:rsid w:val="0046611F"/>
    <w:rPr>
      <w:color w:val="800080" w:themeColor="followedHyperlink"/>
      <w:u w:val="single"/>
    </w:rPr>
  </w:style>
  <w:style w:type="paragraph" w:customStyle="1" w:styleId="EndNoteBibliography">
    <w:name w:val="EndNote Bibliography"/>
    <w:basedOn w:val="Normal"/>
    <w:link w:val="EndNoteBibliographyChar"/>
    <w:rsid w:val="00376D60"/>
    <w:pPr>
      <w:spacing w:after="0" w:line="240" w:lineRule="auto"/>
    </w:pPr>
    <w:rPr>
      <w:rFonts w:ascii="Calibri" w:eastAsiaTheme="minorEastAsia" w:hAnsi="Calibri" w:cs="Calibri"/>
      <w:sz w:val="24"/>
      <w:szCs w:val="24"/>
      <w:lang w:val="en-GB" w:eastAsia="zh-CN"/>
    </w:rPr>
  </w:style>
  <w:style w:type="character" w:customStyle="1" w:styleId="EndNoteBibliographyChar">
    <w:name w:val="EndNote Bibliography Char"/>
    <w:basedOn w:val="DefaultParagraphFont"/>
    <w:link w:val="EndNoteBibliography"/>
    <w:rsid w:val="00376D60"/>
    <w:rPr>
      <w:rFonts w:ascii="Calibri" w:eastAsiaTheme="minorEastAsia" w:hAnsi="Calibri" w:cs="Calibri"/>
      <w:sz w:val="24"/>
      <w:szCs w:val="24"/>
      <w:lang w:val="en-GB" w:eastAsia="zh-CN"/>
    </w:rPr>
  </w:style>
  <w:style w:type="character" w:customStyle="1" w:styleId="csl-block">
    <w:name w:val="csl-block"/>
    <w:basedOn w:val="DefaultParagraphFont"/>
    <w:rsid w:val="008132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708539">
      <w:bodyDiv w:val="1"/>
      <w:marLeft w:val="0"/>
      <w:marRight w:val="0"/>
      <w:marTop w:val="0"/>
      <w:marBottom w:val="0"/>
      <w:divBdr>
        <w:top w:val="none" w:sz="0" w:space="0" w:color="auto"/>
        <w:left w:val="none" w:sz="0" w:space="0" w:color="auto"/>
        <w:bottom w:val="none" w:sz="0" w:space="0" w:color="auto"/>
        <w:right w:val="none" w:sz="0" w:space="0" w:color="auto"/>
      </w:divBdr>
      <w:divsChild>
        <w:div w:id="75980096">
          <w:marLeft w:val="0"/>
          <w:marRight w:val="0"/>
          <w:marTop w:val="0"/>
          <w:marBottom w:val="0"/>
          <w:divBdr>
            <w:top w:val="none" w:sz="0" w:space="0" w:color="auto"/>
            <w:left w:val="none" w:sz="0" w:space="0" w:color="auto"/>
            <w:bottom w:val="none" w:sz="0" w:space="0" w:color="auto"/>
            <w:right w:val="none" w:sz="0" w:space="0" w:color="auto"/>
          </w:divBdr>
        </w:div>
      </w:divsChild>
    </w:div>
    <w:div w:id="2104497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alter@mgh.harvard.edu" TargetMode="External"/><Relationship Id="rId13" Type="http://schemas.openxmlformats.org/officeDocument/2006/relationships/hyperlink" Target="mailto:shane@lji.org" TargetMode="External"/><Relationship Id="rId18" Type="http://schemas.openxmlformats.org/officeDocument/2006/relationships/image" Target="media/image4.jpeg"/><Relationship Id="rId26" Type="http://schemas.openxmlformats.org/officeDocument/2006/relationships/glossaryDocument" Target="glossary/document.xm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hyperlink" Target="mailto:d.goldblatt@acl.ac.uk" TargetMode="External"/><Relationship Id="rId12" Type="http://schemas.openxmlformats.org/officeDocument/2006/relationships/hyperlink" Target="mailto:d.goldblatt@acl.ac.uk" TargetMode="External"/><Relationship Id="rId17" Type="http://schemas.openxmlformats.org/officeDocument/2006/relationships/image" Target="media/image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stanley.plotkin@vaxconsult.com"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9.jpeg"/><Relationship Id="rId10" Type="http://schemas.openxmlformats.org/officeDocument/2006/relationships/hyperlink" Target="mailto:Stanley.plotkin@vaxconsult.com" TargetMode="Externa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mailto:shane@lji.org" TargetMode="External"/><Relationship Id="rId14" Type="http://schemas.openxmlformats.org/officeDocument/2006/relationships/hyperlink" Target="mailto:galter@mgh.harvard.edu" TargetMode="External"/><Relationship Id="rId22" Type="http://schemas.openxmlformats.org/officeDocument/2006/relationships/image" Target="media/image8.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3EC1C4E96FC41AB8876928AC3A86C0F"/>
        <w:category>
          <w:name w:val="General"/>
          <w:gallery w:val="placeholder"/>
        </w:category>
        <w:types>
          <w:type w:val="bbPlcHdr"/>
        </w:types>
        <w:behaviors>
          <w:behavior w:val="content"/>
        </w:behaviors>
        <w:guid w:val="{BC2416C7-0D4C-4285-8291-585A0A4A8503}"/>
      </w:docPartPr>
      <w:docPartBody>
        <w:p w:rsidR="00185E4C" w:rsidRDefault="007C6A44" w:rsidP="007C6A44">
          <w:pPr>
            <w:pStyle w:val="03EC1C4E96FC41AB8876928AC3A86C0F"/>
          </w:pPr>
          <w:r w:rsidRPr="0090548F">
            <w:rPr>
              <w:rStyle w:val="PlaceholderText"/>
            </w:rPr>
            <w:t>Click or tap here to enter text.</w:t>
          </w:r>
        </w:p>
      </w:docPartBody>
    </w:docPart>
    <w:docPart>
      <w:docPartPr>
        <w:name w:val="494C72AFF9C94E2EB67304166E354795"/>
        <w:category>
          <w:name w:val="General"/>
          <w:gallery w:val="placeholder"/>
        </w:category>
        <w:types>
          <w:type w:val="bbPlcHdr"/>
        </w:types>
        <w:behaviors>
          <w:behavior w:val="content"/>
        </w:behaviors>
        <w:guid w:val="{67C58F11-1F59-4396-B464-84B5086AEF3D}"/>
      </w:docPartPr>
      <w:docPartBody>
        <w:p w:rsidR="00185E4C" w:rsidRDefault="007C6A44" w:rsidP="007C6A44">
          <w:pPr>
            <w:pStyle w:val="494C72AFF9C94E2EB67304166E354795"/>
          </w:pPr>
          <w:r w:rsidRPr="0090548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venir Book">
    <w:altName w:val="Tw Cen MT"/>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venir">
    <w:charset w:val="00"/>
    <w:family w:val="auto"/>
    <w:pitch w:val="variable"/>
    <w:sig w:usb0="800000AF"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A44"/>
    <w:rsid w:val="0002765A"/>
    <w:rsid w:val="000B6B80"/>
    <w:rsid w:val="00157B1E"/>
    <w:rsid w:val="0018184D"/>
    <w:rsid w:val="00185E4C"/>
    <w:rsid w:val="003D6857"/>
    <w:rsid w:val="006B7112"/>
    <w:rsid w:val="007C6A44"/>
    <w:rsid w:val="008D17F7"/>
    <w:rsid w:val="00985654"/>
    <w:rsid w:val="00AE58C9"/>
    <w:rsid w:val="00BC485F"/>
    <w:rsid w:val="00BF339F"/>
    <w:rsid w:val="00C27CCF"/>
    <w:rsid w:val="00CD1FB2"/>
    <w:rsid w:val="00D600C6"/>
    <w:rsid w:val="00E33D16"/>
    <w:rsid w:val="00E57336"/>
    <w:rsid w:val="00F05A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7C6A44"/>
    <w:rPr>
      <w:color w:val="808080"/>
    </w:rPr>
  </w:style>
  <w:style w:type="paragraph" w:customStyle="1" w:styleId="03EC1C4E96FC41AB8876928AC3A86C0F">
    <w:name w:val="03EC1C4E96FC41AB8876928AC3A86C0F"/>
    <w:rsid w:val="007C6A44"/>
  </w:style>
  <w:style w:type="paragraph" w:customStyle="1" w:styleId="494C72AFF9C94E2EB67304166E354795">
    <w:name w:val="494C72AFF9C94E2EB67304166E354795"/>
    <w:rsid w:val="007C6A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C98A60-4407-4BD5-A50C-299DD21028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76</Pages>
  <Words>18149</Words>
  <Characters>103452</Characters>
  <Application>Microsoft Office Word</Application>
  <DocSecurity>0</DocSecurity>
  <Lines>862</Lines>
  <Paragraphs>242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Stanley Plotkin</dc:creator>
  <cp:keywords/>
  <dc:description/>
  <cp:lastModifiedBy>Stanley Plotkin</cp:lastModifiedBy>
  <cp:revision>2</cp:revision>
  <cp:lastPrinted>2022-03-10T14:17:00Z</cp:lastPrinted>
  <dcterms:created xsi:type="dcterms:W3CDTF">2022-03-11T14:12:00Z</dcterms:created>
  <dcterms:modified xsi:type="dcterms:W3CDTF">2022-03-11T14:12:00Z</dcterms:modified>
</cp:coreProperties>
</file>