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D3C2D" w14:textId="77777777" w:rsidR="00D178E3" w:rsidRDefault="00B274CB">
      <w:pPr>
        <w:ind w:left="-566"/>
        <w:jc w:val="center"/>
        <w:rPr>
          <w:b/>
        </w:rPr>
      </w:pPr>
      <w:r>
        <w:rPr>
          <w:b/>
          <w:noProof/>
        </w:rPr>
        <w:drawing>
          <wp:inline distT="114300" distB="114300" distL="114300" distR="114300" wp14:anchorId="3685F2AC" wp14:editId="4BBB829B">
            <wp:extent cx="5481638" cy="155488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81638" cy="1554888"/>
                    </a:xfrm>
                    <a:prstGeom prst="rect">
                      <a:avLst/>
                    </a:prstGeom>
                    <a:ln/>
                  </pic:spPr>
                </pic:pic>
              </a:graphicData>
            </a:graphic>
          </wp:inline>
        </w:drawing>
      </w:r>
    </w:p>
    <w:p w14:paraId="330A64CA" w14:textId="77777777" w:rsidR="00D178E3" w:rsidRDefault="00D178E3">
      <w:pPr>
        <w:rPr>
          <w:b/>
        </w:rPr>
      </w:pPr>
    </w:p>
    <w:p w14:paraId="30C95613" w14:textId="77777777" w:rsidR="00D178E3" w:rsidRDefault="00B274CB">
      <w:pPr>
        <w:rPr>
          <w:b/>
        </w:rPr>
      </w:pPr>
      <w:r>
        <w:rPr>
          <w:b/>
        </w:rPr>
        <w:t xml:space="preserve">FAIR-enabling Data Policy Checklist </w:t>
      </w:r>
    </w:p>
    <w:p w14:paraId="36F7F5B0" w14:textId="77777777" w:rsidR="00D178E3" w:rsidRDefault="00D178E3">
      <w:pPr>
        <w:rPr>
          <w:b/>
        </w:rPr>
      </w:pPr>
    </w:p>
    <w:p w14:paraId="61993228" w14:textId="77777777" w:rsidR="00D178E3" w:rsidRDefault="00B274CB">
      <w:pPr>
        <w:jc w:val="both"/>
      </w:pPr>
      <w:r>
        <w:t>The FAIRsFAIR landscape assessment</w:t>
      </w:r>
      <w:r>
        <w:rPr>
          <w:vertAlign w:val="superscript"/>
        </w:rPr>
        <w:footnoteReference w:id="1"/>
      </w:r>
      <w:r>
        <w:t xml:space="preserve"> found that data policies that are clear</w:t>
      </w:r>
      <w:r>
        <w:t xml:space="preserve"> and easy to understand can positively influence researchers in making their data FAIR. This checklist is based on </w:t>
      </w:r>
      <w:proofErr w:type="spellStart"/>
      <w:r>
        <w:t>FAIRsFAIR’s</w:t>
      </w:r>
      <w:proofErr w:type="spellEnd"/>
      <w:r>
        <w:t xml:space="preserve"> policy enhancement recommendations</w:t>
      </w:r>
      <w:r>
        <w:rPr>
          <w:vertAlign w:val="superscript"/>
        </w:rPr>
        <w:footnoteReference w:id="2"/>
      </w:r>
      <w:r>
        <w:t xml:space="preserve"> and will help users assess whether specific elements of their data policies are FAIR-enablin</w:t>
      </w:r>
      <w:r>
        <w:t xml:space="preserve">g as well as providing recommendations for good practice. </w:t>
      </w:r>
    </w:p>
    <w:p w14:paraId="4D2624D6" w14:textId="77777777" w:rsidR="00D178E3" w:rsidRDefault="00D178E3">
      <w:pPr>
        <w:jc w:val="both"/>
      </w:pPr>
    </w:p>
    <w:p w14:paraId="4B600CB1" w14:textId="77777777" w:rsidR="00D178E3" w:rsidRDefault="00B274CB">
      <w:pPr>
        <w:jc w:val="both"/>
      </w:pPr>
      <w:r>
        <w:t>The checklist is broken into three sections each dealing with a different aspect of the policy. These include:</w:t>
      </w:r>
    </w:p>
    <w:p w14:paraId="3ED3D22B" w14:textId="77777777" w:rsidR="00D178E3" w:rsidRDefault="00D178E3">
      <w:pPr>
        <w:jc w:val="both"/>
      </w:pPr>
    </w:p>
    <w:p w14:paraId="5F329CBA" w14:textId="77777777" w:rsidR="00D178E3" w:rsidRDefault="00B274CB">
      <w:pPr>
        <w:numPr>
          <w:ilvl w:val="0"/>
          <w:numId w:val="11"/>
        </w:numPr>
        <w:jc w:val="both"/>
      </w:pPr>
      <w:r>
        <w:rPr>
          <w:b/>
        </w:rPr>
        <w:t>Context</w:t>
      </w:r>
      <w:r>
        <w:t xml:space="preserve"> of the policy such as the title and the year the policy came into effect</w:t>
      </w:r>
    </w:p>
    <w:p w14:paraId="33B374FF" w14:textId="77777777" w:rsidR="00D178E3" w:rsidRDefault="00B274CB">
      <w:pPr>
        <w:numPr>
          <w:ilvl w:val="0"/>
          <w:numId w:val="11"/>
        </w:numPr>
        <w:jc w:val="both"/>
      </w:pPr>
      <w:r>
        <w:rPr>
          <w:b/>
        </w:rPr>
        <w:t>Con</w:t>
      </w:r>
      <w:r>
        <w:rPr>
          <w:b/>
        </w:rPr>
        <w:t>tent</w:t>
      </w:r>
      <w:r>
        <w:t xml:space="preserve"> of the policy focusing on suggested and required aspects of RDM and data sharing</w:t>
      </w:r>
    </w:p>
    <w:p w14:paraId="069C23EC" w14:textId="77777777" w:rsidR="00D178E3" w:rsidRDefault="00B274CB">
      <w:pPr>
        <w:numPr>
          <w:ilvl w:val="0"/>
          <w:numId w:val="11"/>
        </w:numPr>
        <w:jc w:val="both"/>
      </w:pPr>
      <w:r>
        <w:rPr>
          <w:b/>
        </w:rPr>
        <w:t>Support</w:t>
      </w:r>
      <w:r>
        <w:t xml:space="preserve"> for adhering with the policy and </w:t>
      </w:r>
      <w:r>
        <w:rPr>
          <w:b/>
        </w:rPr>
        <w:t>compliance</w:t>
      </w:r>
      <w:r>
        <w:t xml:space="preserve"> monitoring</w:t>
      </w:r>
    </w:p>
    <w:p w14:paraId="2F1ABA93" w14:textId="77777777" w:rsidR="00D178E3" w:rsidRDefault="00D178E3"/>
    <w:p w14:paraId="2F7468D4" w14:textId="77777777" w:rsidR="00D178E3" w:rsidRDefault="00D178E3">
      <w:pPr>
        <w:jc w:val="both"/>
        <w:rPr>
          <w:b/>
        </w:rPr>
      </w:pPr>
    </w:p>
    <w:p w14:paraId="1FE6552D" w14:textId="77777777" w:rsidR="00D178E3" w:rsidRDefault="00B274CB">
      <w:pPr>
        <w:jc w:val="both"/>
        <w:rPr>
          <w:b/>
        </w:rPr>
      </w:pPr>
      <w:r>
        <w:rPr>
          <w:b/>
        </w:rPr>
        <w:t>Using the checklist</w:t>
      </w:r>
    </w:p>
    <w:p w14:paraId="625E4FC0" w14:textId="77777777" w:rsidR="00D178E3" w:rsidRDefault="00B274CB">
      <w:pPr>
        <w:jc w:val="both"/>
      </w:pPr>
      <w:r>
        <w:t>Users of this checklist should work through the list of policy elements included unde</w:t>
      </w:r>
      <w:r>
        <w:t>r each of the three sections and select the option that best reflects the content of their current or draft data policy. Please note, the majority of policy elements presented in this checklist are assessed as either being FAIR-enabling (green) or not (red</w:t>
      </w:r>
      <w:r>
        <w:t>). For some elements, there is a third option which indicates that the element may enable FAIR to some degree but lacks sufficient rigour or clarity.</w:t>
      </w:r>
    </w:p>
    <w:p w14:paraId="57265FA0" w14:textId="77777777" w:rsidR="00D178E3" w:rsidRDefault="00D178E3">
      <w:pPr>
        <w:jc w:val="both"/>
      </w:pPr>
    </w:p>
    <w:p w14:paraId="762F6606" w14:textId="77777777" w:rsidR="00D178E3" w:rsidRDefault="00D178E3">
      <w:pPr>
        <w:jc w:val="both"/>
        <w:rPr>
          <w:b/>
        </w:rPr>
      </w:pPr>
    </w:p>
    <w:p w14:paraId="1369D969" w14:textId="77777777" w:rsidR="00D178E3" w:rsidRDefault="00B274CB">
      <w:pPr>
        <w:jc w:val="both"/>
        <w:rPr>
          <w:b/>
        </w:rPr>
      </w:pPr>
      <w:r>
        <w:rPr>
          <w:b/>
        </w:rPr>
        <w:t xml:space="preserve">Benefits </w:t>
      </w:r>
    </w:p>
    <w:p w14:paraId="5EC653E7" w14:textId="77777777" w:rsidR="00D178E3" w:rsidRDefault="00B274CB">
      <w:pPr>
        <w:jc w:val="both"/>
      </w:pPr>
      <w:r>
        <w:t>Using the checklist helps policy makers to easily identify specific policy elements that are n</w:t>
      </w:r>
      <w:r>
        <w:t xml:space="preserve">ot FAIR-enabling and can be helpful in prioritising aspects that may need to be amended in future policy reviews and updates. </w:t>
      </w:r>
    </w:p>
    <w:p w14:paraId="798DBF0C" w14:textId="77777777" w:rsidR="00D178E3" w:rsidRDefault="00D178E3">
      <w:pPr>
        <w:jc w:val="both"/>
      </w:pPr>
    </w:p>
    <w:p w14:paraId="4DE73269" w14:textId="77777777" w:rsidR="00D178E3" w:rsidRDefault="00D178E3">
      <w:pPr>
        <w:jc w:val="both"/>
        <w:rPr>
          <w:b/>
        </w:rPr>
      </w:pPr>
    </w:p>
    <w:p w14:paraId="3985B425" w14:textId="77777777" w:rsidR="00D178E3" w:rsidRDefault="00D178E3">
      <w:pPr>
        <w:jc w:val="both"/>
        <w:rPr>
          <w:b/>
        </w:rPr>
      </w:pPr>
    </w:p>
    <w:p w14:paraId="595CCCA7" w14:textId="77777777" w:rsidR="00D178E3" w:rsidRDefault="00D178E3">
      <w:pPr>
        <w:jc w:val="both"/>
        <w:rPr>
          <w:b/>
        </w:rPr>
      </w:pPr>
    </w:p>
    <w:p w14:paraId="5823FB02" w14:textId="77777777" w:rsidR="00D178E3" w:rsidRDefault="00B274CB">
      <w:pPr>
        <w:jc w:val="both"/>
        <w:rPr>
          <w:b/>
        </w:rPr>
      </w:pPr>
      <w:r>
        <w:rPr>
          <w:b/>
        </w:rPr>
        <w:t xml:space="preserve">Interpreting the results and reaching consensus </w:t>
      </w:r>
    </w:p>
    <w:p w14:paraId="77615B7B" w14:textId="77777777" w:rsidR="00D178E3" w:rsidRDefault="00B274CB">
      <w:pPr>
        <w:jc w:val="both"/>
      </w:pPr>
      <w:r>
        <w:t>We recommend that two or three people carry out the assessment of the selected data policy using this checklist. We highly recommend including not just those who are involved in developing or supporting the data policy but those who need to comply with the</w:t>
      </w:r>
      <w:r>
        <w:t xml:space="preserve"> policy as well. </w:t>
      </w:r>
    </w:p>
    <w:p w14:paraId="6CFF8321" w14:textId="77777777" w:rsidR="00D178E3" w:rsidRDefault="00D178E3">
      <w:pPr>
        <w:jc w:val="both"/>
        <w:rPr>
          <w:b/>
        </w:rPr>
      </w:pPr>
    </w:p>
    <w:p w14:paraId="21567629" w14:textId="77777777" w:rsidR="00D178E3" w:rsidRDefault="00B274CB">
      <w:pPr>
        <w:numPr>
          <w:ilvl w:val="0"/>
          <w:numId w:val="28"/>
        </w:numPr>
        <w:jc w:val="both"/>
      </w:pPr>
      <w:r>
        <w:rPr>
          <w:b/>
        </w:rPr>
        <w:t>Green</w:t>
      </w:r>
      <w:r>
        <w:t xml:space="preserve"> - indicates that the policy element is FAIR-enabling and provides sufficient clarity to enable researchers to understand what is expected of them. </w:t>
      </w:r>
    </w:p>
    <w:p w14:paraId="0CFFCF66" w14:textId="77777777" w:rsidR="00D178E3" w:rsidRDefault="00D178E3">
      <w:pPr>
        <w:jc w:val="both"/>
      </w:pPr>
    </w:p>
    <w:p w14:paraId="4CC440FD" w14:textId="77777777" w:rsidR="00D178E3" w:rsidRDefault="00B274CB">
      <w:pPr>
        <w:numPr>
          <w:ilvl w:val="0"/>
          <w:numId w:val="36"/>
        </w:numPr>
        <w:jc w:val="both"/>
      </w:pPr>
      <w:r>
        <w:rPr>
          <w:b/>
        </w:rPr>
        <w:t>Yellow</w:t>
      </w:r>
      <w:r>
        <w:t xml:space="preserve"> - indicates that the policy element may be FAIR-enabling to some degree but</w:t>
      </w:r>
      <w:r>
        <w:t xml:space="preserve"> greater rigour and/or clarity may be needed. </w:t>
      </w:r>
    </w:p>
    <w:p w14:paraId="1FFE07F3" w14:textId="77777777" w:rsidR="00D178E3" w:rsidRDefault="00D178E3">
      <w:pPr>
        <w:jc w:val="both"/>
      </w:pPr>
    </w:p>
    <w:p w14:paraId="6F83A72D" w14:textId="77777777" w:rsidR="00D178E3" w:rsidRDefault="00B274CB">
      <w:pPr>
        <w:numPr>
          <w:ilvl w:val="0"/>
          <w:numId w:val="30"/>
        </w:numPr>
        <w:jc w:val="both"/>
      </w:pPr>
      <w:r>
        <w:rPr>
          <w:b/>
        </w:rPr>
        <w:t>Red</w:t>
      </w:r>
      <w:r>
        <w:t xml:space="preserve"> - indicates the policy element is either not addressed or does not enable FAIR practice. </w:t>
      </w:r>
    </w:p>
    <w:p w14:paraId="28B16881" w14:textId="77777777" w:rsidR="00D178E3" w:rsidRDefault="00D178E3">
      <w:pPr>
        <w:jc w:val="both"/>
        <w:rPr>
          <w:b/>
        </w:rPr>
      </w:pPr>
    </w:p>
    <w:p w14:paraId="3902D9C8" w14:textId="77777777" w:rsidR="00D178E3" w:rsidRDefault="00B274CB">
      <w:pPr>
        <w:jc w:val="both"/>
        <w:rPr>
          <w:b/>
        </w:rPr>
      </w:pPr>
      <w:r>
        <w:t>Where there are areas of disagreement on the assessment of specific policy elements, we recommend that these be e</w:t>
      </w:r>
      <w:r>
        <w:t>xplored collectively to identify why there are differing views. This approach helps to ensure that you reach a consensus view on each of the policy elements and can help to highlight areas where the policy may lack clarity.</w:t>
      </w:r>
    </w:p>
    <w:p w14:paraId="3D699AFC" w14:textId="77777777" w:rsidR="00D178E3" w:rsidRDefault="00D178E3">
      <w:pPr>
        <w:jc w:val="both"/>
      </w:pPr>
    </w:p>
    <w:p w14:paraId="176B7A69" w14:textId="77777777" w:rsidR="00D178E3" w:rsidRDefault="00B274CB">
      <w:pPr>
        <w:jc w:val="both"/>
      </w:pPr>
      <w:r>
        <w:br w:type="page"/>
      </w:r>
    </w:p>
    <w:p w14:paraId="1143BEDA" w14:textId="77777777" w:rsidR="00D178E3" w:rsidRDefault="00B274CB">
      <w:pPr>
        <w:ind w:hanging="425"/>
        <w:rPr>
          <w:b/>
        </w:rPr>
      </w:pPr>
      <w:r>
        <w:rPr>
          <w:b/>
        </w:rPr>
        <w:lastRenderedPageBreak/>
        <w:t xml:space="preserve">Context of the FAIR-enabling </w:t>
      </w:r>
      <w:r>
        <w:rPr>
          <w:b/>
        </w:rPr>
        <w:t>Data Policy</w:t>
      </w:r>
    </w:p>
    <w:p w14:paraId="6EFD6737" w14:textId="77777777" w:rsidR="00D178E3" w:rsidRDefault="00D178E3"/>
    <w:p w14:paraId="0A6DA7C3" w14:textId="77777777" w:rsidR="00D178E3" w:rsidRDefault="00B274CB">
      <w:pPr>
        <w:ind w:left="-425"/>
      </w:pPr>
      <w:r>
        <w:t xml:space="preserve">This section contains details about the context of the policies themselves such as the title, year of introduction and associated persistent identifiers.  </w:t>
      </w:r>
    </w:p>
    <w:p w14:paraId="2BC9A434" w14:textId="77777777" w:rsidR="00D178E3" w:rsidRDefault="00D178E3"/>
    <w:tbl>
      <w:tblPr>
        <w:tblStyle w:val="a"/>
        <w:tblW w:w="9735" w:type="dxa"/>
        <w:tblInd w:w="-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45"/>
        <w:gridCol w:w="3120"/>
        <w:gridCol w:w="585"/>
        <w:gridCol w:w="4485"/>
      </w:tblGrid>
      <w:tr w:rsidR="00D178E3" w14:paraId="1A7E022B" w14:textId="77777777">
        <w:trPr>
          <w:trHeight w:val="420"/>
        </w:trPr>
        <w:tc>
          <w:tcPr>
            <w:tcW w:w="1545" w:type="dxa"/>
            <w:shd w:val="clear" w:color="auto" w:fill="auto"/>
            <w:tcMar>
              <w:top w:w="100" w:type="dxa"/>
              <w:left w:w="100" w:type="dxa"/>
              <w:bottom w:w="100" w:type="dxa"/>
              <w:right w:w="100" w:type="dxa"/>
            </w:tcMar>
          </w:tcPr>
          <w:p w14:paraId="71AD39DA" w14:textId="77777777" w:rsidR="00D178E3" w:rsidRDefault="00B274CB">
            <w:pPr>
              <w:widowControl w:val="0"/>
              <w:pBdr>
                <w:top w:val="nil"/>
                <w:left w:val="nil"/>
                <w:bottom w:val="nil"/>
                <w:right w:val="nil"/>
                <w:between w:val="nil"/>
              </w:pBdr>
              <w:spacing w:line="240" w:lineRule="auto"/>
              <w:rPr>
                <w:b/>
              </w:rPr>
            </w:pPr>
            <w:r>
              <w:rPr>
                <w:b/>
              </w:rPr>
              <w:t>Policy element</w:t>
            </w:r>
          </w:p>
        </w:tc>
        <w:tc>
          <w:tcPr>
            <w:tcW w:w="3120" w:type="dxa"/>
            <w:shd w:val="clear" w:color="auto" w:fill="auto"/>
            <w:tcMar>
              <w:top w:w="100" w:type="dxa"/>
              <w:left w:w="100" w:type="dxa"/>
              <w:bottom w:w="100" w:type="dxa"/>
              <w:right w:w="100" w:type="dxa"/>
            </w:tcMar>
          </w:tcPr>
          <w:p w14:paraId="1D914DAB" w14:textId="77777777" w:rsidR="00D178E3" w:rsidRDefault="00B274CB">
            <w:pPr>
              <w:widowControl w:val="0"/>
              <w:spacing w:line="240" w:lineRule="auto"/>
              <w:rPr>
                <w:b/>
              </w:rPr>
            </w:pPr>
            <w:r>
              <w:rPr>
                <w:b/>
              </w:rPr>
              <w:t xml:space="preserve">Good practice recommendation </w:t>
            </w:r>
          </w:p>
        </w:tc>
        <w:tc>
          <w:tcPr>
            <w:tcW w:w="5070" w:type="dxa"/>
            <w:gridSpan w:val="2"/>
            <w:shd w:val="clear" w:color="auto" w:fill="auto"/>
            <w:tcMar>
              <w:top w:w="100" w:type="dxa"/>
              <w:left w:w="100" w:type="dxa"/>
              <w:bottom w:w="100" w:type="dxa"/>
              <w:right w:w="100" w:type="dxa"/>
            </w:tcMar>
          </w:tcPr>
          <w:p w14:paraId="6A5D5B21" w14:textId="77777777" w:rsidR="00D178E3" w:rsidRDefault="00B274CB">
            <w:pPr>
              <w:widowControl w:val="0"/>
              <w:spacing w:line="240" w:lineRule="auto"/>
              <w:rPr>
                <w:b/>
              </w:rPr>
            </w:pPr>
            <w:r>
              <w:rPr>
                <w:b/>
              </w:rPr>
              <w:t xml:space="preserve">Tick the statement that best reflects your policy </w:t>
            </w:r>
          </w:p>
        </w:tc>
      </w:tr>
      <w:tr w:rsidR="00D178E3" w14:paraId="3731DC2A" w14:textId="77777777">
        <w:trPr>
          <w:trHeight w:val="420"/>
        </w:trPr>
        <w:tc>
          <w:tcPr>
            <w:tcW w:w="1545" w:type="dxa"/>
            <w:vMerge w:val="restart"/>
            <w:shd w:val="clear" w:color="auto" w:fill="auto"/>
            <w:tcMar>
              <w:top w:w="100" w:type="dxa"/>
              <w:left w:w="100" w:type="dxa"/>
              <w:bottom w:w="100" w:type="dxa"/>
              <w:right w:w="100" w:type="dxa"/>
            </w:tcMar>
          </w:tcPr>
          <w:p w14:paraId="6F25E4CA" w14:textId="77777777" w:rsidR="00D178E3" w:rsidRDefault="00B274CB">
            <w:pPr>
              <w:widowControl w:val="0"/>
              <w:pBdr>
                <w:top w:val="nil"/>
                <w:left w:val="nil"/>
                <w:bottom w:val="nil"/>
                <w:right w:val="nil"/>
                <w:between w:val="nil"/>
              </w:pBdr>
              <w:spacing w:line="240" w:lineRule="auto"/>
            </w:pPr>
            <w:r>
              <w:t xml:space="preserve">Title of the policy </w:t>
            </w:r>
          </w:p>
          <w:p w14:paraId="1BC709ED" w14:textId="77777777" w:rsidR="00D178E3" w:rsidRDefault="00D178E3">
            <w:pPr>
              <w:widowControl w:val="0"/>
              <w:pBdr>
                <w:top w:val="nil"/>
                <w:left w:val="nil"/>
                <w:bottom w:val="nil"/>
                <w:right w:val="nil"/>
                <w:between w:val="nil"/>
              </w:pBdr>
              <w:spacing w:line="240" w:lineRule="auto"/>
            </w:pPr>
          </w:p>
          <w:p w14:paraId="3DD49C58" w14:textId="77777777" w:rsidR="00D178E3" w:rsidRDefault="00D178E3">
            <w:pPr>
              <w:widowControl w:val="0"/>
              <w:pBdr>
                <w:top w:val="nil"/>
                <w:left w:val="nil"/>
                <w:bottom w:val="nil"/>
                <w:right w:val="nil"/>
                <w:between w:val="nil"/>
              </w:pBdr>
              <w:spacing w:line="240" w:lineRule="auto"/>
            </w:pPr>
          </w:p>
        </w:tc>
        <w:tc>
          <w:tcPr>
            <w:tcW w:w="3120" w:type="dxa"/>
            <w:vMerge w:val="restart"/>
            <w:shd w:val="clear" w:color="auto" w:fill="auto"/>
            <w:tcMar>
              <w:top w:w="100" w:type="dxa"/>
              <w:left w:w="100" w:type="dxa"/>
              <w:bottom w:w="100" w:type="dxa"/>
              <w:right w:w="100" w:type="dxa"/>
            </w:tcMar>
          </w:tcPr>
          <w:p w14:paraId="207EAE3E" w14:textId="77777777" w:rsidR="00D178E3" w:rsidRDefault="00B274CB">
            <w:pPr>
              <w:widowControl w:val="0"/>
              <w:spacing w:line="240" w:lineRule="auto"/>
            </w:pPr>
            <w:r>
              <w:t>To support findability, policies should have a title that makes clear whose policy it is and what the policy relates to.</w:t>
            </w:r>
          </w:p>
        </w:tc>
        <w:tc>
          <w:tcPr>
            <w:tcW w:w="585" w:type="dxa"/>
            <w:shd w:val="clear" w:color="auto" w:fill="B6D7A8"/>
            <w:tcMar>
              <w:top w:w="100" w:type="dxa"/>
              <w:left w:w="100" w:type="dxa"/>
              <w:bottom w:w="100" w:type="dxa"/>
              <w:right w:w="100" w:type="dxa"/>
            </w:tcMar>
          </w:tcPr>
          <w:p w14:paraId="36EF44EF"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14345872" w14:textId="77777777" w:rsidR="00D178E3" w:rsidRDefault="00B274CB">
            <w:pPr>
              <w:widowControl w:val="0"/>
              <w:numPr>
                <w:ilvl w:val="0"/>
                <w:numId w:val="20"/>
              </w:numPr>
              <w:pBdr>
                <w:top w:val="nil"/>
                <w:left w:val="nil"/>
                <w:bottom w:val="nil"/>
                <w:right w:val="nil"/>
                <w:between w:val="nil"/>
              </w:pBdr>
              <w:spacing w:line="240" w:lineRule="auto"/>
              <w:ind w:left="425" w:hanging="283"/>
            </w:pPr>
            <w:r>
              <w:t>The policy has a clear and appropriate title.</w:t>
            </w:r>
          </w:p>
        </w:tc>
      </w:tr>
      <w:tr w:rsidR="00D178E3" w14:paraId="70721A06" w14:textId="77777777">
        <w:trPr>
          <w:trHeight w:val="420"/>
        </w:trPr>
        <w:tc>
          <w:tcPr>
            <w:tcW w:w="1545" w:type="dxa"/>
            <w:vMerge/>
            <w:shd w:val="clear" w:color="auto" w:fill="auto"/>
            <w:tcMar>
              <w:top w:w="100" w:type="dxa"/>
              <w:left w:w="100" w:type="dxa"/>
              <w:bottom w:w="100" w:type="dxa"/>
              <w:right w:w="100" w:type="dxa"/>
            </w:tcMar>
          </w:tcPr>
          <w:p w14:paraId="0ED80D6E" w14:textId="77777777" w:rsidR="00D178E3" w:rsidRDefault="00D178E3">
            <w:pPr>
              <w:widowControl w:val="0"/>
              <w:pBdr>
                <w:top w:val="nil"/>
                <w:left w:val="nil"/>
                <w:bottom w:val="nil"/>
                <w:right w:val="nil"/>
                <w:between w:val="nil"/>
              </w:pBdr>
              <w:spacing w:line="240" w:lineRule="auto"/>
            </w:pPr>
          </w:p>
        </w:tc>
        <w:tc>
          <w:tcPr>
            <w:tcW w:w="3120" w:type="dxa"/>
            <w:vMerge/>
            <w:shd w:val="clear" w:color="auto" w:fill="auto"/>
            <w:tcMar>
              <w:top w:w="100" w:type="dxa"/>
              <w:left w:w="100" w:type="dxa"/>
              <w:bottom w:w="100" w:type="dxa"/>
              <w:right w:w="100" w:type="dxa"/>
            </w:tcMar>
          </w:tcPr>
          <w:p w14:paraId="1187E418"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254629DD"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0FC0BF28" w14:textId="77777777" w:rsidR="00D178E3" w:rsidRDefault="00B274CB">
            <w:pPr>
              <w:widowControl w:val="0"/>
              <w:numPr>
                <w:ilvl w:val="0"/>
                <w:numId w:val="20"/>
              </w:numPr>
              <w:spacing w:line="240" w:lineRule="auto"/>
              <w:ind w:left="425" w:hanging="283"/>
            </w:pPr>
            <w:r>
              <w:t>The title of the policy would benefit from being made more explicit.</w:t>
            </w:r>
          </w:p>
        </w:tc>
      </w:tr>
      <w:tr w:rsidR="00D178E3" w14:paraId="7DD2B2DD" w14:textId="77777777">
        <w:trPr>
          <w:trHeight w:val="420"/>
        </w:trPr>
        <w:tc>
          <w:tcPr>
            <w:tcW w:w="1545" w:type="dxa"/>
            <w:vMerge/>
            <w:shd w:val="clear" w:color="auto" w:fill="auto"/>
            <w:tcMar>
              <w:top w:w="100" w:type="dxa"/>
              <w:left w:w="100" w:type="dxa"/>
              <w:bottom w:w="100" w:type="dxa"/>
              <w:right w:w="100" w:type="dxa"/>
            </w:tcMar>
          </w:tcPr>
          <w:p w14:paraId="645D56BB" w14:textId="77777777" w:rsidR="00D178E3" w:rsidRDefault="00D178E3">
            <w:pPr>
              <w:widowControl w:val="0"/>
              <w:pBdr>
                <w:top w:val="nil"/>
                <w:left w:val="nil"/>
                <w:bottom w:val="nil"/>
                <w:right w:val="nil"/>
                <w:between w:val="nil"/>
              </w:pBdr>
              <w:spacing w:line="240" w:lineRule="auto"/>
            </w:pPr>
          </w:p>
        </w:tc>
        <w:tc>
          <w:tcPr>
            <w:tcW w:w="3120" w:type="dxa"/>
            <w:vMerge/>
            <w:shd w:val="clear" w:color="auto" w:fill="auto"/>
            <w:tcMar>
              <w:top w:w="100" w:type="dxa"/>
              <w:left w:w="100" w:type="dxa"/>
              <w:bottom w:w="100" w:type="dxa"/>
              <w:right w:w="100" w:type="dxa"/>
            </w:tcMar>
          </w:tcPr>
          <w:p w14:paraId="6BD53C31"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6E731218"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4F8A0AF2" w14:textId="77777777" w:rsidR="00D178E3" w:rsidRDefault="00B274CB">
            <w:pPr>
              <w:widowControl w:val="0"/>
              <w:numPr>
                <w:ilvl w:val="0"/>
                <w:numId w:val="20"/>
              </w:numPr>
              <w:spacing w:line="240" w:lineRule="auto"/>
              <w:ind w:left="425" w:hanging="283"/>
            </w:pPr>
            <w:r>
              <w:t>The policy does not have a title.</w:t>
            </w:r>
          </w:p>
        </w:tc>
      </w:tr>
      <w:tr w:rsidR="00D178E3" w14:paraId="27C92E6D" w14:textId="77777777">
        <w:trPr>
          <w:trHeight w:val="420"/>
        </w:trPr>
        <w:tc>
          <w:tcPr>
            <w:tcW w:w="1545" w:type="dxa"/>
            <w:vMerge w:val="restart"/>
            <w:shd w:val="clear" w:color="auto" w:fill="auto"/>
            <w:tcMar>
              <w:top w:w="100" w:type="dxa"/>
              <w:left w:w="100" w:type="dxa"/>
              <w:bottom w:w="100" w:type="dxa"/>
              <w:right w:w="100" w:type="dxa"/>
            </w:tcMar>
          </w:tcPr>
          <w:p w14:paraId="1724B708" w14:textId="77777777" w:rsidR="00D178E3" w:rsidRDefault="00B274CB">
            <w:pPr>
              <w:widowControl w:val="0"/>
              <w:pBdr>
                <w:top w:val="nil"/>
                <w:left w:val="nil"/>
                <w:bottom w:val="nil"/>
                <w:right w:val="nil"/>
                <w:between w:val="nil"/>
              </w:pBdr>
              <w:spacing w:line="240" w:lineRule="auto"/>
            </w:pPr>
            <w:r>
              <w:t>Year the policy was introduced</w:t>
            </w:r>
          </w:p>
          <w:p w14:paraId="768E735D" w14:textId="77777777" w:rsidR="00D178E3" w:rsidRDefault="00D178E3">
            <w:pPr>
              <w:widowControl w:val="0"/>
              <w:pBdr>
                <w:top w:val="nil"/>
                <w:left w:val="nil"/>
                <w:bottom w:val="nil"/>
                <w:right w:val="nil"/>
                <w:between w:val="nil"/>
              </w:pBdr>
              <w:spacing w:line="240" w:lineRule="auto"/>
            </w:pPr>
          </w:p>
          <w:p w14:paraId="51EC9F3C" w14:textId="77777777" w:rsidR="00D178E3" w:rsidRDefault="00D178E3">
            <w:pPr>
              <w:widowControl w:val="0"/>
              <w:pBdr>
                <w:top w:val="nil"/>
                <w:left w:val="nil"/>
                <w:bottom w:val="nil"/>
                <w:right w:val="nil"/>
                <w:between w:val="nil"/>
              </w:pBdr>
              <w:spacing w:line="240" w:lineRule="auto"/>
            </w:pPr>
          </w:p>
        </w:tc>
        <w:tc>
          <w:tcPr>
            <w:tcW w:w="3120" w:type="dxa"/>
            <w:vMerge w:val="restart"/>
            <w:shd w:val="clear" w:color="auto" w:fill="auto"/>
            <w:tcMar>
              <w:top w:w="100" w:type="dxa"/>
              <w:left w:w="100" w:type="dxa"/>
              <w:bottom w:w="100" w:type="dxa"/>
              <w:right w:w="100" w:type="dxa"/>
            </w:tcMar>
          </w:tcPr>
          <w:p w14:paraId="7DA5A2BA" w14:textId="77777777" w:rsidR="00D178E3" w:rsidRDefault="00B274CB">
            <w:pPr>
              <w:widowControl w:val="0"/>
              <w:spacing w:line="240" w:lineRule="auto"/>
            </w:pPr>
            <w:r>
              <w:t>To support both human interpretation and machine actionability, the policy should make clear the period of validity, differentiating between the date it was written and the date it was implemented where necessary.</w:t>
            </w:r>
          </w:p>
        </w:tc>
        <w:tc>
          <w:tcPr>
            <w:tcW w:w="585" w:type="dxa"/>
            <w:shd w:val="clear" w:color="auto" w:fill="B6D7A8"/>
            <w:tcMar>
              <w:top w:w="100" w:type="dxa"/>
              <w:left w:w="100" w:type="dxa"/>
              <w:bottom w:w="100" w:type="dxa"/>
              <w:right w:w="100" w:type="dxa"/>
            </w:tcMar>
          </w:tcPr>
          <w:p w14:paraId="5660A2EB"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5456FA32" w14:textId="77777777" w:rsidR="00D178E3" w:rsidRDefault="00B274CB">
            <w:pPr>
              <w:widowControl w:val="0"/>
              <w:numPr>
                <w:ilvl w:val="0"/>
                <w:numId w:val="21"/>
              </w:numPr>
              <w:pBdr>
                <w:top w:val="nil"/>
                <w:left w:val="nil"/>
                <w:bottom w:val="nil"/>
                <w:right w:val="nil"/>
                <w:between w:val="nil"/>
              </w:pBdr>
              <w:spacing w:line="240" w:lineRule="auto"/>
              <w:ind w:left="425" w:hanging="283"/>
            </w:pPr>
            <w:r>
              <w:t xml:space="preserve">The policy clearly states when it came into effect and provides a scheduled review date. </w:t>
            </w:r>
          </w:p>
        </w:tc>
      </w:tr>
      <w:tr w:rsidR="00D178E3" w14:paraId="6AAFFF68" w14:textId="77777777">
        <w:trPr>
          <w:trHeight w:val="420"/>
        </w:trPr>
        <w:tc>
          <w:tcPr>
            <w:tcW w:w="1545" w:type="dxa"/>
            <w:vMerge/>
            <w:shd w:val="clear" w:color="auto" w:fill="auto"/>
            <w:tcMar>
              <w:top w:w="100" w:type="dxa"/>
              <w:left w:w="100" w:type="dxa"/>
              <w:bottom w:w="100" w:type="dxa"/>
              <w:right w:w="100" w:type="dxa"/>
            </w:tcMar>
          </w:tcPr>
          <w:p w14:paraId="6C06D267" w14:textId="77777777" w:rsidR="00D178E3" w:rsidRDefault="00D178E3">
            <w:pPr>
              <w:widowControl w:val="0"/>
              <w:pBdr>
                <w:top w:val="nil"/>
                <w:left w:val="nil"/>
                <w:bottom w:val="nil"/>
                <w:right w:val="nil"/>
                <w:between w:val="nil"/>
              </w:pBdr>
              <w:spacing w:line="240" w:lineRule="auto"/>
            </w:pPr>
          </w:p>
        </w:tc>
        <w:tc>
          <w:tcPr>
            <w:tcW w:w="3120" w:type="dxa"/>
            <w:vMerge/>
            <w:shd w:val="clear" w:color="auto" w:fill="auto"/>
            <w:tcMar>
              <w:top w:w="100" w:type="dxa"/>
              <w:left w:w="100" w:type="dxa"/>
              <w:bottom w:w="100" w:type="dxa"/>
              <w:right w:w="100" w:type="dxa"/>
            </w:tcMar>
          </w:tcPr>
          <w:p w14:paraId="5CC2AC35"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33555196"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6B27A348" w14:textId="77777777" w:rsidR="00D178E3" w:rsidRDefault="00B274CB">
            <w:pPr>
              <w:widowControl w:val="0"/>
              <w:numPr>
                <w:ilvl w:val="0"/>
                <w:numId w:val="21"/>
              </w:numPr>
              <w:spacing w:line="240" w:lineRule="auto"/>
              <w:ind w:left="425" w:hanging="283"/>
            </w:pPr>
            <w:r>
              <w:t>The policy clearly states when it came into effect but does not provide a scheduled review date.</w:t>
            </w:r>
          </w:p>
        </w:tc>
      </w:tr>
      <w:tr w:rsidR="00D178E3" w14:paraId="5812D320" w14:textId="77777777">
        <w:trPr>
          <w:trHeight w:val="420"/>
        </w:trPr>
        <w:tc>
          <w:tcPr>
            <w:tcW w:w="1545" w:type="dxa"/>
            <w:vMerge/>
            <w:shd w:val="clear" w:color="auto" w:fill="auto"/>
            <w:tcMar>
              <w:top w:w="100" w:type="dxa"/>
              <w:left w:w="100" w:type="dxa"/>
              <w:bottom w:w="100" w:type="dxa"/>
              <w:right w:w="100" w:type="dxa"/>
            </w:tcMar>
          </w:tcPr>
          <w:p w14:paraId="7CE63B87" w14:textId="77777777" w:rsidR="00D178E3" w:rsidRDefault="00D178E3">
            <w:pPr>
              <w:widowControl w:val="0"/>
              <w:pBdr>
                <w:top w:val="nil"/>
                <w:left w:val="nil"/>
                <w:bottom w:val="nil"/>
                <w:right w:val="nil"/>
                <w:between w:val="nil"/>
              </w:pBdr>
              <w:spacing w:line="240" w:lineRule="auto"/>
            </w:pPr>
          </w:p>
        </w:tc>
        <w:tc>
          <w:tcPr>
            <w:tcW w:w="3120" w:type="dxa"/>
            <w:vMerge/>
            <w:shd w:val="clear" w:color="auto" w:fill="auto"/>
            <w:tcMar>
              <w:top w:w="100" w:type="dxa"/>
              <w:left w:w="100" w:type="dxa"/>
              <w:bottom w:w="100" w:type="dxa"/>
              <w:right w:w="100" w:type="dxa"/>
            </w:tcMar>
          </w:tcPr>
          <w:p w14:paraId="2786A8D3"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74076703"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5B07DF6A" w14:textId="77777777" w:rsidR="00D178E3" w:rsidRDefault="00B274CB">
            <w:pPr>
              <w:widowControl w:val="0"/>
              <w:numPr>
                <w:ilvl w:val="0"/>
                <w:numId w:val="21"/>
              </w:numPr>
              <w:spacing w:line="240" w:lineRule="auto"/>
              <w:ind w:left="425" w:hanging="283"/>
            </w:pPr>
            <w:r>
              <w:t>The policy does not make clear when it came into effect or provide a scheduled review date.</w:t>
            </w:r>
          </w:p>
        </w:tc>
      </w:tr>
      <w:tr w:rsidR="00D178E3" w14:paraId="7C2F75C5" w14:textId="77777777">
        <w:trPr>
          <w:trHeight w:val="420"/>
        </w:trPr>
        <w:tc>
          <w:tcPr>
            <w:tcW w:w="1545" w:type="dxa"/>
            <w:vMerge w:val="restart"/>
            <w:shd w:val="clear" w:color="auto" w:fill="auto"/>
            <w:tcMar>
              <w:top w:w="100" w:type="dxa"/>
              <w:left w:w="100" w:type="dxa"/>
              <w:bottom w:w="100" w:type="dxa"/>
              <w:right w:w="100" w:type="dxa"/>
            </w:tcMar>
          </w:tcPr>
          <w:p w14:paraId="653A68DC" w14:textId="77777777" w:rsidR="00D178E3" w:rsidRDefault="00B274CB">
            <w:pPr>
              <w:widowControl w:val="0"/>
              <w:pBdr>
                <w:top w:val="nil"/>
                <w:left w:val="nil"/>
                <w:bottom w:val="nil"/>
                <w:right w:val="nil"/>
                <w:between w:val="nil"/>
              </w:pBdr>
              <w:spacing w:line="240" w:lineRule="auto"/>
            </w:pPr>
            <w:r>
              <w:t>Persistent Identifier (PIDs) of the policy document</w:t>
            </w:r>
          </w:p>
        </w:tc>
        <w:tc>
          <w:tcPr>
            <w:tcW w:w="3120" w:type="dxa"/>
            <w:vMerge w:val="restart"/>
            <w:shd w:val="clear" w:color="auto" w:fill="auto"/>
            <w:tcMar>
              <w:top w:w="100" w:type="dxa"/>
              <w:left w:w="100" w:type="dxa"/>
              <w:bottom w:w="100" w:type="dxa"/>
              <w:right w:w="100" w:type="dxa"/>
            </w:tcMar>
          </w:tcPr>
          <w:p w14:paraId="0CD5B1E4" w14:textId="77777777" w:rsidR="00D178E3" w:rsidRDefault="00B274CB">
            <w:pPr>
              <w:widowControl w:val="0"/>
              <w:spacing w:line="240" w:lineRule="auto"/>
            </w:pPr>
            <w:r>
              <w:t xml:space="preserve">PIDs should be assigned to clearly versioned policies to ensure that the right version can be found and fed into machine actionable pipelines. </w:t>
            </w:r>
          </w:p>
        </w:tc>
        <w:tc>
          <w:tcPr>
            <w:tcW w:w="585" w:type="dxa"/>
            <w:shd w:val="clear" w:color="auto" w:fill="B6D7A8"/>
            <w:tcMar>
              <w:top w:w="100" w:type="dxa"/>
              <w:left w:w="100" w:type="dxa"/>
              <w:bottom w:w="100" w:type="dxa"/>
              <w:right w:w="100" w:type="dxa"/>
            </w:tcMar>
          </w:tcPr>
          <w:p w14:paraId="7D1635DE"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581D6EC6" w14:textId="77777777" w:rsidR="00D178E3" w:rsidRDefault="00B274CB">
            <w:pPr>
              <w:widowControl w:val="0"/>
              <w:numPr>
                <w:ilvl w:val="0"/>
                <w:numId w:val="13"/>
              </w:numPr>
              <w:pBdr>
                <w:top w:val="nil"/>
                <w:left w:val="nil"/>
                <w:bottom w:val="nil"/>
                <w:right w:val="nil"/>
                <w:between w:val="nil"/>
              </w:pBdr>
              <w:spacing w:line="240" w:lineRule="auto"/>
              <w:ind w:left="425" w:hanging="283"/>
            </w:pPr>
            <w:r>
              <w:t xml:space="preserve">The policy has a persistent identifier such as a DOI. </w:t>
            </w:r>
          </w:p>
        </w:tc>
      </w:tr>
      <w:tr w:rsidR="00D178E3" w14:paraId="3FBFEE46" w14:textId="77777777">
        <w:trPr>
          <w:trHeight w:val="420"/>
        </w:trPr>
        <w:tc>
          <w:tcPr>
            <w:tcW w:w="1545" w:type="dxa"/>
            <w:vMerge/>
            <w:shd w:val="clear" w:color="auto" w:fill="auto"/>
            <w:tcMar>
              <w:top w:w="100" w:type="dxa"/>
              <w:left w:w="100" w:type="dxa"/>
              <w:bottom w:w="100" w:type="dxa"/>
              <w:right w:w="100" w:type="dxa"/>
            </w:tcMar>
          </w:tcPr>
          <w:p w14:paraId="43C61096" w14:textId="77777777" w:rsidR="00D178E3" w:rsidRDefault="00D178E3">
            <w:pPr>
              <w:widowControl w:val="0"/>
              <w:pBdr>
                <w:top w:val="nil"/>
                <w:left w:val="nil"/>
                <w:bottom w:val="nil"/>
                <w:right w:val="nil"/>
                <w:between w:val="nil"/>
              </w:pBdr>
              <w:spacing w:line="240" w:lineRule="auto"/>
            </w:pPr>
          </w:p>
        </w:tc>
        <w:tc>
          <w:tcPr>
            <w:tcW w:w="3120" w:type="dxa"/>
            <w:vMerge/>
            <w:shd w:val="clear" w:color="auto" w:fill="auto"/>
            <w:tcMar>
              <w:top w:w="100" w:type="dxa"/>
              <w:left w:w="100" w:type="dxa"/>
              <w:bottom w:w="100" w:type="dxa"/>
              <w:right w:w="100" w:type="dxa"/>
            </w:tcMar>
          </w:tcPr>
          <w:p w14:paraId="20771473"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13583DF9"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3B4E23CB" w14:textId="77777777" w:rsidR="00D178E3" w:rsidRDefault="00B274CB">
            <w:pPr>
              <w:widowControl w:val="0"/>
              <w:numPr>
                <w:ilvl w:val="0"/>
                <w:numId w:val="4"/>
              </w:numPr>
              <w:spacing w:line="240" w:lineRule="auto"/>
              <w:ind w:left="425" w:hanging="283"/>
            </w:pPr>
            <w:r>
              <w:t xml:space="preserve">The policy </w:t>
            </w:r>
            <w:r>
              <w:t>does not have a persistent identifier such as a DOI.</w:t>
            </w:r>
          </w:p>
        </w:tc>
      </w:tr>
      <w:tr w:rsidR="00D178E3" w14:paraId="1F3F08BE" w14:textId="77777777">
        <w:trPr>
          <w:trHeight w:val="420"/>
        </w:trPr>
        <w:tc>
          <w:tcPr>
            <w:tcW w:w="1545" w:type="dxa"/>
            <w:vMerge w:val="restart"/>
            <w:shd w:val="clear" w:color="auto" w:fill="auto"/>
            <w:tcMar>
              <w:top w:w="100" w:type="dxa"/>
              <w:left w:w="100" w:type="dxa"/>
              <w:bottom w:w="100" w:type="dxa"/>
              <w:right w:w="100" w:type="dxa"/>
            </w:tcMar>
          </w:tcPr>
          <w:p w14:paraId="4124D0DE" w14:textId="77777777" w:rsidR="00D178E3" w:rsidRDefault="00B274CB">
            <w:pPr>
              <w:widowControl w:val="0"/>
              <w:pBdr>
                <w:top w:val="nil"/>
                <w:left w:val="nil"/>
                <w:bottom w:val="nil"/>
                <w:right w:val="nil"/>
                <w:between w:val="nil"/>
              </w:pBdr>
              <w:spacing w:line="240" w:lineRule="auto"/>
            </w:pPr>
            <w:r>
              <w:t>Policy is registered</w:t>
            </w:r>
          </w:p>
        </w:tc>
        <w:tc>
          <w:tcPr>
            <w:tcW w:w="3120" w:type="dxa"/>
            <w:vMerge w:val="restart"/>
            <w:shd w:val="clear" w:color="auto" w:fill="auto"/>
            <w:tcMar>
              <w:top w:w="100" w:type="dxa"/>
              <w:left w:w="100" w:type="dxa"/>
              <w:bottom w:w="100" w:type="dxa"/>
              <w:right w:w="100" w:type="dxa"/>
            </w:tcMar>
          </w:tcPr>
          <w:p w14:paraId="3C6D9B88" w14:textId="77777777" w:rsidR="00D178E3" w:rsidRDefault="00B274CB">
            <w:pPr>
              <w:widowControl w:val="0"/>
              <w:spacing w:line="240" w:lineRule="auto"/>
            </w:pPr>
            <w:r>
              <w:t xml:space="preserve">Policies should be registered  with services such as </w:t>
            </w:r>
            <w:proofErr w:type="spellStart"/>
            <w:r>
              <w:t>FAIRsharing</w:t>
            </w:r>
            <w:proofErr w:type="spellEnd"/>
            <w:r>
              <w:t xml:space="preserve"> or similar to improve their findability for various end users. </w:t>
            </w:r>
          </w:p>
        </w:tc>
        <w:tc>
          <w:tcPr>
            <w:tcW w:w="585" w:type="dxa"/>
            <w:shd w:val="clear" w:color="auto" w:fill="B6D7A8"/>
            <w:tcMar>
              <w:top w:w="100" w:type="dxa"/>
              <w:left w:w="100" w:type="dxa"/>
              <w:bottom w:w="100" w:type="dxa"/>
              <w:right w:w="100" w:type="dxa"/>
            </w:tcMar>
          </w:tcPr>
          <w:p w14:paraId="53F483CD"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66712FAE" w14:textId="77777777" w:rsidR="00D178E3" w:rsidRDefault="00B274CB">
            <w:pPr>
              <w:widowControl w:val="0"/>
              <w:numPr>
                <w:ilvl w:val="0"/>
                <w:numId w:val="18"/>
              </w:numPr>
              <w:pBdr>
                <w:top w:val="nil"/>
                <w:left w:val="nil"/>
                <w:bottom w:val="nil"/>
                <w:right w:val="nil"/>
                <w:between w:val="nil"/>
              </w:pBdr>
              <w:spacing w:line="240" w:lineRule="auto"/>
              <w:ind w:left="425" w:hanging="283"/>
            </w:pPr>
            <w:r>
              <w:t>The policy is registered with one or more registry services</w:t>
            </w:r>
          </w:p>
        </w:tc>
      </w:tr>
      <w:tr w:rsidR="00D178E3" w14:paraId="32E4DE30" w14:textId="77777777">
        <w:trPr>
          <w:trHeight w:val="420"/>
        </w:trPr>
        <w:tc>
          <w:tcPr>
            <w:tcW w:w="1545" w:type="dxa"/>
            <w:vMerge/>
            <w:shd w:val="clear" w:color="auto" w:fill="auto"/>
            <w:tcMar>
              <w:top w:w="100" w:type="dxa"/>
              <w:left w:w="100" w:type="dxa"/>
              <w:bottom w:w="100" w:type="dxa"/>
              <w:right w:w="100" w:type="dxa"/>
            </w:tcMar>
          </w:tcPr>
          <w:p w14:paraId="503F3564" w14:textId="77777777" w:rsidR="00D178E3" w:rsidRDefault="00D178E3">
            <w:pPr>
              <w:widowControl w:val="0"/>
              <w:pBdr>
                <w:top w:val="nil"/>
                <w:left w:val="nil"/>
                <w:bottom w:val="nil"/>
                <w:right w:val="nil"/>
                <w:between w:val="nil"/>
              </w:pBdr>
              <w:spacing w:line="240" w:lineRule="auto"/>
            </w:pPr>
          </w:p>
        </w:tc>
        <w:tc>
          <w:tcPr>
            <w:tcW w:w="3120" w:type="dxa"/>
            <w:vMerge/>
            <w:shd w:val="clear" w:color="auto" w:fill="auto"/>
            <w:tcMar>
              <w:top w:w="100" w:type="dxa"/>
              <w:left w:w="100" w:type="dxa"/>
              <w:bottom w:w="100" w:type="dxa"/>
              <w:right w:w="100" w:type="dxa"/>
            </w:tcMar>
          </w:tcPr>
          <w:p w14:paraId="23F02B66"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4FBDBB60"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3CCA2B1D" w14:textId="77777777" w:rsidR="00D178E3" w:rsidRDefault="00B274CB">
            <w:pPr>
              <w:widowControl w:val="0"/>
              <w:numPr>
                <w:ilvl w:val="0"/>
                <w:numId w:val="1"/>
              </w:numPr>
              <w:pBdr>
                <w:top w:val="nil"/>
                <w:left w:val="nil"/>
                <w:bottom w:val="nil"/>
                <w:right w:val="nil"/>
                <w:between w:val="nil"/>
              </w:pBdr>
              <w:spacing w:line="240" w:lineRule="auto"/>
              <w:ind w:left="425" w:hanging="283"/>
            </w:pPr>
            <w:r>
              <w:t xml:space="preserve">The policy is not registered </w:t>
            </w:r>
          </w:p>
        </w:tc>
      </w:tr>
      <w:tr w:rsidR="00D178E3" w14:paraId="1085DBC1" w14:textId="77777777">
        <w:trPr>
          <w:trHeight w:val="690"/>
        </w:trPr>
        <w:tc>
          <w:tcPr>
            <w:tcW w:w="1545" w:type="dxa"/>
            <w:vMerge w:val="restart"/>
            <w:shd w:val="clear" w:color="auto" w:fill="auto"/>
            <w:tcMar>
              <w:top w:w="100" w:type="dxa"/>
              <w:left w:w="100" w:type="dxa"/>
              <w:bottom w:w="100" w:type="dxa"/>
              <w:right w:w="100" w:type="dxa"/>
            </w:tcMar>
          </w:tcPr>
          <w:p w14:paraId="112CAB6F" w14:textId="77777777" w:rsidR="00D178E3" w:rsidRDefault="00B274CB">
            <w:pPr>
              <w:widowControl w:val="0"/>
              <w:pBdr>
                <w:top w:val="nil"/>
                <w:left w:val="nil"/>
                <w:bottom w:val="nil"/>
                <w:right w:val="nil"/>
                <w:between w:val="nil"/>
              </w:pBdr>
              <w:spacing w:line="240" w:lineRule="auto"/>
            </w:pPr>
            <w:r>
              <w:t>Availability of the policy</w:t>
            </w:r>
          </w:p>
        </w:tc>
        <w:tc>
          <w:tcPr>
            <w:tcW w:w="3120" w:type="dxa"/>
            <w:vMerge w:val="restart"/>
            <w:shd w:val="clear" w:color="auto" w:fill="auto"/>
            <w:tcMar>
              <w:top w:w="100" w:type="dxa"/>
              <w:left w:w="100" w:type="dxa"/>
              <w:bottom w:w="100" w:type="dxa"/>
              <w:right w:w="100" w:type="dxa"/>
            </w:tcMar>
          </w:tcPr>
          <w:p w14:paraId="79B98C8D" w14:textId="77777777" w:rsidR="00D178E3" w:rsidRDefault="00B274CB">
            <w:pPr>
              <w:widowControl w:val="0"/>
              <w:spacing w:line="240" w:lineRule="auto"/>
            </w:pPr>
            <w:r>
              <w:t xml:space="preserve">Policies should be openly available and described consistently using a structured data markup schema to support both human and machine readability. </w:t>
            </w:r>
          </w:p>
        </w:tc>
        <w:tc>
          <w:tcPr>
            <w:tcW w:w="585" w:type="dxa"/>
            <w:shd w:val="clear" w:color="auto" w:fill="B6D7A8"/>
            <w:tcMar>
              <w:top w:w="100" w:type="dxa"/>
              <w:left w:w="100" w:type="dxa"/>
              <w:bottom w:w="100" w:type="dxa"/>
              <w:right w:w="100" w:type="dxa"/>
            </w:tcMar>
          </w:tcPr>
          <w:p w14:paraId="5E51E526"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06D0BA40" w14:textId="77777777" w:rsidR="00D178E3" w:rsidRDefault="00B274CB">
            <w:pPr>
              <w:widowControl w:val="0"/>
              <w:numPr>
                <w:ilvl w:val="0"/>
                <w:numId w:val="6"/>
              </w:numPr>
              <w:pBdr>
                <w:top w:val="nil"/>
                <w:left w:val="nil"/>
                <w:bottom w:val="nil"/>
                <w:right w:val="nil"/>
                <w:between w:val="nil"/>
              </w:pBdr>
              <w:spacing w:line="240" w:lineRule="auto"/>
              <w:ind w:left="425" w:hanging="283"/>
            </w:pPr>
            <w:r>
              <w:t>The policy is openly available online in a structured format.</w:t>
            </w:r>
          </w:p>
        </w:tc>
      </w:tr>
      <w:tr w:rsidR="00D178E3" w14:paraId="0A9C7F6B" w14:textId="77777777">
        <w:trPr>
          <w:trHeight w:val="420"/>
        </w:trPr>
        <w:tc>
          <w:tcPr>
            <w:tcW w:w="1545" w:type="dxa"/>
            <w:vMerge/>
            <w:shd w:val="clear" w:color="auto" w:fill="auto"/>
            <w:tcMar>
              <w:top w:w="100" w:type="dxa"/>
              <w:left w:w="100" w:type="dxa"/>
              <w:bottom w:w="100" w:type="dxa"/>
              <w:right w:w="100" w:type="dxa"/>
            </w:tcMar>
          </w:tcPr>
          <w:p w14:paraId="7A4C3EEC" w14:textId="77777777" w:rsidR="00D178E3" w:rsidRDefault="00D178E3">
            <w:pPr>
              <w:widowControl w:val="0"/>
              <w:pBdr>
                <w:top w:val="nil"/>
                <w:left w:val="nil"/>
                <w:bottom w:val="nil"/>
                <w:right w:val="nil"/>
                <w:between w:val="nil"/>
              </w:pBdr>
              <w:spacing w:line="240" w:lineRule="auto"/>
            </w:pPr>
          </w:p>
        </w:tc>
        <w:tc>
          <w:tcPr>
            <w:tcW w:w="3120" w:type="dxa"/>
            <w:vMerge/>
            <w:shd w:val="clear" w:color="auto" w:fill="auto"/>
            <w:tcMar>
              <w:top w:w="100" w:type="dxa"/>
              <w:left w:w="100" w:type="dxa"/>
              <w:bottom w:w="100" w:type="dxa"/>
              <w:right w:w="100" w:type="dxa"/>
            </w:tcMar>
          </w:tcPr>
          <w:p w14:paraId="5A16CC55"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37A9C899"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078168C2" w14:textId="77777777" w:rsidR="00D178E3" w:rsidRDefault="00B274CB">
            <w:pPr>
              <w:widowControl w:val="0"/>
              <w:numPr>
                <w:ilvl w:val="0"/>
                <w:numId w:val="6"/>
              </w:numPr>
              <w:spacing w:line="240" w:lineRule="auto"/>
              <w:ind w:left="425" w:hanging="283"/>
            </w:pPr>
            <w:r>
              <w:t>The policy is openly available online (e.g., HTML, PDF).</w:t>
            </w:r>
          </w:p>
        </w:tc>
      </w:tr>
      <w:tr w:rsidR="00D178E3" w14:paraId="3AE3DC0C" w14:textId="77777777">
        <w:trPr>
          <w:trHeight w:val="420"/>
        </w:trPr>
        <w:tc>
          <w:tcPr>
            <w:tcW w:w="1545" w:type="dxa"/>
            <w:vMerge/>
            <w:shd w:val="clear" w:color="auto" w:fill="auto"/>
            <w:tcMar>
              <w:top w:w="100" w:type="dxa"/>
              <w:left w:w="100" w:type="dxa"/>
              <w:bottom w:w="100" w:type="dxa"/>
              <w:right w:w="100" w:type="dxa"/>
            </w:tcMar>
          </w:tcPr>
          <w:p w14:paraId="30D0F467" w14:textId="77777777" w:rsidR="00D178E3" w:rsidRDefault="00D178E3">
            <w:pPr>
              <w:widowControl w:val="0"/>
              <w:pBdr>
                <w:top w:val="nil"/>
                <w:left w:val="nil"/>
                <w:bottom w:val="nil"/>
                <w:right w:val="nil"/>
                <w:between w:val="nil"/>
              </w:pBdr>
              <w:spacing w:line="240" w:lineRule="auto"/>
            </w:pPr>
          </w:p>
        </w:tc>
        <w:tc>
          <w:tcPr>
            <w:tcW w:w="3120" w:type="dxa"/>
            <w:vMerge/>
            <w:shd w:val="clear" w:color="auto" w:fill="auto"/>
            <w:tcMar>
              <w:top w:w="100" w:type="dxa"/>
              <w:left w:w="100" w:type="dxa"/>
              <w:bottom w:w="100" w:type="dxa"/>
              <w:right w:w="100" w:type="dxa"/>
            </w:tcMar>
          </w:tcPr>
          <w:p w14:paraId="5B3CE6A9"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4A69DA07" w14:textId="77777777" w:rsidR="00D178E3" w:rsidRDefault="00D178E3">
            <w:pPr>
              <w:widowControl w:val="0"/>
              <w:pBdr>
                <w:top w:val="nil"/>
                <w:left w:val="nil"/>
                <w:bottom w:val="nil"/>
                <w:right w:val="nil"/>
                <w:between w:val="nil"/>
              </w:pBdr>
              <w:spacing w:line="240" w:lineRule="auto"/>
              <w:ind w:left="425" w:hanging="283"/>
            </w:pPr>
          </w:p>
        </w:tc>
        <w:tc>
          <w:tcPr>
            <w:tcW w:w="4485" w:type="dxa"/>
            <w:shd w:val="clear" w:color="auto" w:fill="auto"/>
            <w:tcMar>
              <w:top w:w="100" w:type="dxa"/>
              <w:left w:w="100" w:type="dxa"/>
              <w:bottom w:w="100" w:type="dxa"/>
              <w:right w:w="100" w:type="dxa"/>
            </w:tcMar>
          </w:tcPr>
          <w:p w14:paraId="59DE2951" w14:textId="77777777" w:rsidR="00D178E3" w:rsidRDefault="00B274CB">
            <w:pPr>
              <w:widowControl w:val="0"/>
              <w:numPr>
                <w:ilvl w:val="0"/>
                <w:numId w:val="6"/>
              </w:numPr>
              <w:spacing w:line="240" w:lineRule="auto"/>
              <w:ind w:left="425" w:hanging="283"/>
            </w:pPr>
            <w:r>
              <w:t>The policy is not openly available online.</w:t>
            </w:r>
          </w:p>
        </w:tc>
      </w:tr>
    </w:tbl>
    <w:p w14:paraId="527D871C" w14:textId="77777777" w:rsidR="00D178E3" w:rsidRDefault="00D178E3"/>
    <w:p w14:paraId="34B51357" w14:textId="77777777" w:rsidR="00D178E3" w:rsidRDefault="00D178E3"/>
    <w:p w14:paraId="21B3C61A" w14:textId="77777777" w:rsidR="00D178E3" w:rsidRDefault="00D178E3"/>
    <w:p w14:paraId="08C39097" w14:textId="77777777" w:rsidR="00D178E3" w:rsidRDefault="00D178E3"/>
    <w:p w14:paraId="518EACB9" w14:textId="77777777" w:rsidR="00D178E3" w:rsidRDefault="00D178E3"/>
    <w:p w14:paraId="69851410" w14:textId="77777777" w:rsidR="00D178E3" w:rsidRDefault="00D178E3">
      <w:pPr>
        <w:ind w:left="-425"/>
        <w:rPr>
          <w:b/>
        </w:rPr>
      </w:pPr>
    </w:p>
    <w:p w14:paraId="315FA85E" w14:textId="77777777" w:rsidR="00D178E3" w:rsidRDefault="00D178E3">
      <w:pPr>
        <w:ind w:left="-425"/>
        <w:rPr>
          <w:b/>
        </w:rPr>
      </w:pPr>
    </w:p>
    <w:p w14:paraId="3DCAEFF8" w14:textId="77777777" w:rsidR="00D178E3" w:rsidRDefault="00B274CB">
      <w:pPr>
        <w:ind w:left="-425"/>
        <w:rPr>
          <w:b/>
        </w:rPr>
      </w:pPr>
      <w:r>
        <w:rPr>
          <w:b/>
        </w:rPr>
        <w:t xml:space="preserve">Content of the FAIR-enabling Data Policy </w:t>
      </w:r>
    </w:p>
    <w:p w14:paraId="2D64E46C" w14:textId="77777777" w:rsidR="00D178E3" w:rsidRDefault="00D178E3">
      <w:pPr>
        <w:ind w:left="-425"/>
      </w:pPr>
    </w:p>
    <w:p w14:paraId="129BC938" w14:textId="77777777" w:rsidR="00D178E3" w:rsidRDefault="00B274CB">
      <w:pPr>
        <w:ind w:left="-425"/>
      </w:pPr>
      <w:r>
        <w:t xml:space="preserve">This section focused on characterising the scope and the content of the policies. </w:t>
      </w:r>
    </w:p>
    <w:p w14:paraId="7D8335D8" w14:textId="77777777" w:rsidR="00D178E3" w:rsidRDefault="00D178E3"/>
    <w:tbl>
      <w:tblPr>
        <w:tblStyle w:val="a0"/>
        <w:tblW w:w="9810" w:type="dxa"/>
        <w:tblInd w:w="-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3570"/>
        <w:gridCol w:w="585"/>
        <w:gridCol w:w="3960"/>
      </w:tblGrid>
      <w:tr w:rsidR="00D178E3" w14:paraId="32105164" w14:textId="77777777">
        <w:trPr>
          <w:trHeight w:val="420"/>
        </w:trPr>
        <w:tc>
          <w:tcPr>
            <w:tcW w:w="1695" w:type="dxa"/>
            <w:shd w:val="clear" w:color="auto" w:fill="auto"/>
            <w:tcMar>
              <w:top w:w="100" w:type="dxa"/>
              <w:left w:w="100" w:type="dxa"/>
              <w:bottom w:w="100" w:type="dxa"/>
              <w:right w:w="100" w:type="dxa"/>
            </w:tcMar>
          </w:tcPr>
          <w:p w14:paraId="2DB58AC4" w14:textId="77777777" w:rsidR="00D178E3" w:rsidRDefault="00B274CB">
            <w:pPr>
              <w:widowControl w:val="0"/>
              <w:spacing w:line="240" w:lineRule="auto"/>
              <w:rPr>
                <w:b/>
              </w:rPr>
            </w:pPr>
            <w:r>
              <w:rPr>
                <w:b/>
              </w:rPr>
              <w:t>Policy element</w:t>
            </w:r>
          </w:p>
        </w:tc>
        <w:tc>
          <w:tcPr>
            <w:tcW w:w="3570" w:type="dxa"/>
            <w:shd w:val="clear" w:color="auto" w:fill="auto"/>
            <w:tcMar>
              <w:top w:w="100" w:type="dxa"/>
              <w:left w:w="100" w:type="dxa"/>
              <w:bottom w:w="100" w:type="dxa"/>
              <w:right w:w="100" w:type="dxa"/>
            </w:tcMar>
          </w:tcPr>
          <w:p w14:paraId="28995F3D" w14:textId="77777777" w:rsidR="00D178E3" w:rsidRDefault="00B274CB">
            <w:pPr>
              <w:widowControl w:val="0"/>
              <w:spacing w:line="240" w:lineRule="auto"/>
              <w:rPr>
                <w:b/>
              </w:rPr>
            </w:pPr>
            <w:r>
              <w:rPr>
                <w:b/>
              </w:rPr>
              <w:t>Good practice recommendation</w:t>
            </w:r>
          </w:p>
        </w:tc>
        <w:tc>
          <w:tcPr>
            <w:tcW w:w="4545" w:type="dxa"/>
            <w:gridSpan w:val="2"/>
            <w:shd w:val="clear" w:color="auto" w:fill="auto"/>
            <w:tcMar>
              <w:top w:w="100" w:type="dxa"/>
              <w:left w:w="100" w:type="dxa"/>
              <w:bottom w:w="100" w:type="dxa"/>
              <w:right w:w="100" w:type="dxa"/>
            </w:tcMar>
          </w:tcPr>
          <w:p w14:paraId="1EE77F6E" w14:textId="77777777" w:rsidR="00D178E3" w:rsidRDefault="00B274CB">
            <w:pPr>
              <w:widowControl w:val="0"/>
              <w:spacing w:line="240" w:lineRule="auto"/>
              <w:rPr>
                <w:b/>
              </w:rPr>
            </w:pPr>
            <w:r>
              <w:rPr>
                <w:b/>
              </w:rPr>
              <w:t xml:space="preserve">Tick the statement that best reflects your policy </w:t>
            </w:r>
          </w:p>
        </w:tc>
      </w:tr>
      <w:tr w:rsidR="00D178E3" w14:paraId="358ADE01" w14:textId="77777777">
        <w:trPr>
          <w:trHeight w:val="420"/>
        </w:trPr>
        <w:tc>
          <w:tcPr>
            <w:tcW w:w="1695" w:type="dxa"/>
            <w:vMerge w:val="restart"/>
            <w:shd w:val="clear" w:color="auto" w:fill="auto"/>
            <w:tcMar>
              <w:top w:w="100" w:type="dxa"/>
              <w:left w:w="100" w:type="dxa"/>
              <w:bottom w:w="100" w:type="dxa"/>
              <w:right w:w="100" w:type="dxa"/>
            </w:tcMar>
          </w:tcPr>
          <w:p w14:paraId="370F262C" w14:textId="77777777" w:rsidR="00D178E3" w:rsidRDefault="00B274CB">
            <w:pPr>
              <w:widowControl w:val="0"/>
              <w:spacing w:line="240" w:lineRule="auto"/>
            </w:pPr>
            <w:r>
              <w:t>Scope of the policy</w:t>
            </w:r>
          </w:p>
        </w:tc>
        <w:tc>
          <w:tcPr>
            <w:tcW w:w="3570" w:type="dxa"/>
            <w:vMerge w:val="restart"/>
            <w:shd w:val="clear" w:color="auto" w:fill="auto"/>
            <w:tcMar>
              <w:top w:w="100" w:type="dxa"/>
              <w:left w:w="100" w:type="dxa"/>
              <w:bottom w:w="100" w:type="dxa"/>
              <w:right w:w="100" w:type="dxa"/>
            </w:tcMar>
          </w:tcPr>
          <w:p w14:paraId="5B382C57" w14:textId="77777777" w:rsidR="00D178E3" w:rsidRDefault="00B274CB">
            <w:pPr>
              <w:widowControl w:val="0"/>
              <w:spacing w:line="240" w:lineRule="auto"/>
            </w:pPr>
            <w:r>
              <w:t xml:space="preserve">The policy should provide a clear definition on the range of outputs that are covered by the policy such as publications, research data and software. </w:t>
            </w:r>
          </w:p>
        </w:tc>
        <w:tc>
          <w:tcPr>
            <w:tcW w:w="585" w:type="dxa"/>
            <w:shd w:val="clear" w:color="auto" w:fill="B6D7A8"/>
            <w:tcMar>
              <w:top w:w="100" w:type="dxa"/>
              <w:left w:w="100" w:type="dxa"/>
              <w:bottom w:w="100" w:type="dxa"/>
              <w:right w:w="100" w:type="dxa"/>
            </w:tcMar>
          </w:tcPr>
          <w:p w14:paraId="1509F4F4"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3A06E4F8" w14:textId="77777777" w:rsidR="00D178E3" w:rsidRDefault="00B274CB">
            <w:pPr>
              <w:widowControl w:val="0"/>
              <w:numPr>
                <w:ilvl w:val="0"/>
                <w:numId w:val="17"/>
              </w:numPr>
              <w:spacing w:line="240" w:lineRule="auto"/>
              <w:ind w:left="425" w:hanging="283"/>
            </w:pPr>
            <w:r>
              <w:t xml:space="preserve">The policy makes clear the range of outputs that are covered and which are not in scope. </w:t>
            </w:r>
          </w:p>
        </w:tc>
      </w:tr>
      <w:tr w:rsidR="00D178E3" w14:paraId="41468CB0" w14:textId="77777777">
        <w:trPr>
          <w:trHeight w:val="420"/>
        </w:trPr>
        <w:tc>
          <w:tcPr>
            <w:tcW w:w="1695" w:type="dxa"/>
            <w:vMerge/>
            <w:shd w:val="clear" w:color="auto" w:fill="auto"/>
            <w:tcMar>
              <w:top w:w="100" w:type="dxa"/>
              <w:left w:w="100" w:type="dxa"/>
              <w:bottom w:w="100" w:type="dxa"/>
              <w:right w:w="100" w:type="dxa"/>
            </w:tcMar>
          </w:tcPr>
          <w:p w14:paraId="2B739306"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0BDC0BAC"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13B88BB2"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29D3E6B6" w14:textId="77777777" w:rsidR="00D178E3" w:rsidRDefault="00B274CB">
            <w:pPr>
              <w:widowControl w:val="0"/>
              <w:numPr>
                <w:ilvl w:val="0"/>
                <w:numId w:val="17"/>
              </w:numPr>
              <w:spacing w:line="240" w:lineRule="auto"/>
              <w:ind w:left="425" w:hanging="283"/>
            </w:pPr>
            <w:r>
              <w:t>The policy lacks clarity on which research outputs are covered.</w:t>
            </w:r>
          </w:p>
        </w:tc>
      </w:tr>
      <w:tr w:rsidR="00D178E3" w14:paraId="13B4E270" w14:textId="77777777">
        <w:trPr>
          <w:trHeight w:val="420"/>
        </w:trPr>
        <w:tc>
          <w:tcPr>
            <w:tcW w:w="1695" w:type="dxa"/>
            <w:vMerge w:val="restart"/>
            <w:shd w:val="clear" w:color="auto" w:fill="auto"/>
            <w:tcMar>
              <w:top w:w="100" w:type="dxa"/>
              <w:left w:w="100" w:type="dxa"/>
              <w:bottom w:w="100" w:type="dxa"/>
              <w:right w:w="100" w:type="dxa"/>
            </w:tcMar>
          </w:tcPr>
          <w:p w14:paraId="4A901B19" w14:textId="77777777" w:rsidR="00D178E3" w:rsidRDefault="00B274CB">
            <w:pPr>
              <w:widowControl w:val="0"/>
              <w:spacing w:line="240" w:lineRule="auto"/>
            </w:pPr>
            <w:r>
              <w:t>Definition of research data</w:t>
            </w:r>
          </w:p>
        </w:tc>
        <w:tc>
          <w:tcPr>
            <w:tcW w:w="3570" w:type="dxa"/>
            <w:vMerge w:val="restart"/>
            <w:shd w:val="clear" w:color="auto" w:fill="auto"/>
            <w:tcMar>
              <w:top w:w="100" w:type="dxa"/>
              <w:left w:w="100" w:type="dxa"/>
              <w:bottom w:w="100" w:type="dxa"/>
              <w:right w:w="100" w:type="dxa"/>
            </w:tcMar>
          </w:tcPr>
          <w:p w14:paraId="156C5BC9" w14:textId="77777777" w:rsidR="00D178E3" w:rsidRDefault="00B274CB">
            <w:pPr>
              <w:widowControl w:val="0"/>
              <w:spacing w:line="240" w:lineRule="auto"/>
            </w:pPr>
            <w:r>
              <w:t xml:space="preserve">The policy should provide a clear definition of what is meant by the term research data which can cover a very broad range of output types. </w:t>
            </w:r>
          </w:p>
        </w:tc>
        <w:tc>
          <w:tcPr>
            <w:tcW w:w="585" w:type="dxa"/>
            <w:shd w:val="clear" w:color="auto" w:fill="B6D7A8"/>
            <w:tcMar>
              <w:top w:w="100" w:type="dxa"/>
              <w:left w:w="100" w:type="dxa"/>
              <w:bottom w:w="100" w:type="dxa"/>
              <w:right w:w="100" w:type="dxa"/>
            </w:tcMar>
          </w:tcPr>
          <w:p w14:paraId="7909EF5B"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0D305EE3" w14:textId="77777777" w:rsidR="00D178E3" w:rsidRDefault="00B274CB">
            <w:pPr>
              <w:widowControl w:val="0"/>
              <w:numPr>
                <w:ilvl w:val="0"/>
                <w:numId w:val="23"/>
              </w:numPr>
              <w:spacing w:line="240" w:lineRule="auto"/>
              <w:ind w:left="425" w:hanging="283"/>
            </w:pPr>
            <w:r>
              <w:t xml:space="preserve">The policy provides a clear definition of what is meant by the term research data. </w:t>
            </w:r>
          </w:p>
        </w:tc>
      </w:tr>
      <w:tr w:rsidR="00D178E3" w14:paraId="71901780" w14:textId="77777777">
        <w:trPr>
          <w:trHeight w:val="420"/>
        </w:trPr>
        <w:tc>
          <w:tcPr>
            <w:tcW w:w="1695" w:type="dxa"/>
            <w:vMerge/>
            <w:shd w:val="clear" w:color="auto" w:fill="auto"/>
            <w:tcMar>
              <w:top w:w="100" w:type="dxa"/>
              <w:left w:w="100" w:type="dxa"/>
              <w:bottom w:w="100" w:type="dxa"/>
              <w:right w:w="100" w:type="dxa"/>
            </w:tcMar>
          </w:tcPr>
          <w:p w14:paraId="1D5FB077"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7B018D88"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059FA57A"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589BF197" w14:textId="77777777" w:rsidR="00D178E3" w:rsidRDefault="00B274CB">
            <w:pPr>
              <w:widowControl w:val="0"/>
              <w:numPr>
                <w:ilvl w:val="0"/>
                <w:numId w:val="23"/>
              </w:numPr>
              <w:spacing w:line="240" w:lineRule="auto"/>
              <w:ind w:left="425" w:hanging="283"/>
            </w:pPr>
            <w:r>
              <w:t xml:space="preserve">The policy lacks clarity over what is meant by the term research data. </w:t>
            </w:r>
          </w:p>
        </w:tc>
      </w:tr>
      <w:tr w:rsidR="00D178E3" w14:paraId="61EB4254" w14:textId="77777777">
        <w:trPr>
          <w:trHeight w:val="420"/>
        </w:trPr>
        <w:tc>
          <w:tcPr>
            <w:tcW w:w="1695" w:type="dxa"/>
            <w:vMerge w:val="restart"/>
            <w:shd w:val="clear" w:color="auto" w:fill="auto"/>
            <w:tcMar>
              <w:top w:w="100" w:type="dxa"/>
              <w:left w:w="100" w:type="dxa"/>
              <w:bottom w:w="100" w:type="dxa"/>
              <w:right w:w="100" w:type="dxa"/>
            </w:tcMar>
          </w:tcPr>
          <w:p w14:paraId="3FE28E0C" w14:textId="77777777" w:rsidR="00D178E3" w:rsidRDefault="00B274CB">
            <w:pPr>
              <w:widowControl w:val="0"/>
              <w:spacing w:line="240" w:lineRule="auto"/>
            </w:pPr>
            <w:r>
              <w:t>Research software</w:t>
            </w:r>
          </w:p>
        </w:tc>
        <w:tc>
          <w:tcPr>
            <w:tcW w:w="3570" w:type="dxa"/>
            <w:vMerge w:val="restart"/>
            <w:shd w:val="clear" w:color="auto" w:fill="auto"/>
            <w:tcMar>
              <w:top w:w="100" w:type="dxa"/>
              <w:left w:w="100" w:type="dxa"/>
              <w:bottom w:w="100" w:type="dxa"/>
              <w:right w:w="100" w:type="dxa"/>
            </w:tcMar>
          </w:tcPr>
          <w:p w14:paraId="717048A2" w14:textId="77777777" w:rsidR="00D178E3" w:rsidRDefault="00B274CB">
            <w:pPr>
              <w:widowControl w:val="0"/>
              <w:spacing w:line="240" w:lineRule="auto"/>
            </w:pPr>
            <w:r>
              <w:t xml:space="preserve">The policy should make clear that research software required for reproducibility is deposited with a suitable code repository. </w:t>
            </w:r>
          </w:p>
        </w:tc>
        <w:tc>
          <w:tcPr>
            <w:tcW w:w="585" w:type="dxa"/>
            <w:shd w:val="clear" w:color="auto" w:fill="B6D7A8"/>
            <w:tcMar>
              <w:top w:w="100" w:type="dxa"/>
              <w:left w:w="100" w:type="dxa"/>
              <w:bottom w:w="100" w:type="dxa"/>
              <w:right w:w="100" w:type="dxa"/>
            </w:tcMar>
          </w:tcPr>
          <w:p w14:paraId="7B9F6CBA"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2E1B21C5" w14:textId="77777777" w:rsidR="00D178E3" w:rsidRDefault="00B274CB">
            <w:pPr>
              <w:widowControl w:val="0"/>
              <w:numPr>
                <w:ilvl w:val="0"/>
                <w:numId w:val="24"/>
              </w:numPr>
              <w:spacing w:line="240" w:lineRule="auto"/>
              <w:ind w:left="425" w:hanging="283"/>
            </w:pPr>
            <w:r>
              <w:t>The policy provides clarity on expectations for handling research software.</w:t>
            </w:r>
          </w:p>
        </w:tc>
      </w:tr>
      <w:tr w:rsidR="00D178E3" w14:paraId="27C9EDD9" w14:textId="77777777">
        <w:trPr>
          <w:trHeight w:val="420"/>
        </w:trPr>
        <w:tc>
          <w:tcPr>
            <w:tcW w:w="1695" w:type="dxa"/>
            <w:vMerge/>
            <w:shd w:val="clear" w:color="auto" w:fill="auto"/>
            <w:tcMar>
              <w:top w:w="100" w:type="dxa"/>
              <w:left w:w="100" w:type="dxa"/>
              <w:bottom w:w="100" w:type="dxa"/>
              <w:right w:w="100" w:type="dxa"/>
            </w:tcMar>
          </w:tcPr>
          <w:p w14:paraId="195C8076"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0CB8F095"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2DF24312"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4203D332" w14:textId="77777777" w:rsidR="00D178E3" w:rsidRDefault="00B274CB">
            <w:pPr>
              <w:widowControl w:val="0"/>
              <w:numPr>
                <w:ilvl w:val="0"/>
                <w:numId w:val="38"/>
              </w:numPr>
              <w:spacing w:line="240" w:lineRule="auto"/>
              <w:ind w:left="425" w:hanging="283"/>
            </w:pPr>
            <w:r>
              <w:t>The policy lacks clarity on expectations for handling research software.</w:t>
            </w:r>
          </w:p>
        </w:tc>
      </w:tr>
      <w:tr w:rsidR="00D178E3" w14:paraId="77B097F7" w14:textId="77777777">
        <w:trPr>
          <w:trHeight w:val="420"/>
        </w:trPr>
        <w:tc>
          <w:tcPr>
            <w:tcW w:w="1695" w:type="dxa"/>
            <w:vMerge w:val="restart"/>
            <w:shd w:val="clear" w:color="auto" w:fill="auto"/>
            <w:tcMar>
              <w:top w:w="100" w:type="dxa"/>
              <w:left w:w="100" w:type="dxa"/>
              <w:bottom w:w="100" w:type="dxa"/>
              <w:right w:w="100" w:type="dxa"/>
            </w:tcMar>
          </w:tcPr>
          <w:p w14:paraId="08B658A8" w14:textId="77777777" w:rsidR="00D178E3" w:rsidRDefault="00B274CB">
            <w:pPr>
              <w:widowControl w:val="0"/>
              <w:spacing w:line="240" w:lineRule="auto"/>
            </w:pPr>
            <w:r>
              <w:t>Data sharing</w:t>
            </w:r>
          </w:p>
        </w:tc>
        <w:tc>
          <w:tcPr>
            <w:tcW w:w="3570" w:type="dxa"/>
            <w:vMerge w:val="restart"/>
            <w:shd w:val="clear" w:color="auto" w:fill="auto"/>
            <w:tcMar>
              <w:top w:w="100" w:type="dxa"/>
              <w:left w:w="100" w:type="dxa"/>
              <w:bottom w:w="100" w:type="dxa"/>
              <w:right w:w="100" w:type="dxa"/>
            </w:tcMar>
          </w:tcPr>
          <w:p w14:paraId="5673C8B2" w14:textId="77777777" w:rsidR="00D178E3" w:rsidRDefault="00B274CB">
            <w:pPr>
              <w:widowControl w:val="0"/>
              <w:spacing w:line="240" w:lineRule="auto"/>
            </w:pPr>
            <w:r>
              <w:t xml:space="preserve">The policy should require data sharing unless there are valid reasons not to share the data.  </w:t>
            </w:r>
          </w:p>
          <w:p w14:paraId="32E74030" w14:textId="77777777" w:rsidR="00D178E3" w:rsidRDefault="00B274CB">
            <w:pPr>
              <w:widowControl w:val="0"/>
              <w:spacing w:line="240" w:lineRule="auto"/>
            </w:pPr>
            <w:r>
              <w:t xml:space="preserve">The policy should also make clear which exceptions to data sharing are allowed (e.g., personal sensitive, commercial sensitivity). </w:t>
            </w:r>
          </w:p>
          <w:p w14:paraId="6C963E03" w14:textId="77777777" w:rsidR="00D178E3" w:rsidRDefault="00B274CB">
            <w:pPr>
              <w:widowControl w:val="0"/>
              <w:spacing w:line="240" w:lineRule="auto"/>
            </w:pPr>
            <w:r>
              <w:t xml:space="preserve">Any embargo periods that are </w:t>
            </w:r>
            <w:r>
              <w:t xml:space="preserve">allowed should be clearly stated in the policy. </w:t>
            </w:r>
          </w:p>
        </w:tc>
        <w:tc>
          <w:tcPr>
            <w:tcW w:w="585" w:type="dxa"/>
            <w:shd w:val="clear" w:color="auto" w:fill="B6D7A8"/>
            <w:tcMar>
              <w:top w:w="100" w:type="dxa"/>
              <w:left w:w="100" w:type="dxa"/>
              <w:bottom w:w="100" w:type="dxa"/>
              <w:right w:w="100" w:type="dxa"/>
            </w:tcMar>
          </w:tcPr>
          <w:p w14:paraId="5AD5EB5B"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5BB2DC0C" w14:textId="77777777" w:rsidR="00D178E3" w:rsidRDefault="00B274CB">
            <w:pPr>
              <w:widowControl w:val="0"/>
              <w:numPr>
                <w:ilvl w:val="0"/>
                <w:numId w:val="35"/>
              </w:numPr>
              <w:spacing w:line="240" w:lineRule="auto"/>
              <w:ind w:left="425" w:hanging="283"/>
            </w:pPr>
            <w:r>
              <w:t xml:space="preserve">The policy clearly states that data sharing is required and provides clarity on legitimate exceptions to data sharing. </w:t>
            </w:r>
          </w:p>
        </w:tc>
      </w:tr>
      <w:tr w:rsidR="00D178E3" w14:paraId="72E93237" w14:textId="77777777">
        <w:trPr>
          <w:trHeight w:val="420"/>
        </w:trPr>
        <w:tc>
          <w:tcPr>
            <w:tcW w:w="1695" w:type="dxa"/>
            <w:vMerge/>
            <w:shd w:val="clear" w:color="auto" w:fill="auto"/>
            <w:tcMar>
              <w:top w:w="100" w:type="dxa"/>
              <w:left w:w="100" w:type="dxa"/>
              <w:bottom w:w="100" w:type="dxa"/>
              <w:right w:w="100" w:type="dxa"/>
            </w:tcMar>
          </w:tcPr>
          <w:p w14:paraId="4CC2D63E"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69A1D792"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00D7EE16"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76D560A3" w14:textId="77777777" w:rsidR="00D178E3" w:rsidRDefault="00B274CB">
            <w:pPr>
              <w:widowControl w:val="0"/>
              <w:numPr>
                <w:ilvl w:val="0"/>
                <w:numId w:val="35"/>
              </w:numPr>
              <w:spacing w:line="240" w:lineRule="auto"/>
              <w:ind w:left="425" w:hanging="283"/>
            </w:pPr>
            <w:r>
              <w:t xml:space="preserve">The policy encourages data sharing. </w:t>
            </w:r>
          </w:p>
        </w:tc>
      </w:tr>
      <w:tr w:rsidR="00D178E3" w14:paraId="23409EF2" w14:textId="77777777">
        <w:trPr>
          <w:trHeight w:val="420"/>
        </w:trPr>
        <w:tc>
          <w:tcPr>
            <w:tcW w:w="1695" w:type="dxa"/>
            <w:vMerge/>
            <w:shd w:val="clear" w:color="auto" w:fill="auto"/>
            <w:tcMar>
              <w:top w:w="100" w:type="dxa"/>
              <w:left w:w="100" w:type="dxa"/>
              <w:bottom w:w="100" w:type="dxa"/>
              <w:right w:w="100" w:type="dxa"/>
            </w:tcMar>
          </w:tcPr>
          <w:p w14:paraId="77386E06"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4AE1DABC"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55913031"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3DF2B618" w14:textId="77777777" w:rsidR="00D178E3" w:rsidRDefault="00B274CB">
            <w:pPr>
              <w:widowControl w:val="0"/>
              <w:numPr>
                <w:ilvl w:val="0"/>
                <w:numId w:val="35"/>
              </w:numPr>
              <w:spacing w:line="240" w:lineRule="auto"/>
              <w:ind w:left="425" w:hanging="283"/>
            </w:pPr>
            <w:r>
              <w:t>The policy does not address data sharing.</w:t>
            </w:r>
          </w:p>
        </w:tc>
      </w:tr>
      <w:tr w:rsidR="00D178E3" w14:paraId="167F2772" w14:textId="77777777">
        <w:trPr>
          <w:trHeight w:val="420"/>
        </w:trPr>
        <w:tc>
          <w:tcPr>
            <w:tcW w:w="1695" w:type="dxa"/>
            <w:vMerge w:val="restart"/>
            <w:shd w:val="clear" w:color="auto" w:fill="auto"/>
            <w:tcMar>
              <w:top w:w="100" w:type="dxa"/>
              <w:left w:w="100" w:type="dxa"/>
              <w:bottom w:w="100" w:type="dxa"/>
              <w:right w:w="100" w:type="dxa"/>
            </w:tcMar>
          </w:tcPr>
          <w:p w14:paraId="011E76CB" w14:textId="77777777" w:rsidR="00D178E3" w:rsidRDefault="00B274CB">
            <w:pPr>
              <w:widowControl w:val="0"/>
              <w:spacing w:line="240" w:lineRule="auto"/>
            </w:pPr>
            <w:r>
              <w:t xml:space="preserve">Alignment with FAIR (Findable, Accessible, Interoperable, Reusable) Principles </w:t>
            </w:r>
          </w:p>
        </w:tc>
        <w:tc>
          <w:tcPr>
            <w:tcW w:w="3570" w:type="dxa"/>
            <w:vMerge w:val="restart"/>
            <w:shd w:val="clear" w:color="auto" w:fill="auto"/>
            <w:tcMar>
              <w:top w:w="100" w:type="dxa"/>
              <w:left w:w="100" w:type="dxa"/>
              <w:bottom w:w="100" w:type="dxa"/>
              <w:right w:w="100" w:type="dxa"/>
            </w:tcMar>
          </w:tcPr>
          <w:p w14:paraId="08C00B2A" w14:textId="77777777" w:rsidR="00D178E3" w:rsidRDefault="00B274CB">
            <w:pPr>
              <w:widowControl w:val="0"/>
              <w:spacing w:line="240" w:lineRule="auto"/>
            </w:pPr>
            <w:r>
              <w:t xml:space="preserve">Policies should align with the FAIR principles. Whether the FAIR Principles are referred to explicitly or implicitly in the policy is less important than whether the practical requirements relating to FAIR (sharing, depositing with </w:t>
            </w:r>
          </w:p>
          <w:p w14:paraId="4A78ED53" w14:textId="77777777" w:rsidR="00D178E3" w:rsidRDefault="00B274CB">
            <w:pPr>
              <w:widowControl w:val="0"/>
              <w:spacing w:line="240" w:lineRule="auto"/>
            </w:pPr>
            <w:r>
              <w:t xml:space="preserve">repositories, etc) are </w:t>
            </w:r>
            <w:r>
              <w:t xml:space="preserve">clearly outlined in the policy. </w:t>
            </w:r>
          </w:p>
          <w:p w14:paraId="1C356ECC" w14:textId="77777777" w:rsidR="00D178E3" w:rsidRDefault="00D178E3">
            <w:pPr>
              <w:widowControl w:val="0"/>
              <w:spacing w:line="240" w:lineRule="auto"/>
            </w:pPr>
          </w:p>
        </w:tc>
        <w:tc>
          <w:tcPr>
            <w:tcW w:w="585" w:type="dxa"/>
            <w:shd w:val="clear" w:color="auto" w:fill="B6D7A8"/>
            <w:tcMar>
              <w:top w:w="100" w:type="dxa"/>
              <w:left w:w="100" w:type="dxa"/>
              <w:bottom w:w="100" w:type="dxa"/>
              <w:right w:w="100" w:type="dxa"/>
            </w:tcMar>
          </w:tcPr>
          <w:p w14:paraId="48E8379D"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0FAA6206" w14:textId="77777777" w:rsidR="00D178E3" w:rsidRDefault="00B274CB">
            <w:pPr>
              <w:widowControl w:val="0"/>
              <w:numPr>
                <w:ilvl w:val="0"/>
                <w:numId w:val="16"/>
              </w:numPr>
              <w:spacing w:line="240" w:lineRule="auto"/>
              <w:ind w:left="425" w:hanging="283"/>
            </w:pPr>
            <w:r>
              <w:t>The policy makes explicit reference to the FAIR Principles and aligns with FAIR.</w:t>
            </w:r>
          </w:p>
        </w:tc>
      </w:tr>
      <w:tr w:rsidR="00D178E3" w14:paraId="46218DCA" w14:textId="77777777">
        <w:trPr>
          <w:trHeight w:val="420"/>
        </w:trPr>
        <w:tc>
          <w:tcPr>
            <w:tcW w:w="1695" w:type="dxa"/>
            <w:vMerge/>
            <w:shd w:val="clear" w:color="auto" w:fill="auto"/>
            <w:tcMar>
              <w:top w:w="100" w:type="dxa"/>
              <w:left w:w="100" w:type="dxa"/>
              <w:bottom w:w="100" w:type="dxa"/>
              <w:right w:w="100" w:type="dxa"/>
            </w:tcMar>
          </w:tcPr>
          <w:p w14:paraId="2718FAC9"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0459B79B"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00E56CD6"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7C8CF1B4" w14:textId="77777777" w:rsidR="00D178E3" w:rsidRDefault="00B274CB">
            <w:pPr>
              <w:widowControl w:val="0"/>
              <w:numPr>
                <w:ilvl w:val="0"/>
                <w:numId w:val="16"/>
              </w:numPr>
              <w:spacing w:line="240" w:lineRule="auto"/>
              <w:ind w:left="425" w:hanging="283"/>
            </w:pPr>
            <w:r>
              <w:t xml:space="preserve">The policy does not specifically refer to the FAIR Principles but aligns with FAIR. </w:t>
            </w:r>
          </w:p>
        </w:tc>
      </w:tr>
      <w:tr w:rsidR="00D178E3" w14:paraId="2648AD16" w14:textId="77777777">
        <w:trPr>
          <w:trHeight w:val="420"/>
        </w:trPr>
        <w:tc>
          <w:tcPr>
            <w:tcW w:w="1695" w:type="dxa"/>
            <w:vMerge/>
            <w:shd w:val="clear" w:color="auto" w:fill="auto"/>
            <w:tcMar>
              <w:top w:w="100" w:type="dxa"/>
              <w:left w:w="100" w:type="dxa"/>
              <w:bottom w:w="100" w:type="dxa"/>
              <w:right w:w="100" w:type="dxa"/>
            </w:tcMar>
          </w:tcPr>
          <w:p w14:paraId="10494618"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6612B3AC"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7683CD16"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395FABA5" w14:textId="77777777" w:rsidR="00D178E3" w:rsidRDefault="00B274CB">
            <w:pPr>
              <w:widowControl w:val="0"/>
              <w:numPr>
                <w:ilvl w:val="0"/>
                <w:numId w:val="16"/>
              </w:numPr>
              <w:spacing w:line="240" w:lineRule="auto"/>
              <w:ind w:left="425" w:hanging="283"/>
            </w:pPr>
            <w:r>
              <w:t>The policy does not address the FAIR Principles explicitly or implicitly.</w:t>
            </w:r>
          </w:p>
        </w:tc>
      </w:tr>
      <w:tr w:rsidR="00D178E3" w14:paraId="7C929B70" w14:textId="77777777">
        <w:trPr>
          <w:trHeight w:val="420"/>
        </w:trPr>
        <w:tc>
          <w:tcPr>
            <w:tcW w:w="1695" w:type="dxa"/>
            <w:vMerge w:val="restart"/>
            <w:shd w:val="clear" w:color="auto" w:fill="auto"/>
            <w:tcMar>
              <w:top w:w="100" w:type="dxa"/>
              <w:left w:w="100" w:type="dxa"/>
              <w:bottom w:w="100" w:type="dxa"/>
              <w:right w:w="100" w:type="dxa"/>
            </w:tcMar>
          </w:tcPr>
          <w:p w14:paraId="4D24FE28" w14:textId="77777777" w:rsidR="00D178E3" w:rsidRDefault="00B274CB">
            <w:pPr>
              <w:widowControl w:val="0"/>
              <w:spacing w:line="240" w:lineRule="auto"/>
            </w:pPr>
            <w:r>
              <w:t>Metadata sharing</w:t>
            </w:r>
          </w:p>
        </w:tc>
        <w:tc>
          <w:tcPr>
            <w:tcW w:w="3570" w:type="dxa"/>
            <w:vMerge w:val="restart"/>
            <w:shd w:val="clear" w:color="auto" w:fill="auto"/>
            <w:tcMar>
              <w:top w:w="100" w:type="dxa"/>
              <w:left w:w="100" w:type="dxa"/>
              <w:bottom w:w="100" w:type="dxa"/>
              <w:right w:w="100" w:type="dxa"/>
            </w:tcMar>
          </w:tcPr>
          <w:p w14:paraId="1F372438" w14:textId="77777777" w:rsidR="00D178E3" w:rsidRDefault="00B274CB">
            <w:pPr>
              <w:widowControl w:val="0"/>
              <w:spacing w:line="240" w:lineRule="auto"/>
            </w:pPr>
            <w:r>
              <w:t xml:space="preserve">The policy should make clear any expectations around metadata sharing in particular when the data </w:t>
            </w:r>
            <w:r>
              <w:lastRenderedPageBreak/>
              <w:t xml:space="preserve">cannot be shared openly </w:t>
            </w:r>
            <w:r>
              <w:rPr>
                <w:highlight w:val="white"/>
              </w:rPr>
              <w:t>or if data are no longer accessible</w:t>
            </w:r>
            <w:r>
              <w:t>. An emphasis should be placed on making clear whether metadata sharing is required or is suggested</w:t>
            </w:r>
            <w:r>
              <w:t>.</w:t>
            </w:r>
          </w:p>
          <w:p w14:paraId="21752A19" w14:textId="77777777" w:rsidR="00D178E3" w:rsidRDefault="00D178E3">
            <w:pPr>
              <w:widowControl w:val="0"/>
              <w:spacing w:line="240" w:lineRule="auto"/>
            </w:pPr>
          </w:p>
          <w:p w14:paraId="26DCCBF0" w14:textId="77777777" w:rsidR="00D178E3" w:rsidRDefault="00B274CB">
            <w:pPr>
              <w:widowControl w:val="0"/>
              <w:spacing w:line="240" w:lineRule="auto"/>
            </w:pPr>
            <w:r>
              <w:t xml:space="preserve">Conditions for access should also be made clear in the metadata records of the deposited dataset.  </w:t>
            </w:r>
          </w:p>
          <w:p w14:paraId="7F887B45" w14:textId="77777777" w:rsidR="00D178E3" w:rsidRDefault="00B274CB">
            <w:pPr>
              <w:widowControl w:val="0"/>
              <w:spacing w:line="240" w:lineRule="auto"/>
            </w:pPr>
            <w:r>
              <w:t xml:space="preserve">Policies should require tombstone metadata records be maintained after the data may no longer be available to avoid dead ends (e.g., data is destroyed after a retention period). </w:t>
            </w:r>
          </w:p>
        </w:tc>
        <w:tc>
          <w:tcPr>
            <w:tcW w:w="585" w:type="dxa"/>
            <w:shd w:val="clear" w:color="auto" w:fill="B6D7A8"/>
            <w:tcMar>
              <w:top w:w="100" w:type="dxa"/>
              <w:left w:w="100" w:type="dxa"/>
              <w:bottom w:w="100" w:type="dxa"/>
              <w:right w:w="100" w:type="dxa"/>
            </w:tcMar>
          </w:tcPr>
          <w:p w14:paraId="31EDF20A"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106B39BC" w14:textId="77777777" w:rsidR="00D178E3" w:rsidRDefault="00B274CB">
            <w:pPr>
              <w:widowControl w:val="0"/>
              <w:numPr>
                <w:ilvl w:val="0"/>
                <w:numId w:val="9"/>
              </w:numPr>
              <w:spacing w:line="240" w:lineRule="auto"/>
              <w:ind w:left="425" w:hanging="283"/>
            </w:pPr>
            <w:r>
              <w:t>The policy clearly states that sharing metadata for selected data outputs is</w:t>
            </w:r>
            <w:r>
              <w:t xml:space="preserve"> required. </w:t>
            </w:r>
          </w:p>
        </w:tc>
      </w:tr>
      <w:tr w:rsidR="00D178E3" w14:paraId="69BEAB2F" w14:textId="77777777">
        <w:trPr>
          <w:trHeight w:val="420"/>
        </w:trPr>
        <w:tc>
          <w:tcPr>
            <w:tcW w:w="1695" w:type="dxa"/>
            <w:vMerge/>
            <w:shd w:val="clear" w:color="auto" w:fill="auto"/>
            <w:tcMar>
              <w:top w:w="100" w:type="dxa"/>
              <w:left w:w="100" w:type="dxa"/>
              <w:bottom w:w="100" w:type="dxa"/>
              <w:right w:w="100" w:type="dxa"/>
            </w:tcMar>
          </w:tcPr>
          <w:p w14:paraId="1F621618"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10F65AAF"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56019562"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15CCB815" w14:textId="77777777" w:rsidR="00D178E3" w:rsidRDefault="00B274CB">
            <w:pPr>
              <w:widowControl w:val="0"/>
              <w:numPr>
                <w:ilvl w:val="0"/>
                <w:numId w:val="9"/>
              </w:numPr>
              <w:spacing w:line="240" w:lineRule="auto"/>
              <w:ind w:left="425" w:hanging="283"/>
            </w:pPr>
            <w:r>
              <w:t xml:space="preserve">The policy encourages metadata sharing but does not require it. </w:t>
            </w:r>
          </w:p>
        </w:tc>
      </w:tr>
      <w:tr w:rsidR="00D178E3" w14:paraId="30C11965" w14:textId="77777777">
        <w:trPr>
          <w:trHeight w:val="420"/>
        </w:trPr>
        <w:tc>
          <w:tcPr>
            <w:tcW w:w="1695" w:type="dxa"/>
            <w:vMerge/>
            <w:shd w:val="clear" w:color="auto" w:fill="auto"/>
            <w:tcMar>
              <w:top w:w="100" w:type="dxa"/>
              <w:left w:w="100" w:type="dxa"/>
              <w:bottom w:w="100" w:type="dxa"/>
              <w:right w:w="100" w:type="dxa"/>
            </w:tcMar>
          </w:tcPr>
          <w:p w14:paraId="52BA14B2"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47B8DCB6"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19F8091D"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5B824C97" w14:textId="77777777" w:rsidR="00D178E3" w:rsidRDefault="00B274CB">
            <w:pPr>
              <w:widowControl w:val="0"/>
              <w:numPr>
                <w:ilvl w:val="0"/>
                <w:numId w:val="9"/>
              </w:numPr>
              <w:spacing w:line="240" w:lineRule="auto"/>
              <w:ind w:left="425" w:hanging="283"/>
            </w:pPr>
            <w:r>
              <w:t>The policy does not address metadata sharing or lacks clarity over what is expected of researchers when it comes to sharing metadata.</w:t>
            </w:r>
          </w:p>
        </w:tc>
      </w:tr>
      <w:tr w:rsidR="00D178E3" w14:paraId="086C8252" w14:textId="77777777">
        <w:trPr>
          <w:trHeight w:val="420"/>
        </w:trPr>
        <w:tc>
          <w:tcPr>
            <w:tcW w:w="1695" w:type="dxa"/>
            <w:vMerge w:val="restart"/>
            <w:shd w:val="clear" w:color="auto" w:fill="auto"/>
            <w:tcMar>
              <w:top w:w="100" w:type="dxa"/>
              <w:left w:w="100" w:type="dxa"/>
              <w:bottom w:w="100" w:type="dxa"/>
              <w:right w:w="100" w:type="dxa"/>
            </w:tcMar>
          </w:tcPr>
          <w:p w14:paraId="7AF7F7AD" w14:textId="77777777" w:rsidR="00D178E3" w:rsidRDefault="00B274CB">
            <w:pPr>
              <w:widowControl w:val="0"/>
              <w:spacing w:line="240" w:lineRule="auto"/>
            </w:pPr>
            <w:r>
              <w:t>Data Management Plan (DMP)</w:t>
            </w:r>
          </w:p>
        </w:tc>
        <w:tc>
          <w:tcPr>
            <w:tcW w:w="3570" w:type="dxa"/>
            <w:vMerge w:val="restart"/>
            <w:shd w:val="clear" w:color="auto" w:fill="auto"/>
            <w:tcMar>
              <w:top w:w="100" w:type="dxa"/>
              <w:left w:w="100" w:type="dxa"/>
              <w:bottom w:w="100" w:type="dxa"/>
              <w:right w:w="100" w:type="dxa"/>
            </w:tcMar>
          </w:tcPr>
          <w:p w14:paraId="15E5ACB3" w14:textId="77777777" w:rsidR="00D178E3" w:rsidRDefault="00B274CB">
            <w:pPr>
              <w:widowControl w:val="0"/>
              <w:spacing w:line="240" w:lineRule="auto"/>
            </w:pPr>
            <w:r>
              <w:t>Data management planning is an essential first step in the research lifecycle and ensures that researchers and data stewards can plan effectively to make research data findable, accessible, interoperable and reusable (FAIR). Policies should require the dev</w:t>
            </w:r>
            <w:r>
              <w:t xml:space="preserve">elopment of a DMP as part of research practice. </w:t>
            </w:r>
          </w:p>
        </w:tc>
        <w:tc>
          <w:tcPr>
            <w:tcW w:w="585" w:type="dxa"/>
            <w:shd w:val="clear" w:color="auto" w:fill="B6D7A8"/>
            <w:tcMar>
              <w:top w:w="100" w:type="dxa"/>
              <w:left w:w="100" w:type="dxa"/>
              <w:bottom w:w="100" w:type="dxa"/>
              <w:right w:w="100" w:type="dxa"/>
            </w:tcMar>
          </w:tcPr>
          <w:p w14:paraId="271F0474"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6BFA9D2C" w14:textId="77777777" w:rsidR="00D178E3" w:rsidRDefault="00B274CB">
            <w:pPr>
              <w:widowControl w:val="0"/>
              <w:numPr>
                <w:ilvl w:val="0"/>
                <w:numId w:val="8"/>
              </w:numPr>
              <w:spacing w:line="240" w:lineRule="auto"/>
              <w:ind w:left="425" w:hanging="283"/>
            </w:pPr>
            <w:r>
              <w:t xml:space="preserve">The policy requires the development of a data management plan. </w:t>
            </w:r>
          </w:p>
        </w:tc>
      </w:tr>
      <w:tr w:rsidR="00D178E3" w14:paraId="30F9985C" w14:textId="77777777">
        <w:trPr>
          <w:trHeight w:val="420"/>
        </w:trPr>
        <w:tc>
          <w:tcPr>
            <w:tcW w:w="1695" w:type="dxa"/>
            <w:vMerge/>
            <w:shd w:val="clear" w:color="auto" w:fill="auto"/>
            <w:tcMar>
              <w:top w:w="100" w:type="dxa"/>
              <w:left w:w="100" w:type="dxa"/>
              <w:bottom w:w="100" w:type="dxa"/>
              <w:right w:w="100" w:type="dxa"/>
            </w:tcMar>
          </w:tcPr>
          <w:p w14:paraId="45D03577"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5FA0007A"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183F37E4"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4C4FEB10" w14:textId="77777777" w:rsidR="00D178E3" w:rsidRDefault="00B274CB">
            <w:pPr>
              <w:widowControl w:val="0"/>
              <w:numPr>
                <w:ilvl w:val="0"/>
                <w:numId w:val="15"/>
              </w:numPr>
              <w:spacing w:line="240" w:lineRule="auto"/>
              <w:ind w:left="425"/>
            </w:pPr>
            <w:r>
              <w:t>The policy encourages the development of a data management plan.</w:t>
            </w:r>
          </w:p>
        </w:tc>
      </w:tr>
      <w:tr w:rsidR="00D178E3" w14:paraId="6E30EF5B" w14:textId="77777777">
        <w:trPr>
          <w:trHeight w:val="420"/>
        </w:trPr>
        <w:tc>
          <w:tcPr>
            <w:tcW w:w="1695" w:type="dxa"/>
            <w:vMerge/>
            <w:shd w:val="clear" w:color="auto" w:fill="auto"/>
            <w:tcMar>
              <w:top w:w="100" w:type="dxa"/>
              <w:left w:w="100" w:type="dxa"/>
              <w:bottom w:w="100" w:type="dxa"/>
              <w:right w:w="100" w:type="dxa"/>
            </w:tcMar>
          </w:tcPr>
          <w:p w14:paraId="7256C933"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0671AA2F"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519A7BE7"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2E903AEA" w14:textId="77777777" w:rsidR="00D178E3" w:rsidRDefault="00B274CB">
            <w:pPr>
              <w:widowControl w:val="0"/>
              <w:numPr>
                <w:ilvl w:val="0"/>
                <w:numId w:val="8"/>
              </w:numPr>
              <w:spacing w:line="240" w:lineRule="auto"/>
              <w:ind w:left="425" w:hanging="283"/>
            </w:pPr>
            <w:r>
              <w:t xml:space="preserve">The policy does refer to data management plans. </w:t>
            </w:r>
          </w:p>
        </w:tc>
      </w:tr>
      <w:tr w:rsidR="00D178E3" w14:paraId="6D94FB25" w14:textId="77777777">
        <w:trPr>
          <w:trHeight w:val="420"/>
        </w:trPr>
        <w:tc>
          <w:tcPr>
            <w:tcW w:w="1695" w:type="dxa"/>
            <w:vMerge w:val="restart"/>
            <w:shd w:val="clear" w:color="auto" w:fill="auto"/>
            <w:tcMar>
              <w:top w:w="100" w:type="dxa"/>
              <w:left w:w="100" w:type="dxa"/>
              <w:bottom w:w="100" w:type="dxa"/>
              <w:right w:w="100" w:type="dxa"/>
            </w:tcMar>
          </w:tcPr>
          <w:p w14:paraId="665B79C8" w14:textId="77777777" w:rsidR="00D178E3" w:rsidRDefault="00B274CB">
            <w:pPr>
              <w:widowControl w:val="0"/>
              <w:spacing w:line="240" w:lineRule="auto"/>
            </w:pPr>
            <w:r>
              <w:t>Timing of DMP</w:t>
            </w:r>
          </w:p>
        </w:tc>
        <w:tc>
          <w:tcPr>
            <w:tcW w:w="3570" w:type="dxa"/>
            <w:vMerge w:val="restart"/>
            <w:shd w:val="clear" w:color="auto" w:fill="auto"/>
            <w:tcMar>
              <w:top w:w="100" w:type="dxa"/>
              <w:left w:w="100" w:type="dxa"/>
              <w:bottom w:w="100" w:type="dxa"/>
              <w:right w:w="100" w:type="dxa"/>
            </w:tcMar>
          </w:tcPr>
          <w:p w14:paraId="5E5BD415" w14:textId="77777777" w:rsidR="00D178E3" w:rsidRDefault="00B274CB">
            <w:pPr>
              <w:widowControl w:val="0"/>
              <w:spacing w:line="240" w:lineRule="auto"/>
            </w:pPr>
            <w:r>
              <w:t xml:space="preserve">Where DMPs are required, policies should provide clarity over the timing of their preparation and delivery (pre award, in award, post award). If multiple versions are required at different stages, this should be made clear. </w:t>
            </w:r>
          </w:p>
        </w:tc>
        <w:tc>
          <w:tcPr>
            <w:tcW w:w="585" w:type="dxa"/>
            <w:shd w:val="clear" w:color="auto" w:fill="B6D7A8"/>
            <w:tcMar>
              <w:top w:w="100" w:type="dxa"/>
              <w:left w:w="100" w:type="dxa"/>
              <w:bottom w:w="100" w:type="dxa"/>
              <w:right w:w="100" w:type="dxa"/>
            </w:tcMar>
          </w:tcPr>
          <w:p w14:paraId="03E40F16"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5F237038" w14:textId="77777777" w:rsidR="00D178E3" w:rsidRDefault="00B274CB">
            <w:pPr>
              <w:widowControl w:val="0"/>
              <w:numPr>
                <w:ilvl w:val="0"/>
                <w:numId w:val="19"/>
              </w:numPr>
              <w:spacing w:line="240" w:lineRule="auto"/>
              <w:ind w:left="425" w:hanging="283"/>
            </w:pPr>
            <w:r>
              <w:t>The policy makes clear at what</w:t>
            </w:r>
            <w:r>
              <w:t xml:space="preserve"> stage the DMP should be prepared.</w:t>
            </w:r>
          </w:p>
        </w:tc>
      </w:tr>
      <w:tr w:rsidR="00D178E3" w14:paraId="72864146" w14:textId="77777777">
        <w:trPr>
          <w:trHeight w:val="420"/>
        </w:trPr>
        <w:tc>
          <w:tcPr>
            <w:tcW w:w="1695" w:type="dxa"/>
            <w:vMerge/>
            <w:shd w:val="clear" w:color="auto" w:fill="auto"/>
            <w:tcMar>
              <w:top w:w="100" w:type="dxa"/>
              <w:left w:w="100" w:type="dxa"/>
              <w:bottom w:w="100" w:type="dxa"/>
              <w:right w:w="100" w:type="dxa"/>
            </w:tcMar>
          </w:tcPr>
          <w:p w14:paraId="07739C60"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7942D1EF"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137CAD78"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3117A0F2" w14:textId="77777777" w:rsidR="00D178E3" w:rsidRDefault="00B274CB">
            <w:pPr>
              <w:widowControl w:val="0"/>
              <w:numPr>
                <w:ilvl w:val="0"/>
                <w:numId w:val="19"/>
              </w:numPr>
              <w:spacing w:line="240" w:lineRule="auto"/>
              <w:ind w:left="425" w:hanging="283"/>
            </w:pPr>
            <w:r>
              <w:t xml:space="preserve">The policy lacks clarity about when the DMP should be prepared. </w:t>
            </w:r>
          </w:p>
        </w:tc>
      </w:tr>
      <w:tr w:rsidR="00D178E3" w14:paraId="413D757D" w14:textId="77777777">
        <w:trPr>
          <w:trHeight w:val="420"/>
        </w:trPr>
        <w:tc>
          <w:tcPr>
            <w:tcW w:w="1695" w:type="dxa"/>
            <w:vMerge/>
            <w:shd w:val="clear" w:color="auto" w:fill="auto"/>
            <w:tcMar>
              <w:top w:w="100" w:type="dxa"/>
              <w:left w:w="100" w:type="dxa"/>
              <w:bottom w:w="100" w:type="dxa"/>
              <w:right w:w="100" w:type="dxa"/>
            </w:tcMar>
          </w:tcPr>
          <w:p w14:paraId="238300B5"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73BEF758"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0023D1C6"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7933547F" w14:textId="77777777" w:rsidR="00D178E3" w:rsidRDefault="00B274CB">
            <w:pPr>
              <w:widowControl w:val="0"/>
              <w:numPr>
                <w:ilvl w:val="0"/>
                <w:numId w:val="19"/>
              </w:numPr>
              <w:spacing w:line="240" w:lineRule="auto"/>
              <w:ind w:left="425" w:hanging="283"/>
            </w:pPr>
            <w:r>
              <w:t>The policy does not include an expectation for a DMP .</w:t>
            </w:r>
          </w:p>
        </w:tc>
      </w:tr>
      <w:tr w:rsidR="00D178E3" w14:paraId="2EAEA1A7" w14:textId="77777777">
        <w:trPr>
          <w:trHeight w:val="420"/>
        </w:trPr>
        <w:tc>
          <w:tcPr>
            <w:tcW w:w="1695" w:type="dxa"/>
            <w:vMerge w:val="restart"/>
            <w:shd w:val="clear" w:color="auto" w:fill="auto"/>
            <w:tcMar>
              <w:top w:w="100" w:type="dxa"/>
              <w:left w:w="100" w:type="dxa"/>
              <w:bottom w:w="100" w:type="dxa"/>
              <w:right w:w="100" w:type="dxa"/>
            </w:tcMar>
          </w:tcPr>
          <w:p w14:paraId="6DD10D1B" w14:textId="77777777" w:rsidR="00D178E3" w:rsidRDefault="00B274CB">
            <w:pPr>
              <w:widowControl w:val="0"/>
              <w:spacing w:line="240" w:lineRule="auto"/>
            </w:pPr>
            <w:r>
              <w:t xml:space="preserve">Updating of DMP </w:t>
            </w:r>
          </w:p>
        </w:tc>
        <w:tc>
          <w:tcPr>
            <w:tcW w:w="3570" w:type="dxa"/>
            <w:vMerge w:val="restart"/>
            <w:shd w:val="clear" w:color="auto" w:fill="auto"/>
            <w:tcMar>
              <w:top w:w="100" w:type="dxa"/>
              <w:left w:w="100" w:type="dxa"/>
              <w:bottom w:w="100" w:type="dxa"/>
              <w:right w:w="100" w:type="dxa"/>
            </w:tcMar>
          </w:tcPr>
          <w:p w14:paraId="07F0B6B4" w14:textId="77777777" w:rsidR="00D178E3" w:rsidRDefault="00B274CB">
            <w:pPr>
              <w:widowControl w:val="0"/>
              <w:spacing w:line="240" w:lineRule="auto"/>
            </w:pPr>
            <w:r>
              <w:t xml:space="preserve">It is advisable that the policy includes an expectation that DMPs will be updated over the research lifecycle. Updated DMPs should be clearly versioned. </w:t>
            </w:r>
          </w:p>
          <w:p w14:paraId="389DCE77" w14:textId="77777777" w:rsidR="00D178E3" w:rsidRDefault="00D178E3">
            <w:pPr>
              <w:widowControl w:val="0"/>
              <w:spacing w:line="240" w:lineRule="auto"/>
            </w:pPr>
          </w:p>
        </w:tc>
        <w:tc>
          <w:tcPr>
            <w:tcW w:w="585" w:type="dxa"/>
            <w:shd w:val="clear" w:color="auto" w:fill="B6D7A8"/>
            <w:tcMar>
              <w:top w:w="100" w:type="dxa"/>
              <w:left w:w="100" w:type="dxa"/>
              <w:bottom w:w="100" w:type="dxa"/>
              <w:right w:w="100" w:type="dxa"/>
            </w:tcMar>
          </w:tcPr>
          <w:p w14:paraId="1906721E"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275495EF" w14:textId="77777777" w:rsidR="00D178E3" w:rsidRDefault="00B274CB">
            <w:pPr>
              <w:widowControl w:val="0"/>
              <w:numPr>
                <w:ilvl w:val="0"/>
                <w:numId w:val="39"/>
              </w:numPr>
              <w:spacing w:line="240" w:lineRule="auto"/>
              <w:ind w:left="425" w:hanging="283"/>
            </w:pPr>
            <w:r>
              <w:t>The policy makes clear that the DMP should be updated over the life of the project.</w:t>
            </w:r>
          </w:p>
          <w:p w14:paraId="7308ABAB" w14:textId="77777777" w:rsidR="00D178E3" w:rsidRDefault="00D178E3">
            <w:pPr>
              <w:widowControl w:val="0"/>
              <w:spacing w:line="240" w:lineRule="auto"/>
            </w:pPr>
          </w:p>
        </w:tc>
      </w:tr>
      <w:tr w:rsidR="00D178E3" w14:paraId="6C0C350B" w14:textId="77777777">
        <w:trPr>
          <w:trHeight w:val="420"/>
        </w:trPr>
        <w:tc>
          <w:tcPr>
            <w:tcW w:w="1695" w:type="dxa"/>
            <w:vMerge/>
            <w:shd w:val="clear" w:color="auto" w:fill="auto"/>
            <w:tcMar>
              <w:top w:w="100" w:type="dxa"/>
              <w:left w:w="100" w:type="dxa"/>
              <w:bottom w:w="100" w:type="dxa"/>
              <w:right w:w="100" w:type="dxa"/>
            </w:tcMar>
          </w:tcPr>
          <w:p w14:paraId="7C7C581C"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494D1F36"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2EB329F8"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2A5DD048" w14:textId="77777777" w:rsidR="00D178E3" w:rsidRDefault="00B274CB">
            <w:pPr>
              <w:widowControl w:val="0"/>
              <w:numPr>
                <w:ilvl w:val="0"/>
                <w:numId w:val="39"/>
              </w:numPr>
              <w:spacing w:line="240" w:lineRule="auto"/>
              <w:ind w:left="425" w:hanging="283"/>
            </w:pPr>
            <w:r>
              <w:t xml:space="preserve">The policy lacks clarity about whether the DMP should be updated. </w:t>
            </w:r>
          </w:p>
        </w:tc>
      </w:tr>
      <w:tr w:rsidR="00D178E3" w14:paraId="727081F6" w14:textId="77777777">
        <w:trPr>
          <w:trHeight w:val="420"/>
        </w:trPr>
        <w:tc>
          <w:tcPr>
            <w:tcW w:w="1695" w:type="dxa"/>
            <w:vMerge w:val="restart"/>
            <w:shd w:val="clear" w:color="auto" w:fill="auto"/>
            <w:tcMar>
              <w:top w:w="100" w:type="dxa"/>
              <w:left w:w="100" w:type="dxa"/>
              <w:bottom w:w="100" w:type="dxa"/>
              <w:right w:w="100" w:type="dxa"/>
            </w:tcMar>
          </w:tcPr>
          <w:p w14:paraId="2B5BCD80" w14:textId="77777777" w:rsidR="00D178E3" w:rsidRDefault="00B274CB">
            <w:pPr>
              <w:widowControl w:val="0"/>
              <w:spacing w:line="240" w:lineRule="auto"/>
            </w:pPr>
            <w:r>
              <w:t>Data Protection</w:t>
            </w:r>
          </w:p>
        </w:tc>
        <w:tc>
          <w:tcPr>
            <w:tcW w:w="3570" w:type="dxa"/>
            <w:vMerge w:val="restart"/>
            <w:shd w:val="clear" w:color="auto" w:fill="auto"/>
            <w:tcMar>
              <w:top w:w="100" w:type="dxa"/>
              <w:left w:w="100" w:type="dxa"/>
              <w:bottom w:w="100" w:type="dxa"/>
              <w:right w:w="100" w:type="dxa"/>
            </w:tcMar>
          </w:tcPr>
          <w:p w14:paraId="7BE76D8E" w14:textId="77777777" w:rsidR="00D178E3" w:rsidRDefault="00B274CB">
            <w:pPr>
              <w:widowControl w:val="0"/>
              <w:spacing w:line="240" w:lineRule="auto"/>
            </w:pPr>
            <w:r>
              <w:t xml:space="preserve">Policies should make clear any expectations associated with data protection legislation such as GDPR or similar. </w:t>
            </w:r>
          </w:p>
        </w:tc>
        <w:tc>
          <w:tcPr>
            <w:tcW w:w="585" w:type="dxa"/>
            <w:shd w:val="clear" w:color="auto" w:fill="B6D7A8"/>
            <w:tcMar>
              <w:top w:w="100" w:type="dxa"/>
              <w:left w:w="100" w:type="dxa"/>
              <w:bottom w:w="100" w:type="dxa"/>
              <w:right w:w="100" w:type="dxa"/>
            </w:tcMar>
          </w:tcPr>
          <w:p w14:paraId="7862DA6B"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03622234" w14:textId="77777777" w:rsidR="00D178E3" w:rsidRDefault="00B274CB">
            <w:pPr>
              <w:widowControl w:val="0"/>
              <w:numPr>
                <w:ilvl w:val="0"/>
                <w:numId w:val="33"/>
              </w:numPr>
              <w:spacing w:line="240" w:lineRule="auto"/>
              <w:ind w:left="425" w:hanging="283"/>
            </w:pPr>
            <w:r>
              <w:t>The policy makes clear that data protection is part of research data management and provides links to related policies and/or supporting docu</w:t>
            </w:r>
            <w:r>
              <w:t xml:space="preserve">mentation. </w:t>
            </w:r>
          </w:p>
          <w:p w14:paraId="66C6C495" w14:textId="77777777" w:rsidR="00D178E3" w:rsidRDefault="00D178E3">
            <w:pPr>
              <w:widowControl w:val="0"/>
              <w:spacing w:line="240" w:lineRule="auto"/>
            </w:pPr>
          </w:p>
        </w:tc>
      </w:tr>
      <w:tr w:rsidR="00D178E3" w14:paraId="2BC6B0DA" w14:textId="77777777">
        <w:trPr>
          <w:trHeight w:val="420"/>
        </w:trPr>
        <w:tc>
          <w:tcPr>
            <w:tcW w:w="1695" w:type="dxa"/>
            <w:vMerge/>
            <w:shd w:val="clear" w:color="auto" w:fill="auto"/>
            <w:tcMar>
              <w:top w:w="100" w:type="dxa"/>
              <w:left w:w="100" w:type="dxa"/>
              <w:bottom w:w="100" w:type="dxa"/>
              <w:right w:w="100" w:type="dxa"/>
            </w:tcMar>
          </w:tcPr>
          <w:p w14:paraId="6136A18B"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07E02FFC"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3E9D8BE5"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3D0CB69E" w14:textId="77777777" w:rsidR="00D178E3" w:rsidRDefault="00B274CB">
            <w:pPr>
              <w:widowControl w:val="0"/>
              <w:numPr>
                <w:ilvl w:val="0"/>
                <w:numId w:val="34"/>
              </w:numPr>
              <w:spacing w:line="240" w:lineRule="auto"/>
              <w:ind w:left="425" w:hanging="283"/>
            </w:pPr>
            <w:r>
              <w:t xml:space="preserve">The policy refers to data protection but does not provide </w:t>
            </w:r>
            <w:r>
              <w:lastRenderedPageBreak/>
              <w:t>links to related policies and/or supporting documentation.</w:t>
            </w:r>
          </w:p>
        </w:tc>
      </w:tr>
      <w:tr w:rsidR="00D178E3" w14:paraId="69B57929" w14:textId="77777777">
        <w:trPr>
          <w:trHeight w:val="420"/>
        </w:trPr>
        <w:tc>
          <w:tcPr>
            <w:tcW w:w="1695" w:type="dxa"/>
            <w:vMerge/>
            <w:shd w:val="clear" w:color="auto" w:fill="auto"/>
            <w:tcMar>
              <w:top w:w="100" w:type="dxa"/>
              <w:left w:w="100" w:type="dxa"/>
              <w:bottom w:w="100" w:type="dxa"/>
              <w:right w:w="100" w:type="dxa"/>
            </w:tcMar>
          </w:tcPr>
          <w:p w14:paraId="007B72CA"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1AEF6FD3"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6EA1AD38"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4B7F3232" w14:textId="77777777" w:rsidR="00D178E3" w:rsidRDefault="00B274CB">
            <w:pPr>
              <w:widowControl w:val="0"/>
              <w:numPr>
                <w:ilvl w:val="0"/>
                <w:numId w:val="33"/>
              </w:numPr>
              <w:spacing w:line="240" w:lineRule="auto"/>
              <w:ind w:left="425" w:hanging="283"/>
            </w:pPr>
            <w:r>
              <w:t>The policy does not refer to data protection.</w:t>
            </w:r>
          </w:p>
        </w:tc>
      </w:tr>
      <w:tr w:rsidR="00D178E3" w14:paraId="32AF9EDD" w14:textId="77777777">
        <w:trPr>
          <w:trHeight w:val="420"/>
        </w:trPr>
        <w:tc>
          <w:tcPr>
            <w:tcW w:w="1695" w:type="dxa"/>
            <w:vMerge w:val="restart"/>
            <w:shd w:val="clear" w:color="auto" w:fill="auto"/>
            <w:tcMar>
              <w:top w:w="100" w:type="dxa"/>
              <w:left w:w="100" w:type="dxa"/>
              <w:bottom w:w="100" w:type="dxa"/>
              <w:right w:w="100" w:type="dxa"/>
            </w:tcMar>
          </w:tcPr>
          <w:p w14:paraId="71F6014B" w14:textId="77777777" w:rsidR="00D178E3" w:rsidRDefault="00B274CB">
            <w:pPr>
              <w:widowControl w:val="0"/>
              <w:spacing w:line="240" w:lineRule="auto"/>
            </w:pPr>
            <w:r>
              <w:t xml:space="preserve">Research integrity </w:t>
            </w:r>
          </w:p>
        </w:tc>
        <w:tc>
          <w:tcPr>
            <w:tcW w:w="3570" w:type="dxa"/>
            <w:vMerge w:val="restart"/>
            <w:shd w:val="clear" w:color="auto" w:fill="auto"/>
            <w:tcMar>
              <w:top w:w="100" w:type="dxa"/>
              <w:left w:w="100" w:type="dxa"/>
              <w:bottom w:w="100" w:type="dxa"/>
              <w:right w:w="100" w:type="dxa"/>
            </w:tcMar>
          </w:tcPr>
          <w:p w14:paraId="059C8D91" w14:textId="77777777" w:rsidR="00D178E3" w:rsidRDefault="00B274CB">
            <w:pPr>
              <w:widowControl w:val="0"/>
              <w:spacing w:line="240" w:lineRule="auto"/>
            </w:pPr>
            <w:r>
              <w:t xml:space="preserve">It is advisable that policies and/or related guidance emphasise that data management planning and sharing data supports research integrity goals, enhances data quality and contributes to reproducibility and transparency. </w:t>
            </w:r>
          </w:p>
        </w:tc>
        <w:tc>
          <w:tcPr>
            <w:tcW w:w="585" w:type="dxa"/>
            <w:shd w:val="clear" w:color="auto" w:fill="B6D7A8"/>
            <w:tcMar>
              <w:top w:w="100" w:type="dxa"/>
              <w:left w:w="100" w:type="dxa"/>
              <w:bottom w:w="100" w:type="dxa"/>
              <w:right w:w="100" w:type="dxa"/>
            </w:tcMar>
          </w:tcPr>
          <w:p w14:paraId="61EF95C4"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3F5172D8" w14:textId="77777777" w:rsidR="00D178E3" w:rsidRDefault="00B274CB">
            <w:pPr>
              <w:widowControl w:val="0"/>
              <w:numPr>
                <w:ilvl w:val="0"/>
                <w:numId w:val="31"/>
              </w:numPr>
              <w:spacing w:line="240" w:lineRule="auto"/>
              <w:ind w:left="425" w:hanging="283"/>
            </w:pPr>
            <w:r>
              <w:t>The policy makes reference to res</w:t>
            </w:r>
            <w:r>
              <w:t xml:space="preserve">earch integrity as part of research data management. </w:t>
            </w:r>
          </w:p>
        </w:tc>
      </w:tr>
      <w:tr w:rsidR="00D178E3" w14:paraId="23793686" w14:textId="77777777">
        <w:trPr>
          <w:trHeight w:val="420"/>
        </w:trPr>
        <w:tc>
          <w:tcPr>
            <w:tcW w:w="1695" w:type="dxa"/>
            <w:vMerge/>
            <w:shd w:val="clear" w:color="auto" w:fill="auto"/>
            <w:tcMar>
              <w:top w:w="100" w:type="dxa"/>
              <w:left w:w="100" w:type="dxa"/>
              <w:bottom w:w="100" w:type="dxa"/>
              <w:right w:w="100" w:type="dxa"/>
            </w:tcMar>
          </w:tcPr>
          <w:p w14:paraId="166E4853"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1FD948EF"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6DCFB5D0"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547EE738" w14:textId="77777777" w:rsidR="00D178E3" w:rsidRDefault="00B274CB">
            <w:pPr>
              <w:widowControl w:val="0"/>
              <w:numPr>
                <w:ilvl w:val="0"/>
                <w:numId w:val="31"/>
              </w:numPr>
              <w:spacing w:line="240" w:lineRule="auto"/>
              <w:ind w:left="425" w:hanging="283"/>
            </w:pPr>
            <w:r>
              <w:t xml:space="preserve">The policy does not clearly reference research integrity as part of research data management. </w:t>
            </w:r>
          </w:p>
        </w:tc>
      </w:tr>
      <w:tr w:rsidR="00D178E3" w14:paraId="611B689F" w14:textId="77777777">
        <w:trPr>
          <w:trHeight w:val="420"/>
        </w:trPr>
        <w:tc>
          <w:tcPr>
            <w:tcW w:w="1695" w:type="dxa"/>
            <w:vMerge w:val="restart"/>
            <w:shd w:val="clear" w:color="auto" w:fill="auto"/>
            <w:tcMar>
              <w:top w:w="100" w:type="dxa"/>
              <w:left w:w="100" w:type="dxa"/>
              <w:bottom w:w="100" w:type="dxa"/>
              <w:right w:w="100" w:type="dxa"/>
            </w:tcMar>
          </w:tcPr>
          <w:p w14:paraId="7C2D6AB9" w14:textId="77777777" w:rsidR="00D178E3" w:rsidRDefault="00B274CB">
            <w:pPr>
              <w:widowControl w:val="0"/>
              <w:spacing w:line="240" w:lineRule="auto"/>
            </w:pPr>
            <w:r>
              <w:t>Reference to standards</w:t>
            </w:r>
          </w:p>
        </w:tc>
        <w:tc>
          <w:tcPr>
            <w:tcW w:w="3570" w:type="dxa"/>
            <w:vMerge w:val="restart"/>
            <w:shd w:val="clear" w:color="auto" w:fill="auto"/>
            <w:tcMar>
              <w:top w:w="100" w:type="dxa"/>
              <w:left w:w="100" w:type="dxa"/>
              <w:bottom w:w="100" w:type="dxa"/>
              <w:right w:w="100" w:type="dxa"/>
            </w:tcMar>
          </w:tcPr>
          <w:p w14:paraId="75643650" w14:textId="77777777" w:rsidR="00D178E3" w:rsidRDefault="00B274CB">
            <w:pPr>
              <w:widowControl w:val="0"/>
              <w:spacing w:line="240" w:lineRule="auto"/>
            </w:pPr>
            <w:r>
              <w:t xml:space="preserve">Policies should encourage researchers to make use of existing generic and/or domain specific standards or protocols wherever possible. </w:t>
            </w:r>
          </w:p>
        </w:tc>
        <w:tc>
          <w:tcPr>
            <w:tcW w:w="585" w:type="dxa"/>
            <w:shd w:val="clear" w:color="auto" w:fill="B6D7A8"/>
            <w:tcMar>
              <w:top w:w="100" w:type="dxa"/>
              <w:left w:w="100" w:type="dxa"/>
              <w:bottom w:w="100" w:type="dxa"/>
              <w:right w:w="100" w:type="dxa"/>
            </w:tcMar>
          </w:tcPr>
          <w:p w14:paraId="208485B0"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170976B3" w14:textId="77777777" w:rsidR="00D178E3" w:rsidRDefault="00B274CB">
            <w:pPr>
              <w:widowControl w:val="0"/>
              <w:numPr>
                <w:ilvl w:val="0"/>
                <w:numId w:val="27"/>
              </w:numPr>
              <w:spacing w:line="240" w:lineRule="auto"/>
              <w:ind w:left="425" w:hanging="283"/>
            </w:pPr>
            <w:r>
              <w:t xml:space="preserve">The policy clearly encourages the use of generic, domain and/or community standards or protocols. </w:t>
            </w:r>
          </w:p>
        </w:tc>
      </w:tr>
      <w:tr w:rsidR="00D178E3" w14:paraId="002FFC29" w14:textId="77777777">
        <w:trPr>
          <w:trHeight w:val="420"/>
        </w:trPr>
        <w:tc>
          <w:tcPr>
            <w:tcW w:w="1695" w:type="dxa"/>
            <w:vMerge/>
            <w:shd w:val="clear" w:color="auto" w:fill="auto"/>
            <w:tcMar>
              <w:top w:w="100" w:type="dxa"/>
              <w:left w:w="100" w:type="dxa"/>
              <w:bottom w:w="100" w:type="dxa"/>
              <w:right w:w="100" w:type="dxa"/>
            </w:tcMar>
          </w:tcPr>
          <w:p w14:paraId="7389936B"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7FE97324"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39F33546"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424F8862" w14:textId="77777777" w:rsidR="00D178E3" w:rsidRDefault="00B274CB">
            <w:pPr>
              <w:widowControl w:val="0"/>
              <w:numPr>
                <w:ilvl w:val="0"/>
                <w:numId w:val="27"/>
              </w:numPr>
              <w:spacing w:line="240" w:lineRule="auto"/>
              <w:ind w:left="425" w:hanging="283"/>
            </w:pPr>
            <w:r>
              <w:t>The policy does not encourage the use of generic, domain and/or community standards or protocols.</w:t>
            </w:r>
          </w:p>
        </w:tc>
      </w:tr>
      <w:tr w:rsidR="00D178E3" w14:paraId="30CA4166" w14:textId="77777777">
        <w:trPr>
          <w:trHeight w:val="420"/>
        </w:trPr>
        <w:tc>
          <w:tcPr>
            <w:tcW w:w="1695" w:type="dxa"/>
            <w:vMerge w:val="restart"/>
            <w:shd w:val="clear" w:color="auto" w:fill="auto"/>
            <w:tcMar>
              <w:top w:w="100" w:type="dxa"/>
              <w:left w:w="100" w:type="dxa"/>
              <w:bottom w:w="100" w:type="dxa"/>
              <w:right w:w="100" w:type="dxa"/>
            </w:tcMar>
          </w:tcPr>
          <w:p w14:paraId="4BE95B3B" w14:textId="77777777" w:rsidR="00D178E3" w:rsidRDefault="00B274CB">
            <w:pPr>
              <w:widowControl w:val="0"/>
              <w:spacing w:line="240" w:lineRule="auto"/>
            </w:pPr>
            <w:r>
              <w:t xml:space="preserve">Repositories </w:t>
            </w:r>
          </w:p>
        </w:tc>
        <w:tc>
          <w:tcPr>
            <w:tcW w:w="3570" w:type="dxa"/>
            <w:vMerge w:val="restart"/>
            <w:shd w:val="clear" w:color="auto" w:fill="auto"/>
            <w:tcMar>
              <w:top w:w="100" w:type="dxa"/>
              <w:left w:w="100" w:type="dxa"/>
              <w:bottom w:w="100" w:type="dxa"/>
              <w:right w:w="100" w:type="dxa"/>
            </w:tcMar>
          </w:tcPr>
          <w:p w14:paraId="525DB1F6" w14:textId="77777777" w:rsidR="00D178E3" w:rsidRDefault="00B274CB">
            <w:pPr>
              <w:widowControl w:val="0"/>
              <w:spacing w:line="240" w:lineRule="auto"/>
            </w:pPr>
            <w:r>
              <w:t>Policies should provide clarity about where research outputs should be deposited. We recommend requiring that trusted digital repositories should be used  wherever possible, providing a definition of what this term means and guidance on suggested repositor</w:t>
            </w:r>
            <w:r>
              <w:t>ies that may be used.</w:t>
            </w:r>
          </w:p>
        </w:tc>
        <w:tc>
          <w:tcPr>
            <w:tcW w:w="585" w:type="dxa"/>
            <w:shd w:val="clear" w:color="auto" w:fill="B6D7A8"/>
            <w:tcMar>
              <w:top w:w="100" w:type="dxa"/>
              <w:left w:w="100" w:type="dxa"/>
              <w:bottom w:w="100" w:type="dxa"/>
              <w:right w:w="100" w:type="dxa"/>
            </w:tcMar>
          </w:tcPr>
          <w:p w14:paraId="6F811630"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463D17E3" w14:textId="77777777" w:rsidR="00D178E3" w:rsidRDefault="00B274CB">
            <w:pPr>
              <w:widowControl w:val="0"/>
              <w:numPr>
                <w:ilvl w:val="0"/>
                <w:numId w:val="7"/>
              </w:numPr>
              <w:spacing w:line="240" w:lineRule="auto"/>
              <w:ind w:left="425" w:hanging="283"/>
            </w:pPr>
            <w:r>
              <w:t xml:space="preserve">The policy requires the use of trusted digital repositories. </w:t>
            </w:r>
          </w:p>
        </w:tc>
      </w:tr>
      <w:tr w:rsidR="00D178E3" w14:paraId="56D0841C" w14:textId="77777777">
        <w:trPr>
          <w:trHeight w:val="420"/>
        </w:trPr>
        <w:tc>
          <w:tcPr>
            <w:tcW w:w="1695" w:type="dxa"/>
            <w:vMerge/>
            <w:shd w:val="clear" w:color="auto" w:fill="auto"/>
            <w:tcMar>
              <w:top w:w="100" w:type="dxa"/>
              <w:left w:w="100" w:type="dxa"/>
              <w:bottom w:w="100" w:type="dxa"/>
              <w:right w:w="100" w:type="dxa"/>
            </w:tcMar>
          </w:tcPr>
          <w:p w14:paraId="5A3BA90A"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3DD0CD4F"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0E612007"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3F16553B" w14:textId="77777777" w:rsidR="00D178E3" w:rsidRDefault="00B274CB">
            <w:pPr>
              <w:widowControl w:val="0"/>
              <w:numPr>
                <w:ilvl w:val="0"/>
                <w:numId w:val="7"/>
              </w:numPr>
              <w:spacing w:line="240" w:lineRule="auto"/>
              <w:ind w:left="425" w:hanging="283"/>
            </w:pPr>
            <w:r>
              <w:t xml:space="preserve">The policy recommends using  trusted digital repositories. </w:t>
            </w:r>
          </w:p>
        </w:tc>
      </w:tr>
      <w:tr w:rsidR="00D178E3" w14:paraId="25F3627E" w14:textId="77777777">
        <w:trPr>
          <w:trHeight w:val="420"/>
        </w:trPr>
        <w:tc>
          <w:tcPr>
            <w:tcW w:w="1695" w:type="dxa"/>
            <w:vMerge/>
            <w:shd w:val="clear" w:color="auto" w:fill="auto"/>
            <w:tcMar>
              <w:top w:w="100" w:type="dxa"/>
              <w:left w:w="100" w:type="dxa"/>
              <w:bottom w:w="100" w:type="dxa"/>
              <w:right w:w="100" w:type="dxa"/>
            </w:tcMar>
          </w:tcPr>
          <w:p w14:paraId="1869118C"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11D2E681"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62E190A5"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0276E31C" w14:textId="77777777" w:rsidR="00D178E3" w:rsidRDefault="00B274CB">
            <w:pPr>
              <w:widowControl w:val="0"/>
              <w:numPr>
                <w:ilvl w:val="0"/>
                <w:numId w:val="7"/>
              </w:numPr>
              <w:spacing w:line="240" w:lineRule="auto"/>
              <w:ind w:left="425" w:hanging="283"/>
            </w:pPr>
            <w:r>
              <w:t xml:space="preserve">The policy does not address </w:t>
            </w:r>
            <w:r>
              <w:t xml:space="preserve">the use of trusted digital repositories for  data deposit. </w:t>
            </w:r>
          </w:p>
        </w:tc>
      </w:tr>
      <w:tr w:rsidR="00D178E3" w14:paraId="5A3333A2" w14:textId="77777777">
        <w:trPr>
          <w:trHeight w:val="420"/>
        </w:trPr>
        <w:tc>
          <w:tcPr>
            <w:tcW w:w="1695" w:type="dxa"/>
            <w:vMerge w:val="restart"/>
            <w:shd w:val="clear" w:color="auto" w:fill="auto"/>
            <w:tcMar>
              <w:top w:w="100" w:type="dxa"/>
              <w:left w:w="100" w:type="dxa"/>
              <w:bottom w:w="100" w:type="dxa"/>
              <w:right w:w="100" w:type="dxa"/>
            </w:tcMar>
          </w:tcPr>
          <w:p w14:paraId="051653E5" w14:textId="77777777" w:rsidR="00D178E3" w:rsidRDefault="00B274CB">
            <w:pPr>
              <w:widowControl w:val="0"/>
              <w:spacing w:line="240" w:lineRule="auto"/>
            </w:pPr>
            <w:r>
              <w:t>Data Availability Statement</w:t>
            </w:r>
          </w:p>
        </w:tc>
        <w:tc>
          <w:tcPr>
            <w:tcW w:w="3570" w:type="dxa"/>
            <w:vMerge w:val="restart"/>
            <w:shd w:val="clear" w:color="auto" w:fill="auto"/>
            <w:tcMar>
              <w:top w:w="100" w:type="dxa"/>
              <w:left w:w="100" w:type="dxa"/>
              <w:bottom w:w="100" w:type="dxa"/>
              <w:right w:w="100" w:type="dxa"/>
            </w:tcMar>
          </w:tcPr>
          <w:p w14:paraId="449D33AF" w14:textId="77777777" w:rsidR="00D178E3" w:rsidRDefault="00B274CB">
            <w:pPr>
              <w:widowControl w:val="0"/>
              <w:spacing w:line="240" w:lineRule="auto"/>
            </w:pPr>
            <w:r>
              <w:t xml:space="preserve">Policies should make clear that Data Availability Statements are provided in publications indicating how to access the underlying data or how to request legitimate access to closed data. </w:t>
            </w:r>
          </w:p>
        </w:tc>
        <w:tc>
          <w:tcPr>
            <w:tcW w:w="585" w:type="dxa"/>
            <w:shd w:val="clear" w:color="auto" w:fill="B6D7A8"/>
            <w:tcMar>
              <w:top w:w="100" w:type="dxa"/>
              <w:left w:w="100" w:type="dxa"/>
              <w:bottom w:w="100" w:type="dxa"/>
              <w:right w:w="100" w:type="dxa"/>
            </w:tcMar>
          </w:tcPr>
          <w:p w14:paraId="5DD4A2F4"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417C5770" w14:textId="77777777" w:rsidR="00D178E3" w:rsidRDefault="00B274CB">
            <w:pPr>
              <w:widowControl w:val="0"/>
              <w:numPr>
                <w:ilvl w:val="0"/>
                <w:numId w:val="12"/>
              </w:numPr>
              <w:spacing w:line="240" w:lineRule="auto"/>
              <w:ind w:left="425" w:hanging="283"/>
            </w:pPr>
            <w:r>
              <w:t>The policy makes clear that a Data Availability Statement is requir</w:t>
            </w:r>
            <w:r>
              <w:t xml:space="preserve">ed. </w:t>
            </w:r>
          </w:p>
        </w:tc>
      </w:tr>
      <w:tr w:rsidR="00D178E3" w14:paraId="3248F93A" w14:textId="77777777">
        <w:trPr>
          <w:trHeight w:val="420"/>
        </w:trPr>
        <w:tc>
          <w:tcPr>
            <w:tcW w:w="1695" w:type="dxa"/>
            <w:vMerge/>
            <w:shd w:val="clear" w:color="auto" w:fill="auto"/>
            <w:tcMar>
              <w:top w:w="100" w:type="dxa"/>
              <w:left w:w="100" w:type="dxa"/>
              <w:bottom w:w="100" w:type="dxa"/>
              <w:right w:w="100" w:type="dxa"/>
            </w:tcMar>
          </w:tcPr>
          <w:p w14:paraId="7950C6C8"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2AE6ED4E"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782A8C8B"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135EAE14" w14:textId="77777777" w:rsidR="00D178E3" w:rsidRDefault="00B274CB">
            <w:pPr>
              <w:widowControl w:val="0"/>
              <w:numPr>
                <w:ilvl w:val="0"/>
                <w:numId w:val="12"/>
              </w:numPr>
              <w:spacing w:line="240" w:lineRule="auto"/>
              <w:ind w:left="425" w:hanging="283"/>
            </w:pPr>
            <w:r>
              <w:t xml:space="preserve">The policy encourages the provision of a Data Availability Statement. </w:t>
            </w:r>
          </w:p>
        </w:tc>
      </w:tr>
      <w:tr w:rsidR="00D178E3" w14:paraId="1CCC7453" w14:textId="77777777">
        <w:trPr>
          <w:trHeight w:val="420"/>
        </w:trPr>
        <w:tc>
          <w:tcPr>
            <w:tcW w:w="1695" w:type="dxa"/>
            <w:vMerge/>
            <w:shd w:val="clear" w:color="auto" w:fill="auto"/>
            <w:tcMar>
              <w:top w:w="100" w:type="dxa"/>
              <w:left w:w="100" w:type="dxa"/>
              <w:bottom w:w="100" w:type="dxa"/>
              <w:right w:w="100" w:type="dxa"/>
            </w:tcMar>
          </w:tcPr>
          <w:p w14:paraId="348DF63F"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452C9000"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599D23EB"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7C77D8FE" w14:textId="77777777" w:rsidR="00D178E3" w:rsidRDefault="00B274CB">
            <w:pPr>
              <w:widowControl w:val="0"/>
              <w:numPr>
                <w:ilvl w:val="0"/>
                <w:numId w:val="12"/>
              </w:numPr>
              <w:spacing w:line="240" w:lineRule="auto"/>
              <w:ind w:left="425" w:hanging="283"/>
            </w:pPr>
            <w:r>
              <w:t xml:space="preserve">The policy does not refer to  Data Availability Statements. </w:t>
            </w:r>
          </w:p>
        </w:tc>
      </w:tr>
      <w:tr w:rsidR="00D178E3" w14:paraId="3285D18F" w14:textId="77777777">
        <w:trPr>
          <w:trHeight w:val="420"/>
        </w:trPr>
        <w:tc>
          <w:tcPr>
            <w:tcW w:w="1695" w:type="dxa"/>
            <w:vMerge w:val="restart"/>
            <w:shd w:val="clear" w:color="auto" w:fill="auto"/>
            <w:tcMar>
              <w:top w:w="100" w:type="dxa"/>
              <w:left w:w="100" w:type="dxa"/>
              <w:bottom w:w="100" w:type="dxa"/>
              <w:right w:w="100" w:type="dxa"/>
            </w:tcMar>
          </w:tcPr>
          <w:p w14:paraId="6A9744EE" w14:textId="77777777" w:rsidR="00D178E3" w:rsidRDefault="00B274CB">
            <w:pPr>
              <w:widowControl w:val="0"/>
              <w:spacing w:line="240" w:lineRule="auto"/>
            </w:pPr>
            <w:r>
              <w:t xml:space="preserve">Intellectual Property (IP) </w:t>
            </w:r>
          </w:p>
        </w:tc>
        <w:tc>
          <w:tcPr>
            <w:tcW w:w="3570" w:type="dxa"/>
            <w:vMerge w:val="restart"/>
            <w:shd w:val="clear" w:color="auto" w:fill="auto"/>
            <w:tcMar>
              <w:top w:w="100" w:type="dxa"/>
              <w:left w:w="100" w:type="dxa"/>
              <w:bottom w:w="100" w:type="dxa"/>
              <w:right w:w="100" w:type="dxa"/>
            </w:tcMar>
          </w:tcPr>
          <w:p w14:paraId="483C41D1" w14:textId="77777777" w:rsidR="00D178E3" w:rsidRDefault="00B274CB">
            <w:pPr>
              <w:widowControl w:val="0"/>
              <w:spacing w:line="240" w:lineRule="auto"/>
            </w:pPr>
            <w:r>
              <w:t>Policies should refer to Intellectual Property.</w:t>
            </w:r>
          </w:p>
        </w:tc>
        <w:tc>
          <w:tcPr>
            <w:tcW w:w="585" w:type="dxa"/>
            <w:shd w:val="clear" w:color="auto" w:fill="B6D7A8"/>
            <w:tcMar>
              <w:top w:w="100" w:type="dxa"/>
              <w:left w:w="100" w:type="dxa"/>
              <w:bottom w:w="100" w:type="dxa"/>
              <w:right w:w="100" w:type="dxa"/>
            </w:tcMar>
          </w:tcPr>
          <w:p w14:paraId="4AB5C338"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3A0F2272" w14:textId="77777777" w:rsidR="00D178E3" w:rsidRDefault="00B274CB">
            <w:pPr>
              <w:widowControl w:val="0"/>
              <w:numPr>
                <w:ilvl w:val="0"/>
                <w:numId w:val="22"/>
              </w:numPr>
              <w:spacing w:line="240" w:lineRule="auto"/>
              <w:ind w:left="425" w:hanging="283"/>
            </w:pPr>
            <w:r>
              <w:t>The policy addresses IP.</w:t>
            </w:r>
          </w:p>
          <w:p w14:paraId="71A946DA" w14:textId="77777777" w:rsidR="00D178E3" w:rsidRDefault="00D178E3">
            <w:pPr>
              <w:widowControl w:val="0"/>
              <w:spacing w:line="240" w:lineRule="auto"/>
              <w:ind w:left="720"/>
            </w:pPr>
          </w:p>
          <w:p w14:paraId="0610186D" w14:textId="77777777" w:rsidR="00D178E3" w:rsidRDefault="00D178E3">
            <w:pPr>
              <w:widowControl w:val="0"/>
              <w:spacing w:line="240" w:lineRule="auto"/>
              <w:ind w:left="720"/>
            </w:pPr>
          </w:p>
        </w:tc>
      </w:tr>
      <w:tr w:rsidR="00D178E3" w14:paraId="22C52703" w14:textId="77777777">
        <w:trPr>
          <w:trHeight w:val="420"/>
        </w:trPr>
        <w:tc>
          <w:tcPr>
            <w:tcW w:w="1695" w:type="dxa"/>
            <w:vMerge/>
            <w:shd w:val="clear" w:color="auto" w:fill="auto"/>
            <w:tcMar>
              <w:top w:w="100" w:type="dxa"/>
              <w:left w:w="100" w:type="dxa"/>
              <w:bottom w:w="100" w:type="dxa"/>
              <w:right w:w="100" w:type="dxa"/>
            </w:tcMar>
          </w:tcPr>
          <w:p w14:paraId="52C52B1F"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71142BBC"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2DDEC595"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564EA963" w14:textId="77777777" w:rsidR="00D178E3" w:rsidRDefault="00B274CB">
            <w:pPr>
              <w:widowControl w:val="0"/>
              <w:numPr>
                <w:ilvl w:val="0"/>
                <w:numId w:val="22"/>
              </w:numPr>
              <w:spacing w:line="240" w:lineRule="auto"/>
              <w:ind w:left="425" w:hanging="283"/>
            </w:pPr>
            <w:r>
              <w:t>The policy lacks clarity over IP.</w:t>
            </w:r>
          </w:p>
        </w:tc>
      </w:tr>
      <w:tr w:rsidR="00D178E3" w14:paraId="1149F1AF" w14:textId="77777777">
        <w:trPr>
          <w:trHeight w:val="420"/>
        </w:trPr>
        <w:tc>
          <w:tcPr>
            <w:tcW w:w="1695" w:type="dxa"/>
            <w:vMerge w:val="restart"/>
            <w:shd w:val="clear" w:color="auto" w:fill="auto"/>
            <w:tcMar>
              <w:top w:w="100" w:type="dxa"/>
              <w:left w:w="100" w:type="dxa"/>
              <w:bottom w:w="100" w:type="dxa"/>
              <w:right w:w="100" w:type="dxa"/>
            </w:tcMar>
          </w:tcPr>
          <w:p w14:paraId="00767516" w14:textId="77777777" w:rsidR="00D178E3" w:rsidRDefault="00B274CB">
            <w:pPr>
              <w:widowControl w:val="0"/>
              <w:spacing w:line="240" w:lineRule="auto"/>
            </w:pPr>
            <w:r>
              <w:t>Licences</w:t>
            </w:r>
          </w:p>
        </w:tc>
        <w:tc>
          <w:tcPr>
            <w:tcW w:w="3570" w:type="dxa"/>
            <w:vMerge w:val="restart"/>
            <w:shd w:val="clear" w:color="auto" w:fill="auto"/>
            <w:tcMar>
              <w:top w:w="100" w:type="dxa"/>
              <w:left w:w="100" w:type="dxa"/>
              <w:bottom w:w="100" w:type="dxa"/>
              <w:right w:w="100" w:type="dxa"/>
            </w:tcMar>
          </w:tcPr>
          <w:p w14:paraId="5B767C0C" w14:textId="77777777" w:rsidR="00D178E3" w:rsidRDefault="00B274CB">
            <w:pPr>
              <w:widowControl w:val="0"/>
              <w:spacing w:line="240" w:lineRule="auto"/>
            </w:pPr>
            <w:r>
              <w:t xml:space="preserve">Policies should require the use of appropriate licences making clear what reuse conditions (if any) </w:t>
            </w:r>
            <w:r>
              <w:lastRenderedPageBreak/>
              <w:t xml:space="preserve">must be respected. </w:t>
            </w:r>
          </w:p>
          <w:p w14:paraId="6B81B4E5" w14:textId="77777777" w:rsidR="00D178E3" w:rsidRDefault="00D178E3">
            <w:pPr>
              <w:widowControl w:val="0"/>
              <w:spacing w:line="240" w:lineRule="auto"/>
            </w:pPr>
          </w:p>
          <w:p w14:paraId="6A05A701" w14:textId="77777777" w:rsidR="00D178E3" w:rsidRDefault="00B274CB">
            <w:pPr>
              <w:widowControl w:val="0"/>
              <w:spacing w:line="240" w:lineRule="auto"/>
            </w:pPr>
            <w:r>
              <w:t xml:space="preserve">Related policy guidance should be provided to help researchers to select appropriate licences. </w:t>
            </w:r>
          </w:p>
        </w:tc>
        <w:tc>
          <w:tcPr>
            <w:tcW w:w="585" w:type="dxa"/>
            <w:shd w:val="clear" w:color="auto" w:fill="B6D7A8"/>
            <w:tcMar>
              <w:top w:w="100" w:type="dxa"/>
              <w:left w:w="100" w:type="dxa"/>
              <w:bottom w:w="100" w:type="dxa"/>
              <w:right w:w="100" w:type="dxa"/>
            </w:tcMar>
          </w:tcPr>
          <w:p w14:paraId="75E4CE44"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65C9FF09" w14:textId="77777777" w:rsidR="00D178E3" w:rsidRDefault="00B274CB">
            <w:pPr>
              <w:widowControl w:val="0"/>
              <w:numPr>
                <w:ilvl w:val="0"/>
                <w:numId w:val="32"/>
              </w:numPr>
              <w:spacing w:line="240" w:lineRule="auto"/>
              <w:ind w:left="425" w:hanging="283"/>
            </w:pPr>
            <w:r>
              <w:t>The policy requires the use of appropr</w:t>
            </w:r>
            <w:r>
              <w:t>iate licences for research outputs.</w:t>
            </w:r>
          </w:p>
        </w:tc>
      </w:tr>
      <w:tr w:rsidR="00D178E3" w14:paraId="4DFBEA7F" w14:textId="77777777">
        <w:trPr>
          <w:trHeight w:val="420"/>
        </w:trPr>
        <w:tc>
          <w:tcPr>
            <w:tcW w:w="1695" w:type="dxa"/>
            <w:vMerge/>
            <w:shd w:val="clear" w:color="auto" w:fill="auto"/>
            <w:tcMar>
              <w:top w:w="100" w:type="dxa"/>
              <w:left w:w="100" w:type="dxa"/>
              <w:bottom w:w="100" w:type="dxa"/>
              <w:right w:w="100" w:type="dxa"/>
            </w:tcMar>
          </w:tcPr>
          <w:p w14:paraId="5CC99240"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3BFC8C9F" w14:textId="77777777" w:rsidR="00D178E3" w:rsidRDefault="00D178E3">
            <w:pPr>
              <w:widowControl w:val="0"/>
              <w:spacing w:line="240" w:lineRule="auto"/>
            </w:pPr>
          </w:p>
        </w:tc>
        <w:tc>
          <w:tcPr>
            <w:tcW w:w="585" w:type="dxa"/>
            <w:shd w:val="clear" w:color="auto" w:fill="FFE599"/>
            <w:tcMar>
              <w:top w:w="100" w:type="dxa"/>
              <w:left w:w="100" w:type="dxa"/>
              <w:bottom w:w="100" w:type="dxa"/>
              <w:right w:w="100" w:type="dxa"/>
            </w:tcMar>
          </w:tcPr>
          <w:p w14:paraId="62AB94C3"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6B76F758" w14:textId="77777777" w:rsidR="00D178E3" w:rsidRDefault="00B274CB">
            <w:pPr>
              <w:widowControl w:val="0"/>
              <w:numPr>
                <w:ilvl w:val="0"/>
                <w:numId w:val="10"/>
              </w:numPr>
              <w:spacing w:line="240" w:lineRule="auto"/>
              <w:ind w:left="425" w:hanging="283"/>
            </w:pPr>
            <w:r>
              <w:t>The policy encourages the use of appropriate licences for research outputs.</w:t>
            </w:r>
          </w:p>
        </w:tc>
      </w:tr>
      <w:tr w:rsidR="00D178E3" w14:paraId="15DD3131" w14:textId="77777777">
        <w:trPr>
          <w:trHeight w:val="420"/>
        </w:trPr>
        <w:tc>
          <w:tcPr>
            <w:tcW w:w="1695" w:type="dxa"/>
            <w:vMerge/>
            <w:shd w:val="clear" w:color="auto" w:fill="auto"/>
            <w:tcMar>
              <w:top w:w="100" w:type="dxa"/>
              <w:left w:w="100" w:type="dxa"/>
              <w:bottom w:w="100" w:type="dxa"/>
              <w:right w:w="100" w:type="dxa"/>
            </w:tcMar>
          </w:tcPr>
          <w:p w14:paraId="545FE9F8"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7E9FB525"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4FF5356A"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0D0F0FC8" w14:textId="77777777" w:rsidR="00D178E3" w:rsidRDefault="00B274CB">
            <w:pPr>
              <w:widowControl w:val="0"/>
              <w:numPr>
                <w:ilvl w:val="0"/>
                <w:numId w:val="32"/>
              </w:numPr>
              <w:spacing w:line="240" w:lineRule="auto"/>
              <w:ind w:left="425" w:hanging="283"/>
            </w:pPr>
            <w:r>
              <w:t>The policy does not refer to licences.</w:t>
            </w:r>
          </w:p>
        </w:tc>
      </w:tr>
      <w:tr w:rsidR="00D178E3" w14:paraId="71529BCD" w14:textId="77777777">
        <w:trPr>
          <w:trHeight w:val="420"/>
        </w:trPr>
        <w:tc>
          <w:tcPr>
            <w:tcW w:w="1695" w:type="dxa"/>
            <w:vMerge w:val="restart"/>
            <w:shd w:val="clear" w:color="auto" w:fill="auto"/>
            <w:tcMar>
              <w:top w:w="100" w:type="dxa"/>
              <w:left w:w="100" w:type="dxa"/>
              <w:bottom w:w="100" w:type="dxa"/>
              <w:right w:w="100" w:type="dxa"/>
            </w:tcMar>
          </w:tcPr>
          <w:p w14:paraId="61B4EDDB" w14:textId="77777777" w:rsidR="00D178E3" w:rsidRDefault="00B274CB">
            <w:pPr>
              <w:widowControl w:val="0"/>
              <w:spacing w:line="240" w:lineRule="auto"/>
            </w:pPr>
            <w:r>
              <w:t xml:space="preserve">Data Citation </w:t>
            </w:r>
          </w:p>
        </w:tc>
        <w:tc>
          <w:tcPr>
            <w:tcW w:w="3570" w:type="dxa"/>
            <w:vMerge w:val="restart"/>
            <w:shd w:val="clear" w:color="auto" w:fill="auto"/>
            <w:tcMar>
              <w:top w:w="100" w:type="dxa"/>
              <w:left w:w="100" w:type="dxa"/>
              <w:bottom w:w="100" w:type="dxa"/>
              <w:right w:w="100" w:type="dxa"/>
            </w:tcMar>
          </w:tcPr>
          <w:p w14:paraId="7515C837" w14:textId="77777777" w:rsidR="00D178E3" w:rsidRDefault="00B274CB">
            <w:pPr>
              <w:widowControl w:val="0"/>
              <w:spacing w:line="240" w:lineRule="auto"/>
            </w:pPr>
            <w:r>
              <w:t>Policies should include a clear statement in relation to data citation expectations. Related guidance should provide advice on how to cite a broader range of research outputs including data and software, as well as actors and enablers such as data managers</w:t>
            </w:r>
            <w:r>
              <w:t>, data stewards, funding bodies, research infrastructures and organisations.</w:t>
            </w:r>
          </w:p>
        </w:tc>
        <w:tc>
          <w:tcPr>
            <w:tcW w:w="585" w:type="dxa"/>
            <w:shd w:val="clear" w:color="auto" w:fill="B6D7A8"/>
            <w:tcMar>
              <w:top w:w="100" w:type="dxa"/>
              <w:left w:w="100" w:type="dxa"/>
              <w:bottom w:w="100" w:type="dxa"/>
              <w:right w:w="100" w:type="dxa"/>
            </w:tcMar>
          </w:tcPr>
          <w:p w14:paraId="5FAEE821"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540C2775" w14:textId="77777777" w:rsidR="00D178E3" w:rsidRDefault="00B274CB">
            <w:pPr>
              <w:widowControl w:val="0"/>
              <w:numPr>
                <w:ilvl w:val="0"/>
                <w:numId w:val="2"/>
              </w:numPr>
              <w:spacing w:line="240" w:lineRule="auto"/>
              <w:ind w:left="425" w:hanging="283"/>
            </w:pPr>
            <w:r>
              <w:t xml:space="preserve">The policy provides a clear expectation about data citation. </w:t>
            </w:r>
          </w:p>
        </w:tc>
      </w:tr>
      <w:tr w:rsidR="00D178E3" w14:paraId="68CA309E" w14:textId="77777777">
        <w:trPr>
          <w:trHeight w:val="420"/>
        </w:trPr>
        <w:tc>
          <w:tcPr>
            <w:tcW w:w="1695" w:type="dxa"/>
            <w:vMerge/>
            <w:shd w:val="clear" w:color="auto" w:fill="auto"/>
            <w:tcMar>
              <w:top w:w="100" w:type="dxa"/>
              <w:left w:w="100" w:type="dxa"/>
              <w:bottom w:w="100" w:type="dxa"/>
              <w:right w:w="100" w:type="dxa"/>
            </w:tcMar>
          </w:tcPr>
          <w:p w14:paraId="093001AF"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11BD53F2"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274A1553"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6020E3A6" w14:textId="77777777" w:rsidR="00D178E3" w:rsidRDefault="00B274CB">
            <w:pPr>
              <w:widowControl w:val="0"/>
              <w:numPr>
                <w:ilvl w:val="0"/>
                <w:numId w:val="2"/>
              </w:numPr>
              <w:spacing w:line="240" w:lineRule="auto"/>
              <w:ind w:left="425" w:hanging="283"/>
            </w:pPr>
            <w:r>
              <w:t xml:space="preserve">The policy lacks clarity in relation to expectations around data citation. </w:t>
            </w:r>
          </w:p>
        </w:tc>
      </w:tr>
      <w:tr w:rsidR="00D178E3" w14:paraId="2DFCCBEA" w14:textId="77777777">
        <w:trPr>
          <w:trHeight w:val="420"/>
        </w:trPr>
        <w:tc>
          <w:tcPr>
            <w:tcW w:w="1695" w:type="dxa"/>
            <w:vMerge w:val="restart"/>
            <w:shd w:val="clear" w:color="auto" w:fill="auto"/>
            <w:tcMar>
              <w:top w:w="100" w:type="dxa"/>
              <w:left w:w="100" w:type="dxa"/>
              <w:bottom w:w="100" w:type="dxa"/>
              <w:right w:w="100" w:type="dxa"/>
            </w:tcMar>
          </w:tcPr>
          <w:p w14:paraId="2FB80B05" w14:textId="77777777" w:rsidR="00D178E3" w:rsidRDefault="00B274CB">
            <w:pPr>
              <w:widowControl w:val="0"/>
              <w:spacing w:line="240" w:lineRule="auto"/>
            </w:pPr>
            <w:r>
              <w:t>Researcher Identifiers</w:t>
            </w:r>
          </w:p>
        </w:tc>
        <w:tc>
          <w:tcPr>
            <w:tcW w:w="3570" w:type="dxa"/>
            <w:vMerge w:val="restart"/>
            <w:shd w:val="clear" w:color="auto" w:fill="auto"/>
            <w:tcMar>
              <w:top w:w="100" w:type="dxa"/>
              <w:left w:w="100" w:type="dxa"/>
              <w:bottom w:w="100" w:type="dxa"/>
              <w:right w:w="100" w:type="dxa"/>
            </w:tcMar>
          </w:tcPr>
          <w:p w14:paraId="428B8EB1" w14:textId="77777777" w:rsidR="00D178E3" w:rsidRDefault="00B274CB">
            <w:pPr>
              <w:widowControl w:val="0"/>
              <w:spacing w:line="240" w:lineRule="auto"/>
            </w:pPr>
            <w:r>
              <w:t xml:space="preserve">The use of researcher identifiers (e.g., </w:t>
            </w:r>
            <w:proofErr w:type="spellStart"/>
            <w:r>
              <w:t>ORCiD</w:t>
            </w:r>
            <w:proofErr w:type="spellEnd"/>
            <w:r>
              <w:t xml:space="preserve">) should be required to support the overall </w:t>
            </w:r>
            <w:proofErr w:type="spellStart"/>
            <w:r>
              <w:t>FAIRness</w:t>
            </w:r>
            <w:proofErr w:type="spellEnd"/>
            <w:r>
              <w:t xml:space="preserve"> of data outputs by enabling them to be linked unambiguously to specific researchers. </w:t>
            </w:r>
          </w:p>
        </w:tc>
        <w:tc>
          <w:tcPr>
            <w:tcW w:w="585" w:type="dxa"/>
            <w:shd w:val="clear" w:color="auto" w:fill="B6D7A8"/>
            <w:tcMar>
              <w:top w:w="100" w:type="dxa"/>
              <w:left w:w="100" w:type="dxa"/>
              <w:bottom w:w="100" w:type="dxa"/>
              <w:right w:w="100" w:type="dxa"/>
            </w:tcMar>
          </w:tcPr>
          <w:p w14:paraId="7EEDE7E6"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07E66D53" w14:textId="77777777" w:rsidR="00D178E3" w:rsidRDefault="00B274CB">
            <w:pPr>
              <w:widowControl w:val="0"/>
              <w:numPr>
                <w:ilvl w:val="0"/>
                <w:numId w:val="37"/>
              </w:numPr>
              <w:spacing w:line="240" w:lineRule="auto"/>
              <w:ind w:left="425" w:hanging="283"/>
            </w:pPr>
            <w:r>
              <w:t>The policy requires the use of researcher identifiers.</w:t>
            </w:r>
          </w:p>
        </w:tc>
      </w:tr>
      <w:tr w:rsidR="00D178E3" w14:paraId="52C822F8" w14:textId="77777777">
        <w:trPr>
          <w:trHeight w:val="420"/>
        </w:trPr>
        <w:tc>
          <w:tcPr>
            <w:tcW w:w="1695" w:type="dxa"/>
            <w:vMerge/>
            <w:shd w:val="clear" w:color="auto" w:fill="auto"/>
            <w:tcMar>
              <w:top w:w="100" w:type="dxa"/>
              <w:left w:w="100" w:type="dxa"/>
              <w:bottom w:w="100" w:type="dxa"/>
              <w:right w:w="100" w:type="dxa"/>
            </w:tcMar>
          </w:tcPr>
          <w:p w14:paraId="5627A3C7"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49C2E5FB"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54FD9C1C"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205AB46B" w14:textId="77777777" w:rsidR="00D178E3" w:rsidRDefault="00B274CB">
            <w:pPr>
              <w:widowControl w:val="0"/>
              <w:numPr>
                <w:ilvl w:val="0"/>
                <w:numId w:val="37"/>
              </w:numPr>
              <w:spacing w:line="240" w:lineRule="auto"/>
              <w:ind w:left="425" w:hanging="283"/>
            </w:pPr>
            <w:r>
              <w:t>The policy lacks clarity over the use of researcher identifiers.</w:t>
            </w:r>
          </w:p>
        </w:tc>
      </w:tr>
      <w:tr w:rsidR="00D178E3" w14:paraId="774A358D" w14:textId="77777777">
        <w:trPr>
          <w:trHeight w:val="420"/>
        </w:trPr>
        <w:tc>
          <w:tcPr>
            <w:tcW w:w="1695" w:type="dxa"/>
            <w:vMerge w:val="restart"/>
            <w:shd w:val="clear" w:color="auto" w:fill="auto"/>
            <w:tcMar>
              <w:top w:w="100" w:type="dxa"/>
              <w:left w:w="100" w:type="dxa"/>
              <w:bottom w:w="100" w:type="dxa"/>
              <w:right w:w="100" w:type="dxa"/>
            </w:tcMar>
          </w:tcPr>
          <w:p w14:paraId="62F2637A" w14:textId="77777777" w:rsidR="00D178E3" w:rsidRDefault="00B274CB">
            <w:pPr>
              <w:widowControl w:val="0"/>
              <w:spacing w:line="240" w:lineRule="auto"/>
            </w:pPr>
            <w:r>
              <w:t>Preservation</w:t>
            </w:r>
          </w:p>
        </w:tc>
        <w:tc>
          <w:tcPr>
            <w:tcW w:w="3570" w:type="dxa"/>
            <w:vMerge w:val="restart"/>
            <w:shd w:val="clear" w:color="auto" w:fill="auto"/>
            <w:tcMar>
              <w:top w:w="100" w:type="dxa"/>
              <w:left w:w="100" w:type="dxa"/>
              <w:bottom w:w="100" w:type="dxa"/>
              <w:right w:w="100" w:type="dxa"/>
            </w:tcMar>
          </w:tcPr>
          <w:p w14:paraId="07DF21EE" w14:textId="77777777" w:rsidR="00D178E3" w:rsidRDefault="00B274CB">
            <w:pPr>
              <w:widowControl w:val="0"/>
              <w:spacing w:line="240" w:lineRule="auto"/>
            </w:pPr>
            <w:r>
              <w:t xml:space="preserve">The policy should make clear the period of time beyond the life of the project that selected outputs must be retained. </w:t>
            </w:r>
          </w:p>
          <w:p w14:paraId="16255C70" w14:textId="77777777" w:rsidR="00D178E3" w:rsidRDefault="00D178E3">
            <w:pPr>
              <w:widowControl w:val="0"/>
              <w:spacing w:line="240" w:lineRule="auto"/>
            </w:pPr>
          </w:p>
          <w:p w14:paraId="3257F846" w14:textId="77777777" w:rsidR="00D178E3" w:rsidRDefault="00B274CB">
            <w:pPr>
              <w:widowControl w:val="0"/>
              <w:spacing w:line="240" w:lineRule="auto"/>
            </w:pPr>
            <w:r>
              <w:t xml:space="preserve">Links to relevant preservation policies and/or retention schedules should be provided. </w:t>
            </w:r>
          </w:p>
          <w:p w14:paraId="73DC691F" w14:textId="77777777" w:rsidR="00D178E3" w:rsidRDefault="00D178E3">
            <w:pPr>
              <w:widowControl w:val="0"/>
              <w:spacing w:line="240" w:lineRule="auto"/>
            </w:pPr>
          </w:p>
          <w:p w14:paraId="69B9C657" w14:textId="77777777" w:rsidR="00D178E3" w:rsidRDefault="00B274CB">
            <w:pPr>
              <w:widowControl w:val="0"/>
              <w:spacing w:line="240" w:lineRule="auto"/>
            </w:pPr>
            <w:r>
              <w:t>Guidance should be provided to assist research</w:t>
            </w:r>
            <w:r>
              <w:t xml:space="preserve">ers to assess the potential risks, benefits and associated costs to enable the preservation of FAIR data over time as they draft their DMP. </w:t>
            </w:r>
          </w:p>
        </w:tc>
        <w:tc>
          <w:tcPr>
            <w:tcW w:w="585" w:type="dxa"/>
            <w:shd w:val="clear" w:color="auto" w:fill="B6D7A8"/>
            <w:tcMar>
              <w:top w:w="100" w:type="dxa"/>
              <w:left w:w="100" w:type="dxa"/>
              <w:bottom w:w="100" w:type="dxa"/>
              <w:right w:w="100" w:type="dxa"/>
            </w:tcMar>
          </w:tcPr>
          <w:p w14:paraId="16FAF005"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33D69F52" w14:textId="77777777" w:rsidR="00D178E3" w:rsidRDefault="00B274CB">
            <w:pPr>
              <w:widowControl w:val="0"/>
              <w:numPr>
                <w:ilvl w:val="0"/>
                <w:numId w:val="3"/>
              </w:numPr>
              <w:spacing w:line="240" w:lineRule="auto"/>
              <w:ind w:left="425" w:hanging="283"/>
            </w:pPr>
            <w:r>
              <w:t xml:space="preserve">The policy requires that selected data must be preserved for a set period of time. </w:t>
            </w:r>
          </w:p>
          <w:p w14:paraId="4BAAECC6" w14:textId="77777777" w:rsidR="00D178E3" w:rsidRDefault="00D178E3">
            <w:pPr>
              <w:widowControl w:val="0"/>
              <w:spacing w:line="240" w:lineRule="auto"/>
              <w:ind w:left="720"/>
            </w:pPr>
          </w:p>
        </w:tc>
      </w:tr>
      <w:tr w:rsidR="00D178E3" w14:paraId="66C3A4BA" w14:textId="77777777">
        <w:trPr>
          <w:trHeight w:val="420"/>
        </w:trPr>
        <w:tc>
          <w:tcPr>
            <w:tcW w:w="1695" w:type="dxa"/>
            <w:vMerge/>
            <w:shd w:val="clear" w:color="auto" w:fill="auto"/>
            <w:tcMar>
              <w:top w:w="100" w:type="dxa"/>
              <w:left w:w="100" w:type="dxa"/>
              <w:bottom w:w="100" w:type="dxa"/>
              <w:right w:w="100" w:type="dxa"/>
            </w:tcMar>
          </w:tcPr>
          <w:p w14:paraId="74F56951" w14:textId="77777777" w:rsidR="00D178E3" w:rsidRDefault="00D178E3">
            <w:pPr>
              <w:widowControl w:val="0"/>
              <w:spacing w:line="240" w:lineRule="auto"/>
            </w:pPr>
          </w:p>
        </w:tc>
        <w:tc>
          <w:tcPr>
            <w:tcW w:w="3570" w:type="dxa"/>
            <w:vMerge/>
            <w:shd w:val="clear" w:color="auto" w:fill="auto"/>
            <w:tcMar>
              <w:top w:w="100" w:type="dxa"/>
              <w:left w:w="100" w:type="dxa"/>
              <w:bottom w:w="100" w:type="dxa"/>
              <w:right w:w="100" w:type="dxa"/>
            </w:tcMar>
          </w:tcPr>
          <w:p w14:paraId="05D63573"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05CD3B59" w14:textId="77777777" w:rsidR="00D178E3" w:rsidRDefault="00D178E3">
            <w:pPr>
              <w:widowControl w:val="0"/>
              <w:spacing w:line="240" w:lineRule="auto"/>
              <w:ind w:left="425" w:hanging="283"/>
            </w:pPr>
          </w:p>
        </w:tc>
        <w:tc>
          <w:tcPr>
            <w:tcW w:w="3960" w:type="dxa"/>
            <w:shd w:val="clear" w:color="auto" w:fill="auto"/>
            <w:tcMar>
              <w:top w:w="100" w:type="dxa"/>
              <w:left w:w="100" w:type="dxa"/>
              <w:bottom w:w="100" w:type="dxa"/>
              <w:right w:w="100" w:type="dxa"/>
            </w:tcMar>
          </w:tcPr>
          <w:p w14:paraId="2D6A6C25" w14:textId="77777777" w:rsidR="00D178E3" w:rsidRDefault="00B274CB">
            <w:pPr>
              <w:widowControl w:val="0"/>
              <w:numPr>
                <w:ilvl w:val="0"/>
                <w:numId w:val="3"/>
              </w:numPr>
              <w:spacing w:line="240" w:lineRule="auto"/>
              <w:ind w:left="425" w:hanging="283"/>
            </w:pPr>
            <w:r>
              <w:t xml:space="preserve">The policy lacks clarity in relation to the preservation of selected data. </w:t>
            </w:r>
          </w:p>
        </w:tc>
      </w:tr>
    </w:tbl>
    <w:p w14:paraId="7A9352E0" w14:textId="77777777" w:rsidR="00D178E3" w:rsidRDefault="00D178E3"/>
    <w:p w14:paraId="00DF5D61" w14:textId="77777777" w:rsidR="00D178E3" w:rsidRDefault="00B274CB">
      <w:pPr>
        <w:rPr>
          <w:b/>
        </w:rPr>
      </w:pPr>
      <w:r>
        <w:br w:type="page"/>
      </w:r>
    </w:p>
    <w:p w14:paraId="140E0B69" w14:textId="77777777" w:rsidR="00D178E3" w:rsidRDefault="00B274CB">
      <w:pPr>
        <w:ind w:left="-425"/>
        <w:rPr>
          <w:b/>
        </w:rPr>
      </w:pPr>
      <w:r>
        <w:rPr>
          <w:b/>
        </w:rPr>
        <w:lastRenderedPageBreak/>
        <w:t>Support for the FAIR-enabling Data Policy</w:t>
      </w:r>
    </w:p>
    <w:p w14:paraId="79D88552" w14:textId="77777777" w:rsidR="00D178E3" w:rsidRDefault="00D178E3">
      <w:pPr>
        <w:ind w:left="-425"/>
      </w:pPr>
    </w:p>
    <w:p w14:paraId="027F9FC1" w14:textId="77777777" w:rsidR="00D178E3" w:rsidRDefault="00B274CB">
      <w:pPr>
        <w:ind w:left="-425"/>
      </w:pPr>
      <w:r>
        <w:t xml:space="preserve">This section contains details about the support provided to enable researchers to adhere with the policies.  </w:t>
      </w:r>
    </w:p>
    <w:p w14:paraId="75205BD8" w14:textId="77777777" w:rsidR="00D178E3" w:rsidRDefault="00D178E3"/>
    <w:tbl>
      <w:tblPr>
        <w:tblStyle w:val="a1"/>
        <w:tblW w:w="9795" w:type="dxa"/>
        <w:tblInd w:w="-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05"/>
        <w:gridCol w:w="3870"/>
        <w:gridCol w:w="585"/>
        <w:gridCol w:w="3735"/>
      </w:tblGrid>
      <w:tr w:rsidR="00D178E3" w14:paraId="65FE1C09" w14:textId="77777777">
        <w:trPr>
          <w:trHeight w:val="420"/>
        </w:trPr>
        <w:tc>
          <w:tcPr>
            <w:tcW w:w="1605" w:type="dxa"/>
            <w:shd w:val="clear" w:color="auto" w:fill="auto"/>
            <w:tcMar>
              <w:top w:w="100" w:type="dxa"/>
              <w:left w:w="100" w:type="dxa"/>
              <w:bottom w:w="100" w:type="dxa"/>
              <w:right w:w="100" w:type="dxa"/>
            </w:tcMar>
          </w:tcPr>
          <w:p w14:paraId="7570582B" w14:textId="77777777" w:rsidR="00D178E3" w:rsidRDefault="00B274CB">
            <w:pPr>
              <w:widowControl w:val="0"/>
              <w:spacing w:line="240" w:lineRule="auto"/>
              <w:rPr>
                <w:b/>
              </w:rPr>
            </w:pPr>
            <w:r>
              <w:rPr>
                <w:b/>
              </w:rPr>
              <w:t>Policy element</w:t>
            </w:r>
          </w:p>
        </w:tc>
        <w:tc>
          <w:tcPr>
            <w:tcW w:w="3870" w:type="dxa"/>
            <w:shd w:val="clear" w:color="auto" w:fill="auto"/>
            <w:tcMar>
              <w:top w:w="100" w:type="dxa"/>
              <w:left w:w="100" w:type="dxa"/>
              <w:bottom w:w="100" w:type="dxa"/>
              <w:right w:w="100" w:type="dxa"/>
            </w:tcMar>
          </w:tcPr>
          <w:p w14:paraId="71F34D59" w14:textId="77777777" w:rsidR="00D178E3" w:rsidRDefault="00B274CB">
            <w:pPr>
              <w:widowControl w:val="0"/>
              <w:spacing w:line="240" w:lineRule="auto"/>
              <w:rPr>
                <w:b/>
              </w:rPr>
            </w:pPr>
            <w:r>
              <w:rPr>
                <w:b/>
              </w:rPr>
              <w:t xml:space="preserve">Good practice recommendation </w:t>
            </w:r>
          </w:p>
        </w:tc>
        <w:tc>
          <w:tcPr>
            <w:tcW w:w="4320" w:type="dxa"/>
            <w:gridSpan w:val="2"/>
            <w:shd w:val="clear" w:color="auto" w:fill="auto"/>
            <w:tcMar>
              <w:top w:w="100" w:type="dxa"/>
              <w:left w:w="100" w:type="dxa"/>
              <w:bottom w:w="100" w:type="dxa"/>
              <w:right w:w="100" w:type="dxa"/>
            </w:tcMar>
          </w:tcPr>
          <w:p w14:paraId="1DEB468C" w14:textId="77777777" w:rsidR="00D178E3" w:rsidRDefault="00B274CB">
            <w:pPr>
              <w:widowControl w:val="0"/>
              <w:spacing w:line="240" w:lineRule="auto"/>
              <w:rPr>
                <w:b/>
              </w:rPr>
            </w:pPr>
            <w:r>
              <w:rPr>
                <w:b/>
              </w:rPr>
              <w:t xml:space="preserve">Tick the statement that best reflects your policy </w:t>
            </w:r>
          </w:p>
        </w:tc>
      </w:tr>
      <w:tr w:rsidR="00D178E3" w14:paraId="5D464CFF" w14:textId="77777777">
        <w:trPr>
          <w:trHeight w:val="420"/>
        </w:trPr>
        <w:tc>
          <w:tcPr>
            <w:tcW w:w="1605" w:type="dxa"/>
            <w:vMerge w:val="restart"/>
            <w:shd w:val="clear" w:color="auto" w:fill="auto"/>
            <w:tcMar>
              <w:top w:w="100" w:type="dxa"/>
              <w:left w:w="100" w:type="dxa"/>
              <w:bottom w:w="100" w:type="dxa"/>
              <w:right w:w="100" w:type="dxa"/>
            </w:tcMar>
          </w:tcPr>
          <w:p w14:paraId="6086616E" w14:textId="77777777" w:rsidR="00D178E3" w:rsidRDefault="00B274CB">
            <w:pPr>
              <w:widowControl w:val="0"/>
              <w:spacing w:line="240" w:lineRule="auto"/>
            </w:pPr>
            <w:r>
              <w:t xml:space="preserve">Costs </w:t>
            </w:r>
          </w:p>
        </w:tc>
        <w:tc>
          <w:tcPr>
            <w:tcW w:w="3870" w:type="dxa"/>
            <w:vMerge w:val="restart"/>
            <w:shd w:val="clear" w:color="auto" w:fill="auto"/>
            <w:tcMar>
              <w:top w:w="100" w:type="dxa"/>
              <w:left w:w="100" w:type="dxa"/>
              <w:bottom w:w="100" w:type="dxa"/>
              <w:right w:w="100" w:type="dxa"/>
            </w:tcMar>
          </w:tcPr>
          <w:p w14:paraId="1E54A2D6" w14:textId="77777777" w:rsidR="00D178E3" w:rsidRDefault="00B274CB">
            <w:pPr>
              <w:widowControl w:val="0"/>
              <w:spacing w:line="240" w:lineRule="auto"/>
            </w:pPr>
            <w:r>
              <w:t xml:space="preserve">Funding bodies’ data policies should support justified costs associated with RDM and making data FAIR. </w:t>
            </w:r>
          </w:p>
        </w:tc>
        <w:tc>
          <w:tcPr>
            <w:tcW w:w="585" w:type="dxa"/>
            <w:shd w:val="clear" w:color="auto" w:fill="B6D7A8"/>
            <w:tcMar>
              <w:top w:w="100" w:type="dxa"/>
              <w:left w:w="100" w:type="dxa"/>
              <w:bottom w:w="100" w:type="dxa"/>
              <w:right w:w="100" w:type="dxa"/>
            </w:tcMar>
          </w:tcPr>
          <w:p w14:paraId="2FF7B878" w14:textId="77777777" w:rsidR="00D178E3" w:rsidRDefault="00D178E3">
            <w:pPr>
              <w:widowControl w:val="0"/>
              <w:spacing w:line="240" w:lineRule="auto"/>
              <w:ind w:left="425" w:hanging="283"/>
            </w:pPr>
          </w:p>
        </w:tc>
        <w:tc>
          <w:tcPr>
            <w:tcW w:w="3735" w:type="dxa"/>
            <w:shd w:val="clear" w:color="auto" w:fill="auto"/>
            <w:tcMar>
              <w:top w:w="100" w:type="dxa"/>
              <w:left w:w="100" w:type="dxa"/>
              <w:bottom w:w="100" w:type="dxa"/>
              <w:right w:w="100" w:type="dxa"/>
            </w:tcMar>
          </w:tcPr>
          <w:p w14:paraId="4D6CAD6F" w14:textId="77777777" w:rsidR="00D178E3" w:rsidRDefault="00B274CB">
            <w:pPr>
              <w:widowControl w:val="0"/>
              <w:numPr>
                <w:ilvl w:val="0"/>
                <w:numId w:val="14"/>
              </w:numPr>
              <w:spacing w:line="240" w:lineRule="auto"/>
              <w:ind w:left="425" w:hanging="283"/>
            </w:pPr>
            <w:r>
              <w:t>The policy supports justified costs associated with RDM and making data FAIR.</w:t>
            </w:r>
          </w:p>
        </w:tc>
      </w:tr>
      <w:tr w:rsidR="00D178E3" w14:paraId="17052817" w14:textId="77777777">
        <w:trPr>
          <w:trHeight w:val="420"/>
        </w:trPr>
        <w:tc>
          <w:tcPr>
            <w:tcW w:w="1605" w:type="dxa"/>
            <w:vMerge/>
            <w:shd w:val="clear" w:color="auto" w:fill="auto"/>
            <w:tcMar>
              <w:top w:w="100" w:type="dxa"/>
              <w:left w:w="100" w:type="dxa"/>
              <w:bottom w:w="100" w:type="dxa"/>
              <w:right w:w="100" w:type="dxa"/>
            </w:tcMar>
          </w:tcPr>
          <w:p w14:paraId="6D04AC06" w14:textId="77777777" w:rsidR="00D178E3" w:rsidRDefault="00D178E3">
            <w:pPr>
              <w:widowControl w:val="0"/>
              <w:spacing w:line="240" w:lineRule="auto"/>
            </w:pPr>
          </w:p>
        </w:tc>
        <w:tc>
          <w:tcPr>
            <w:tcW w:w="3870" w:type="dxa"/>
            <w:vMerge/>
            <w:shd w:val="clear" w:color="auto" w:fill="auto"/>
            <w:tcMar>
              <w:top w:w="100" w:type="dxa"/>
              <w:left w:w="100" w:type="dxa"/>
              <w:bottom w:w="100" w:type="dxa"/>
              <w:right w:w="100" w:type="dxa"/>
            </w:tcMar>
          </w:tcPr>
          <w:p w14:paraId="674856C4"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5D358F51" w14:textId="77777777" w:rsidR="00D178E3" w:rsidRDefault="00D178E3">
            <w:pPr>
              <w:widowControl w:val="0"/>
              <w:spacing w:line="240" w:lineRule="auto"/>
              <w:ind w:left="425" w:hanging="283"/>
            </w:pPr>
          </w:p>
        </w:tc>
        <w:tc>
          <w:tcPr>
            <w:tcW w:w="3735" w:type="dxa"/>
            <w:shd w:val="clear" w:color="auto" w:fill="auto"/>
            <w:tcMar>
              <w:top w:w="100" w:type="dxa"/>
              <w:left w:w="100" w:type="dxa"/>
              <w:bottom w:w="100" w:type="dxa"/>
              <w:right w:w="100" w:type="dxa"/>
            </w:tcMar>
          </w:tcPr>
          <w:p w14:paraId="6AC808C4" w14:textId="77777777" w:rsidR="00D178E3" w:rsidRDefault="00B274CB">
            <w:pPr>
              <w:widowControl w:val="0"/>
              <w:numPr>
                <w:ilvl w:val="0"/>
                <w:numId w:val="14"/>
              </w:numPr>
              <w:spacing w:line="240" w:lineRule="auto"/>
              <w:ind w:left="425" w:hanging="283"/>
            </w:pPr>
            <w:r>
              <w:t>The policy lacks clarity over whether justified costs associated with RDM and making data FAIR will be supported.</w:t>
            </w:r>
          </w:p>
        </w:tc>
      </w:tr>
      <w:tr w:rsidR="00D178E3" w14:paraId="610BD967" w14:textId="77777777">
        <w:trPr>
          <w:trHeight w:val="420"/>
        </w:trPr>
        <w:tc>
          <w:tcPr>
            <w:tcW w:w="1605" w:type="dxa"/>
            <w:vMerge w:val="restart"/>
            <w:shd w:val="clear" w:color="auto" w:fill="auto"/>
            <w:tcMar>
              <w:top w:w="100" w:type="dxa"/>
              <w:left w:w="100" w:type="dxa"/>
              <w:bottom w:w="100" w:type="dxa"/>
              <w:right w:w="100" w:type="dxa"/>
            </w:tcMar>
          </w:tcPr>
          <w:p w14:paraId="3BDFA896" w14:textId="77777777" w:rsidR="00D178E3" w:rsidRDefault="00B274CB">
            <w:pPr>
              <w:widowControl w:val="0"/>
              <w:spacing w:line="240" w:lineRule="auto"/>
            </w:pPr>
            <w:r>
              <w:t xml:space="preserve">Costs </w:t>
            </w:r>
          </w:p>
        </w:tc>
        <w:tc>
          <w:tcPr>
            <w:tcW w:w="3870" w:type="dxa"/>
            <w:vMerge w:val="restart"/>
            <w:shd w:val="clear" w:color="auto" w:fill="auto"/>
            <w:tcMar>
              <w:top w:w="100" w:type="dxa"/>
              <w:left w:w="100" w:type="dxa"/>
              <w:bottom w:w="100" w:type="dxa"/>
              <w:right w:w="100" w:type="dxa"/>
            </w:tcMar>
          </w:tcPr>
          <w:p w14:paraId="0E535F1B" w14:textId="77777777" w:rsidR="00D178E3" w:rsidRDefault="00B274CB">
            <w:pPr>
              <w:widowControl w:val="0"/>
              <w:spacing w:line="240" w:lineRule="auto"/>
            </w:pPr>
            <w:r>
              <w:t>Research Performing Organisations’ policies should encourage researchers and support staff to collectively identify relevant costs that should be requested in grant applications through the development of a data management plan.</w:t>
            </w:r>
          </w:p>
        </w:tc>
        <w:tc>
          <w:tcPr>
            <w:tcW w:w="585" w:type="dxa"/>
            <w:shd w:val="clear" w:color="auto" w:fill="B6D7A8"/>
            <w:tcMar>
              <w:top w:w="100" w:type="dxa"/>
              <w:left w:w="100" w:type="dxa"/>
              <w:bottom w:w="100" w:type="dxa"/>
              <w:right w:w="100" w:type="dxa"/>
            </w:tcMar>
          </w:tcPr>
          <w:p w14:paraId="2F7455C4" w14:textId="77777777" w:rsidR="00D178E3" w:rsidRDefault="00D178E3">
            <w:pPr>
              <w:widowControl w:val="0"/>
              <w:spacing w:line="240" w:lineRule="auto"/>
              <w:ind w:left="425" w:hanging="283"/>
            </w:pPr>
          </w:p>
        </w:tc>
        <w:tc>
          <w:tcPr>
            <w:tcW w:w="3735" w:type="dxa"/>
            <w:shd w:val="clear" w:color="auto" w:fill="auto"/>
            <w:tcMar>
              <w:top w:w="100" w:type="dxa"/>
              <w:left w:w="100" w:type="dxa"/>
              <w:bottom w:w="100" w:type="dxa"/>
              <w:right w:w="100" w:type="dxa"/>
            </w:tcMar>
          </w:tcPr>
          <w:p w14:paraId="1D0B1A92" w14:textId="77777777" w:rsidR="00D178E3" w:rsidRDefault="00B274CB">
            <w:pPr>
              <w:widowControl w:val="0"/>
              <w:numPr>
                <w:ilvl w:val="0"/>
                <w:numId w:val="5"/>
              </w:numPr>
              <w:spacing w:line="240" w:lineRule="auto"/>
              <w:ind w:left="425" w:hanging="283"/>
            </w:pPr>
            <w:r>
              <w:t>The policy makes clear tha</w:t>
            </w:r>
            <w:r>
              <w:t xml:space="preserve">t </w:t>
            </w:r>
          </w:p>
          <w:p w14:paraId="4E0708C3" w14:textId="77777777" w:rsidR="00D178E3" w:rsidRDefault="00B274CB">
            <w:pPr>
              <w:widowControl w:val="0"/>
              <w:spacing w:line="240" w:lineRule="auto"/>
              <w:ind w:left="420" w:firstLine="5"/>
            </w:pPr>
            <w:r>
              <w:t xml:space="preserve">justified costs associated with </w:t>
            </w:r>
          </w:p>
          <w:p w14:paraId="7EE803BE" w14:textId="77777777" w:rsidR="00D178E3" w:rsidRDefault="00B274CB">
            <w:pPr>
              <w:widowControl w:val="0"/>
              <w:spacing w:line="240" w:lineRule="auto"/>
              <w:ind w:left="425"/>
            </w:pPr>
            <w:r>
              <w:t xml:space="preserve">RDM and making data FAIR </w:t>
            </w:r>
          </w:p>
          <w:p w14:paraId="25E4873C" w14:textId="77777777" w:rsidR="00D178E3" w:rsidRDefault="00B274CB">
            <w:pPr>
              <w:widowControl w:val="0"/>
              <w:spacing w:line="240" w:lineRule="auto"/>
              <w:ind w:left="425"/>
            </w:pPr>
            <w:r>
              <w:t xml:space="preserve">should be identified through the </w:t>
            </w:r>
          </w:p>
          <w:p w14:paraId="4B24E256" w14:textId="77777777" w:rsidR="00D178E3" w:rsidRDefault="00B274CB">
            <w:pPr>
              <w:widowControl w:val="0"/>
              <w:spacing w:line="240" w:lineRule="auto"/>
              <w:ind w:left="425"/>
            </w:pPr>
            <w:r>
              <w:t>development of a pre-award DMP.</w:t>
            </w:r>
          </w:p>
        </w:tc>
      </w:tr>
      <w:tr w:rsidR="00D178E3" w14:paraId="30EDB08D" w14:textId="77777777">
        <w:trPr>
          <w:trHeight w:val="420"/>
        </w:trPr>
        <w:tc>
          <w:tcPr>
            <w:tcW w:w="1605" w:type="dxa"/>
            <w:vMerge/>
            <w:shd w:val="clear" w:color="auto" w:fill="auto"/>
            <w:tcMar>
              <w:top w:w="100" w:type="dxa"/>
              <w:left w:w="100" w:type="dxa"/>
              <w:bottom w:w="100" w:type="dxa"/>
              <w:right w:w="100" w:type="dxa"/>
            </w:tcMar>
          </w:tcPr>
          <w:p w14:paraId="1EA02E4B" w14:textId="77777777" w:rsidR="00D178E3" w:rsidRDefault="00D178E3">
            <w:pPr>
              <w:widowControl w:val="0"/>
              <w:spacing w:line="240" w:lineRule="auto"/>
            </w:pPr>
          </w:p>
        </w:tc>
        <w:tc>
          <w:tcPr>
            <w:tcW w:w="3870" w:type="dxa"/>
            <w:vMerge/>
            <w:shd w:val="clear" w:color="auto" w:fill="auto"/>
            <w:tcMar>
              <w:top w:w="100" w:type="dxa"/>
              <w:left w:w="100" w:type="dxa"/>
              <w:bottom w:w="100" w:type="dxa"/>
              <w:right w:w="100" w:type="dxa"/>
            </w:tcMar>
          </w:tcPr>
          <w:p w14:paraId="021CBFFA"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23FD8D4C" w14:textId="77777777" w:rsidR="00D178E3" w:rsidRDefault="00D178E3">
            <w:pPr>
              <w:widowControl w:val="0"/>
              <w:spacing w:line="240" w:lineRule="auto"/>
              <w:ind w:left="425" w:hanging="283"/>
            </w:pPr>
          </w:p>
        </w:tc>
        <w:tc>
          <w:tcPr>
            <w:tcW w:w="3735" w:type="dxa"/>
            <w:shd w:val="clear" w:color="auto" w:fill="auto"/>
            <w:tcMar>
              <w:top w:w="100" w:type="dxa"/>
              <w:left w:w="100" w:type="dxa"/>
              <w:bottom w:w="100" w:type="dxa"/>
              <w:right w:w="100" w:type="dxa"/>
            </w:tcMar>
          </w:tcPr>
          <w:p w14:paraId="51226E48" w14:textId="77777777" w:rsidR="00D178E3" w:rsidRDefault="00B274CB">
            <w:pPr>
              <w:widowControl w:val="0"/>
              <w:numPr>
                <w:ilvl w:val="0"/>
                <w:numId w:val="25"/>
              </w:numPr>
              <w:tabs>
                <w:tab w:val="center" w:pos="283"/>
              </w:tabs>
              <w:spacing w:line="240" w:lineRule="auto"/>
              <w:ind w:left="425" w:hanging="283"/>
            </w:pPr>
            <w:r>
              <w:t xml:space="preserve">The policy does not address how justified costs associated with RDM and making data FAIR should be identified. </w:t>
            </w:r>
          </w:p>
        </w:tc>
      </w:tr>
      <w:tr w:rsidR="00D178E3" w14:paraId="30F974EB" w14:textId="77777777">
        <w:trPr>
          <w:trHeight w:val="420"/>
        </w:trPr>
        <w:tc>
          <w:tcPr>
            <w:tcW w:w="1605" w:type="dxa"/>
            <w:vMerge w:val="restart"/>
            <w:shd w:val="clear" w:color="auto" w:fill="auto"/>
            <w:tcMar>
              <w:top w:w="100" w:type="dxa"/>
              <w:left w:w="100" w:type="dxa"/>
              <w:bottom w:w="100" w:type="dxa"/>
              <w:right w:w="100" w:type="dxa"/>
            </w:tcMar>
          </w:tcPr>
          <w:p w14:paraId="299AD662" w14:textId="77777777" w:rsidR="00D178E3" w:rsidRDefault="00B274CB">
            <w:pPr>
              <w:widowControl w:val="0"/>
              <w:spacing w:line="240" w:lineRule="auto"/>
            </w:pPr>
            <w:r>
              <w:t>Guidance</w:t>
            </w:r>
          </w:p>
        </w:tc>
        <w:tc>
          <w:tcPr>
            <w:tcW w:w="3870" w:type="dxa"/>
            <w:vMerge w:val="restart"/>
            <w:shd w:val="clear" w:color="auto" w:fill="auto"/>
            <w:tcMar>
              <w:top w:w="100" w:type="dxa"/>
              <w:left w:w="100" w:type="dxa"/>
              <w:bottom w:w="100" w:type="dxa"/>
              <w:right w:w="100" w:type="dxa"/>
            </w:tcMar>
          </w:tcPr>
          <w:p w14:paraId="341F3A2E" w14:textId="77777777" w:rsidR="00D178E3" w:rsidRDefault="00B274CB">
            <w:pPr>
              <w:widowControl w:val="0"/>
              <w:spacing w:line="240" w:lineRule="auto"/>
            </w:pPr>
            <w:r>
              <w:t>Policymakers should provide access to generic guidance to help researchers to comply with their policies. Where relevant and where res</w:t>
            </w:r>
            <w:r>
              <w:t xml:space="preserve">ources allow, policymakers should provide access to domain specific guidance. </w:t>
            </w:r>
          </w:p>
        </w:tc>
        <w:tc>
          <w:tcPr>
            <w:tcW w:w="585" w:type="dxa"/>
            <w:shd w:val="clear" w:color="auto" w:fill="B6D7A8"/>
            <w:tcMar>
              <w:top w:w="100" w:type="dxa"/>
              <w:left w:w="100" w:type="dxa"/>
              <w:bottom w:w="100" w:type="dxa"/>
              <w:right w:w="100" w:type="dxa"/>
            </w:tcMar>
          </w:tcPr>
          <w:p w14:paraId="2D07C29D" w14:textId="77777777" w:rsidR="00D178E3" w:rsidRDefault="00D178E3">
            <w:pPr>
              <w:widowControl w:val="0"/>
              <w:spacing w:line="240" w:lineRule="auto"/>
              <w:ind w:left="425" w:hanging="283"/>
            </w:pPr>
          </w:p>
        </w:tc>
        <w:tc>
          <w:tcPr>
            <w:tcW w:w="3735" w:type="dxa"/>
            <w:shd w:val="clear" w:color="auto" w:fill="auto"/>
            <w:tcMar>
              <w:top w:w="100" w:type="dxa"/>
              <w:left w:w="100" w:type="dxa"/>
              <w:bottom w:w="100" w:type="dxa"/>
              <w:right w:w="100" w:type="dxa"/>
            </w:tcMar>
          </w:tcPr>
          <w:p w14:paraId="1DC1DAF4" w14:textId="77777777" w:rsidR="00D178E3" w:rsidRDefault="00B274CB">
            <w:pPr>
              <w:widowControl w:val="0"/>
              <w:numPr>
                <w:ilvl w:val="0"/>
                <w:numId w:val="26"/>
              </w:numPr>
              <w:spacing w:line="240" w:lineRule="auto"/>
              <w:ind w:left="425" w:hanging="283"/>
            </w:pPr>
            <w:r>
              <w:t xml:space="preserve">Associated guidance is provided to help researchers to adhere with the policy. </w:t>
            </w:r>
          </w:p>
        </w:tc>
      </w:tr>
      <w:tr w:rsidR="00D178E3" w14:paraId="3552922B" w14:textId="77777777">
        <w:trPr>
          <w:trHeight w:val="420"/>
        </w:trPr>
        <w:tc>
          <w:tcPr>
            <w:tcW w:w="1605" w:type="dxa"/>
            <w:vMerge/>
            <w:shd w:val="clear" w:color="auto" w:fill="auto"/>
            <w:tcMar>
              <w:top w:w="100" w:type="dxa"/>
              <w:left w:w="100" w:type="dxa"/>
              <w:bottom w:w="100" w:type="dxa"/>
              <w:right w:w="100" w:type="dxa"/>
            </w:tcMar>
          </w:tcPr>
          <w:p w14:paraId="6D0730A3" w14:textId="77777777" w:rsidR="00D178E3" w:rsidRDefault="00D178E3">
            <w:pPr>
              <w:widowControl w:val="0"/>
              <w:spacing w:line="240" w:lineRule="auto"/>
            </w:pPr>
          </w:p>
        </w:tc>
        <w:tc>
          <w:tcPr>
            <w:tcW w:w="3870" w:type="dxa"/>
            <w:vMerge/>
            <w:shd w:val="clear" w:color="auto" w:fill="auto"/>
            <w:tcMar>
              <w:top w:w="100" w:type="dxa"/>
              <w:left w:w="100" w:type="dxa"/>
              <w:bottom w:w="100" w:type="dxa"/>
              <w:right w:w="100" w:type="dxa"/>
            </w:tcMar>
          </w:tcPr>
          <w:p w14:paraId="47E1D22E"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3D48F704" w14:textId="77777777" w:rsidR="00D178E3" w:rsidRDefault="00D178E3">
            <w:pPr>
              <w:widowControl w:val="0"/>
              <w:spacing w:line="240" w:lineRule="auto"/>
              <w:ind w:left="425" w:hanging="283"/>
            </w:pPr>
          </w:p>
        </w:tc>
        <w:tc>
          <w:tcPr>
            <w:tcW w:w="3735" w:type="dxa"/>
            <w:shd w:val="clear" w:color="auto" w:fill="auto"/>
            <w:tcMar>
              <w:top w:w="100" w:type="dxa"/>
              <w:left w:w="100" w:type="dxa"/>
              <w:bottom w:w="100" w:type="dxa"/>
              <w:right w:w="100" w:type="dxa"/>
            </w:tcMar>
          </w:tcPr>
          <w:p w14:paraId="33393928" w14:textId="77777777" w:rsidR="00D178E3" w:rsidRDefault="00B274CB">
            <w:pPr>
              <w:widowControl w:val="0"/>
              <w:numPr>
                <w:ilvl w:val="0"/>
                <w:numId w:val="26"/>
              </w:numPr>
              <w:spacing w:line="240" w:lineRule="auto"/>
              <w:ind w:left="425" w:hanging="283"/>
            </w:pPr>
            <w:r>
              <w:t xml:space="preserve">It is not clear whether associated guidance is provided to help researchers adhere with the policy. </w:t>
            </w:r>
          </w:p>
        </w:tc>
      </w:tr>
      <w:tr w:rsidR="00D178E3" w14:paraId="5C7E483B" w14:textId="77777777">
        <w:trPr>
          <w:trHeight w:val="420"/>
        </w:trPr>
        <w:tc>
          <w:tcPr>
            <w:tcW w:w="1605" w:type="dxa"/>
            <w:vMerge w:val="restart"/>
            <w:shd w:val="clear" w:color="auto" w:fill="auto"/>
            <w:tcMar>
              <w:top w:w="100" w:type="dxa"/>
              <w:left w:w="100" w:type="dxa"/>
              <w:bottom w:w="100" w:type="dxa"/>
              <w:right w:w="100" w:type="dxa"/>
            </w:tcMar>
          </w:tcPr>
          <w:p w14:paraId="3BBE3EE8" w14:textId="77777777" w:rsidR="00D178E3" w:rsidRDefault="00B274CB">
            <w:pPr>
              <w:widowControl w:val="0"/>
              <w:spacing w:line="240" w:lineRule="auto"/>
            </w:pPr>
            <w:r>
              <w:t>Monitoring</w:t>
            </w:r>
          </w:p>
        </w:tc>
        <w:tc>
          <w:tcPr>
            <w:tcW w:w="3870" w:type="dxa"/>
            <w:vMerge w:val="restart"/>
            <w:shd w:val="clear" w:color="auto" w:fill="auto"/>
            <w:tcMar>
              <w:top w:w="100" w:type="dxa"/>
              <w:left w:w="100" w:type="dxa"/>
              <w:bottom w:w="100" w:type="dxa"/>
              <w:right w:w="100" w:type="dxa"/>
            </w:tcMar>
          </w:tcPr>
          <w:p w14:paraId="0C802878" w14:textId="77777777" w:rsidR="00D178E3" w:rsidRDefault="00B274CB">
            <w:pPr>
              <w:widowControl w:val="0"/>
              <w:spacing w:line="240" w:lineRule="auto"/>
            </w:pPr>
            <w:r>
              <w:t xml:space="preserve">Policies should make clear how and when compliance will be monitored. </w:t>
            </w:r>
          </w:p>
          <w:p w14:paraId="2B9D436F" w14:textId="77777777" w:rsidR="00D178E3" w:rsidRDefault="00D178E3">
            <w:pPr>
              <w:widowControl w:val="0"/>
              <w:spacing w:line="240" w:lineRule="auto"/>
            </w:pPr>
          </w:p>
          <w:p w14:paraId="4B30C9DF" w14:textId="77777777" w:rsidR="00D178E3" w:rsidRDefault="00B274CB">
            <w:pPr>
              <w:widowControl w:val="0"/>
              <w:spacing w:line="240" w:lineRule="auto"/>
            </w:pPr>
            <w:r>
              <w:t>If monitoring will take place, rewards for compliance and/or penalties for non-compliance should be made clear.</w:t>
            </w:r>
          </w:p>
          <w:p w14:paraId="29BD53F8" w14:textId="77777777" w:rsidR="00D178E3" w:rsidRDefault="00B274CB">
            <w:pPr>
              <w:widowControl w:val="0"/>
              <w:spacing w:line="240" w:lineRule="auto"/>
            </w:pPr>
            <w:r>
              <w:t xml:space="preserve"> </w:t>
            </w:r>
          </w:p>
        </w:tc>
        <w:tc>
          <w:tcPr>
            <w:tcW w:w="585" w:type="dxa"/>
            <w:shd w:val="clear" w:color="auto" w:fill="B6D7A8"/>
            <w:tcMar>
              <w:top w:w="100" w:type="dxa"/>
              <w:left w:w="100" w:type="dxa"/>
              <w:bottom w:w="100" w:type="dxa"/>
              <w:right w:w="100" w:type="dxa"/>
            </w:tcMar>
          </w:tcPr>
          <w:p w14:paraId="5F4B1068" w14:textId="77777777" w:rsidR="00D178E3" w:rsidRDefault="00D178E3">
            <w:pPr>
              <w:widowControl w:val="0"/>
              <w:spacing w:line="240" w:lineRule="auto"/>
              <w:ind w:left="425" w:hanging="283"/>
            </w:pPr>
          </w:p>
        </w:tc>
        <w:tc>
          <w:tcPr>
            <w:tcW w:w="3735" w:type="dxa"/>
            <w:shd w:val="clear" w:color="auto" w:fill="auto"/>
            <w:tcMar>
              <w:top w:w="100" w:type="dxa"/>
              <w:left w:w="100" w:type="dxa"/>
              <w:bottom w:w="100" w:type="dxa"/>
              <w:right w:w="100" w:type="dxa"/>
            </w:tcMar>
          </w:tcPr>
          <w:p w14:paraId="5DC15247" w14:textId="77777777" w:rsidR="00D178E3" w:rsidRDefault="00B274CB">
            <w:pPr>
              <w:widowControl w:val="0"/>
              <w:numPr>
                <w:ilvl w:val="0"/>
                <w:numId w:val="29"/>
              </w:numPr>
              <w:spacing w:line="240" w:lineRule="auto"/>
              <w:ind w:left="425" w:hanging="283"/>
            </w:pPr>
            <w:r>
              <w:t>The policy makes clear whether compliance will be monitored and provides clarity on related rewards or penalties.</w:t>
            </w:r>
          </w:p>
        </w:tc>
      </w:tr>
      <w:tr w:rsidR="00D178E3" w14:paraId="3E73BF20" w14:textId="77777777">
        <w:trPr>
          <w:trHeight w:val="420"/>
        </w:trPr>
        <w:tc>
          <w:tcPr>
            <w:tcW w:w="1605" w:type="dxa"/>
            <w:vMerge/>
            <w:shd w:val="clear" w:color="auto" w:fill="auto"/>
            <w:tcMar>
              <w:top w:w="100" w:type="dxa"/>
              <w:left w:w="100" w:type="dxa"/>
              <w:bottom w:w="100" w:type="dxa"/>
              <w:right w:w="100" w:type="dxa"/>
            </w:tcMar>
          </w:tcPr>
          <w:p w14:paraId="73A5E27C" w14:textId="77777777" w:rsidR="00D178E3" w:rsidRDefault="00D178E3">
            <w:pPr>
              <w:widowControl w:val="0"/>
              <w:spacing w:line="240" w:lineRule="auto"/>
            </w:pPr>
          </w:p>
        </w:tc>
        <w:tc>
          <w:tcPr>
            <w:tcW w:w="3870" w:type="dxa"/>
            <w:vMerge/>
            <w:shd w:val="clear" w:color="auto" w:fill="auto"/>
            <w:tcMar>
              <w:top w:w="100" w:type="dxa"/>
              <w:left w:w="100" w:type="dxa"/>
              <w:bottom w:w="100" w:type="dxa"/>
              <w:right w:w="100" w:type="dxa"/>
            </w:tcMar>
          </w:tcPr>
          <w:p w14:paraId="3DEEB432" w14:textId="77777777" w:rsidR="00D178E3" w:rsidRDefault="00D178E3">
            <w:pPr>
              <w:widowControl w:val="0"/>
              <w:spacing w:line="240" w:lineRule="auto"/>
            </w:pPr>
          </w:p>
        </w:tc>
        <w:tc>
          <w:tcPr>
            <w:tcW w:w="585" w:type="dxa"/>
            <w:shd w:val="clear" w:color="auto" w:fill="EA9999"/>
            <w:tcMar>
              <w:top w:w="100" w:type="dxa"/>
              <w:left w:w="100" w:type="dxa"/>
              <w:bottom w:w="100" w:type="dxa"/>
              <w:right w:w="100" w:type="dxa"/>
            </w:tcMar>
          </w:tcPr>
          <w:p w14:paraId="0983B377" w14:textId="77777777" w:rsidR="00D178E3" w:rsidRDefault="00D178E3">
            <w:pPr>
              <w:widowControl w:val="0"/>
              <w:spacing w:line="240" w:lineRule="auto"/>
              <w:ind w:left="425" w:hanging="283"/>
            </w:pPr>
          </w:p>
        </w:tc>
        <w:tc>
          <w:tcPr>
            <w:tcW w:w="3735" w:type="dxa"/>
            <w:shd w:val="clear" w:color="auto" w:fill="auto"/>
            <w:tcMar>
              <w:top w:w="100" w:type="dxa"/>
              <w:left w:w="100" w:type="dxa"/>
              <w:bottom w:w="100" w:type="dxa"/>
              <w:right w:w="100" w:type="dxa"/>
            </w:tcMar>
          </w:tcPr>
          <w:p w14:paraId="1C8892C8" w14:textId="77777777" w:rsidR="00D178E3" w:rsidRDefault="00B274CB">
            <w:pPr>
              <w:widowControl w:val="0"/>
              <w:numPr>
                <w:ilvl w:val="0"/>
                <w:numId w:val="29"/>
              </w:numPr>
              <w:spacing w:line="240" w:lineRule="auto"/>
              <w:ind w:left="425" w:hanging="283"/>
            </w:pPr>
            <w:r>
              <w:t>The policy does not address monitoring or lacks clarity over whether compliance will be monitored.</w:t>
            </w:r>
          </w:p>
        </w:tc>
      </w:tr>
    </w:tbl>
    <w:p w14:paraId="0A854A74" w14:textId="2C5F2938" w:rsidR="00D178E3" w:rsidRDefault="00D178E3" w:rsidP="00A32B4B"/>
    <w:sectPr w:rsidR="00D178E3">
      <w:pgSz w:w="11909" w:h="16834"/>
      <w:pgMar w:top="85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29B14" w14:textId="77777777" w:rsidR="00B274CB" w:rsidRDefault="00B274CB">
      <w:pPr>
        <w:spacing w:line="240" w:lineRule="auto"/>
      </w:pPr>
      <w:r>
        <w:separator/>
      </w:r>
    </w:p>
  </w:endnote>
  <w:endnote w:type="continuationSeparator" w:id="0">
    <w:p w14:paraId="48BE0116" w14:textId="77777777" w:rsidR="00B274CB" w:rsidRDefault="00B274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FBB32" w14:textId="77777777" w:rsidR="00B274CB" w:rsidRDefault="00B274CB">
      <w:pPr>
        <w:spacing w:line="240" w:lineRule="auto"/>
      </w:pPr>
      <w:r>
        <w:separator/>
      </w:r>
    </w:p>
  </w:footnote>
  <w:footnote w:type="continuationSeparator" w:id="0">
    <w:p w14:paraId="5F252169" w14:textId="77777777" w:rsidR="00B274CB" w:rsidRDefault="00B274CB">
      <w:pPr>
        <w:spacing w:line="240" w:lineRule="auto"/>
      </w:pPr>
      <w:r>
        <w:continuationSeparator/>
      </w:r>
    </w:p>
  </w:footnote>
  <w:footnote w:id="1">
    <w:p w14:paraId="3E3B3176" w14:textId="77777777" w:rsidR="00D178E3" w:rsidRDefault="00B274CB">
      <w:pPr>
        <w:spacing w:line="240" w:lineRule="auto"/>
        <w:rPr>
          <w:sz w:val="20"/>
          <w:szCs w:val="20"/>
        </w:rPr>
      </w:pPr>
      <w:r>
        <w:rPr>
          <w:vertAlign w:val="superscript"/>
        </w:rPr>
        <w:footnoteRef/>
      </w:r>
      <w:r>
        <w:rPr>
          <w:sz w:val="20"/>
          <w:szCs w:val="20"/>
        </w:rPr>
        <w:t xml:space="preserve"> Davidson, Joy, Engelhardt, Claudia, Proudman, Vanessa, Stoy, Lennart, &amp; Whyte, Angus. (2019). D3.1 FAIR Policy Landscape Analysis (v1.0). FAIRsFAIR. </w:t>
      </w:r>
      <w:hyperlink r:id="rId1">
        <w:r>
          <w:rPr>
            <w:color w:val="1155CC"/>
            <w:sz w:val="20"/>
            <w:szCs w:val="20"/>
            <w:u w:val="single"/>
          </w:rPr>
          <w:t>https://doi.o</w:t>
        </w:r>
        <w:r>
          <w:rPr>
            <w:color w:val="1155CC"/>
            <w:sz w:val="20"/>
            <w:szCs w:val="20"/>
            <w:u w:val="single"/>
          </w:rPr>
          <w:t>rg/10.5281/zenodo.5537032</w:t>
        </w:r>
      </w:hyperlink>
      <w:r>
        <w:rPr>
          <w:sz w:val="20"/>
          <w:szCs w:val="20"/>
        </w:rPr>
        <w:t xml:space="preserve"> </w:t>
      </w:r>
    </w:p>
  </w:footnote>
  <w:footnote w:id="2">
    <w:p w14:paraId="7FE5612B" w14:textId="77777777" w:rsidR="00D178E3" w:rsidRDefault="00B274CB">
      <w:pPr>
        <w:spacing w:line="240" w:lineRule="auto"/>
        <w:rPr>
          <w:sz w:val="20"/>
          <w:szCs w:val="20"/>
        </w:rPr>
      </w:pPr>
      <w:r>
        <w:rPr>
          <w:vertAlign w:val="superscript"/>
        </w:rPr>
        <w:footnoteRef/>
      </w:r>
      <w:r>
        <w:rPr>
          <w:sz w:val="20"/>
          <w:szCs w:val="20"/>
        </w:rPr>
        <w:t xml:space="preserve"> Davidson, Joy, Grootveld, Marjan, Whyte, Angus, Herterich, Patricia, Engelhardt, Claudia, Stoy, Lennart, &amp; Proudman, Vanessa. (2020). D3.3 Policy Enhancement Recommendations (1.0). Zenodo. </w:t>
      </w:r>
      <w:hyperlink r:id="rId2">
        <w:r>
          <w:rPr>
            <w:color w:val="1155CC"/>
            <w:sz w:val="20"/>
            <w:szCs w:val="20"/>
            <w:u w:val="single"/>
          </w:rPr>
          <w:t>https://</w:t>
        </w:r>
        <w:r>
          <w:rPr>
            <w:color w:val="1155CC"/>
            <w:sz w:val="20"/>
            <w:szCs w:val="20"/>
            <w:u w:val="single"/>
          </w:rPr>
          <w:t>doi.org/10.5281/zenodo.5362183</w:t>
        </w:r>
      </w:hyperlink>
      <w:r>
        <w:rPr>
          <w:sz w:val="20"/>
          <w:szCs w:val="20"/>
        </w:rPr>
        <w:t xml:space="preserve"> </w:t>
      </w:r>
    </w:p>
    <w:p w14:paraId="1DCD9EA4" w14:textId="77777777" w:rsidR="00D178E3" w:rsidRDefault="00D178E3">
      <w:pPr>
        <w:spacing w:line="240" w:lineRule="auto"/>
        <w:rPr>
          <w:sz w:val="20"/>
          <w:szCs w:val="20"/>
        </w:rPr>
      </w:pPr>
    </w:p>
    <w:p w14:paraId="744BC255" w14:textId="77777777" w:rsidR="00D178E3" w:rsidRDefault="00D178E3">
      <w:pPr>
        <w:spacing w:line="240" w:lineRule="auto"/>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91B"/>
    <w:multiLevelType w:val="multilevel"/>
    <w:tmpl w:val="C36EE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214DC4"/>
    <w:multiLevelType w:val="multilevel"/>
    <w:tmpl w:val="2B6AE8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3E2D72"/>
    <w:multiLevelType w:val="multilevel"/>
    <w:tmpl w:val="57F25B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AF42CB"/>
    <w:multiLevelType w:val="multilevel"/>
    <w:tmpl w:val="5A3E4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853CEC"/>
    <w:multiLevelType w:val="multilevel"/>
    <w:tmpl w:val="EDD6CB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085C94"/>
    <w:multiLevelType w:val="multilevel"/>
    <w:tmpl w:val="CA40B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A3C2D00"/>
    <w:multiLevelType w:val="multilevel"/>
    <w:tmpl w:val="4E1846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2251371"/>
    <w:multiLevelType w:val="multilevel"/>
    <w:tmpl w:val="0B7CE7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2FC5B13"/>
    <w:multiLevelType w:val="multilevel"/>
    <w:tmpl w:val="456E0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7786B8C"/>
    <w:multiLevelType w:val="multilevel"/>
    <w:tmpl w:val="55D406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8CF4F90"/>
    <w:multiLevelType w:val="multilevel"/>
    <w:tmpl w:val="1FBCD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D250F89"/>
    <w:multiLevelType w:val="multilevel"/>
    <w:tmpl w:val="66A0A7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EC16EE6"/>
    <w:multiLevelType w:val="multilevel"/>
    <w:tmpl w:val="595C97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00A1F39"/>
    <w:multiLevelType w:val="multilevel"/>
    <w:tmpl w:val="EB78D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0F55509"/>
    <w:multiLevelType w:val="multilevel"/>
    <w:tmpl w:val="E9E8F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41377D1"/>
    <w:multiLevelType w:val="multilevel"/>
    <w:tmpl w:val="A528A2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5DD1EBD"/>
    <w:multiLevelType w:val="multilevel"/>
    <w:tmpl w:val="F09AC9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BA852B6"/>
    <w:multiLevelType w:val="multilevel"/>
    <w:tmpl w:val="C1C43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D7F616C"/>
    <w:multiLevelType w:val="multilevel"/>
    <w:tmpl w:val="939AFC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EF626B7"/>
    <w:multiLevelType w:val="multilevel"/>
    <w:tmpl w:val="C3B23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FB0727A"/>
    <w:multiLevelType w:val="multilevel"/>
    <w:tmpl w:val="10BAE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68C2954"/>
    <w:multiLevelType w:val="multilevel"/>
    <w:tmpl w:val="5FD6E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73B5E5D"/>
    <w:multiLevelType w:val="multilevel"/>
    <w:tmpl w:val="C15EA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99061B1"/>
    <w:multiLevelType w:val="multilevel"/>
    <w:tmpl w:val="2BBA0E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9D37121"/>
    <w:multiLevelType w:val="multilevel"/>
    <w:tmpl w:val="C26062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A572A13"/>
    <w:multiLevelType w:val="multilevel"/>
    <w:tmpl w:val="8B768E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D450896"/>
    <w:multiLevelType w:val="multilevel"/>
    <w:tmpl w:val="148A58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4A34AAE"/>
    <w:multiLevelType w:val="multilevel"/>
    <w:tmpl w:val="628058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F0B6F36"/>
    <w:multiLevelType w:val="multilevel"/>
    <w:tmpl w:val="969A20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1500B45"/>
    <w:multiLevelType w:val="multilevel"/>
    <w:tmpl w:val="EBEA01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37C4C73"/>
    <w:multiLevelType w:val="multilevel"/>
    <w:tmpl w:val="5D1447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5AF344B"/>
    <w:multiLevelType w:val="multilevel"/>
    <w:tmpl w:val="9A30B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E933C00"/>
    <w:multiLevelType w:val="multilevel"/>
    <w:tmpl w:val="368E5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EA03885"/>
    <w:multiLevelType w:val="multilevel"/>
    <w:tmpl w:val="E8A0F7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21571C1"/>
    <w:multiLevelType w:val="multilevel"/>
    <w:tmpl w:val="AC6640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59E7512"/>
    <w:multiLevelType w:val="multilevel"/>
    <w:tmpl w:val="1AE673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7F07939"/>
    <w:multiLevelType w:val="multilevel"/>
    <w:tmpl w:val="C72EBC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9365D3A"/>
    <w:multiLevelType w:val="multilevel"/>
    <w:tmpl w:val="ADCAD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EBB3152"/>
    <w:multiLevelType w:val="multilevel"/>
    <w:tmpl w:val="A2483B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7"/>
  </w:num>
  <w:num w:numId="3">
    <w:abstractNumId w:val="32"/>
  </w:num>
  <w:num w:numId="4">
    <w:abstractNumId w:val="15"/>
  </w:num>
  <w:num w:numId="5">
    <w:abstractNumId w:val="13"/>
  </w:num>
  <w:num w:numId="6">
    <w:abstractNumId w:val="20"/>
  </w:num>
  <w:num w:numId="7">
    <w:abstractNumId w:val="30"/>
  </w:num>
  <w:num w:numId="8">
    <w:abstractNumId w:val="23"/>
  </w:num>
  <w:num w:numId="9">
    <w:abstractNumId w:val="3"/>
  </w:num>
  <w:num w:numId="10">
    <w:abstractNumId w:val="14"/>
  </w:num>
  <w:num w:numId="11">
    <w:abstractNumId w:val="21"/>
  </w:num>
  <w:num w:numId="12">
    <w:abstractNumId w:val="35"/>
  </w:num>
  <w:num w:numId="13">
    <w:abstractNumId w:val="12"/>
  </w:num>
  <w:num w:numId="14">
    <w:abstractNumId w:val="34"/>
  </w:num>
  <w:num w:numId="15">
    <w:abstractNumId w:val="36"/>
  </w:num>
  <w:num w:numId="16">
    <w:abstractNumId w:val="4"/>
  </w:num>
  <w:num w:numId="17">
    <w:abstractNumId w:val="2"/>
  </w:num>
  <w:num w:numId="18">
    <w:abstractNumId w:val="5"/>
  </w:num>
  <w:num w:numId="19">
    <w:abstractNumId w:val="9"/>
  </w:num>
  <w:num w:numId="20">
    <w:abstractNumId w:val="7"/>
  </w:num>
  <w:num w:numId="21">
    <w:abstractNumId w:val="19"/>
  </w:num>
  <w:num w:numId="22">
    <w:abstractNumId w:val="26"/>
  </w:num>
  <w:num w:numId="23">
    <w:abstractNumId w:val="27"/>
  </w:num>
  <w:num w:numId="24">
    <w:abstractNumId w:val="6"/>
  </w:num>
  <w:num w:numId="25">
    <w:abstractNumId w:val="1"/>
  </w:num>
  <w:num w:numId="26">
    <w:abstractNumId w:val="10"/>
  </w:num>
  <w:num w:numId="27">
    <w:abstractNumId w:val="29"/>
  </w:num>
  <w:num w:numId="28">
    <w:abstractNumId w:val="28"/>
  </w:num>
  <w:num w:numId="29">
    <w:abstractNumId w:val="31"/>
  </w:num>
  <w:num w:numId="30">
    <w:abstractNumId w:val="25"/>
  </w:num>
  <w:num w:numId="31">
    <w:abstractNumId w:val="11"/>
  </w:num>
  <w:num w:numId="32">
    <w:abstractNumId w:val="33"/>
  </w:num>
  <w:num w:numId="33">
    <w:abstractNumId w:val="22"/>
  </w:num>
  <w:num w:numId="34">
    <w:abstractNumId w:val="24"/>
  </w:num>
  <w:num w:numId="35">
    <w:abstractNumId w:val="38"/>
  </w:num>
  <w:num w:numId="36">
    <w:abstractNumId w:val="16"/>
  </w:num>
  <w:num w:numId="37">
    <w:abstractNumId w:val="37"/>
  </w:num>
  <w:num w:numId="38">
    <w:abstractNumId w:val="8"/>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8E3"/>
    <w:rsid w:val="00A32B4B"/>
    <w:rsid w:val="00B274CB"/>
    <w:rsid w:val="00D178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34634"/>
  <w15:docId w15:val="{EA280FE1-832A-4B5D-A426-860838260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5281/zenodo.5362183" TargetMode="External"/><Relationship Id="rId1" Type="http://schemas.openxmlformats.org/officeDocument/2006/relationships/hyperlink" Target="https://doi.org/10.5281/zenodo.55370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2261</Words>
  <Characters>12894</Characters>
  <Application>Microsoft Office Word</Application>
  <DocSecurity>0</DocSecurity>
  <Lines>107</Lines>
  <Paragraphs>30</Paragraphs>
  <ScaleCrop>false</ScaleCrop>
  <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Joy Davidson</cp:lastModifiedBy>
  <cp:revision>2</cp:revision>
  <dcterms:created xsi:type="dcterms:W3CDTF">2022-03-07T10:22:00Z</dcterms:created>
  <dcterms:modified xsi:type="dcterms:W3CDTF">2022-03-07T10:23:00Z</dcterms:modified>
</cp:coreProperties>
</file>