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576A2" w14:textId="66FEAF25" w:rsidR="00DD400D" w:rsidRDefault="00DD400D" w:rsidP="001A00B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>Supplementary Figure 1.</w:t>
      </w:r>
      <w:r w:rsidRPr="00DD400D">
        <w:rPr>
          <w:rFonts w:ascii="Times New Roman" w:hAnsi="Times New Roman" w:cs="Times New Roman"/>
          <w:sz w:val="24"/>
          <w:szCs w:val="24"/>
          <w:lang w:val="en-US"/>
        </w:rPr>
        <w:t xml:space="preserve"> Results of the principal component analysis (PCA) showing variation across PC3 and PC4. The entire </w:t>
      </w:r>
      <w:proofErr w:type="spellStart"/>
      <w:r w:rsidRPr="007B4395">
        <w:rPr>
          <w:rFonts w:ascii="Times New Roman" w:hAnsi="Times New Roman" w:cs="Times New Roman"/>
          <w:i/>
          <w:iCs/>
          <w:sz w:val="24"/>
          <w:szCs w:val="24"/>
          <w:lang w:val="en-US"/>
        </w:rPr>
        <w:t>Skiagia</w:t>
      </w:r>
      <w:proofErr w:type="spellEnd"/>
      <w:r w:rsidRPr="00DD400D">
        <w:rPr>
          <w:rFonts w:ascii="Times New Roman" w:hAnsi="Times New Roman" w:cs="Times New Roman"/>
          <w:sz w:val="24"/>
          <w:szCs w:val="24"/>
          <w:lang w:val="en-US"/>
        </w:rPr>
        <w:t xml:space="preserve"> dataset has been included (N = 191). The proportion of variation explained by each PC is shown along their respective axes. Filled and empty symbols represent ‘unambiguous’ and ‘ambiguous’ specimens, respectively, and are color-coded according to their (tentative) species attribution. Inset on the bottom-left corner shows the PC3–PC4 biplot. </w:t>
      </w:r>
    </w:p>
    <w:p w14:paraId="058B6047" w14:textId="57B02EC3" w:rsidR="00DD400D" w:rsidRDefault="00DD400D" w:rsidP="00DD400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>Supplementary Figure 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6472">
        <w:rPr>
          <w:rFonts w:ascii="Times New Roman" w:hAnsi="Times New Roman" w:cs="Times New Roman"/>
          <w:sz w:val="24"/>
          <w:szCs w:val="24"/>
          <w:lang w:val="en-US"/>
        </w:rPr>
        <w:t>Results of the principal component analysis (PCA)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convex hulls encompassing specimens from each sample. </w:t>
      </w:r>
      <w:r w:rsidRPr="0034741C">
        <w:rPr>
          <w:rFonts w:ascii="Times New Roman" w:hAnsi="Times New Roman" w:cs="Times New Roman"/>
          <w:sz w:val="24"/>
          <w:szCs w:val="24"/>
          <w:lang w:val="en-US"/>
        </w:rPr>
        <w:t>The proportion of variation explained by each PC is shown along their respective axes. Filled and empty symbols represent ‘unambiguous’ and ‘ambiguous’ specimens, respectively, and are color-coded according to their (tentative) species attribution.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Blue: </w:t>
      </w:r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S. </w:t>
      </w:r>
      <w:proofErr w:type="spellStart"/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>scottica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; black: </w:t>
      </w:r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S. </w:t>
      </w:r>
      <w:proofErr w:type="spellStart"/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>ciliosa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; purple: </w:t>
      </w:r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S. </w:t>
      </w:r>
      <w:proofErr w:type="spellStart"/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>orbiculare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; green: </w:t>
      </w:r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S. </w:t>
      </w:r>
      <w:proofErr w:type="spellStart"/>
      <w:r w:rsidR="00CF48A7">
        <w:rPr>
          <w:rFonts w:ascii="Times New Roman" w:hAnsi="Times New Roman" w:cs="Times New Roman"/>
          <w:i/>
          <w:iCs/>
          <w:sz w:val="24"/>
          <w:szCs w:val="24"/>
          <w:lang w:val="en-US"/>
        </w:rPr>
        <w:t>ornata</w:t>
      </w:r>
      <w:proofErr w:type="spellEnd"/>
      <w:r w:rsidR="00CF48A7">
        <w:rPr>
          <w:rFonts w:ascii="Times New Roman" w:hAnsi="Times New Roman" w:cs="Times New Roman"/>
          <w:sz w:val="24"/>
          <w:szCs w:val="24"/>
          <w:lang w:val="en-US"/>
        </w:rPr>
        <w:t xml:space="preserve">, yellow: </w:t>
      </w:r>
      <w:r w:rsidR="00CF48A7" w:rsidRPr="00CF48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S. </w:t>
      </w:r>
      <w:proofErr w:type="spellStart"/>
      <w:r w:rsidR="00CF48A7" w:rsidRPr="00CF48A7">
        <w:rPr>
          <w:rFonts w:ascii="Times New Roman" w:hAnsi="Times New Roman" w:cs="Times New Roman"/>
          <w:i/>
          <w:sz w:val="24"/>
          <w:szCs w:val="24"/>
          <w:lang w:val="en-US"/>
        </w:rPr>
        <w:t>compressa</w:t>
      </w:r>
      <w:proofErr w:type="spellEnd"/>
      <w:r w:rsidR="00CF48A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CCF5569" w14:textId="5CDE96C5" w:rsidR="00DD400D" w:rsidRDefault="00E366D3" w:rsidP="001A00B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>Supplementary Figure 3.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Loadings of the first two discriminant functions (DF) calculated based on the reduced dataset of 8</w:t>
      </w:r>
      <w:r w:rsidR="007202E6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‘unambiguous’ specimens. Positive and negative coefficients are shown as black and white bars, respectively.</w:t>
      </w:r>
    </w:p>
    <w:p w14:paraId="6CA0F617" w14:textId="4EDFFABE" w:rsidR="001A00BF" w:rsidRDefault="001A00BF" w:rsidP="001A00B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Figure </w:t>
      </w:r>
      <w:r w:rsidR="00E366D3" w:rsidRPr="00643451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 Linear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iscriminant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nalysis (LDA) of ‘unambiguous’ specimens </w:t>
      </w:r>
      <w:r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 each sample</w:t>
      </w:r>
      <w:r>
        <w:rPr>
          <w:rFonts w:ascii="Times New Roman" w:hAnsi="Times New Roman" w:cs="Times New Roman"/>
          <w:sz w:val="24"/>
          <w:szCs w:val="24"/>
          <w:lang w:val="en-US"/>
        </w:rPr>
        <w:t>, grouped per species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. A, LDA of sample 184002 (n = </w:t>
      </w:r>
      <w:r w:rsidR="00CF792D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6). B, LDA of sample 184003 (n = </w:t>
      </w:r>
      <w:r w:rsidR="00CF792D">
        <w:rPr>
          <w:rFonts w:ascii="Times New Roman" w:hAnsi="Times New Roman" w:cs="Times New Roman"/>
          <w:sz w:val="24"/>
          <w:szCs w:val="24"/>
          <w:lang w:val="en-US"/>
        </w:rPr>
        <w:t>86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). C, LDA of sample 184004 (n = </w:t>
      </w:r>
      <w:r w:rsidR="00CF792D">
        <w:rPr>
          <w:rFonts w:ascii="Times New Roman" w:hAnsi="Times New Roman" w:cs="Times New Roman"/>
          <w:sz w:val="24"/>
          <w:szCs w:val="24"/>
          <w:lang w:val="en-US"/>
        </w:rPr>
        <w:t>69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). ‘Ambiguous’ specimens (empty symbols, light-colored convex hulls) were plotted </w:t>
      </w:r>
      <w:r w:rsidRPr="004911B9">
        <w:rPr>
          <w:rFonts w:ascii="Times New Roman" w:hAnsi="Times New Roman" w:cs="Times New Roman"/>
          <w:sz w:val="24"/>
          <w:szCs w:val="24"/>
          <w:lang w:val="en-US"/>
        </w:rPr>
        <w:t>a posteriori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 and color-coded according to their tentative species attribution. </w:t>
      </w:r>
      <w:r>
        <w:rPr>
          <w:rFonts w:ascii="Times New Roman" w:hAnsi="Times New Roman" w:cs="Times New Roman"/>
          <w:sz w:val="24"/>
          <w:szCs w:val="24"/>
          <w:lang w:val="en-US"/>
        </w:rPr>
        <w:t>The proportion of between-group variance explained by each discriminant function (DF) is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 shown along their corresponding </w:t>
      </w:r>
      <w:r>
        <w:rPr>
          <w:rFonts w:ascii="Times New Roman" w:hAnsi="Times New Roman" w:cs="Times New Roman"/>
          <w:sz w:val="24"/>
          <w:szCs w:val="24"/>
          <w:lang w:val="en-US"/>
        </w:rPr>
        <w:t>axes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F48A7">
        <w:rPr>
          <w:rFonts w:ascii="Times New Roman" w:hAnsi="Times New Roman" w:cs="Times New Roman"/>
          <w:sz w:val="24"/>
          <w:szCs w:val="24"/>
          <w:lang w:val="en-US"/>
        </w:rPr>
        <w:t>Biplots</w:t>
      </w:r>
      <w:proofErr w:type="spellEnd"/>
      <w:r w:rsidR="00CF48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CF48A7">
        <w:rPr>
          <w:rFonts w:ascii="Times New Roman" w:hAnsi="Times New Roman" w:cs="Times New Roman"/>
          <w:sz w:val="24"/>
          <w:szCs w:val="24"/>
          <w:lang w:val="en-US"/>
        </w:rPr>
        <w:t>are shown</w:t>
      </w:r>
      <w:proofErr w:type="gramEnd"/>
      <w:r w:rsidR="00CF48A7">
        <w:rPr>
          <w:rFonts w:ascii="Times New Roman" w:hAnsi="Times New Roman" w:cs="Times New Roman"/>
          <w:sz w:val="24"/>
          <w:szCs w:val="24"/>
          <w:lang w:val="en-US"/>
        </w:rPr>
        <w:t xml:space="preserve"> as insets. </w:t>
      </w:r>
    </w:p>
    <w:p w14:paraId="760DC4CB" w14:textId="1CFEE0BC" w:rsidR="001A00BF" w:rsidRPr="0034741C" w:rsidRDefault="001A00BF" w:rsidP="001A00B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Figure </w:t>
      </w:r>
      <w:r w:rsidR="00E366D3" w:rsidRPr="00643451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Hlk71540728"/>
      <w:r w:rsidRPr="00B251DE">
        <w:rPr>
          <w:rFonts w:ascii="Times New Roman" w:hAnsi="Times New Roman" w:cs="Times New Roman"/>
          <w:sz w:val="24"/>
          <w:szCs w:val="24"/>
          <w:lang w:val="en-US"/>
        </w:rPr>
        <w:t>Linear discriminant analysis (LDA)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B251DE">
        <w:rPr>
          <w:rFonts w:ascii="Times New Roman" w:hAnsi="Times New Roman" w:cs="Times New Roman"/>
          <w:sz w:val="24"/>
          <w:szCs w:val="24"/>
          <w:lang w:val="en-US"/>
        </w:rPr>
        <w:t xml:space="preserve">the complete </w:t>
      </w:r>
      <w:proofErr w:type="spellStart"/>
      <w:r w:rsidRPr="00B251DE">
        <w:rPr>
          <w:rFonts w:ascii="Times New Roman" w:hAnsi="Times New Roman" w:cs="Times New Roman"/>
          <w:i/>
          <w:iCs/>
          <w:sz w:val="24"/>
          <w:szCs w:val="24"/>
          <w:lang w:val="en-US"/>
        </w:rPr>
        <w:t>Skiagia</w:t>
      </w:r>
      <w:proofErr w:type="spellEnd"/>
      <w:r w:rsidRPr="00B251DE">
        <w:rPr>
          <w:rFonts w:ascii="Times New Roman" w:hAnsi="Times New Roman" w:cs="Times New Roman"/>
          <w:sz w:val="24"/>
          <w:szCs w:val="24"/>
          <w:lang w:val="en-US"/>
        </w:rPr>
        <w:t xml:space="preserve"> dataset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(N = </w:t>
      </w:r>
      <w:r w:rsidR="00E366D3">
        <w:rPr>
          <w:rFonts w:ascii="Times New Roman" w:hAnsi="Times New Roman" w:cs="Times New Roman"/>
          <w:sz w:val="24"/>
          <w:szCs w:val="24"/>
          <w:lang w:val="en-US"/>
        </w:rPr>
        <w:t>191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, grouped per sample. Empty and filled symbols represent ‘ambiguous’ and ‘unambiguous’ specimens, respectively, and are color-coded according to their (tentative) </w:t>
      </w: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species attribution. </w:t>
      </w:r>
      <w:r w:rsidRPr="0034741C">
        <w:rPr>
          <w:rFonts w:ascii="Times New Roman" w:hAnsi="Times New Roman" w:cs="Times New Roman"/>
          <w:sz w:val="24"/>
          <w:szCs w:val="24"/>
          <w:lang w:val="en-US"/>
        </w:rPr>
        <w:t xml:space="preserve">Blue: </w:t>
      </w:r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S. </w:t>
      </w:r>
      <w:proofErr w:type="spellStart"/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>scottica</w:t>
      </w:r>
      <w:proofErr w:type="spellEnd"/>
      <w:r w:rsidRPr="0034741C">
        <w:rPr>
          <w:rFonts w:ascii="Times New Roman" w:hAnsi="Times New Roman" w:cs="Times New Roman"/>
          <w:sz w:val="24"/>
          <w:szCs w:val="24"/>
          <w:lang w:val="en-US"/>
        </w:rPr>
        <w:t xml:space="preserve">; black: </w:t>
      </w:r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S. </w:t>
      </w:r>
      <w:proofErr w:type="spellStart"/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>ciliosa</w:t>
      </w:r>
      <w:proofErr w:type="spellEnd"/>
      <w:r w:rsidRPr="0034741C">
        <w:rPr>
          <w:rFonts w:ascii="Times New Roman" w:hAnsi="Times New Roman" w:cs="Times New Roman"/>
          <w:sz w:val="24"/>
          <w:szCs w:val="24"/>
          <w:lang w:val="en-US"/>
        </w:rPr>
        <w:t xml:space="preserve">; purple: </w:t>
      </w:r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S. </w:t>
      </w:r>
      <w:proofErr w:type="spellStart"/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>orbiculare</w:t>
      </w:r>
      <w:proofErr w:type="spellEnd"/>
      <w:r w:rsidRPr="0034741C">
        <w:rPr>
          <w:rFonts w:ascii="Times New Roman" w:hAnsi="Times New Roman" w:cs="Times New Roman"/>
          <w:sz w:val="24"/>
          <w:szCs w:val="24"/>
          <w:lang w:val="en-US"/>
        </w:rPr>
        <w:t xml:space="preserve">; green: </w:t>
      </w:r>
      <w:r w:rsidRPr="0034741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S. </w:t>
      </w:r>
      <w:proofErr w:type="spellStart"/>
      <w:r w:rsidR="00CF48A7">
        <w:rPr>
          <w:rFonts w:ascii="Times New Roman" w:hAnsi="Times New Roman" w:cs="Times New Roman"/>
          <w:i/>
          <w:iCs/>
          <w:sz w:val="24"/>
          <w:szCs w:val="24"/>
          <w:lang w:val="en-US"/>
        </w:rPr>
        <w:t>ornata</w:t>
      </w:r>
      <w:proofErr w:type="spellEnd"/>
      <w:r w:rsidR="00CF48A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yellow: </w:t>
      </w:r>
      <w:r w:rsidR="00CF48A7" w:rsidRPr="00CF48A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S. </w:t>
      </w:r>
      <w:proofErr w:type="spellStart"/>
      <w:r w:rsidR="00CF48A7" w:rsidRPr="00CF48A7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compressa</w:t>
      </w:r>
      <w:proofErr w:type="spellEnd"/>
      <w:r w:rsidRPr="0034741C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4741C">
        <w:rPr>
          <w:rFonts w:ascii="Times New Roman" w:hAnsi="Times New Roman" w:cs="Times New Roman"/>
          <w:sz w:val="24"/>
          <w:szCs w:val="24"/>
          <w:lang w:val="en-US"/>
        </w:rPr>
        <w:t>All specimens contributed to the calculation of discriminant functions</w:t>
      </w:r>
      <w:r w:rsidR="007920E0">
        <w:rPr>
          <w:rFonts w:ascii="Times New Roman" w:hAnsi="Times New Roman" w:cs="Times New Roman"/>
          <w:sz w:val="24"/>
          <w:szCs w:val="24"/>
          <w:lang w:val="en-US"/>
        </w:rPr>
        <w:t>, considering sample attribution as the categorical variable</w:t>
      </w:r>
      <w:r w:rsidRPr="0034741C">
        <w:rPr>
          <w:rFonts w:ascii="Times New Roman" w:hAnsi="Times New Roman" w:cs="Times New Roman"/>
          <w:sz w:val="24"/>
          <w:szCs w:val="24"/>
          <w:lang w:val="en-US"/>
        </w:rPr>
        <w:t>. The proportion of between-group variance explained by each discriminant function (DF) is shown along their corresponding axes.</w:t>
      </w:r>
    </w:p>
    <w:p w14:paraId="09438414" w14:textId="0477156B" w:rsidR="001A00BF" w:rsidRDefault="001A00BF" w:rsidP="001A00B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Figure </w:t>
      </w:r>
      <w:r w:rsidR="007920E0" w:rsidRPr="00643451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51DE">
        <w:rPr>
          <w:rFonts w:ascii="Times New Roman" w:hAnsi="Times New Roman" w:cs="Times New Roman"/>
          <w:sz w:val="24"/>
          <w:szCs w:val="24"/>
          <w:lang w:val="en-US"/>
        </w:rPr>
        <w:t>Linear discriminant analysis (LDA)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B251DE">
        <w:rPr>
          <w:rFonts w:ascii="Times New Roman" w:hAnsi="Times New Roman" w:cs="Times New Roman"/>
          <w:sz w:val="24"/>
          <w:szCs w:val="24"/>
          <w:lang w:val="en-US"/>
        </w:rPr>
        <w:t xml:space="preserve">the complete </w:t>
      </w:r>
      <w:proofErr w:type="spellStart"/>
      <w:r w:rsidRPr="00B251DE">
        <w:rPr>
          <w:rFonts w:ascii="Times New Roman" w:hAnsi="Times New Roman" w:cs="Times New Roman"/>
          <w:i/>
          <w:iCs/>
          <w:sz w:val="24"/>
          <w:szCs w:val="24"/>
          <w:lang w:val="en-US"/>
        </w:rPr>
        <w:t>Skiagia</w:t>
      </w:r>
      <w:proofErr w:type="spellEnd"/>
      <w:r w:rsidRPr="00B251DE">
        <w:rPr>
          <w:rFonts w:ascii="Times New Roman" w:hAnsi="Times New Roman" w:cs="Times New Roman"/>
          <w:sz w:val="24"/>
          <w:szCs w:val="24"/>
          <w:lang w:val="en-US"/>
        </w:rPr>
        <w:t xml:space="preserve"> dataset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(N = </w:t>
      </w:r>
      <w:r w:rsidR="00E366D3">
        <w:rPr>
          <w:rFonts w:ascii="Times New Roman" w:hAnsi="Times New Roman" w:cs="Times New Roman"/>
          <w:sz w:val="24"/>
          <w:szCs w:val="24"/>
          <w:lang w:val="en-US"/>
        </w:rPr>
        <w:t>191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grouped per species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Both ‘unambiguous’ and 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>‘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068D6">
        <w:rPr>
          <w:rFonts w:ascii="Times New Roman" w:hAnsi="Times New Roman" w:cs="Times New Roman"/>
          <w:sz w:val="24"/>
          <w:szCs w:val="24"/>
          <w:lang w:val="en-US"/>
        </w:rPr>
        <w:t xml:space="preserve">mbiguous’ specimens </w:t>
      </w:r>
      <w:r>
        <w:rPr>
          <w:rFonts w:ascii="Times New Roman" w:hAnsi="Times New Roman" w:cs="Times New Roman"/>
          <w:sz w:val="24"/>
          <w:szCs w:val="24"/>
          <w:lang w:val="en-US"/>
        </w:rPr>
        <w:t>(filled and empty symbols, respectively) were used to calculate discriminant functions (DF)</w:t>
      </w:r>
      <w:r w:rsidR="007920E0">
        <w:rPr>
          <w:rFonts w:ascii="Times New Roman" w:hAnsi="Times New Roman" w:cs="Times New Roman"/>
          <w:sz w:val="24"/>
          <w:szCs w:val="24"/>
          <w:lang w:val="en-US"/>
        </w:rPr>
        <w:t xml:space="preserve">, and </w:t>
      </w:r>
      <w:r w:rsidR="007920E0" w:rsidRPr="007920E0">
        <w:rPr>
          <w:rFonts w:ascii="Times New Roman" w:hAnsi="Times New Roman" w:cs="Times New Roman"/>
          <w:sz w:val="24"/>
          <w:szCs w:val="24"/>
          <w:lang w:val="en-US"/>
        </w:rPr>
        <w:t>were color-coded according to their (tentative) species attribution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B205D0">
        <w:rPr>
          <w:rFonts w:ascii="Times New Roman" w:hAnsi="Times New Roman" w:cs="Times New Roman"/>
          <w:sz w:val="24"/>
          <w:szCs w:val="24"/>
          <w:lang w:val="en-US"/>
        </w:rPr>
        <w:t>The proportion of between-group variance explained by each discriminant function (DF) is shown along their corresponding axes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4C09BA" w14:textId="62743846" w:rsidR="00A65662" w:rsidRDefault="001A00BF" w:rsidP="001A00B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Figure </w:t>
      </w:r>
      <w:r w:rsidR="00E366D3" w:rsidRPr="00643451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Relative abundance of the main </w:t>
      </w:r>
      <w:proofErr w:type="spellStart"/>
      <w:r w:rsidRPr="00300C39">
        <w:rPr>
          <w:rFonts w:ascii="Times New Roman" w:hAnsi="Times New Roman" w:cs="Times New Roman"/>
          <w:i/>
          <w:iCs/>
          <w:sz w:val="24"/>
          <w:szCs w:val="24"/>
          <w:lang w:val="en-US"/>
        </w:rPr>
        <w:t>Skiagia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species in all three samples. Row data is available in Supplementary Table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9FBFC1" w14:textId="64F6817D" w:rsidR="00AA3FE8" w:rsidRDefault="00AA3FE8" w:rsidP="001A00B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451">
        <w:rPr>
          <w:rFonts w:ascii="Times New Roman" w:hAnsi="Times New Roman" w:cs="Times New Roman"/>
          <w:b/>
          <w:sz w:val="24"/>
          <w:szCs w:val="24"/>
        </w:rPr>
        <w:t>Supplementary Table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3FE8">
        <w:rPr>
          <w:rFonts w:ascii="Times New Roman" w:hAnsi="Times New Roman" w:cs="Times New Roman"/>
          <w:sz w:val="24"/>
          <w:szCs w:val="24"/>
        </w:rPr>
        <w:t xml:space="preserve">Correlation coefficients and </w:t>
      </w:r>
      <w:r w:rsidRPr="00AA3FE8">
        <w:rPr>
          <w:rFonts w:ascii="Times New Roman" w:hAnsi="Times New Roman" w:cs="Times New Roman"/>
          <w:i/>
          <w:sz w:val="24"/>
          <w:szCs w:val="24"/>
        </w:rPr>
        <w:t>p</w:t>
      </w:r>
      <w:r w:rsidRPr="00AA3FE8">
        <w:rPr>
          <w:rFonts w:ascii="Times New Roman" w:hAnsi="Times New Roman" w:cs="Times New Roman"/>
          <w:sz w:val="24"/>
          <w:szCs w:val="24"/>
        </w:rPr>
        <w:t>-values for each pair of variables used for PCA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A3FE8">
        <w:rPr>
          <w:rFonts w:ascii="Times New Roman" w:hAnsi="Times New Roman" w:cs="Times New Roman"/>
          <w:sz w:val="24"/>
          <w:szCs w:val="24"/>
        </w:rPr>
        <w:t xml:space="preserve"> and LDA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A3FE8">
        <w:rPr>
          <w:rFonts w:ascii="Times New Roman" w:hAnsi="Times New Roman" w:cs="Times New Roman"/>
          <w:sz w:val="24"/>
          <w:szCs w:val="24"/>
        </w:rPr>
        <w:t xml:space="preserve">. </w:t>
      </w:r>
      <w:r w:rsidRPr="00AA3FE8">
        <w:rPr>
          <w:rFonts w:ascii="Times New Roman" w:hAnsi="Times New Roman" w:cs="Times New Roman"/>
          <w:i/>
          <w:sz w:val="24"/>
          <w:szCs w:val="24"/>
        </w:rPr>
        <w:t>P</w:t>
      </w:r>
      <w:r w:rsidRPr="00AA3FE8">
        <w:rPr>
          <w:rFonts w:ascii="Times New Roman" w:hAnsi="Times New Roman" w:cs="Times New Roman"/>
          <w:sz w:val="24"/>
          <w:szCs w:val="24"/>
        </w:rPr>
        <w:t xml:space="preserve">-values </w:t>
      </w:r>
      <w:proofErr w:type="gramStart"/>
      <w:r w:rsidRPr="00AA3FE8">
        <w:rPr>
          <w:rFonts w:ascii="Times New Roman" w:hAnsi="Times New Roman" w:cs="Times New Roman"/>
          <w:sz w:val="24"/>
          <w:szCs w:val="24"/>
        </w:rPr>
        <w:t>are shown</w:t>
      </w:r>
      <w:proofErr w:type="gramEnd"/>
      <w:r w:rsidRPr="00AA3FE8">
        <w:rPr>
          <w:rFonts w:ascii="Times New Roman" w:hAnsi="Times New Roman" w:cs="Times New Roman"/>
          <w:sz w:val="24"/>
          <w:szCs w:val="24"/>
        </w:rPr>
        <w:t xml:space="preserve"> in the upper right triangle of the matrix. Significant values (</w:t>
      </w:r>
      <w:r w:rsidRPr="009A1F96">
        <w:rPr>
          <w:rFonts w:ascii="Times New Roman" w:hAnsi="Times New Roman" w:cs="Times New Roman"/>
          <w:i/>
          <w:sz w:val="24"/>
          <w:szCs w:val="24"/>
        </w:rPr>
        <w:t>p</w:t>
      </w:r>
      <w:r w:rsidRPr="00AA3FE8">
        <w:rPr>
          <w:rFonts w:ascii="Times New Roman" w:hAnsi="Times New Roman" w:cs="Times New Roman"/>
          <w:sz w:val="24"/>
          <w:szCs w:val="24"/>
        </w:rPr>
        <w:t xml:space="preserve"> &lt; 0.05) </w:t>
      </w:r>
      <w:proofErr w:type="gramStart"/>
      <w:r w:rsidRPr="00AA3FE8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AA3FE8">
        <w:rPr>
          <w:rFonts w:ascii="Times New Roman" w:hAnsi="Times New Roman" w:cs="Times New Roman"/>
          <w:sz w:val="24"/>
          <w:szCs w:val="24"/>
        </w:rPr>
        <w:t xml:space="preserve"> Spearman's </w:t>
      </w:r>
      <w:proofErr w:type="spellStart"/>
      <w:r w:rsidRPr="00AA3FE8">
        <w:rPr>
          <w:rFonts w:ascii="Times New Roman" w:hAnsi="Times New Roman" w:cs="Times New Roman"/>
          <w:i/>
          <w:sz w:val="24"/>
          <w:szCs w:val="24"/>
        </w:rPr>
        <w:t>rs</w:t>
      </w:r>
      <w:proofErr w:type="spellEnd"/>
      <w:r w:rsidRPr="00AA3FE8">
        <w:rPr>
          <w:rFonts w:ascii="Times New Roman" w:hAnsi="Times New Roman" w:cs="Times New Roman"/>
          <w:sz w:val="24"/>
          <w:szCs w:val="24"/>
        </w:rPr>
        <w:t xml:space="preserve"> coefficients </w:t>
      </w:r>
      <w:proofErr w:type="gramStart"/>
      <w:r w:rsidRPr="00AA3FE8">
        <w:rPr>
          <w:rFonts w:ascii="Times New Roman" w:hAnsi="Times New Roman" w:cs="Times New Roman"/>
          <w:sz w:val="24"/>
          <w:szCs w:val="24"/>
        </w:rPr>
        <w:t>are shown</w:t>
      </w:r>
      <w:proofErr w:type="gramEnd"/>
      <w:r w:rsidRPr="00AA3FE8">
        <w:rPr>
          <w:rFonts w:ascii="Times New Roman" w:hAnsi="Times New Roman" w:cs="Times New Roman"/>
          <w:sz w:val="24"/>
          <w:szCs w:val="24"/>
        </w:rPr>
        <w:t xml:space="preserve"> in the lower left triangle of the matrix. Grey cells are figures referred to in the main text.</w:t>
      </w:r>
    </w:p>
    <w:p w14:paraId="5FD28CFF" w14:textId="028C0E82" w:rsidR="009A1F96" w:rsidRDefault="009A1F96" w:rsidP="001A00B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3451">
        <w:rPr>
          <w:rFonts w:ascii="Times New Roman" w:hAnsi="Times New Roman" w:cs="Times New Roman"/>
          <w:b/>
          <w:sz w:val="24"/>
          <w:szCs w:val="24"/>
          <w:lang w:val="en-US"/>
        </w:rPr>
        <w:t>Supplementary Table 2.</w:t>
      </w:r>
      <w:r w:rsidRPr="009A1F96">
        <w:rPr>
          <w:rFonts w:ascii="Times New Roman" w:hAnsi="Times New Roman" w:cs="Times New Roman"/>
          <w:sz w:val="24"/>
          <w:szCs w:val="24"/>
          <w:lang w:val="en-US"/>
        </w:rPr>
        <w:t xml:space="preserve"> Counts of life cycle-related features among </w:t>
      </w:r>
      <w:proofErr w:type="spellStart"/>
      <w:r w:rsidRPr="009A1F96">
        <w:rPr>
          <w:rFonts w:ascii="Times New Roman" w:hAnsi="Times New Roman" w:cs="Times New Roman"/>
          <w:i/>
          <w:sz w:val="24"/>
          <w:szCs w:val="24"/>
          <w:lang w:val="en-US"/>
        </w:rPr>
        <w:t>Skiagia</w:t>
      </w:r>
      <w:proofErr w:type="spellEnd"/>
      <w:r w:rsidRPr="009A1F96">
        <w:rPr>
          <w:rFonts w:ascii="Times New Roman" w:hAnsi="Times New Roman" w:cs="Times New Roman"/>
          <w:sz w:val="24"/>
          <w:szCs w:val="24"/>
          <w:lang w:val="en-US"/>
        </w:rPr>
        <w:t xml:space="preserve"> species and samples. ‘</w:t>
      </w:r>
      <w:proofErr w:type="gramStart"/>
      <w:r w:rsidR="00A95A8C">
        <w:rPr>
          <w:rFonts w:ascii="Times New Roman" w:hAnsi="Times New Roman" w:cs="Times New Roman"/>
          <w:sz w:val="24"/>
          <w:szCs w:val="24"/>
          <w:lang w:val="en-US"/>
        </w:rPr>
        <w:t>inner</w:t>
      </w:r>
      <w:proofErr w:type="gramEnd"/>
      <w:r w:rsidR="00A95A8C">
        <w:rPr>
          <w:rFonts w:ascii="Times New Roman" w:hAnsi="Times New Roman" w:cs="Times New Roman"/>
          <w:sz w:val="24"/>
          <w:szCs w:val="24"/>
          <w:lang w:val="en-US"/>
        </w:rPr>
        <w:t xml:space="preserve"> bodies</w:t>
      </w:r>
      <w:r w:rsidRPr="009A1F96">
        <w:rPr>
          <w:rFonts w:ascii="Times New Roman" w:hAnsi="Times New Roman" w:cs="Times New Roman"/>
          <w:sz w:val="24"/>
          <w:szCs w:val="24"/>
          <w:lang w:val="en-US"/>
        </w:rPr>
        <w:t xml:space="preserve">’ refer </w:t>
      </w:r>
      <w:r w:rsidR="00A95A8C">
        <w:rPr>
          <w:rFonts w:ascii="Times New Roman" w:hAnsi="Times New Roman" w:cs="Times New Roman"/>
          <w:sz w:val="24"/>
          <w:szCs w:val="24"/>
          <w:lang w:val="en-US"/>
        </w:rPr>
        <w:t xml:space="preserve">to dark translucent to opaque, clearly delimited </w:t>
      </w:r>
      <w:proofErr w:type="spellStart"/>
      <w:r w:rsidR="00A95A8C">
        <w:rPr>
          <w:rFonts w:ascii="Times New Roman" w:hAnsi="Times New Roman" w:cs="Times New Roman"/>
          <w:sz w:val="24"/>
          <w:szCs w:val="24"/>
          <w:lang w:val="en-US"/>
        </w:rPr>
        <w:t>subcircular</w:t>
      </w:r>
      <w:proofErr w:type="spellEnd"/>
      <w:r w:rsidR="00A95A8C">
        <w:rPr>
          <w:rFonts w:ascii="Times New Roman" w:hAnsi="Times New Roman" w:cs="Times New Roman"/>
          <w:sz w:val="24"/>
          <w:szCs w:val="24"/>
          <w:lang w:val="en-US"/>
        </w:rPr>
        <w:t xml:space="preserve"> areas within the vesicle cavity</w:t>
      </w:r>
      <w:r w:rsidRPr="009A1F9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A95A8C">
        <w:rPr>
          <w:rFonts w:ascii="Times New Roman" w:hAnsi="Times New Roman" w:cs="Times New Roman"/>
          <w:sz w:val="24"/>
          <w:szCs w:val="24"/>
          <w:lang w:val="en-US"/>
        </w:rPr>
        <w:t>‘</w:t>
      </w:r>
      <w:proofErr w:type="gramStart"/>
      <w:r w:rsidR="00A95A8C">
        <w:rPr>
          <w:rFonts w:ascii="Times New Roman" w:hAnsi="Times New Roman" w:cs="Times New Roman"/>
          <w:sz w:val="24"/>
          <w:szCs w:val="24"/>
          <w:lang w:val="en-US"/>
        </w:rPr>
        <w:t>op</w:t>
      </w:r>
      <w:bookmarkStart w:id="1" w:name="_GoBack"/>
      <w:bookmarkEnd w:id="1"/>
      <w:r w:rsidR="00A95A8C">
        <w:rPr>
          <w:rFonts w:ascii="Times New Roman" w:hAnsi="Times New Roman" w:cs="Times New Roman"/>
          <w:sz w:val="24"/>
          <w:szCs w:val="24"/>
          <w:lang w:val="en-US"/>
        </w:rPr>
        <w:t>ened</w:t>
      </w:r>
      <w:proofErr w:type="gramEnd"/>
      <w:r w:rsidR="00A95A8C">
        <w:rPr>
          <w:rFonts w:ascii="Times New Roman" w:hAnsi="Times New Roman" w:cs="Times New Roman"/>
          <w:sz w:val="24"/>
          <w:szCs w:val="24"/>
          <w:lang w:val="en-US"/>
        </w:rPr>
        <w:t xml:space="preserve">’ vesicles are vesicles showing a median split. </w:t>
      </w:r>
      <w:r w:rsidRPr="009A1F96">
        <w:rPr>
          <w:rFonts w:ascii="Times New Roman" w:hAnsi="Times New Roman" w:cs="Times New Roman"/>
          <w:sz w:val="24"/>
          <w:szCs w:val="24"/>
          <w:lang w:val="en-US"/>
        </w:rPr>
        <w:t>'Closed empty' vesicles are immature vesicles lacking an inner body.</w:t>
      </w:r>
      <w:r w:rsidR="00A95A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287176E" w14:textId="70B42767" w:rsidR="00643451" w:rsidRPr="0062666F" w:rsidRDefault="00643451" w:rsidP="001A00B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43451" w:rsidRPr="0062666F" w:rsidSect="00A46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0BF"/>
    <w:rsid w:val="00084CBB"/>
    <w:rsid w:val="001A00BF"/>
    <w:rsid w:val="004911B9"/>
    <w:rsid w:val="005902FE"/>
    <w:rsid w:val="005C223C"/>
    <w:rsid w:val="0062666F"/>
    <w:rsid w:val="00643451"/>
    <w:rsid w:val="006A7532"/>
    <w:rsid w:val="006F693D"/>
    <w:rsid w:val="007202E6"/>
    <w:rsid w:val="007249D1"/>
    <w:rsid w:val="007920E0"/>
    <w:rsid w:val="007B4395"/>
    <w:rsid w:val="009A1F96"/>
    <w:rsid w:val="00A463CF"/>
    <w:rsid w:val="00A65662"/>
    <w:rsid w:val="00A95A8C"/>
    <w:rsid w:val="00AA3FE8"/>
    <w:rsid w:val="00B838FE"/>
    <w:rsid w:val="00CF48A7"/>
    <w:rsid w:val="00CF792D"/>
    <w:rsid w:val="00DD400D"/>
    <w:rsid w:val="00E366D3"/>
    <w:rsid w:val="00E6580E"/>
    <w:rsid w:val="00FC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CA29E2"/>
  <w15:chartTrackingRefBased/>
  <w15:docId w15:val="{C07EC197-3AB1-4A79-B251-134BF66C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D40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40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40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4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00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753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4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8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Wallet</dc:creator>
  <cp:keywords/>
  <dc:description/>
  <cp:lastModifiedBy>Elise Wallet</cp:lastModifiedBy>
  <cp:revision>9</cp:revision>
  <dcterms:created xsi:type="dcterms:W3CDTF">2022-04-04T08:42:00Z</dcterms:created>
  <dcterms:modified xsi:type="dcterms:W3CDTF">2022-04-04T15:18:00Z</dcterms:modified>
</cp:coreProperties>
</file>