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78A5E" w14:textId="77777777" w:rsidR="00632437" w:rsidRPr="00B43EEE" w:rsidRDefault="00632437" w:rsidP="00335EA7">
      <w:pPr>
        <w:pStyle w:val="Title"/>
      </w:pPr>
      <w:r w:rsidRPr="00B43EEE">
        <w:t>Some Useful Resources</w:t>
      </w:r>
    </w:p>
    <w:p w14:paraId="6F66CDDE" w14:textId="0F904A74" w:rsidR="0000465A" w:rsidRDefault="0000465A" w:rsidP="002F5E01">
      <w:pPr>
        <w:pStyle w:val="Authors"/>
      </w:pPr>
      <w:r>
        <w:t>Michael McGann* and</w:t>
      </w:r>
      <w:r w:rsidRPr="0000465A">
        <w:t xml:space="preserve"> </w:t>
      </w:r>
      <w:r>
        <w:t>Mary P. Murphy**</w:t>
      </w:r>
    </w:p>
    <w:p w14:paraId="55F49DDB" w14:textId="77777777" w:rsidR="0000465A" w:rsidRDefault="0000465A" w:rsidP="002F5E01">
      <w:pPr>
        <w:pStyle w:val="Affiliations"/>
      </w:pPr>
      <w:r>
        <w:t>*Maynooth University, Maynooth, Ireland</w:t>
      </w:r>
    </w:p>
    <w:p w14:paraId="4BC340EB" w14:textId="3D9A81DF" w:rsidR="0000465A" w:rsidRDefault="0000465A" w:rsidP="002F5E01">
      <w:pPr>
        <w:pStyle w:val="Affiliations"/>
      </w:pPr>
      <w:r>
        <w:t>Email:</w:t>
      </w:r>
      <w:r w:rsidRPr="00D45FDA">
        <w:t xml:space="preserve"> </w:t>
      </w:r>
      <w:hyperlink r:id="rId11" w:history="1">
        <w:r w:rsidRPr="003C33F2">
          <w:rPr>
            <w:rStyle w:val="Hyperlink"/>
          </w:rPr>
          <w:t>michael.mcgann@mu.ie</w:t>
        </w:r>
      </w:hyperlink>
      <w:r>
        <w:t xml:space="preserve"> </w:t>
      </w:r>
    </w:p>
    <w:p w14:paraId="7B5AEFB9" w14:textId="77777777" w:rsidR="0000465A" w:rsidRDefault="0000465A" w:rsidP="002F5E01">
      <w:pPr>
        <w:pStyle w:val="Affiliations"/>
      </w:pPr>
      <w:r>
        <w:t>**Maynooth University, Maynooth, Ireland</w:t>
      </w:r>
    </w:p>
    <w:p w14:paraId="4D6EC5AF" w14:textId="7362A398" w:rsidR="0000465A" w:rsidRDefault="0000465A" w:rsidP="002F5E01">
      <w:pPr>
        <w:pStyle w:val="Affiliations"/>
      </w:pPr>
      <w:r>
        <w:t xml:space="preserve">Email: </w:t>
      </w:r>
      <w:hyperlink r:id="rId12" w:history="1">
        <w:r w:rsidRPr="003C33F2">
          <w:rPr>
            <w:rStyle w:val="Hyperlink"/>
          </w:rPr>
          <w:t>mary.p.murphy@mu.ie</w:t>
        </w:r>
      </w:hyperlink>
    </w:p>
    <w:p w14:paraId="533CABAC" w14:textId="3E59E494" w:rsidR="0000465A" w:rsidRDefault="0000465A" w:rsidP="002F5E01"/>
    <w:p w14:paraId="148840BF" w14:textId="39425F3B" w:rsidR="00335EA7" w:rsidRPr="00F35120" w:rsidRDefault="00335EA7" w:rsidP="00335EA7">
      <w:pPr>
        <w:pBdr>
          <w:top w:val="single" w:sz="4" w:space="1" w:color="auto"/>
          <w:left w:val="single" w:sz="4" w:space="4" w:color="auto"/>
          <w:bottom w:val="single" w:sz="4" w:space="1" w:color="auto"/>
          <w:right w:val="single" w:sz="4" w:space="4" w:color="auto"/>
        </w:pBdr>
        <w:spacing w:line="360" w:lineRule="auto"/>
        <w:rPr>
          <w:color w:val="000000" w:themeColor="text1"/>
          <w:szCs w:val="22"/>
        </w:rPr>
      </w:pPr>
      <w:r w:rsidRPr="006D0BF2">
        <w:rPr>
          <w:rStyle w:val="Emphasis"/>
          <w:color w:val="000000" w:themeColor="text1"/>
          <w:szCs w:val="22"/>
          <w:bdr w:val="none" w:sz="0" w:space="0" w:color="auto" w:frame="1"/>
          <w:shd w:val="clear" w:color="auto" w:fill="FFFFFF"/>
        </w:rPr>
        <w:t xml:space="preserve">This is the author accepted manuscript of an article that has been published in a revised form in </w:t>
      </w:r>
      <w:r w:rsidRPr="00752091">
        <w:rPr>
          <w:rStyle w:val="Emphasis"/>
          <w:color w:val="000000" w:themeColor="text1"/>
          <w:szCs w:val="22"/>
          <w:bdr w:val="none" w:sz="0" w:space="0" w:color="auto" w:frame="1"/>
          <w:shd w:val="clear" w:color="auto" w:fill="FFFFFF"/>
        </w:rPr>
        <w:t>Social Policy and Society</w:t>
      </w:r>
      <w:r w:rsidRPr="006D0BF2">
        <w:rPr>
          <w:rStyle w:val="Emphasis"/>
          <w:color w:val="000000" w:themeColor="text1"/>
          <w:szCs w:val="22"/>
          <w:bdr w:val="none" w:sz="0" w:space="0" w:color="auto" w:frame="1"/>
          <w:shd w:val="clear" w:color="auto" w:fill="FFFFFF"/>
        </w:rPr>
        <w:t xml:space="preserve"> </w:t>
      </w:r>
      <w:r>
        <w:rPr>
          <w:rStyle w:val="Emphasis"/>
          <w:i w:val="0"/>
          <w:iCs w:val="0"/>
          <w:color w:val="000000" w:themeColor="text1"/>
          <w:szCs w:val="22"/>
          <w:bdr w:val="none" w:sz="0" w:space="0" w:color="auto" w:frame="1"/>
          <w:shd w:val="clear" w:color="auto" w:fill="FFFFFF"/>
        </w:rPr>
        <w:t>[</w:t>
      </w:r>
      <w:r w:rsidRPr="00335EA7">
        <w:rPr>
          <w:rStyle w:val="Emphasis"/>
          <w:i w:val="0"/>
          <w:iCs w:val="0"/>
          <w:color w:val="000000" w:themeColor="text1"/>
          <w:szCs w:val="22"/>
          <w:bdr w:val="none" w:sz="0" w:space="0" w:color="auto" w:frame="1"/>
          <w:shd w:val="clear" w:color="auto" w:fill="FFFFFF"/>
        </w:rPr>
        <w:t>https://doi.org/10.1017/S1474746421000865</w:t>
      </w:r>
      <w:r>
        <w:rPr>
          <w:rStyle w:val="Emphasis"/>
          <w:i w:val="0"/>
          <w:iCs w:val="0"/>
          <w:color w:val="000000" w:themeColor="text1"/>
          <w:szCs w:val="22"/>
          <w:bdr w:val="none" w:sz="0" w:space="0" w:color="auto" w:frame="1"/>
          <w:shd w:val="clear" w:color="auto" w:fill="FFFFFF"/>
        </w:rPr>
        <w:t xml:space="preserve">]. </w:t>
      </w:r>
      <w:r w:rsidRPr="006D0BF2">
        <w:rPr>
          <w:rStyle w:val="Emphasis"/>
          <w:color w:val="000000" w:themeColor="text1"/>
          <w:szCs w:val="22"/>
          <w:bdr w:val="none" w:sz="0" w:space="0" w:color="auto" w:frame="1"/>
          <w:shd w:val="clear" w:color="auto" w:fill="FFFFFF"/>
        </w:rPr>
        <w:t>This version is published under a Creative Commons CC-BY-NC-ND</w:t>
      </w:r>
      <w:r>
        <w:rPr>
          <w:rStyle w:val="Emphasis"/>
          <w:color w:val="000000" w:themeColor="text1"/>
          <w:szCs w:val="22"/>
          <w:bdr w:val="none" w:sz="0" w:space="0" w:color="auto" w:frame="1"/>
          <w:shd w:val="clear" w:color="auto" w:fill="FFFFFF"/>
        </w:rPr>
        <w:t xml:space="preserve"> licence</w:t>
      </w:r>
      <w:r w:rsidRPr="006D0BF2">
        <w:rPr>
          <w:rStyle w:val="Emphasis"/>
          <w:color w:val="000000" w:themeColor="text1"/>
          <w:szCs w:val="22"/>
          <w:bdr w:val="none" w:sz="0" w:space="0" w:color="auto" w:frame="1"/>
          <w:shd w:val="clear" w:color="auto" w:fill="FFFFFF"/>
        </w:rPr>
        <w:t>. No commercial re-distribution or re-use allowed. Derivative works cannot be distributed. When citing, please cite the version of record:</w:t>
      </w:r>
      <w:r>
        <w:rPr>
          <w:rStyle w:val="Emphasis"/>
          <w:color w:val="000000" w:themeColor="text1"/>
          <w:szCs w:val="22"/>
          <w:bdr w:val="none" w:sz="0" w:space="0" w:color="auto" w:frame="1"/>
          <w:shd w:val="clear" w:color="auto" w:fill="FFFFFF"/>
        </w:rPr>
        <w:t xml:space="preserve"> </w:t>
      </w:r>
      <w:r w:rsidRPr="00335EA7">
        <w:rPr>
          <w:rStyle w:val="Emphasis"/>
          <w:i w:val="0"/>
          <w:iCs w:val="0"/>
          <w:color w:val="000000" w:themeColor="text1"/>
          <w:szCs w:val="22"/>
          <w:bdr w:val="none" w:sz="0" w:space="0" w:color="auto" w:frame="1"/>
          <w:shd w:val="clear" w:color="auto" w:fill="FFFFFF"/>
        </w:rPr>
        <w:t xml:space="preserve">McGann, M., &amp; Murphy, M. (2022). Some Useful Sources. </w:t>
      </w:r>
      <w:r w:rsidRPr="00335EA7">
        <w:rPr>
          <w:rStyle w:val="Emphasis"/>
          <w:color w:val="000000" w:themeColor="text1"/>
          <w:szCs w:val="22"/>
          <w:bdr w:val="none" w:sz="0" w:space="0" w:color="auto" w:frame="1"/>
          <w:shd w:val="clear" w:color="auto" w:fill="FFFFFF"/>
        </w:rPr>
        <w:t>Social Policy and Society</w:t>
      </w:r>
      <w:r w:rsidRPr="00335EA7">
        <w:rPr>
          <w:rStyle w:val="Emphasis"/>
          <w:i w:val="0"/>
          <w:iCs w:val="0"/>
          <w:color w:val="000000" w:themeColor="text1"/>
          <w:szCs w:val="22"/>
          <w:bdr w:val="none" w:sz="0" w:space="0" w:color="auto" w:frame="1"/>
          <w:shd w:val="clear" w:color="auto" w:fill="FFFFFF"/>
        </w:rPr>
        <w:t>, 1-4. doi:10.1017/S1474746421000865</w:t>
      </w:r>
      <w:r>
        <w:rPr>
          <w:rStyle w:val="Emphasis"/>
          <w:i w:val="0"/>
          <w:iCs w:val="0"/>
          <w:color w:val="000000" w:themeColor="text1"/>
          <w:szCs w:val="22"/>
          <w:bdr w:val="none" w:sz="0" w:space="0" w:color="auto" w:frame="1"/>
          <w:shd w:val="clear" w:color="auto" w:fill="FFFFFF"/>
        </w:rPr>
        <w:t>.</w:t>
      </w:r>
    </w:p>
    <w:p w14:paraId="4A28A080" w14:textId="77777777" w:rsidR="00335EA7" w:rsidRDefault="00335EA7" w:rsidP="00335EA7">
      <w:pPr>
        <w:spacing w:line="360" w:lineRule="auto"/>
        <w:rPr>
          <w:b/>
          <w:szCs w:val="22"/>
        </w:rPr>
      </w:pPr>
    </w:p>
    <w:p w14:paraId="13A2226C" w14:textId="77777777" w:rsidR="00335EA7" w:rsidRPr="00D66408" w:rsidRDefault="00335EA7" w:rsidP="00335EA7">
      <w:pPr>
        <w:spacing w:line="360" w:lineRule="auto"/>
        <w:rPr>
          <w:b/>
          <w:bCs/>
          <w:szCs w:val="22"/>
        </w:rPr>
      </w:pPr>
      <w:r w:rsidRPr="00D66408">
        <w:rPr>
          <w:b/>
          <w:bCs/>
          <w:szCs w:val="22"/>
        </w:rPr>
        <w:t>Acknowledgements</w:t>
      </w:r>
    </w:p>
    <w:p w14:paraId="4E0F4D7E" w14:textId="424C34CC" w:rsidR="00335EA7" w:rsidRDefault="00335EA7" w:rsidP="00335EA7">
      <w:pPr>
        <w:spacing w:line="360" w:lineRule="auto"/>
        <w:rPr>
          <w:szCs w:val="22"/>
        </w:rPr>
      </w:pPr>
      <w:r w:rsidRPr="00D66408">
        <w:rPr>
          <w:szCs w:val="22"/>
        </w:rPr>
        <w:t xml:space="preserve">This research has received funding from the European Union’s Horizon 2020 research and innovation programme under the Marie Sklodowska-Curie grant agreement no. 841477. </w:t>
      </w:r>
      <w:r w:rsidRPr="009F02D4">
        <w:rPr>
          <w:szCs w:val="22"/>
        </w:rPr>
        <w:t>It has also been supported by the</w:t>
      </w:r>
      <w:r>
        <w:rPr>
          <w:szCs w:val="22"/>
        </w:rPr>
        <w:t xml:space="preserve"> </w:t>
      </w:r>
      <w:r w:rsidRPr="009F02D4">
        <w:rPr>
          <w:szCs w:val="22"/>
        </w:rPr>
        <w:t>Irish Research Council under Grant IRC/COALESCE/2019/56/MURPHY. The views expressed are those of the authors alone.</w:t>
      </w:r>
      <w:r>
        <w:rPr>
          <w:szCs w:val="22"/>
        </w:rPr>
        <w:t xml:space="preserve"> </w:t>
      </w:r>
      <w:r w:rsidRPr="009F02D4">
        <w:rPr>
          <w:szCs w:val="22"/>
        </w:rPr>
        <w:t xml:space="preserve">Neither Maynooth University, the European Commission </w:t>
      </w:r>
      <w:r>
        <w:rPr>
          <w:szCs w:val="22"/>
        </w:rPr>
        <w:t>n</w:t>
      </w:r>
      <w:r w:rsidRPr="009F02D4">
        <w:rPr>
          <w:szCs w:val="22"/>
        </w:rPr>
        <w:t>or Irish</w:t>
      </w:r>
      <w:r>
        <w:rPr>
          <w:szCs w:val="22"/>
        </w:rPr>
        <w:t xml:space="preserve"> </w:t>
      </w:r>
      <w:r w:rsidRPr="009F02D4">
        <w:rPr>
          <w:szCs w:val="22"/>
        </w:rPr>
        <w:t>Research Council are responsible for any use that may be made of the</w:t>
      </w:r>
      <w:r>
        <w:rPr>
          <w:szCs w:val="22"/>
        </w:rPr>
        <w:t xml:space="preserve"> </w:t>
      </w:r>
      <w:r w:rsidRPr="009F02D4">
        <w:rPr>
          <w:szCs w:val="22"/>
        </w:rPr>
        <w:t>information in this article</w:t>
      </w:r>
      <w:r>
        <w:rPr>
          <w:szCs w:val="22"/>
        </w:rPr>
        <w:t xml:space="preserve">. </w:t>
      </w:r>
    </w:p>
    <w:p w14:paraId="00925233" w14:textId="77777777" w:rsidR="00335EA7" w:rsidRDefault="00335EA7" w:rsidP="00335EA7">
      <w:pPr>
        <w:spacing w:line="360" w:lineRule="auto"/>
        <w:rPr>
          <w:szCs w:val="22"/>
        </w:rPr>
      </w:pPr>
    </w:p>
    <w:p w14:paraId="19A2C5BA" w14:textId="77777777" w:rsidR="00335EA7" w:rsidRPr="0000465A" w:rsidRDefault="00335EA7" w:rsidP="002F5E01"/>
    <w:p w14:paraId="7073A176" w14:textId="79A87761" w:rsidR="004A6A2D" w:rsidRPr="00B43EEE" w:rsidRDefault="004A6A2D" w:rsidP="002F5E01">
      <w:r w:rsidRPr="00B43EEE">
        <w:t xml:space="preserve">Debates about sustainable welfare and eco-social policy cut across many fields, </w:t>
      </w:r>
      <w:r w:rsidR="00B43EEE" w:rsidRPr="00B43EEE">
        <w:t>from environmental studies</w:t>
      </w:r>
      <w:r w:rsidRPr="00B43EEE">
        <w:t xml:space="preserve"> to political economy, to normative political theory, to comparative welfare state research, to active labour market policy, to income support and social protection. The key debates engaged with in this thematic section concern the relationship between eco-social policy and normative theories of wellbeing (human needs theory, capabilities approach), and the implications of such understand</w:t>
      </w:r>
      <w:r w:rsidR="00505C9D">
        <w:t>ings</w:t>
      </w:r>
      <w:r w:rsidRPr="00B43EEE">
        <w:t xml:space="preserve"> of sustainable wellbeing for the provision of </w:t>
      </w:r>
      <w:r w:rsidR="00B43EEE" w:rsidRPr="00B43EEE">
        <w:t xml:space="preserve">benefits and services. Also at issue, particularly in the latter contributions, is the intersection between eco-social policy and post-productivist theories of ‘work’, and what this entails for </w:t>
      </w:r>
      <w:r w:rsidR="00B43EEE" w:rsidRPr="00B43EEE">
        <w:lastRenderedPageBreak/>
        <w:t xml:space="preserve">active labour market policy and the conditionality of income supports. This brings in a much larger debate about reconfiguring income supports, and the differences between universal basic income (UBI), a minimum income guarantee (Coote, </w:t>
      </w:r>
      <w:r w:rsidR="0000465A" w:rsidRPr="00B43EEE">
        <w:t xml:space="preserve">this </w:t>
      </w:r>
      <w:r w:rsidR="0000465A">
        <w:t>themed section</w:t>
      </w:r>
      <w:r w:rsidR="00B43EEE" w:rsidRPr="00B43EEE">
        <w:t>), or a participation income (Laruffa</w:t>
      </w:r>
      <w:r w:rsidR="0000465A">
        <w:t xml:space="preserve"> </w:t>
      </w:r>
      <w:r w:rsidR="0000465A" w:rsidRPr="00335EA7">
        <w:rPr>
          <w:i/>
          <w:iCs/>
        </w:rPr>
        <w:t>et al</w:t>
      </w:r>
      <w:r w:rsidR="0000465A">
        <w:t>.</w:t>
      </w:r>
      <w:r w:rsidR="00B43EEE" w:rsidRPr="00B43EEE">
        <w:t xml:space="preserve">, this </w:t>
      </w:r>
      <w:r w:rsidR="0000465A">
        <w:t>themed section</w:t>
      </w:r>
      <w:r w:rsidR="00B43EEE" w:rsidRPr="00B43EEE">
        <w:t xml:space="preserve">). The literature on UBI is vast, so only recent work articulating the relationship between UBI and the transition towards a more eco-socially sustainable welfare state has been included. </w:t>
      </w:r>
      <w:r w:rsidR="001C390E">
        <w:t>T</w:t>
      </w:r>
      <w:r w:rsidR="00B43EEE" w:rsidRPr="00B43EEE">
        <w:t>he literatures on human needs theory and the capabilities approach</w:t>
      </w:r>
      <w:r w:rsidR="001C390E">
        <w:t xml:space="preserve"> are similarly extensive</w:t>
      </w:r>
      <w:r w:rsidR="00B43EEE" w:rsidRPr="00B43EEE">
        <w:t>.</w:t>
      </w:r>
      <w:r w:rsidR="001C390E">
        <w:t xml:space="preserve"> Hence, o</w:t>
      </w:r>
      <w:r w:rsidR="00B43EEE" w:rsidRPr="00B43EEE">
        <w:t xml:space="preserve">nly foundational work in those fields has been included, along with subsequent contributions that have applied those theories to issues of eco-social concern. </w:t>
      </w:r>
    </w:p>
    <w:p w14:paraId="10A0F3B5" w14:textId="09B233DC" w:rsidR="00632437" w:rsidRPr="00B43EEE" w:rsidRDefault="00632437" w:rsidP="002F5E01"/>
    <w:p w14:paraId="6B29114F" w14:textId="316F3D7A" w:rsidR="00632437" w:rsidRPr="00B43EEE" w:rsidRDefault="00632437" w:rsidP="002F5E01">
      <w:r w:rsidRPr="00B43EEE">
        <w:t>Eco-social policy</w:t>
      </w:r>
      <w:r w:rsidR="004F2D6A" w:rsidRPr="00B43EEE">
        <w:t xml:space="preserve"> </w:t>
      </w:r>
      <w:r w:rsidR="00C900E2" w:rsidRPr="00B43EEE">
        <w:t>and sustainable welfare</w:t>
      </w:r>
    </w:p>
    <w:p w14:paraId="6DC370D3" w14:textId="77777777" w:rsidR="00D54401" w:rsidRPr="00335EA7" w:rsidRDefault="00D54401" w:rsidP="002F5E01">
      <w:pPr>
        <w:pStyle w:val="Bulletpoint"/>
        <w:rPr>
          <w:rStyle w:val="reflink-block"/>
          <w:rFonts w:cs="Arial"/>
          <w:color w:val="0D0D0D" w:themeColor="text1" w:themeTint="F2"/>
          <w:szCs w:val="22"/>
        </w:rPr>
      </w:pPr>
      <w:r w:rsidRPr="00335EA7">
        <w:rPr>
          <w:rStyle w:val="hlfld-contribauthor"/>
          <w:rFonts w:cs="Arial"/>
          <w:color w:val="0D0D0D" w:themeColor="text1" w:themeTint="F2"/>
          <w:szCs w:val="22"/>
        </w:rPr>
        <w:t xml:space="preserve">Büchs, </w:t>
      </w:r>
      <w:r w:rsidRPr="00335EA7">
        <w:rPr>
          <w:rStyle w:val="nlmgiven-names"/>
          <w:rFonts w:cs="Arial"/>
          <w:color w:val="0D0D0D" w:themeColor="text1" w:themeTint="F2"/>
          <w:szCs w:val="22"/>
        </w:rPr>
        <w:t>M.</w:t>
      </w:r>
      <w:r w:rsidRPr="00335EA7">
        <w:rPr>
          <w:rStyle w:val="hlfld-contribauthor"/>
          <w:rFonts w:cs="Arial"/>
          <w:color w:val="0D0D0D" w:themeColor="text1" w:themeTint="F2"/>
          <w:szCs w:val="22"/>
        </w:rPr>
        <w:t xml:space="preserve"> and Koch, </w:t>
      </w:r>
      <w:r w:rsidRPr="00335EA7">
        <w:rPr>
          <w:rStyle w:val="nlmgiven-names"/>
          <w:rFonts w:cs="Arial"/>
          <w:color w:val="0D0D0D" w:themeColor="text1" w:themeTint="F2"/>
          <w:szCs w:val="22"/>
        </w:rPr>
        <w:t>M.</w:t>
      </w:r>
      <w:r w:rsidRPr="00335EA7">
        <w:rPr>
          <w:rStyle w:val="hlfld-contribauthor"/>
          <w:rFonts w:cs="Arial"/>
          <w:color w:val="0D0D0D" w:themeColor="text1" w:themeTint="F2"/>
          <w:szCs w:val="22"/>
        </w:rPr>
        <w:t xml:space="preserve"> </w:t>
      </w:r>
      <w:r w:rsidRPr="00565491">
        <w:t>(</w:t>
      </w:r>
      <w:r w:rsidRPr="00335EA7">
        <w:rPr>
          <w:rStyle w:val="nlmyear"/>
          <w:rFonts w:cs="Arial"/>
          <w:color w:val="0D0D0D" w:themeColor="text1" w:themeTint="F2"/>
          <w:szCs w:val="22"/>
        </w:rPr>
        <w:t>2017</w:t>
      </w:r>
      <w:r w:rsidRPr="00565491">
        <w:t xml:space="preserve">) </w:t>
      </w:r>
      <w:r w:rsidRPr="00565491">
        <w:rPr>
          <w:i/>
        </w:rPr>
        <w:t>Postgrowth and Wellbeing: Challenges to Sustainable Welfare</w:t>
      </w:r>
      <w:r w:rsidRPr="00565491">
        <w:t>, Basingstoke: P</w:t>
      </w:r>
      <w:r w:rsidRPr="00335EA7">
        <w:rPr>
          <w:rStyle w:val="nlmpublisher-name"/>
          <w:rFonts w:cs="Arial"/>
          <w:color w:val="0D0D0D" w:themeColor="text1" w:themeTint="F2"/>
          <w:szCs w:val="22"/>
        </w:rPr>
        <w:t>algrave Macmillan</w:t>
      </w:r>
      <w:r w:rsidRPr="00565491">
        <w:t>.</w:t>
      </w:r>
    </w:p>
    <w:p w14:paraId="79D27E07" w14:textId="77777777" w:rsidR="00C77663" w:rsidRPr="00CD6049" w:rsidRDefault="00C77663" w:rsidP="00C77663">
      <w:pPr>
        <w:pStyle w:val="Bulletpoint"/>
        <w:rPr>
          <w:rStyle w:val="reflink-block"/>
          <w:rFonts w:cs="Arial"/>
          <w:color w:val="0D0D0D" w:themeColor="text1" w:themeTint="F2"/>
          <w:szCs w:val="22"/>
        </w:rPr>
      </w:pPr>
      <w:r w:rsidRPr="00565491">
        <w:rPr>
          <w:shd w:val="clear" w:color="auto" w:fill="FFFFFF"/>
        </w:rPr>
        <w:t>Fitzpatrick, T. (</w:t>
      </w:r>
      <w:r>
        <w:rPr>
          <w:shd w:val="clear" w:color="auto" w:fill="FFFFFF"/>
        </w:rPr>
        <w:t>e</w:t>
      </w:r>
      <w:r w:rsidRPr="00565491">
        <w:rPr>
          <w:shd w:val="clear" w:color="auto" w:fill="FFFFFF"/>
        </w:rPr>
        <w:t>d.) (2011) </w:t>
      </w:r>
      <w:r w:rsidRPr="00565491">
        <w:rPr>
          <w:i/>
          <w:iCs/>
          <w:shd w:val="clear" w:color="auto" w:fill="FFFFFF"/>
        </w:rPr>
        <w:t>Understanding the Environment and Social Policy</w:t>
      </w:r>
      <w:r>
        <w:rPr>
          <w:shd w:val="clear" w:color="auto" w:fill="FFFFFF"/>
        </w:rPr>
        <w:t xml:space="preserve">, </w:t>
      </w:r>
      <w:r w:rsidRPr="00565491">
        <w:rPr>
          <w:shd w:val="clear" w:color="auto" w:fill="FFFFFF"/>
        </w:rPr>
        <w:t>Bristol: Policy Press.</w:t>
      </w:r>
    </w:p>
    <w:p w14:paraId="7751296B" w14:textId="4EF8C20B" w:rsidR="007B4023" w:rsidRPr="00565491" w:rsidRDefault="00D54401" w:rsidP="002F5E01">
      <w:pPr>
        <w:pStyle w:val="Bulletpoint"/>
      </w:pPr>
      <w:r w:rsidRPr="00565491">
        <w:t xml:space="preserve">Fitzpatrick, T. (ed) (2014) </w:t>
      </w:r>
      <w:r w:rsidRPr="00335EA7">
        <w:rPr>
          <w:rStyle w:val="html-italic"/>
          <w:rFonts w:cs="Arial"/>
          <w:i/>
          <w:color w:val="0D0D0D" w:themeColor="text1" w:themeTint="F2"/>
          <w:szCs w:val="22"/>
        </w:rPr>
        <w:t>International Handbook on Social Policy and the Environment</w:t>
      </w:r>
      <w:r w:rsidR="00565491">
        <w:t>,</w:t>
      </w:r>
      <w:r w:rsidR="00565491" w:rsidRPr="00565491">
        <w:t xml:space="preserve"> </w:t>
      </w:r>
      <w:r w:rsidRPr="00565491">
        <w:t>Cheltenham: Edward Elgar.</w:t>
      </w:r>
    </w:p>
    <w:p w14:paraId="1F031B73" w14:textId="77777777" w:rsidR="00D54401" w:rsidRPr="00565491" w:rsidRDefault="00D54401" w:rsidP="002F5E01">
      <w:pPr>
        <w:pStyle w:val="Bulletpoint"/>
      </w:pPr>
      <w:r w:rsidRPr="00565491">
        <w:t xml:space="preserve">Gough, I. (2015) 'Welfare states and environmental states: a comparative analysis', </w:t>
      </w:r>
      <w:r w:rsidRPr="00565491">
        <w:rPr>
          <w:i/>
          <w:iCs/>
        </w:rPr>
        <w:t>Environmental Politics</w:t>
      </w:r>
      <w:r w:rsidRPr="00565491">
        <w:t xml:space="preserve">, 25, 1, 24–47. </w:t>
      </w:r>
    </w:p>
    <w:p w14:paraId="5540D2A2" w14:textId="60F9017E" w:rsidR="00D54401" w:rsidRPr="00565491" w:rsidRDefault="00D54401" w:rsidP="002F5E01">
      <w:pPr>
        <w:pStyle w:val="Bulletpoint"/>
      </w:pPr>
      <w:r w:rsidRPr="00335EA7">
        <w:rPr>
          <w:rStyle w:val="hlfld-contribauthor"/>
          <w:rFonts w:cs="Arial"/>
          <w:color w:val="0D0D0D" w:themeColor="text1" w:themeTint="F2"/>
          <w:szCs w:val="22"/>
        </w:rPr>
        <w:t xml:space="preserve">Gough, </w:t>
      </w:r>
      <w:r w:rsidRPr="00335EA7">
        <w:rPr>
          <w:rStyle w:val="nlmgiven-names"/>
          <w:rFonts w:cs="Arial"/>
          <w:color w:val="0D0D0D" w:themeColor="text1" w:themeTint="F2"/>
          <w:szCs w:val="22"/>
        </w:rPr>
        <w:t>I.</w:t>
      </w:r>
      <w:r w:rsidRPr="00565491">
        <w:t>, Meadowcroft, J., Dryzek, J.</w:t>
      </w:r>
      <w:r w:rsidR="009658FF">
        <w:t>, Gerhards</w:t>
      </w:r>
      <w:r w:rsidR="00F43D0A">
        <w:t>, J., Lengfeld, H.,</w:t>
      </w:r>
      <w:r w:rsidR="008421C8">
        <w:t xml:space="preserve"> Markandya, A. and Ortiz, R.</w:t>
      </w:r>
      <w:r w:rsidRPr="00565491">
        <w:t xml:space="preserve"> (2008) ‘</w:t>
      </w:r>
      <w:r w:rsidRPr="00335EA7">
        <w:rPr>
          <w:rStyle w:val="nlmarticle-title"/>
          <w:rFonts w:cs="Arial"/>
          <w:color w:val="0D0D0D" w:themeColor="text1" w:themeTint="F2"/>
          <w:szCs w:val="22"/>
        </w:rPr>
        <w:t>JESP symposium: climate change and social policy’,</w:t>
      </w:r>
      <w:r w:rsidRPr="00565491">
        <w:t xml:space="preserve"> </w:t>
      </w:r>
      <w:r w:rsidRPr="00565491">
        <w:rPr>
          <w:i/>
          <w:iCs/>
        </w:rPr>
        <w:t>Journal of European Social Policy</w:t>
      </w:r>
      <w:r w:rsidR="009D101C">
        <w:rPr>
          <w:i/>
          <w:iCs/>
        </w:rPr>
        <w:t>,</w:t>
      </w:r>
      <w:r w:rsidRPr="00565491">
        <w:t xml:space="preserve"> 18, 4, </w:t>
      </w:r>
      <w:r w:rsidRPr="00335EA7">
        <w:rPr>
          <w:rStyle w:val="nlmfpage"/>
          <w:rFonts w:cs="Arial"/>
          <w:color w:val="0D0D0D" w:themeColor="text1" w:themeTint="F2"/>
          <w:szCs w:val="22"/>
        </w:rPr>
        <w:t>25</w:t>
      </w:r>
      <w:r w:rsidRPr="00565491">
        <w:t>–</w:t>
      </w:r>
      <w:r w:rsidRPr="00335EA7">
        <w:rPr>
          <w:rStyle w:val="nlmlpage"/>
          <w:rFonts w:cs="Arial"/>
          <w:color w:val="0D0D0D" w:themeColor="text1" w:themeTint="F2"/>
          <w:szCs w:val="22"/>
        </w:rPr>
        <w:t>44</w:t>
      </w:r>
      <w:r w:rsidRPr="00565491">
        <w:t>.</w:t>
      </w:r>
    </w:p>
    <w:p w14:paraId="32DD721C" w14:textId="77777777" w:rsidR="00D54401" w:rsidRPr="00565491" w:rsidRDefault="00D54401" w:rsidP="002F5E01">
      <w:pPr>
        <w:pStyle w:val="Bulletpoint"/>
      </w:pPr>
      <w:r w:rsidRPr="00335EA7">
        <w:rPr>
          <w:rStyle w:val="hlfld-contribauthor"/>
          <w:rFonts w:cs="Arial"/>
          <w:color w:val="0D0D0D" w:themeColor="text1" w:themeTint="F2"/>
          <w:szCs w:val="22"/>
        </w:rPr>
        <w:t xml:space="preserve">Hirvilammi, </w:t>
      </w:r>
      <w:r w:rsidRPr="00335EA7">
        <w:rPr>
          <w:rStyle w:val="nlmgiven-names"/>
          <w:rFonts w:cs="Arial"/>
          <w:color w:val="0D0D0D" w:themeColor="text1" w:themeTint="F2"/>
          <w:szCs w:val="22"/>
        </w:rPr>
        <w:t>T.</w:t>
      </w:r>
      <w:r w:rsidRPr="00335EA7">
        <w:rPr>
          <w:rStyle w:val="hlfld-contribauthor"/>
          <w:rFonts w:cs="Arial"/>
          <w:color w:val="0D0D0D" w:themeColor="text1" w:themeTint="F2"/>
          <w:szCs w:val="22"/>
        </w:rPr>
        <w:t xml:space="preserve"> </w:t>
      </w:r>
      <w:r w:rsidRPr="00565491">
        <w:t>(</w:t>
      </w:r>
      <w:r w:rsidRPr="00335EA7">
        <w:rPr>
          <w:rStyle w:val="nlmyear"/>
          <w:rFonts w:cs="Arial"/>
          <w:color w:val="0D0D0D" w:themeColor="text1" w:themeTint="F2"/>
          <w:szCs w:val="22"/>
        </w:rPr>
        <w:t>2020</w:t>
      </w:r>
      <w:r w:rsidRPr="00565491">
        <w:t>) ‘</w:t>
      </w:r>
      <w:r w:rsidRPr="00335EA7">
        <w:rPr>
          <w:rStyle w:val="nlmarticle-title"/>
          <w:rFonts w:cs="Arial"/>
          <w:color w:val="0D0D0D" w:themeColor="text1" w:themeTint="F2"/>
          <w:szCs w:val="22"/>
        </w:rPr>
        <w:t xml:space="preserve">The virtuous circle of sustainable welfare as a transformative policy idea’, </w:t>
      </w:r>
      <w:r w:rsidRPr="00565491">
        <w:rPr>
          <w:i/>
          <w:iCs/>
        </w:rPr>
        <w:t>Sustainability</w:t>
      </w:r>
      <w:r w:rsidRPr="00565491">
        <w:t xml:space="preserve"> </w:t>
      </w:r>
      <w:r w:rsidRPr="00565491">
        <w:rPr>
          <w:iCs/>
        </w:rPr>
        <w:t>12</w:t>
      </w:r>
      <w:r w:rsidRPr="00565491">
        <w:t xml:space="preserve">, 1, </w:t>
      </w:r>
      <w:r w:rsidRPr="00335EA7">
        <w:rPr>
          <w:rStyle w:val="nlmfpage"/>
          <w:rFonts w:cs="Arial"/>
          <w:color w:val="0D0D0D" w:themeColor="text1" w:themeTint="F2"/>
          <w:szCs w:val="22"/>
        </w:rPr>
        <w:t>391</w:t>
      </w:r>
      <w:r w:rsidRPr="00565491">
        <w:t>.</w:t>
      </w:r>
    </w:p>
    <w:p w14:paraId="746F6D2B" w14:textId="4BBB1B03" w:rsidR="00D54401" w:rsidRPr="00565491" w:rsidRDefault="00D54401" w:rsidP="002F5E01">
      <w:pPr>
        <w:pStyle w:val="Bulletpoint"/>
      </w:pPr>
      <w:r w:rsidRPr="00565491">
        <w:t xml:space="preserve">Hirvilammi, T. and Koch, M. (2020) 'Sustainable welfare beyond growth', </w:t>
      </w:r>
      <w:r w:rsidRPr="00565491">
        <w:rPr>
          <w:i/>
          <w:iCs/>
        </w:rPr>
        <w:t>Sustainability</w:t>
      </w:r>
      <w:r w:rsidRPr="00565491">
        <w:t xml:space="preserve">, 12, </w:t>
      </w:r>
      <w:r w:rsidR="00545C6F" w:rsidRPr="00402098">
        <w:t>5, 1824.</w:t>
      </w:r>
    </w:p>
    <w:p w14:paraId="71BBF205" w14:textId="0B006529" w:rsidR="00D54401" w:rsidRPr="00335EA7" w:rsidRDefault="00D54401" w:rsidP="00335EA7">
      <w:pPr>
        <w:pStyle w:val="Bulletpoint"/>
      </w:pPr>
      <w:r w:rsidRPr="00335EA7">
        <w:t xml:space="preserve">Koch, M. (2018) </w:t>
      </w:r>
      <w:r w:rsidR="00545C6F">
        <w:t>‘</w:t>
      </w:r>
      <w:r w:rsidRPr="00335EA7">
        <w:t>Sustainable welfare, degrowth and eco-social policies in Europe</w:t>
      </w:r>
      <w:r w:rsidR="00545C6F">
        <w:t>’</w:t>
      </w:r>
      <w:r w:rsidRPr="00335EA7">
        <w:t xml:space="preserve">, in </w:t>
      </w:r>
      <w:r w:rsidR="00545C6F">
        <w:lastRenderedPageBreak/>
        <w:t xml:space="preserve">B. </w:t>
      </w:r>
      <w:r w:rsidRPr="00335EA7">
        <w:rPr>
          <w:shd w:val="clear" w:color="auto" w:fill="FFFFFF"/>
        </w:rPr>
        <w:t xml:space="preserve">Vanhercke, </w:t>
      </w:r>
      <w:r w:rsidR="00545C6F">
        <w:rPr>
          <w:shd w:val="clear" w:color="auto" w:fill="FFFFFF"/>
        </w:rPr>
        <w:t xml:space="preserve">D. </w:t>
      </w:r>
      <w:r w:rsidRPr="00335EA7">
        <w:rPr>
          <w:shd w:val="clear" w:color="auto" w:fill="FFFFFF"/>
        </w:rPr>
        <w:t xml:space="preserve">Ghailani and </w:t>
      </w:r>
      <w:r w:rsidR="00545C6F">
        <w:rPr>
          <w:shd w:val="clear" w:color="auto" w:fill="FFFFFF"/>
        </w:rPr>
        <w:t xml:space="preserve">S. </w:t>
      </w:r>
      <w:r w:rsidRPr="00335EA7">
        <w:rPr>
          <w:shd w:val="clear" w:color="auto" w:fill="FFFFFF"/>
        </w:rPr>
        <w:t>Sabato (eds</w:t>
      </w:r>
      <w:r w:rsidR="00545C6F">
        <w:rPr>
          <w:shd w:val="clear" w:color="auto" w:fill="FFFFFF"/>
        </w:rPr>
        <w:t>.</w:t>
      </w:r>
      <w:r w:rsidRPr="00335EA7">
        <w:rPr>
          <w:shd w:val="clear" w:color="auto" w:fill="FFFFFF"/>
        </w:rPr>
        <w:t>)</w:t>
      </w:r>
      <w:r w:rsidR="00545C6F">
        <w:rPr>
          <w:shd w:val="clear" w:color="auto" w:fill="FFFFFF"/>
        </w:rPr>
        <w:t>,</w:t>
      </w:r>
      <w:r w:rsidRPr="00335EA7">
        <w:rPr>
          <w:shd w:val="clear" w:color="auto" w:fill="FFFFFF"/>
        </w:rPr>
        <w:t xml:space="preserve"> </w:t>
      </w:r>
      <w:r w:rsidRPr="00335EA7">
        <w:rPr>
          <w:i/>
          <w:iCs/>
          <w:shd w:val="clear" w:color="auto" w:fill="FFFFFF"/>
        </w:rPr>
        <w:t>Social Policy in the European Union: State of Play 2018</w:t>
      </w:r>
      <w:r w:rsidRPr="00335EA7">
        <w:rPr>
          <w:shd w:val="clear" w:color="auto" w:fill="FFFFFF"/>
        </w:rPr>
        <w:t xml:space="preserve">, Brussels: ETUI. </w:t>
      </w:r>
      <w:r w:rsidRPr="00335EA7">
        <w:t xml:space="preserve"> </w:t>
      </w:r>
    </w:p>
    <w:p w14:paraId="52409D21" w14:textId="703FCB16" w:rsidR="00D54401" w:rsidRPr="00565491" w:rsidRDefault="00D54401" w:rsidP="002F5E01">
      <w:pPr>
        <w:pStyle w:val="Bulletpoint"/>
      </w:pPr>
      <w:r w:rsidRPr="00335EA7">
        <w:rPr>
          <w:rStyle w:val="hlfld-contribauthor"/>
          <w:rFonts w:cs="Arial"/>
          <w:color w:val="0D0D0D" w:themeColor="text1" w:themeTint="F2"/>
          <w:szCs w:val="22"/>
        </w:rPr>
        <w:t xml:space="preserve">Koch, </w:t>
      </w:r>
      <w:r w:rsidRPr="00335EA7">
        <w:rPr>
          <w:rStyle w:val="nlmgiven-names"/>
          <w:rFonts w:cs="Arial"/>
          <w:color w:val="0D0D0D" w:themeColor="text1" w:themeTint="F2"/>
          <w:szCs w:val="22"/>
        </w:rPr>
        <w:t>M.</w:t>
      </w:r>
      <w:r w:rsidRPr="00335EA7">
        <w:rPr>
          <w:rStyle w:val="hlfld-contribauthor"/>
          <w:rFonts w:cs="Arial"/>
          <w:color w:val="0D0D0D" w:themeColor="text1" w:themeTint="F2"/>
          <w:szCs w:val="22"/>
        </w:rPr>
        <w:t xml:space="preserve"> </w:t>
      </w:r>
      <w:r w:rsidRPr="00565491">
        <w:t>(</w:t>
      </w:r>
      <w:r w:rsidRPr="00335EA7">
        <w:rPr>
          <w:rStyle w:val="nlmyear"/>
          <w:rFonts w:cs="Arial"/>
          <w:color w:val="0D0D0D" w:themeColor="text1" w:themeTint="F2"/>
          <w:szCs w:val="22"/>
        </w:rPr>
        <w:t>2020</w:t>
      </w:r>
      <w:r w:rsidRPr="00565491">
        <w:t>) ‘</w:t>
      </w:r>
      <w:r w:rsidRPr="00335EA7">
        <w:rPr>
          <w:rStyle w:val="nlmarticle-title"/>
          <w:rFonts w:cs="Arial"/>
          <w:color w:val="0D0D0D" w:themeColor="text1" w:themeTint="F2"/>
          <w:szCs w:val="22"/>
        </w:rPr>
        <w:t xml:space="preserve">The state in the transformation to a sustainable postgrowth economy’, </w:t>
      </w:r>
      <w:r w:rsidRPr="00565491">
        <w:rPr>
          <w:i/>
          <w:iCs/>
        </w:rPr>
        <w:t>Environmental Politics</w:t>
      </w:r>
      <w:r w:rsidR="00AD27E2">
        <w:rPr>
          <w:i/>
          <w:iCs/>
        </w:rPr>
        <w:t>,</w:t>
      </w:r>
      <w:r w:rsidRPr="00565491">
        <w:t xml:space="preserve"> </w:t>
      </w:r>
      <w:r w:rsidRPr="00565491">
        <w:rPr>
          <w:iCs/>
        </w:rPr>
        <w:t>29</w:t>
      </w:r>
      <w:r w:rsidRPr="00565491">
        <w:t xml:space="preserve">, 1, </w:t>
      </w:r>
      <w:r w:rsidRPr="00335EA7">
        <w:rPr>
          <w:rStyle w:val="nlmfpage"/>
          <w:rFonts w:cs="Arial"/>
          <w:color w:val="0D0D0D" w:themeColor="text1" w:themeTint="F2"/>
          <w:szCs w:val="22"/>
        </w:rPr>
        <w:t>115</w:t>
      </w:r>
      <w:r w:rsidRPr="00565491">
        <w:t>–</w:t>
      </w:r>
      <w:r w:rsidRPr="00335EA7">
        <w:rPr>
          <w:rStyle w:val="nlmlpage"/>
          <w:rFonts w:cs="Arial"/>
          <w:color w:val="0D0D0D" w:themeColor="text1" w:themeTint="F2"/>
          <w:szCs w:val="22"/>
        </w:rPr>
        <w:t>133</w:t>
      </w:r>
      <w:r w:rsidRPr="00565491">
        <w:t>.</w:t>
      </w:r>
    </w:p>
    <w:p w14:paraId="13D8E9CF" w14:textId="0423675D" w:rsidR="00D54401" w:rsidRPr="00565491" w:rsidRDefault="00D54401" w:rsidP="002F5E01">
      <w:pPr>
        <w:pStyle w:val="Bulletpoint"/>
      </w:pPr>
      <w:r w:rsidRPr="00335EA7">
        <w:rPr>
          <w:rStyle w:val="hlfld-contribauthor"/>
          <w:rFonts w:cs="Arial"/>
          <w:color w:val="0D0D0D" w:themeColor="text1" w:themeTint="F2"/>
          <w:szCs w:val="22"/>
        </w:rPr>
        <w:t xml:space="preserve">Koch, </w:t>
      </w:r>
      <w:r w:rsidRPr="00335EA7">
        <w:rPr>
          <w:rStyle w:val="nlmgiven-names"/>
          <w:rFonts w:cs="Arial"/>
          <w:color w:val="0D0D0D" w:themeColor="text1" w:themeTint="F2"/>
          <w:szCs w:val="22"/>
        </w:rPr>
        <w:t>M.</w:t>
      </w:r>
      <w:r w:rsidRPr="00565491">
        <w:t xml:space="preserve"> and </w:t>
      </w:r>
      <w:r w:rsidRPr="00335EA7">
        <w:rPr>
          <w:rStyle w:val="hlfld-contribauthor"/>
          <w:rFonts w:cs="Arial"/>
          <w:color w:val="0D0D0D" w:themeColor="text1" w:themeTint="F2"/>
          <w:szCs w:val="22"/>
        </w:rPr>
        <w:t xml:space="preserve">Fritz, </w:t>
      </w:r>
      <w:r w:rsidRPr="00335EA7">
        <w:rPr>
          <w:rStyle w:val="nlmgiven-names"/>
          <w:rFonts w:cs="Arial"/>
          <w:color w:val="0D0D0D" w:themeColor="text1" w:themeTint="F2"/>
          <w:szCs w:val="22"/>
        </w:rPr>
        <w:t>M.</w:t>
      </w:r>
      <w:r w:rsidRPr="00565491">
        <w:t xml:space="preserve"> (</w:t>
      </w:r>
      <w:r w:rsidRPr="00335EA7">
        <w:rPr>
          <w:rStyle w:val="nlmyear"/>
          <w:rFonts w:cs="Arial"/>
          <w:color w:val="0D0D0D" w:themeColor="text1" w:themeTint="F2"/>
          <w:szCs w:val="22"/>
        </w:rPr>
        <w:t>2014)</w:t>
      </w:r>
      <w:r w:rsidRPr="00565491">
        <w:t xml:space="preserve"> ‘B</w:t>
      </w:r>
      <w:r w:rsidRPr="00335EA7">
        <w:rPr>
          <w:rStyle w:val="nlmarticle-title"/>
          <w:rFonts w:cs="Arial"/>
          <w:color w:val="0D0D0D" w:themeColor="text1" w:themeTint="F2"/>
          <w:szCs w:val="22"/>
        </w:rPr>
        <w:t>uilding the eco-social state: do welfare regimes matter?’</w:t>
      </w:r>
      <w:r w:rsidR="00AD27E2">
        <w:rPr>
          <w:rStyle w:val="nlmarticle-title"/>
          <w:rFonts w:cs="Arial"/>
          <w:color w:val="0D0D0D" w:themeColor="text1" w:themeTint="F2"/>
          <w:szCs w:val="22"/>
        </w:rPr>
        <w:t>,</w:t>
      </w:r>
      <w:r w:rsidRPr="00565491">
        <w:t xml:space="preserve"> </w:t>
      </w:r>
      <w:r w:rsidRPr="00565491">
        <w:rPr>
          <w:i/>
          <w:iCs/>
        </w:rPr>
        <w:t>Journal of Social Policy</w:t>
      </w:r>
      <w:r w:rsidR="00AD27E2">
        <w:rPr>
          <w:i/>
          <w:iCs/>
        </w:rPr>
        <w:t>,</w:t>
      </w:r>
      <w:r w:rsidRPr="00565491">
        <w:t xml:space="preserve"> 43</w:t>
      </w:r>
      <w:r w:rsidR="00AD27E2">
        <w:t xml:space="preserve">, </w:t>
      </w:r>
      <w:r w:rsidRPr="00565491">
        <w:t xml:space="preserve">4, </w:t>
      </w:r>
      <w:r w:rsidRPr="00335EA7">
        <w:rPr>
          <w:rStyle w:val="nlmfpage"/>
          <w:rFonts w:cs="Arial"/>
          <w:color w:val="0D0D0D" w:themeColor="text1" w:themeTint="F2"/>
          <w:szCs w:val="22"/>
        </w:rPr>
        <w:t>679</w:t>
      </w:r>
      <w:r w:rsidRPr="00565491">
        <w:t>–</w:t>
      </w:r>
      <w:r w:rsidRPr="00335EA7">
        <w:rPr>
          <w:rStyle w:val="nlmlpage"/>
          <w:rFonts w:cs="Arial"/>
          <w:color w:val="0D0D0D" w:themeColor="text1" w:themeTint="F2"/>
          <w:szCs w:val="22"/>
        </w:rPr>
        <w:t>703</w:t>
      </w:r>
      <w:r w:rsidRPr="00565491">
        <w:t>.</w:t>
      </w:r>
    </w:p>
    <w:p w14:paraId="629783CA" w14:textId="77777777" w:rsidR="00D54401" w:rsidRPr="00384DD1" w:rsidRDefault="00D54401" w:rsidP="002F5E01"/>
    <w:p w14:paraId="207AE600" w14:textId="5F93FD73" w:rsidR="00632437" w:rsidRPr="00B43EEE" w:rsidRDefault="00632437" w:rsidP="002F5E01">
      <w:r w:rsidRPr="00B43EEE">
        <w:t>Human need theory</w:t>
      </w:r>
    </w:p>
    <w:p w14:paraId="3BFE8C37" w14:textId="77777777" w:rsidR="00D54401" w:rsidRPr="00B43EEE" w:rsidRDefault="00D54401" w:rsidP="002F5E01">
      <w:pPr>
        <w:pStyle w:val="Bulletpoint"/>
      </w:pPr>
      <w:r w:rsidRPr="00B43EEE">
        <w:t xml:space="preserve">Doyal, L. and Gough, I. (1991) </w:t>
      </w:r>
      <w:r w:rsidRPr="00B43EEE">
        <w:rPr>
          <w:i/>
          <w:iCs/>
        </w:rPr>
        <w:t>A Theory of Human Need</w:t>
      </w:r>
      <w:r w:rsidRPr="00B43EEE">
        <w:t>, Palgrave Macmillan.</w:t>
      </w:r>
    </w:p>
    <w:p w14:paraId="2F55DEEA" w14:textId="225742D4" w:rsidR="00D54401" w:rsidRPr="00BE7443" w:rsidRDefault="00587469" w:rsidP="002F5E01">
      <w:pPr>
        <w:pStyle w:val="Bulletpoint"/>
      </w:pPr>
      <w:r w:rsidRPr="00587469">
        <w:t>Fuchs,</w:t>
      </w:r>
      <w:r>
        <w:t xml:space="preserve"> D.,</w:t>
      </w:r>
      <w:r w:rsidRPr="00587469">
        <w:t xml:space="preserve"> Sahakian,</w:t>
      </w:r>
      <w:r>
        <w:t xml:space="preserve"> M., </w:t>
      </w:r>
      <w:r w:rsidRPr="00587469">
        <w:t>Gumbert,</w:t>
      </w:r>
      <w:r>
        <w:t xml:space="preserve"> T., </w:t>
      </w:r>
      <w:r w:rsidRPr="00587469">
        <w:t>Di Giulio,</w:t>
      </w:r>
      <w:r>
        <w:t xml:space="preserve"> A.,</w:t>
      </w:r>
      <w:r w:rsidRPr="00587469">
        <w:t xml:space="preserve"> Maniates,</w:t>
      </w:r>
      <w:r>
        <w:t xml:space="preserve"> M.,</w:t>
      </w:r>
      <w:r w:rsidRPr="00587469">
        <w:t xml:space="preserve"> Lorek,</w:t>
      </w:r>
      <w:r>
        <w:t xml:space="preserve"> S. and</w:t>
      </w:r>
      <w:r w:rsidRPr="00587469">
        <w:t xml:space="preserve"> Graf</w:t>
      </w:r>
      <w:r>
        <w:t>, A.</w:t>
      </w:r>
      <w:r w:rsidRPr="00587469" w:rsidDel="00587469">
        <w:t xml:space="preserve"> </w:t>
      </w:r>
      <w:r w:rsidR="00D54401" w:rsidRPr="00BE7443">
        <w:t xml:space="preserve">(2021) </w:t>
      </w:r>
      <w:r w:rsidR="00D54401" w:rsidRPr="00335EA7">
        <w:rPr>
          <w:i/>
          <w:iCs/>
        </w:rPr>
        <w:t>Consumption Corridors: Living a Good Life within Sustainable Limits</w:t>
      </w:r>
      <w:r w:rsidR="00D54401" w:rsidRPr="00BE7443">
        <w:t xml:space="preserve">, </w:t>
      </w:r>
      <w:r w:rsidR="00FA6BAC">
        <w:t xml:space="preserve">London: </w:t>
      </w:r>
      <w:r w:rsidR="00D54401" w:rsidRPr="00BE7443">
        <w:t>Routledge.</w:t>
      </w:r>
    </w:p>
    <w:p w14:paraId="0C55950C" w14:textId="77777777" w:rsidR="00D54401" w:rsidRPr="00B43EEE" w:rsidRDefault="00D54401" w:rsidP="002F5E01">
      <w:pPr>
        <w:pStyle w:val="Bulletpoint"/>
      </w:pPr>
      <w:r w:rsidRPr="00B43EEE">
        <w:t xml:space="preserve">Gough, I. (2014) 'Lists and thresholds: comparing the Doyal-Gough theory of human need with Nussbaum’s capabilities approach', in F. Comim and M. C. Nussbaum (eds.), </w:t>
      </w:r>
      <w:r w:rsidRPr="00B43EEE">
        <w:rPr>
          <w:i/>
          <w:iCs/>
        </w:rPr>
        <w:t>Capabilities, Gender, Equality: Towards Fundamental Entitlements</w:t>
      </w:r>
      <w:r w:rsidRPr="00B43EEE">
        <w:t>, New York: Cambridge University Press, 357–82.</w:t>
      </w:r>
    </w:p>
    <w:p w14:paraId="1F41A622" w14:textId="08AB70B2" w:rsidR="00D54401" w:rsidRPr="00B43EEE" w:rsidRDefault="00D54401" w:rsidP="002F5E01">
      <w:pPr>
        <w:pStyle w:val="Bulletpoint"/>
      </w:pPr>
      <w:r w:rsidRPr="00B43EEE">
        <w:t xml:space="preserve">Gough, I. (2020b) ‘Defining floors and ceilings: the contribution of human needs theory’, </w:t>
      </w:r>
      <w:r w:rsidRPr="00B43EEE">
        <w:rPr>
          <w:i/>
          <w:iCs/>
        </w:rPr>
        <w:t>Sustainability: Science, Practice and Policy</w:t>
      </w:r>
      <w:r w:rsidRPr="00B43EEE">
        <w:t>, 16, 1, 208</w:t>
      </w:r>
      <w:r w:rsidR="00E15745">
        <w:t>–</w:t>
      </w:r>
      <w:r w:rsidRPr="00B43EEE">
        <w:t>219</w:t>
      </w:r>
      <w:r w:rsidR="00141543">
        <w:t>.</w:t>
      </w:r>
    </w:p>
    <w:p w14:paraId="348F2332" w14:textId="340F208D" w:rsidR="00D54401" w:rsidRPr="00F45BA9" w:rsidRDefault="00D54401" w:rsidP="002F5E01">
      <w:pPr>
        <w:pStyle w:val="Bulletpoint"/>
      </w:pPr>
      <w:r w:rsidRPr="00F45BA9">
        <w:t>Gough, I. (2017b</w:t>
      </w:r>
      <w:r w:rsidRPr="00335EA7">
        <w:rPr>
          <w:i/>
          <w:iCs/>
        </w:rPr>
        <w:t xml:space="preserve">) </w:t>
      </w:r>
      <w:r w:rsidR="00141543" w:rsidRPr="00335EA7">
        <w:rPr>
          <w:i/>
          <w:iCs/>
        </w:rPr>
        <w:t>Heat, Greed and Human Need: Climate Change, Capitalism And Sustainable Wellbeing</w:t>
      </w:r>
      <w:r w:rsidRPr="00F45BA9">
        <w:t>, Cheltenham UK: Edward Elgar Ltd.</w:t>
      </w:r>
    </w:p>
    <w:p w14:paraId="7245FB85" w14:textId="688712F1" w:rsidR="00D54401" w:rsidRPr="00F45BA9" w:rsidRDefault="00D54401" w:rsidP="002F5E01">
      <w:pPr>
        <w:pStyle w:val="Bulletpoint"/>
      </w:pPr>
      <w:r w:rsidRPr="00F45BA9">
        <w:t xml:space="preserve">Raworth, K. (2017) </w:t>
      </w:r>
      <w:r w:rsidR="00F45BA9" w:rsidRPr="00335EA7">
        <w:rPr>
          <w:i/>
          <w:iCs/>
        </w:rPr>
        <w:t>Doughnut Economics: Seven Ways to Think Like a 21st Century Economist</w:t>
      </w:r>
      <w:r w:rsidRPr="00F45BA9">
        <w:t>, London: RH Business Books.</w:t>
      </w:r>
    </w:p>
    <w:p w14:paraId="4119F021" w14:textId="79FA038E" w:rsidR="00632437" w:rsidRPr="00B43EEE" w:rsidRDefault="00632437" w:rsidP="002F5E01"/>
    <w:p w14:paraId="230CB446" w14:textId="2C408047" w:rsidR="00D54401" w:rsidRPr="00B43EEE" w:rsidRDefault="00D54401" w:rsidP="002F5E01">
      <w:r w:rsidRPr="00B43EEE">
        <w:t>Capabilities</w:t>
      </w:r>
      <w:r w:rsidR="007B4023" w:rsidRPr="00B43EEE">
        <w:t>, Sustainability and E</w:t>
      </w:r>
      <w:r w:rsidRPr="00B43EEE">
        <w:t>co-</w:t>
      </w:r>
      <w:r w:rsidR="007B4023" w:rsidRPr="00B43EEE">
        <w:t>S</w:t>
      </w:r>
      <w:r w:rsidRPr="00B43EEE">
        <w:t xml:space="preserve">ocial </w:t>
      </w:r>
      <w:r w:rsidR="007B4023" w:rsidRPr="00B43EEE">
        <w:t>P</w:t>
      </w:r>
      <w:r w:rsidRPr="00B43EEE">
        <w:t>olicy</w:t>
      </w:r>
    </w:p>
    <w:p w14:paraId="6CE5707E" w14:textId="37B78132" w:rsidR="007B4023" w:rsidRPr="00B43EEE" w:rsidRDefault="007B4023" w:rsidP="002F5E01">
      <w:pPr>
        <w:pStyle w:val="Bulletpoint"/>
        <w:rPr>
          <w:szCs w:val="22"/>
          <w:lang w:val="en-US"/>
        </w:rPr>
      </w:pPr>
      <w:r w:rsidRPr="00B43EEE">
        <w:rPr>
          <w:shd w:val="clear" w:color="auto" w:fill="FFFFFF"/>
        </w:rPr>
        <w:t xml:space="preserve">Bonvin, J. M. </w:t>
      </w:r>
      <w:r w:rsidR="005B0D7F">
        <w:rPr>
          <w:shd w:val="clear" w:color="auto" w:fill="FFFFFF"/>
        </w:rPr>
        <w:t>and</w:t>
      </w:r>
      <w:r w:rsidRPr="00B43EEE">
        <w:rPr>
          <w:shd w:val="clear" w:color="auto" w:fill="FFFFFF"/>
        </w:rPr>
        <w:t xml:space="preserve"> Laruffa, F. (2018) </w:t>
      </w:r>
      <w:r w:rsidR="00C6182D">
        <w:rPr>
          <w:shd w:val="clear" w:color="auto" w:fill="FFFFFF"/>
        </w:rPr>
        <w:t>‘</w:t>
      </w:r>
      <w:r w:rsidRPr="00B43EEE">
        <w:rPr>
          <w:shd w:val="clear" w:color="auto" w:fill="FFFFFF"/>
        </w:rPr>
        <w:t>Human beings as receivers, doers and judges. The anthropological foundations of sustainable public action in the capability approach</w:t>
      </w:r>
      <w:r w:rsidR="00C6182D">
        <w:rPr>
          <w:shd w:val="clear" w:color="auto" w:fill="FFFFFF"/>
        </w:rPr>
        <w:t xml:space="preserve">’, </w:t>
      </w:r>
      <w:r w:rsidRPr="00B43EEE">
        <w:rPr>
          <w:i/>
          <w:iCs/>
          <w:shd w:val="clear" w:color="auto" w:fill="FFFFFF"/>
        </w:rPr>
        <w:t xml:space="preserve">Community, Work </w:t>
      </w:r>
      <w:r w:rsidR="005B0D7F">
        <w:rPr>
          <w:i/>
          <w:iCs/>
          <w:shd w:val="clear" w:color="auto" w:fill="FFFFFF"/>
        </w:rPr>
        <w:t>and</w:t>
      </w:r>
      <w:r w:rsidRPr="00B43EEE">
        <w:rPr>
          <w:i/>
          <w:iCs/>
          <w:shd w:val="clear" w:color="auto" w:fill="FFFFFF"/>
        </w:rPr>
        <w:t xml:space="preserve"> Family</w:t>
      </w:r>
      <w:r w:rsidRPr="00B43EEE">
        <w:rPr>
          <w:shd w:val="clear" w:color="auto" w:fill="FFFFFF"/>
        </w:rPr>
        <w:t>, </w:t>
      </w:r>
      <w:r w:rsidRPr="00335EA7">
        <w:rPr>
          <w:shd w:val="clear" w:color="auto" w:fill="FFFFFF"/>
        </w:rPr>
        <w:t>21</w:t>
      </w:r>
      <w:r w:rsidR="00C6182D">
        <w:rPr>
          <w:shd w:val="clear" w:color="auto" w:fill="FFFFFF"/>
        </w:rPr>
        <w:t xml:space="preserve">, </w:t>
      </w:r>
      <w:r w:rsidRPr="00B43EEE">
        <w:rPr>
          <w:shd w:val="clear" w:color="auto" w:fill="FFFFFF"/>
        </w:rPr>
        <w:t>5, 502</w:t>
      </w:r>
      <w:r w:rsidR="00E15745">
        <w:rPr>
          <w:shd w:val="clear" w:color="auto" w:fill="FFFFFF"/>
        </w:rPr>
        <w:t>–</w:t>
      </w:r>
      <w:r w:rsidRPr="00B43EEE">
        <w:rPr>
          <w:shd w:val="clear" w:color="auto" w:fill="FFFFFF"/>
        </w:rPr>
        <w:t>518.</w:t>
      </w:r>
    </w:p>
    <w:p w14:paraId="12DDCDA4" w14:textId="2B956559" w:rsidR="00D54401" w:rsidRPr="00B43EEE" w:rsidRDefault="00D54401" w:rsidP="002F5E01">
      <w:pPr>
        <w:pStyle w:val="Bulletpoint"/>
        <w:rPr>
          <w:lang w:val="en-US"/>
        </w:rPr>
      </w:pPr>
      <w:r w:rsidRPr="00B43EEE">
        <w:rPr>
          <w:lang w:val="en-US"/>
        </w:rPr>
        <w:lastRenderedPageBreak/>
        <w:t xml:space="preserve">Burger, P. and Christen, M. (2011) ‘Towards a capability approach of sustainability’, </w:t>
      </w:r>
      <w:r w:rsidRPr="00B43EEE">
        <w:rPr>
          <w:i/>
          <w:iCs/>
          <w:lang w:val="en-US"/>
        </w:rPr>
        <w:t>Critical Perspectives of Sustainable Development Research and Practice</w:t>
      </w:r>
      <w:r w:rsidRPr="00B43EEE">
        <w:rPr>
          <w:lang w:val="en-US"/>
        </w:rPr>
        <w:t>, 19</w:t>
      </w:r>
      <w:r w:rsidR="00C6182D">
        <w:rPr>
          <w:lang w:val="en-US"/>
        </w:rPr>
        <w:t xml:space="preserve">, </w:t>
      </w:r>
      <w:r w:rsidRPr="00B43EEE">
        <w:rPr>
          <w:lang w:val="en-US"/>
        </w:rPr>
        <w:t xml:space="preserve">8, 787–795. </w:t>
      </w:r>
    </w:p>
    <w:p w14:paraId="6226C632" w14:textId="4185F863" w:rsidR="00D54401" w:rsidRPr="00B43EEE" w:rsidRDefault="00D54401" w:rsidP="002F5E01">
      <w:pPr>
        <w:pStyle w:val="Bulletpoint"/>
      </w:pPr>
      <w:r w:rsidRPr="00B43EEE">
        <w:t xml:space="preserve">Laruffa, F. (2020) 'What is a capability-enhancing social policy? Individual autonomy, democratic </w:t>
      </w:r>
      <w:r w:rsidR="007B4023" w:rsidRPr="00B43EEE">
        <w:t>c</w:t>
      </w:r>
      <w:r w:rsidRPr="00B43EEE">
        <w:t xml:space="preserve">itizenship and the insufficiency of the employment-focused paradigm',  </w:t>
      </w:r>
      <w:r w:rsidRPr="00B43EEE">
        <w:rPr>
          <w:i/>
          <w:iCs/>
        </w:rPr>
        <w:t>Journal of Human Development and Capabilities</w:t>
      </w:r>
      <w:r w:rsidRPr="00B43EEE">
        <w:t>, 21, 1, 1–16.</w:t>
      </w:r>
    </w:p>
    <w:p w14:paraId="5E504429" w14:textId="2129877A" w:rsidR="00D54401" w:rsidRPr="00B43EEE" w:rsidRDefault="00D54401" w:rsidP="002F5E01">
      <w:pPr>
        <w:pStyle w:val="Bulletpoint"/>
        <w:rPr>
          <w:lang w:val="en-US"/>
        </w:rPr>
      </w:pPr>
      <w:r w:rsidRPr="00B43EEE">
        <w:rPr>
          <w:lang w:val="en-US"/>
        </w:rPr>
        <w:t>Le</w:t>
      </w:r>
      <w:r w:rsidR="006C5F1D">
        <w:rPr>
          <w:lang w:val="en-US"/>
        </w:rPr>
        <w:t>ss</w:t>
      </w:r>
      <w:r w:rsidRPr="00B43EEE">
        <w:rPr>
          <w:lang w:val="en-US"/>
        </w:rPr>
        <w:t xml:space="preserve">mann, O. and Rauschmayer, F. (eds) (2013) ‘The capability approach and sustainability’, </w:t>
      </w:r>
      <w:r w:rsidRPr="00B43EEE">
        <w:rPr>
          <w:i/>
          <w:lang w:val="en-US"/>
        </w:rPr>
        <w:t>Journal of Human Development and Capabilities</w:t>
      </w:r>
      <w:r w:rsidR="00C6182D">
        <w:rPr>
          <w:iCs/>
          <w:lang w:val="en-US"/>
        </w:rPr>
        <w:t>m,</w:t>
      </w:r>
      <w:r w:rsidRPr="00B43EEE">
        <w:rPr>
          <w:lang w:val="en-US"/>
        </w:rPr>
        <w:t xml:space="preserve"> 14</w:t>
      </w:r>
      <w:r w:rsidR="00E22D2F">
        <w:rPr>
          <w:lang w:val="en-US"/>
        </w:rPr>
        <w:t xml:space="preserve">, </w:t>
      </w:r>
      <w:r w:rsidRPr="00B43EEE">
        <w:rPr>
          <w:lang w:val="en-US"/>
        </w:rPr>
        <w:t>1</w:t>
      </w:r>
      <w:r w:rsidR="00C6182D">
        <w:rPr>
          <w:lang w:val="en-US"/>
        </w:rPr>
        <w:t>, 1</w:t>
      </w:r>
      <w:r w:rsidR="00E15745">
        <w:rPr>
          <w:lang w:val="en-US"/>
        </w:rPr>
        <w:t>–</w:t>
      </w:r>
      <w:r w:rsidR="00C6182D">
        <w:rPr>
          <w:lang w:val="en-US"/>
        </w:rPr>
        <w:t>5.</w:t>
      </w:r>
    </w:p>
    <w:p w14:paraId="650B98E6" w14:textId="55955917" w:rsidR="00D54401" w:rsidRPr="00B43EEE" w:rsidRDefault="00D54401" w:rsidP="002F5E01">
      <w:pPr>
        <w:pStyle w:val="Bulletpoint"/>
        <w:rPr>
          <w:lang w:val="en-US"/>
        </w:rPr>
      </w:pPr>
      <w:r w:rsidRPr="00B43EEE">
        <w:rPr>
          <w:lang w:val="en-US"/>
        </w:rPr>
        <w:t xml:space="preserve">Nussbaum, M. (2000) </w:t>
      </w:r>
      <w:r w:rsidRPr="00335EA7">
        <w:rPr>
          <w:i/>
          <w:lang w:val="en-US"/>
        </w:rPr>
        <w:t>Women and Human Development: The Capabilities Approach</w:t>
      </w:r>
      <w:r w:rsidR="00E22D2F">
        <w:rPr>
          <w:i/>
          <w:iCs/>
          <w:lang w:val="en-US"/>
        </w:rPr>
        <w:t xml:space="preserve">, </w:t>
      </w:r>
      <w:r w:rsidRPr="00B43EEE">
        <w:rPr>
          <w:lang w:val="en-US"/>
        </w:rPr>
        <w:t>Cambridge: Cambridge University Press.</w:t>
      </w:r>
    </w:p>
    <w:p w14:paraId="08F59C81" w14:textId="5D87B6C6" w:rsidR="00D54401" w:rsidRPr="00B43EEE" w:rsidRDefault="00D54401" w:rsidP="002F5E01">
      <w:pPr>
        <w:pStyle w:val="Bulletpoint"/>
      </w:pPr>
      <w:r w:rsidRPr="00B43EEE">
        <w:t xml:space="preserve">Nussbaum, M.C. (2011) </w:t>
      </w:r>
      <w:r w:rsidRPr="00B43EEE">
        <w:rPr>
          <w:i/>
          <w:iCs/>
        </w:rPr>
        <w:t>Creating Capabilities: The Human Development Approach</w:t>
      </w:r>
      <w:r w:rsidRPr="00B43EEE">
        <w:t xml:space="preserve">. Cambridge, </w:t>
      </w:r>
      <w:r w:rsidR="00E22D2F" w:rsidRPr="00B43EEE">
        <w:t>M</w:t>
      </w:r>
      <w:r w:rsidR="00E22D2F">
        <w:t>A</w:t>
      </w:r>
      <w:r w:rsidRPr="00B43EEE">
        <w:t>.: Harvard University Press.</w:t>
      </w:r>
    </w:p>
    <w:p w14:paraId="5181B862" w14:textId="34D927A5" w:rsidR="00D54401" w:rsidRPr="00B43EEE" w:rsidRDefault="00D54401" w:rsidP="002F5E01">
      <w:pPr>
        <w:pStyle w:val="Bulletpoint"/>
        <w:rPr>
          <w:lang w:val="en-US"/>
        </w:rPr>
      </w:pPr>
      <w:r w:rsidRPr="00B43EEE">
        <w:rPr>
          <w:lang w:val="en-US"/>
        </w:rPr>
        <w:t xml:space="preserve">Robeyns, I. (2019) ‘What, if </w:t>
      </w:r>
      <w:r w:rsidR="00E22D2F" w:rsidRPr="00B43EEE">
        <w:rPr>
          <w:lang w:val="en-US"/>
        </w:rPr>
        <w:t>anything</w:t>
      </w:r>
      <w:r w:rsidRPr="00B43EEE">
        <w:rPr>
          <w:lang w:val="en-US"/>
        </w:rPr>
        <w:t xml:space="preserve">, is </w:t>
      </w:r>
      <w:r w:rsidR="00E22D2F" w:rsidRPr="00B43EEE">
        <w:rPr>
          <w:lang w:val="en-US"/>
        </w:rPr>
        <w:t xml:space="preserve">wrong </w:t>
      </w:r>
      <w:r w:rsidRPr="00B43EEE">
        <w:rPr>
          <w:lang w:val="en-US"/>
        </w:rPr>
        <w:t xml:space="preserve">with </w:t>
      </w:r>
      <w:r w:rsidR="00E22D2F" w:rsidRPr="00B43EEE">
        <w:rPr>
          <w:lang w:val="en-US"/>
        </w:rPr>
        <w:t>extreme wealth</w:t>
      </w:r>
      <w:r w:rsidRPr="00B43EEE">
        <w:rPr>
          <w:lang w:val="en-US"/>
        </w:rPr>
        <w:t xml:space="preserve">?’, </w:t>
      </w:r>
      <w:r w:rsidRPr="00B43EEE">
        <w:rPr>
          <w:i/>
          <w:iCs/>
          <w:lang w:val="en-US"/>
        </w:rPr>
        <w:t>Journal of Human Development and Capabilities</w:t>
      </w:r>
      <w:r w:rsidRPr="00B43EEE">
        <w:rPr>
          <w:lang w:val="en-US"/>
        </w:rPr>
        <w:t>, 20</w:t>
      </w:r>
      <w:r w:rsidR="00E22D2F">
        <w:rPr>
          <w:lang w:val="en-US"/>
        </w:rPr>
        <w:t xml:space="preserve">, </w:t>
      </w:r>
      <w:r w:rsidRPr="00B43EEE">
        <w:rPr>
          <w:lang w:val="en-US"/>
        </w:rPr>
        <w:t>3, 251–266.</w:t>
      </w:r>
    </w:p>
    <w:p w14:paraId="788B784A" w14:textId="09D2ABFA" w:rsidR="00D54401" w:rsidRPr="00B43EEE" w:rsidRDefault="00D54401" w:rsidP="002F5E01">
      <w:pPr>
        <w:pStyle w:val="Bulletpoint"/>
      </w:pPr>
      <w:r w:rsidRPr="00B43EEE">
        <w:t xml:space="preserve">Sen, A. (1999) </w:t>
      </w:r>
      <w:r w:rsidRPr="00B43EEE">
        <w:rPr>
          <w:i/>
          <w:iCs/>
        </w:rPr>
        <w:t>Development as Freedom</w:t>
      </w:r>
      <w:r w:rsidR="00E22D2F">
        <w:t>,</w:t>
      </w:r>
      <w:r w:rsidR="00E22D2F" w:rsidRPr="00B43EEE">
        <w:t xml:space="preserve"> </w:t>
      </w:r>
      <w:r w:rsidRPr="00B43EEE">
        <w:t>New York: Knopf.</w:t>
      </w:r>
    </w:p>
    <w:p w14:paraId="1992B648" w14:textId="721C50C9" w:rsidR="00D54401" w:rsidRPr="00B43EEE" w:rsidRDefault="00D54401" w:rsidP="002F5E01">
      <w:pPr>
        <w:pStyle w:val="Bulletpoint"/>
      </w:pPr>
      <w:r w:rsidRPr="00B43EEE">
        <w:t xml:space="preserve">Sen, A. (2009) </w:t>
      </w:r>
      <w:r w:rsidRPr="00B43EEE">
        <w:rPr>
          <w:i/>
          <w:iCs/>
        </w:rPr>
        <w:t>The Idea of Justice</w:t>
      </w:r>
      <w:r w:rsidR="0032348A">
        <w:t xml:space="preserve">, </w:t>
      </w:r>
      <w:r w:rsidRPr="00B43EEE">
        <w:t>Cambridge, MA.: Belknap Press.</w:t>
      </w:r>
    </w:p>
    <w:p w14:paraId="07675AA2" w14:textId="77777777" w:rsidR="00D54401" w:rsidRPr="00B43EEE" w:rsidRDefault="00D54401" w:rsidP="002F5E01"/>
    <w:p w14:paraId="25D654CF" w14:textId="1150B5BD" w:rsidR="00632437" w:rsidRPr="00B43EEE" w:rsidRDefault="00632437" w:rsidP="002F5E01">
      <w:r w:rsidRPr="00B43EEE">
        <w:t>Universal Basic Services</w:t>
      </w:r>
      <w:r w:rsidR="003177B1" w:rsidRPr="00B43EEE">
        <w:t xml:space="preserve"> and the Foundational Economy</w:t>
      </w:r>
    </w:p>
    <w:p w14:paraId="0BC3C3FA" w14:textId="6D771E1A" w:rsidR="003177B1" w:rsidRPr="004E16EE" w:rsidRDefault="003177B1" w:rsidP="002F5E01">
      <w:pPr>
        <w:pStyle w:val="Bulletpoint"/>
        <w:rPr>
          <w:rFonts w:asciiTheme="minorHAnsi" w:hAnsiTheme="minorHAnsi"/>
          <w:bCs/>
          <w:lang w:val="en-US"/>
        </w:rPr>
      </w:pPr>
      <w:r w:rsidRPr="00B43EEE">
        <w:rPr>
          <w:shd w:val="clear" w:color="auto" w:fill="FFFFFF"/>
        </w:rPr>
        <w:t>Bentham, J., Bowman, A., de la Cuesta, M., Engelen, E., Ertürk, I., Folkman, P.,</w:t>
      </w:r>
      <w:r w:rsidR="00AE0A0B">
        <w:rPr>
          <w:shd w:val="clear" w:color="auto" w:fill="FFFFFF"/>
        </w:rPr>
        <w:t xml:space="preserve"> Froud, J., Johal, S., Law, J., Leaver, A., Moran, M. a</w:t>
      </w:r>
      <w:r w:rsidR="005B0D7F">
        <w:rPr>
          <w:shd w:val="clear" w:color="auto" w:fill="FFFFFF"/>
        </w:rPr>
        <w:t>nd</w:t>
      </w:r>
      <w:r w:rsidRPr="00B43EEE">
        <w:rPr>
          <w:shd w:val="clear" w:color="auto" w:fill="FFFFFF"/>
        </w:rPr>
        <w:t xml:space="preserve"> Williams, K. (2013) </w:t>
      </w:r>
      <w:r w:rsidRPr="00335EA7">
        <w:rPr>
          <w:i/>
          <w:iCs/>
          <w:shd w:val="clear" w:color="auto" w:fill="FFFFFF"/>
        </w:rPr>
        <w:t xml:space="preserve">Manifesto for the </w:t>
      </w:r>
      <w:r w:rsidR="00A31F9B" w:rsidRPr="00335EA7">
        <w:rPr>
          <w:i/>
          <w:iCs/>
          <w:shd w:val="clear" w:color="auto" w:fill="FFFFFF"/>
        </w:rPr>
        <w:t>Foundational Economy</w:t>
      </w:r>
      <w:r w:rsidR="004E16EE" w:rsidRPr="004E16EE">
        <w:rPr>
          <w:shd w:val="clear" w:color="auto" w:fill="FFFFFF"/>
        </w:rPr>
        <w:t xml:space="preserve">, </w:t>
      </w:r>
      <w:r w:rsidRPr="00335EA7">
        <w:rPr>
          <w:shd w:val="clear" w:color="auto" w:fill="FFFFFF"/>
        </w:rPr>
        <w:t>Manchester: Centre for Research on Socio-Cultural Change</w:t>
      </w:r>
      <w:r w:rsidRPr="004E16EE">
        <w:rPr>
          <w:shd w:val="clear" w:color="auto" w:fill="FFFFFF"/>
        </w:rPr>
        <w:t>.</w:t>
      </w:r>
    </w:p>
    <w:p w14:paraId="006E3BA1" w14:textId="1D3A3452" w:rsidR="003177B1" w:rsidRPr="00B43EEE" w:rsidRDefault="003177B1" w:rsidP="002F5E01">
      <w:pPr>
        <w:pStyle w:val="Bulletpoint"/>
        <w:rPr>
          <w:rFonts w:asciiTheme="minorHAnsi" w:hAnsiTheme="minorHAnsi"/>
          <w:bCs/>
          <w:lang w:val="en-US"/>
        </w:rPr>
      </w:pPr>
      <w:r w:rsidRPr="00B43EEE">
        <w:rPr>
          <w:shd w:val="clear" w:color="auto" w:fill="FFFFFF"/>
        </w:rPr>
        <w:t xml:space="preserve">Büchs, M. (2021) </w:t>
      </w:r>
      <w:r w:rsidR="00870CB7">
        <w:rPr>
          <w:shd w:val="clear" w:color="auto" w:fill="FFFFFF"/>
        </w:rPr>
        <w:t>‘</w:t>
      </w:r>
      <w:r w:rsidRPr="00B43EEE">
        <w:rPr>
          <w:shd w:val="clear" w:color="auto" w:fill="FFFFFF"/>
        </w:rPr>
        <w:t xml:space="preserve">Sustainable welfare: </w:t>
      </w:r>
      <w:r w:rsidR="001E1A99" w:rsidRPr="00B43EEE">
        <w:rPr>
          <w:shd w:val="clear" w:color="auto" w:fill="FFFFFF"/>
        </w:rPr>
        <w:t xml:space="preserve">how </w:t>
      </w:r>
      <w:r w:rsidRPr="00B43EEE">
        <w:rPr>
          <w:shd w:val="clear" w:color="auto" w:fill="FFFFFF"/>
        </w:rPr>
        <w:t>do universal basic income and universal basic services compare?</w:t>
      </w:r>
      <w:r w:rsidR="00870CB7">
        <w:rPr>
          <w:shd w:val="clear" w:color="auto" w:fill="FFFFFF"/>
        </w:rPr>
        <w:t>’,</w:t>
      </w:r>
      <w:r w:rsidRPr="00B43EEE">
        <w:rPr>
          <w:shd w:val="clear" w:color="auto" w:fill="FFFFFF"/>
        </w:rPr>
        <w:t> </w:t>
      </w:r>
      <w:r w:rsidRPr="00B43EEE">
        <w:rPr>
          <w:i/>
          <w:iCs/>
          <w:shd w:val="clear" w:color="auto" w:fill="FFFFFF"/>
        </w:rPr>
        <w:t>Ecological Economics</w:t>
      </w:r>
      <w:r w:rsidRPr="00B43EEE">
        <w:rPr>
          <w:shd w:val="clear" w:color="auto" w:fill="FFFFFF"/>
        </w:rPr>
        <w:t>, </w:t>
      </w:r>
      <w:r w:rsidRPr="00B43EEE">
        <w:rPr>
          <w:i/>
          <w:iCs/>
          <w:shd w:val="clear" w:color="auto" w:fill="FFFFFF"/>
        </w:rPr>
        <w:t>189</w:t>
      </w:r>
      <w:r w:rsidRPr="00B43EEE">
        <w:rPr>
          <w:shd w:val="clear" w:color="auto" w:fill="FFFFFF"/>
        </w:rPr>
        <w:t>, 107152.</w:t>
      </w:r>
    </w:p>
    <w:p w14:paraId="528FFC4E" w14:textId="141320A8" w:rsidR="003177B1" w:rsidRPr="00B43EEE" w:rsidRDefault="003177B1" w:rsidP="002F5E01">
      <w:pPr>
        <w:pStyle w:val="Bulletpoint"/>
        <w:rPr>
          <w:rFonts w:asciiTheme="minorHAnsi" w:hAnsiTheme="minorHAnsi"/>
          <w:bCs/>
          <w:lang w:val="en-US"/>
        </w:rPr>
      </w:pPr>
      <w:r w:rsidRPr="00B43EEE">
        <w:rPr>
          <w:shd w:val="clear" w:color="auto" w:fill="FFFFFF"/>
        </w:rPr>
        <w:t xml:space="preserve">Coote, A. (2021) </w:t>
      </w:r>
      <w:r w:rsidR="00870CB7">
        <w:rPr>
          <w:shd w:val="clear" w:color="auto" w:fill="FFFFFF"/>
        </w:rPr>
        <w:t>‘</w:t>
      </w:r>
      <w:r w:rsidRPr="00B43EEE">
        <w:rPr>
          <w:shd w:val="clear" w:color="auto" w:fill="FFFFFF"/>
        </w:rPr>
        <w:t>Universal basic services and sustainable consumption</w:t>
      </w:r>
      <w:r w:rsidR="00870CB7">
        <w:rPr>
          <w:shd w:val="clear" w:color="auto" w:fill="FFFFFF"/>
        </w:rPr>
        <w:t>’,</w:t>
      </w:r>
      <w:r w:rsidRPr="00B43EEE">
        <w:rPr>
          <w:shd w:val="clear" w:color="auto" w:fill="FFFFFF"/>
        </w:rPr>
        <w:t> </w:t>
      </w:r>
      <w:r w:rsidRPr="00B43EEE">
        <w:rPr>
          <w:i/>
          <w:iCs/>
          <w:shd w:val="clear" w:color="auto" w:fill="FFFFFF"/>
        </w:rPr>
        <w:t>Sustainability: Science, Practice and Policy</w:t>
      </w:r>
      <w:r w:rsidRPr="00B43EEE">
        <w:rPr>
          <w:shd w:val="clear" w:color="auto" w:fill="FFFFFF"/>
        </w:rPr>
        <w:t>, </w:t>
      </w:r>
      <w:r w:rsidRPr="00B43EEE">
        <w:rPr>
          <w:i/>
          <w:iCs/>
          <w:shd w:val="clear" w:color="auto" w:fill="FFFFFF"/>
        </w:rPr>
        <w:t>17</w:t>
      </w:r>
      <w:r w:rsidR="001E1A99">
        <w:rPr>
          <w:shd w:val="clear" w:color="auto" w:fill="FFFFFF"/>
        </w:rPr>
        <w:t xml:space="preserve">, </w:t>
      </w:r>
      <w:r w:rsidRPr="00B43EEE">
        <w:rPr>
          <w:shd w:val="clear" w:color="auto" w:fill="FFFFFF"/>
        </w:rPr>
        <w:t>1, 32</w:t>
      </w:r>
      <w:r w:rsidR="00E15745">
        <w:rPr>
          <w:shd w:val="clear" w:color="auto" w:fill="FFFFFF"/>
        </w:rPr>
        <w:t>–</w:t>
      </w:r>
      <w:r w:rsidRPr="00B43EEE">
        <w:rPr>
          <w:shd w:val="clear" w:color="auto" w:fill="FFFFFF"/>
        </w:rPr>
        <w:t>46.</w:t>
      </w:r>
    </w:p>
    <w:p w14:paraId="704207F6" w14:textId="2C4687F0" w:rsidR="003177B1" w:rsidRPr="00B43EEE" w:rsidRDefault="003177B1" w:rsidP="002F5E01">
      <w:pPr>
        <w:pStyle w:val="Bulletpoint"/>
      </w:pPr>
      <w:r w:rsidRPr="00B43EEE">
        <w:t xml:space="preserve">Coote, A. and Percy, A. (2020) </w:t>
      </w:r>
      <w:r w:rsidRPr="00B43EEE">
        <w:rPr>
          <w:i/>
          <w:iCs/>
        </w:rPr>
        <w:t>The Case for Universal Basic Services</w:t>
      </w:r>
      <w:r w:rsidRPr="00B43EEE">
        <w:t>, Cambridge: Polity Press.</w:t>
      </w:r>
    </w:p>
    <w:p w14:paraId="261E47B4" w14:textId="080BECCA" w:rsidR="00870CB7" w:rsidRDefault="003177B1" w:rsidP="002F5E01">
      <w:pPr>
        <w:pStyle w:val="Bulletpoint"/>
        <w:rPr>
          <w:shd w:val="clear" w:color="auto" w:fill="FFFFFF"/>
        </w:rPr>
      </w:pPr>
      <w:r w:rsidRPr="00B43EEE">
        <w:rPr>
          <w:shd w:val="clear" w:color="auto" w:fill="FFFFFF"/>
        </w:rPr>
        <w:lastRenderedPageBreak/>
        <w:t xml:space="preserve">Foundational Economy Collective (2018), </w:t>
      </w:r>
      <w:r w:rsidRPr="00B43EEE">
        <w:rPr>
          <w:i/>
          <w:iCs/>
          <w:shd w:val="clear" w:color="auto" w:fill="FFFFFF"/>
        </w:rPr>
        <w:t xml:space="preserve">Foundational Economy: </w:t>
      </w:r>
      <w:r w:rsidR="0029786E" w:rsidRPr="00B43EEE">
        <w:rPr>
          <w:i/>
          <w:iCs/>
          <w:shd w:val="clear" w:color="auto" w:fill="FFFFFF"/>
        </w:rPr>
        <w:t xml:space="preserve">The Infrastructure </w:t>
      </w:r>
      <w:r w:rsidRPr="00B43EEE">
        <w:rPr>
          <w:i/>
          <w:iCs/>
          <w:shd w:val="clear" w:color="auto" w:fill="FFFFFF"/>
        </w:rPr>
        <w:t xml:space="preserve">of </w:t>
      </w:r>
      <w:r w:rsidR="0029786E" w:rsidRPr="00B43EEE">
        <w:rPr>
          <w:i/>
          <w:iCs/>
          <w:shd w:val="clear" w:color="auto" w:fill="FFFFFF"/>
        </w:rPr>
        <w:t>Everyday Life</w:t>
      </w:r>
      <w:r w:rsidRPr="00B43EEE">
        <w:rPr>
          <w:i/>
          <w:iCs/>
          <w:shd w:val="clear" w:color="auto" w:fill="FFFFFF"/>
        </w:rPr>
        <w:t xml:space="preserve">, </w:t>
      </w:r>
      <w:r w:rsidRPr="00B43EEE">
        <w:rPr>
          <w:shd w:val="clear" w:color="auto" w:fill="FFFFFF"/>
        </w:rPr>
        <w:t>Manchester: Manchester University Press.</w:t>
      </w:r>
    </w:p>
    <w:p w14:paraId="3E602C1E" w14:textId="5B534F8A" w:rsidR="003177B1" w:rsidRPr="00B43EEE" w:rsidRDefault="003177B1" w:rsidP="002F5E01">
      <w:pPr>
        <w:pStyle w:val="Bulletpoint"/>
      </w:pPr>
      <w:r w:rsidRPr="00870CB7">
        <w:t xml:space="preserve">Gough I. (2019) ‘Universal basic services: </w:t>
      </w:r>
      <w:r w:rsidR="0029786E" w:rsidRPr="00870CB7">
        <w:t xml:space="preserve">a </w:t>
      </w:r>
      <w:r w:rsidRPr="00870CB7">
        <w:t xml:space="preserve">theoretical and moral framework’, </w:t>
      </w:r>
      <w:r w:rsidRPr="00870CB7">
        <w:rPr>
          <w:i/>
          <w:iCs/>
        </w:rPr>
        <w:t>Political Quarterly</w:t>
      </w:r>
      <w:r w:rsidRPr="00870CB7">
        <w:t>, 90, 3, 534</w:t>
      </w:r>
      <w:r w:rsidR="00E15745">
        <w:t>–</w:t>
      </w:r>
      <w:r w:rsidRPr="00870CB7">
        <w:t>42.</w:t>
      </w:r>
    </w:p>
    <w:p w14:paraId="3C465EE0" w14:textId="77777777" w:rsidR="003177B1" w:rsidRPr="00B43EEE" w:rsidRDefault="003177B1" w:rsidP="002F5E01">
      <w:r w:rsidRPr="00B43EEE">
        <w:t>Post-productivism, sustainability and work</w:t>
      </w:r>
    </w:p>
    <w:p w14:paraId="72B297BB" w14:textId="261F5220" w:rsidR="003177B1" w:rsidRPr="00B43EEE" w:rsidRDefault="003177B1" w:rsidP="002F5E01">
      <w:pPr>
        <w:pStyle w:val="Bulletpoint"/>
      </w:pPr>
      <w:r w:rsidRPr="00B43EEE">
        <w:t xml:space="preserve">Alcott, B. (2013) </w:t>
      </w:r>
      <w:r w:rsidR="00870CB7">
        <w:t>‘</w:t>
      </w:r>
      <w:r w:rsidRPr="00B43EEE">
        <w:t>Should degrowth embrace the job guarantee?</w:t>
      </w:r>
      <w:r w:rsidR="00870CB7">
        <w:t>’,</w:t>
      </w:r>
      <w:r w:rsidRPr="00B43EEE">
        <w:t xml:space="preserve"> </w:t>
      </w:r>
      <w:r w:rsidRPr="00B43EEE">
        <w:rPr>
          <w:i/>
          <w:iCs/>
        </w:rPr>
        <w:t>Journal of Cleaner Production</w:t>
      </w:r>
      <w:r w:rsidRPr="00B43EEE">
        <w:t>, 38, 56</w:t>
      </w:r>
      <w:r w:rsidR="00E15745">
        <w:t>–</w:t>
      </w:r>
      <w:r w:rsidRPr="00B43EEE">
        <w:t>60.</w:t>
      </w:r>
    </w:p>
    <w:p w14:paraId="4873D167" w14:textId="04519802" w:rsidR="003177B1" w:rsidRPr="00B43EEE" w:rsidRDefault="003177B1" w:rsidP="002F5E01">
      <w:pPr>
        <w:pStyle w:val="Bulletpoint"/>
      </w:pPr>
      <w:r w:rsidRPr="00B43EEE">
        <w:t>Barca, S. (2019a) ‘An alternative worth fighting for</w:t>
      </w:r>
      <w:r w:rsidR="00870CB7">
        <w:t>: d</w:t>
      </w:r>
      <w:r w:rsidRPr="00B43EEE">
        <w:t>egrowth and the liberation of work</w:t>
      </w:r>
      <w:r w:rsidR="00870CB7">
        <w:t>’</w:t>
      </w:r>
      <w:r w:rsidRPr="00B43EEE">
        <w:t xml:space="preserve">, in </w:t>
      </w:r>
      <w:r w:rsidR="0029786E">
        <w:t xml:space="preserve">E. </w:t>
      </w:r>
      <w:r w:rsidRPr="00B43EEE">
        <w:t>C</w:t>
      </w:r>
      <w:r w:rsidRPr="00B43EEE">
        <w:rPr>
          <w:shd w:val="clear" w:color="auto" w:fill="FFFFFF"/>
        </w:rPr>
        <w:t xml:space="preserve">hertkovskaya, </w:t>
      </w:r>
      <w:r w:rsidR="0029786E">
        <w:rPr>
          <w:shd w:val="clear" w:color="auto" w:fill="FFFFFF"/>
        </w:rPr>
        <w:t xml:space="preserve">A., </w:t>
      </w:r>
      <w:r w:rsidRPr="00B43EEE">
        <w:rPr>
          <w:shd w:val="clear" w:color="auto" w:fill="FFFFFF"/>
        </w:rPr>
        <w:t xml:space="preserve">Paulsson and </w:t>
      </w:r>
      <w:r w:rsidR="0029786E">
        <w:rPr>
          <w:shd w:val="clear" w:color="auto" w:fill="FFFFFF"/>
        </w:rPr>
        <w:t xml:space="preserve">S. </w:t>
      </w:r>
      <w:r w:rsidRPr="00B43EEE">
        <w:rPr>
          <w:shd w:val="clear" w:color="auto" w:fill="FFFFFF"/>
        </w:rPr>
        <w:t>Barca (eds</w:t>
      </w:r>
      <w:r w:rsidR="0029786E">
        <w:rPr>
          <w:shd w:val="clear" w:color="auto" w:fill="FFFFFF"/>
        </w:rPr>
        <w:t>.</w:t>
      </w:r>
      <w:r w:rsidRPr="00B43EEE">
        <w:rPr>
          <w:shd w:val="clear" w:color="auto" w:fill="FFFFFF"/>
        </w:rPr>
        <w:t>)</w:t>
      </w:r>
      <w:r w:rsidR="0029786E">
        <w:rPr>
          <w:shd w:val="clear" w:color="auto" w:fill="FFFFFF"/>
        </w:rPr>
        <w:t>,</w:t>
      </w:r>
      <w:r w:rsidRPr="00B43EEE">
        <w:rPr>
          <w:shd w:val="clear" w:color="auto" w:fill="FFFFFF"/>
        </w:rPr>
        <w:t xml:space="preserve"> </w:t>
      </w:r>
      <w:r w:rsidRPr="00B43EEE">
        <w:rPr>
          <w:i/>
          <w:iCs/>
        </w:rPr>
        <w:t xml:space="preserve">Towards a </w:t>
      </w:r>
      <w:r w:rsidR="0029786E" w:rsidRPr="00B43EEE">
        <w:rPr>
          <w:i/>
          <w:iCs/>
        </w:rPr>
        <w:t xml:space="preserve">Political Economy </w:t>
      </w:r>
      <w:r w:rsidRPr="00B43EEE">
        <w:rPr>
          <w:i/>
          <w:iCs/>
        </w:rPr>
        <w:t xml:space="preserve">of </w:t>
      </w:r>
      <w:r w:rsidR="0029786E" w:rsidRPr="00B43EEE">
        <w:rPr>
          <w:i/>
          <w:iCs/>
        </w:rPr>
        <w:t>Degrowth</w:t>
      </w:r>
      <w:r w:rsidRPr="00B43EEE">
        <w:t xml:space="preserve">, </w:t>
      </w:r>
      <w:r w:rsidR="004D5FE9">
        <w:t xml:space="preserve">London and New York: </w:t>
      </w:r>
      <w:r w:rsidRPr="00B43EEE">
        <w:t>Rowman</w:t>
      </w:r>
      <w:r w:rsidR="006D0ED0">
        <w:t xml:space="preserve"> </w:t>
      </w:r>
      <w:r w:rsidR="004D5FE9">
        <w:t>and</w:t>
      </w:r>
      <w:r w:rsidRPr="00B43EEE">
        <w:t xml:space="preserve"> Littlefield, 175</w:t>
      </w:r>
      <w:r w:rsidR="00E15745">
        <w:t>–</w:t>
      </w:r>
      <w:r w:rsidRPr="00B43EEE">
        <w:t>192.</w:t>
      </w:r>
    </w:p>
    <w:p w14:paraId="1E35289F" w14:textId="64330A4A" w:rsidR="003177B1" w:rsidRPr="00B43EEE" w:rsidRDefault="003177B1" w:rsidP="002F5E01">
      <w:pPr>
        <w:pStyle w:val="Bulletpoint"/>
      </w:pPr>
      <w:r w:rsidRPr="00B43EEE">
        <w:t xml:space="preserve">Barry, J. (2019) 'Green republicanism and a ‘Just Transition’ from the tyranny of economic growth', </w:t>
      </w:r>
      <w:r w:rsidRPr="00B43EEE">
        <w:rPr>
          <w:i/>
          <w:iCs/>
        </w:rPr>
        <w:t>Critical Review of International Social and Political Philosophy</w:t>
      </w:r>
      <w:r w:rsidR="004D5FE9">
        <w:t xml:space="preserve">, </w:t>
      </w:r>
      <w:r w:rsidR="004B1E99">
        <w:t xml:space="preserve">24, 5, </w:t>
      </w:r>
      <w:r w:rsidR="004B1E99" w:rsidRPr="004B1E99">
        <w:t>725</w:t>
      </w:r>
      <w:r w:rsidR="00E15745">
        <w:t>–</w:t>
      </w:r>
      <w:r w:rsidR="004B1E99" w:rsidRPr="004B1E99">
        <w:t>742</w:t>
      </w:r>
      <w:r w:rsidR="004B1E99">
        <w:t>.</w:t>
      </w:r>
    </w:p>
    <w:p w14:paraId="78642B2F" w14:textId="5322C729" w:rsidR="003177B1" w:rsidRPr="00B43EEE" w:rsidRDefault="003177B1" w:rsidP="002F5E01">
      <w:pPr>
        <w:pStyle w:val="Bulletpoint"/>
      </w:pPr>
      <w:r w:rsidRPr="00B43EEE">
        <w:t>Deranty, J-</w:t>
      </w:r>
      <w:r w:rsidR="00BC3B21">
        <w:t>P</w:t>
      </w:r>
      <w:r w:rsidRPr="00B43EEE">
        <w:t xml:space="preserve">. (2021) </w:t>
      </w:r>
      <w:r w:rsidR="00870CB7">
        <w:t>‘</w:t>
      </w:r>
      <w:r w:rsidRPr="00B43EEE">
        <w:t>Post work as an oxymoron: we cannot and should not, wish work away</w:t>
      </w:r>
      <w:r w:rsidR="00870CB7">
        <w:t>’,</w:t>
      </w:r>
      <w:r w:rsidRPr="00B43EEE">
        <w:t xml:space="preserve"> </w:t>
      </w:r>
      <w:r w:rsidRPr="00B43EEE">
        <w:rPr>
          <w:i/>
          <w:iCs/>
        </w:rPr>
        <w:t>European Journal of Social Theory</w:t>
      </w:r>
      <w:r w:rsidRPr="00B43EEE">
        <w:t>, 1</w:t>
      </w:r>
      <w:r w:rsidR="00E15745">
        <w:t>–</w:t>
      </w:r>
      <w:r w:rsidRPr="00B43EEE">
        <w:t xml:space="preserve">18, </w:t>
      </w:r>
      <w:r w:rsidR="00BC3B21">
        <w:t>DOI</w:t>
      </w:r>
      <w:r w:rsidRPr="00B43EEE">
        <w:t>:</w:t>
      </w:r>
      <w:r w:rsidR="00BC3B21">
        <w:t xml:space="preserve"> doi.org/</w:t>
      </w:r>
      <w:r w:rsidRPr="00B43EEE">
        <w:t>10.1177/13684310211012169</w:t>
      </w:r>
      <w:r w:rsidR="00BC3B21">
        <w:t>.</w:t>
      </w:r>
    </w:p>
    <w:p w14:paraId="35D99898" w14:textId="2E41AB60" w:rsidR="003177B1" w:rsidRPr="00B43EEE" w:rsidRDefault="003177B1" w:rsidP="002F5E01">
      <w:pPr>
        <w:pStyle w:val="Bulletpoint"/>
      </w:pPr>
      <w:r w:rsidRPr="00B43EEE">
        <w:t xml:space="preserve">Fitzpatrick (2021) </w:t>
      </w:r>
      <w:r w:rsidR="00870CB7">
        <w:t>‘</w:t>
      </w:r>
      <w:r w:rsidRPr="00B43EEE">
        <w:t xml:space="preserve">Paradigm </w:t>
      </w:r>
      <w:r w:rsidR="006742D6" w:rsidRPr="00B43EEE">
        <w:t>lost</w:t>
      </w:r>
      <w:r w:rsidRPr="00B43EEE">
        <w:t xml:space="preserve">? </w:t>
      </w:r>
      <w:r w:rsidR="006742D6" w:rsidRPr="00B43EEE">
        <w:t xml:space="preserve">Blocking </w:t>
      </w:r>
      <w:r w:rsidRPr="00B43EEE">
        <w:t>the path to eco</w:t>
      </w:r>
      <w:r w:rsidR="00870CB7">
        <w:t>-</w:t>
      </w:r>
      <w:r w:rsidRPr="00B43EEE">
        <w:t>social welfare and post-productivism</w:t>
      </w:r>
      <w:r w:rsidR="00870CB7">
        <w:t>’,</w:t>
      </w:r>
      <w:r w:rsidRPr="00B43EEE">
        <w:t xml:space="preserve"> in </w:t>
      </w:r>
      <w:r w:rsidR="006742D6">
        <w:t xml:space="preserve">C. </w:t>
      </w:r>
      <w:r w:rsidRPr="00B43EEE">
        <w:t>Deeming (ed</w:t>
      </w:r>
      <w:r w:rsidR="006742D6">
        <w:t>.</w:t>
      </w:r>
      <w:r w:rsidRPr="00B43EEE">
        <w:t>)</w:t>
      </w:r>
      <w:r w:rsidR="006742D6">
        <w:t>,</w:t>
      </w:r>
      <w:r w:rsidRPr="00B43EEE">
        <w:t xml:space="preserve"> </w:t>
      </w:r>
      <w:r w:rsidRPr="00B43EEE">
        <w:rPr>
          <w:i/>
          <w:iCs/>
        </w:rPr>
        <w:t>The Struggle for Social Sustainability</w:t>
      </w:r>
      <w:r w:rsidRPr="00B43EEE">
        <w:t>, Bristol: Policy Press, 129</w:t>
      </w:r>
      <w:r w:rsidR="00E15745">
        <w:t>–</w:t>
      </w:r>
      <w:r w:rsidRPr="00B43EEE">
        <w:t>149.</w:t>
      </w:r>
    </w:p>
    <w:p w14:paraId="77BFD60F" w14:textId="609B0EF6" w:rsidR="003177B1" w:rsidRPr="00B43EEE" w:rsidRDefault="003177B1" w:rsidP="002F5E01">
      <w:pPr>
        <w:pStyle w:val="Bulletpoint"/>
        <w:rPr>
          <w:lang w:val="en-US"/>
        </w:rPr>
      </w:pPr>
      <w:r w:rsidRPr="00B43EEE">
        <w:rPr>
          <w:lang w:val="en-US"/>
        </w:rPr>
        <w:t xml:space="preserve">Fitzpatrick, T. (2004) ‘A </w:t>
      </w:r>
      <w:r w:rsidR="006742D6" w:rsidRPr="00B43EEE">
        <w:rPr>
          <w:lang w:val="en-US"/>
        </w:rPr>
        <w:t>post-productivist future for social democracy</w:t>
      </w:r>
      <w:r w:rsidRPr="00B43EEE">
        <w:rPr>
          <w:lang w:val="en-US"/>
        </w:rPr>
        <w:t xml:space="preserve">?’, </w:t>
      </w:r>
      <w:r w:rsidRPr="00B43EEE">
        <w:rPr>
          <w:i/>
          <w:iCs/>
          <w:lang w:val="en-US"/>
        </w:rPr>
        <w:t>Social Policy and Society</w:t>
      </w:r>
      <w:r w:rsidRPr="00B43EEE">
        <w:rPr>
          <w:lang w:val="en-US"/>
        </w:rPr>
        <w:t>, 3</w:t>
      </w:r>
      <w:r w:rsidR="006742D6">
        <w:rPr>
          <w:lang w:val="en-US"/>
        </w:rPr>
        <w:t xml:space="preserve">, </w:t>
      </w:r>
      <w:r w:rsidRPr="00B43EEE">
        <w:rPr>
          <w:lang w:val="en-US"/>
        </w:rPr>
        <w:t xml:space="preserve">3, 213–222. </w:t>
      </w:r>
    </w:p>
    <w:p w14:paraId="1583EB4C" w14:textId="77777777" w:rsidR="003177B1" w:rsidRPr="006742D6" w:rsidRDefault="003177B1" w:rsidP="002F5E01">
      <w:pPr>
        <w:pStyle w:val="Bulletpoint"/>
      </w:pPr>
      <w:r w:rsidRPr="006742D6">
        <w:t xml:space="preserve">Goodin, R. E. (2001) 'Work and welfare: towards a post-productivist welfare regime', </w:t>
      </w:r>
      <w:r w:rsidRPr="00335EA7">
        <w:t xml:space="preserve">British Journal of Political </w:t>
      </w:r>
      <w:r w:rsidRPr="006742D6">
        <w:t>Science, 31, 1, 13–39.</w:t>
      </w:r>
    </w:p>
    <w:p w14:paraId="00E6812E" w14:textId="25369B56" w:rsidR="003177B1" w:rsidRPr="00335EA7" w:rsidRDefault="003177B1" w:rsidP="002F5E01">
      <w:pPr>
        <w:pStyle w:val="Bulletpoint"/>
      </w:pPr>
      <w:r w:rsidRPr="00335EA7">
        <w:t xml:space="preserve">Hoffmann, M. and Paulsen, R. (2020) </w:t>
      </w:r>
      <w:r w:rsidR="00870CB7" w:rsidRPr="00335EA7">
        <w:t>‘</w:t>
      </w:r>
      <w:r w:rsidRPr="00335EA7">
        <w:t xml:space="preserve">Resolving the ‘jobs-environment dilemma’? </w:t>
      </w:r>
      <w:r w:rsidRPr="006742D6">
        <w:t>The case for critiques of work in sustainability research</w:t>
      </w:r>
      <w:r w:rsidR="00870CB7" w:rsidRPr="006742D6">
        <w:t>’</w:t>
      </w:r>
      <w:r w:rsidRPr="006742D6">
        <w:t xml:space="preserve">, </w:t>
      </w:r>
      <w:r w:rsidRPr="006742D6">
        <w:rPr>
          <w:i/>
          <w:iCs/>
        </w:rPr>
        <w:t>Environmental Sociology</w:t>
      </w:r>
      <w:r w:rsidRPr="006742D6">
        <w:t>, 6</w:t>
      </w:r>
      <w:r w:rsidR="006742D6">
        <w:t xml:space="preserve">, </w:t>
      </w:r>
      <w:r w:rsidRPr="006742D6">
        <w:t>4, 343</w:t>
      </w:r>
      <w:r w:rsidR="00E15745">
        <w:t>–</w:t>
      </w:r>
      <w:r w:rsidRPr="006742D6">
        <w:t>354.</w:t>
      </w:r>
    </w:p>
    <w:p w14:paraId="25F66887" w14:textId="5398AB73" w:rsidR="003177B1" w:rsidRPr="006742D6" w:rsidRDefault="003177B1" w:rsidP="002F5E01">
      <w:pPr>
        <w:pStyle w:val="Bulletpoint"/>
      </w:pPr>
      <w:r w:rsidRPr="006742D6">
        <w:t xml:space="preserve">Jackson, T. (2021) </w:t>
      </w:r>
      <w:r w:rsidRPr="00335EA7">
        <w:rPr>
          <w:i/>
          <w:iCs/>
        </w:rPr>
        <w:t>Post Growth: Life after Capitalism</w:t>
      </w:r>
      <w:r w:rsidRPr="006742D6">
        <w:t xml:space="preserve">, </w:t>
      </w:r>
      <w:r w:rsidR="008C644E">
        <w:t xml:space="preserve">Cambridge: </w:t>
      </w:r>
      <w:r w:rsidRPr="006742D6">
        <w:t>Polity</w:t>
      </w:r>
      <w:r w:rsidR="006742D6">
        <w:t xml:space="preserve"> Press</w:t>
      </w:r>
      <w:r w:rsidRPr="006742D6">
        <w:t>.</w:t>
      </w:r>
    </w:p>
    <w:p w14:paraId="7914B9F7" w14:textId="3AF208EF" w:rsidR="003177B1" w:rsidRPr="006742D6" w:rsidRDefault="003177B1" w:rsidP="002F5E01">
      <w:pPr>
        <w:pStyle w:val="Bulletpoint"/>
      </w:pPr>
      <w:r w:rsidRPr="006742D6">
        <w:lastRenderedPageBreak/>
        <w:t xml:space="preserve">Weeks, K. (2011) </w:t>
      </w:r>
      <w:r w:rsidRPr="008C644E">
        <w:rPr>
          <w:i/>
          <w:iCs/>
        </w:rPr>
        <w:t>The Problem with Work</w:t>
      </w:r>
      <w:r w:rsidRPr="006742D6">
        <w:t>, Durham</w:t>
      </w:r>
      <w:r w:rsidR="008C644E">
        <w:t>,</w:t>
      </w:r>
      <w:r w:rsidRPr="006742D6">
        <w:t xml:space="preserve"> NC: Duke </w:t>
      </w:r>
      <w:r w:rsidR="008C644E">
        <w:t>University Press.</w:t>
      </w:r>
    </w:p>
    <w:p w14:paraId="37EA8D95" w14:textId="77777777" w:rsidR="003177B1" w:rsidRPr="00B43EEE" w:rsidRDefault="003177B1" w:rsidP="002F5E01"/>
    <w:p w14:paraId="75270CC9" w14:textId="24F482F9" w:rsidR="00505C9D" w:rsidRDefault="00505C9D" w:rsidP="002F5E01">
      <w:r>
        <w:t>Care and social reproduction</w:t>
      </w:r>
    </w:p>
    <w:p w14:paraId="636E7478" w14:textId="724D98BB" w:rsidR="00870CB7" w:rsidRPr="00870CB7" w:rsidRDefault="00870CB7" w:rsidP="002F5E01">
      <w:pPr>
        <w:pStyle w:val="Bulletpoint"/>
        <w:rPr>
          <w:color w:val="0D0D0D" w:themeColor="text1" w:themeTint="F2"/>
        </w:rPr>
      </w:pPr>
      <w:r w:rsidRPr="00870CB7">
        <w:t>Barry</w:t>
      </w:r>
      <w:r>
        <w:t>,</w:t>
      </w:r>
      <w:r w:rsidRPr="00870CB7">
        <w:t xml:space="preserve"> U</w:t>
      </w:r>
      <w:r>
        <w:t>. (</w:t>
      </w:r>
      <w:r w:rsidRPr="00870CB7">
        <w:t>2021</w:t>
      </w:r>
      <w:r>
        <w:t>)</w:t>
      </w:r>
      <w:r w:rsidRPr="00870CB7">
        <w:t xml:space="preserve"> </w:t>
      </w:r>
      <w:r w:rsidR="008C644E" w:rsidRPr="008C644E">
        <w:t>Gender Equality: Economic Value of Care from the Perspective of the Applicable EU Funds an Exploration of an EU Strategy Towards Valuing the Care Economy</w:t>
      </w:r>
      <w:r w:rsidRPr="00870CB7">
        <w:t>, Brussels</w:t>
      </w:r>
      <w:r>
        <w:t>:</w:t>
      </w:r>
      <w:r w:rsidRPr="00870CB7">
        <w:t xml:space="preserve"> European Parliament</w:t>
      </w:r>
      <w:r w:rsidR="008C644E">
        <w:t>.</w:t>
      </w:r>
    </w:p>
    <w:p w14:paraId="1F7716CF" w14:textId="5D13058E" w:rsidR="00870CB7" w:rsidRPr="00870CB7" w:rsidRDefault="00870CB7" w:rsidP="002F5E01">
      <w:pPr>
        <w:pStyle w:val="Bulletpoint"/>
        <w:rPr>
          <w:color w:val="0D0D0D" w:themeColor="text1" w:themeTint="F2"/>
        </w:rPr>
      </w:pPr>
      <w:r w:rsidRPr="00870CB7">
        <w:t xml:space="preserve">Dowling, E. (2021) </w:t>
      </w:r>
      <w:r w:rsidR="008C644E" w:rsidRPr="008C644E">
        <w:t>The Care Crisis</w:t>
      </w:r>
      <w:r w:rsidR="00840654">
        <w:t>:</w:t>
      </w:r>
      <w:r w:rsidR="008C644E" w:rsidRPr="008C644E">
        <w:t xml:space="preserve"> What Caused It </w:t>
      </w:r>
      <w:r w:rsidR="00840654" w:rsidRPr="008C644E">
        <w:t xml:space="preserve">and </w:t>
      </w:r>
      <w:r w:rsidR="008C644E" w:rsidRPr="008C644E">
        <w:t>How Can We End It</w:t>
      </w:r>
      <w:r>
        <w:t xml:space="preserve">, </w:t>
      </w:r>
      <w:r w:rsidRPr="00870CB7">
        <w:t>London-New York</w:t>
      </w:r>
      <w:r>
        <w:t>: Verso.</w:t>
      </w:r>
    </w:p>
    <w:p w14:paraId="36B2B64D" w14:textId="4916006A" w:rsidR="00870CB7" w:rsidRPr="00870CB7" w:rsidRDefault="00870CB7" w:rsidP="002F5E01">
      <w:pPr>
        <w:pStyle w:val="Bulletpoint"/>
        <w:rPr>
          <w:color w:val="0D0D0D" w:themeColor="text1" w:themeTint="F2"/>
        </w:rPr>
      </w:pPr>
      <w:r w:rsidRPr="00870CB7">
        <w:t>E</w:t>
      </w:r>
      <w:r>
        <w:t xml:space="preserve">uropean Institute for Gender Equality </w:t>
      </w:r>
      <w:r w:rsidRPr="00870CB7">
        <w:t xml:space="preserve">(2020) </w:t>
      </w:r>
      <w:r w:rsidRPr="00870CB7">
        <w:rPr>
          <w:i/>
          <w:iCs/>
        </w:rPr>
        <w:t>Gender Inequalities in Care and Consequences for the Labour Market</w:t>
      </w:r>
      <w:r w:rsidR="00840654">
        <w:t>,</w:t>
      </w:r>
      <w:r w:rsidRPr="00870CB7">
        <w:t xml:space="preserve"> </w:t>
      </w:r>
      <w:hyperlink r:id="rId13" w:history="1">
        <w:r w:rsidR="00C75A7D" w:rsidRPr="006C794F">
          <w:rPr>
            <w:rStyle w:val="Hyperlink"/>
          </w:rPr>
          <w:t>https://eige.europa.eu/publications/gender-inequalities-care-and-consequences-labour-market</w:t>
        </w:r>
      </w:hyperlink>
      <w:r w:rsidR="00C75A7D">
        <w:t xml:space="preserve"> [accessed </w:t>
      </w:r>
      <w:r w:rsidR="009B7699">
        <w:t>0</w:t>
      </w:r>
      <w:r w:rsidR="001C390E">
        <w:t>9.</w:t>
      </w:r>
      <w:r w:rsidR="009B7699">
        <w:t>0</w:t>
      </w:r>
      <w:r w:rsidR="001C390E">
        <w:t>9.2021</w:t>
      </w:r>
      <w:r w:rsidR="00C75A7D">
        <w:t>]</w:t>
      </w:r>
      <w:r w:rsidRPr="00870CB7">
        <w:t>.</w:t>
      </w:r>
    </w:p>
    <w:p w14:paraId="01087D2C" w14:textId="1F034DC6" w:rsidR="00870CB7" w:rsidRPr="00870CB7" w:rsidRDefault="00870CB7" w:rsidP="00335EA7">
      <w:pPr>
        <w:pStyle w:val="Bulletpoint"/>
        <w:rPr>
          <w:color w:val="0D0D0D" w:themeColor="text1" w:themeTint="F2"/>
        </w:rPr>
      </w:pPr>
      <w:r w:rsidRPr="00870CB7">
        <w:t>Elson</w:t>
      </w:r>
      <w:r>
        <w:t>,</w:t>
      </w:r>
      <w:r w:rsidRPr="00870CB7">
        <w:t xml:space="preserve"> D</w:t>
      </w:r>
      <w:r>
        <w:t>.</w:t>
      </w:r>
      <w:r w:rsidRPr="00870CB7">
        <w:t xml:space="preserve"> </w:t>
      </w:r>
      <w:r>
        <w:t>(</w:t>
      </w:r>
      <w:r w:rsidRPr="000B487F">
        <w:t>201</w:t>
      </w:r>
      <w:r w:rsidR="0038643C">
        <w:t>2</w:t>
      </w:r>
      <w:r w:rsidRPr="000B487F">
        <w:t xml:space="preserve">) </w:t>
      </w:r>
      <w:r w:rsidR="000B487F">
        <w:t>‘</w:t>
      </w:r>
      <w:r w:rsidR="001C390E">
        <w:t>S</w:t>
      </w:r>
      <w:r w:rsidR="000B487F" w:rsidRPr="000B487F">
        <w:t xml:space="preserve">ocial </w:t>
      </w:r>
      <w:r w:rsidR="0038643C">
        <w:t>R</w:t>
      </w:r>
      <w:r w:rsidR="000B487F" w:rsidRPr="000B487F">
        <w:t>eproduction</w:t>
      </w:r>
      <w:r w:rsidRPr="000B487F">
        <w:t xml:space="preserve"> in the</w:t>
      </w:r>
      <w:r w:rsidRPr="00335EA7">
        <w:rPr>
          <w:i/>
          <w:iCs/>
        </w:rPr>
        <w:t xml:space="preserve"> </w:t>
      </w:r>
      <w:r w:rsidRPr="00CD1323">
        <w:t>Global Recovery</w:t>
      </w:r>
      <w:r w:rsidR="001C390E">
        <w:t>: Rapid Reovcery or Long-Lasting Depletion?’, in P. Utting, R.V. Buch</w:t>
      </w:r>
      <w:r w:rsidR="0038643C">
        <w:t>h</w:t>
      </w:r>
      <w:r w:rsidR="001C390E">
        <w:t>olz and</w:t>
      </w:r>
      <w:r w:rsidR="0038643C">
        <w:t xml:space="preserve"> S. Raavi (eds.), </w:t>
      </w:r>
      <w:r w:rsidR="0038643C">
        <w:rPr>
          <w:i/>
          <w:iCs/>
        </w:rPr>
        <w:t>The Global Crisis and Transformative Change,</w:t>
      </w:r>
      <w:r w:rsidRPr="00CD1323">
        <w:t xml:space="preserve"> </w:t>
      </w:r>
      <w:r w:rsidR="0038643C">
        <w:t>London: Palgrave,63-80</w:t>
      </w:r>
      <w:r>
        <w:t>.</w:t>
      </w:r>
      <w:r w:rsidRPr="00870CB7">
        <w:t xml:space="preserve"> </w:t>
      </w:r>
    </w:p>
    <w:p w14:paraId="4A217D4E" w14:textId="034A1A15" w:rsidR="00870CB7" w:rsidRPr="00870CB7" w:rsidRDefault="00870CB7" w:rsidP="002F5E01">
      <w:pPr>
        <w:pStyle w:val="Bulletpoint"/>
      </w:pPr>
      <w:r w:rsidRPr="00870CB7">
        <w:t>Fisher, B. and Tronto, J. (1990) 'Toward a feminist theory of caring'</w:t>
      </w:r>
      <w:r w:rsidR="00BB4F92">
        <w:t>,</w:t>
      </w:r>
      <w:r w:rsidRPr="00870CB7">
        <w:t xml:space="preserve"> in E. Abel and M. Nelson (eds.), </w:t>
      </w:r>
      <w:r w:rsidRPr="00870CB7">
        <w:rPr>
          <w:i/>
          <w:iCs/>
        </w:rPr>
        <w:t>Circles of Care: Work and Identity</w:t>
      </w:r>
      <w:r w:rsidRPr="00870CB7">
        <w:t>, Albany: SUNY Press, 35</w:t>
      </w:r>
      <w:r w:rsidR="00E15745">
        <w:t>–</w:t>
      </w:r>
      <w:r w:rsidRPr="00870CB7">
        <w:t>62.</w:t>
      </w:r>
    </w:p>
    <w:p w14:paraId="227B63F8" w14:textId="50C6085E" w:rsidR="00870CB7" w:rsidRPr="00870CB7" w:rsidRDefault="00870CB7" w:rsidP="002F5E01">
      <w:pPr>
        <w:pStyle w:val="Bulletpoint"/>
        <w:rPr>
          <w:color w:val="0D0D0D" w:themeColor="text1" w:themeTint="F2"/>
        </w:rPr>
      </w:pPr>
      <w:r w:rsidRPr="00870CB7">
        <w:t xml:space="preserve">Folbre, N. (2015) </w:t>
      </w:r>
      <w:r w:rsidRPr="00335EA7">
        <w:rPr>
          <w:i/>
          <w:iCs/>
        </w:rPr>
        <w:t>Valuing Non-</w:t>
      </w:r>
      <w:r w:rsidR="00083BC0" w:rsidRPr="00083BC0">
        <w:rPr>
          <w:i/>
          <w:iCs/>
        </w:rPr>
        <w:t xml:space="preserve">Market </w:t>
      </w:r>
      <w:r w:rsidRPr="00335EA7">
        <w:rPr>
          <w:i/>
          <w:iCs/>
        </w:rPr>
        <w:t>Work for UN Human Development Report</w:t>
      </w:r>
      <w:r w:rsidR="00B76697">
        <w:t xml:space="preserve">, </w:t>
      </w:r>
      <w:r w:rsidR="00B76697" w:rsidRPr="00870CB7">
        <w:t>Geneva</w:t>
      </w:r>
      <w:r w:rsidR="00B76697">
        <w:t xml:space="preserve">: </w:t>
      </w:r>
      <w:r w:rsidRPr="00870CB7">
        <w:t>UN Human Development Organisation</w:t>
      </w:r>
      <w:r w:rsidR="00B76697">
        <w:t xml:space="preserve">, </w:t>
      </w:r>
      <w:hyperlink r:id="rId14" w:history="1">
        <w:r w:rsidRPr="00870CB7">
          <w:rPr>
            <w:rStyle w:val="Hyperlink"/>
          </w:rPr>
          <w:t>http://hdr.undp.org/en/content/valuing-care-work</w:t>
        </w:r>
      </w:hyperlink>
      <w:r w:rsidR="00B76697">
        <w:t xml:space="preserve"> [accessed </w:t>
      </w:r>
      <w:r w:rsidR="009B7699">
        <w:t>0</w:t>
      </w:r>
      <w:r w:rsidR="001C390E">
        <w:t>9.</w:t>
      </w:r>
      <w:r w:rsidR="009B7699">
        <w:t>0</w:t>
      </w:r>
      <w:r w:rsidR="001C390E">
        <w:t>9</w:t>
      </w:r>
      <w:r w:rsidR="00B76697">
        <w:t>.</w:t>
      </w:r>
      <w:r w:rsidR="001C390E">
        <w:t>2021</w:t>
      </w:r>
      <w:r w:rsidR="00B76697">
        <w:t>]</w:t>
      </w:r>
      <w:r w:rsidR="00B76697" w:rsidRPr="00870CB7">
        <w:t>.</w:t>
      </w:r>
    </w:p>
    <w:p w14:paraId="72B6E38D" w14:textId="00E8E964" w:rsidR="00870CB7" w:rsidRPr="00870CB7" w:rsidRDefault="00870CB7" w:rsidP="002F5E01">
      <w:pPr>
        <w:pStyle w:val="Bulletpoint"/>
        <w:rPr>
          <w:color w:val="0D0D0D" w:themeColor="text1" w:themeTint="F2"/>
        </w:rPr>
      </w:pPr>
      <w:r w:rsidRPr="00870CB7">
        <w:t xml:space="preserve">Folbre, N. (2018) </w:t>
      </w:r>
      <w:r>
        <w:t>‘</w:t>
      </w:r>
      <w:r w:rsidR="008E2D94" w:rsidRPr="00870CB7">
        <w:t>The care penalty and gender inequality</w:t>
      </w:r>
      <w:r w:rsidR="008E2D94">
        <w:t>’</w:t>
      </w:r>
      <w:r>
        <w:t xml:space="preserve">, in </w:t>
      </w:r>
      <w:r w:rsidR="00083BC0">
        <w:t xml:space="preserve">S. </w:t>
      </w:r>
      <w:r>
        <w:t xml:space="preserve">Averett, </w:t>
      </w:r>
      <w:r w:rsidR="00083BC0">
        <w:t xml:space="preserve">L. </w:t>
      </w:r>
      <w:r>
        <w:t xml:space="preserve">Argys, and </w:t>
      </w:r>
      <w:r w:rsidR="00083BC0">
        <w:t xml:space="preserve">S. </w:t>
      </w:r>
      <w:r>
        <w:t>Hoffman (eds</w:t>
      </w:r>
      <w:r w:rsidR="00083BC0">
        <w:t>.</w:t>
      </w:r>
      <w:r>
        <w:t>)</w:t>
      </w:r>
      <w:r w:rsidR="00083BC0">
        <w:t>,</w:t>
      </w:r>
      <w:r w:rsidRPr="00870CB7">
        <w:t xml:space="preserve"> </w:t>
      </w:r>
      <w:r w:rsidRPr="00870CB7">
        <w:rPr>
          <w:i/>
          <w:iCs/>
        </w:rPr>
        <w:t>The Oxford Handbook of Women and the Economy</w:t>
      </w:r>
      <w:r w:rsidR="00083BC0">
        <w:rPr>
          <w:i/>
          <w:iCs/>
        </w:rPr>
        <w:t xml:space="preserve">, </w:t>
      </w:r>
      <w:r w:rsidR="00083BC0" w:rsidRPr="00335EA7">
        <w:t xml:space="preserve">Oxford: </w:t>
      </w:r>
      <w:r w:rsidRPr="00870CB7">
        <w:t xml:space="preserve">Oxford </w:t>
      </w:r>
      <w:r w:rsidR="008E2D94">
        <w:t>University Press</w:t>
      </w:r>
      <w:r w:rsidR="003020D9">
        <w:t>, DOI: doi.org/1</w:t>
      </w:r>
      <w:r w:rsidR="003020D9" w:rsidRPr="003020D9">
        <w:t>0.1093/oxfordhb/9780190628963.013.24</w:t>
      </w:r>
      <w:r w:rsidR="003020D9">
        <w:t>.</w:t>
      </w:r>
    </w:p>
    <w:p w14:paraId="6D449CD8" w14:textId="5EAB63C1" w:rsidR="00870CB7" w:rsidRPr="00870CB7" w:rsidRDefault="00870CB7" w:rsidP="002F5E01">
      <w:pPr>
        <w:pStyle w:val="Bulletpoint"/>
        <w:rPr>
          <w:color w:val="0D0D0D" w:themeColor="text1" w:themeTint="F2"/>
        </w:rPr>
      </w:pPr>
      <w:r w:rsidRPr="00870CB7">
        <w:t xml:space="preserve">Oxfam (2021) </w:t>
      </w:r>
      <w:r w:rsidR="003020D9">
        <w:t>‘</w:t>
      </w:r>
      <w:r w:rsidRPr="00870CB7">
        <w:t>Not all gaps are created equal the true value of care work</w:t>
      </w:r>
      <w:r w:rsidR="003020D9">
        <w:t xml:space="preserve">’, </w:t>
      </w:r>
      <w:hyperlink r:id="rId15" w:history="1">
        <w:r w:rsidR="003020D9" w:rsidRPr="003020D9">
          <w:rPr>
            <w:rStyle w:val="Hyperlink"/>
            <w:szCs w:val="22"/>
          </w:rPr>
          <w:t>https://www.oxfam.org/en/not-allgaps-are-created-equal-true-value-care-work</w:t>
        </w:r>
      </w:hyperlink>
      <w:r w:rsidR="003020D9">
        <w:t xml:space="preserve"> </w:t>
      </w:r>
      <w:r w:rsidR="003020D9" w:rsidRPr="00335EA7">
        <w:t>[accessed 30.04.2021</w:t>
      </w:r>
      <w:r w:rsidR="003020D9">
        <w:t>].</w:t>
      </w:r>
    </w:p>
    <w:p w14:paraId="7C41F7C9" w14:textId="701ECD06" w:rsidR="00870CB7" w:rsidRPr="00870CB7" w:rsidRDefault="00870CB7" w:rsidP="002F5E01">
      <w:pPr>
        <w:pStyle w:val="Bulletpoint"/>
      </w:pPr>
      <w:r w:rsidRPr="00870CB7">
        <w:t xml:space="preserve">Tronto, J. (1993) </w:t>
      </w:r>
      <w:r w:rsidRPr="00C244A3">
        <w:t>Moral Boundaries. A Political Argument for an Ethic of Care</w:t>
      </w:r>
      <w:r w:rsidRPr="00870CB7">
        <w:t xml:space="preserve">, London: Routledge. </w:t>
      </w:r>
    </w:p>
    <w:p w14:paraId="2FC4443C" w14:textId="68AC4288" w:rsidR="008A1C07" w:rsidRDefault="00870CB7" w:rsidP="002F5E01">
      <w:pPr>
        <w:pStyle w:val="Bulletpoint"/>
      </w:pPr>
      <w:r w:rsidRPr="00870CB7">
        <w:lastRenderedPageBreak/>
        <w:t xml:space="preserve">Tronto, J. (2013) </w:t>
      </w:r>
      <w:r w:rsidRPr="00870CB7">
        <w:rPr>
          <w:i/>
          <w:iCs/>
        </w:rPr>
        <w:t>Caring Democracy: Markets, Equality, and Justice</w:t>
      </w:r>
      <w:r w:rsidR="003020D9">
        <w:t xml:space="preserve">, </w:t>
      </w:r>
      <w:r w:rsidRPr="00870CB7">
        <w:t>New York: New York University Press.</w:t>
      </w:r>
    </w:p>
    <w:p w14:paraId="3F411449" w14:textId="3D0F4A7D" w:rsidR="003177B1" w:rsidRDefault="008A1C07" w:rsidP="002F5E01">
      <w:pPr>
        <w:pStyle w:val="Bulletpoint"/>
      </w:pPr>
      <w:r w:rsidRPr="00335EA7">
        <w:t xml:space="preserve">United Nations </w:t>
      </w:r>
      <w:r w:rsidR="00870CB7" w:rsidRPr="003020D9">
        <w:t xml:space="preserve">(2020) </w:t>
      </w:r>
      <w:r w:rsidR="00870CB7" w:rsidRPr="00335EA7">
        <w:rPr>
          <w:i/>
          <w:iCs/>
        </w:rPr>
        <w:t>From Insights to Action: Gender Equality in the Wake of Covid-19</w:t>
      </w:r>
      <w:r w:rsidR="003020D9">
        <w:t xml:space="preserve">, </w:t>
      </w:r>
      <w:hyperlink r:id="rId16" w:history="1">
        <w:r w:rsidR="00870CB7" w:rsidRPr="008A1C07">
          <w:rPr>
            <w:rStyle w:val="Hyperlink"/>
          </w:rPr>
          <w:t>https://www.unwomen.org/en/digital-library/publications/2020/09/gender-equality-in-the-wake-of-covid-19</w:t>
        </w:r>
      </w:hyperlink>
      <w:r w:rsidR="003020D9">
        <w:t xml:space="preserve"> [accessed </w:t>
      </w:r>
      <w:r w:rsidR="009B7699">
        <w:t>0</w:t>
      </w:r>
      <w:r w:rsidR="0038643C">
        <w:t>8</w:t>
      </w:r>
      <w:r w:rsidR="003020D9">
        <w:t>.</w:t>
      </w:r>
      <w:r w:rsidR="009B7699">
        <w:t>0</w:t>
      </w:r>
      <w:r w:rsidR="0038643C">
        <w:t>9</w:t>
      </w:r>
      <w:r w:rsidR="003020D9">
        <w:t>.</w:t>
      </w:r>
      <w:r w:rsidR="0038643C">
        <w:t>2021</w:t>
      </w:r>
      <w:r w:rsidR="003020D9">
        <w:t>]</w:t>
      </w:r>
      <w:r w:rsidR="003020D9" w:rsidRPr="00870CB7">
        <w:t>.</w:t>
      </w:r>
    </w:p>
    <w:p w14:paraId="137DF412" w14:textId="77777777" w:rsidR="00565491" w:rsidRPr="00B43EEE" w:rsidRDefault="00565491" w:rsidP="00335EA7">
      <w:pPr>
        <w:pStyle w:val="Bulletpoint"/>
      </w:pPr>
    </w:p>
    <w:p w14:paraId="2A8055A1" w14:textId="2CA863D6" w:rsidR="00632437" w:rsidRPr="00B43EEE" w:rsidRDefault="000855B6" w:rsidP="002F5E01">
      <w:r w:rsidRPr="00B43EEE">
        <w:t>Income support and eco-social</w:t>
      </w:r>
      <w:r w:rsidR="00384DD1">
        <w:t xml:space="preserve"> policy</w:t>
      </w:r>
      <w:r w:rsidRPr="00B43EEE">
        <w:t xml:space="preserve"> (Participation Income, Basic Income, or Minimum Income Guarantee)</w:t>
      </w:r>
    </w:p>
    <w:p w14:paraId="3D60B59A" w14:textId="59BF36F8" w:rsidR="000855B6" w:rsidRPr="00B43EEE" w:rsidRDefault="000855B6" w:rsidP="002F5E01">
      <w:pPr>
        <w:pStyle w:val="Bulletpoint"/>
      </w:pPr>
      <w:r w:rsidRPr="00B43EEE">
        <w:t>Atkinson, A.</w:t>
      </w:r>
      <w:r w:rsidR="003020D9">
        <w:t xml:space="preserve"> </w:t>
      </w:r>
      <w:r w:rsidRPr="00B43EEE">
        <w:t xml:space="preserve">B. (1996) 'The case for a Participation Income', </w:t>
      </w:r>
      <w:r w:rsidRPr="00B43EEE">
        <w:rPr>
          <w:i/>
          <w:iCs/>
        </w:rPr>
        <w:t>The Political Quarterly</w:t>
      </w:r>
      <w:r w:rsidRPr="00B43EEE">
        <w:t xml:space="preserve">, 67, 1, 67–70. </w:t>
      </w:r>
    </w:p>
    <w:p w14:paraId="2C1D59B8" w14:textId="4734E53E" w:rsidR="000855B6" w:rsidRPr="00B43EEE" w:rsidRDefault="000855B6" w:rsidP="002F5E01">
      <w:pPr>
        <w:pStyle w:val="Bulletpoint"/>
      </w:pPr>
      <w:r w:rsidRPr="00B43EEE">
        <w:t xml:space="preserve">Bohnenberger, K. (2020) ‘Money, vouchers, public infrastructures? A framework for sustainable welfare benefits’, </w:t>
      </w:r>
      <w:r w:rsidRPr="00B43EEE">
        <w:rPr>
          <w:i/>
        </w:rPr>
        <w:t>Sustainability</w:t>
      </w:r>
      <w:r w:rsidR="003020D9" w:rsidRPr="00335EA7">
        <w:rPr>
          <w:iCs/>
        </w:rPr>
        <w:t>,</w:t>
      </w:r>
      <w:r w:rsidRPr="00335EA7">
        <w:rPr>
          <w:iCs/>
        </w:rPr>
        <w:t xml:space="preserve"> </w:t>
      </w:r>
      <w:r w:rsidRPr="00B43EEE">
        <w:t>12, 2, 596</w:t>
      </w:r>
    </w:p>
    <w:p w14:paraId="42239B3A" w14:textId="1819AF5D" w:rsidR="000855B6" w:rsidRPr="00B43EEE" w:rsidRDefault="000855B6" w:rsidP="002F5E01">
      <w:pPr>
        <w:pStyle w:val="Bulletpoint"/>
        <w:rPr>
          <w:rStyle w:val="Hyperlink"/>
          <w:rFonts w:ascii="Calibri" w:hAnsi="Calibri" w:cs="Calibri"/>
          <w:color w:val="0D0D0D" w:themeColor="text1" w:themeTint="F2"/>
          <w:szCs w:val="22"/>
          <w:lang w:val="en-IE" w:eastAsia="en-IE"/>
        </w:rPr>
      </w:pPr>
      <w:r w:rsidRPr="00B43EEE">
        <w:t xml:space="preserve">Birnbaum, S. (2010) 'Introduction: Basic income, sustainability and post-productivism', </w:t>
      </w:r>
      <w:r w:rsidRPr="00B43EEE">
        <w:rPr>
          <w:i/>
          <w:iCs/>
        </w:rPr>
        <w:t>Basic Income Studies</w:t>
      </w:r>
      <w:r w:rsidR="003020D9">
        <w:t>,</w:t>
      </w:r>
      <w:r w:rsidRPr="00B43EEE">
        <w:t xml:space="preserve"> 4</w:t>
      </w:r>
      <w:r w:rsidR="003020D9">
        <w:t xml:space="preserve">, </w:t>
      </w:r>
      <w:r w:rsidRPr="00B43EEE">
        <w:t xml:space="preserve">2. </w:t>
      </w:r>
    </w:p>
    <w:p w14:paraId="6B06E871" w14:textId="77777777" w:rsidR="000855B6" w:rsidRPr="00B43EEE" w:rsidRDefault="000855B6" w:rsidP="002F5E01">
      <w:pPr>
        <w:pStyle w:val="Bulletpoint"/>
      </w:pPr>
      <w:r w:rsidRPr="00B43EEE">
        <w:t xml:space="preserve">De Wispelaere, J. and Stirton, L. (2007) 'The public administration case against participation income', </w:t>
      </w:r>
      <w:r w:rsidRPr="00B43EEE">
        <w:rPr>
          <w:i/>
          <w:iCs/>
        </w:rPr>
        <w:t>Social Service Review</w:t>
      </w:r>
      <w:r w:rsidRPr="00B43EEE">
        <w:t xml:space="preserve">, 81, 3, 523–549. </w:t>
      </w:r>
    </w:p>
    <w:p w14:paraId="0310383B" w14:textId="77777777" w:rsidR="000855B6" w:rsidRPr="00B43EEE" w:rsidRDefault="000855B6" w:rsidP="002F5E01">
      <w:pPr>
        <w:pStyle w:val="Bulletpoint"/>
      </w:pPr>
      <w:r w:rsidRPr="00B43EEE">
        <w:t xml:space="preserve">De Wispelaere, J. and Stirton, L. (2018) 'The case against participation income: political, not merely administrative', </w:t>
      </w:r>
      <w:r w:rsidRPr="00B43EEE">
        <w:rPr>
          <w:i/>
          <w:iCs/>
        </w:rPr>
        <w:t>Political Quarterly</w:t>
      </w:r>
      <w:r w:rsidRPr="00B43EEE">
        <w:t xml:space="preserve">, 89, 2, 262–267. </w:t>
      </w:r>
    </w:p>
    <w:p w14:paraId="2049E89B" w14:textId="6E7D04E2" w:rsidR="000855B6" w:rsidRPr="00B43EEE" w:rsidRDefault="000855B6" w:rsidP="002F5E01">
      <w:pPr>
        <w:pStyle w:val="Bulletpoint"/>
      </w:pPr>
      <w:r w:rsidRPr="00B43EEE">
        <w:t xml:space="preserve">Groot, L., Muffels, R. and Verlaat, T. (2019) 'Welfare states’ social investment strategies and the emergence of Dutch experiments on a minimum income guarantee', </w:t>
      </w:r>
      <w:r w:rsidRPr="00B43EEE">
        <w:rPr>
          <w:i/>
          <w:iCs/>
        </w:rPr>
        <w:t>Social Policy and Society</w:t>
      </w:r>
      <w:r w:rsidRPr="00B43EEE">
        <w:t>, 18, 2, 277–287.</w:t>
      </w:r>
    </w:p>
    <w:p w14:paraId="6556D40F" w14:textId="5862FC4C" w:rsidR="000855B6" w:rsidRPr="00B43EEE" w:rsidRDefault="000855B6" w:rsidP="002F5E01">
      <w:pPr>
        <w:pStyle w:val="Bulletpoint"/>
      </w:pPr>
      <w:r w:rsidRPr="00B43EEE">
        <w:rPr>
          <w:shd w:val="clear" w:color="auto" w:fill="FFFFFF"/>
        </w:rPr>
        <w:t xml:space="preserve">Hall, R. P., Ashford, R., Ashford, N. A. </w:t>
      </w:r>
      <w:r w:rsidR="005B0D7F">
        <w:rPr>
          <w:shd w:val="clear" w:color="auto" w:fill="FFFFFF"/>
        </w:rPr>
        <w:t>and</w:t>
      </w:r>
      <w:r w:rsidRPr="00B43EEE">
        <w:rPr>
          <w:shd w:val="clear" w:color="auto" w:fill="FFFFFF"/>
        </w:rPr>
        <w:t xml:space="preserve"> Arango-Quiroga, J. (2019</w:t>
      </w:r>
      <w:r w:rsidR="00B155CB" w:rsidRPr="00B43EEE">
        <w:rPr>
          <w:shd w:val="clear" w:color="auto" w:fill="FFFFFF"/>
        </w:rPr>
        <w:t>)</w:t>
      </w:r>
      <w:r w:rsidR="00B155CB">
        <w:rPr>
          <w:shd w:val="clear" w:color="auto" w:fill="FFFFFF"/>
        </w:rPr>
        <w:t xml:space="preserve"> ‘</w:t>
      </w:r>
      <w:r w:rsidRPr="00B43EEE">
        <w:rPr>
          <w:shd w:val="clear" w:color="auto" w:fill="FFFFFF"/>
        </w:rPr>
        <w:t>Universal basic income and inclusive capitalism: consequences for sustainability</w:t>
      </w:r>
      <w:r w:rsidR="00B155CB">
        <w:rPr>
          <w:shd w:val="clear" w:color="auto" w:fill="FFFFFF"/>
        </w:rPr>
        <w:t xml:space="preserve">', </w:t>
      </w:r>
      <w:r w:rsidRPr="00B43EEE">
        <w:rPr>
          <w:i/>
          <w:iCs/>
          <w:shd w:val="clear" w:color="auto" w:fill="FFFFFF"/>
        </w:rPr>
        <w:t>Sustainability</w:t>
      </w:r>
      <w:r w:rsidRPr="00B43EEE">
        <w:rPr>
          <w:shd w:val="clear" w:color="auto" w:fill="FFFFFF"/>
        </w:rPr>
        <w:t>, </w:t>
      </w:r>
      <w:r w:rsidRPr="00335EA7">
        <w:rPr>
          <w:shd w:val="clear" w:color="auto" w:fill="FFFFFF"/>
        </w:rPr>
        <w:t>11</w:t>
      </w:r>
      <w:r w:rsidR="00B155CB">
        <w:rPr>
          <w:shd w:val="clear" w:color="auto" w:fill="FFFFFF"/>
        </w:rPr>
        <w:t xml:space="preserve">, </w:t>
      </w:r>
      <w:r w:rsidRPr="00B43EEE">
        <w:rPr>
          <w:shd w:val="clear" w:color="auto" w:fill="FFFFFF"/>
        </w:rPr>
        <w:t>16, 4481.</w:t>
      </w:r>
    </w:p>
    <w:p w14:paraId="4E6D4C7D" w14:textId="6C267A31" w:rsidR="000855B6" w:rsidRPr="00B43EEE" w:rsidRDefault="000855B6" w:rsidP="002F5E01">
      <w:pPr>
        <w:pStyle w:val="Bulletpoint"/>
      </w:pPr>
      <w:r w:rsidRPr="00B43EEE">
        <w:t xml:space="preserve">Hiilamo, H. and Komp, K. (2018) 'The case for a participation income: acknowledging and valuing the diversity of social participation', </w:t>
      </w:r>
      <w:r w:rsidRPr="00B43EEE">
        <w:rPr>
          <w:i/>
          <w:iCs/>
        </w:rPr>
        <w:t>Political Quarterly</w:t>
      </w:r>
      <w:r w:rsidRPr="00B43EEE">
        <w:t>, 89, 2, 256–261.</w:t>
      </w:r>
    </w:p>
    <w:p w14:paraId="1B2AA343" w14:textId="302F4221" w:rsidR="000855B6" w:rsidRPr="00B43EEE" w:rsidRDefault="000855B6" w:rsidP="002F5E01">
      <w:pPr>
        <w:pStyle w:val="Bulletpoint"/>
      </w:pPr>
      <w:r w:rsidRPr="00B43EEE">
        <w:rPr>
          <w:shd w:val="clear" w:color="auto" w:fill="FFFFFF"/>
        </w:rPr>
        <w:t xml:space="preserve">Lawhon, M. </w:t>
      </w:r>
      <w:r w:rsidR="005B0D7F">
        <w:rPr>
          <w:shd w:val="clear" w:color="auto" w:fill="FFFFFF"/>
        </w:rPr>
        <w:t>and</w:t>
      </w:r>
      <w:r w:rsidRPr="00B43EEE">
        <w:rPr>
          <w:shd w:val="clear" w:color="auto" w:fill="FFFFFF"/>
        </w:rPr>
        <w:t xml:space="preserve"> McCreary, T. (2020) </w:t>
      </w:r>
      <w:r w:rsidR="00B155CB">
        <w:rPr>
          <w:shd w:val="clear" w:color="auto" w:fill="FFFFFF"/>
        </w:rPr>
        <w:t>‘</w:t>
      </w:r>
      <w:r w:rsidRPr="00B43EEE">
        <w:rPr>
          <w:shd w:val="clear" w:color="auto" w:fill="FFFFFF"/>
        </w:rPr>
        <w:t xml:space="preserve">Beyond jobs vs environment: on the potential of </w:t>
      </w:r>
      <w:r w:rsidRPr="00B43EEE">
        <w:rPr>
          <w:shd w:val="clear" w:color="auto" w:fill="FFFFFF"/>
        </w:rPr>
        <w:lastRenderedPageBreak/>
        <w:t>universal basic income to reconfigure environmental politics</w:t>
      </w:r>
      <w:r w:rsidR="00B155CB">
        <w:rPr>
          <w:shd w:val="clear" w:color="auto" w:fill="FFFFFF"/>
        </w:rPr>
        <w:t xml:space="preserve">’, </w:t>
      </w:r>
      <w:r w:rsidRPr="00B43EEE">
        <w:rPr>
          <w:i/>
          <w:iCs/>
          <w:shd w:val="clear" w:color="auto" w:fill="FFFFFF"/>
        </w:rPr>
        <w:t>Antipode</w:t>
      </w:r>
      <w:r w:rsidRPr="00B43EEE">
        <w:rPr>
          <w:shd w:val="clear" w:color="auto" w:fill="FFFFFF"/>
        </w:rPr>
        <w:t>, </w:t>
      </w:r>
      <w:r w:rsidRPr="00B43EEE">
        <w:rPr>
          <w:i/>
          <w:iCs/>
          <w:shd w:val="clear" w:color="auto" w:fill="FFFFFF"/>
        </w:rPr>
        <w:t>52</w:t>
      </w:r>
      <w:r w:rsidR="00B155CB">
        <w:rPr>
          <w:shd w:val="clear" w:color="auto" w:fill="FFFFFF"/>
        </w:rPr>
        <w:t xml:space="preserve">, </w:t>
      </w:r>
      <w:r w:rsidRPr="00B43EEE">
        <w:rPr>
          <w:shd w:val="clear" w:color="auto" w:fill="FFFFFF"/>
        </w:rPr>
        <w:t>2, 452</w:t>
      </w:r>
      <w:r w:rsidR="00E15745">
        <w:rPr>
          <w:shd w:val="clear" w:color="auto" w:fill="FFFFFF"/>
        </w:rPr>
        <w:t>–</w:t>
      </w:r>
      <w:r w:rsidRPr="00B43EEE">
        <w:rPr>
          <w:shd w:val="clear" w:color="auto" w:fill="FFFFFF"/>
        </w:rPr>
        <w:t>474.</w:t>
      </w:r>
    </w:p>
    <w:p w14:paraId="521C4182" w14:textId="77777777" w:rsidR="000855B6" w:rsidRPr="00B43EEE" w:rsidRDefault="000855B6" w:rsidP="002F5E01">
      <w:pPr>
        <w:pStyle w:val="Bulletpoint"/>
      </w:pPr>
      <w:r w:rsidRPr="00B43EEE">
        <w:t xml:space="preserve">Lombardozzi, L. (2020) 'Gender inequality, social reproduction and the universal basic income', </w:t>
      </w:r>
      <w:r w:rsidRPr="00B43EEE">
        <w:rPr>
          <w:i/>
          <w:iCs/>
        </w:rPr>
        <w:t>Political Quarterly</w:t>
      </w:r>
      <w:r w:rsidRPr="00B43EEE">
        <w:t xml:space="preserve">, 91, 2, 317–323. </w:t>
      </w:r>
    </w:p>
    <w:p w14:paraId="2109F9DC" w14:textId="0C85DD16" w:rsidR="000855B6" w:rsidRPr="00B43EEE" w:rsidRDefault="000855B6" w:rsidP="002F5E01">
      <w:pPr>
        <w:pStyle w:val="Bulletpoint"/>
      </w:pPr>
      <w:r w:rsidRPr="00B43EEE">
        <w:t xml:space="preserve">McGann, M. and Murphy, </w:t>
      </w:r>
      <w:r w:rsidR="0044631C">
        <w:t xml:space="preserve">M. </w:t>
      </w:r>
      <w:r w:rsidRPr="00B43EEE">
        <w:t xml:space="preserve">P. (2021) 'Income support in an eco-social state: the case for Participation Income', </w:t>
      </w:r>
      <w:r w:rsidRPr="00B43EEE">
        <w:rPr>
          <w:i/>
          <w:iCs/>
        </w:rPr>
        <w:t>Social Policy and Society</w:t>
      </w:r>
      <w:r w:rsidRPr="00B43EEE">
        <w:t xml:space="preserve">, </w:t>
      </w:r>
      <w:r w:rsidR="0082716D">
        <w:t xml:space="preserve">DOI: </w:t>
      </w:r>
      <w:r w:rsidR="0082716D" w:rsidRPr="0082716D">
        <w:t>doi.org/10.1017/S1474746421000397</w:t>
      </w:r>
      <w:r w:rsidR="0082716D">
        <w:t>.</w:t>
      </w:r>
    </w:p>
    <w:p w14:paraId="16C33A67" w14:textId="77777777" w:rsidR="000855B6" w:rsidRPr="00B43EEE" w:rsidRDefault="000855B6" w:rsidP="002F5E01">
      <w:pPr>
        <w:pStyle w:val="Bulletpoint"/>
      </w:pPr>
      <w:r w:rsidRPr="00B43EEE">
        <w:t xml:space="preserve">Pérez-Muñoz, C. (2016) 'A defence of participation income', </w:t>
      </w:r>
      <w:r w:rsidRPr="00B43EEE">
        <w:rPr>
          <w:i/>
          <w:iCs/>
        </w:rPr>
        <w:t xml:space="preserve">Journal of Public Policy, </w:t>
      </w:r>
      <w:r w:rsidRPr="00B43EEE">
        <w:t xml:space="preserve">36, 2, 169–193. </w:t>
      </w:r>
    </w:p>
    <w:p w14:paraId="5AA42DD9" w14:textId="77777777" w:rsidR="000855B6" w:rsidRPr="00B43EEE" w:rsidRDefault="000855B6" w:rsidP="002F5E01">
      <w:pPr>
        <w:pStyle w:val="Bulletpoint"/>
      </w:pPr>
      <w:r w:rsidRPr="00B43EEE">
        <w:t xml:space="preserve">Pérez-Muñoz, C. (2018) 'Participation income and the provision of socially valuable activities', </w:t>
      </w:r>
      <w:r w:rsidRPr="00B43EEE">
        <w:rPr>
          <w:i/>
          <w:iCs/>
        </w:rPr>
        <w:t xml:space="preserve">Political Quarterly, </w:t>
      </w:r>
      <w:r w:rsidRPr="00B43EEE">
        <w:t xml:space="preserve">89, 2, 268–272. </w:t>
      </w:r>
    </w:p>
    <w:p w14:paraId="677FD305" w14:textId="77777777" w:rsidR="000855B6" w:rsidRPr="00B43EEE" w:rsidRDefault="000855B6" w:rsidP="002F5E01">
      <w:pPr>
        <w:pStyle w:val="Bulletpoint"/>
      </w:pPr>
      <w:r w:rsidRPr="00B43EEE">
        <w:t xml:space="preserve">Pinto, J. (2020) 'Green republicanism and the shift to post-productivism: a defence of an unconditional basic income', </w:t>
      </w:r>
      <w:r w:rsidRPr="00B43EEE">
        <w:rPr>
          <w:i/>
          <w:iCs/>
        </w:rPr>
        <w:t>Res Publica</w:t>
      </w:r>
      <w:r w:rsidRPr="00B43EEE">
        <w:t xml:space="preserve">, 26, 2, 257–274. </w:t>
      </w:r>
    </w:p>
    <w:p w14:paraId="2DCF43F4" w14:textId="731B1908" w:rsidR="000855B6" w:rsidRPr="00B43EEE" w:rsidRDefault="000855B6" w:rsidP="002F5E01">
      <w:pPr>
        <w:pStyle w:val="Bulletpoint"/>
        <w:rPr>
          <w:lang w:val="en-US"/>
        </w:rPr>
      </w:pPr>
      <w:r w:rsidRPr="00B43EEE">
        <w:rPr>
          <w:lang w:val="en-US"/>
        </w:rPr>
        <w:t xml:space="preserve">Stirling, A. and Arnold, S. (2020) </w:t>
      </w:r>
      <w:r w:rsidRPr="00335EA7">
        <w:rPr>
          <w:i/>
          <w:iCs/>
          <w:lang w:val="en-US"/>
        </w:rPr>
        <w:t>A Minimum Income Guarantee for the UK</w:t>
      </w:r>
      <w:r w:rsidRPr="00B43EEE">
        <w:rPr>
          <w:lang w:val="en-US"/>
        </w:rPr>
        <w:t>, London: New Economics Foundation</w:t>
      </w:r>
      <w:r w:rsidR="0036630D">
        <w:rPr>
          <w:lang w:val="en-US"/>
        </w:rPr>
        <w:t xml:space="preserve">, </w:t>
      </w:r>
      <w:hyperlink r:id="rId17" w:tgtFrame="_blank" w:history="1">
        <w:r w:rsidRPr="00335EA7">
          <w:t>https://neweconomics.org/uploads/files/MIG-new.pdf</w:t>
        </w:r>
      </w:hyperlink>
      <w:r w:rsidR="0036630D">
        <w:t xml:space="preserve"> [accessed </w:t>
      </w:r>
      <w:r w:rsidR="009B7699">
        <w:t>29.09.2020</w:t>
      </w:r>
      <w:r w:rsidR="0036630D">
        <w:t>]</w:t>
      </w:r>
      <w:r w:rsidR="0036630D" w:rsidRPr="00870CB7">
        <w:t>.</w:t>
      </w:r>
    </w:p>
    <w:p w14:paraId="036EB904" w14:textId="719C3898" w:rsidR="000855B6" w:rsidRPr="00B43EEE" w:rsidRDefault="000855B6" w:rsidP="002F5E01">
      <w:pPr>
        <w:pStyle w:val="Bulletpoint"/>
      </w:pPr>
      <w:r w:rsidRPr="00B43EEE">
        <w:t xml:space="preserve">Swaton, S. (2018) 'For an </w:t>
      </w:r>
      <w:r w:rsidR="00C244A3" w:rsidRPr="00B43EEE">
        <w:t>ecological transition income</w:t>
      </w:r>
      <w:r w:rsidRPr="00B43EEE">
        <w:t xml:space="preserve">', </w:t>
      </w:r>
      <w:r w:rsidR="00C244A3">
        <w:rPr>
          <w:i/>
          <w:iCs/>
        </w:rPr>
        <w:t xml:space="preserve">Green European </w:t>
      </w:r>
      <w:r w:rsidR="00C244A3" w:rsidRPr="00C244A3">
        <w:rPr>
          <w:i/>
          <w:iCs/>
        </w:rPr>
        <w:t>Journal</w:t>
      </w:r>
      <w:r w:rsidR="00C244A3">
        <w:t xml:space="preserve">, </w:t>
      </w:r>
      <w:r w:rsidRPr="00C244A3">
        <w:t>https</w:t>
      </w:r>
      <w:r w:rsidRPr="00B43EEE">
        <w:t>://www.greeneuropeanjournal.eu/for-an-ecological-transition-income/ [accessed 18</w:t>
      </w:r>
      <w:r w:rsidR="00565491">
        <w:t>.01</w:t>
      </w:r>
      <w:r w:rsidRPr="00B43EEE">
        <w:t xml:space="preserve"> 2021].</w:t>
      </w:r>
    </w:p>
    <w:p w14:paraId="509D73D7" w14:textId="77777777" w:rsidR="00413C6C" w:rsidRPr="00B43EEE" w:rsidRDefault="00413C6C" w:rsidP="002F5E01"/>
    <w:sectPr w:rsidR="00413C6C" w:rsidRPr="00B43EEE">
      <w:head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F48E0" w14:textId="77777777" w:rsidR="000F73EA" w:rsidRDefault="000F73EA" w:rsidP="002F5E01">
      <w:r>
        <w:separator/>
      </w:r>
    </w:p>
  </w:endnote>
  <w:endnote w:type="continuationSeparator" w:id="0">
    <w:p w14:paraId="21E8D2D9" w14:textId="77777777" w:rsidR="000F73EA" w:rsidRDefault="000F73EA" w:rsidP="002F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14DF5" w14:textId="77777777" w:rsidR="000F73EA" w:rsidRDefault="000F73EA" w:rsidP="002F5E01">
      <w:r>
        <w:separator/>
      </w:r>
    </w:p>
  </w:footnote>
  <w:footnote w:type="continuationSeparator" w:id="0">
    <w:p w14:paraId="0DF30BE8" w14:textId="77777777" w:rsidR="000F73EA" w:rsidRDefault="000F73EA" w:rsidP="002F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3B96F" w14:textId="26F47C42" w:rsidR="0000465A" w:rsidRDefault="0000465A" w:rsidP="002F5E01">
    <w:pPr>
      <w:pStyle w:val="Header"/>
    </w:pPr>
    <w:r>
      <w:t>TS - Introduction</w:t>
    </w:r>
    <w:r>
      <w:ptab w:relativeTo="margin" w:alignment="center" w:leader="none"/>
    </w:r>
    <w:r>
      <w:t>Formatted</w:t>
    </w:r>
    <w:r>
      <w:ptab w:relativeTo="margin" w:alignment="right" w:leader="none"/>
    </w:r>
    <w:r>
      <w:t>28.10.21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32F5B"/>
    <w:multiLevelType w:val="hybridMultilevel"/>
    <w:tmpl w:val="FB324B50"/>
    <w:lvl w:ilvl="0" w:tplc="18090005">
      <w:start w:val="1"/>
      <w:numFmt w:val="bullet"/>
      <w:lvlText w:val=""/>
      <w:lvlJc w:val="left"/>
      <w:pPr>
        <w:ind w:left="360" w:hanging="360"/>
      </w:pPr>
      <w:rPr>
        <w:rFonts w:ascii="Wingdings" w:hAnsi="Wingdings"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1" w15:restartNumberingAfterBreak="0">
    <w:nsid w:val="2DC754D5"/>
    <w:multiLevelType w:val="hybridMultilevel"/>
    <w:tmpl w:val="7024823E"/>
    <w:lvl w:ilvl="0" w:tplc="18090005">
      <w:start w:val="1"/>
      <w:numFmt w:val="bullet"/>
      <w:lvlText w:val=""/>
      <w:lvlJc w:val="left"/>
      <w:pPr>
        <w:ind w:left="360" w:hanging="360"/>
      </w:pPr>
      <w:rPr>
        <w:rFonts w:ascii="Wingdings" w:hAnsi="Wingdings"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2" w15:restartNumberingAfterBreak="0">
    <w:nsid w:val="39DC73D2"/>
    <w:multiLevelType w:val="hybridMultilevel"/>
    <w:tmpl w:val="F62A41E2"/>
    <w:lvl w:ilvl="0" w:tplc="2C229762">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4E81706E"/>
    <w:multiLevelType w:val="hybridMultilevel"/>
    <w:tmpl w:val="EFE4A17E"/>
    <w:lvl w:ilvl="0" w:tplc="18090005">
      <w:start w:val="1"/>
      <w:numFmt w:val="bullet"/>
      <w:lvlText w:val=""/>
      <w:lvlJc w:val="left"/>
      <w:pPr>
        <w:ind w:left="360" w:hanging="360"/>
      </w:pPr>
      <w:rPr>
        <w:rFonts w:ascii="Wingdings" w:hAnsi="Wingdings"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4" w15:restartNumberingAfterBreak="0">
    <w:nsid w:val="52C51C93"/>
    <w:multiLevelType w:val="hybridMultilevel"/>
    <w:tmpl w:val="B8C83FBC"/>
    <w:lvl w:ilvl="0" w:tplc="865281C6">
      <w:start w:val="1"/>
      <w:numFmt w:val="bullet"/>
      <w:pStyle w:val="Bulletpoin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5073CE"/>
    <w:multiLevelType w:val="hybridMultilevel"/>
    <w:tmpl w:val="E6DAF68E"/>
    <w:lvl w:ilvl="0" w:tplc="18090005">
      <w:start w:val="1"/>
      <w:numFmt w:val="bullet"/>
      <w:lvlText w:val=""/>
      <w:lvlJc w:val="left"/>
      <w:pPr>
        <w:ind w:left="40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56315BBE"/>
    <w:multiLevelType w:val="hybridMultilevel"/>
    <w:tmpl w:val="7E144268"/>
    <w:lvl w:ilvl="0" w:tplc="18090005">
      <w:start w:val="1"/>
      <w:numFmt w:val="bullet"/>
      <w:lvlText w:val=""/>
      <w:lvlJc w:val="left"/>
      <w:pPr>
        <w:ind w:left="360" w:hanging="360"/>
      </w:pPr>
      <w:rPr>
        <w:rFonts w:ascii="Wingdings" w:hAnsi="Wingdings"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7" w15:restartNumberingAfterBreak="0">
    <w:nsid w:val="61513630"/>
    <w:multiLevelType w:val="hybridMultilevel"/>
    <w:tmpl w:val="0AF250E2"/>
    <w:lvl w:ilvl="0" w:tplc="18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15:restartNumberingAfterBreak="0">
    <w:nsid w:val="7B9C5880"/>
    <w:multiLevelType w:val="hybridMultilevel"/>
    <w:tmpl w:val="CC544A90"/>
    <w:lvl w:ilvl="0" w:tplc="18090005">
      <w:start w:val="1"/>
      <w:numFmt w:val="bullet"/>
      <w:lvlText w:val=""/>
      <w:lvlJc w:val="left"/>
      <w:pPr>
        <w:ind w:left="360" w:hanging="360"/>
      </w:pPr>
      <w:rPr>
        <w:rFonts w:ascii="Wingdings" w:hAnsi="Wingdings"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8"/>
  </w:num>
  <w:num w:numId="4">
    <w:abstractNumId w:val="0"/>
  </w:num>
  <w:num w:numId="5">
    <w:abstractNumId w:val="3"/>
  </w:num>
  <w:num w:numId="6">
    <w:abstractNumId w:val="1"/>
  </w:num>
  <w:num w:numId="7">
    <w:abstractNumId w:val="6"/>
  </w:num>
  <w:num w:numId="8">
    <w:abstractNumId w:val="7"/>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437"/>
    <w:rsid w:val="0000465A"/>
    <w:rsid w:val="00083BC0"/>
    <w:rsid w:val="000855B6"/>
    <w:rsid w:val="000B2975"/>
    <w:rsid w:val="000B487F"/>
    <w:rsid w:val="000F6F73"/>
    <w:rsid w:val="000F73EA"/>
    <w:rsid w:val="00141543"/>
    <w:rsid w:val="001C390E"/>
    <w:rsid w:val="001E1A99"/>
    <w:rsid w:val="0029786E"/>
    <w:rsid w:val="002A0929"/>
    <w:rsid w:val="002A3FF3"/>
    <w:rsid w:val="002F5E01"/>
    <w:rsid w:val="003020D9"/>
    <w:rsid w:val="003177B1"/>
    <w:rsid w:val="0032348A"/>
    <w:rsid w:val="00335EA7"/>
    <w:rsid w:val="0036630D"/>
    <w:rsid w:val="003819F2"/>
    <w:rsid w:val="00384DD1"/>
    <w:rsid w:val="0038643C"/>
    <w:rsid w:val="00400E07"/>
    <w:rsid w:val="00413C6C"/>
    <w:rsid w:val="0044631C"/>
    <w:rsid w:val="00477CE4"/>
    <w:rsid w:val="004A6A2D"/>
    <w:rsid w:val="004B1E99"/>
    <w:rsid w:val="004D5FE9"/>
    <w:rsid w:val="004E16EE"/>
    <w:rsid w:val="004F2D6A"/>
    <w:rsid w:val="00505C9D"/>
    <w:rsid w:val="00545C6F"/>
    <w:rsid w:val="00565491"/>
    <w:rsid w:val="00587469"/>
    <w:rsid w:val="005B0D7F"/>
    <w:rsid w:val="005E60F2"/>
    <w:rsid w:val="00632437"/>
    <w:rsid w:val="00657A71"/>
    <w:rsid w:val="006742D6"/>
    <w:rsid w:val="006C5F1D"/>
    <w:rsid w:val="006D0ED0"/>
    <w:rsid w:val="007B4023"/>
    <w:rsid w:val="007B4DB1"/>
    <w:rsid w:val="007C75C9"/>
    <w:rsid w:val="007D61BC"/>
    <w:rsid w:val="0082716D"/>
    <w:rsid w:val="00840654"/>
    <w:rsid w:val="008421C8"/>
    <w:rsid w:val="00870CB7"/>
    <w:rsid w:val="008A1C07"/>
    <w:rsid w:val="008C644E"/>
    <w:rsid w:val="008D3E82"/>
    <w:rsid w:val="008E2D94"/>
    <w:rsid w:val="009658FF"/>
    <w:rsid w:val="00993B08"/>
    <w:rsid w:val="009B7699"/>
    <w:rsid w:val="009D101C"/>
    <w:rsid w:val="00A31F9B"/>
    <w:rsid w:val="00A71EC7"/>
    <w:rsid w:val="00AD27E2"/>
    <w:rsid w:val="00AE0A0B"/>
    <w:rsid w:val="00B155CB"/>
    <w:rsid w:val="00B43EEE"/>
    <w:rsid w:val="00B76697"/>
    <w:rsid w:val="00BB4F92"/>
    <w:rsid w:val="00BC3B21"/>
    <w:rsid w:val="00BD5E4A"/>
    <w:rsid w:val="00BE7443"/>
    <w:rsid w:val="00C244A3"/>
    <w:rsid w:val="00C6182D"/>
    <w:rsid w:val="00C75A7D"/>
    <w:rsid w:val="00C77663"/>
    <w:rsid w:val="00C900E2"/>
    <w:rsid w:val="00CD1323"/>
    <w:rsid w:val="00D07D22"/>
    <w:rsid w:val="00D54401"/>
    <w:rsid w:val="00E15745"/>
    <w:rsid w:val="00E22D2F"/>
    <w:rsid w:val="00F43D0A"/>
    <w:rsid w:val="00F45BA9"/>
    <w:rsid w:val="00FA6BA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18015"/>
  <w15:chartTrackingRefBased/>
  <w15:docId w15:val="{9D581745-0232-4166-A909-6F6BED738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2A3FF3"/>
    <w:pPr>
      <w:widowControl w:val="0"/>
      <w:autoSpaceDE w:val="0"/>
      <w:autoSpaceDN w:val="0"/>
      <w:adjustRightInd w:val="0"/>
      <w:spacing w:after="0" w:line="480" w:lineRule="auto"/>
      <w:jc w:val="both"/>
    </w:pPr>
    <w:rPr>
      <w:rFonts w:ascii="Arial" w:eastAsia="Batang" w:hAnsi="Arial" w:cstheme="minorHAnsi"/>
      <w:noProof/>
      <w:szCs w:val="24"/>
      <w:lang w:val="en-GB"/>
    </w:rPr>
  </w:style>
  <w:style w:type="paragraph" w:styleId="Heading1">
    <w:name w:val="heading 1"/>
    <w:basedOn w:val="Normal"/>
    <w:next w:val="Normal"/>
    <w:link w:val="Heading1Char"/>
    <w:autoRedefine/>
    <w:uiPriority w:val="9"/>
    <w:qFormat/>
    <w:rsid w:val="002A3FF3"/>
    <w:pPr>
      <w:keepNext/>
      <w:spacing w:before="480"/>
      <w:ind w:firstLine="709"/>
      <w:outlineLvl w:val="0"/>
    </w:pPr>
    <w:rPr>
      <w:rFonts w:cs="Times New Roman"/>
      <w:b/>
      <w:bCs/>
      <w:szCs w:val="28"/>
      <w:lang w:eastAsia="en-GB"/>
    </w:rPr>
  </w:style>
  <w:style w:type="paragraph" w:styleId="Heading2">
    <w:name w:val="heading 2"/>
    <w:basedOn w:val="Normal"/>
    <w:next w:val="1stpara"/>
    <w:link w:val="Heading2Char"/>
    <w:autoRedefine/>
    <w:uiPriority w:val="9"/>
    <w:unhideWhenUsed/>
    <w:qFormat/>
    <w:rsid w:val="002A3FF3"/>
    <w:pPr>
      <w:spacing w:before="480"/>
      <w:ind w:firstLine="720"/>
      <w:outlineLvl w:val="1"/>
    </w:pPr>
    <w:rPr>
      <w:i/>
      <w:szCs w:val="22"/>
    </w:rPr>
  </w:style>
  <w:style w:type="paragraph" w:styleId="Heading3">
    <w:name w:val="heading 3"/>
    <w:basedOn w:val="Heading2"/>
    <w:next w:val="Normal"/>
    <w:link w:val="Heading3Char"/>
    <w:autoRedefine/>
    <w:uiPriority w:val="9"/>
    <w:unhideWhenUsed/>
    <w:qFormat/>
    <w:rsid w:val="002A3FF3"/>
    <w:pPr>
      <w:outlineLvl w:val="2"/>
    </w:pPr>
    <w:rPr>
      <w:i w:val="0"/>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437"/>
    <w:pPr>
      <w:spacing w:line="240" w:lineRule="auto"/>
      <w:ind w:left="720"/>
    </w:pPr>
    <w:rPr>
      <w:rFonts w:ascii="Calibri" w:hAnsi="Calibri" w:cs="Calibri"/>
      <w:lang w:val="en-IE" w:eastAsia="en-IE"/>
    </w:rPr>
  </w:style>
  <w:style w:type="character" w:styleId="Hyperlink">
    <w:name w:val="Hyperlink"/>
    <w:basedOn w:val="DefaultParagraphFont"/>
    <w:uiPriority w:val="99"/>
    <w:unhideWhenUsed/>
    <w:rsid w:val="00632437"/>
    <w:rPr>
      <w:color w:val="0563C1" w:themeColor="hyperlink"/>
      <w:u w:val="single"/>
    </w:rPr>
  </w:style>
  <w:style w:type="character" w:customStyle="1" w:styleId="hlfld-contribauthor">
    <w:name w:val="hlfld-contribauthor"/>
    <w:basedOn w:val="DefaultParagraphFont"/>
    <w:rsid w:val="00632437"/>
  </w:style>
  <w:style w:type="character" w:customStyle="1" w:styleId="nlmgiven-names">
    <w:name w:val="nlm_given-names"/>
    <w:basedOn w:val="DefaultParagraphFont"/>
    <w:rsid w:val="00632437"/>
  </w:style>
  <w:style w:type="character" w:customStyle="1" w:styleId="nlmyear">
    <w:name w:val="nlm_year"/>
    <w:basedOn w:val="DefaultParagraphFont"/>
    <w:rsid w:val="00632437"/>
  </w:style>
  <w:style w:type="character" w:customStyle="1" w:styleId="reflink-block">
    <w:name w:val="reflink-block"/>
    <w:basedOn w:val="DefaultParagraphFont"/>
    <w:rsid w:val="00632437"/>
  </w:style>
  <w:style w:type="character" w:customStyle="1" w:styleId="nlmpublisher-name">
    <w:name w:val="nlm_publisher-name"/>
    <w:basedOn w:val="DefaultParagraphFont"/>
    <w:rsid w:val="00632437"/>
  </w:style>
  <w:style w:type="character" w:customStyle="1" w:styleId="html-italic">
    <w:name w:val="html-italic"/>
    <w:basedOn w:val="DefaultParagraphFont"/>
    <w:rsid w:val="00632437"/>
  </w:style>
  <w:style w:type="paragraph" w:styleId="NormalWeb">
    <w:name w:val="Normal (Web)"/>
    <w:basedOn w:val="Normal"/>
    <w:uiPriority w:val="99"/>
    <w:unhideWhenUsed/>
    <w:qFormat/>
    <w:rsid w:val="004F2D6A"/>
    <w:pPr>
      <w:spacing w:before="100" w:beforeAutospacing="1" w:after="100" w:afterAutospacing="1" w:line="240" w:lineRule="auto"/>
    </w:pPr>
    <w:rPr>
      <w:rFonts w:ascii="Times New Roman" w:eastAsia="Times New Roman" w:hAnsi="Times New Roman" w:cs="Times New Roman"/>
      <w:sz w:val="24"/>
      <w:lang w:eastAsia="en-GB"/>
    </w:rPr>
  </w:style>
  <w:style w:type="character" w:customStyle="1" w:styleId="nlmarticle-title">
    <w:name w:val="nlm_article-title"/>
    <w:basedOn w:val="DefaultParagraphFont"/>
    <w:rsid w:val="004F2D6A"/>
  </w:style>
  <w:style w:type="character" w:customStyle="1" w:styleId="nlmfpage">
    <w:name w:val="nlm_fpage"/>
    <w:basedOn w:val="DefaultParagraphFont"/>
    <w:rsid w:val="004F2D6A"/>
  </w:style>
  <w:style w:type="character" w:customStyle="1" w:styleId="nlmlpage">
    <w:name w:val="nlm_lpage"/>
    <w:basedOn w:val="DefaultParagraphFont"/>
    <w:rsid w:val="004F2D6A"/>
  </w:style>
  <w:style w:type="paragraph" w:styleId="EndnoteText">
    <w:name w:val="endnote text"/>
    <w:basedOn w:val="Normal"/>
    <w:link w:val="EndnoteTextChar"/>
    <w:uiPriority w:val="99"/>
    <w:unhideWhenUsed/>
    <w:rsid w:val="004F2D6A"/>
    <w:pPr>
      <w:spacing w:line="240" w:lineRule="auto"/>
    </w:pPr>
    <w:rPr>
      <w:rFonts w:eastAsiaTheme="minorEastAsia"/>
      <w:sz w:val="24"/>
    </w:rPr>
  </w:style>
  <w:style w:type="character" w:customStyle="1" w:styleId="EndnoteTextChar">
    <w:name w:val="Endnote Text Char"/>
    <w:basedOn w:val="DefaultParagraphFont"/>
    <w:link w:val="EndnoteText"/>
    <w:uiPriority w:val="99"/>
    <w:rsid w:val="004F2D6A"/>
    <w:rPr>
      <w:rFonts w:eastAsiaTheme="minorEastAsia"/>
      <w:sz w:val="24"/>
      <w:szCs w:val="24"/>
      <w:lang w:val="en-GB"/>
    </w:rPr>
  </w:style>
  <w:style w:type="paragraph" w:customStyle="1" w:styleId="Default">
    <w:name w:val="Default"/>
    <w:rsid w:val="00C900E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teraturverzeichnis1">
    <w:name w:val="Literaturverzeichnis1"/>
    <w:basedOn w:val="Normal"/>
    <w:uiPriority w:val="37"/>
    <w:rsid w:val="00C900E2"/>
    <w:pPr>
      <w:tabs>
        <w:tab w:val="left" w:pos="2960"/>
      </w:tabs>
      <w:spacing w:line="240" w:lineRule="auto"/>
      <w:ind w:left="720" w:hanging="720"/>
    </w:pPr>
    <w:rPr>
      <w:rFonts w:eastAsiaTheme="minorEastAsia"/>
      <w:sz w:val="24"/>
      <w:lang w:eastAsia="de-DE"/>
    </w:rPr>
  </w:style>
  <w:style w:type="character" w:styleId="CommentReference">
    <w:name w:val="annotation reference"/>
    <w:basedOn w:val="DefaultParagraphFont"/>
    <w:uiPriority w:val="99"/>
    <w:semiHidden/>
    <w:unhideWhenUsed/>
    <w:rsid w:val="003177B1"/>
    <w:rPr>
      <w:sz w:val="16"/>
      <w:szCs w:val="16"/>
    </w:rPr>
  </w:style>
  <w:style w:type="paragraph" w:styleId="CommentText">
    <w:name w:val="annotation text"/>
    <w:basedOn w:val="Normal"/>
    <w:link w:val="CommentTextChar"/>
    <w:uiPriority w:val="99"/>
    <w:unhideWhenUsed/>
    <w:rsid w:val="003177B1"/>
    <w:pPr>
      <w:spacing w:line="240" w:lineRule="auto"/>
    </w:pPr>
    <w:rPr>
      <w:sz w:val="20"/>
      <w:szCs w:val="20"/>
    </w:rPr>
  </w:style>
  <w:style w:type="character" w:customStyle="1" w:styleId="CommentTextChar">
    <w:name w:val="Comment Text Char"/>
    <w:basedOn w:val="DefaultParagraphFont"/>
    <w:link w:val="CommentText"/>
    <w:uiPriority w:val="99"/>
    <w:rsid w:val="003177B1"/>
    <w:rPr>
      <w:sz w:val="20"/>
      <w:szCs w:val="20"/>
      <w:lang w:val="en-AU"/>
    </w:rPr>
  </w:style>
  <w:style w:type="paragraph" w:styleId="CommentSubject">
    <w:name w:val="annotation subject"/>
    <w:basedOn w:val="CommentText"/>
    <w:next w:val="CommentText"/>
    <w:link w:val="CommentSubjectChar"/>
    <w:uiPriority w:val="99"/>
    <w:semiHidden/>
    <w:unhideWhenUsed/>
    <w:rsid w:val="003177B1"/>
    <w:rPr>
      <w:b/>
      <w:bCs/>
    </w:rPr>
  </w:style>
  <w:style w:type="character" w:customStyle="1" w:styleId="CommentSubjectChar">
    <w:name w:val="Comment Subject Char"/>
    <w:basedOn w:val="CommentTextChar"/>
    <w:link w:val="CommentSubject"/>
    <w:uiPriority w:val="99"/>
    <w:semiHidden/>
    <w:rsid w:val="003177B1"/>
    <w:rPr>
      <w:b/>
      <w:bCs/>
      <w:sz w:val="20"/>
      <w:szCs w:val="20"/>
      <w:lang w:val="en-AU"/>
    </w:rPr>
  </w:style>
  <w:style w:type="character" w:styleId="UnresolvedMention">
    <w:name w:val="Unresolved Mention"/>
    <w:basedOn w:val="DefaultParagraphFont"/>
    <w:uiPriority w:val="99"/>
    <w:semiHidden/>
    <w:unhideWhenUsed/>
    <w:rsid w:val="008D3E82"/>
    <w:rPr>
      <w:color w:val="605E5C"/>
      <w:shd w:val="clear" w:color="auto" w:fill="E1DFDD"/>
    </w:rPr>
  </w:style>
  <w:style w:type="character" w:customStyle="1" w:styleId="Heading1Char">
    <w:name w:val="Heading 1 Char"/>
    <w:basedOn w:val="DefaultParagraphFont"/>
    <w:link w:val="Heading1"/>
    <w:uiPriority w:val="9"/>
    <w:rsid w:val="002A3FF3"/>
    <w:rPr>
      <w:rFonts w:ascii="Arial" w:eastAsia="Batang" w:hAnsi="Arial" w:cs="Times New Roman"/>
      <w:b/>
      <w:bCs/>
      <w:noProof/>
      <w:szCs w:val="28"/>
      <w:lang w:val="en-GB" w:eastAsia="en-GB"/>
    </w:rPr>
  </w:style>
  <w:style w:type="character" w:customStyle="1" w:styleId="Heading2Char">
    <w:name w:val="Heading 2 Char"/>
    <w:basedOn w:val="DefaultParagraphFont"/>
    <w:link w:val="Heading2"/>
    <w:uiPriority w:val="9"/>
    <w:rsid w:val="002A3FF3"/>
    <w:rPr>
      <w:rFonts w:ascii="Arial" w:eastAsia="Batang" w:hAnsi="Arial" w:cstheme="minorHAnsi"/>
      <w:i/>
      <w:noProof/>
      <w:lang w:val="en-GB"/>
    </w:rPr>
  </w:style>
  <w:style w:type="character" w:customStyle="1" w:styleId="Heading3Char">
    <w:name w:val="Heading 3 Char"/>
    <w:basedOn w:val="DefaultParagraphFont"/>
    <w:link w:val="Heading3"/>
    <w:uiPriority w:val="9"/>
    <w:rsid w:val="002A3FF3"/>
    <w:rPr>
      <w:rFonts w:ascii="Arial" w:eastAsia="Batang" w:hAnsi="Arial" w:cstheme="minorHAnsi"/>
      <w:iCs/>
      <w:noProof/>
      <w:u w:val="single"/>
      <w:lang w:val="en-GB"/>
    </w:rPr>
  </w:style>
  <w:style w:type="paragraph" w:styleId="Title">
    <w:name w:val="Title"/>
    <w:aliases w:val="Manuscript Title"/>
    <w:basedOn w:val="Normal"/>
    <w:next w:val="Authors"/>
    <w:link w:val="TitleChar"/>
    <w:autoRedefine/>
    <w:uiPriority w:val="10"/>
    <w:qFormat/>
    <w:rsid w:val="00335EA7"/>
    <w:rPr>
      <w:rFonts w:eastAsia="Times New Roman" w:cstheme="minorBidi"/>
      <w:kern w:val="28"/>
      <w:szCs w:val="56"/>
    </w:rPr>
  </w:style>
  <w:style w:type="character" w:customStyle="1" w:styleId="TitleChar">
    <w:name w:val="Title Char"/>
    <w:aliases w:val="Manuscript Title Char"/>
    <w:link w:val="Title"/>
    <w:uiPriority w:val="10"/>
    <w:rsid w:val="00335EA7"/>
    <w:rPr>
      <w:rFonts w:ascii="Arial" w:eastAsia="Times New Roman" w:hAnsi="Arial"/>
      <w:noProof/>
      <w:kern w:val="28"/>
      <w:szCs w:val="56"/>
      <w:lang w:val="en-GB"/>
    </w:rPr>
  </w:style>
  <w:style w:type="paragraph" w:customStyle="1" w:styleId="References">
    <w:name w:val="References"/>
    <w:basedOn w:val="Normal"/>
    <w:link w:val="ReferencesChar"/>
    <w:autoRedefine/>
    <w:qFormat/>
    <w:rsid w:val="002A3FF3"/>
    <w:pPr>
      <w:ind w:left="709" w:hanging="709"/>
    </w:pPr>
    <w:rPr>
      <w:rFonts w:cs="Arial"/>
      <w:szCs w:val="22"/>
      <w:lang w:eastAsia="en-GB"/>
    </w:rPr>
  </w:style>
  <w:style w:type="character" w:customStyle="1" w:styleId="ReferencesChar">
    <w:name w:val="References Char"/>
    <w:basedOn w:val="DefaultParagraphFont"/>
    <w:link w:val="References"/>
    <w:rsid w:val="002A3FF3"/>
    <w:rPr>
      <w:rFonts w:ascii="Arial" w:eastAsia="Batang" w:hAnsi="Arial" w:cs="Arial"/>
      <w:noProof/>
      <w:lang w:val="en-GB" w:eastAsia="en-GB"/>
    </w:rPr>
  </w:style>
  <w:style w:type="paragraph" w:customStyle="1" w:styleId="Authors">
    <w:name w:val="Authors"/>
    <w:basedOn w:val="Normal"/>
    <w:next w:val="Normal"/>
    <w:link w:val="AuthorsChar"/>
    <w:qFormat/>
    <w:rsid w:val="002A3FF3"/>
    <w:pPr>
      <w:jc w:val="left"/>
    </w:pPr>
    <w:rPr>
      <w:rFonts w:eastAsia="Times New Roman" w:cs="Arial"/>
      <w:b/>
      <w:bCs/>
      <w:szCs w:val="28"/>
      <w:lang w:eastAsia="en-GB"/>
    </w:rPr>
  </w:style>
  <w:style w:type="character" w:customStyle="1" w:styleId="AuthorsChar">
    <w:name w:val="Authors Char"/>
    <w:basedOn w:val="Heading1Char"/>
    <w:link w:val="Authors"/>
    <w:rsid w:val="002A3FF3"/>
    <w:rPr>
      <w:rFonts w:ascii="Arial" w:eastAsia="Times New Roman" w:hAnsi="Arial" w:cs="Arial"/>
      <w:b/>
      <w:bCs/>
      <w:noProof/>
      <w:szCs w:val="28"/>
      <w:lang w:val="en-GB" w:eastAsia="en-GB"/>
    </w:rPr>
  </w:style>
  <w:style w:type="paragraph" w:customStyle="1" w:styleId="Affiliations">
    <w:name w:val="Affiliations"/>
    <w:basedOn w:val="Normal"/>
    <w:next w:val="Normal"/>
    <w:link w:val="AffiliationsChar"/>
    <w:autoRedefine/>
    <w:qFormat/>
    <w:rsid w:val="002A3FF3"/>
    <w:rPr>
      <w:rFonts w:cs="Arial"/>
      <w:i/>
      <w:szCs w:val="22"/>
    </w:rPr>
  </w:style>
  <w:style w:type="character" w:customStyle="1" w:styleId="AffiliationsChar">
    <w:name w:val="Affiliations Char"/>
    <w:basedOn w:val="DefaultParagraphFont"/>
    <w:link w:val="Affiliations"/>
    <w:rsid w:val="002A3FF3"/>
    <w:rPr>
      <w:rFonts w:ascii="Arial" w:eastAsia="Batang" w:hAnsi="Arial" w:cs="Arial"/>
      <w:i/>
      <w:noProof/>
      <w:lang w:val="en-GB"/>
    </w:rPr>
  </w:style>
  <w:style w:type="paragraph" w:customStyle="1" w:styleId="Abstract">
    <w:name w:val="Abstract"/>
    <w:basedOn w:val="Normal"/>
    <w:link w:val="AbstractChar"/>
    <w:autoRedefine/>
    <w:qFormat/>
    <w:rsid w:val="002A3FF3"/>
    <w:rPr>
      <w:rFonts w:cs="Arial"/>
      <w:i/>
      <w:iCs/>
      <w:szCs w:val="22"/>
    </w:rPr>
  </w:style>
  <w:style w:type="character" w:customStyle="1" w:styleId="AbstractChar">
    <w:name w:val="Abstract Char"/>
    <w:basedOn w:val="DefaultParagraphFont"/>
    <w:link w:val="Abstract"/>
    <w:rsid w:val="002A3FF3"/>
    <w:rPr>
      <w:rFonts w:ascii="Arial" w:eastAsia="Batang" w:hAnsi="Arial" w:cs="Arial"/>
      <w:i/>
      <w:iCs/>
      <w:noProof/>
      <w:lang w:val="en-GB"/>
    </w:rPr>
  </w:style>
  <w:style w:type="paragraph" w:customStyle="1" w:styleId="Keywords">
    <w:name w:val="Keywords"/>
    <w:basedOn w:val="Normal"/>
    <w:link w:val="KeywordsChar"/>
    <w:autoRedefine/>
    <w:qFormat/>
    <w:rsid w:val="002A3FF3"/>
    <w:rPr>
      <w:rFonts w:cs="Arial"/>
      <w:b/>
      <w:bCs/>
      <w:szCs w:val="22"/>
    </w:rPr>
  </w:style>
  <w:style w:type="character" w:customStyle="1" w:styleId="KeywordsChar">
    <w:name w:val="Keywords Char"/>
    <w:basedOn w:val="DefaultParagraphFont"/>
    <w:link w:val="Keywords"/>
    <w:rsid w:val="002A3FF3"/>
    <w:rPr>
      <w:rFonts w:ascii="Arial" w:eastAsia="Batang" w:hAnsi="Arial" w:cs="Arial"/>
      <w:b/>
      <w:bCs/>
      <w:noProof/>
      <w:lang w:val="en-GB"/>
    </w:rPr>
  </w:style>
  <w:style w:type="paragraph" w:customStyle="1" w:styleId="1stpara">
    <w:name w:val="1st para"/>
    <w:basedOn w:val="Normal"/>
    <w:next w:val="SubsequentPara"/>
    <w:link w:val="1stparaChar"/>
    <w:autoRedefine/>
    <w:qFormat/>
    <w:rsid w:val="002A3FF3"/>
    <w:rPr>
      <w:rFonts w:cs="Arial"/>
      <w:iCs/>
      <w:szCs w:val="22"/>
    </w:rPr>
  </w:style>
  <w:style w:type="character" w:customStyle="1" w:styleId="1stparaChar">
    <w:name w:val="1st para Char"/>
    <w:basedOn w:val="DefaultParagraphFont"/>
    <w:link w:val="1stpara"/>
    <w:rsid w:val="002A3FF3"/>
    <w:rPr>
      <w:rFonts w:ascii="Arial" w:eastAsia="Batang" w:hAnsi="Arial" w:cs="Arial"/>
      <w:iCs/>
      <w:noProof/>
      <w:lang w:val="en-GB"/>
    </w:rPr>
  </w:style>
  <w:style w:type="paragraph" w:customStyle="1" w:styleId="SubsequentPara">
    <w:name w:val="Subsequent Para"/>
    <w:basedOn w:val="1stpara"/>
    <w:link w:val="SubsequentParaChar"/>
    <w:autoRedefine/>
    <w:qFormat/>
    <w:rsid w:val="002A3FF3"/>
    <w:pPr>
      <w:ind w:firstLine="720"/>
    </w:pPr>
  </w:style>
  <w:style w:type="character" w:customStyle="1" w:styleId="SubsequentParaChar">
    <w:name w:val="Subsequent Para Char"/>
    <w:basedOn w:val="1stparaChar"/>
    <w:link w:val="SubsequentPara"/>
    <w:rsid w:val="002A3FF3"/>
    <w:rPr>
      <w:rFonts w:ascii="Arial" w:eastAsia="Batang" w:hAnsi="Arial" w:cs="Arial"/>
      <w:iCs/>
      <w:noProof/>
      <w:lang w:val="en-GB"/>
    </w:rPr>
  </w:style>
  <w:style w:type="paragraph" w:customStyle="1" w:styleId="Quotation">
    <w:name w:val="Quotation"/>
    <w:basedOn w:val="Normal"/>
    <w:next w:val="SubsequentPara"/>
    <w:link w:val="QuotationChar"/>
    <w:autoRedefine/>
    <w:qFormat/>
    <w:rsid w:val="002A3FF3"/>
    <w:pPr>
      <w:spacing w:before="480" w:after="480"/>
      <w:ind w:left="709"/>
    </w:pPr>
    <w:rPr>
      <w:iCs/>
      <w:szCs w:val="22"/>
    </w:rPr>
  </w:style>
  <w:style w:type="character" w:customStyle="1" w:styleId="QuotationChar">
    <w:name w:val="Quotation Char"/>
    <w:basedOn w:val="DefaultParagraphFont"/>
    <w:link w:val="Quotation"/>
    <w:rsid w:val="002A3FF3"/>
    <w:rPr>
      <w:rFonts w:ascii="Arial" w:eastAsia="Batang" w:hAnsi="Arial" w:cstheme="minorHAnsi"/>
      <w:iCs/>
      <w:noProof/>
      <w:lang w:val="en-GB"/>
    </w:rPr>
  </w:style>
  <w:style w:type="paragraph" w:styleId="Header">
    <w:name w:val="header"/>
    <w:basedOn w:val="Normal"/>
    <w:link w:val="HeaderChar"/>
    <w:uiPriority w:val="99"/>
    <w:unhideWhenUsed/>
    <w:rsid w:val="0000465A"/>
    <w:pPr>
      <w:tabs>
        <w:tab w:val="center" w:pos="4513"/>
        <w:tab w:val="right" w:pos="9026"/>
      </w:tabs>
      <w:spacing w:line="240" w:lineRule="auto"/>
    </w:pPr>
  </w:style>
  <w:style w:type="character" w:customStyle="1" w:styleId="HeaderChar">
    <w:name w:val="Header Char"/>
    <w:basedOn w:val="DefaultParagraphFont"/>
    <w:link w:val="Header"/>
    <w:uiPriority w:val="99"/>
    <w:rsid w:val="0000465A"/>
    <w:rPr>
      <w:rFonts w:ascii="Arial" w:eastAsia="Batang" w:hAnsi="Arial" w:cstheme="minorHAnsi"/>
      <w:noProof/>
      <w:szCs w:val="24"/>
      <w:lang w:val="en-GB"/>
    </w:rPr>
  </w:style>
  <w:style w:type="paragraph" w:styleId="Footer">
    <w:name w:val="footer"/>
    <w:basedOn w:val="Normal"/>
    <w:link w:val="FooterChar"/>
    <w:uiPriority w:val="99"/>
    <w:unhideWhenUsed/>
    <w:rsid w:val="0000465A"/>
    <w:pPr>
      <w:tabs>
        <w:tab w:val="center" w:pos="4513"/>
        <w:tab w:val="right" w:pos="9026"/>
      </w:tabs>
      <w:spacing w:line="240" w:lineRule="auto"/>
    </w:pPr>
  </w:style>
  <w:style w:type="character" w:customStyle="1" w:styleId="FooterChar">
    <w:name w:val="Footer Char"/>
    <w:basedOn w:val="DefaultParagraphFont"/>
    <w:link w:val="Footer"/>
    <w:uiPriority w:val="99"/>
    <w:rsid w:val="0000465A"/>
    <w:rPr>
      <w:rFonts w:ascii="Arial" w:eastAsia="Batang" w:hAnsi="Arial" w:cstheme="minorHAnsi"/>
      <w:noProof/>
      <w:szCs w:val="24"/>
      <w:lang w:val="en-GB"/>
    </w:rPr>
  </w:style>
  <w:style w:type="paragraph" w:styleId="Revision">
    <w:name w:val="Revision"/>
    <w:hidden/>
    <w:uiPriority w:val="99"/>
    <w:semiHidden/>
    <w:rsid w:val="0000465A"/>
    <w:pPr>
      <w:spacing w:after="0" w:line="240" w:lineRule="auto"/>
    </w:pPr>
    <w:rPr>
      <w:rFonts w:ascii="Arial" w:eastAsia="Batang" w:hAnsi="Arial" w:cstheme="minorHAnsi"/>
      <w:noProof/>
      <w:szCs w:val="24"/>
      <w:lang w:val="en-GB"/>
    </w:rPr>
  </w:style>
  <w:style w:type="paragraph" w:customStyle="1" w:styleId="Bulletpoint">
    <w:name w:val="Bulletpoint"/>
    <w:basedOn w:val="Normal"/>
    <w:link w:val="BulletpointChar"/>
    <w:qFormat/>
    <w:rsid w:val="00BE7443"/>
    <w:pPr>
      <w:numPr>
        <w:numId w:val="10"/>
      </w:numPr>
    </w:pPr>
  </w:style>
  <w:style w:type="character" w:customStyle="1" w:styleId="BulletpointChar">
    <w:name w:val="Bulletpoint Char"/>
    <w:basedOn w:val="DefaultParagraphFont"/>
    <w:link w:val="Bulletpoint"/>
    <w:rsid w:val="00BE7443"/>
    <w:rPr>
      <w:rFonts w:ascii="Arial" w:eastAsia="Batang" w:hAnsi="Arial" w:cstheme="minorHAnsi"/>
      <w:noProof/>
      <w:szCs w:val="24"/>
      <w:lang w:val="en-GB"/>
    </w:rPr>
  </w:style>
  <w:style w:type="character" w:styleId="FollowedHyperlink">
    <w:name w:val="FollowedHyperlink"/>
    <w:basedOn w:val="DefaultParagraphFont"/>
    <w:uiPriority w:val="99"/>
    <w:semiHidden/>
    <w:unhideWhenUsed/>
    <w:rsid w:val="00B76697"/>
    <w:rPr>
      <w:color w:val="954F72" w:themeColor="followedHyperlink"/>
      <w:u w:val="single"/>
    </w:rPr>
  </w:style>
  <w:style w:type="character" w:styleId="Emphasis">
    <w:name w:val="Emphasis"/>
    <w:basedOn w:val="DefaultParagraphFont"/>
    <w:uiPriority w:val="20"/>
    <w:qFormat/>
    <w:rsid w:val="00335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7757">
      <w:bodyDiv w:val="1"/>
      <w:marLeft w:val="0"/>
      <w:marRight w:val="0"/>
      <w:marTop w:val="0"/>
      <w:marBottom w:val="0"/>
      <w:divBdr>
        <w:top w:val="none" w:sz="0" w:space="0" w:color="auto"/>
        <w:left w:val="none" w:sz="0" w:space="0" w:color="auto"/>
        <w:bottom w:val="none" w:sz="0" w:space="0" w:color="auto"/>
        <w:right w:val="none" w:sz="0" w:space="0" w:color="auto"/>
      </w:divBdr>
    </w:div>
    <w:div w:id="259610914">
      <w:bodyDiv w:val="1"/>
      <w:marLeft w:val="0"/>
      <w:marRight w:val="0"/>
      <w:marTop w:val="0"/>
      <w:marBottom w:val="0"/>
      <w:divBdr>
        <w:top w:val="none" w:sz="0" w:space="0" w:color="auto"/>
        <w:left w:val="none" w:sz="0" w:space="0" w:color="auto"/>
        <w:bottom w:val="none" w:sz="0" w:space="0" w:color="auto"/>
        <w:right w:val="none" w:sz="0" w:space="0" w:color="auto"/>
      </w:divBdr>
    </w:div>
    <w:div w:id="557253414">
      <w:bodyDiv w:val="1"/>
      <w:marLeft w:val="0"/>
      <w:marRight w:val="0"/>
      <w:marTop w:val="0"/>
      <w:marBottom w:val="0"/>
      <w:divBdr>
        <w:top w:val="none" w:sz="0" w:space="0" w:color="auto"/>
        <w:left w:val="none" w:sz="0" w:space="0" w:color="auto"/>
        <w:bottom w:val="none" w:sz="0" w:space="0" w:color="auto"/>
        <w:right w:val="none" w:sz="0" w:space="0" w:color="auto"/>
      </w:divBdr>
    </w:div>
    <w:div w:id="780496234">
      <w:bodyDiv w:val="1"/>
      <w:marLeft w:val="0"/>
      <w:marRight w:val="0"/>
      <w:marTop w:val="0"/>
      <w:marBottom w:val="0"/>
      <w:divBdr>
        <w:top w:val="none" w:sz="0" w:space="0" w:color="auto"/>
        <w:left w:val="none" w:sz="0" w:space="0" w:color="auto"/>
        <w:bottom w:val="none" w:sz="0" w:space="0" w:color="auto"/>
        <w:right w:val="none" w:sz="0" w:space="0" w:color="auto"/>
      </w:divBdr>
    </w:div>
    <w:div w:id="788818306">
      <w:bodyDiv w:val="1"/>
      <w:marLeft w:val="0"/>
      <w:marRight w:val="0"/>
      <w:marTop w:val="0"/>
      <w:marBottom w:val="0"/>
      <w:divBdr>
        <w:top w:val="none" w:sz="0" w:space="0" w:color="auto"/>
        <w:left w:val="none" w:sz="0" w:space="0" w:color="auto"/>
        <w:bottom w:val="none" w:sz="0" w:space="0" w:color="auto"/>
        <w:right w:val="none" w:sz="0" w:space="0" w:color="auto"/>
      </w:divBdr>
    </w:div>
    <w:div w:id="790590465">
      <w:bodyDiv w:val="1"/>
      <w:marLeft w:val="0"/>
      <w:marRight w:val="0"/>
      <w:marTop w:val="0"/>
      <w:marBottom w:val="0"/>
      <w:divBdr>
        <w:top w:val="none" w:sz="0" w:space="0" w:color="auto"/>
        <w:left w:val="none" w:sz="0" w:space="0" w:color="auto"/>
        <w:bottom w:val="none" w:sz="0" w:space="0" w:color="auto"/>
        <w:right w:val="none" w:sz="0" w:space="0" w:color="auto"/>
      </w:divBdr>
    </w:div>
    <w:div w:id="1965387823">
      <w:bodyDiv w:val="1"/>
      <w:marLeft w:val="0"/>
      <w:marRight w:val="0"/>
      <w:marTop w:val="0"/>
      <w:marBottom w:val="0"/>
      <w:divBdr>
        <w:top w:val="none" w:sz="0" w:space="0" w:color="auto"/>
        <w:left w:val="none" w:sz="0" w:space="0" w:color="auto"/>
        <w:bottom w:val="none" w:sz="0" w:space="0" w:color="auto"/>
        <w:right w:val="none" w:sz="0" w:space="0" w:color="auto"/>
      </w:divBdr>
    </w:div>
    <w:div w:id="201394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ige.europa.eu/publications/gender-inequalities-care-and-consequences-labour-market"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y.p.murphy@mu.ie" TargetMode="External"/><Relationship Id="rId17" Type="http://schemas.openxmlformats.org/officeDocument/2006/relationships/hyperlink" Target="https://neweconomics.org/uploads/files/MIG-new.pdf" TargetMode="External"/><Relationship Id="rId2" Type="http://schemas.openxmlformats.org/officeDocument/2006/relationships/customXml" Target="../customXml/item2.xml"/><Relationship Id="rId16" Type="http://schemas.openxmlformats.org/officeDocument/2006/relationships/hyperlink" Target="https://www.unwomen.org/en/digital-library/publications/2020/09/gender-equality-in-the-wake-of-covid-1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chael.mcgann@mu.ie" TargetMode="External"/><Relationship Id="rId5" Type="http://schemas.openxmlformats.org/officeDocument/2006/relationships/numbering" Target="numbering.xml"/><Relationship Id="rId15" Type="http://schemas.openxmlformats.org/officeDocument/2006/relationships/hyperlink" Target="https://www.oxfam.org/en/not-allgaps-are-created-equal-true-value-care-wor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hdr.undp.org/en/content/valuing-care-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AppData\Roaming\Microsoft\Templates\Artic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14AB22DFE4D9F488BC12A88528EB3A2" ma:contentTypeVersion="13" ma:contentTypeDescription="Create a new document." ma:contentTypeScope="" ma:versionID="3500a326727e22b421884a3ab372041c">
  <xsd:schema xmlns:xsd="http://www.w3.org/2001/XMLSchema" xmlns:xs="http://www.w3.org/2001/XMLSchema" xmlns:p="http://schemas.microsoft.com/office/2006/metadata/properties" xmlns:ns2="543452e6-7abe-488c-8804-28dfa6ce6e81" xmlns:ns3="4825d917-f6e6-4d62-a85a-bb813c26a8eb" targetNamespace="http://schemas.microsoft.com/office/2006/metadata/properties" ma:root="true" ma:fieldsID="30060a619946f0b64569c0ab3ce207fe" ns2:_="" ns3:_="">
    <xsd:import namespace="543452e6-7abe-488c-8804-28dfa6ce6e81"/>
    <xsd:import namespace="4825d917-f6e6-4d62-a85a-bb813c26a8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3452e6-7abe-488c-8804-28dfa6ce6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25d917-f6e6-4d62-a85a-bb813c26a8e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671DA1-22AA-4538-B77E-CE12998DC7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0EB4E-D12B-4366-8A6A-1447A56C750B}">
  <ds:schemaRefs>
    <ds:schemaRef ds:uri="http://schemas.microsoft.com/sharepoint/v3/contenttype/forms"/>
  </ds:schemaRefs>
</ds:datastoreItem>
</file>

<file path=customXml/itemProps3.xml><?xml version="1.0" encoding="utf-8"?>
<ds:datastoreItem xmlns:ds="http://schemas.openxmlformats.org/officeDocument/2006/customXml" ds:itemID="{45B9C7D7-8539-4E8D-96B6-75509D7C0B74}">
  <ds:schemaRefs>
    <ds:schemaRef ds:uri="http://schemas.openxmlformats.org/officeDocument/2006/bibliography"/>
  </ds:schemaRefs>
</ds:datastoreItem>
</file>

<file path=customXml/itemProps4.xml><?xml version="1.0" encoding="utf-8"?>
<ds:datastoreItem xmlns:ds="http://schemas.openxmlformats.org/officeDocument/2006/customXml" ds:itemID="{5D8935A1-179B-4E48-BC54-6726A890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3452e6-7abe-488c-8804-28dfa6ce6e81"/>
    <ds:schemaRef ds:uri="4825d917-f6e6-4d62-a85a-bb813c26a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Article</Template>
  <TotalTime>3</TotalTime>
  <Pages>8</Pages>
  <Words>2080</Words>
  <Characters>11859</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Mcgann</dc:creator>
  <cp:keywords/>
  <dc:description/>
  <cp:lastModifiedBy>Michael Mcgann</cp:lastModifiedBy>
  <cp:revision>2</cp:revision>
  <dcterms:created xsi:type="dcterms:W3CDTF">2022-02-14T05:34:00Z</dcterms:created>
  <dcterms:modified xsi:type="dcterms:W3CDTF">2022-02-14T05:34:00Z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0x010100A14AB22DFE4D9F488BC12A88528EB3A2</vt:lpwstr>
  </property>
  <property fmtid="{D5CDD505-2E9C-101B-9397-08002B2CF9AE}" pid="3" name="Mendeley Recent Style Id 0_1">
    <vt:lpwstr>http://www.zotero.org/styles/cambridge-journal-of-economics</vt:lpwstr>
  </property>
  <property fmtid="{D5CDD505-2E9C-101B-9397-08002B2CF9AE}" pid="4" name="Mendeley Recent Style Name 0_1">
    <vt:lpwstr>Cambridge Journal of Economics</vt:lpwstr>
  </property>
  <property fmtid="{D5CDD505-2E9C-101B-9397-08002B2CF9AE}" pid="5" name="Mendeley Recent Style Id 1_1">
    <vt:lpwstr>http://www.zotero.org/styles/cambridge-university-press-author-date</vt:lpwstr>
  </property>
  <property fmtid="{D5CDD505-2E9C-101B-9397-08002B2CF9AE}" pid="6" name="Mendeley Recent Style Name 1_1">
    <vt:lpwstr>Cambridge University Press (author-date)</vt:lpwstr>
  </property>
  <property fmtid="{D5CDD505-2E9C-101B-9397-08002B2CF9AE}" pid="7" name="Mendeley Recent Style Id 2_1">
    <vt:lpwstr>http://www.zotero.org/styles/chicago-author-date-16th-edition</vt:lpwstr>
  </property>
  <property fmtid="{D5CDD505-2E9C-101B-9397-08002B2CF9AE}" pid="8" name="Mendeley Recent Style Name 2_1">
    <vt:lpwstr>Chicago Manual of Style 16th edition (author-date)</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http://www.zotero.org/styles/harvard-deakin-university</vt:lpwstr>
  </property>
  <property fmtid="{D5CDD505-2E9C-101B-9397-08002B2CF9AE}" pid="12" name="Mendeley Recent Style Name 4_1">
    <vt:lpwstr>Deakin University - Harvard</vt:lpwstr>
  </property>
  <property fmtid="{D5CDD505-2E9C-101B-9397-08002B2CF9AE}" pid="13" name="Mendeley Recent Style Id 5_1">
    <vt:lpwstr>http://www.zotero.org/styles/elsevier-harvard2</vt:lpwstr>
  </property>
  <property fmtid="{D5CDD505-2E9C-101B-9397-08002B2CF9AE}" pid="14" name="Mendeley Recent Style Name 5_1">
    <vt:lpwstr>Elsevier - Harvard 2</vt:lpwstr>
  </property>
  <property fmtid="{D5CDD505-2E9C-101B-9397-08002B2CF9AE}" pid="15" name="Mendeley Recent Style Id 6_1">
    <vt:lpwstr>http://www.zotero.org/styles/sage-harvard</vt:lpwstr>
  </property>
  <property fmtid="{D5CDD505-2E9C-101B-9397-08002B2CF9AE}" pid="16" name="Mendeley Recent Style Name 6_1">
    <vt:lpwstr>SAGE - Harvard</vt:lpwstr>
  </property>
  <property fmtid="{D5CDD505-2E9C-101B-9397-08002B2CF9AE}" pid="17" name="Mendeley Recent Style Id 7_1">
    <vt:lpwstr>http://www.zotero.org/styles/sociology</vt:lpwstr>
  </property>
  <property fmtid="{D5CDD505-2E9C-101B-9397-08002B2CF9AE}" pid="18" name="Mendeley Recent Style Name 7_1">
    <vt:lpwstr>Sociology</vt:lpwstr>
  </property>
  <property fmtid="{D5CDD505-2E9C-101B-9397-08002B2CF9AE}" pid="19" name="Mendeley Recent Style Id 8_1">
    <vt:lpwstr>http://www.zotero.org/styles/taylor-and-francis-chicago-f</vt:lpwstr>
  </property>
  <property fmtid="{D5CDD505-2E9C-101B-9397-08002B2CF9AE}" pid="20" name="Mendeley Recent Style Name 8_1">
    <vt:lpwstr>Taylor &amp; Francis - Chicago F</vt:lpwstr>
  </property>
  <property fmtid="{D5CDD505-2E9C-101B-9397-08002B2CF9AE}" pid="21" name="Mendeley Recent Style Id 9_1">
    <vt:lpwstr>http://www.zotero.org/styles/taylor-and-francis-harvard-v</vt:lpwstr>
  </property>
  <property fmtid="{D5CDD505-2E9C-101B-9397-08002B2CF9AE}" pid="22" name="Mendeley Recent Style Name 9_1">
    <vt:lpwstr>Taylor &amp; Francis - Harvard V</vt:lpwstr>
  </property>
</Properties>
</file>