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5B4" w:rsidRDefault="00E840D0">
      <w:r w:rsidRPr="00E840D0">
        <w:drawing>
          <wp:inline distT="0" distB="0" distL="0" distR="0" wp14:anchorId="5A5423AC" wp14:editId="68E9730B">
            <wp:extent cx="5270500" cy="2843901"/>
            <wp:effectExtent l="0" t="0" r="12700" b="2667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AB682E" w:rsidRDefault="00AB682E"/>
    <w:p w:rsidR="00AB682E" w:rsidRPr="00936D98" w:rsidRDefault="00AB682E" w:rsidP="00AB682E">
      <w:pPr>
        <w:jc w:val="both"/>
        <w:rPr>
          <w:rFonts w:ascii="Times New Roman" w:hAnsi="Times New Roman" w:cs="Times New Roman"/>
          <w:bCs/>
        </w:rPr>
      </w:pPr>
      <w:r w:rsidRPr="00936D98">
        <w:rPr>
          <w:rFonts w:ascii="Times New Roman" w:hAnsi="Times New Roman" w:cs="Times New Roman"/>
          <w:b/>
        </w:rPr>
        <w:t>Figure S1.</w:t>
      </w:r>
      <w:r w:rsidRPr="00936D98">
        <w:rPr>
          <w:rFonts w:ascii="Times New Roman" w:hAnsi="Times New Roman" w:cs="Times New Roman"/>
        </w:rPr>
        <w:t xml:space="preserve"> </w:t>
      </w:r>
      <w:proofErr w:type="spellStart"/>
      <w:proofErr w:type="gramStart"/>
      <w:r w:rsidRPr="00936D98">
        <w:rPr>
          <w:rFonts w:ascii="Times New Roman" w:hAnsi="Times New Roman" w:cs="Times New Roman"/>
          <w:b/>
          <w:bCs/>
        </w:rPr>
        <w:t>Cellulases</w:t>
      </w:r>
      <w:proofErr w:type="spellEnd"/>
      <w:r w:rsidRPr="00936D98">
        <w:rPr>
          <w:rFonts w:ascii="Times New Roman" w:hAnsi="Times New Roman" w:cs="Times New Roman"/>
          <w:b/>
          <w:bCs/>
        </w:rPr>
        <w:t xml:space="preserve"> GH48 and GH9 work in a synergistic manner.</w:t>
      </w:r>
      <w:proofErr w:type="gramEnd"/>
      <w:r w:rsidRPr="00936D98">
        <w:rPr>
          <w:rFonts w:ascii="Times New Roman" w:hAnsi="Times New Roman" w:cs="Times New Roman"/>
          <w:b/>
          <w:bCs/>
        </w:rPr>
        <w:t xml:space="preserve"> </w:t>
      </w:r>
      <w:r w:rsidRPr="00936D98">
        <w:rPr>
          <w:rFonts w:ascii="Times New Roman" w:hAnsi="Times New Roman" w:cs="Times New Roman"/>
          <w:bCs/>
        </w:rPr>
        <w:t xml:space="preserve">The recombinant putative </w:t>
      </w:r>
      <w:r w:rsidRPr="00936D98">
        <w:rPr>
          <w:rFonts w:ascii="Times New Roman" w:hAnsi="Times New Roman" w:cs="Times New Roman"/>
          <w:bCs/>
          <w:i/>
          <w:iCs/>
        </w:rPr>
        <w:t xml:space="preserve">C. </w:t>
      </w:r>
      <w:proofErr w:type="spellStart"/>
      <w:r w:rsidRPr="00936D98">
        <w:rPr>
          <w:rFonts w:ascii="Times New Roman" w:hAnsi="Times New Roman" w:cs="Times New Roman"/>
          <w:bCs/>
          <w:i/>
          <w:iCs/>
        </w:rPr>
        <w:t>clariflavum</w:t>
      </w:r>
      <w:proofErr w:type="spellEnd"/>
      <w:r w:rsidRPr="00936D98">
        <w:rPr>
          <w:rFonts w:ascii="Times New Roman" w:hAnsi="Times New Roman" w:cs="Times New Roman"/>
          <w:bCs/>
        </w:rPr>
        <w:t xml:space="preserve"> </w:t>
      </w:r>
      <w:proofErr w:type="spellStart"/>
      <w:r w:rsidRPr="00936D98">
        <w:rPr>
          <w:rFonts w:ascii="Times New Roman" w:hAnsi="Times New Roman" w:cs="Times New Roman"/>
          <w:bCs/>
        </w:rPr>
        <w:t>exoglucanase</w:t>
      </w:r>
      <w:proofErr w:type="spellEnd"/>
      <w:r w:rsidRPr="00936D98">
        <w:rPr>
          <w:rFonts w:ascii="Times New Roman" w:hAnsi="Times New Roman" w:cs="Times New Roman"/>
          <w:bCs/>
        </w:rPr>
        <w:t xml:space="preserve"> GH48 and </w:t>
      </w:r>
      <w:proofErr w:type="spellStart"/>
      <w:r w:rsidRPr="00936D98">
        <w:rPr>
          <w:rFonts w:ascii="Times New Roman" w:hAnsi="Times New Roman" w:cs="Times New Roman"/>
          <w:bCs/>
        </w:rPr>
        <w:t>endoglucanase</w:t>
      </w:r>
      <w:proofErr w:type="spellEnd"/>
      <w:r w:rsidRPr="00936D98">
        <w:rPr>
          <w:rFonts w:ascii="Times New Roman" w:hAnsi="Times New Roman" w:cs="Times New Roman"/>
          <w:bCs/>
        </w:rPr>
        <w:t xml:space="preserve"> GH9 were used for degradation of PASC (phosphoric acid-swollen cellulose) alone or combined. Reaction tubes were supplemented with 0.5 µM of each enzyme, or 1 µM in total of the two enzymes combined. The duration of the reaction was 3 h, and </w:t>
      </w:r>
      <w:proofErr w:type="gramStart"/>
      <w:r w:rsidRPr="00936D98">
        <w:rPr>
          <w:rFonts w:ascii="Times New Roman" w:hAnsi="Times New Roman" w:cs="Times New Roman"/>
          <w:bCs/>
        </w:rPr>
        <w:t xml:space="preserve">the </w:t>
      </w:r>
      <w:bookmarkStart w:id="0" w:name="_GoBack"/>
      <w:bookmarkEnd w:id="0"/>
      <w:r w:rsidRPr="00936D98">
        <w:rPr>
          <w:rFonts w:ascii="Times New Roman" w:hAnsi="Times New Roman" w:cs="Times New Roman"/>
          <w:bCs/>
        </w:rPr>
        <w:t>level of cellulose degradation was assessed by measuring the amount of released reducing sugars</w:t>
      </w:r>
      <w:proofErr w:type="gramEnd"/>
      <w:r w:rsidRPr="00936D98">
        <w:rPr>
          <w:rFonts w:ascii="Times New Roman" w:hAnsi="Times New Roman" w:cs="Times New Roman"/>
          <w:bCs/>
        </w:rPr>
        <w:t>. The combination of the two enzymes resulted in 1.29-fold enhancement of PASC degradation. Synergy was calculated by summation of the released reducing sugars from the degradation by each enzyme alone, and comparing it to the amount of released reducing sugars by the action of the two enzymes together.</w:t>
      </w:r>
    </w:p>
    <w:p w:rsidR="00AB682E" w:rsidRDefault="00AB682E"/>
    <w:sectPr w:rsidR="00AB682E" w:rsidSect="003F0A5B">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0D0"/>
    <w:rsid w:val="00060E50"/>
    <w:rsid w:val="000D6031"/>
    <w:rsid w:val="001A2F0F"/>
    <w:rsid w:val="001C7102"/>
    <w:rsid w:val="001F6F6A"/>
    <w:rsid w:val="00226D74"/>
    <w:rsid w:val="0024324F"/>
    <w:rsid w:val="00255020"/>
    <w:rsid w:val="002C3908"/>
    <w:rsid w:val="002D7FE3"/>
    <w:rsid w:val="00367668"/>
    <w:rsid w:val="003803B3"/>
    <w:rsid w:val="00386850"/>
    <w:rsid w:val="003D3B48"/>
    <w:rsid w:val="003F0A5B"/>
    <w:rsid w:val="00401AB3"/>
    <w:rsid w:val="004E6E71"/>
    <w:rsid w:val="004F021A"/>
    <w:rsid w:val="005125B4"/>
    <w:rsid w:val="00533009"/>
    <w:rsid w:val="00573440"/>
    <w:rsid w:val="005A1396"/>
    <w:rsid w:val="005A66A8"/>
    <w:rsid w:val="00636AF7"/>
    <w:rsid w:val="00690E8A"/>
    <w:rsid w:val="0069601D"/>
    <w:rsid w:val="006C2111"/>
    <w:rsid w:val="0075444D"/>
    <w:rsid w:val="007C14FD"/>
    <w:rsid w:val="0086376F"/>
    <w:rsid w:val="00870466"/>
    <w:rsid w:val="008E60A1"/>
    <w:rsid w:val="0097504E"/>
    <w:rsid w:val="00990389"/>
    <w:rsid w:val="00A009EB"/>
    <w:rsid w:val="00A72D45"/>
    <w:rsid w:val="00A93E2E"/>
    <w:rsid w:val="00AB682E"/>
    <w:rsid w:val="00AD30EC"/>
    <w:rsid w:val="00AE0ABC"/>
    <w:rsid w:val="00BC37AE"/>
    <w:rsid w:val="00C513D7"/>
    <w:rsid w:val="00C646FF"/>
    <w:rsid w:val="00E05A5D"/>
    <w:rsid w:val="00E4149A"/>
    <w:rsid w:val="00E840D0"/>
    <w:rsid w:val="00F05B42"/>
    <w:rsid w:val="00F22D82"/>
    <w:rsid w:val="00F91E26"/>
    <w:rsid w:val="00FA4566"/>
    <w:rsid w:val="00FC5181"/>
    <w:rsid w:val="00FE28EA"/>
    <w:rsid w:val="00FF67CA"/>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FDC5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D3B4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D3B48"/>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D3B4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D3B48"/>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chart" Target="charts/chart1.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Lior\Documents\Master\PhD\my%20papers\P3\supplementary\GH48%20and%20GH9%20on%20PASC%20030116%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0"/>
    </mc:Choice>
    <mc:Fallback>
      <c:style val="20"/>
    </mc:Fallback>
  </mc:AlternateContent>
  <c:chart>
    <c:autoTitleDeleted val="0"/>
    <c:plotArea>
      <c:layout/>
      <c:barChart>
        <c:barDir val="col"/>
        <c:grouping val="clustered"/>
        <c:varyColors val="0"/>
        <c:ser>
          <c:idx val="0"/>
          <c:order val="0"/>
          <c:spPr>
            <a:solidFill>
              <a:srgbClr val="A50021"/>
            </a:solidFill>
          </c:spPr>
          <c:invertIfNegative val="0"/>
          <c:errBars>
            <c:errBarType val="both"/>
            <c:errValType val="cust"/>
            <c:noEndCap val="0"/>
            <c:plus>
              <c:numRef>
                <c:f>Sheet1!$C$36:$E$36</c:f>
                <c:numCache>
                  <c:formatCode>General</c:formatCode>
                  <c:ptCount val="3"/>
                  <c:pt idx="0">
                    <c:v>0.0467333180619382</c:v>
                  </c:pt>
                  <c:pt idx="1">
                    <c:v>0.122739823526712</c:v>
                  </c:pt>
                  <c:pt idx="2">
                    <c:v>0.247756361440789</c:v>
                  </c:pt>
                </c:numCache>
              </c:numRef>
            </c:plus>
            <c:minus>
              <c:numRef>
                <c:f>Sheet1!$C$36:$E$36</c:f>
                <c:numCache>
                  <c:formatCode>General</c:formatCode>
                  <c:ptCount val="3"/>
                  <c:pt idx="0">
                    <c:v>0.0467333180619382</c:v>
                  </c:pt>
                  <c:pt idx="1">
                    <c:v>0.122739823526712</c:v>
                  </c:pt>
                  <c:pt idx="2">
                    <c:v>0.247756361440789</c:v>
                  </c:pt>
                </c:numCache>
              </c:numRef>
            </c:minus>
          </c:errBars>
          <c:cat>
            <c:strRef>
              <c:f>Sheet1!$C$33:$E$33</c:f>
              <c:strCache>
                <c:ptCount val="3"/>
                <c:pt idx="0">
                  <c:v>GH48</c:v>
                </c:pt>
                <c:pt idx="1">
                  <c:v>GH9</c:v>
                </c:pt>
                <c:pt idx="2">
                  <c:v>GH48+GH9</c:v>
                </c:pt>
              </c:strCache>
            </c:strRef>
          </c:cat>
          <c:val>
            <c:numRef>
              <c:f>Sheet1!$C$34:$E$34</c:f>
              <c:numCache>
                <c:formatCode>General</c:formatCode>
                <c:ptCount val="3"/>
                <c:pt idx="0">
                  <c:v>0.569587324110204</c:v>
                </c:pt>
                <c:pt idx="1">
                  <c:v>1.70736273698317</c:v>
                </c:pt>
                <c:pt idx="2">
                  <c:v>2.939123408616137</c:v>
                </c:pt>
              </c:numCache>
            </c:numRef>
          </c:val>
        </c:ser>
        <c:dLbls>
          <c:showLegendKey val="0"/>
          <c:showVal val="0"/>
          <c:showCatName val="0"/>
          <c:showSerName val="0"/>
          <c:showPercent val="0"/>
          <c:showBubbleSize val="0"/>
        </c:dLbls>
        <c:gapWidth val="150"/>
        <c:axId val="2112573752"/>
        <c:axId val="2112578344"/>
      </c:barChart>
      <c:catAx>
        <c:axId val="2112573752"/>
        <c:scaling>
          <c:orientation val="minMax"/>
        </c:scaling>
        <c:delete val="0"/>
        <c:axPos val="b"/>
        <c:numFmt formatCode="General" sourceLinked="0"/>
        <c:majorTickMark val="out"/>
        <c:minorTickMark val="none"/>
        <c:tickLblPos val="nextTo"/>
        <c:spPr>
          <a:ln w="19050">
            <a:solidFill>
              <a:schemeClr val="tx1"/>
            </a:solidFill>
          </a:ln>
        </c:spPr>
        <c:txPr>
          <a:bodyPr/>
          <a:lstStyle/>
          <a:p>
            <a:pPr>
              <a:defRPr sz="1200" baseline="0"/>
            </a:pPr>
            <a:endParaRPr lang="en-US"/>
          </a:p>
        </c:txPr>
        <c:crossAx val="2112578344"/>
        <c:crosses val="autoZero"/>
        <c:auto val="1"/>
        <c:lblAlgn val="ctr"/>
        <c:lblOffset val="100"/>
        <c:noMultiLvlLbl val="0"/>
      </c:catAx>
      <c:valAx>
        <c:axId val="2112578344"/>
        <c:scaling>
          <c:orientation val="minMax"/>
        </c:scaling>
        <c:delete val="0"/>
        <c:axPos val="l"/>
        <c:title>
          <c:tx>
            <c:rich>
              <a:bodyPr/>
              <a:lstStyle/>
              <a:p>
                <a:pPr>
                  <a:defRPr sz="1400"/>
                </a:pPr>
                <a:r>
                  <a:rPr lang="en-US" sz="1400" dirty="0"/>
                  <a:t>Release reducing</a:t>
                </a:r>
                <a:r>
                  <a:rPr lang="en-US" sz="1400" baseline="0" dirty="0"/>
                  <a:t> sugars [</a:t>
                </a:r>
                <a:r>
                  <a:rPr lang="en-US" sz="1400" baseline="0" dirty="0" err="1"/>
                  <a:t>mM</a:t>
                </a:r>
                <a:r>
                  <a:rPr lang="en-US" sz="1400" baseline="0" dirty="0"/>
                  <a:t>]</a:t>
                </a:r>
                <a:endParaRPr lang="en-US" sz="1400" dirty="0"/>
              </a:p>
            </c:rich>
          </c:tx>
          <c:layout>
            <c:manualLayout>
              <c:xMode val="edge"/>
              <c:yMode val="edge"/>
              <c:x val="0.0125974316296488"/>
              <c:y val="0.067422820381207"/>
            </c:manualLayout>
          </c:layout>
          <c:overlay val="0"/>
        </c:title>
        <c:numFmt formatCode="General" sourceLinked="1"/>
        <c:majorTickMark val="out"/>
        <c:minorTickMark val="none"/>
        <c:tickLblPos val="nextTo"/>
        <c:spPr>
          <a:ln w="38100">
            <a:solidFill>
              <a:schemeClr val="tx1"/>
            </a:solidFill>
          </a:ln>
          <a:effectLst>
            <a:softEdge rad="12700"/>
          </a:effectLst>
        </c:spPr>
        <c:txPr>
          <a:bodyPr/>
          <a:lstStyle/>
          <a:p>
            <a:pPr>
              <a:defRPr sz="1200" baseline="0"/>
            </a:pPr>
            <a:endParaRPr lang="en-US"/>
          </a:p>
        </c:txPr>
        <c:crossAx val="2112573752"/>
        <c:crosses val="autoZero"/>
        <c:crossBetween val="between"/>
      </c:valAx>
      <c:spPr>
        <a:noFill/>
        <a:ln w="25400">
          <a:noFill/>
        </a:ln>
      </c:spPr>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118</Words>
  <Characters>673</Characters>
  <Application>Microsoft Macintosh Word</Application>
  <DocSecurity>0</DocSecurity>
  <Lines>5</Lines>
  <Paragraphs>1</Paragraphs>
  <ScaleCrop>false</ScaleCrop>
  <Company>WIS</Company>
  <LinksUpToDate>false</LinksUpToDate>
  <CharactersWithSpaces>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  Bayer</dc:creator>
  <cp:keywords/>
  <dc:description/>
  <cp:lastModifiedBy>Ed  Bayer</cp:lastModifiedBy>
  <cp:revision>1</cp:revision>
  <dcterms:created xsi:type="dcterms:W3CDTF">2016-01-15T16:14:00Z</dcterms:created>
  <dcterms:modified xsi:type="dcterms:W3CDTF">2016-01-15T16:32:00Z</dcterms:modified>
</cp:coreProperties>
</file>