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E26" w:rsidRDefault="00277E26" w:rsidP="00277E26">
      <w:pPr>
        <w:pStyle w:val="Title"/>
        <w:rPr>
          <w:color w:val="auto"/>
        </w:rPr>
      </w:pPr>
      <w:bookmarkStart w:id="0" w:name="overview"/>
      <w:r>
        <w:rPr>
          <w:color w:val="auto"/>
        </w:rPr>
        <w:t>Replication package to “</w:t>
      </w:r>
      <w:r w:rsidRPr="00277E26">
        <w:rPr>
          <w:color w:val="auto"/>
        </w:rPr>
        <w:t xml:space="preserve">Cognitive </w:t>
      </w:r>
      <w:r>
        <w:rPr>
          <w:color w:val="auto"/>
        </w:rPr>
        <w:t xml:space="preserve">Skills and Economic Preferences </w:t>
      </w:r>
      <w:r w:rsidRPr="00277E26">
        <w:rPr>
          <w:color w:val="auto"/>
        </w:rPr>
        <w:t>in the Fund Industry</w:t>
      </w:r>
      <w:r>
        <w:rPr>
          <w:color w:val="auto"/>
        </w:rPr>
        <w:t>”</w:t>
      </w:r>
    </w:p>
    <w:p w:rsidR="00277E26" w:rsidRPr="00277E26" w:rsidRDefault="00277E26" w:rsidP="00277E26">
      <w:pPr>
        <w:pStyle w:val="BodyText"/>
      </w:pPr>
    </w:p>
    <w:bookmarkEnd w:id="0"/>
    <w:p w:rsidR="00AB0E1E" w:rsidRDefault="00987AB0" w:rsidP="00DD0EA6">
      <w:pPr>
        <w:pStyle w:val="FirstParagraph"/>
        <w:jc w:val="both"/>
      </w:pPr>
      <w:r>
        <w:t xml:space="preserve">The code in this replication package constructs </w:t>
      </w:r>
      <w:r w:rsidR="002C6733">
        <w:t xml:space="preserve">all the figures and tables of the paper </w:t>
      </w:r>
      <w:r>
        <w:t xml:space="preserve">using Stata. </w:t>
      </w:r>
      <w:r w:rsidR="007C4D3D">
        <w:t>Some of the data in this package exactly corresponds to the data used in the paper, and hence the corresponding tables and figures are exactly reproduced. Another part of the data in this package is synthetic, and thus the results in the corresponding tables are not exactly the same as those in the paper. See the details later in this document.</w:t>
      </w:r>
    </w:p>
    <w:p w:rsidR="00065B00" w:rsidRDefault="00987AB0" w:rsidP="00DD0EA6">
      <w:pPr>
        <w:pStyle w:val="Heading2"/>
        <w:jc w:val="both"/>
      </w:pPr>
      <w:bookmarkStart w:id="1" w:name="X2a26b784290afcf59b085c472e937fe0771d283"/>
      <w:r>
        <w:t>Data</w:t>
      </w:r>
      <w:bookmarkEnd w:id="1"/>
      <w:r w:rsidR="00950190">
        <w:t xml:space="preserve"> Sources</w:t>
      </w:r>
    </w:p>
    <w:p w:rsidR="005A7F30" w:rsidRDefault="00AB0E1E" w:rsidP="005A7F30">
      <w:pPr>
        <w:pStyle w:val="BlockText"/>
        <w:jc w:val="both"/>
      </w:pPr>
      <w:r>
        <w:t xml:space="preserve">Three data sources are used in the paper. First, measures of cognitive skills and economic preferences of mutual fund managers were obtained via online experiments conducted by the authors. This source is referred to as the </w:t>
      </w:r>
      <w:r>
        <w:rPr>
          <w:i/>
        </w:rPr>
        <w:t>experimental data</w:t>
      </w:r>
      <w:r>
        <w:t xml:space="preserve">. The second and third sources of data are </w:t>
      </w:r>
      <w:r>
        <w:rPr>
          <w:i/>
        </w:rPr>
        <w:t>Morningstar Direct</w:t>
      </w:r>
      <w:r>
        <w:t xml:space="preserve"> and </w:t>
      </w:r>
      <w:r>
        <w:rPr>
          <w:i/>
        </w:rPr>
        <w:t>Lipper</w:t>
      </w:r>
      <w:r>
        <w:t xml:space="preserve">. </w:t>
      </w:r>
      <w:r w:rsidR="00DD0EA6">
        <w:t xml:space="preserve">These sources provide empirical data on the funds managed by the participants of the online experiments. The data from Morningstar Direct and Lipper cannot be </w:t>
      </w:r>
      <w:r w:rsidR="00DD0EA6" w:rsidRPr="00950190">
        <w:t>made publicly available.</w:t>
      </w:r>
      <w:r w:rsidR="00BC53A1">
        <w:t xml:space="preserve"> There are two reasons for this. First, these sources are subscription-based (fee-paying) services. Second, and more importantly, the participants </w:t>
      </w:r>
      <w:r w:rsidR="007B0993">
        <w:t xml:space="preserve">of the experiments were ensured that their identity, or the identity of the funds they manage would not be traceable or disclosed publicly through any publications that rely on the data collected during the experiment. The direct publication of the fund-related data would make the funds in the sample identifiable. We provide synthetic data for the variables </w:t>
      </w:r>
      <w:r w:rsidR="005A7F30">
        <w:t xml:space="preserve">that are derived from the empirical sources (see the details under </w:t>
      </w:r>
      <w:r w:rsidR="0014406B">
        <w:t>section “</w:t>
      </w:r>
      <w:r w:rsidR="0014406B" w:rsidRPr="000D43EF">
        <w:t>Construction of synthetic data</w:t>
      </w:r>
      <w:r w:rsidR="0014406B">
        <w:t>”</w:t>
      </w:r>
      <w:r w:rsidR="005A7F30">
        <w:t>).</w:t>
      </w:r>
    </w:p>
    <w:p w:rsidR="005A7F30" w:rsidRPr="005A7F30" w:rsidRDefault="005A7F30" w:rsidP="005A7F30">
      <w:pPr>
        <w:pStyle w:val="BodyText"/>
        <w:ind w:left="540"/>
      </w:pPr>
      <w:r>
        <w:t>The following three subsections provide details for the data sources used.</w:t>
      </w:r>
    </w:p>
    <w:p w:rsidR="00065B00" w:rsidRDefault="00987AB0" w:rsidP="00DD0EA6">
      <w:pPr>
        <w:pStyle w:val="Heading3"/>
        <w:jc w:val="both"/>
      </w:pPr>
      <w:bookmarkStart w:id="2" w:name="X602800f1b15ea7ce0cec9c747ec89e031cc2aa8"/>
      <w:r>
        <w:t>Ex</w:t>
      </w:r>
      <w:bookmarkEnd w:id="2"/>
      <w:r w:rsidR="00950190">
        <w:t>perimental data</w:t>
      </w:r>
    </w:p>
    <w:p w:rsidR="008B2497" w:rsidRDefault="00987AB0" w:rsidP="00DD0EA6">
      <w:pPr>
        <w:pStyle w:val="BlockText"/>
        <w:jc w:val="both"/>
      </w:pPr>
      <w:r>
        <w:t xml:space="preserve">The </w:t>
      </w:r>
      <w:r w:rsidR="00950190">
        <w:t xml:space="preserve">experimental </w:t>
      </w:r>
      <w:r>
        <w:t>data were colle</w:t>
      </w:r>
      <w:r w:rsidR="00950190">
        <w:t xml:space="preserve">cted by the authors. The experiment has been conducted online using oTree (Chen et al., 2016). The software, including all instructions as used for the data collection, is available for download as a zipped oTree project at </w:t>
      </w:r>
      <w:hyperlink r:id="rId7" w:history="1">
        <w:r w:rsidR="00950190" w:rsidRPr="007D2773">
          <w:rPr>
            <w:rStyle w:val="Hyperlink"/>
          </w:rPr>
          <w:t>https://osf.io/dq3t8/</w:t>
        </w:r>
      </w:hyperlink>
      <w:r w:rsidR="00950190">
        <w:t xml:space="preserve"> and as a live demo version via </w:t>
      </w:r>
      <w:hyperlink r:id="rId8" w:history="1">
        <w:r w:rsidR="00950190" w:rsidRPr="007D2773">
          <w:rPr>
            <w:rStyle w:val="Hyperlink"/>
          </w:rPr>
          <w:t>https://fea-2018-en.herokuapp.com</w:t>
        </w:r>
      </w:hyperlink>
      <w:r w:rsidR="008B2497">
        <w:t>. Details on the experimental tasks are available in section A.2. of the Online Appendix.</w:t>
      </w:r>
      <w:r w:rsidR="006B33EE">
        <w:t xml:space="preserve"> In case of this data source, the replication package contains the </w:t>
      </w:r>
      <w:r w:rsidR="006502CE">
        <w:t>original data used in the paper.</w:t>
      </w:r>
    </w:p>
    <w:p w:rsidR="00575D82" w:rsidRDefault="008B2497" w:rsidP="00DD0EA6">
      <w:pPr>
        <w:pStyle w:val="BlockText"/>
        <w:jc w:val="both"/>
      </w:pPr>
      <w:r>
        <w:t xml:space="preserve">Datafile: </w:t>
      </w:r>
    </w:p>
    <w:p w:rsidR="00065B00" w:rsidRDefault="008B2497" w:rsidP="00DD0EA6">
      <w:pPr>
        <w:pStyle w:val="BlockText"/>
        <w:numPr>
          <w:ilvl w:val="0"/>
          <w:numId w:val="22"/>
        </w:numPr>
        <w:jc w:val="both"/>
      </w:pPr>
      <w:r>
        <w:rPr>
          <w:rStyle w:val="VerbatimChar"/>
        </w:rPr>
        <w:t>data_experimental.dta</w:t>
      </w:r>
    </w:p>
    <w:p w:rsidR="00065B00" w:rsidRDefault="008B2497" w:rsidP="00DD0EA6">
      <w:pPr>
        <w:pStyle w:val="Heading3"/>
        <w:jc w:val="both"/>
      </w:pPr>
      <w:r>
        <w:lastRenderedPageBreak/>
        <w:t>Morningstar data</w:t>
      </w:r>
    </w:p>
    <w:p w:rsidR="00065B00" w:rsidRDefault="000C3693" w:rsidP="00DD0EA6">
      <w:pPr>
        <w:pStyle w:val="BlockText"/>
        <w:jc w:val="both"/>
      </w:pPr>
      <w:r>
        <w:t xml:space="preserve">The main source of empirical data on mutual funds is </w:t>
      </w:r>
      <w:r w:rsidRPr="000C3693">
        <w:rPr>
          <w:i/>
        </w:rPr>
        <w:t>Morningstar Direct</w:t>
      </w:r>
      <w:r>
        <w:t>.</w:t>
      </w:r>
      <w:r w:rsidR="0063614A">
        <w:t xml:space="preserve"> Morningstar Direct is a subscription based (fee-paying) service</w:t>
      </w:r>
      <w:r w:rsidR="006E5FC1">
        <w:t xml:space="preserve"> (</w:t>
      </w:r>
      <w:hyperlink r:id="rId9" w:history="1">
        <w:r w:rsidR="006E5FC1" w:rsidRPr="007D2773">
          <w:rPr>
            <w:rStyle w:val="Hyperlink"/>
          </w:rPr>
          <w:t>https://www.morningstar.com/products/direct</w:t>
        </w:r>
      </w:hyperlink>
      <w:r w:rsidR="006E5FC1">
        <w:t>)</w:t>
      </w:r>
      <w:r w:rsidR="0063614A">
        <w:t xml:space="preserve">, and therefore </w:t>
      </w:r>
      <w:r w:rsidR="006E5FC1">
        <w:t xml:space="preserve">it is </w:t>
      </w:r>
      <w:r w:rsidR="0063614A">
        <w:t>not freely available to the public. The replication package provides synthetic data on variables derived from this data source.</w:t>
      </w:r>
    </w:p>
    <w:p w:rsidR="00575D82" w:rsidRDefault="00987AB0" w:rsidP="00DD0EA6">
      <w:pPr>
        <w:pStyle w:val="FirstParagraph"/>
        <w:ind w:left="450"/>
        <w:jc w:val="both"/>
      </w:pPr>
      <w:r>
        <w:t>Datafile</w:t>
      </w:r>
      <w:r w:rsidR="00575D82">
        <w:t>s</w:t>
      </w:r>
      <w:r>
        <w:t xml:space="preserve">: </w:t>
      </w:r>
    </w:p>
    <w:p w:rsidR="00575D82" w:rsidRDefault="00575D82" w:rsidP="00DD0EA6">
      <w:pPr>
        <w:pStyle w:val="FirstParagraph"/>
        <w:numPr>
          <w:ilvl w:val="0"/>
          <w:numId w:val="21"/>
        </w:numPr>
        <w:jc w:val="both"/>
        <w:rPr>
          <w:rStyle w:val="VerbatimChar"/>
        </w:rPr>
      </w:pPr>
      <w:r>
        <w:rPr>
          <w:rStyle w:val="VerbatimChar"/>
        </w:rPr>
        <w:t>data_funds2017.dta</w:t>
      </w:r>
    </w:p>
    <w:p w:rsidR="00575D82" w:rsidRDefault="00575D82" w:rsidP="00DD0EA6">
      <w:pPr>
        <w:pStyle w:val="FirstParagraph"/>
        <w:numPr>
          <w:ilvl w:val="0"/>
          <w:numId w:val="21"/>
        </w:numPr>
        <w:jc w:val="both"/>
        <w:rPr>
          <w:rStyle w:val="VerbatimChar"/>
        </w:rPr>
      </w:pPr>
      <w:r>
        <w:rPr>
          <w:rStyle w:val="VerbatimChar"/>
        </w:rPr>
        <w:t>data_monthly.dta</w:t>
      </w:r>
    </w:p>
    <w:p w:rsidR="00575D82" w:rsidRPr="00575D82" w:rsidRDefault="00575D82" w:rsidP="00DD0EA6">
      <w:pPr>
        <w:pStyle w:val="FirstParagraph"/>
        <w:numPr>
          <w:ilvl w:val="0"/>
          <w:numId w:val="21"/>
        </w:numPr>
        <w:jc w:val="both"/>
      </w:pPr>
      <w:r>
        <w:t>data_halfyearly.dta</w:t>
      </w:r>
    </w:p>
    <w:p w:rsidR="006E5FC1" w:rsidRDefault="006E5FC1" w:rsidP="00DD0EA6">
      <w:pPr>
        <w:pStyle w:val="Heading3"/>
        <w:jc w:val="both"/>
      </w:pPr>
      <w:bookmarkStart w:id="3" w:name="Xd9edc8c8bd6d0e5ae567cc6414b6229715a4c70"/>
      <w:r>
        <w:t>Lipper data</w:t>
      </w:r>
    </w:p>
    <w:p w:rsidR="006E5FC1" w:rsidRDefault="006E5FC1" w:rsidP="00DD0EA6">
      <w:pPr>
        <w:pStyle w:val="BlockText"/>
        <w:jc w:val="both"/>
      </w:pPr>
      <w:r>
        <w:t xml:space="preserve">The empirical data on mutual funds is complemented with data from </w:t>
      </w:r>
      <w:r w:rsidRPr="006E5FC1">
        <w:rPr>
          <w:i/>
        </w:rPr>
        <w:t>Lipper</w:t>
      </w:r>
      <w:r>
        <w:t>. Lipper is a subscription based (fee-paying) service of Refinitv (</w:t>
      </w:r>
      <w:hyperlink r:id="rId10" w:history="1">
        <w:r w:rsidRPr="007D2773">
          <w:rPr>
            <w:rStyle w:val="Hyperlink"/>
          </w:rPr>
          <w:t>https://www.refinitiv.com/en/financial-data/fund-data/lipper-fund-data</w:t>
        </w:r>
      </w:hyperlink>
      <w:r>
        <w:t>), and therefore it is not freely available to the public. The replication package provides synthetic data on variables derived from this data source.</w:t>
      </w:r>
    </w:p>
    <w:p w:rsidR="006E5FC1" w:rsidRDefault="006E5FC1" w:rsidP="00DD0EA6">
      <w:pPr>
        <w:pStyle w:val="FirstParagraph"/>
        <w:ind w:left="450"/>
        <w:jc w:val="both"/>
      </w:pPr>
      <w:r>
        <w:t xml:space="preserve">Datafiles: </w:t>
      </w:r>
    </w:p>
    <w:p w:rsidR="006E5FC1" w:rsidRDefault="006E5FC1" w:rsidP="00DD0EA6">
      <w:pPr>
        <w:pStyle w:val="FirstParagraph"/>
        <w:numPr>
          <w:ilvl w:val="0"/>
          <w:numId w:val="21"/>
        </w:numPr>
        <w:jc w:val="both"/>
        <w:rPr>
          <w:rStyle w:val="VerbatimChar"/>
        </w:rPr>
      </w:pPr>
      <w:r>
        <w:rPr>
          <w:rStyle w:val="VerbatimChar"/>
        </w:rPr>
        <w:t>data_monthly.dta</w:t>
      </w:r>
    </w:p>
    <w:p w:rsidR="006E5FC1" w:rsidRPr="00575D82" w:rsidRDefault="006E5FC1" w:rsidP="00DD0EA6">
      <w:pPr>
        <w:pStyle w:val="FirstParagraph"/>
        <w:numPr>
          <w:ilvl w:val="0"/>
          <w:numId w:val="21"/>
        </w:numPr>
        <w:jc w:val="both"/>
      </w:pPr>
      <w:r>
        <w:t>data_halfyearly.dta</w:t>
      </w:r>
    </w:p>
    <w:p w:rsidR="006502CE" w:rsidRDefault="006502CE" w:rsidP="00DD0EA6">
      <w:pPr>
        <w:pStyle w:val="Heading2"/>
        <w:jc w:val="both"/>
      </w:pPr>
      <w:bookmarkStart w:id="4" w:name="dataset-list"/>
      <w:bookmarkEnd w:id="3"/>
    </w:p>
    <w:p w:rsidR="00065B00" w:rsidRDefault="00987AB0" w:rsidP="00DD0EA6">
      <w:pPr>
        <w:pStyle w:val="Heading2"/>
        <w:jc w:val="both"/>
      </w:pPr>
      <w:r>
        <w:t>Dataset list</w:t>
      </w:r>
      <w:bookmarkEnd w:id="4"/>
    </w:p>
    <w:p w:rsidR="00625538" w:rsidRPr="00625538" w:rsidRDefault="005A7F30" w:rsidP="00625538">
      <w:pPr>
        <w:pStyle w:val="BlockText"/>
        <w:spacing w:after="240"/>
        <w:ind w:left="475" w:right="475"/>
        <w:jc w:val="both"/>
      </w:pPr>
      <w:r>
        <w:t>The following table lists the data files provided as part of this replication package.</w:t>
      </w:r>
    </w:p>
    <w:tbl>
      <w:tblPr>
        <w:tblStyle w:val="Table"/>
        <w:tblW w:w="4417" w:type="pct"/>
        <w:tblInd w:w="558" w:type="dxa"/>
        <w:tblLook w:val="07E0" w:firstRow="1" w:lastRow="1" w:firstColumn="1" w:lastColumn="1" w:noHBand="1" w:noVBand="1"/>
      </w:tblPr>
      <w:tblGrid>
        <w:gridCol w:w="2832"/>
        <w:gridCol w:w="3659"/>
        <w:gridCol w:w="1968"/>
      </w:tblGrid>
      <w:tr w:rsidR="00C60438" w:rsidTr="005A7F30">
        <w:tc>
          <w:tcPr>
            <w:tcW w:w="0" w:type="auto"/>
            <w:tcBorders>
              <w:bottom w:val="single" w:sz="0" w:space="0" w:color="auto"/>
            </w:tcBorders>
            <w:vAlign w:val="bottom"/>
          </w:tcPr>
          <w:p w:rsidR="00156FA1" w:rsidRDefault="00156FA1" w:rsidP="00DD0EA6">
            <w:pPr>
              <w:pStyle w:val="Compact"/>
              <w:jc w:val="both"/>
            </w:pPr>
            <w:r>
              <w:t>Data file</w:t>
            </w:r>
          </w:p>
        </w:tc>
        <w:tc>
          <w:tcPr>
            <w:tcW w:w="0" w:type="auto"/>
            <w:tcBorders>
              <w:bottom w:val="single" w:sz="0" w:space="0" w:color="auto"/>
            </w:tcBorders>
            <w:vAlign w:val="bottom"/>
          </w:tcPr>
          <w:p w:rsidR="00156FA1" w:rsidRDefault="00156FA1" w:rsidP="00DD0EA6">
            <w:pPr>
              <w:pStyle w:val="Compact"/>
              <w:jc w:val="both"/>
            </w:pPr>
            <w:r>
              <w:t>Source</w:t>
            </w:r>
          </w:p>
        </w:tc>
        <w:tc>
          <w:tcPr>
            <w:tcW w:w="1163" w:type="pct"/>
            <w:tcBorders>
              <w:bottom w:val="single" w:sz="0" w:space="0" w:color="auto"/>
            </w:tcBorders>
            <w:vAlign w:val="bottom"/>
          </w:tcPr>
          <w:p w:rsidR="00156FA1" w:rsidRDefault="00156FA1" w:rsidP="00DD0EA6">
            <w:pPr>
              <w:pStyle w:val="Compact"/>
              <w:jc w:val="both"/>
            </w:pPr>
            <w:r>
              <w:t>Notes</w:t>
            </w:r>
          </w:p>
        </w:tc>
      </w:tr>
      <w:tr w:rsidR="00C60438" w:rsidTr="005A7F30">
        <w:tc>
          <w:tcPr>
            <w:tcW w:w="0" w:type="auto"/>
          </w:tcPr>
          <w:p w:rsidR="00156FA1" w:rsidRPr="00625538" w:rsidRDefault="00C60438" w:rsidP="00DD0EA6">
            <w:pPr>
              <w:pStyle w:val="Compact"/>
              <w:jc w:val="both"/>
              <w:rPr>
                <w:rFonts w:ascii="Consolas" w:hAnsi="Consolas"/>
                <w:sz w:val="22"/>
                <w:szCs w:val="22"/>
              </w:rPr>
            </w:pPr>
            <w:r w:rsidRPr="00625538">
              <w:rPr>
                <w:rFonts w:ascii="Consolas" w:hAnsi="Consolas"/>
                <w:sz w:val="22"/>
                <w:szCs w:val="22"/>
              </w:rPr>
              <w:t>data_experimental.dta</w:t>
            </w:r>
          </w:p>
        </w:tc>
        <w:tc>
          <w:tcPr>
            <w:tcW w:w="0" w:type="auto"/>
          </w:tcPr>
          <w:p w:rsidR="00156FA1" w:rsidRDefault="00C60438" w:rsidP="00DD0EA6">
            <w:pPr>
              <w:pStyle w:val="Compact"/>
              <w:jc w:val="both"/>
            </w:pPr>
            <w:r>
              <w:t>Authors’</w:t>
            </w:r>
            <w:r w:rsidR="00156FA1">
              <w:t xml:space="preserve"> collection (experiment)</w:t>
            </w:r>
          </w:p>
        </w:tc>
        <w:tc>
          <w:tcPr>
            <w:tcW w:w="1163" w:type="pct"/>
          </w:tcPr>
          <w:p w:rsidR="00156FA1" w:rsidRDefault="00156FA1" w:rsidP="00DD0EA6">
            <w:pPr>
              <w:pStyle w:val="Compact"/>
              <w:jc w:val="both"/>
            </w:pPr>
          </w:p>
        </w:tc>
      </w:tr>
      <w:tr w:rsidR="00C60438" w:rsidTr="005A7F30">
        <w:tc>
          <w:tcPr>
            <w:tcW w:w="0" w:type="auto"/>
          </w:tcPr>
          <w:p w:rsidR="00156FA1" w:rsidRPr="00625538" w:rsidRDefault="00C60438" w:rsidP="00DD0EA6">
            <w:pPr>
              <w:pStyle w:val="Compact"/>
              <w:jc w:val="both"/>
              <w:rPr>
                <w:rFonts w:ascii="Consolas" w:hAnsi="Consolas"/>
                <w:sz w:val="22"/>
                <w:szCs w:val="22"/>
              </w:rPr>
            </w:pPr>
            <w:r w:rsidRPr="00625538">
              <w:rPr>
                <w:rFonts w:ascii="Consolas" w:hAnsi="Consolas"/>
                <w:sz w:val="22"/>
                <w:szCs w:val="22"/>
              </w:rPr>
              <w:t>data_funds2017.dta</w:t>
            </w:r>
          </w:p>
        </w:tc>
        <w:tc>
          <w:tcPr>
            <w:tcW w:w="0" w:type="auto"/>
          </w:tcPr>
          <w:p w:rsidR="00156FA1" w:rsidRDefault="00C60438" w:rsidP="00DD0EA6">
            <w:pPr>
              <w:pStyle w:val="Compact"/>
              <w:jc w:val="both"/>
            </w:pPr>
            <w:r>
              <w:t>Morningstar</w:t>
            </w:r>
          </w:p>
        </w:tc>
        <w:tc>
          <w:tcPr>
            <w:tcW w:w="1163" w:type="pct"/>
          </w:tcPr>
          <w:p w:rsidR="00156FA1" w:rsidRDefault="00156FA1" w:rsidP="00DD0EA6">
            <w:pPr>
              <w:pStyle w:val="Compact"/>
              <w:jc w:val="both"/>
            </w:pPr>
            <w:r>
              <w:t>Synthetic data</w:t>
            </w:r>
          </w:p>
        </w:tc>
      </w:tr>
      <w:tr w:rsidR="00C60438" w:rsidTr="005A7F30">
        <w:tc>
          <w:tcPr>
            <w:tcW w:w="0" w:type="auto"/>
          </w:tcPr>
          <w:p w:rsidR="00156FA1" w:rsidRPr="00625538" w:rsidRDefault="00C60438" w:rsidP="00DD0EA6">
            <w:pPr>
              <w:pStyle w:val="Compact"/>
              <w:jc w:val="both"/>
              <w:rPr>
                <w:rFonts w:ascii="Consolas" w:hAnsi="Consolas"/>
                <w:sz w:val="22"/>
                <w:szCs w:val="22"/>
              </w:rPr>
            </w:pPr>
            <w:r w:rsidRPr="00625538">
              <w:rPr>
                <w:rFonts w:ascii="Consolas" w:hAnsi="Consolas"/>
                <w:sz w:val="22"/>
                <w:szCs w:val="22"/>
              </w:rPr>
              <w:t>data_monthly.dta</w:t>
            </w:r>
          </w:p>
        </w:tc>
        <w:tc>
          <w:tcPr>
            <w:tcW w:w="0" w:type="auto"/>
          </w:tcPr>
          <w:p w:rsidR="00156FA1" w:rsidRDefault="00156FA1" w:rsidP="00DD0EA6">
            <w:pPr>
              <w:pStyle w:val="Compact"/>
              <w:jc w:val="both"/>
            </w:pPr>
            <w:r>
              <w:t>Morningstar and Lipper</w:t>
            </w:r>
          </w:p>
        </w:tc>
        <w:tc>
          <w:tcPr>
            <w:tcW w:w="1163" w:type="pct"/>
          </w:tcPr>
          <w:p w:rsidR="00156FA1" w:rsidRDefault="00156FA1" w:rsidP="00DD0EA6">
            <w:pPr>
              <w:pStyle w:val="Compact"/>
              <w:jc w:val="both"/>
            </w:pPr>
            <w:r>
              <w:t>Synthetic data</w:t>
            </w:r>
          </w:p>
        </w:tc>
      </w:tr>
      <w:tr w:rsidR="00C60438" w:rsidTr="005A7F30">
        <w:tc>
          <w:tcPr>
            <w:tcW w:w="0" w:type="auto"/>
            <w:tcBorders>
              <w:bottom w:val="single" w:sz="4" w:space="0" w:color="auto"/>
            </w:tcBorders>
          </w:tcPr>
          <w:p w:rsidR="00C60438" w:rsidRPr="00625538" w:rsidRDefault="005A7F30" w:rsidP="00DD0EA6">
            <w:pPr>
              <w:pStyle w:val="Compact"/>
              <w:jc w:val="both"/>
              <w:rPr>
                <w:rFonts w:ascii="Consolas" w:hAnsi="Consolas"/>
                <w:sz w:val="22"/>
                <w:szCs w:val="22"/>
              </w:rPr>
            </w:pPr>
            <w:r w:rsidRPr="00625538">
              <w:rPr>
                <w:rFonts w:ascii="Consolas" w:hAnsi="Consolas"/>
                <w:sz w:val="22"/>
                <w:szCs w:val="22"/>
              </w:rPr>
              <w:t>d</w:t>
            </w:r>
            <w:r w:rsidR="00C60438" w:rsidRPr="00625538">
              <w:rPr>
                <w:rFonts w:ascii="Consolas" w:hAnsi="Consolas"/>
                <w:sz w:val="22"/>
                <w:szCs w:val="22"/>
              </w:rPr>
              <w:t>ata_halfyearly.dta</w:t>
            </w:r>
          </w:p>
        </w:tc>
        <w:tc>
          <w:tcPr>
            <w:tcW w:w="0" w:type="auto"/>
            <w:tcBorders>
              <w:bottom w:val="single" w:sz="4" w:space="0" w:color="auto"/>
            </w:tcBorders>
          </w:tcPr>
          <w:p w:rsidR="00C60438" w:rsidRDefault="00C60438" w:rsidP="00DD0EA6">
            <w:pPr>
              <w:pStyle w:val="Compact"/>
              <w:jc w:val="both"/>
            </w:pPr>
            <w:r>
              <w:t>Morningstar and Lipper</w:t>
            </w:r>
          </w:p>
        </w:tc>
        <w:tc>
          <w:tcPr>
            <w:tcW w:w="1163" w:type="pct"/>
            <w:tcBorders>
              <w:bottom w:val="single" w:sz="4" w:space="0" w:color="auto"/>
            </w:tcBorders>
          </w:tcPr>
          <w:p w:rsidR="00C60438" w:rsidRDefault="00C60438" w:rsidP="00DD0EA6">
            <w:pPr>
              <w:pStyle w:val="Compact"/>
              <w:jc w:val="both"/>
            </w:pPr>
            <w:r>
              <w:t>Synthetic data</w:t>
            </w:r>
          </w:p>
        </w:tc>
      </w:tr>
    </w:tbl>
    <w:p w:rsidR="005A7F30" w:rsidRDefault="005A7F30" w:rsidP="005A7F30">
      <w:pPr>
        <w:pStyle w:val="BlockText"/>
        <w:jc w:val="both"/>
      </w:pPr>
      <w:bookmarkStart w:id="5" w:name="computational-requirements"/>
    </w:p>
    <w:p w:rsidR="00625538" w:rsidRDefault="00625538" w:rsidP="00625538">
      <w:pPr>
        <w:pStyle w:val="BlockText"/>
        <w:jc w:val="both"/>
      </w:pPr>
      <w:r>
        <w:t xml:space="preserve">The file </w:t>
      </w:r>
      <w:r w:rsidRPr="00625538">
        <w:rPr>
          <w:rFonts w:ascii="Consolas" w:hAnsi="Consolas"/>
          <w:sz w:val="22"/>
          <w:szCs w:val="22"/>
        </w:rPr>
        <w:t>data_experimental.dta</w:t>
      </w:r>
      <w:r>
        <w:t xml:space="preserve"> contains the experimental data. </w:t>
      </w:r>
      <w:r w:rsidR="00511561">
        <w:t xml:space="preserve">The </w:t>
      </w:r>
      <w:r w:rsidR="008A64BD">
        <w:t>data</w:t>
      </w:r>
      <w:r w:rsidR="00511561">
        <w:t xml:space="preserve"> contain the original values used in the paper. </w:t>
      </w:r>
      <w:r>
        <w:t xml:space="preserve">The variables </w:t>
      </w:r>
      <w:r w:rsidR="00621865">
        <w:t>are listed in the following table.</w:t>
      </w:r>
    </w:p>
    <w:p w:rsidR="006502CE" w:rsidRDefault="006502CE">
      <w:r>
        <w:br w:type="page"/>
      </w:r>
    </w:p>
    <w:p w:rsidR="00621865" w:rsidRDefault="00511561" w:rsidP="00511561">
      <w:pPr>
        <w:pStyle w:val="BodyText"/>
        <w:jc w:val="center"/>
      </w:pPr>
      <w:r>
        <w:lastRenderedPageBreak/>
        <w:t xml:space="preserve">Variables in the dataset </w:t>
      </w:r>
      <w:r w:rsidR="000C02B4" w:rsidRPr="00625538">
        <w:rPr>
          <w:rFonts w:ascii="Consolas" w:hAnsi="Consolas"/>
          <w:sz w:val="22"/>
          <w:szCs w:val="22"/>
        </w:rPr>
        <w:t>data_experimental.dta</w:t>
      </w:r>
    </w:p>
    <w:tbl>
      <w:tblPr>
        <w:tblStyle w:val="Table"/>
        <w:tblW w:w="4370" w:type="pct"/>
        <w:tblInd w:w="648" w:type="dxa"/>
        <w:tblLook w:val="07E0" w:firstRow="1" w:lastRow="1" w:firstColumn="1" w:lastColumn="1" w:noHBand="1" w:noVBand="1"/>
      </w:tblPr>
      <w:tblGrid>
        <w:gridCol w:w="3060"/>
        <w:gridCol w:w="5309"/>
      </w:tblGrid>
      <w:tr w:rsidR="00621865" w:rsidTr="00621865">
        <w:trPr>
          <w:cantSplit/>
          <w:trHeight w:hRule="exact" w:val="360"/>
        </w:trPr>
        <w:tc>
          <w:tcPr>
            <w:tcW w:w="1828" w:type="pct"/>
            <w:tcBorders>
              <w:bottom w:val="single" w:sz="0" w:space="0" w:color="auto"/>
            </w:tcBorders>
            <w:vAlign w:val="bottom"/>
          </w:tcPr>
          <w:p w:rsidR="00621865" w:rsidRDefault="00621865" w:rsidP="00F2718D">
            <w:pPr>
              <w:pStyle w:val="Compact"/>
              <w:jc w:val="both"/>
            </w:pPr>
            <w:r>
              <w:t>Variable name</w:t>
            </w:r>
          </w:p>
        </w:tc>
        <w:tc>
          <w:tcPr>
            <w:tcW w:w="3172" w:type="pct"/>
            <w:tcBorders>
              <w:bottom w:val="single" w:sz="0" w:space="0" w:color="auto"/>
            </w:tcBorders>
            <w:vAlign w:val="bottom"/>
          </w:tcPr>
          <w:p w:rsidR="00621865" w:rsidRDefault="00621865" w:rsidP="00F2718D">
            <w:pPr>
              <w:pStyle w:val="Compact"/>
              <w:jc w:val="both"/>
            </w:pPr>
            <w:r>
              <w:t>Variable label</w:t>
            </w: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pid</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Manager identifier</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exper</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Experience in industry (years)</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crt_raw</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Cognitive Refelection Test score (raw)</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crt</w:t>
            </w:r>
          </w:p>
          <w:p w:rsidR="00621865" w:rsidRPr="00621865" w:rsidRDefault="00621865" w:rsidP="00621865">
            <w:pPr>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Cognitive Refelection Test score (standardized)</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apm_raw</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Advanced Progressive Matrices score (raw)</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apm</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Advanced Progressive Matrices score (standardized)</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tom_raw</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Theory of Mind score (raw)</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tom</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Theory of Mind score (standardized)</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competitive_raw</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Competitiveness score (raw)</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competitive</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Competitiveness score (standardized)</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risk</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Risk tolerance score</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loss</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Loss tolerance score</w:t>
            </w:r>
          </w:p>
          <w:p w:rsidR="00621865" w:rsidRPr="00621865" w:rsidRDefault="00621865" w:rsidP="00F2718D">
            <w:pPr>
              <w:pStyle w:val="Compact"/>
              <w:jc w:val="both"/>
            </w:pPr>
          </w:p>
        </w:tc>
      </w:tr>
      <w:tr w:rsidR="00621865" w:rsidTr="00621865">
        <w:trPr>
          <w:cantSplit/>
          <w:trHeight w:hRule="exact" w:val="360"/>
        </w:trPr>
        <w:tc>
          <w:tcPr>
            <w:tcW w:w="1828" w:type="pct"/>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ambiguity</w:t>
            </w:r>
          </w:p>
          <w:p w:rsidR="00621865" w:rsidRPr="00621865" w:rsidRDefault="00621865" w:rsidP="00F2718D">
            <w:pPr>
              <w:pStyle w:val="Compact"/>
              <w:jc w:val="both"/>
              <w:rPr>
                <w:rFonts w:ascii="Consolas" w:hAnsi="Consolas"/>
              </w:rPr>
            </w:pPr>
          </w:p>
        </w:tc>
        <w:tc>
          <w:tcPr>
            <w:tcW w:w="3172" w:type="pct"/>
          </w:tcPr>
          <w:p w:rsidR="00621865" w:rsidRPr="00621865" w:rsidRDefault="00621865" w:rsidP="00621865">
            <w:pPr>
              <w:jc w:val="both"/>
              <w:rPr>
                <w:rFonts w:cs="Calibri"/>
                <w:color w:val="000000"/>
              </w:rPr>
            </w:pPr>
            <w:r w:rsidRPr="00621865">
              <w:rPr>
                <w:rFonts w:cs="Calibri"/>
                <w:color w:val="000000"/>
              </w:rPr>
              <w:t>Ambiguity tolerance score</w:t>
            </w:r>
          </w:p>
          <w:p w:rsidR="00621865" w:rsidRPr="00621865" w:rsidRDefault="00621865" w:rsidP="00F2718D">
            <w:pPr>
              <w:pStyle w:val="Compact"/>
              <w:jc w:val="both"/>
            </w:pPr>
          </w:p>
        </w:tc>
      </w:tr>
      <w:tr w:rsidR="00621865" w:rsidTr="00621865">
        <w:trPr>
          <w:cantSplit/>
          <w:trHeight w:hRule="exact" w:val="360"/>
        </w:trPr>
        <w:tc>
          <w:tcPr>
            <w:tcW w:w="1828" w:type="pct"/>
            <w:tcBorders>
              <w:bottom w:val="single" w:sz="4" w:space="0" w:color="auto"/>
            </w:tcBorders>
          </w:tcPr>
          <w:p w:rsidR="00621865" w:rsidRPr="00621865" w:rsidRDefault="00621865" w:rsidP="00621865">
            <w:pPr>
              <w:jc w:val="both"/>
              <w:rPr>
                <w:rFonts w:ascii="Consolas" w:hAnsi="Consolas" w:cs="Calibri"/>
                <w:color w:val="000000"/>
                <w:sz w:val="22"/>
                <w:szCs w:val="22"/>
              </w:rPr>
            </w:pPr>
            <w:r w:rsidRPr="00621865">
              <w:rPr>
                <w:rFonts w:ascii="Consolas" w:hAnsi="Consolas" w:cs="Calibri"/>
                <w:color w:val="000000"/>
                <w:sz w:val="22"/>
                <w:szCs w:val="22"/>
              </w:rPr>
              <w:t>patience</w:t>
            </w:r>
          </w:p>
          <w:p w:rsidR="00621865" w:rsidRPr="00621865" w:rsidRDefault="00621865" w:rsidP="00F2718D">
            <w:pPr>
              <w:pStyle w:val="Compact"/>
              <w:jc w:val="both"/>
              <w:rPr>
                <w:rFonts w:ascii="Consolas" w:hAnsi="Consolas"/>
              </w:rPr>
            </w:pPr>
          </w:p>
        </w:tc>
        <w:tc>
          <w:tcPr>
            <w:tcW w:w="3172" w:type="pct"/>
            <w:tcBorders>
              <w:bottom w:val="single" w:sz="4" w:space="0" w:color="auto"/>
            </w:tcBorders>
          </w:tcPr>
          <w:p w:rsidR="00621865" w:rsidRPr="00621865" w:rsidRDefault="00621865" w:rsidP="00621865">
            <w:pPr>
              <w:jc w:val="both"/>
              <w:rPr>
                <w:rFonts w:cs="Calibri"/>
                <w:color w:val="000000"/>
              </w:rPr>
            </w:pPr>
            <w:r w:rsidRPr="00621865">
              <w:rPr>
                <w:rFonts w:cs="Calibri"/>
                <w:color w:val="000000"/>
              </w:rPr>
              <w:t>Time preference score</w:t>
            </w:r>
          </w:p>
          <w:p w:rsidR="00621865" w:rsidRPr="00621865" w:rsidRDefault="00621865" w:rsidP="00F2718D">
            <w:pPr>
              <w:pStyle w:val="Compact"/>
              <w:jc w:val="both"/>
            </w:pPr>
          </w:p>
        </w:tc>
      </w:tr>
    </w:tbl>
    <w:p w:rsidR="00621865" w:rsidRDefault="00621865" w:rsidP="00511561">
      <w:pPr>
        <w:pStyle w:val="BlockText"/>
        <w:jc w:val="both"/>
      </w:pPr>
    </w:p>
    <w:p w:rsidR="00DB2485" w:rsidRPr="00DB2485" w:rsidRDefault="00DB2485" w:rsidP="0062017A">
      <w:pPr>
        <w:pStyle w:val="BlockText"/>
        <w:jc w:val="both"/>
      </w:pPr>
      <w:r>
        <w:t xml:space="preserve">The file </w:t>
      </w:r>
      <w:r w:rsidRPr="00625538">
        <w:rPr>
          <w:rFonts w:ascii="Consolas" w:hAnsi="Consolas"/>
          <w:sz w:val="22"/>
          <w:szCs w:val="22"/>
        </w:rPr>
        <w:t>data_funds2017.dta</w:t>
      </w:r>
      <w:r>
        <w:t xml:space="preserve"> contains </w:t>
      </w:r>
      <w:r w:rsidR="0062017A">
        <w:t xml:space="preserve">data describing the funds domiciled in the four sample countries at the end of 2017. </w:t>
      </w:r>
      <w:r w:rsidR="003B1C3F">
        <w:t>The variables are listed in the following table.</w:t>
      </w:r>
      <w:r w:rsidR="003B1C3F">
        <w:t xml:space="preserve"> </w:t>
      </w:r>
      <w:r w:rsidR="00CE506D">
        <w:t xml:space="preserve">This file contains synthetic data, created by adding random noise to the original variables. </w:t>
      </w:r>
      <w:r w:rsidR="003B1C3F">
        <w:t xml:space="preserve">In particular, the variables </w:t>
      </w:r>
      <w:r w:rsidR="003B1C3F" w:rsidRPr="003B1C3F">
        <w:rPr>
          <w:rFonts w:ascii="Consolas" w:hAnsi="Consolas"/>
          <w:sz w:val="22"/>
          <w:szCs w:val="22"/>
        </w:rPr>
        <w:t>Tenure</w:t>
      </w:r>
      <w:r w:rsidR="003B1C3F">
        <w:t xml:space="preserve">, </w:t>
      </w:r>
      <w:r w:rsidR="003B1C3F" w:rsidRPr="003B1C3F">
        <w:rPr>
          <w:rFonts w:ascii="Consolas" w:hAnsi="Consolas"/>
          <w:sz w:val="22"/>
          <w:szCs w:val="22"/>
        </w:rPr>
        <w:t>Ret</w:t>
      </w:r>
      <w:r w:rsidR="003B1C3F">
        <w:t xml:space="preserve">, and </w:t>
      </w:r>
      <w:r w:rsidR="003B1C3F" w:rsidRPr="003B1C3F">
        <w:rPr>
          <w:rFonts w:ascii="Consolas" w:hAnsi="Consolas"/>
          <w:sz w:val="22"/>
          <w:szCs w:val="22"/>
        </w:rPr>
        <w:t>AUM</w:t>
      </w:r>
      <w:r w:rsidR="003B1C3F">
        <w:t xml:space="preserve"> are transformed by adding normally distributed, </w:t>
      </w:r>
      <m:oMath>
        <m:r>
          <w:rPr>
            <w:rFonts w:ascii="Cambria Math" w:hAnsi="Cambria Math"/>
          </w:rPr>
          <m:t>N(0,</m:t>
        </m:r>
        <m:sSub>
          <m:sSubPr>
            <m:ctrlPr>
              <w:rPr>
                <w:rFonts w:ascii="Cambria Math" w:hAnsi="Cambria Math"/>
                <w:i/>
              </w:rPr>
            </m:ctrlPr>
          </m:sSubPr>
          <m:e>
            <m:r>
              <w:rPr>
                <w:rFonts w:ascii="Cambria Math" w:hAnsi="Cambria Math"/>
              </w:rPr>
              <m:t>σ</m:t>
            </m:r>
          </m:e>
          <m:sub>
            <m:r>
              <w:rPr>
                <w:rFonts w:ascii="Cambria Math" w:hAnsi="Cambria Math"/>
              </w:rPr>
              <m:t>y</m:t>
            </m:r>
          </m:sub>
        </m:sSub>
        <m:r>
          <w:rPr>
            <w:rFonts w:ascii="Cambria Math" w:hAnsi="Cambria Math"/>
          </w:rPr>
          <m:t>)</m:t>
        </m:r>
      </m:oMath>
      <w:r w:rsidR="003B1C3F">
        <w:t xml:space="preserve">, random noise, with </w:t>
      </w:r>
      <m:oMath>
        <m:sSub>
          <m:sSubPr>
            <m:ctrlPr>
              <w:rPr>
                <w:rFonts w:ascii="Cambria Math" w:hAnsi="Cambria Math"/>
                <w:i/>
              </w:rPr>
            </m:ctrlPr>
          </m:sSubPr>
          <m:e>
            <m:r>
              <w:rPr>
                <w:rFonts w:ascii="Cambria Math" w:hAnsi="Cambria Math"/>
              </w:rPr>
              <m:t>σ</m:t>
            </m:r>
          </m:e>
          <m:sub>
            <m:r>
              <w:rPr>
                <w:rFonts w:ascii="Cambria Math" w:hAnsi="Cambria Math"/>
              </w:rPr>
              <m:t>y</m:t>
            </m:r>
          </m:sub>
        </m:sSub>
        <m:r>
          <w:rPr>
            <w:rFonts w:ascii="Cambria Math" w:hAnsi="Cambria Math"/>
          </w:rPr>
          <m:t>=3</m:t>
        </m:r>
      </m:oMath>
      <w:r w:rsidR="003B1C3F">
        <w:rPr>
          <w:rFonts w:eastAsiaTheme="minorEastAsia"/>
        </w:rPr>
        <w:t xml:space="preserve"> used for </w:t>
      </w:r>
      <w:r w:rsidR="003B1C3F" w:rsidRPr="003B1C3F">
        <w:rPr>
          <w:rFonts w:ascii="Consolas" w:hAnsi="Consolas"/>
          <w:sz w:val="22"/>
          <w:szCs w:val="22"/>
        </w:rPr>
        <w:t>Tenure</w:t>
      </w:r>
      <w:r w:rsidR="003B1C3F">
        <w:rPr>
          <w:rFonts w:eastAsiaTheme="minorEastAsia"/>
        </w:rPr>
        <w:t xml:space="preserve">, </w:t>
      </w:r>
      <m:oMath>
        <m:sSub>
          <m:sSubPr>
            <m:ctrlPr>
              <w:rPr>
                <w:rFonts w:ascii="Cambria Math" w:hAnsi="Cambria Math"/>
                <w:i/>
              </w:rPr>
            </m:ctrlPr>
          </m:sSubPr>
          <m:e>
            <m:r>
              <w:rPr>
                <w:rFonts w:ascii="Cambria Math" w:hAnsi="Cambria Math"/>
              </w:rPr>
              <m:t>σ</m:t>
            </m:r>
          </m:e>
          <m:sub>
            <m:r>
              <w:rPr>
                <w:rFonts w:ascii="Cambria Math" w:hAnsi="Cambria Math"/>
              </w:rPr>
              <m:t>y</m:t>
            </m:r>
          </m:sub>
        </m:sSub>
        <m:r>
          <w:rPr>
            <w:rFonts w:ascii="Cambria Math" w:hAnsi="Cambria Math"/>
          </w:rPr>
          <m:t>=</m:t>
        </m:r>
        <m:r>
          <w:rPr>
            <w:rFonts w:ascii="Cambria Math" w:hAnsi="Cambria Math"/>
          </w:rPr>
          <m:t>150</m:t>
        </m:r>
      </m:oMath>
      <w:r w:rsidR="003B1C3F">
        <w:rPr>
          <w:rFonts w:eastAsiaTheme="minorEastAsia"/>
        </w:rPr>
        <w:t xml:space="preserve"> for </w:t>
      </w:r>
      <w:r w:rsidR="003B1C3F" w:rsidRPr="003B1C3F">
        <w:rPr>
          <w:rFonts w:ascii="Consolas" w:hAnsi="Consolas"/>
          <w:sz w:val="22"/>
          <w:szCs w:val="22"/>
        </w:rPr>
        <w:t>AUM</w:t>
      </w:r>
      <w:r w:rsidR="003B1C3F">
        <w:rPr>
          <w:rFonts w:eastAsiaTheme="minorEastAsia"/>
        </w:rPr>
        <w:t xml:space="preserve">, and </w:t>
      </w:r>
      <m:oMath>
        <m:sSub>
          <m:sSubPr>
            <m:ctrlPr>
              <w:rPr>
                <w:rFonts w:ascii="Cambria Math" w:hAnsi="Cambria Math"/>
                <w:i/>
              </w:rPr>
            </m:ctrlPr>
          </m:sSubPr>
          <m:e>
            <m:r>
              <w:rPr>
                <w:rFonts w:ascii="Cambria Math" w:hAnsi="Cambria Math"/>
              </w:rPr>
              <m:t>σ</m:t>
            </m:r>
          </m:e>
          <m:sub>
            <m:r>
              <w:rPr>
                <w:rFonts w:ascii="Cambria Math" w:hAnsi="Cambria Math"/>
              </w:rPr>
              <m:t>y</m:t>
            </m:r>
          </m:sub>
        </m:sSub>
        <m:r>
          <w:rPr>
            <w:rFonts w:ascii="Cambria Math" w:hAnsi="Cambria Math"/>
          </w:rPr>
          <m:t>=</m:t>
        </m:r>
        <m:r>
          <w:rPr>
            <w:rFonts w:ascii="Cambria Math" w:hAnsi="Cambria Math"/>
          </w:rPr>
          <m:t>7</m:t>
        </m:r>
      </m:oMath>
      <w:r w:rsidR="003B1C3F">
        <w:rPr>
          <w:rFonts w:eastAsiaTheme="minorEastAsia"/>
        </w:rPr>
        <w:t xml:space="preserve"> for </w:t>
      </w:r>
      <w:r w:rsidR="003B1C3F" w:rsidRPr="003B1C3F">
        <w:rPr>
          <w:rFonts w:ascii="Consolas" w:hAnsi="Consolas"/>
          <w:sz w:val="22"/>
          <w:szCs w:val="22"/>
        </w:rPr>
        <w:t>Ret</w:t>
      </w:r>
      <w:r w:rsidR="003B1C3F">
        <w:rPr>
          <w:rFonts w:eastAsiaTheme="minorEastAsia"/>
        </w:rPr>
        <w:t>. The above transformed variables are also winsorized.</w:t>
      </w:r>
    </w:p>
    <w:p w:rsidR="00AB5B45" w:rsidRDefault="00AB5B45" w:rsidP="00AB5B45">
      <w:pPr>
        <w:pStyle w:val="BodyText"/>
      </w:pPr>
    </w:p>
    <w:p w:rsidR="00AB5B45" w:rsidRDefault="00AB5B45" w:rsidP="00AB5B45">
      <w:pPr>
        <w:pStyle w:val="BodyText"/>
        <w:jc w:val="center"/>
      </w:pPr>
      <w:r>
        <w:t xml:space="preserve">Variables in the dataset </w:t>
      </w:r>
      <w:r w:rsidRPr="00625538">
        <w:rPr>
          <w:rFonts w:ascii="Consolas" w:hAnsi="Consolas"/>
          <w:sz w:val="22"/>
          <w:szCs w:val="22"/>
        </w:rPr>
        <w:t>data_funds2017.dta</w:t>
      </w:r>
    </w:p>
    <w:tbl>
      <w:tblPr>
        <w:tblStyle w:val="Table"/>
        <w:tblW w:w="4370" w:type="pct"/>
        <w:tblInd w:w="648" w:type="dxa"/>
        <w:tblLook w:val="07E0" w:firstRow="1" w:lastRow="1" w:firstColumn="1" w:lastColumn="1" w:noHBand="1" w:noVBand="1"/>
      </w:tblPr>
      <w:tblGrid>
        <w:gridCol w:w="3060"/>
        <w:gridCol w:w="5309"/>
      </w:tblGrid>
      <w:tr w:rsidR="00AB5B45" w:rsidTr="006B33EE">
        <w:trPr>
          <w:cantSplit/>
          <w:trHeight w:hRule="exact" w:val="360"/>
        </w:trPr>
        <w:tc>
          <w:tcPr>
            <w:tcW w:w="1828" w:type="pct"/>
            <w:tcBorders>
              <w:bottom w:val="single" w:sz="0" w:space="0" w:color="auto"/>
            </w:tcBorders>
            <w:vAlign w:val="bottom"/>
          </w:tcPr>
          <w:p w:rsidR="00AB5B45" w:rsidRDefault="00AB5B45" w:rsidP="006B33EE">
            <w:pPr>
              <w:pStyle w:val="Compact"/>
              <w:jc w:val="both"/>
            </w:pPr>
            <w:r>
              <w:t>Variable name</w:t>
            </w:r>
          </w:p>
        </w:tc>
        <w:tc>
          <w:tcPr>
            <w:tcW w:w="3172" w:type="pct"/>
            <w:tcBorders>
              <w:bottom w:val="single" w:sz="0" w:space="0" w:color="auto"/>
            </w:tcBorders>
            <w:vAlign w:val="bottom"/>
          </w:tcPr>
          <w:p w:rsidR="00AB5B45" w:rsidRDefault="00AB5B45" w:rsidP="006B33EE">
            <w:pPr>
              <w:pStyle w:val="Compact"/>
              <w:jc w:val="both"/>
            </w:pPr>
            <w:r>
              <w:t>Variable label</w:t>
            </w:r>
          </w:p>
        </w:tc>
      </w:tr>
      <w:tr w:rsidR="00AB5B45" w:rsidTr="006B33EE">
        <w:trPr>
          <w:cantSplit/>
          <w:trHeight w:hRule="exact" w:val="360"/>
        </w:trPr>
        <w:tc>
          <w:tcPr>
            <w:tcW w:w="1828" w:type="pct"/>
          </w:tcPr>
          <w:p w:rsidR="00AB5B45" w:rsidRPr="00DB2485" w:rsidRDefault="00AB5B45" w:rsidP="00AB5B45">
            <w:pPr>
              <w:jc w:val="both"/>
              <w:rPr>
                <w:rFonts w:ascii="Consolas" w:hAnsi="Consolas" w:cs="Calibri"/>
                <w:color w:val="000000"/>
                <w:sz w:val="22"/>
                <w:szCs w:val="22"/>
              </w:rPr>
            </w:pPr>
            <w:r w:rsidRPr="00DB2485">
              <w:rPr>
                <w:rFonts w:ascii="Consolas" w:hAnsi="Consolas" w:cs="Calibri"/>
                <w:color w:val="000000"/>
                <w:sz w:val="22"/>
                <w:szCs w:val="22"/>
              </w:rPr>
              <w:t>Category</w:t>
            </w:r>
          </w:p>
          <w:p w:rsidR="00AB5B45" w:rsidRPr="00DB2485" w:rsidRDefault="00AB5B45" w:rsidP="006B33EE">
            <w:pPr>
              <w:pStyle w:val="Compact"/>
              <w:jc w:val="both"/>
              <w:rPr>
                <w:rFonts w:ascii="Consolas" w:hAnsi="Consolas"/>
              </w:rPr>
            </w:pPr>
          </w:p>
        </w:tc>
        <w:tc>
          <w:tcPr>
            <w:tcW w:w="3172" w:type="pct"/>
          </w:tcPr>
          <w:p w:rsidR="00AB5B45" w:rsidRPr="00DB2485" w:rsidRDefault="00AB5B45" w:rsidP="00AB5B45">
            <w:pPr>
              <w:jc w:val="both"/>
              <w:rPr>
                <w:rFonts w:cs="Calibri"/>
                <w:color w:val="000000"/>
              </w:rPr>
            </w:pPr>
            <w:r w:rsidRPr="00DB2485">
              <w:rPr>
                <w:rFonts w:cs="Calibri"/>
                <w:color w:val="000000"/>
              </w:rPr>
              <w:t>Fund investment category</w:t>
            </w:r>
          </w:p>
          <w:p w:rsidR="00AB5B45" w:rsidRPr="00DB2485" w:rsidRDefault="00AB5B45" w:rsidP="006B33EE">
            <w:pPr>
              <w:pStyle w:val="Compact"/>
              <w:jc w:val="both"/>
            </w:pPr>
          </w:p>
        </w:tc>
      </w:tr>
      <w:tr w:rsidR="00AB5B45" w:rsidTr="006B33EE">
        <w:trPr>
          <w:cantSplit/>
          <w:trHeight w:hRule="exact" w:val="360"/>
        </w:trPr>
        <w:tc>
          <w:tcPr>
            <w:tcW w:w="1828" w:type="pct"/>
          </w:tcPr>
          <w:p w:rsidR="00AB5B45" w:rsidRPr="00DB2485" w:rsidRDefault="00AB5B45" w:rsidP="00AB5B45">
            <w:pPr>
              <w:jc w:val="both"/>
              <w:rPr>
                <w:rFonts w:ascii="Consolas" w:hAnsi="Consolas" w:cs="Calibri"/>
                <w:color w:val="000000"/>
                <w:sz w:val="22"/>
                <w:szCs w:val="22"/>
              </w:rPr>
            </w:pPr>
            <w:r w:rsidRPr="00DB2485">
              <w:rPr>
                <w:rFonts w:ascii="Consolas" w:hAnsi="Consolas" w:cs="Calibri"/>
                <w:color w:val="000000"/>
                <w:sz w:val="22"/>
                <w:szCs w:val="22"/>
              </w:rPr>
              <w:t>MSRating</w:t>
            </w:r>
          </w:p>
          <w:p w:rsidR="00AB5B45" w:rsidRPr="00DB2485" w:rsidRDefault="00AB5B45" w:rsidP="006B33EE">
            <w:pPr>
              <w:pStyle w:val="Compact"/>
              <w:jc w:val="both"/>
              <w:rPr>
                <w:rFonts w:ascii="Consolas" w:hAnsi="Consolas"/>
              </w:rPr>
            </w:pPr>
          </w:p>
        </w:tc>
        <w:tc>
          <w:tcPr>
            <w:tcW w:w="3172" w:type="pct"/>
          </w:tcPr>
          <w:p w:rsidR="00AB5B45" w:rsidRPr="00DB2485" w:rsidRDefault="00AB5B45" w:rsidP="00AB5B45">
            <w:pPr>
              <w:jc w:val="both"/>
              <w:rPr>
                <w:rFonts w:cs="Calibri"/>
                <w:color w:val="000000"/>
              </w:rPr>
            </w:pPr>
            <w:r w:rsidRPr="00DB2485">
              <w:rPr>
                <w:rFonts w:cs="Calibri"/>
                <w:color w:val="000000"/>
              </w:rPr>
              <w:t>Fund's Morningstar rating</w:t>
            </w:r>
          </w:p>
          <w:p w:rsidR="00AB5B45" w:rsidRPr="00DB2485" w:rsidRDefault="00AB5B45" w:rsidP="006B33EE">
            <w:pPr>
              <w:pStyle w:val="Compact"/>
              <w:jc w:val="both"/>
            </w:pPr>
          </w:p>
        </w:tc>
      </w:tr>
      <w:tr w:rsidR="00AB5B45" w:rsidTr="006B33EE">
        <w:trPr>
          <w:cantSplit/>
          <w:trHeight w:hRule="exact" w:val="360"/>
        </w:trPr>
        <w:tc>
          <w:tcPr>
            <w:tcW w:w="1828" w:type="pct"/>
          </w:tcPr>
          <w:p w:rsidR="00AB5B45" w:rsidRPr="00DB2485" w:rsidRDefault="00AB5B45" w:rsidP="00AB5B45">
            <w:pPr>
              <w:jc w:val="both"/>
              <w:rPr>
                <w:rFonts w:ascii="Consolas" w:hAnsi="Consolas" w:cs="Calibri"/>
                <w:color w:val="000000"/>
                <w:sz w:val="22"/>
                <w:szCs w:val="22"/>
              </w:rPr>
            </w:pPr>
            <w:r w:rsidRPr="00DB2485">
              <w:rPr>
                <w:rFonts w:ascii="Consolas" w:hAnsi="Consolas" w:cs="Calibri"/>
                <w:color w:val="000000"/>
                <w:sz w:val="22"/>
                <w:szCs w:val="22"/>
              </w:rPr>
              <w:t>Tenure</w:t>
            </w:r>
          </w:p>
          <w:p w:rsidR="00AB5B45" w:rsidRPr="00DB2485" w:rsidRDefault="00AB5B45" w:rsidP="006B33EE">
            <w:pPr>
              <w:pStyle w:val="Compact"/>
              <w:jc w:val="both"/>
              <w:rPr>
                <w:rFonts w:ascii="Consolas" w:hAnsi="Consolas"/>
              </w:rPr>
            </w:pPr>
          </w:p>
        </w:tc>
        <w:tc>
          <w:tcPr>
            <w:tcW w:w="3172" w:type="pct"/>
          </w:tcPr>
          <w:p w:rsidR="00AB5B45" w:rsidRPr="00DB2485" w:rsidRDefault="00AB5B45" w:rsidP="00AB5B45">
            <w:pPr>
              <w:jc w:val="both"/>
              <w:rPr>
                <w:rFonts w:cs="Calibri"/>
                <w:color w:val="000000"/>
              </w:rPr>
            </w:pPr>
            <w:r w:rsidRPr="00DB2485">
              <w:rPr>
                <w:rFonts w:cs="Calibri"/>
                <w:color w:val="000000"/>
              </w:rPr>
              <w:t>Manager's tenure at the fund on Dec</w:t>
            </w:r>
            <w:r w:rsidR="00DB2485" w:rsidRPr="00DB2485">
              <w:rPr>
                <w:rFonts w:cs="Calibri"/>
                <w:color w:val="000000"/>
              </w:rPr>
              <w:t xml:space="preserve"> 2017</w:t>
            </w:r>
          </w:p>
          <w:p w:rsidR="00AB5B45" w:rsidRPr="00DB2485" w:rsidRDefault="00AB5B45" w:rsidP="006B33EE">
            <w:pPr>
              <w:pStyle w:val="Compact"/>
              <w:jc w:val="both"/>
            </w:pPr>
          </w:p>
        </w:tc>
      </w:tr>
      <w:tr w:rsidR="00AB5B45" w:rsidTr="006B33EE">
        <w:trPr>
          <w:cantSplit/>
          <w:trHeight w:hRule="exact" w:val="360"/>
        </w:trPr>
        <w:tc>
          <w:tcPr>
            <w:tcW w:w="1828" w:type="pct"/>
          </w:tcPr>
          <w:p w:rsidR="00AB5B45" w:rsidRPr="00DB2485" w:rsidRDefault="00AB5B45" w:rsidP="00AB5B45">
            <w:pPr>
              <w:jc w:val="both"/>
              <w:rPr>
                <w:rFonts w:ascii="Consolas" w:hAnsi="Consolas" w:cs="Calibri"/>
                <w:color w:val="000000"/>
                <w:sz w:val="22"/>
                <w:szCs w:val="22"/>
              </w:rPr>
            </w:pPr>
            <w:r w:rsidRPr="00DB2485">
              <w:rPr>
                <w:rFonts w:ascii="Consolas" w:hAnsi="Consolas" w:cs="Calibri"/>
                <w:color w:val="000000"/>
                <w:sz w:val="22"/>
                <w:szCs w:val="22"/>
              </w:rPr>
              <w:t>AUM</w:t>
            </w:r>
          </w:p>
          <w:p w:rsidR="00AB5B45" w:rsidRPr="00DB2485" w:rsidRDefault="00AB5B45" w:rsidP="006B33EE">
            <w:pPr>
              <w:jc w:val="both"/>
              <w:rPr>
                <w:rFonts w:ascii="Consolas" w:hAnsi="Consolas"/>
              </w:rPr>
            </w:pPr>
          </w:p>
        </w:tc>
        <w:tc>
          <w:tcPr>
            <w:tcW w:w="3172" w:type="pct"/>
          </w:tcPr>
          <w:p w:rsidR="00DB2485" w:rsidRPr="00DB2485" w:rsidRDefault="00DB2485" w:rsidP="00DB2485">
            <w:pPr>
              <w:jc w:val="both"/>
              <w:rPr>
                <w:rFonts w:cs="Calibri"/>
                <w:color w:val="000000"/>
              </w:rPr>
            </w:pPr>
            <w:r w:rsidRPr="00DB2485">
              <w:rPr>
                <w:rFonts w:cs="Calibri"/>
                <w:color w:val="000000"/>
              </w:rPr>
              <w:t>Assets under management on Dec 2017 (m EUR)</w:t>
            </w:r>
          </w:p>
          <w:p w:rsidR="00AB5B45" w:rsidRPr="00DB2485" w:rsidRDefault="00AB5B45" w:rsidP="006B33EE">
            <w:pPr>
              <w:pStyle w:val="Compact"/>
              <w:jc w:val="both"/>
            </w:pPr>
          </w:p>
        </w:tc>
      </w:tr>
      <w:tr w:rsidR="00AB5B45" w:rsidTr="006B33EE">
        <w:trPr>
          <w:cantSplit/>
          <w:trHeight w:hRule="exact" w:val="360"/>
        </w:trPr>
        <w:tc>
          <w:tcPr>
            <w:tcW w:w="1828" w:type="pct"/>
          </w:tcPr>
          <w:p w:rsidR="00AB5B45" w:rsidRPr="00DB2485" w:rsidRDefault="00AB5B45" w:rsidP="00AB5B45">
            <w:pPr>
              <w:jc w:val="both"/>
              <w:rPr>
                <w:rFonts w:ascii="Consolas" w:hAnsi="Consolas" w:cs="Calibri"/>
                <w:color w:val="000000"/>
                <w:sz w:val="22"/>
                <w:szCs w:val="22"/>
              </w:rPr>
            </w:pPr>
            <w:r w:rsidRPr="00DB2485">
              <w:rPr>
                <w:rFonts w:ascii="Consolas" w:hAnsi="Consolas" w:cs="Calibri"/>
                <w:color w:val="000000"/>
                <w:sz w:val="22"/>
                <w:szCs w:val="22"/>
              </w:rPr>
              <w:t>Ret</w:t>
            </w:r>
          </w:p>
          <w:p w:rsidR="00AB5B45" w:rsidRPr="00DB2485" w:rsidRDefault="00AB5B45" w:rsidP="006B33EE">
            <w:pPr>
              <w:pStyle w:val="Compact"/>
              <w:jc w:val="both"/>
              <w:rPr>
                <w:rFonts w:ascii="Consolas" w:hAnsi="Consolas"/>
              </w:rPr>
            </w:pPr>
          </w:p>
        </w:tc>
        <w:tc>
          <w:tcPr>
            <w:tcW w:w="3172" w:type="pct"/>
          </w:tcPr>
          <w:p w:rsidR="00DB2485" w:rsidRPr="00DB2485" w:rsidRDefault="00DB2485" w:rsidP="00DB2485">
            <w:pPr>
              <w:jc w:val="both"/>
              <w:rPr>
                <w:rFonts w:cs="Calibri"/>
                <w:color w:val="000000"/>
              </w:rPr>
            </w:pPr>
            <w:r w:rsidRPr="00DB2485">
              <w:rPr>
                <w:rFonts w:cs="Calibri"/>
                <w:color w:val="000000"/>
              </w:rPr>
              <w:t>Fund's return in 2017 (%)</w:t>
            </w:r>
          </w:p>
          <w:p w:rsidR="00AB5B45" w:rsidRPr="00DB2485" w:rsidRDefault="00AB5B45" w:rsidP="006B33EE">
            <w:pPr>
              <w:pStyle w:val="Compact"/>
              <w:jc w:val="both"/>
            </w:pPr>
          </w:p>
        </w:tc>
      </w:tr>
      <w:tr w:rsidR="00AB5B45" w:rsidTr="00DB2485">
        <w:trPr>
          <w:cantSplit/>
          <w:trHeight w:hRule="exact" w:val="360"/>
        </w:trPr>
        <w:tc>
          <w:tcPr>
            <w:tcW w:w="1828" w:type="pct"/>
          </w:tcPr>
          <w:p w:rsidR="00AB5B45" w:rsidRPr="00DB2485" w:rsidRDefault="00AB5B45" w:rsidP="00AB5B45">
            <w:pPr>
              <w:jc w:val="both"/>
              <w:rPr>
                <w:rFonts w:ascii="Consolas" w:hAnsi="Consolas" w:cs="Calibri"/>
                <w:color w:val="000000"/>
                <w:sz w:val="22"/>
                <w:szCs w:val="22"/>
              </w:rPr>
            </w:pPr>
            <w:r w:rsidRPr="00DB2485">
              <w:rPr>
                <w:rFonts w:ascii="Consolas" w:hAnsi="Consolas" w:cs="Calibri"/>
                <w:color w:val="000000"/>
                <w:sz w:val="22"/>
                <w:szCs w:val="22"/>
              </w:rPr>
              <w:t>Team</w:t>
            </w:r>
          </w:p>
          <w:p w:rsidR="00AB5B45" w:rsidRPr="00DB2485" w:rsidRDefault="00AB5B45" w:rsidP="006B33EE">
            <w:pPr>
              <w:pStyle w:val="Compact"/>
              <w:jc w:val="both"/>
              <w:rPr>
                <w:rFonts w:ascii="Consolas" w:hAnsi="Consolas"/>
              </w:rPr>
            </w:pPr>
          </w:p>
        </w:tc>
        <w:tc>
          <w:tcPr>
            <w:tcW w:w="3172" w:type="pct"/>
          </w:tcPr>
          <w:p w:rsidR="00DB2485" w:rsidRPr="00DB2485" w:rsidRDefault="00DB2485" w:rsidP="00DB2485">
            <w:pPr>
              <w:jc w:val="both"/>
              <w:rPr>
                <w:rFonts w:cs="Calibri"/>
                <w:color w:val="000000"/>
              </w:rPr>
            </w:pPr>
            <w:r w:rsidRPr="00DB2485">
              <w:rPr>
                <w:rFonts w:cs="Calibri"/>
                <w:color w:val="000000"/>
              </w:rPr>
              <w:t>=1 if team managed fund</w:t>
            </w:r>
          </w:p>
          <w:p w:rsidR="00AB5B45" w:rsidRPr="00DB2485" w:rsidRDefault="00AB5B45" w:rsidP="006B33EE">
            <w:pPr>
              <w:pStyle w:val="Compact"/>
              <w:jc w:val="both"/>
            </w:pPr>
          </w:p>
        </w:tc>
      </w:tr>
      <w:tr w:rsidR="00AB5B45" w:rsidTr="00DB2485">
        <w:trPr>
          <w:cantSplit/>
          <w:trHeight w:hRule="exact" w:val="360"/>
        </w:trPr>
        <w:tc>
          <w:tcPr>
            <w:tcW w:w="1828" w:type="pct"/>
            <w:tcBorders>
              <w:bottom w:val="single" w:sz="4" w:space="0" w:color="auto"/>
            </w:tcBorders>
          </w:tcPr>
          <w:p w:rsidR="00AB5B45" w:rsidRPr="00DB2485" w:rsidRDefault="00AB5B45" w:rsidP="00AB5B45">
            <w:pPr>
              <w:jc w:val="both"/>
              <w:rPr>
                <w:rFonts w:ascii="Consolas" w:hAnsi="Consolas" w:cs="Calibri"/>
                <w:color w:val="000000"/>
                <w:sz w:val="22"/>
                <w:szCs w:val="22"/>
              </w:rPr>
            </w:pPr>
            <w:r w:rsidRPr="00DB2485">
              <w:rPr>
                <w:rFonts w:ascii="Consolas" w:hAnsi="Consolas" w:cs="Calibri"/>
                <w:color w:val="000000"/>
                <w:sz w:val="22"/>
                <w:szCs w:val="22"/>
              </w:rPr>
              <w:t>Sample</w:t>
            </w:r>
          </w:p>
          <w:p w:rsidR="00AB5B45" w:rsidRPr="00DB2485" w:rsidRDefault="00AB5B45" w:rsidP="006B33EE">
            <w:pPr>
              <w:pStyle w:val="Compact"/>
              <w:jc w:val="both"/>
              <w:rPr>
                <w:rFonts w:ascii="Consolas" w:hAnsi="Consolas"/>
              </w:rPr>
            </w:pPr>
          </w:p>
        </w:tc>
        <w:tc>
          <w:tcPr>
            <w:tcW w:w="3172" w:type="pct"/>
            <w:tcBorders>
              <w:bottom w:val="single" w:sz="4" w:space="0" w:color="auto"/>
            </w:tcBorders>
          </w:tcPr>
          <w:p w:rsidR="00DB2485" w:rsidRPr="00DB2485" w:rsidRDefault="00DB2485" w:rsidP="00DB2485">
            <w:pPr>
              <w:jc w:val="both"/>
              <w:rPr>
                <w:rFonts w:cs="Calibri"/>
                <w:color w:val="000000"/>
              </w:rPr>
            </w:pPr>
            <w:r w:rsidRPr="00DB2485">
              <w:rPr>
                <w:rFonts w:cs="Calibri"/>
                <w:color w:val="000000"/>
              </w:rPr>
              <w:t>=1 if the fund enters our sample</w:t>
            </w:r>
          </w:p>
          <w:p w:rsidR="00AB5B45" w:rsidRPr="00DB2485" w:rsidRDefault="00AB5B45" w:rsidP="006B33EE">
            <w:pPr>
              <w:pStyle w:val="Compact"/>
              <w:jc w:val="both"/>
            </w:pPr>
          </w:p>
        </w:tc>
      </w:tr>
    </w:tbl>
    <w:p w:rsidR="00AB5B45" w:rsidRPr="00AB5B45" w:rsidRDefault="00AB5B45" w:rsidP="00AB5B45">
      <w:pPr>
        <w:pStyle w:val="BodyText"/>
      </w:pPr>
    </w:p>
    <w:p w:rsidR="00721C52" w:rsidRPr="00721C52" w:rsidRDefault="00721C52" w:rsidP="00C92B04">
      <w:pPr>
        <w:pStyle w:val="BlockText"/>
        <w:jc w:val="both"/>
      </w:pPr>
      <w:r>
        <w:lastRenderedPageBreak/>
        <w:t xml:space="preserve">The files </w:t>
      </w:r>
      <w:r w:rsidRPr="00625538">
        <w:rPr>
          <w:rFonts w:ascii="Consolas" w:hAnsi="Consolas"/>
          <w:sz w:val="22"/>
          <w:szCs w:val="22"/>
        </w:rPr>
        <w:t>data_monthly.dta</w:t>
      </w:r>
      <w:r>
        <w:t xml:space="preserve"> and </w:t>
      </w:r>
      <w:r w:rsidRPr="00625538">
        <w:rPr>
          <w:rFonts w:ascii="Consolas" w:hAnsi="Consolas"/>
          <w:sz w:val="22"/>
          <w:szCs w:val="22"/>
        </w:rPr>
        <w:t>data_halfyearly.dta</w:t>
      </w:r>
      <w:r>
        <w:t xml:space="preserve"> contain fund-related variables that are derived from raw data obtained from Morningstar and Lipper. The frequency of the former dataset is monthly, while that of the latter is half-yearly. The variable construction is described in section B of the Online Appendix. These files contain synthetic data; see the details of constructing the synthetic data under section</w:t>
      </w:r>
      <w:r w:rsidR="000D43EF" w:rsidRPr="000D43EF">
        <w:t xml:space="preserve"> </w:t>
      </w:r>
      <w:r w:rsidR="000D43EF">
        <w:t>“</w:t>
      </w:r>
      <w:r w:rsidR="000D43EF" w:rsidRPr="000D43EF">
        <w:t>Construction of synthetic data</w:t>
      </w:r>
      <w:r w:rsidR="000D43EF">
        <w:t>”</w:t>
      </w:r>
      <w:r w:rsidR="00C92B04">
        <w:t>.</w:t>
      </w:r>
      <w:r w:rsidR="00AC41A2">
        <w:t xml:space="preserve"> </w:t>
      </w:r>
      <w:r w:rsidR="00C77A36">
        <w:t>The variables are listed in the following two tables.</w:t>
      </w:r>
    </w:p>
    <w:p w:rsidR="00721C52" w:rsidRDefault="00721C52" w:rsidP="00721C52">
      <w:pPr>
        <w:pStyle w:val="BodyText"/>
        <w:jc w:val="center"/>
      </w:pPr>
      <w:r>
        <w:t xml:space="preserve">Variables in the dataset </w:t>
      </w:r>
      <w:r w:rsidR="000C02B4" w:rsidRPr="00625538">
        <w:rPr>
          <w:rFonts w:ascii="Consolas" w:hAnsi="Consolas"/>
          <w:sz w:val="22"/>
          <w:szCs w:val="22"/>
        </w:rPr>
        <w:t>data_monthly.dta</w:t>
      </w:r>
    </w:p>
    <w:tbl>
      <w:tblPr>
        <w:tblStyle w:val="Table"/>
        <w:tblW w:w="4370" w:type="pct"/>
        <w:tblInd w:w="648" w:type="dxa"/>
        <w:tblLook w:val="07E0" w:firstRow="1" w:lastRow="1" w:firstColumn="1" w:lastColumn="1" w:noHBand="1" w:noVBand="1"/>
      </w:tblPr>
      <w:tblGrid>
        <w:gridCol w:w="2430"/>
        <w:gridCol w:w="5939"/>
      </w:tblGrid>
      <w:tr w:rsidR="000C02B4" w:rsidTr="00C92B04">
        <w:trPr>
          <w:cantSplit/>
          <w:trHeight w:hRule="exact" w:val="331"/>
        </w:trPr>
        <w:tc>
          <w:tcPr>
            <w:tcW w:w="1452" w:type="pct"/>
            <w:tcBorders>
              <w:bottom w:val="single" w:sz="0" w:space="0" w:color="auto"/>
            </w:tcBorders>
            <w:vAlign w:val="bottom"/>
          </w:tcPr>
          <w:p w:rsidR="00721C52" w:rsidRDefault="00721C52" w:rsidP="00F2718D">
            <w:pPr>
              <w:pStyle w:val="Compact"/>
              <w:jc w:val="both"/>
            </w:pPr>
            <w:r>
              <w:t>Variable name</w:t>
            </w:r>
          </w:p>
        </w:tc>
        <w:tc>
          <w:tcPr>
            <w:tcW w:w="3548" w:type="pct"/>
            <w:tcBorders>
              <w:bottom w:val="single" w:sz="0" w:space="0" w:color="auto"/>
            </w:tcBorders>
            <w:vAlign w:val="bottom"/>
          </w:tcPr>
          <w:p w:rsidR="00721C52" w:rsidRDefault="00721C52" w:rsidP="00F2718D">
            <w:pPr>
              <w:pStyle w:val="Compact"/>
              <w:jc w:val="both"/>
            </w:pPr>
            <w:r>
              <w:t>Variable label</w:t>
            </w: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FundId</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Fund identifier</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pid</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Manager identifier</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YM</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year-month</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TeamSize</w:t>
            </w:r>
          </w:p>
          <w:p w:rsidR="00721C52" w:rsidRPr="000C02B4" w:rsidRDefault="00721C52" w:rsidP="00F2718D">
            <w:pPr>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Number of additional managers in team</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Team</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=1 if team managed in that month</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ret_gross</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Gross return</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ret_gross_1</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Gross return in previous month (t-1)</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ret_gross_1_neg</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min(ret_gross_1,0)</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ret_gross_1_pos</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max(ret_gross_1,0)</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ret_net</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Net return</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ret_abn</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Abnormal return</w:t>
            </w: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ret_abn_global4</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Abnormal return (from global 4-factor model)</w:t>
            </w:r>
          </w:p>
          <w:p w:rsidR="000C02B4" w:rsidRPr="000C02B4" w:rsidRDefault="000C02B4" w:rsidP="000C02B4">
            <w:pPr>
              <w:jc w:val="both"/>
              <w:rPr>
                <w:rFonts w:cs="Calibri"/>
                <w:color w:val="000000"/>
              </w:rPr>
            </w:pPr>
          </w:p>
          <w:p w:rsidR="00721C52" w:rsidRPr="000C02B4" w:rsidRDefault="00721C52" w:rsidP="00F2718D">
            <w:pPr>
              <w:pStyle w:val="Compact"/>
              <w:jc w:val="both"/>
            </w:pPr>
          </w:p>
        </w:tc>
      </w:tr>
      <w:tr w:rsidR="000C02B4"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ret_abn_FF_EU</w:t>
            </w: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Abnormal return (from Fama-French Europe model)</w:t>
            </w:r>
          </w:p>
          <w:p w:rsidR="00721C52" w:rsidRPr="000C02B4" w:rsidRDefault="00721C52" w:rsidP="00F2718D">
            <w:pPr>
              <w:pStyle w:val="Compact"/>
              <w:jc w:val="both"/>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V</w:t>
            </w:r>
          </w:p>
          <w:p w:rsidR="000C02B4" w:rsidRPr="000C02B4" w:rsidRDefault="000C02B4" w:rsidP="000C02B4">
            <w:pPr>
              <w:jc w:val="both"/>
              <w:rPr>
                <w:rFonts w:ascii="Consolas" w:hAnsi="Consolas" w:cs="Calibri"/>
                <w:color w:val="000000"/>
                <w:sz w:val="22"/>
                <w:szCs w:val="22"/>
              </w:rPr>
            </w:pPr>
          </w:p>
          <w:p w:rsidR="00721C52" w:rsidRPr="000C02B4" w:rsidRDefault="00721C52" w:rsidP="00F2718D">
            <w:pPr>
              <w:pStyle w:val="Compact"/>
              <w:jc w:val="both"/>
              <w:rPr>
                <w:rFonts w:ascii="Consolas" w:hAnsi="Consolas"/>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Value added</w:t>
            </w:r>
          </w:p>
          <w:p w:rsidR="00721C52" w:rsidRPr="000C02B4" w:rsidRDefault="00721C52" w:rsidP="00F2718D">
            <w:pPr>
              <w:pStyle w:val="Compact"/>
              <w:jc w:val="both"/>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SR</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Sharpe ratio</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RV</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Relative Volatility</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TE</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Tracking Error</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TE_global4</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Tracking Error (from global 4-factor model)</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TE_FF_EU</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Tracking Error (from Fama-French Europe model)</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ER</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Fund level expense ratio</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ER_source</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Source used for ER data</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AUM</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Fund level totat AUM</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AUM_source</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Source used for AUM data</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AUM_1</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AUM from previous month (t-1)</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lAUM_1</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log(AUM_1)</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cat_fi</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=1 if fixed income fund</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cat_eq</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=1 if equtiy fund</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cat_all</w:t>
            </w:r>
          </w:p>
          <w:p w:rsidR="00721C52" w:rsidRPr="000C02B4" w:rsidRDefault="00721C52" w:rsidP="00F2718D">
            <w:pPr>
              <w:jc w:val="both"/>
              <w:rPr>
                <w:rFonts w:ascii="Consolas" w:hAnsi="Consolas" w:cs="Calibri"/>
                <w:color w:val="000000"/>
                <w:sz w:val="22"/>
                <w:szCs w:val="22"/>
              </w:rPr>
            </w:pPr>
          </w:p>
        </w:tc>
        <w:tc>
          <w:tcPr>
            <w:tcW w:w="3548" w:type="pct"/>
          </w:tcPr>
          <w:p w:rsidR="000C02B4" w:rsidRPr="000C02B4" w:rsidRDefault="000C02B4" w:rsidP="000C02B4">
            <w:pPr>
              <w:jc w:val="both"/>
              <w:rPr>
                <w:rFonts w:cs="Calibri"/>
                <w:color w:val="000000"/>
              </w:rPr>
            </w:pPr>
            <w:r w:rsidRPr="000C02B4">
              <w:rPr>
                <w:rFonts w:cs="Calibri"/>
                <w:color w:val="000000"/>
              </w:rPr>
              <w:t>=1 if allocation fund</w:t>
            </w:r>
          </w:p>
          <w:p w:rsidR="00721C52" w:rsidRPr="000C02B4" w:rsidRDefault="00721C52" w:rsidP="00F2718D">
            <w:pPr>
              <w:jc w:val="both"/>
              <w:rPr>
                <w:rFonts w:cs="Calibri"/>
                <w:color w:val="000000"/>
              </w:rPr>
            </w:pPr>
          </w:p>
        </w:tc>
      </w:tr>
      <w:tr w:rsidR="00721C52" w:rsidTr="00C92B04">
        <w:trPr>
          <w:cantSplit/>
          <w:trHeight w:hRule="exact" w:val="331"/>
        </w:trPr>
        <w:tc>
          <w:tcPr>
            <w:tcW w:w="1452" w:type="pct"/>
            <w:tcBorders>
              <w:bottom w:val="single" w:sz="4" w:space="0" w:color="auto"/>
            </w:tcBorders>
          </w:tcPr>
          <w:p w:rsidR="000C02B4" w:rsidRPr="000C02B4" w:rsidRDefault="000C02B4" w:rsidP="000C02B4">
            <w:pPr>
              <w:jc w:val="both"/>
              <w:rPr>
                <w:rFonts w:ascii="Consolas" w:hAnsi="Consolas" w:cs="Calibri"/>
                <w:color w:val="000000"/>
                <w:sz w:val="22"/>
                <w:szCs w:val="22"/>
              </w:rPr>
            </w:pPr>
            <w:r w:rsidRPr="000C02B4">
              <w:rPr>
                <w:rFonts w:ascii="Consolas" w:hAnsi="Consolas" w:cs="Calibri"/>
                <w:color w:val="000000"/>
                <w:sz w:val="22"/>
                <w:szCs w:val="22"/>
              </w:rPr>
              <w:t>cat_rest</w:t>
            </w:r>
          </w:p>
          <w:p w:rsidR="00721C52" w:rsidRPr="000C02B4" w:rsidRDefault="00721C52" w:rsidP="00F2718D">
            <w:pPr>
              <w:jc w:val="both"/>
              <w:rPr>
                <w:rFonts w:ascii="Consolas" w:hAnsi="Consolas" w:cs="Calibri"/>
                <w:color w:val="000000"/>
                <w:sz w:val="22"/>
                <w:szCs w:val="22"/>
              </w:rPr>
            </w:pPr>
          </w:p>
        </w:tc>
        <w:tc>
          <w:tcPr>
            <w:tcW w:w="3548" w:type="pct"/>
            <w:tcBorders>
              <w:bottom w:val="single" w:sz="4" w:space="0" w:color="auto"/>
            </w:tcBorders>
          </w:tcPr>
          <w:p w:rsidR="000C02B4" w:rsidRPr="000C02B4" w:rsidRDefault="000C02B4" w:rsidP="000C02B4">
            <w:pPr>
              <w:jc w:val="both"/>
              <w:rPr>
                <w:rFonts w:cs="Calibri"/>
                <w:color w:val="000000"/>
              </w:rPr>
            </w:pPr>
            <w:r w:rsidRPr="000C02B4">
              <w:rPr>
                <w:rFonts w:cs="Calibri"/>
                <w:color w:val="000000"/>
              </w:rPr>
              <w:t>=1 if 'rest' fund</w:t>
            </w:r>
          </w:p>
          <w:p w:rsidR="00721C52" w:rsidRPr="000C02B4" w:rsidRDefault="00721C52" w:rsidP="00F2718D">
            <w:pPr>
              <w:jc w:val="both"/>
              <w:rPr>
                <w:rFonts w:cs="Calibri"/>
                <w:color w:val="000000"/>
              </w:rPr>
            </w:pPr>
          </w:p>
        </w:tc>
      </w:tr>
    </w:tbl>
    <w:p w:rsidR="00721C52" w:rsidRPr="00721C52" w:rsidRDefault="00721C52" w:rsidP="00721C52">
      <w:pPr>
        <w:pStyle w:val="BodyText"/>
      </w:pPr>
    </w:p>
    <w:p w:rsidR="000C02B4" w:rsidRDefault="000C02B4" w:rsidP="000C02B4">
      <w:pPr>
        <w:pStyle w:val="BodyText"/>
        <w:jc w:val="center"/>
      </w:pPr>
      <w:r>
        <w:t xml:space="preserve">Variables in the dataset </w:t>
      </w:r>
      <w:r w:rsidRPr="00625538">
        <w:rPr>
          <w:rFonts w:ascii="Consolas" w:hAnsi="Consolas"/>
          <w:sz w:val="22"/>
          <w:szCs w:val="22"/>
        </w:rPr>
        <w:t>data_halfyearly.dta</w:t>
      </w:r>
    </w:p>
    <w:tbl>
      <w:tblPr>
        <w:tblStyle w:val="Table"/>
        <w:tblW w:w="4370" w:type="pct"/>
        <w:tblInd w:w="648" w:type="dxa"/>
        <w:tblLook w:val="07E0" w:firstRow="1" w:lastRow="1" w:firstColumn="1" w:lastColumn="1" w:noHBand="1" w:noVBand="1"/>
      </w:tblPr>
      <w:tblGrid>
        <w:gridCol w:w="3060"/>
        <w:gridCol w:w="5309"/>
      </w:tblGrid>
      <w:tr w:rsidR="000C02B4" w:rsidTr="00F2718D">
        <w:trPr>
          <w:cantSplit/>
          <w:trHeight w:hRule="exact" w:val="360"/>
        </w:trPr>
        <w:tc>
          <w:tcPr>
            <w:tcW w:w="1828" w:type="pct"/>
            <w:tcBorders>
              <w:bottom w:val="single" w:sz="0" w:space="0" w:color="auto"/>
            </w:tcBorders>
            <w:vAlign w:val="bottom"/>
          </w:tcPr>
          <w:p w:rsidR="000C02B4" w:rsidRDefault="000C02B4" w:rsidP="00F2718D">
            <w:pPr>
              <w:pStyle w:val="Compact"/>
              <w:jc w:val="both"/>
            </w:pPr>
            <w:r>
              <w:t>Variable name</w:t>
            </w:r>
          </w:p>
        </w:tc>
        <w:tc>
          <w:tcPr>
            <w:tcW w:w="3172" w:type="pct"/>
            <w:tcBorders>
              <w:bottom w:val="single" w:sz="0" w:space="0" w:color="auto"/>
            </w:tcBorders>
            <w:vAlign w:val="bottom"/>
          </w:tcPr>
          <w:p w:rsidR="000C02B4" w:rsidRDefault="000C02B4" w:rsidP="00F2718D">
            <w:pPr>
              <w:pStyle w:val="Compact"/>
              <w:jc w:val="both"/>
            </w:pPr>
            <w:r>
              <w:t>Variable label</w:t>
            </w: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FundId</w:t>
            </w:r>
          </w:p>
          <w:p w:rsidR="000C02B4" w:rsidRPr="0014406B" w:rsidRDefault="000C02B4" w:rsidP="00F2718D">
            <w:pPr>
              <w:pStyle w:val="Compact"/>
              <w:jc w:val="both"/>
              <w:rPr>
                <w:rFonts w:ascii="Consolas" w:hAnsi="Consolas"/>
              </w:rPr>
            </w:pPr>
          </w:p>
        </w:tc>
        <w:tc>
          <w:tcPr>
            <w:tcW w:w="3172" w:type="pct"/>
          </w:tcPr>
          <w:p w:rsidR="000C02B4" w:rsidRPr="0014406B" w:rsidRDefault="000C02B4" w:rsidP="00F2718D">
            <w:pPr>
              <w:jc w:val="both"/>
              <w:rPr>
                <w:rFonts w:cs="Calibri"/>
                <w:color w:val="000000"/>
              </w:rPr>
            </w:pPr>
            <w:r w:rsidRPr="0014406B">
              <w:rPr>
                <w:rFonts w:cs="Calibri"/>
                <w:color w:val="000000"/>
              </w:rPr>
              <w:t>Fund identifier</w:t>
            </w:r>
          </w:p>
          <w:p w:rsidR="000C02B4" w:rsidRPr="0014406B" w:rsidRDefault="000C02B4" w:rsidP="00F2718D">
            <w:pPr>
              <w:pStyle w:val="Compact"/>
              <w:jc w:val="both"/>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pid</w:t>
            </w:r>
          </w:p>
          <w:p w:rsidR="000C02B4" w:rsidRPr="0014406B" w:rsidRDefault="000C02B4" w:rsidP="00F2718D">
            <w:pPr>
              <w:pStyle w:val="Compact"/>
              <w:jc w:val="both"/>
              <w:rPr>
                <w:rFonts w:ascii="Consolas" w:hAnsi="Consolas"/>
              </w:rPr>
            </w:pPr>
          </w:p>
        </w:tc>
        <w:tc>
          <w:tcPr>
            <w:tcW w:w="3172" w:type="pct"/>
          </w:tcPr>
          <w:p w:rsidR="000C02B4" w:rsidRPr="0014406B" w:rsidRDefault="000C02B4" w:rsidP="00F2718D">
            <w:pPr>
              <w:jc w:val="both"/>
              <w:rPr>
                <w:rFonts w:cs="Calibri"/>
                <w:color w:val="000000"/>
              </w:rPr>
            </w:pPr>
            <w:r w:rsidRPr="0014406B">
              <w:rPr>
                <w:rFonts w:cs="Calibri"/>
                <w:color w:val="000000"/>
              </w:rPr>
              <w:t>Manager identifier</w:t>
            </w:r>
          </w:p>
          <w:p w:rsidR="000C02B4" w:rsidRPr="0014406B" w:rsidRDefault="000C02B4" w:rsidP="00F2718D">
            <w:pPr>
              <w:pStyle w:val="Compact"/>
              <w:jc w:val="both"/>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YH</w:t>
            </w:r>
          </w:p>
          <w:p w:rsidR="000C02B4" w:rsidRPr="0014406B" w:rsidRDefault="000C02B4" w:rsidP="00F2718D">
            <w:pPr>
              <w:pStyle w:val="Compact"/>
              <w:jc w:val="both"/>
              <w:rPr>
                <w:rFonts w:ascii="Consolas" w:hAnsi="Consolas"/>
              </w:rPr>
            </w:pPr>
          </w:p>
        </w:tc>
        <w:tc>
          <w:tcPr>
            <w:tcW w:w="3172" w:type="pct"/>
          </w:tcPr>
          <w:p w:rsidR="000C02B4" w:rsidRPr="0014406B" w:rsidRDefault="000C02B4" w:rsidP="00F2718D">
            <w:pPr>
              <w:jc w:val="both"/>
              <w:rPr>
                <w:rFonts w:cs="Calibri"/>
                <w:color w:val="000000"/>
              </w:rPr>
            </w:pPr>
            <w:r w:rsidRPr="0014406B">
              <w:rPr>
                <w:rFonts w:cs="Calibri"/>
                <w:color w:val="000000"/>
              </w:rPr>
              <w:t>Year-half</w:t>
            </w:r>
          </w:p>
          <w:p w:rsidR="000C02B4" w:rsidRPr="0014406B" w:rsidRDefault="000C02B4" w:rsidP="00F2718D">
            <w:pPr>
              <w:pStyle w:val="Compact"/>
              <w:jc w:val="both"/>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Team</w:t>
            </w:r>
          </w:p>
          <w:p w:rsidR="000C02B4" w:rsidRPr="0014406B" w:rsidRDefault="000C02B4" w:rsidP="00F2718D">
            <w:pPr>
              <w:pStyle w:val="Compact"/>
              <w:jc w:val="both"/>
              <w:rPr>
                <w:rFonts w:ascii="Consolas" w:hAnsi="Consolas"/>
              </w:rPr>
            </w:pPr>
          </w:p>
        </w:tc>
        <w:tc>
          <w:tcPr>
            <w:tcW w:w="3172" w:type="pct"/>
          </w:tcPr>
          <w:p w:rsidR="000C02B4" w:rsidRPr="0014406B" w:rsidRDefault="000C02B4" w:rsidP="00F2718D">
            <w:pPr>
              <w:jc w:val="both"/>
              <w:rPr>
                <w:rFonts w:cs="Calibri"/>
                <w:color w:val="000000"/>
              </w:rPr>
            </w:pPr>
            <w:r w:rsidRPr="0014406B">
              <w:rPr>
                <w:rFonts w:cs="Calibri"/>
                <w:color w:val="000000"/>
              </w:rPr>
              <w:t>=1 if team managed in that month</w:t>
            </w:r>
          </w:p>
          <w:p w:rsidR="000C02B4" w:rsidRPr="0014406B" w:rsidRDefault="000C02B4" w:rsidP="00F2718D">
            <w:pPr>
              <w:pStyle w:val="Compact"/>
              <w:jc w:val="both"/>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ret_gross</w:t>
            </w:r>
          </w:p>
          <w:p w:rsidR="000C02B4" w:rsidRPr="0014406B" w:rsidRDefault="000C02B4" w:rsidP="00F2718D">
            <w:pPr>
              <w:pStyle w:val="Compact"/>
              <w:jc w:val="both"/>
              <w:rPr>
                <w:rFonts w:ascii="Consolas" w:hAnsi="Consolas"/>
              </w:rPr>
            </w:pPr>
          </w:p>
        </w:tc>
        <w:tc>
          <w:tcPr>
            <w:tcW w:w="3172" w:type="pct"/>
          </w:tcPr>
          <w:p w:rsidR="000C02B4" w:rsidRPr="0014406B" w:rsidRDefault="000C02B4" w:rsidP="00F2718D">
            <w:pPr>
              <w:jc w:val="both"/>
              <w:rPr>
                <w:rFonts w:cs="Calibri"/>
                <w:color w:val="000000"/>
              </w:rPr>
            </w:pPr>
            <w:r w:rsidRPr="0014406B">
              <w:rPr>
                <w:rFonts w:cs="Calibri"/>
                <w:color w:val="000000"/>
              </w:rPr>
              <w:t>Gross return</w:t>
            </w:r>
          </w:p>
          <w:p w:rsidR="000C02B4" w:rsidRPr="0014406B" w:rsidRDefault="000C02B4" w:rsidP="00F2718D">
            <w:pPr>
              <w:pStyle w:val="Compact"/>
              <w:jc w:val="both"/>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ret_gross_1</w:t>
            </w:r>
          </w:p>
          <w:p w:rsidR="000C02B4" w:rsidRPr="0014406B" w:rsidRDefault="000C02B4" w:rsidP="00F2718D">
            <w:pPr>
              <w:pStyle w:val="Compact"/>
              <w:jc w:val="both"/>
              <w:rPr>
                <w:rFonts w:ascii="Consolas" w:hAnsi="Consolas"/>
              </w:rPr>
            </w:pPr>
          </w:p>
        </w:tc>
        <w:tc>
          <w:tcPr>
            <w:tcW w:w="3172" w:type="pct"/>
          </w:tcPr>
          <w:p w:rsidR="000C02B4" w:rsidRPr="0014406B" w:rsidRDefault="000C02B4" w:rsidP="00F2718D">
            <w:pPr>
              <w:jc w:val="both"/>
              <w:rPr>
                <w:rFonts w:cs="Calibri"/>
                <w:color w:val="000000"/>
              </w:rPr>
            </w:pPr>
            <w:r w:rsidRPr="0014406B">
              <w:rPr>
                <w:rFonts w:cs="Calibri"/>
                <w:color w:val="000000"/>
              </w:rPr>
              <w:t>Gross return in previous month (t-1)</w:t>
            </w:r>
          </w:p>
          <w:p w:rsidR="000C02B4" w:rsidRPr="0014406B" w:rsidRDefault="000C02B4" w:rsidP="00F2718D">
            <w:pPr>
              <w:pStyle w:val="Compact"/>
              <w:jc w:val="both"/>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ret_gross_1_neg</w:t>
            </w:r>
          </w:p>
          <w:p w:rsidR="000C02B4" w:rsidRPr="0014406B" w:rsidRDefault="000C02B4" w:rsidP="00F2718D">
            <w:pPr>
              <w:pStyle w:val="Compact"/>
              <w:jc w:val="both"/>
              <w:rPr>
                <w:rFonts w:ascii="Consolas" w:hAnsi="Consolas"/>
              </w:rPr>
            </w:pPr>
          </w:p>
        </w:tc>
        <w:tc>
          <w:tcPr>
            <w:tcW w:w="3172" w:type="pct"/>
          </w:tcPr>
          <w:p w:rsidR="000C02B4" w:rsidRPr="0014406B" w:rsidRDefault="000C02B4" w:rsidP="00F2718D">
            <w:pPr>
              <w:jc w:val="both"/>
              <w:rPr>
                <w:rFonts w:cs="Calibri"/>
                <w:color w:val="000000"/>
              </w:rPr>
            </w:pPr>
            <w:r w:rsidRPr="0014406B">
              <w:rPr>
                <w:rFonts w:cs="Calibri"/>
                <w:color w:val="000000"/>
              </w:rPr>
              <w:t>min(ret_gross_1,0)</w:t>
            </w:r>
          </w:p>
          <w:p w:rsidR="000C02B4" w:rsidRPr="0014406B" w:rsidRDefault="000C02B4" w:rsidP="00F2718D">
            <w:pPr>
              <w:pStyle w:val="Compact"/>
              <w:jc w:val="both"/>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ret_gross_1_pos</w:t>
            </w:r>
          </w:p>
          <w:p w:rsidR="000C02B4" w:rsidRPr="0014406B" w:rsidRDefault="000C02B4" w:rsidP="00F2718D">
            <w:pPr>
              <w:pStyle w:val="Compact"/>
              <w:jc w:val="both"/>
              <w:rPr>
                <w:rFonts w:ascii="Consolas" w:hAnsi="Consolas"/>
              </w:rPr>
            </w:pPr>
          </w:p>
        </w:tc>
        <w:tc>
          <w:tcPr>
            <w:tcW w:w="3172" w:type="pct"/>
          </w:tcPr>
          <w:p w:rsidR="000C02B4" w:rsidRPr="0014406B" w:rsidRDefault="000C02B4" w:rsidP="00F2718D">
            <w:pPr>
              <w:jc w:val="both"/>
              <w:rPr>
                <w:rFonts w:cs="Calibri"/>
                <w:color w:val="000000"/>
              </w:rPr>
            </w:pPr>
            <w:r w:rsidRPr="0014406B">
              <w:rPr>
                <w:rFonts w:cs="Calibri"/>
                <w:color w:val="000000"/>
              </w:rPr>
              <w:t>max(ret_gross_1,0)</w:t>
            </w:r>
          </w:p>
          <w:p w:rsidR="000C02B4" w:rsidRPr="0014406B" w:rsidRDefault="000C02B4" w:rsidP="00F2718D">
            <w:pPr>
              <w:pStyle w:val="Compact"/>
              <w:jc w:val="both"/>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SR</w:t>
            </w:r>
          </w:p>
          <w:p w:rsidR="000C02B4" w:rsidRPr="0014406B" w:rsidRDefault="000C02B4" w:rsidP="00F2718D">
            <w:pPr>
              <w:jc w:val="both"/>
              <w:rPr>
                <w:rFonts w:ascii="Consolas" w:hAnsi="Consolas" w:cs="Calibri"/>
                <w:color w:val="000000"/>
                <w:sz w:val="22"/>
                <w:szCs w:val="22"/>
              </w:rPr>
            </w:pPr>
          </w:p>
        </w:tc>
        <w:tc>
          <w:tcPr>
            <w:tcW w:w="3172" w:type="pct"/>
          </w:tcPr>
          <w:p w:rsidR="000C02B4" w:rsidRPr="0014406B" w:rsidRDefault="000C02B4" w:rsidP="00F2718D">
            <w:pPr>
              <w:jc w:val="both"/>
              <w:rPr>
                <w:rFonts w:cs="Calibri"/>
                <w:color w:val="000000"/>
              </w:rPr>
            </w:pPr>
            <w:r w:rsidRPr="0014406B">
              <w:rPr>
                <w:rFonts w:cs="Calibri"/>
                <w:color w:val="000000"/>
              </w:rPr>
              <w:t>Sharpe ratio</w:t>
            </w:r>
          </w:p>
          <w:p w:rsidR="000C02B4" w:rsidRPr="0014406B" w:rsidRDefault="000C02B4" w:rsidP="00F2718D">
            <w:pPr>
              <w:jc w:val="both"/>
              <w:rPr>
                <w:rFonts w:cs="Calibri"/>
                <w:color w:val="000000"/>
              </w:rPr>
            </w:pPr>
          </w:p>
        </w:tc>
      </w:tr>
      <w:tr w:rsidR="008E5B44" w:rsidTr="00F2718D">
        <w:trPr>
          <w:cantSplit/>
          <w:trHeight w:hRule="exact" w:val="360"/>
        </w:trPr>
        <w:tc>
          <w:tcPr>
            <w:tcW w:w="1828" w:type="pct"/>
          </w:tcPr>
          <w:p w:rsidR="008E5B44" w:rsidRPr="0014406B" w:rsidRDefault="008E5B44" w:rsidP="00F2718D">
            <w:pPr>
              <w:jc w:val="both"/>
              <w:rPr>
                <w:rFonts w:ascii="Consolas" w:hAnsi="Consolas" w:cs="Calibri"/>
                <w:color w:val="000000"/>
                <w:sz w:val="22"/>
                <w:szCs w:val="22"/>
              </w:rPr>
            </w:pPr>
            <w:r w:rsidRPr="0014406B">
              <w:rPr>
                <w:rFonts w:ascii="Consolas" w:hAnsi="Consolas" w:cs="Calibri"/>
                <w:color w:val="000000"/>
                <w:sz w:val="22"/>
                <w:szCs w:val="22"/>
              </w:rPr>
              <w:t>RSV</w:t>
            </w:r>
          </w:p>
        </w:tc>
        <w:tc>
          <w:tcPr>
            <w:tcW w:w="3172" w:type="pct"/>
          </w:tcPr>
          <w:p w:rsidR="008E5B44" w:rsidRPr="0014406B" w:rsidRDefault="008E5B44" w:rsidP="00F2718D">
            <w:pPr>
              <w:jc w:val="both"/>
              <w:rPr>
                <w:rFonts w:cs="Calibri"/>
                <w:color w:val="000000"/>
              </w:rPr>
            </w:pPr>
            <w:r w:rsidRPr="0014406B">
              <w:rPr>
                <w:rFonts w:cs="Calibri"/>
                <w:color w:val="000000"/>
              </w:rPr>
              <w:t>Relative Semi-Volatility</w:t>
            </w: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RV</w:t>
            </w:r>
          </w:p>
          <w:p w:rsidR="000C02B4" w:rsidRPr="0014406B" w:rsidRDefault="000C02B4" w:rsidP="00F2718D">
            <w:pPr>
              <w:jc w:val="both"/>
              <w:rPr>
                <w:rFonts w:ascii="Consolas" w:hAnsi="Consolas" w:cs="Calibri"/>
                <w:color w:val="000000"/>
                <w:sz w:val="22"/>
                <w:szCs w:val="22"/>
              </w:rPr>
            </w:pPr>
          </w:p>
        </w:tc>
        <w:tc>
          <w:tcPr>
            <w:tcW w:w="3172" w:type="pct"/>
          </w:tcPr>
          <w:p w:rsidR="000C02B4" w:rsidRPr="0014406B" w:rsidRDefault="000C02B4" w:rsidP="00F2718D">
            <w:pPr>
              <w:jc w:val="both"/>
              <w:rPr>
                <w:rFonts w:cs="Calibri"/>
                <w:color w:val="000000"/>
              </w:rPr>
            </w:pPr>
            <w:r w:rsidRPr="0014406B">
              <w:rPr>
                <w:rFonts w:cs="Calibri"/>
                <w:color w:val="000000"/>
              </w:rPr>
              <w:t>Relative Volatility</w:t>
            </w:r>
          </w:p>
          <w:p w:rsidR="000C02B4" w:rsidRPr="0014406B" w:rsidRDefault="000C02B4" w:rsidP="00F2718D">
            <w:pPr>
              <w:jc w:val="both"/>
              <w:rPr>
                <w:rFonts w:cs="Calibri"/>
                <w:color w:val="000000"/>
              </w:rPr>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TE</w:t>
            </w:r>
          </w:p>
          <w:p w:rsidR="000C02B4" w:rsidRPr="0014406B" w:rsidRDefault="000C02B4" w:rsidP="00F2718D">
            <w:pPr>
              <w:jc w:val="both"/>
              <w:rPr>
                <w:rFonts w:ascii="Consolas" w:hAnsi="Consolas" w:cs="Calibri"/>
                <w:color w:val="000000"/>
                <w:sz w:val="22"/>
                <w:szCs w:val="22"/>
              </w:rPr>
            </w:pPr>
          </w:p>
        </w:tc>
        <w:tc>
          <w:tcPr>
            <w:tcW w:w="3172" w:type="pct"/>
          </w:tcPr>
          <w:p w:rsidR="000C02B4" w:rsidRPr="0014406B" w:rsidRDefault="000C02B4" w:rsidP="00F2718D">
            <w:pPr>
              <w:jc w:val="both"/>
              <w:rPr>
                <w:rFonts w:cs="Calibri"/>
                <w:color w:val="000000"/>
              </w:rPr>
            </w:pPr>
            <w:r w:rsidRPr="0014406B">
              <w:rPr>
                <w:rFonts w:cs="Calibri"/>
                <w:color w:val="000000"/>
              </w:rPr>
              <w:t>Tracking Error</w:t>
            </w:r>
          </w:p>
          <w:p w:rsidR="000C02B4" w:rsidRPr="0014406B" w:rsidRDefault="000C02B4" w:rsidP="00F2718D">
            <w:pPr>
              <w:jc w:val="both"/>
              <w:rPr>
                <w:rFonts w:cs="Calibri"/>
                <w:color w:val="000000"/>
              </w:rPr>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AUM</w:t>
            </w:r>
          </w:p>
          <w:p w:rsidR="000C02B4" w:rsidRPr="0014406B" w:rsidRDefault="000C02B4" w:rsidP="00F2718D">
            <w:pPr>
              <w:jc w:val="both"/>
              <w:rPr>
                <w:rFonts w:ascii="Consolas" w:hAnsi="Consolas" w:cs="Calibri"/>
                <w:color w:val="000000"/>
                <w:sz w:val="22"/>
                <w:szCs w:val="22"/>
              </w:rPr>
            </w:pPr>
          </w:p>
        </w:tc>
        <w:tc>
          <w:tcPr>
            <w:tcW w:w="3172" w:type="pct"/>
          </w:tcPr>
          <w:p w:rsidR="000C02B4" w:rsidRPr="0014406B" w:rsidRDefault="000C02B4" w:rsidP="00F2718D">
            <w:pPr>
              <w:jc w:val="both"/>
              <w:rPr>
                <w:rFonts w:cs="Calibri"/>
                <w:color w:val="000000"/>
              </w:rPr>
            </w:pPr>
            <w:r w:rsidRPr="0014406B">
              <w:rPr>
                <w:rFonts w:cs="Calibri"/>
                <w:color w:val="000000"/>
              </w:rPr>
              <w:t>Fund level totat AUM</w:t>
            </w:r>
          </w:p>
          <w:p w:rsidR="000C02B4" w:rsidRPr="0014406B" w:rsidRDefault="000C02B4" w:rsidP="00F2718D">
            <w:pPr>
              <w:jc w:val="both"/>
              <w:rPr>
                <w:rFonts w:cs="Calibri"/>
                <w:color w:val="000000"/>
              </w:rPr>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AUM_1</w:t>
            </w:r>
          </w:p>
          <w:p w:rsidR="000C02B4" w:rsidRPr="0014406B" w:rsidRDefault="000C02B4" w:rsidP="00F2718D">
            <w:pPr>
              <w:jc w:val="both"/>
              <w:rPr>
                <w:rFonts w:ascii="Consolas" w:hAnsi="Consolas" w:cs="Calibri"/>
                <w:color w:val="000000"/>
                <w:sz w:val="22"/>
                <w:szCs w:val="22"/>
              </w:rPr>
            </w:pPr>
          </w:p>
        </w:tc>
        <w:tc>
          <w:tcPr>
            <w:tcW w:w="3172" w:type="pct"/>
          </w:tcPr>
          <w:p w:rsidR="000C02B4" w:rsidRPr="0014406B" w:rsidRDefault="000C02B4" w:rsidP="00F2718D">
            <w:pPr>
              <w:jc w:val="both"/>
              <w:rPr>
                <w:rFonts w:cs="Calibri"/>
                <w:color w:val="000000"/>
              </w:rPr>
            </w:pPr>
            <w:r w:rsidRPr="0014406B">
              <w:rPr>
                <w:rFonts w:cs="Calibri"/>
                <w:color w:val="000000"/>
              </w:rPr>
              <w:t>AUM from previous month (t-1)</w:t>
            </w:r>
          </w:p>
          <w:p w:rsidR="000C02B4" w:rsidRPr="0014406B" w:rsidRDefault="000C02B4" w:rsidP="00F2718D">
            <w:pPr>
              <w:jc w:val="both"/>
              <w:rPr>
                <w:rFonts w:cs="Calibri"/>
                <w:color w:val="000000"/>
              </w:rPr>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lAUM_1</w:t>
            </w:r>
          </w:p>
          <w:p w:rsidR="000C02B4" w:rsidRPr="0014406B" w:rsidRDefault="000C02B4" w:rsidP="00F2718D">
            <w:pPr>
              <w:jc w:val="both"/>
              <w:rPr>
                <w:rFonts w:ascii="Consolas" w:hAnsi="Consolas" w:cs="Calibri"/>
                <w:color w:val="000000"/>
                <w:sz w:val="22"/>
                <w:szCs w:val="22"/>
              </w:rPr>
            </w:pPr>
          </w:p>
        </w:tc>
        <w:tc>
          <w:tcPr>
            <w:tcW w:w="3172" w:type="pct"/>
          </w:tcPr>
          <w:p w:rsidR="000C02B4" w:rsidRPr="0014406B" w:rsidRDefault="000C02B4" w:rsidP="00F2718D">
            <w:pPr>
              <w:jc w:val="both"/>
              <w:rPr>
                <w:rFonts w:cs="Calibri"/>
                <w:color w:val="000000"/>
              </w:rPr>
            </w:pPr>
            <w:r w:rsidRPr="0014406B">
              <w:rPr>
                <w:rFonts w:cs="Calibri"/>
                <w:color w:val="000000"/>
              </w:rPr>
              <w:t>log(AUM_1)</w:t>
            </w:r>
          </w:p>
          <w:p w:rsidR="000C02B4" w:rsidRPr="0014406B" w:rsidRDefault="000C02B4" w:rsidP="00F2718D">
            <w:pPr>
              <w:jc w:val="both"/>
              <w:rPr>
                <w:rFonts w:cs="Calibri"/>
                <w:color w:val="000000"/>
              </w:rPr>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cat_fi</w:t>
            </w:r>
          </w:p>
          <w:p w:rsidR="000C02B4" w:rsidRPr="0014406B" w:rsidRDefault="000C02B4" w:rsidP="00F2718D">
            <w:pPr>
              <w:jc w:val="both"/>
              <w:rPr>
                <w:rFonts w:ascii="Consolas" w:hAnsi="Consolas" w:cs="Calibri"/>
                <w:color w:val="000000"/>
                <w:sz w:val="22"/>
                <w:szCs w:val="22"/>
              </w:rPr>
            </w:pPr>
          </w:p>
        </w:tc>
        <w:tc>
          <w:tcPr>
            <w:tcW w:w="3172" w:type="pct"/>
          </w:tcPr>
          <w:p w:rsidR="000C02B4" w:rsidRPr="0014406B" w:rsidRDefault="000C02B4" w:rsidP="00F2718D">
            <w:pPr>
              <w:jc w:val="both"/>
              <w:rPr>
                <w:rFonts w:cs="Calibri"/>
                <w:color w:val="000000"/>
              </w:rPr>
            </w:pPr>
            <w:r w:rsidRPr="0014406B">
              <w:rPr>
                <w:rFonts w:cs="Calibri"/>
                <w:color w:val="000000"/>
              </w:rPr>
              <w:t>=1 if fixed income fund</w:t>
            </w:r>
          </w:p>
          <w:p w:rsidR="000C02B4" w:rsidRPr="0014406B" w:rsidRDefault="000C02B4" w:rsidP="00F2718D">
            <w:pPr>
              <w:jc w:val="both"/>
              <w:rPr>
                <w:rFonts w:cs="Calibri"/>
                <w:color w:val="000000"/>
              </w:rPr>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cat_eq</w:t>
            </w:r>
          </w:p>
          <w:p w:rsidR="000C02B4" w:rsidRPr="0014406B" w:rsidRDefault="000C02B4" w:rsidP="00F2718D">
            <w:pPr>
              <w:jc w:val="both"/>
              <w:rPr>
                <w:rFonts w:ascii="Consolas" w:hAnsi="Consolas" w:cs="Calibri"/>
                <w:color w:val="000000"/>
                <w:sz w:val="22"/>
                <w:szCs w:val="22"/>
              </w:rPr>
            </w:pPr>
          </w:p>
        </w:tc>
        <w:tc>
          <w:tcPr>
            <w:tcW w:w="3172" w:type="pct"/>
          </w:tcPr>
          <w:p w:rsidR="000C02B4" w:rsidRPr="0014406B" w:rsidRDefault="000C02B4" w:rsidP="00F2718D">
            <w:pPr>
              <w:jc w:val="both"/>
              <w:rPr>
                <w:rFonts w:cs="Calibri"/>
                <w:color w:val="000000"/>
              </w:rPr>
            </w:pPr>
            <w:r w:rsidRPr="0014406B">
              <w:rPr>
                <w:rFonts w:cs="Calibri"/>
                <w:color w:val="000000"/>
              </w:rPr>
              <w:t>=1 if equtiy fund</w:t>
            </w:r>
          </w:p>
          <w:p w:rsidR="000C02B4" w:rsidRPr="0014406B" w:rsidRDefault="000C02B4" w:rsidP="00F2718D">
            <w:pPr>
              <w:jc w:val="both"/>
              <w:rPr>
                <w:rFonts w:cs="Calibri"/>
                <w:color w:val="000000"/>
              </w:rPr>
            </w:pPr>
          </w:p>
        </w:tc>
      </w:tr>
      <w:tr w:rsidR="000C02B4" w:rsidTr="00F2718D">
        <w:trPr>
          <w:cantSplit/>
          <w:trHeight w:hRule="exact" w:val="360"/>
        </w:trPr>
        <w:tc>
          <w:tcPr>
            <w:tcW w:w="1828" w:type="pct"/>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cat_all</w:t>
            </w:r>
          </w:p>
          <w:p w:rsidR="000C02B4" w:rsidRPr="0014406B" w:rsidRDefault="000C02B4" w:rsidP="00F2718D">
            <w:pPr>
              <w:jc w:val="both"/>
              <w:rPr>
                <w:rFonts w:ascii="Consolas" w:hAnsi="Consolas" w:cs="Calibri"/>
                <w:color w:val="000000"/>
                <w:sz w:val="22"/>
                <w:szCs w:val="22"/>
              </w:rPr>
            </w:pPr>
          </w:p>
        </w:tc>
        <w:tc>
          <w:tcPr>
            <w:tcW w:w="3172" w:type="pct"/>
          </w:tcPr>
          <w:p w:rsidR="000C02B4" w:rsidRPr="0014406B" w:rsidRDefault="000C02B4" w:rsidP="00F2718D">
            <w:pPr>
              <w:jc w:val="both"/>
              <w:rPr>
                <w:rFonts w:cs="Calibri"/>
                <w:color w:val="000000"/>
              </w:rPr>
            </w:pPr>
            <w:r w:rsidRPr="0014406B">
              <w:rPr>
                <w:rFonts w:cs="Calibri"/>
                <w:color w:val="000000"/>
              </w:rPr>
              <w:t>=1 if allocation fund</w:t>
            </w:r>
          </w:p>
          <w:p w:rsidR="000C02B4" w:rsidRPr="0014406B" w:rsidRDefault="000C02B4" w:rsidP="00F2718D">
            <w:pPr>
              <w:jc w:val="both"/>
              <w:rPr>
                <w:rFonts w:cs="Calibri"/>
                <w:color w:val="000000"/>
              </w:rPr>
            </w:pPr>
          </w:p>
        </w:tc>
      </w:tr>
      <w:tr w:rsidR="000C02B4" w:rsidTr="00F2718D">
        <w:trPr>
          <w:cantSplit/>
          <w:trHeight w:hRule="exact" w:val="360"/>
        </w:trPr>
        <w:tc>
          <w:tcPr>
            <w:tcW w:w="1828" w:type="pct"/>
            <w:tcBorders>
              <w:bottom w:val="single" w:sz="4" w:space="0" w:color="auto"/>
            </w:tcBorders>
          </w:tcPr>
          <w:p w:rsidR="000C02B4" w:rsidRPr="0014406B" w:rsidRDefault="000C02B4" w:rsidP="00F2718D">
            <w:pPr>
              <w:jc w:val="both"/>
              <w:rPr>
                <w:rFonts w:ascii="Consolas" w:hAnsi="Consolas" w:cs="Calibri"/>
                <w:color w:val="000000"/>
                <w:sz w:val="22"/>
                <w:szCs w:val="22"/>
              </w:rPr>
            </w:pPr>
            <w:r w:rsidRPr="0014406B">
              <w:rPr>
                <w:rFonts w:ascii="Consolas" w:hAnsi="Consolas" w:cs="Calibri"/>
                <w:color w:val="000000"/>
                <w:sz w:val="22"/>
                <w:szCs w:val="22"/>
              </w:rPr>
              <w:t>cat_rest</w:t>
            </w:r>
          </w:p>
          <w:p w:rsidR="000C02B4" w:rsidRPr="0014406B" w:rsidRDefault="000C02B4" w:rsidP="00F2718D">
            <w:pPr>
              <w:jc w:val="both"/>
              <w:rPr>
                <w:rFonts w:ascii="Consolas" w:hAnsi="Consolas" w:cs="Calibri"/>
                <w:color w:val="000000"/>
                <w:sz w:val="22"/>
                <w:szCs w:val="22"/>
              </w:rPr>
            </w:pPr>
          </w:p>
        </w:tc>
        <w:tc>
          <w:tcPr>
            <w:tcW w:w="3172" w:type="pct"/>
            <w:tcBorders>
              <w:bottom w:val="single" w:sz="4" w:space="0" w:color="auto"/>
            </w:tcBorders>
          </w:tcPr>
          <w:p w:rsidR="000C02B4" w:rsidRPr="0014406B" w:rsidRDefault="000C02B4" w:rsidP="00F2718D">
            <w:pPr>
              <w:jc w:val="both"/>
              <w:rPr>
                <w:rFonts w:cs="Calibri"/>
                <w:color w:val="000000"/>
              </w:rPr>
            </w:pPr>
            <w:r w:rsidRPr="0014406B">
              <w:rPr>
                <w:rFonts w:cs="Calibri"/>
                <w:color w:val="000000"/>
              </w:rPr>
              <w:t>=1 if 'rest' fund</w:t>
            </w:r>
          </w:p>
          <w:p w:rsidR="000C02B4" w:rsidRPr="0014406B" w:rsidRDefault="000C02B4" w:rsidP="00F2718D">
            <w:pPr>
              <w:jc w:val="both"/>
              <w:rPr>
                <w:rFonts w:cs="Calibri"/>
                <w:color w:val="000000"/>
              </w:rPr>
            </w:pPr>
          </w:p>
        </w:tc>
      </w:tr>
    </w:tbl>
    <w:p w:rsidR="00621865" w:rsidRDefault="00621865" w:rsidP="00621865">
      <w:pPr>
        <w:pStyle w:val="BodyText"/>
      </w:pPr>
    </w:p>
    <w:p w:rsidR="00D53458" w:rsidRDefault="005E2FF0" w:rsidP="00D53458">
      <w:pPr>
        <w:pStyle w:val="Heading3"/>
        <w:jc w:val="both"/>
      </w:pPr>
      <w:r>
        <w:t>Construction of synthetic data</w:t>
      </w:r>
    </w:p>
    <w:p w:rsidR="0014406B" w:rsidRDefault="0014406B" w:rsidP="0014406B">
      <w:pPr>
        <w:pStyle w:val="BlockText"/>
        <w:jc w:val="both"/>
      </w:pPr>
      <w:r>
        <w:t xml:space="preserve">The following steps are used to create the synthetic data </w:t>
      </w:r>
      <w:r w:rsidR="00D771F0">
        <w:t xml:space="preserve">that appears in the dataset </w:t>
      </w:r>
      <w:r w:rsidR="00D771F0" w:rsidRPr="00625538">
        <w:rPr>
          <w:rFonts w:ascii="Consolas" w:hAnsi="Consolas"/>
          <w:sz w:val="22"/>
          <w:szCs w:val="22"/>
        </w:rPr>
        <w:t>data_monthly.d</w:t>
      </w:r>
      <w:r w:rsidR="00D771F0">
        <w:rPr>
          <w:rFonts w:ascii="Consolas" w:hAnsi="Consolas"/>
          <w:sz w:val="22"/>
          <w:szCs w:val="22"/>
        </w:rPr>
        <w:t>o.</w:t>
      </w:r>
    </w:p>
    <w:p w:rsidR="00D53458" w:rsidRDefault="0014406B" w:rsidP="0014406B">
      <w:pPr>
        <w:pStyle w:val="BlockText"/>
        <w:jc w:val="both"/>
      </w:pPr>
      <w:r w:rsidRPr="0014406B">
        <w:rPr>
          <w:b/>
        </w:rPr>
        <w:t>Step 1</w:t>
      </w:r>
      <w:r>
        <w:t xml:space="preserve">: We drop some observations. First, some participants manage many funds in our sample. In order for these participants not to be identifiable by the number of managed funds in the Morningstar database, for every participant who managed more than eight different funds throughout our sample period, we drop zero to two funds. The number of funds to drop (0, 1, or 2) and the actual funds to be dropped are randomly chosen for each eligible participant. Second, to ensure that participants in the experiment are not identifiable using the dates of fund-changes, for each manager-fund observation we drop monthly observations from the beginning and end of the manager’s tenure at the specific fund. We drop observations from the beginning if (i) the manager’s tenure is longer than 12 months during our sample period and (ii) the first month of tenure is not January </w:t>
      </w:r>
      <w:r>
        <w:lastRenderedPageBreak/>
        <w:t>2008. Similarly, we drop observations from the end if (i) the manager’s tenure is longer than 12 months during our sample period and (ii) the last month of tenure is not December 2019. In all cases the number of monthly observations to drop is a randomly chosen number between 0 and 4.</w:t>
      </w:r>
    </w:p>
    <w:p w:rsidR="0014406B" w:rsidRDefault="0014406B" w:rsidP="0014406B">
      <w:pPr>
        <w:pStyle w:val="BlockText"/>
        <w:jc w:val="both"/>
      </w:pPr>
      <w:r w:rsidRPr="0014406B">
        <w:rPr>
          <w:b/>
        </w:rPr>
        <w:t>Step 2</w:t>
      </w:r>
      <w:r>
        <w:t>: We add randomly generated noise to fund performance related variables, so that the funds themselves are not identif</w:t>
      </w:r>
      <w:r w:rsidR="00F2718D">
        <w:t>i</w:t>
      </w:r>
      <w:r>
        <w:t xml:space="preserve">able. In particular, we add noise to the following variables: </w:t>
      </w:r>
      <w:r w:rsidRPr="00F2718D">
        <w:rPr>
          <w:rFonts w:ascii="Consolas" w:hAnsi="Consolas"/>
          <w:sz w:val="22"/>
          <w:szCs w:val="22"/>
        </w:rPr>
        <w:t xml:space="preserve">ret_gross, </w:t>
      </w:r>
      <w:r w:rsidR="00D771F0">
        <w:rPr>
          <w:rFonts w:ascii="Consolas" w:hAnsi="Consolas"/>
          <w:sz w:val="22"/>
          <w:szCs w:val="22"/>
        </w:rPr>
        <w:t xml:space="preserve">ret_net, </w:t>
      </w:r>
      <w:r w:rsidRPr="00F2718D">
        <w:rPr>
          <w:rFonts w:ascii="Consolas" w:hAnsi="Consolas"/>
          <w:sz w:val="22"/>
          <w:szCs w:val="22"/>
        </w:rPr>
        <w:t xml:space="preserve">ret_abn, </w:t>
      </w:r>
      <w:r w:rsidR="00F2718D" w:rsidRPr="00F2718D">
        <w:rPr>
          <w:rFonts w:ascii="Consolas" w:hAnsi="Consolas"/>
          <w:sz w:val="22"/>
          <w:szCs w:val="22"/>
        </w:rPr>
        <w:t xml:space="preserve">ret_abn_global4, ret_abn_FF_EU, </w:t>
      </w:r>
      <w:r w:rsidR="00D771F0">
        <w:rPr>
          <w:rFonts w:ascii="Consolas" w:hAnsi="Consolas"/>
          <w:sz w:val="22"/>
          <w:szCs w:val="22"/>
        </w:rPr>
        <w:t xml:space="preserve">ER, </w:t>
      </w:r>
      <w:r w:rsidR="00F2718D" w:rsidRPr="00F2718D">
        <w:rPr>
          <w:rFonts w:ascii="Consolas" w:hAnsi="Consolas"/>
          <w:sz w:val="22"/>
          <w:szCs w:val="22"/>
        </w:rPr>
        <w:t>SR, RV, TE, TE_global4, TE_FF_EU</w:t>
      </w:r>
      <w:r w:rsidR="00F2718D">
        <w:t xml:space="preserve">, and </w:t>
      </w:r>
      <w:r w:rsidR="00F2718D" w:rsidRPr="00F2718D">
        <w:rPr>
          <w:rFonts w:ascii="Consolas" w:hAnsi="Consolas"/>
          <w:sz w:val="22"/>
          <w:szCs w:val="22"/>
        </w:rPr>
        <w:t>AUM</w:t>
      </w:r>
      <w:r w:rsidR="00F2718D">
        <w:t xml:space="preserve">. </w:t>
      </w:r>
      <w:r>
        <w:t xml:space="preserve">Let </w:t>
      </w:r>
      <m:oMath>
        <m:sSub>
          <m:sSubPr>
            <m:ctrlPr>
              <w:rPr>
                <w:rFonts w:ascii="Cambria Math" w:hAnsi="Cambria Math"/>
                <w:i/>
              </w:rPr>
            </m:ctrlPr>
          </m:sSubPr>
          <m:e>
            <m:r>
              <w:rPr>
                <w:rFonts w:ascii="Cambria Math" w:hAnsi="Cambria Math"/>
              </w:rPr>
              <m:t>y</m:t>
            </m:r>
          </m:e>
          <m:sub>
            <m:r>
              <w:rPr>
                <w:rFonts w:ascii="Cambria Math" w:hAnsi="Cambria Math"/>
              </w:rPr>
              <m:t>it</m:t>
            </m:r>
          </m:sub>
        </m:sSub>
      </m:oMath>
      <w:r>
        <w:t xml:space="preserve"> denote an observation of one of these variables for fund </w:t>
      </w:r>
      <w:r w:rsidR="00F2718D" w:rsidRPr="00F2718D">
        <w:rPr>
          <w:i/>
        </w:rPr>
        <w:t>i</w:t>
      </w:r>
      <w:r w:rsidR="00F2718D">
        <w:t xml:space="preserve"> </w:t>
      </w:r>
      <w:r>
        <w:t xml:space="preserve">in month </w:t>
      </w:r>
      <w:r w:rsidRPr="00F2718D">
        <w:rPr>
          <w:i/>
        </w:rPr>
        <w:t>t</w:t>
      </w:r>
      <w:r>
        <w:t>. We create</w:t>
      </w:r>
      <w:r w:rsidR="00F2718D">
        <w:br/>
      </w: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y</m:t>
                  </m:r>
                </m:e>
              </m:acc>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it</m:t>
              </m:r>
            </m:sub>
          </m:sSub>
          <m:r>
            <w:rPr>
              <w:rFonts w:ascii="Cambria Math" w:hAnsi="Cambria Math"/>
            </w:rPr>
            <m:t>+c</m:t>
          </m:r>
          <m:sSub>
            <m:sSubPr>
              <m:ctrlPr>
                <w:rPr>
                  <w:rFonts w:ascii="Cambria Math" w:hAnsi="Cambria Math"/>
                  <w:i/>
                </w:rPr>
              </m:ctrlPr>
            </m:sSubPr>
            <m:e>
              <m:r>
                <w:rPr>
                  <w:rFonts w:ascii="Cambria Math" w:hAnsi="Cambria Math"/>
                </w:rPr>
                <m:t>ϵ</m:t>
              </m:r>
            </m:e>
            <m:sub>
              <m:r>
                <w:rPr>
                  <w:rFonts w:ascii="Cambria Math" w:hAnsi="Cambria Math"/>
                </w:rPr>
                <m:t>it</m:t>
              </m:r>
            </m:sub>
          </m:sSub>
          <m:r>
            <w:rPr>
              <w:rFonts w:ascii="Cambria Math" w:hAnsi="Cambria Math"/>
            </w:rPr>
            <m:t xml:space="preserve">        with      </m:t>
          </m:r>
          <m:sSub>
            <m:sSubPr>
              <m:ctrlPr>
                <w:rPr>
                  <w:rFonts w:ascii="Cambria Math" w:hAnsi="Cambria Math"/>
                  <w:i/>
                </w:rPr>
              </m:ctrlPr>
            </m:sSubPr>
            <m:e>
              <m:r>
                <w:rPr>
                  <w:rFonts w:ascii="Cambria Math" w:hAnsi="Cambria Math"/>
                </w:rPr>
                <m:t>ϵ</m:t>
              </m:r>
            </m:e>
            <m:sub>
              <m:r>
                <w:rPr>
                  <w:rFonts w:ascii="Cambria Math" w:hAnsi="Cambria Math"/>
                </w:rPr>
                <m:t>it</m:t>
              </m:r>
            </m:sub>
          </m:sSub>
          <m:r>
            <w:rPr>
              <w:rFonts w:ascii="Cambria Math" w:hAnsi="Cambria Math"/>
            </w:rPr>
            <m:t>~N</m:t>
          </m:r>
          <m:d>
            <m:dPr>
              <m:ctrlPr>
                <w:rPr>
                  <w:rFonts w:ascii="Cambria Math" w:hAnsi="Cambria Math"/>
                  <w:i/>
                </w:rPr>
              </m:ctrlPr>
            </m:dPr>
            <m:e>
              <m:r>
                <w:rPr>
                  <w:rFonts w:ascii="Cambria Math" w:hAnsi="Cambria Math"/>
                </w:rPr>
                <m:t>0,</m:t>
              </m:r>
              <m:sSubSup>
                <m:sSubSupPr>
                  <m:ctrlPr>
                    <w:rPr>
                      <w:rFonts w:ascii="Cambria Math" w:hAnsi="Cambria Math"/>
                      <w:i/>
                    </w:rPr>
                  </m:ctrlPr>
                </m:sSubSupPr>
                <m:e>
                  <m:r>
                    <w:rPr>
                      <w:rFonts w:ascii="Cambria Math" w:hAnsi="Cambria Math"/>
                    </w:rPr>
                    <m:t>σ</m:t>
                  </m:r>
                </m:e>
                <m:sub>
                  <m:r>
                    <w:rPr>
                      <w:rFonts w:ascii="Cambria Math" w:hAnsi="Cambria Math"/>
                    </w:rPr>
                    <m:t>yi</m:t>
                  </m:r>
                </m:sub>
                <m:sup>
                  <m:r>
                    <w:rPr>
                      <w:rFonts w:ascii="Cambria Math" w:hAnsi="Cambria Math"/>
                    </w:rPr>
                    <m:t>2</m:t>
                  </m:r>
                </m:sup>
              </m:sSubSup>
            </m:e>
          </m:d>
          <m:r>
            <w:rPr>
              <w:rFonts w:ascii="Cambria Math" w:hAnsi="Cambria Math"/>
            </w:rPr>
            <m:t>,</m:t>
          </m:r>
        </m:oMath>
      </m:oMathPara>
    </w:p>
    <w:p w:rsidR="0014406B" w:rsidRDefault="0014406B" w:rsidP="0014406B">
      <w:pPr>
        <w:pStyle w:val="BlockText"/>
        <w:jc w:val="both"/>
        <w:rPr>
          <w:rFonts w:eastAsiaTheme="minorEastAsia"/>
        </w:rPr>
      </w:pPr>
      <w:r>
        <w:t xml:space="preserve">where </w:t>
      </w:r>
      <m:oMath>
        <m:sSub>
          <m:sSubPr>
            <m:ctrlPr>
              <w:rPr>
                <w:rFonts w:ascii="Cambria Math" w:hAnsi="Cambria Math"/>
                <w:i/>
              </w:rPr>
            </m:ctrlPr>
          </m:sSubPr>
          <m:e>
            <m:r>
              <w:rPr>
                <w:rFonts w:ascii="Cambria Math" w:hAnsi="Cambria Math"/>
              </w:rPr>
              <m:t>σ</m:t>
            </m:r>
          </m:e>
          <m:sub>
            <m:r>
              <w:rPr>
                <w:rFonts w:ascii="Cambria Math" w:hAnsi="Cambria Math"/>
              </w:rPr>
              <m:t>yi</m:t>
            </m:r>
          </m:sub>
        </m:sSub>
      </m:oMath>
      <w:r>
        <w:t xml:space="preserve"> is the standard deviation of the original variable </w:t>
      </w:r>
      <w:r w:rsidRPr="006530F1">
        <w:rPr>
          <w:i/>
        </w:rPr>
        <w:t>y</w:t>
      </w:r>
      <w:r>
        <w:t xml:space="preserve"> for fund </w:t>
      </w:r>
      <w:r w:rsidRPr="006530F1">
        <w:rPr>
          <w:i/>
        </w:rPr>
        <w:t>i</w:t>
      </w:r>
      <w:r>
        <w:t xml:space="preserve"> in the sample. That is, the</w:t>
      </w:r>
      <w:r w:rsidR="006530F1">
        <w:t xml:space="preserve"> </w:t>
      </w:r>
      <w:r>
        <w:t>variance of the generated noise is fund-specif</w:t>
      </w:r>
      <w:r w:rsidR="006530F1">
        <w:t>i</w:t>
      </w:r>
      <w:r>
        <w:t>c. We use fund-specif</w:t>
      </w:r>
      <w:r w:rsidR="006530F1">
        <w:t>i</w:t>
      </w:r>
      <w:r>
        <w:t>c variance for the generated noise</w:t>
      </w:r>
      <w:r w:rsidR="006530F1">
        <w:t xml:space="preserve"> </w:t>
      </w:r>
      <w:r>
        <w:t>because there are very dif</w:t>
      </w:r>
      <w:r w:rsidR="006530F1">
        <w:t>f</w:t>
      </w:r>
      <w:r>
        <w:t>erent funds in the sample (e.g., f</w:t>
      </w:r>
      <w:r w:rsidR="006530F1">
        <w:t>i</w:t>
      </w:r>
      <w:r>
        <w:t>xed income vs. equity funds), and using</w:t>
      </w:r>
      <w:r w:rsidR="006530F1">
        <w:t xml:space="preserve"> </w:t>
      </w:r>
      <w:r>
        <w:t xml:space="preserve">a common variance would change the structure of the original data too much. Finally, we use </w:t>
      </w:r>
      <m:oMath>
        <m:r>
          <w:rPr>
            <w:rFonts w:ascii="Cambria Math" w:hAnsi="Cambria Math"/>
          </w:rPr>
          <m:t>c=0.62</m:t>
        </m:r>
      </m:oMath>
      <w:r w:rsidR="006530F1">
        <w:rPr>
          <w:rFonts w:eastAsiaTheme="minorEastAsia"/>
        </w:rPr>
        <w:t xml:space="preserve"> because this leads to </w:t>
      </w:r>
      <m:oMath>
        <m:r>
          <w:rPr>
            <w:rFonts w:ascii="Cambria Math" w:eastAsiaTheme="minorEastAsia" w:hAnsi="Cambria Math"/>
          </w:rPr>
          <m:t>Corr</m:t>
        </m:r>
        <m:d>
          <m:dPr>
            <m:ctrlPr>
              <w:rPr>
                <w:rFonts w:ascii="Cambria Math" w:eastAsiaTheme="minorEastAsia"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y</m:t>
                    </m:r>
                  </m:e>
                </m:acc>
              </m:e>
              <m:sub>
                <m:r>
                  <w:rPr>
                    <w:rFonts w:ascii="Cambria Math" w:hAnsi="Cambria Math"/>
                  </w:rPr>
                  <m:t>it</m:t>
                </m:r>
              </m:sub>
            </m:sSub>
            <m:r>
              <w:rPr>
                <w:rFonts w:ascii="Cambria Math" w:eastAsiaTheme="minorEastAsia" w:hAnsi="Cambria Math"/>
              </w:rPr>
              <m:t>,</m:t>
            </m:r>
            <m:sSub>
              <m:sSubPr>
                <m:ctrlPr>
                  <w:rPr>
                    <w:rFonts w:ascii="Cambria Math" w:hAnsi="Cambria Math"/>
                    <w:i/>
                  </w:rPr>
                </m:ctrlPr>
              </m:sSubPr>
              <m:e>
                <m:r>
                  <w:rPr>
                    <w:rFonts w:ascii="Cambria Math" w:hAnsi="Cambria Math"/>
                  </w:rPr>
                  <m:t>y</m:t>
                </m:r>
              </m:e>
              <m:sub>
                <m:r>
                  <w:rPr>
                    <w:rFonts w:ascii="Cambria Math" w:hAnsi="Cambria Math"/>
                  </w:rPr>
                  <m:t>it</m:t>
                </m:r>
              </m:sub>
            </m:sSub>
          </m:e>
        </m:d>
        <m:r>
          <w:rPr>
            <w:rFonts w:ascii="Cambria Math" w:eastAsiaTheme="minorEastAsia" w:hAnsi="Cambria Math"/>
          </w:rPr>
          <m:t>=0.85</m:t>
        </m:r>
      </m:oMath>
      <w:r w:rsidR="006530F1">
        <w:rPr>
          <w:rFonts w:eastAsiaTheme="minorEastAsia"/>
        </w:rPr>
        <w:t>.</w:t>
      </w:r>
    </w:p>
    <w:p w:rsidR="006530F1" w:rsidRPr="006530F1" w:rsidRDefault="006530F1" w:rsidP="006530F1">
      <w:pPr>
        <w:pStyle w:val="BlockText"/>
        <w:jc w:val="both"/>
      </w:pPr>
      <w:r w:rsidRPr="006530F1">
        <w:rPr>
          <w:b/>
        </w:rPr>
        <w:t>Step 3</w:t>
      </w:r>
      <w:r>
        <w:t>: We winsorize the transformed variables from step 2 so that funds with extreme values on any of these variables (e.g., very large funds, or funds with extreme monthly returns) are not identifiable. Generally, we winsorize from below using the 1st percentile, and winsorize from above using the 99</w:t>
      </w:r>
      <w:r w:rsidRPr="006530F1">
        <w:rPr>
          <w:vertAlign w:val="superscript"/>
        </w:rPr>
        <w:t>th</w:t>
      </w:r>
      <w:r>
        <w:t xml:space="preserve"> percentile. There are two exceptions from this rule. First, for </w:t>
      </w:r>
      <w:r w:rsidRPr="006530F1">
        <w:rPr>
          <w:rFonts w:ascii="Consolas" w:hAnsi="Consolas"/>
          <w:sz w:val="22"/>
          <w:szCs w:val="22"/>
        </w:rPr>
        <w:t>AUM</w:t>
      </w:r>
      <w:r>
        <w:t xml:space="preserve"> we use the 10th and 90th percentiles instead, because the possibility of identifying funds in the tails of the size distribution is a particular concern of ours. Second we use the 3rd percentile when winsorizing the </w:t>
      </w:r>
      <w:r w:rsidR="00F44ED1" w:rsidRPr="00F2718D">
        <w:rPr>
          <w:rFonts w:ascii="Consolas" w:hAnsi="Consolas"/>
          <w:sz w:val="22"/>
          <w:szCs w:val="22"/>
        </w:rPr>
        <w:t>TE, TE_global4, TE_FF_EU</w:t>
      </w:r>
      <w:r>
        <w:t xml:space="preserve"> variable</w:t>
      </w:r>
      <w:r w:rsidR="00F44ED1">
        <w:t>s</w:t>
      </w:r>
      <w:r>
        <w:t xml:space="preserve"> from</w:t>
      </w:r>
      <w:r w:rsidR="00F44ED1">
        <w:t xml:space="preserve"> </w:t>
      </w:r>
      <w:r>
        <w:t>below, since the transformed</w:t>
      </w:r>
      <w:r w:rsidR="00F44ED1">
        <w:t xml:space="preserve"> versions of these</w:t>
      </w:r>
      <w:r>
        <w:t xml:space="preserve"> variable</w:t>
      </w:r>
      <w:r w:rsidR="00F44ED1">
        <w:t>s</w:t>
      </w:r>
      <w:r>
        <w:t xml:space="preserve"> (including the random noise term) would have negative</w:t>
      </w:r>
      <w:r w:rsidR="00F44ED1">
        <w:t xml:space="preserve"> </w:t>
      </w:r>
      <w:r>
        <w:t>values otherwise.</w:t>
      </w:r>
    </w:p>
    <w:p w:rsidR="0014406B" w:rsidRDefault="00F44ED1" w:rsidP="00F44ED1">
      <w:pPr>
        <w:pStyle w:val="BlockText"/>
        <w:jc w:val="both"/>
      </w:pPr>
      <w:r w:rsidRPr="00F44ED1">
        <w:rPr>
          <w:b/>
        </w:rPr>
        <w:t>Step 4</w:t>
      </w:r>
      <w:r>
        <w:t>: The rest of the fund performance variables that appear in the replication dataset (</w:t>
      </w:r>
      <w:r w:rsidR="00D771F0" w:rsidRPr="00D771F0">
        <w:rPr>
          <w:rFonts w:ascii="Consolas" w:hAnsi="Consolas"/>
          <w:sz w:val="22"/>
          <w:szCs w:val="22"/>
        </w:rPr>
        <w:t>ret_gross_1, ret_gross_1_neg, ret_gross_1_pos, V, AUM_1, lAUM_1</w:t>
      </w:r>
      <w:r w:rsidR="00D771F0">
        <w:t>)</w:t>
      </w:r>
      <w:r>
        <w:t xml:space="preserve"> are generated from the above variables after the previous steps have been carried out.</w:t>
      </w:r>
    </w:p>
    <w:p w:rsidR="00D771F0" w:rsidRDefault="00D771F0" w:rsidP="00D771F0">
      <w:pPr>
        <w:pStyle w:val="BodyText"/>
      </w:pPr>
    </w:p>
    <w:p w:rsidR="00D771F0" w:rsidRPr="009C290C" w:rsidRDefault="009C290C" w:rsidP="00D771F0">
      <w:pPr>
        <w:pStyle w:val="BodyText"/>
        <w:ind w:left="540"/>
      </w:pPr>
      <w:r>
        <w:t xml:space="preserve">To create the synthetic data contained in the file </w:t>
      </w:r>
      <w:r w:rsidRPr="00625538">
        <w:rPr>
          <w:rFonts w:ascii="Consolas" w:hAnsi="Consolas"/>
          <w:sz w:val="22"/>
          <w:szCs w:val="22"/>
        </w:rPr>
        <w:t>data_halfyearly.dta</w:t>
      </w:r>
      <w:r>
        <w:rPr>
          <w:rFonts w:ascii="Consolas" w:hAnsi="Consolas"/>
          <w:sz w:val="22"/>
          <w:szCs w:val="22"/>
        </w:rPr>
        <w:t>,</w:t>
      </w:r>
      <w:r>
        <w:t xml:space="preserve"> the same steps are carried out as above with the difference that the variables transformed in step 2 are </w:t>
      </w:r>
      <w:r w:rsidRPr="00F2718D">
        <w:rPr>
          <w:rFonts w:ascii="Consolas" w:hAnsi="Consolas"/>
          <w:sz w:val="22"/>
          <w:szCs w:val="22"/>
        </w:rPr>
        <w:t xml:space="preserve">ret_gross, SR, RV, </w:t>
      </w:r>
      <w:r>
        <w:rPr>
          <w:rFonts w:ascii="Consolas" w:hAnsi="Consolas"/>
          <w:sz w:val="22"/>
          <w:szCs w:val="22"/>
        </w:rPr>
        <w:t>RSV, TE,</w:t>
      </w:r>
      <w:r>
        <w:t xml:space="preserve"> and </w:t>
      </w:r>
      <w:r w:rsidRPr="00F2718D">
        <w:rPr>
          <w:rFonts w:ascii="Consolas" w:hAnsi="Consolas"/>
          <w:sz w:val="22"/>
          <w:szCs w:val="22"/>
        </w:rPr>
        <w:t>AUM</w:t>
      </w:r>
      <w:r>
        <w:t>.</w:t>
      </w:r>
    </w:p>
    <w:p w:rsidR="00D771F0" w:rsidRDefault="00D771F0" w:rsidP="00D771F0">
      <w:pPr>
        <w:pStyle w:val="BodyText"/>
        <w:ind w:left="540"/>
        <w:rPr>
          <w:b/>
        </w:rPr>
      </w:pPr>
    </w:p>
    <w:p w:rsidR="005B3DE0" w:rsidRDefault="005B3DE0" w:rsidP="00D771F0">
      <w:pPr>
        <w:pStyle w:val="BodyText"/>
        <w:ind w:left="540"/>
        <w:rPr>
          <w:b/>
        </w:rPr>
      </w:pPr>
    </w:p>
    <w:p w:rsidR="005B3DE0" w:rsidRPr="00D771F0" w:rsidRDefault="005B3DE0" w:rsidP="00D771F0">
      <w:pPr>
        <w:pStyle w:val="BodyText"/>
        <w:ind w:left="540"/>
        <w:rPr>
          <w:b/>
        </w:rPr>
      </w:pPr>
    </w:p>
    <w:p w:rsidR="00065B00" w:rsidRDefault="00987AB0" w:rsidP="00DD0EA6">
      <w:pPr>
        <w:pStyle w:val="Heading2"/>
        <w:jc w:val="both"/>
      </w:pPr>
      <w:r>
        <w:lastRenderedPageBreak/>
        <w:t>Computational requirements</w:t>
      </w:r>
      <w:bookmarkEnd w:id="5"/>
    </w:p>
    <w:p w:rsidR="00065B00" w:rsidRDefault="00987AB0" w:rsidP="00DD0EA6">
      <w:pPr>
        <w:pStyle w:val="Heading3"/>
        <w:jc w:val="both"/>
      </w:pPr>
      <w:bookmarkStart w:id="6" w:name="software-requirements"/>
      <w:r>
        <w:t>Software Requirements</w:t>
      </w:r>
      <w:bookmarkEnd w:id="6"/>
    </w:p>
    <w:p w:rsidR="00065B00" w:rsidRDefault="00987AB0" w:rsidP="00DD0EA6">
      <w:pPr>
        <w:numPr>
          <w:ilvl w:val="0"/>
          <w:numId w:val="6"/>
        </w:numPr>
        <w:jc w:val="both"/>
      </w:pPr>
      <w:r>
        <w:t xml:space="preserve">Stata (code was last run with version </w:t>
      </w:r>
      <w:r w:rsidR="002354E3">
        <w:t>SE 16.1</w:t>
      </w:r>
      <w:r>
        <w:t>)</w:t>
      </w:r>
      <w:r w:rsidR="00AB5B45">
        <w:t>. Packages used:</w:t>
      </w:r>
    </w:p>
    <w:p w:rsidR="00065B00" w:rsidRDefault="00850D0D" w:rsidP="00DD0EA6">
      <w:pPr>
        <w:numPr>
          <w:ilvl w:val="1"/>
          <w:numId w:val="7"/>
        </w:numPr>
        <w:jc w:val="both"/>
      </w:pPr>
      <w:r>
        <w:rPr>
          <w:rStyle w:val="VerbatimChar"/>
        </w:rPr>
        <w:t>outreg2</w:t>
      </w:r>
    </w:p>
    <w:p w:rsidR="00065B00" w:rsidRDefault="00AB5B45" w:rsidP="00DD0EA6">
      <w:pPr>
        <w:numPr>
          <w:ilvl w:val="1"/>
          <w:numId w:val="7"/>
        </w:numPr>
        <w:jc w:val="both"/>
      </w:pPr>
      <w:r>
        <w:t>tab2docx</w:t>
      </w:r>
    </w:p>
    <w:p w:rsidR="00065B00" w:rsidRDefault="00264AB0" w:rsidP="005B3DE0">
      <w:pPr>
        <w:ind w:left="540"/>
        <w:jc w:val="both"/>
      </w:pPr>
      <w:r>
        <w:t>T</w:t>
      </w:r>
      <w:r w:rsidR="00987AB0">
        <w:t>he program “</w:t>
      </w:r>
      <w:r w:rsidR="00987AB0">
        <w:rPr>
          <w:rStyle w:val="VerbatimChar"/>
        </w:rPr>
        <w:t>0_</w:t>
      </w:r>
      <w:r w:rsidR="00F24BD2">
        <w:rPr>
          <w:rStyle w:val="VerbatimChar"/>
        </w:rPr>
        <w:t>main</w:t>
      </w:r>
      <w:r w:rsidR="00987AB0">
        <w:rPr>
          <w:rStyle w:val="VerbatimChar"/>
        </w:rPr>
        <w:t>.do</w:t>
      </w:r>
      <w:r w:rsidR="00987AB0">
        <w:t xml:space="preserve">” will </w:t>
      </w:r>
      <w:r w:rsidR="00F24BD2">
        <w:t xml:space="preserve">start by checking if the above packages are </w:t>
      </w:r>
      <w:r w:rsidR="00987AB0">
        <w:t>install</w:t>
      </w:r>
      <w:r w:rsidR="00F24BD2">
        <w:t>ed, and will install them if needed.</w:t>
      </w:r>
    </w:p>
    <w:p w:rsidR="00065B00" w:rsidRDefault="00987AB0" w:rsidP="00DD0EA6">
      <w:pPr>
        <w:pStyle w:val="Heading3"/>
        <w:jc w:val="both"/>
      </w:pPr>
      <w:bookmarkStart w:id="7" w:name="memory-and-runtime-requirements"/>
      <w:r>
        <w:t>Memory and Runtime Requirements</w:t>
      </w:r>
      <w:bookmarkEnd w:id="7"/>
    </w:p>
    <w:p w:rsidR="00065B00" w:rsidRDefault="00987AB0" w:rsidP="00DD0EA6">
      <w:pPr>
        <w:pStyle w:val="Heading4"/>
        <w:jc w:val="both"/>
      </w:pPr>
      <w:bookmarkStart w:id="8" w:name="summary"/>
      <w:r>
        <w:t>Summary</w:t>
      </w:r>
      <w:bookmarkEnd w:id="8"/>
    </w:p>
    <w:p w:rsidR="00065B00" w:rsidRDefault="00987AB0" w:rsidP="00DD0EA6">
      <w:pPr>
        <w:pStyle w:val="FirstParagraph"/>
        <w:jc w:val="both"/>
      </w:pPr>
      <w:r>
        <w:t xml:space="preserve">Approximate time needed to reproduce the analyses on a standard </w:t>
      </w:r>
      <w:r w:rsidR="00454EBE">
        <w:t>2021</w:t>
      </w:r>
      <w:r>
        <w:t xml:space="preserve"> desktop machine</w:t>
      </w:r>
      <w:r w:rsidR="001F65D3">
        <w:t xml:space="preserve"> is less than 10 minutes.</w:t>
      </w:r>
    </w:p>
    <w:p w:rsidR="00065B00" w:rsidRDefault="00987AB0" w:rsidP="00DD0EA6">
      <w:pPr>
        <w:pStyle w:val="Heading4"/>
        <w:jc w:val="both"/>
      </w:pPr>
      <w:bookmarkStart w:id="9" w:name="details"/>
      <w:r>
        <w:t>Details</w:t>
      </w:r>
      <w:bookmarkEnd w:id="9"/>
    </w:p>
    <w:p w:rsidR="00065B00" w:rsidRDefault="00987AB0" w:rsidP="00DD0EA6">
      <w:pPr>
        <w:pStyle w:val="FirstParagraph"/>
        <w:jc w:val="both"/>
      </w:pPr>
      <w:r>
        <w:t xml:space="preserve">The code was last run on a </w:t>
      </w:r>
      <w:r w:rsidRPr="001F65D3">
        <w:t>4-core Intel-based</w:t>
      </w:r>
      <w:r w:rsidR="001F65D3">
        <w:t xml:space="preserve"> (i7)</w:t>
      </w:r>
      <w:r w:rsidRPr="001F65D3">
        <w:t xml:space="preserve"> </w:t>
      </w:r>
      <w:r w:rsidR="001F65D3">
        <w:t>desktop computer with 32GB RAM and Windows 10 operating system</w:t>
      </w:r>
      <w:r w:rsidRPr="001F65D3">
        <w:t>.</w:t>
      </w:r>
    </w:p>
    <w:p w:rsidR="00065B00" w:rsidRDefault="00987AB0" w:rsidP="00DD0EA6">
      <w:pPr>
        <w:pStyle w:val="Heading2"/>
        <w:jc w:val="both"/>
      </w:pPr>
      <w:bookmarkStart w:id="10" w:name="description-of-programscode"/>
      <w:r>
        <w:t>Description of programs/code</w:t>
      </w:r>
      <w:bookmarkEnd w:id="10"/>
    </w:p>
    <w:p w:rsidR="00065B00" w:rsidRDefault="00987AB0" w:rsidP="00DD0EA6">
      <w:pPr>
        <w:pStyle w:val="BlockText"/>
        <w:jc w:val="both"/>
      </w:pPr>
      <w:r>
        <w:t>INSTRUCTIONS: Give a high-level overview of the program files and their purpose. Remove redundant/ obsolete files from the Replication archive.</w:t>
      </w:r>
    </w:p>
    <w:p w:rsidR="00065B00" w:rsidRDefault="00987AB0" w:rsidP="00DD0EA6">
      <w:pPr>
        <w:numPr>
          <w:ilvl w:val="0"/>
          <w:numId w:val="13"/>
        </w:numPr>
        <w:jc w:val="both"/>
      </w:pPr>
      <w:r>
        <w:t xml:space="preserve">Programs in </w:t>
      </w:r>
      <w:r>
        <w:rPr>
          <w:rStyle w:val="VerbatimChar"/>
        </w:rPr>
        <w:t>programs/01_dataprep</w:t>
      </w:r>
      <w:r>
        <w:t xml:space="preserve"> will extract and reformat all datasets referenced above. The file </w:t>
      </w:r>
      <w:r>
        <w:rPr>
          <w:rStyle w:val="VerbatimChar"/>
        </w:rPr>
        <w:t>programs/01_dataprep/main.do</w:t>
      </w:r>
      <w:r>
        <w:t xml:space="preserve"> will run them all.</w:t>
      </w:r>
    </w:p>
    <w:p w:rsidR="00065B00" w:rsidRDefault="00987AB0" w:rsidP="00DD0EA6">
      <w:pPr>
        <w:numPr>
          <w:ilvl w:val="0"/>
          <w:numId w:val="13"/>
        </w:numPr>
        <w:jc w:val="both"/>
      </w:pPr>
      <w:r>
        <w:t xml:space="preserve">Programs in </w:t>
      </w:r>
      <w:r>
        <w:rPr>
          <w:rStyle w:val="VerbatimChar"/>
        </w:rPr>
        <w:t>programs/02_analysis</w:t>
      </w:r>
      <w:r>
        <w:t xml:space="preserve"> generate all tables and figures in the main body of the article. The program </w:t>
      </w:r>
      <w:r>
        <w:rPr>
          <w:rStyle w:val="VerbatimChar"/>
        </w:rPr>
        <w:t>programs/02_analysis/main.do</w:t>
      </w:r>
      <w:r>
        <w:t xml:space="preserve"> will run them all. Each program called from </w:t>
      </w:r>
      <w:r>
        <w:rPr>
          <w:rStyle w:val="VerbatimChar"/>
        </w:rPr>
        <w:t>main.do</w:t>
      </w:r>
      <w:r>
        <w:t xml:space="preserve"> identifies the table or figure it creates (e.g., </w:t>
      </w:r>
      <w:r>
        <w:rPr>
          <w:rStyle w:val="VerbatimChar"/>
        </w:rPr>
        <w:t>05_table5.do</w:t>
      </w:r>
      <w:r>
        <w:t>). Output files are called appropriate names (</w:t>
      </w:r>
      <w:r>
        <w:rPr>
          <w:rStyle w:val="VerbatimChar"/>
        </w:rPr>
        <w:t>table5.tex</w:t>
      </w:r>
      <w:r>
        <w:t xml:space="preserve">, </w:t>
      </w:r>
      <w:r>
        <w:rPr>
          <w:rStyle w:val="VerbatimChar"/>
        </w:rPr>
        <w:t>figure12.png</w:t>
      </w:r>
      <w:r>
        <w:t>) and should be easy to correlate with the manuscript.</w:t>
      </w:r>
    </w:p>
    <w:p w:rsidR="00065B00" w:rsidRDefault="00987AB0" w:rsidP="00DD0EA6">
      <w:pPr>
        <w:numPr>
          <w:ilvl w:val="0"/>
          <w:numId w:val="13"/>
        </w:numPr>
        <w:jc w:val="both"/>
      </w:pPr>
      <w:r>
        <w:t xml:space="preserve">Programs in </w:t>
      </w:r>
      <w:r>
        <w:rPr>
          <w:rStyle w:val="VerbatimChar"/>
        </w:rPr>
        <w:t>programs/03_appendix</w:t>
      </w:r>
      <w:r>
        <w:t xml:space="preserve"> will generate all tables and figures in the online appendix. The program </w:t>
      </w:r>
      <w:r>
        <w:rPr>
          <w:rStyle w:val="VerbatimChar"/>
        </w:rPr>
        <w:t>programs/03_appendix/main-appendix.do</w:t>
      </w:r>
      <w:r>
        <w:t xml:space="preserve"> will run them all.</w:t>
      </w:r>
    </w:p>
    <w:p w:rsidR="00065B00" w:rsidRDefault="00987AB0" w:rsidP="00DD0EA6">
      <w:pPr>
        <w:numPr>
          <w:ilvl w:val="0"/>
          <w:numId w:val="13"/>
        </w:numPr>
        <w:jc w:val="both"/>
      </w:pPr>
      <w:r>
        <w:t xml:space="preserve">Ado files have been stored in </w:t>
      </w:r>
      <w:r>
        <w:rPr>
          <w:rStyle w:val="VerbatimChar"/>
        </w:rPr>
        <w:t>programs/ado</w:t>
      </w:r>
      <w:r>
        <w:t xml:space="preserve"> and the </w:t>
      </w:r>
      <w:r>
        <w:rPr>
          <w:rStyle w:val="VerbatimChar"/>
        </w:rPr>
        <w:t>main.do</w:t>
      </w:r>
      <w:r>
        <w:t xml:space="preserve"> files set the ADO directories appropriately.</w:t>
      </w:r>
    </w:p>
    <w:p w:rsidR="00065B00" w:rsidRDefault="00987AB0" w:rsidP="00DD0EA6">
      <w:pPr>
        <w:numPr>
          <w:ilvl w:val="0"/>
          <w:numId w:val="13"/>
        </w:numPr>
        <w:jc w:val="both"/>
      </w:pPr>
      <w:r>
        <w:t xml:space="preserve">The program </w:t>
      </w:r>
      <w:r>
        <w:rPr>
          <w:rStyle w:val="VerbatimChar"/>
        </w:rPr>
        <w:t>programs/00_setup.do</w:t>
      </w:r>
      <w:r>
        <w:t xml:space="preserve"> will populate the </w:t>
      </w:r>
      <w:r>
        <w:rPr>
          <w:rStyle w:val="VerbatimChar"/>
        </w:rPr>
        <w:t>programs/ado</w:t>
      </w:r>
      <w:r>
        <w:t xml:space="preserve"> directory with updated ado packages, but for purposes of exact reproduction, this is not needed. The file </w:t>
      </w:r>
      <w:r>
        <w:rPr>
          <w:rStyle w:val="VerbatimChar"/>
        </w:rPr>
        <w:t>programs/00_setup.log</w:t>
      </w:r>
      <w:r>
        <w:t xml:space="preserve"> identifies the versions as they were last updated.</w:t>
      </w:r>
    </w:p>
    <w:p w:rsidR="00065B00" w:rsidRDefault="00987AB0" w:rsidP="00DD0EA6">
      <w:pPr>
        <w:numPr>
          <w:ilvl w:val="0"/>
          <w:numId w:val="13"/>
        </w:numPr>
        <w:jc w:val="both"/>
      </w:pPr>
      <w:r>
        <w:t xml:space="preserve">The program </w:t>
      </w:r>
      <w:r>
        <w:rPr>
          <w:rStyle w:val="VerbatimChar"/>
        </w:rPr>
        <w:t>programs/config.do</w:t>
      </w:r>
      <w:r>
        <w:t xml:space="preserve"> contains parameters used by all programs, including a random seed. Note that the random seed is set once for each of the two </w:t>
      </w:r>
      <w:r>
        <w:lastRenderedPageBreak/>
        <w:t xml:space="preserve">sequences (in </w:t>
      </w:r>
      <w:r>
        <w:rPr>
          <w:rStyle w:val="VerbatimChar"/>
        </w:rPr>
        <w:t>02_analysis</w:t>
      </w:r>
      <w:r>
        <w:t xml:space="preserve"> and </w:t>
      </w:r>
      <w:r>
        <w:rPr>
          <w:rStyle w:val="VerbatimChar"/>
        </w:rPr>
        <w:t>03_appendix</w:t>
      </w:r>
      <w:r>
        <w:t>). If running in any order other than the one outlined below, your results may differ.</w:t>
      </w:r>
    </w:p>
    <w:p w:rsidR="00065B00" w:rsidRDefault="00987AB0" w:rsidP="00DD0EA6">
      <w:pPr>
        <w:pStyle w:val="Heading3"/>
        <w:jc w:val="both"/>
      </w:pPr>
      <w:bookmarkStart w:id="11" w:name="details-1"/>
      <w:bookmarkStart w:id="12" w:name="_GoBack"/>
      <w:bookmarkEnd w:id="12"/>
      <w:r>
        <w:t>Details</w:t>
      </w:r>
      <w:bookmarkEnd w:id="11"/>
    </w:p>
    <w:p w:rsidR="00065B00" w:rsidRDefault="00987AB0" w:rsidP="00DD0EA6">
      <w:pPr>
        <w:numPr>
          <w:ilvl w:val="0"/>
          <w:numId w:val="15"/>
        </w:numPr>
        <w:jc w:val="both"/>
      </w:pPr>
      <w:r>
        <w:rPr>
          <w:rStyle w:val="VerbatimChar"/>
        </w:rPr>
        <w:t>programs/00_setup.do</w:t>
      </w:r>
      <w:r>
        <w:t>: will create all output directories, install needed ado packages.</w:t>
      </w:r>
    </w:p>
    <w:p w:rsidR="00065B00" w:rsidRDefault="00987AB0" w:rsidP="00DD0EA6">
      <w:pPr>
        <w:numPr>
          <w:ilvl w:val="1"/>
          <w:numId w:val="16"/>
        </w:numPr>
        <w:jc w:val="both"/>
      </w:pPr>
      <w:r>
        <w:t xml:space="preserve">If wishing to update the ado packages used by this archive, change the parameter </w:t>
      </w:r>
      <w:r>
        <w:rPr>
          <w:rStyle w:val="VerbatimChar"/>
        </w:rPr>
        <w:t>update_ado</w:t>
      </w:r>
      <w:r>
        <w:t xml:space="preserve"> to </w:t>
      </w:r>
      <w:r>
        <w:rPr>
          <w:rStyle w:val="VerbatimChar"/>
        </w:rPr>
        <w:t>yes</w:t>
      </w:r>
      <w:r>
        <w:t>. However, this is not needed to successfully reproduce the manuscript tables.</w:t>
      </w:r>
    </w:p>
    <w:p w:rsidR="00065B00" w:rsidRDefault="00987AB0" w:rsidP="00DD0EA6">
      <w:pPr>
        <w:numPr>
          <w:ilvl w:val="0"/>
          <w:numId w:val="15"/>
        </w:numPr>
        <w:jc w:val="both"/>
      </w:pPr>
      <w:r>
        <w:rPr>
          <w:rStyle w:val="VerbatimChar"/>
        </w:rPr>
        <w:t>programs/01_dataprep</w:t>
      </w:r>
      <w:r>
        <w:t>:</w:t>
      </w:r>
    </w:p>
    <w:p w:rsidR="00065B00" w:rsidRDefault="00987AB0" w:rsidP="00DD0EA6">
      <w:pPr>
        <w:numPr>
          <w:ilvl w:val="1"/>
          <w:numId w:val="17"/>
        </w:numPr>
        <w:jc w:val="both"/>
      </w:pPr>
      <w:r>
        <w:t>These programs were last run at various times in 2018.</w:t>
      </w:r>
    </w:p>
    <w:p w:rsidR="00065B00" w:rsidRDefault="00987AB0" w:rsidP="00DD0EA6">
      <w:pPr>
        <w:numPr>
          <w:ilvl w:val="1"/>
          <w:numId w:val="17"/>
        </w:numPr>
        <w:jc w:val="both"/>
      </w:pPr>
      <w:r>
        <w:t>Order does not matter, all programs can be run in parallel, if needed.</w:t>
      </w:r>
    </w:p>
    <w:p w:rsidR="00065B00" w:rsidRDefault="00987AB0" w:rsidP="00DD0EA6">
      <w:pPr>
        <w:numPr>
          <w:ilvl w:val="1"/>
          <w:numId w:val="17"/>
        </w:numPr>
        <w:jc w:val="both"/>
      </w:pPr>
      <w:r>
        <w:t xml:space="preserve">A </w:t>
      </w:r>
      <w:r>
        <w:rPr>
          <w:rStyle w:val="VerbatimChar"/>
        </w:rPr>
        <w:t>programs/01_dataprep/main.do</w:t>
      </w:r>
      <w:r>
        <w:t xml:space="preserve"> will run them all in sequence, which should take about 2 hours.</w:t>
      </w:r>
    </w:p>
    <w:p w:rsidR="00065B00" w:rsidRDefault="00987AB0" w:rsidP="00DD0EA6">
      <w:pPr>
        <w:numPr>
          <w:ilvl w:val="0"/>
          <w:numId w:val="15"/>
        </w:numPr>
        <w:jc w:val="both"/>
      </w:pPr>
      <w:r>
        <w:rPr>
          <w:rStyle w:val="VerbatimChar"/>
        </w:rPr>
        <w:t>programs/02_analysis/main.do</w:t>
      </w:r>
      <w:r>
        <w:t>.</w:t>
      </w:r>
    </w:p>
    <w:p w:rsidR="00065B00" w:rsidRDefault="00987AB0" w:rsidP="00DD0EA6">
      <w:pPr>
        <w:numPr>
          <w:ilvl w:val="1"/>
          <w:numId w:val="18"/>
        </w:numPr>
        <w:jc w:val="both"/>
      </w:pPr>
      <w:r>
        <w:t>If running programs individually, note that ORDER IS IMPORTANT.</w:t>
      </w:r>
    </w:p>
    <w:p w:rsidR="00065B00" w:rsidRDefault="00987AB0" w:rsidP="00DD0EA6">
      <w:pPr>
        <w:numPr>
          <w:ilvl w:val="1"/>
          <w:numId w:val="18"/>
        </w:numPr>
        <w:jc w:val="both"/>
      </w:pPr>
      <w:r>
        <w:t>The programs were last run top to bottom on July 4, 2019.</w:t>
      </w:r>
    </w:p>
    <w:p w:rsidR="00065B00" w:rsidRDefault="00987AB0" w:rsidP="00DD0EA6">
      <w:pPr>
        <w:numPr>
          <w:ilvl w:val="0"/>
          <w:numId w:val="15"/>
        </w:numPr>
        <w:jc w:val="both"/>
      </w:pPr>
      <w:r>
        <w:rPr>
          <w:rStyle w:val="VerbatimChar"/>
        </w:rPr>
        <w:t>programs/03_appendix/main-appendix.do</w:t>
      </w:r>
      <w:r>
        <w:t>. The programs were last run top to bottom on July 4, 2019.</w:t>
      </w:r>
    </w:p>
    <w:p w:rsidR="00065B00" w:rsidRDefault="00987AB0" w:rsidP="00DD0EA6">
      <w:pPr>
        <w:numPr>
          <w:ilvl w:val="0"/>
          <w:numId w:val="15"/>
        </w:numPr>
        <w:jc w:val="both"/>
      </w:pPr>
      <w:r>
        <w:t>Figure 1: The figure can be reproduced using the data provided in the folder “2_data/data_map”, and ArcGIS Desktop (Version 10.7.1) by following these (manual) instructions:</w:t>
      </w:r>
    </w:p>
    <w:p w:rsidR="00065B00" w:rsidRDefault="00987AB0" w:rsidP="00DD0EA6">
      <w:pPr>
        <w:numPr>
          <w:ilvl w:val="1"/>
          <w:numId w:val="19"/>
        </w:numPr>
        <w:jc w:val="both"/>
      </w:pPr>
      <w:r>
        <w:t>Create a new map document in ArcGIS ArcMap, browse to the folder “2_data/data_map” in the “Catalog”, with files “provinceborders.shp”, “lakes.shp”, and “cities.shp”.</w:t>
      </w:r>
    </w:p>
    <w:p w:rsidR="00065B00" w:rsidRDefault="00987AB0" w:rsidP="00DD0EA6">
      <w:pPr>
        <w:numPr>
          <w:ilvl w:val="1"/>
          <w:numId w:val="19"/>
        </w:numPr>
        <w:jc w:val="both"/>
      </w:pPr>
      <w:r>
        <w:t>Drop the files listed above onto the new map, creating three separate layers. Order them with “lakes” in the top layer and “cities” in the bottom layer.</w:t>
      </w:r>
    </w:p>
    <w:p w:rsidR="00065B00" w:rsidRDefault="00987AB0" w:rsidP="00DD0EA6">
      <w:pPr>
        <w:numPr>
          <w:ilvl w:val="1"/>
          <w:numId w:val="19"/>
        </w:numPr>
        <w:jc w:val="both"/>
      </w:pPr>
      <w:r>
        <w:t>Right-click on the cities file, in properties choose the variable “health”… (more details)</w:t>
      </w:r>
    </w:p>
    <w:p w:rsidR="00065B00" w:rsidRDefault="00987AB0" w:rsidP="00DD0EA6">
      <w:pPr>
        <w:pStyle w:val="Heading2"/>
        <w:jc w:val="both"/>
      </w:pPr>
      <w:bookmarkStart w:id="13" w:name="list-of-tables-and-programs"/>
      <w:r>
        <w:t>List of tables and programs</w:t>
      </w:r>
      <w:bookmarkEnd w:id="13"/>
    </w:p>
    <w:p w:rsidR="00065B00" w:rsidRDefault="00A70F35" w:rsidP="00DD0EA6">
      <w:pPr>
        <w:pStyle w:val="FirstParagraph"/>
        <w:jc w:val="both"/>
      </w:pPr>
      <w:r>
        <w:t>The provided code reproduces a</w:t>
      </w:r>
      <w:r w:rsidR="00987AB0">
        <w:t>ll tables and figures in the paper</w:t>
      </w:r>
    </w:p>
    <w:tbl>
      <w:tblPr>
        <w:tblStyle w:val="Table"/>
        <w:tblW w:w="4922" w:type="pct"/>
        <w:tblLook w:val="07E0" w:firstRow="1" w:lastRow="1" w:firstColumn="1" w:lastColumn="1" w:noHBand="1" w:noVBand="1"/>
      </w:tblPr>
      <w:tblGrid>
        <w:gridCol w:w="1458"/>
        <w:gridCol w:w="1620"/>
        <w:gridCol w:w="3241"/>
        <w:gridCol w:w="1350"/>
        <w:gridCol w:w="1758"/>
      </w:tblGrid>
      <w:tr w:rsidR="00083F14" w:rsidTr="001900DD">
        <w:trPr>
          <w:cantSplit/>
          <w:trHeight w:hRule="exact" w:val="360"/>
        </w:trPr>
        <w:tc>
          <w:tcPr>
            <w:tcW w:w="774" w:type="pct"/>
            <w:tcBorders>
              <w:bottom w:val="single" w:sz="0" w:space="0" w:color="auto"/>
            </w:tcBorders>
            <w:vAlign w:val="bottom"/>
          </w:tcPr>
          <w:p w:rsidR="00083F14" w:rsidRDefault="00083F14" w:rsidP="00DD0EA6">
            <w:pPr>
              <w:pStyle w:val="Compact"/>
              <w:jc w:val="both"/>
            </w:pPr>
          </w:p>
        </w:tc>
        <w:tc>
          <w:tcPr>
            <w:tcW w:w="859" w:type="pct"/>
            <w:tcBorders>
              <w:bottom w:val="single" w:sz="0" w:space="0" w:color="auto"/>
            </w:tcBorders>
          </w:tcPr>
          <w:p w:rsidR="00083F14" w:rsidRDefault="00083F14" w:rsidP="00DD0EA6">
            <w:pPr>
              <w:pStyle w:val="Compact"/>
              <w:jc w:val="both"/>
            </w:pPr>
            <w:r>
              <w:t>Data File</w:t>
            </w:r>
            <w:r w:rsidR="001900DD" w:rsidRPr="001900DD">
              <w:rPr>
                <w:vertAlign w:val="superscript"/>
              </w:rPr>
              <w:t>1</w:t>
            </w:r>
          </w:p>
        </w:tc>
        <w:tc>
          <w:tcPr>
            <w:tcW w:w="1719" w:type="pct"/>
            <w:tcBorders>
              <w:bottom w:val="single" w:sz="0" w:space="0" w:color="auto"/>
            </w:tcBorders>
            <w:vAlign w:val="bottom"/>
          </w:tcPr>
          <w:p w:rsidR="00083F14" w:rsidRDefault="00083F14" w:rsidP="00DD0EA6">
            <w:pPr>
              <w:pStyle w:val="Compact"/>
              <w:jc w:val="both"/>
            </w:pPr>
            <w:r>
              <w:t>Program</w:t>
            </w:r>
          </w:p>
        </w:tc>
        <w:tc>
          <w:tcPr>
            <w:tcW w:w="716" w:type="pct"/>
            <w:tcBorders>
              <w:bottom w:val="single" w:sz="0" w:space="0" w:color="auto"/>
            </w:tcBorders>
            <w:vAlign w:val="bottom"/>
          </w:tcPr>
          <w:p w:rsidR="00083F14" w:rsidRDefault="00083F14" w:rsidP="00DD0EA6">
            <w:pPr>
              <w:pStyle w:val="Compact"/>
              <w:jc w:val="both"/>
            </w:pPr>
            <w:r>
              <w:t>Lines</w:t>
            </w:r>
          </w:p>
        </w:tc>
        <w:tc>
          <w:tcPr>
            <w:tcW w:w="933" w:type="pct"/>
            <w:tcBorders>
              <w:bottom w:val="single" w:sz="0" w:space="0" w:color="auto"/>
            </w:tcBorders>
            <w:vAlign w:val="bottom"/>
          </w:tcPr>
          <w:p w:rsidR="00083F14" w:rsidRDefault="00083F14" w:rsidP="00DD0EA6">
            <w:pPr>
              <w:pStyle w:val="Compact"/>
              <w:ind w:right="-705"/>
              <w:jc w:val="both"/>
            </w:pPr>
            <w:r>
              <w:t>Output file</w:t>
            </w:r>
          </w:p>
        </w:tc>
      </w:tr>
      <w:tr w:rsidR="00083F14" w:rsidTr="001900DD">
        <w:trPr>
          <w:cantSplit/>
          <w:trHeight w:hRule="exact" w:val="360"/>
        </w:trPr>
        <w:tc>
          <w:tcPr>
            <w:tcW w:w="774" w:type="pct"/>
          </w:tcPr>
          <w:p w:rsidR="00083F14" w:rsidRDefault="00083F14" w:rsidP="00DD0EA6">
            <w:pPr>
              <w:pStyle w:val="Compact"/>
              <w:jc w:val="both"/>
            </w:pPr>
            <w:r>
              <w:t>Table 1</w:t>
            </w:r>
          </w:p>
        </w:tc>
        <w:tc>
          <w:tcPr>
            <w:tcW w:w="859" w:type="pct"/>
          </w:tcPr>
          <w:p w:rsidR="00083F14" w:rsidRDefault="00083F14" w:rsidP="00DD0EA6">
            <w:pPr>
              <w:pStyle w:val="Compact"/>
              <w:jc w:val="both"/>
            </w:pPr>
          </w:p>
        </w:tc>
        <w:tc>
          <w:tcPr>
            <w:tcW w:w="1719" w:type="pct"/>
          </w:tcPr>
          <w:p w:rsidR="00083F14" w:rsidRDefault="00083F14" w:rsidP="00DD0EA6">
            <w:pPr>
              <w:pStyle w:val="Compact"/>
              <w:jc w:val="both"/>
            </w:pPr>
            <w:r>
              <w:t>n.a. (no data)</w:t>
            </w:r>
          </w:p>
        </w:tc>
        <w:tc>
          <w:tcPr>
            <w:tcW w:w="716" w:type="pct"/>
          </w:tcPr>
          <w:p w:rsidR="00083F14" w:rsidRDefault="00083F14" w:rsidP="00DD0EA6">
            <w:pPr>
              <w:jc w:val="both"/>
            </w:pPr>
          </w:p>
        </w:tc>
        <w:tc>
          <w:tcPr>
            <w:tcW w:w="933" w:type="pct"/>
          </w:tcPr>
          <w:p w:rsidR="00083F14" w:rsidRDefault="00083F14" w:rsidP="00DD0EA6">
            <w:pPr>
              <w:pStyle w:val="Compact"/>
              <w:jc w:val="both"/>
            </w:pPr>
          </w:p>
        </w:tc>
      </w:tr>
      <w:tr w:rsidR="00083F14" w:rsidTr="001900DD">
        <w:trPr>
          <w:cantSplit/>
          <w:trHeight w:hRule="exact" w:val="360"/>
        </w:trPr>
        <w:tc>
          <w:tcPr>
            <w:tcW w:w="774" w:type="pct"/>
          </w:tcPr>
          <w:p w:rsidR="00083F14" w:rsidRDefault="00083F14" w:rsidP="00DD0EA6">
            <w:pPr>
              <w:pStyle w:val="Compact"/>
              <w:jc w:val="both"/>
            </w:pPr>
            <w:r>
              <w:t>Table 2</w:t>
            </w:r>
          </w:p>
        </w:tc>
        <w:tc>
          <w:tcPr>
            <w:tcW w:w="859" w:type="pct"/>
          </w:tcPr>
          <w:p w:rsidR="00083F14" w:rsidRDefault="001900DD" w:rsidP="00DD0EA6">
            <w:pPr>
              <w:pStyle w:val="Compact"/>
              <w:jc w:val="both"/>
            </w:pPr>
            <w:r>
              <w:t>experiment</w:t>
            </w:r>
          </w:p>
        </w:tc>
        <w:tc>
          <w:tcPr>
            <w:tcW w:w="1719" w:type="pct"/>
          </w:tcPr>
          <w:p w:rsidR="00083F14" w:rsidRDefault="00083F14" w:rsidP="00DD0EA6">
            <w:pPr>
              <w:pStyle w:val="Compact"/>
              <w:jc w:val="both"/>
            </w:pPr>
            <w:r>
              <w:t>1_summary_experimental.do</w:t>
            </w:r>
          </w:p>
        </w:tc>
        <w:tc>
          <w:tcPr>
            <w:tcW w:w="716" w:type="pct"/>
          </w:tcPr>
          <w:p w:rsidR="00083F14" w:rsidRDefault="00083F14" w:rsidP="00DD0EA6">
            <w:pPr>
              <w:pStyle w:val="Compact"/>
              <w:jc w:val="both"/>
            </w:pPr>
            <w:r>
              <w:t>7-11</w:t>
            </w:r>
          </w:p>
        </w:tc>
        <w:tc>
          <w:tcPr>
            <w:tcW w:w="933" w:type="pct"/>
          </w:tcPr>
          <w:p w:rsidR="00083F14" w:rsidRDefault="00083F14" w:rsidP="00DD0EA6">
            <w:pPr>
              <w:pStyle w:val="Compact"/>
              <w:jc w:val="both"/>
            </w:pPr>
            <w:r>
              <w:t>Table2.doc</w:t>
            </w:r>
          </w:p>
        </w:tc>
      </w:tr>
      <w:tr w:rsidR="00083F14" w:rsidTr="001900DD">
        <w:trPr>
          <w:cantSplit/>
          <w:trHeight w:hRule="exact" w:val="360"/>
        </w:trPr>
        <w:tc>
          <w:tcPr>
            <w:tcW w:w="774" w:type="pct"/>
          </w:tcPr>
          <w:p w:rsidR="00083F14" w:rsidRDefault="00083F14" w:rsidP="00DD0EA6">
            <w:pPr>
              <w:pStyle w:val="Compact"/>
              <w:jc w:val="both"/>
            </w:pPr>
            <w:r>
              <w:lastRenderedPageBreak/>
              <w:t>Table 3</w:t>
            </w:r>
          </w:p>
        </w:tc>
        <w:tc>
          <w:tcPr>
            <w:tcW w:w="859" w:type="pct"/>
          </w:tcPr>
          <w:p w:rsidR="00083F14" w:rsidRDefault="001900DD" w:rsidP="00DD0EA6">
            <w:pPr>
              <w:pStyle w:val="Compact"/>
              <w:jc w:val="both"/>
            </w:pPr>
            <w:r>
              <w:t>funds*</w:t>
            </w:r>
          </w:p>
        </w:tc>
        <w:tc>
          <w:tcPr>
            <w:tcW w:w="1719" w:type="pct"/>
          </w:tcPr>
          <w:p w:rsidR="00083F14" w:rsidRDefault="00083F14" w:rsidP="00DD0EA6">
            <w:pPr>
              <w:pStyle w:val="Compact"/>
              <w:jc w:val="both"/>
            </w:pPr>
            <w:r>
              <w:t>2_summary_funds2017.do</w:t>
            </w:r>
          </w:p>
        </w:tc>
        <w:tc>
          <w:tcPr>
            <w:tcW w:w="716" w:type="pct"/>
          </w:tcPr>
          <w:p w:rsidR="00083F14" w:rsidRDefault="00083F14" w:rsidP="00DD0EA6">
            <w:pPr>
              <w:pStyle w:val="Compact"/>
              <w:jc w:val="both"/>
            </w:pPr>
            <w:r>
              <w:t>7-149</w:t>
            </w:r>
          </w:p>
        </w:tc>
        <w:tc>
          <w:tcPr>
            <w:tcW w:w="933" w:type="pct"/>
          </w:tcPr>
          <w:p w:rsidR="00083F14" w:rsidRDefault="00083F14" w:rsidP="00DD0EA6">
            <w:pPr>
              <w:pStyle w:val="Compact"/>
              <w:jc w:val="both"/>
            </w:pPr>
            <w:r>
              <w:t>Table3.xlsx</w:t>
            </w:r>
          </w:p>
        </w:tc>
      </w:tr>
      <w:tr w:rsidR="00083F14" w:rsidTr="001900DD">
        <w:trPr>
          <w:cantSplit/>
          <w:trHeight w:hRule="exact" w:val="360"/>
        </w:trPr>
        <w:tc>
          <w:tcPr>
            <w:tcW w:w="774" w:type="pct"/>
          </w:tcPr>
          <w:p w:rsidR="00083F14" w:rsidRDefault="00083F14" w:rsidP="00DD0EA6">
            <w:pPr>
              <w:pStyle w:val="Compact"/>
              <w:jc w:val="both"/>
            </w:pPr>
            <w:r>
              <w:t>Table 4</w:t>
            </w:r>
          </w:p>
        </w:tc>
        <w:tc>
          <w:tcPr>
            <w:tcW w:w="859" w:type="pct"/>
          </w:tcPr>
          <w:p w:rsidR="00083F14" w:rsidRDefault="001900DD" w:rsidP="00DD0EA6">
            <w:pPr>
              <w:pStyle w:val="Compact"/>
              <w:jc w:val="both"/>
            </w:pPr>
            <w:r>
              <w:t>monthly*</w:t>
            </w:r>
          </w:p>
        </w:tc>
        <w:tc>
          <w:tcPr>
            <w:tcW w:w="1719" w:type="pct"/>
          </w:tcPr>
          <w:p w:rsidR="00083F14" w:rsidRDefault="00083F14" w:rsidP="00DD0EA6">
            <w:pPr>
              <w:pStyle w:val="Compact"/>
              <w:jc w:val="both"/>
            </w:pPr>
            <w:r>
              <w:t>3_summary_sample.do</w:t>
            </w:r>
          </w:p>
        </w:tc>
        <w:tc>
          <w:tcPr>
            <w:tcW w:w="716" w:type="pct"/>
          </w:tcPr>
          <w:p w:rsidR="00083F14" w:rsidRDefault="00083F14" w:rsidP="00DD0EA6">
            <w:pPr>
              <w:pStyle w:val="Compact"/>
              <w:jc w:val="both"/>
            </w:pPr>
            <w:r>
              <w:t>63-146</w:t>
            </w:r>
          </w:p>
        </w:tc>
        <w:tc>
          <w:tcPr>
            <w:tcW w:w="933" w:type="pct"/>
          </w:tcPr>
          <w:p w:rsidR="00083F14" w:rsidRDefault="00083F14" w:rsidP="00DD0EA6">
            <w:pPr>
              <w:pStyle w:val="Compact"/>
              <w:jc w:val="both"/>
            </w:pPr>
            <w:r>
              <w:t>Table4_*.doc</w:t>
            </w:r>
          </w:p>
        </w:tc>
      </w:tr>
      <w:tr w:rsidR="00083F14" w:rsidTr="001900DD">
        <w:trPr>
          <w:cantSplit/>
          <w:trHeight w:hRule="exact" w:val="360"/>
        </w:trPr>
        <w:tc>
          <w:tcPr>
            <w:tcW w:w="774" w:type="pct"/>
          </w:tcPr>
          <w:p w:rsidR="00083F14" w:rsidRDefault="00083F14" w:rsidP="00DD0EA6">
            <w:pPr>
              <w:pStyle w:val="Compact"/>
              <w:jc w:val="both"/>
            </w:pPr>
            <w:r>
              <w:t>Table 5</w:t>
            </w:r>
          </w:p>
        </w:tc>
        <w:tc>
          <w:tcPr>
            <w:tcW w:w="859" w:type="pct"/>
          </w:tcPr>
          <w:p w:rsidR="00083F14" w:rsidRDefault="001900DD" w:rsidP="00DD0EA6">
            <w:pPr>
              <w:pStyle w:val="Compact"/>
              <w:jc w:val="both"/>
            </w:pPr>
            <w:r>
              <w:t>monthly*</w:t>
            </w:r>
          </w:p>
        </w:tc>
        <w:tc>
          <w:tcPr>
            <w:tcW w:w="1719" w:type="pct"/>
          </w:tcPr>
          <w:p w:rsidR="00083F14" w:rsidRDefault="00083F14" w:rsidP="00DD0EA6">
            <w:pPr>
              <w:pStyle w:val="Compact"/>
              <w:jc w:val="both"/>
            </w:pPr>
            <w:r>
              <w:t>4_regression_monthly.do</w:t>
            </w:r>
          </w:p>
        </w:tc>
        <w:tc>
          <w:tcPr>
            <w:tcW w:w="716" w:type="pct"/>
          </w:tcPr>
          <w:p w:rsidR="00083F14" w:rsidRDefault="00083F14" w:rsidP="00DD0EA6">
            <w:pPr>
              <w:pStyle w:val="Compact"/>
              <w:jc w:val="both"/>
            </w:pPr>
            <w:r>
              <w:t>11-45</w:t>
            </w:r>
          </w:p>
        </w:tc>
        <w:tc>
          <w:tcPr>
            <w:tcW w:w="933" w:type="pct"/>
          </w:tcPr>
          <w:p w:rsidR="00083F14" w:rsidRDefault="00083F14" w:rsidP="00DD0EA6">
            <w:pPr>
              <w:pStyle w:val="Compact"/>
              <w:jc w:val="both"/>
            </w:pPr>
            <w:r>
              <w:t>Table5.doc</w:t>
            </w:r>
          </w:p>
        </w:tc>
      </w:tr>
      <w:tr w:rsidR="00083F14" w:rsidTr="001900DD">
        <w:trPr>
          <w:cantSplit/>
          <w:trHeight w:hRule="exact" w:val="360"/>
        </w:trPr>
        <w:tc>
          <w:tcPr>
            <w:tcW w:w="774" w:type="pct"/>
          </w:tcPr>
          <w:p w:rsidR="00083F14" w:rsidRDefault="00083F14" w:rsidP="00DD0EA6">
            <w:pPr>
              <w:pStyle w:val="Compact"/>
              <w:jc w:val="both"/>
            </w:pPr>
            <w:r>
              <w:t>Table 6</w:t>
            </w:r>
          </w:p>
        </w:tc>
        <w:tc>
          <w:tcPr>
            <w:tcW w:w="859" w:type="pct"/>
          </w:tcPr>
          <w:p w:rsidR="00083F14" w:rsidRDefault="001900DD" w:rsidP="00DD0EA6">
            <w:pPr>
              <w:pStyle w:val="Compact"/>
              <w:jc w:val="both"/>
            </w:pPr>
            <w:r>
              <w:t>monthly*</w:t>
            </w:r>
          </w:p>
        </w:tc>
        <w:tc>
          <w:tcPr>
            <w:tcW w:w="1719" w:type="pct"/>
          </w:tcPr>
          <w:p w:rsidR="00083F14" w:rsidRDefault="00083F14" w:rsidP="00DD0EA6">
            <w:pPr>
              <w:pStyle w:val="Compact"/>
              <w:jc w:val="both"/>
            </w:pPr>
            <w:r>
              <w:t>4_regression_monthly.do</w:t>
            </w:r>
          </w:p>
        </w:tc>
        <w:tc>
          <w:tcPr>
            <w:tcW w:w="716" w:type="pct"/>
          </w:tcPr>
          <w:p w:rsidR="00083F14" w:rsidRDefault="00083F14" w:rsidP="00DD0EA6">
            <w:pPr>
              <w:jc w:val="both"/>
            </w:pPr>
            <w:r>
              <w:t>49-83</w:t>
            </w:r>
          </w:p>
        </w:tc>
        <w:tc>
          <w:tcPr>
            <w:tcW w:w="933" w:type="pct"/>
          </w:tcPr>
          <w:p w:rsidR="00083F14" w:rsidRDefault="00083F14" w:rsidP="00DD0EA6">
            <w:pPr>
              <w:jc w:val="both"/>
            </w:pPr>
            <w:r>
              <w:t>Table6.doc</w:t>
            </w:r>
          </w:p>
        </w:tc>
      </w:tr>
      <w:tr w:rsidR="001900DD" w:rsidTr="001900DD">
        <w:trPr>
          <w:cantSplit/>
          <w:trHeight w:hRule="exact" w:val="360"/>
        </w:trPr>
        <w:tc>
          <w:tcPr>
            <w:tcW w:w="774" w:type="pct"/>
          </w:tcPr>
          <w:p w:rsidR="001900DD" w:rsidRDefault="001900DD" w:rsidP="001900DD">
            <w:pPr>
              <w:pStyle w:val="Compact"/>
              <w:jc w:val="both"/>
            </w:pPr>
            <w:r>
              <w:t>Table S1</w:t>
            </w:r>
          </w:p>
        </w:tc>
        <w:tc>
          <w:tcPr>
            <w:tcW w:w="859" w:type="pct"/>
          </w:tcPr>
          <w:p w:rsidR="001900DD" w:rsidRDefault="001900DD" w:rsidP="001900DD">
            <w:pPr>
              <w:pStyle w:val="Compact"/>
              <w:jc w:val="both"/>
            </w:pPr>
            <w:r>
              <w:t>experiment</w:t>
            </w:r>
          </w:p>
        </w:tc>
        <w:tc>
          <w:tcPr>
            <w:tcW w:w="1719" w:type="pct"/>
          </w:tcPr>
          <w:p w:rsidR="001900DD" w:rsidRDefault="001900DD" w:rsidP="001900DD">
            <w:pPr>
              <w:pStyle w:val="Compact"/>
              <w:jc w:val="both"/>
            </w:pPr>
            <w:r>
              <w:t>1_summary_experimental.do</w:t>
            </w:r>
          </w:p>
        </w:tc>
        <w:tc>
          <w:tcPr>
            <w:tcW w:w="716" w:type="pct"/>
          </w:tcPr>
          <w:p w:rsidR="001900DD" w:rsidRDefault="001900DD" w:rsidP="001900DD">
            <w:pPr>
              <w:jc w:val="both"/>
            </w:pPr>
            <w:r>
              <w:t>15-55</w:t>
            </w:r>
          </w:p>
        </w:tc>
        <w:tc>
          <w:tcPr>
            <w:tcW w:w="933" w:type="pct"/>
          </w:tcPr>
          <w:p w:rsidR="001900DD" w:rsidRDefault="001900DD" w:rsidP="001900DD">
            <w:pPr>
              <w:jc w:val="both"/>
            </w:pPr>
            <w:r>
              <w:t>TableS1.xlsx</w:t>
            </w:r>
          </w:p>
        </w:tc>
      </w:tr>
      <w:tr w:rsidR="001900DD" w:rsidTr="001900DD">
        <w:trPr>
          <w:cantSplit/>
          <w:trHeight w:hRule="exact" w:val="360"/>
        </w:trPr>
        <w:tc>
          <w:tcPr>
            <w:tcW w:w="774" w:type="pct"/>
          </w:tcPr>
          <w:p w:rsidR="001900DD" w:rsidRDefault="001900DD" w:rsidP="001900DD">
            <w:pPr>
              <w:pStyle w:val="Compact"/>
              <w:jc w:val="both"/>
            </w:pPr>
            <w:r>
              <w:t>Table S2</w:t>
            </w:r>
          </w:p>
        </w:tc>
        <w:tc>
          <w:tcPr>
            <w:tcW w:w="859" w:type="pct"/>
          </w:tcPr>
          <w:p w:rsidR="001900DD" w:rsidRDefault="001900DD" w:rsidP="001900DD">
            <w:pPr>
              <w:pStyle w:val="Compact"/>
              <w:jc w:val="both"/>
            </w:pPr>
            <w:r>
              <w:t>monthly*</w:t>
            </w:r>
          </w:p>
        </w:tc>
        <w:tc>
          <w:tcPr>
            <w:tcW w:w="1719" w:type="pct"/>
          </w:tcPr>
          <w:p w:rsidR="001900DD" w:rsidRDefault="001900DD" w:rsidP="001900DD">
            <w:pPr>
              <w:pStyle w:val="Compact"/>
              <w:jc w:val="both"/>
            </w:pPr>
            <w:r>
              <w:t>3_summary_sample.do</w:t>
            </w:r>
          </w:p>
        </w:tc>
        <w:tc>
          <w:tcPr>
            <w:tcW w:w="716" w:type="pct"/>
          </w:tcPr>
          <w:p w:rsidR="001900DD" w:rsidRDefault="001900DD" w:rsidP="001900DD">
            <w:pPr>
              <w:jc w:val="both"/>
            </w:pPr>
            <w:r>
              <w:t>7-48</w:t>
            </w:r>
          </w:p>
        </w:tc>
        <w:tc>
          <w:tcPr>
            <w:tcW w:w="933" w:type="pct"/>
          </w:tcPr>
          <w:p w:rsidR="001900DD" w:rsidRDefault="001900DD" w:rsidP="001900DD">
            <w:pPr>
              <w:jc w:val="both"/>
            </w:pPr>
            <w:r>
              <w:t>TableS2.xlsx</w:t>
            </w:r>
          </w:p>
        </w:tc>
      </w:tr>
      <w:tr w:rsidR="001900DD" w:rsidTr="001900DD">
        <w:trPr>
          <w:cantSplit/>
          <w:trHeight w:hRule="exact" w:val="360"/>
        </w:trPr>
        <w:tc>
          <w:tcPr>
            <w:tcW w:w="774" w:type="pct"/>
          </w:tcPr>
          <w:p w:rsidR="001900DD" w:rsidRDefault="001900DD" w:rsidP="001900DD">
            <w:pPr>
              <w:pStyle w:val="Compact"/>
              <w:jc w:val="both"/>
            </w:pPr>
            <w:r>
              <w:t>Table S3</w:t>
            </w:r>
          </w:p>
        </w:tc>
        <w:tc>
          <w:tcPr>
            <w:tcW w:w="859" w:type="pct"/>
          </w:tcPr>
          <w:p w:rsidR="001900DD" w:rsidRDefault="001900DD" w:rsidP="001900DD">
            <w:pPr>
              <w:pStyle w:val="Compact"/>
              <w:jc w:val="both"/>
            </w:pPr>
            <w:r>
              <w:t>monthly*</w:t>
            </w:r>
          </w:p>
        </w:tc>
        <w:tc>
          <w:tcPr>
            <w:tcW w:w="1719" w:type="pct"/>
          </w:tcPr>
          <w:p w:rsidR="001900DD" w:rsidRDefault="001900DD" w:rsidP="001900DD">
            <w:pPr>
              <w:pStyle w:val="Compact"/>
              <w:jc w:val="both"/>
            </w:pPr>
            <w:r>
              <w:t>3_summary_sample.do</w:t>
            </w:r>
          </w:p>
        </w:tc>
        <w:tc>
          <w:tcPr>
            <w:tcW w:w="716" w:type="pct"/>
          </w:tcPr>
          <w:p w:rsidR="001900DD" w:rsidRDefault="001900DD" w:rsidP="001900DD">
            <w:pPr>
              <w:jc w:val="both"/>
            </w:pPr>
            <w:r>
              <w:t>53-54</w:t>
            </w:r>
          </w:p>
        </w:tc>
        <w:tc>
          <w:tcPr>
            <w:tcW w:w="933" w:type="pct"/>
          </w:tcPr>
          <w:p w:rsidR="001900DD" w:rsidRDefault="001900DD" w:rsidP="001900DD">
            <w:pPr>
              <w:jc w:val="both"/>
            </w:pPr>
            <w:r>
              <w:t>TableS3.docx</w:t>
            </w:r>
          </w:p>
        </w:tc>
      </w:tr>
      <w:tr w:rsidR="001900DD" w:rsidTr="001900DD">
        <w:trPr>
          <w:cantSplit/>
          <w:trHeight w:hRule="exact" w:val="360"/>
        </w:trPr>
        <w:tc>
          <w:tcPr>
            <w:tcW w:w="774" w:type="pct"/>
          </w:tcPr>
          <w:p w:rsidR="001900DD" w:rsidRDefault="001900DD" w:rsidP="001900DD">
            <w:pPr>
              <w:pStyle w:val="Compact"/>
              <w:jc w:val="both"/>
            </w:pPr>
            <w:r>
              <w:t>Table S4</w:t>
            </w:r>
          </w:p>
        </w:tc>
        <w:tc>
          <w:tcPr>
            <w:tcW w:w="859" w:type="pct"/>
          </w:tcPr>
          <w:p w:rsidR="001900DD" w:rsidRDefault="001900DD" w:rsidP="001900DD">
            <w:pPr>
              <w:pStyle w:val="Compact"/>
              <w:jc w:val="both"/>
            </w:pPr>
            <w:r>
              <w:t>monthly*</w:t>
            </w:r>
          </w:p>
        </w:tc>
        <w:tc>
          <w:tcPr>
            <w:tcW w:w="1719" w:type="pct"/>
          </w:tcPr>
          <w:p w:rsidR="001900DD" w:rsidRDefault="001900DD" w:rsidP="001900DD">
            <w:pPr>
              <w:pStyle w:val="Compact"/>
              <w:jc w:val="both"/>
            </w:pPr>
            <w:r>
              <w:t>3_summary_sample.do</w:t>
            </w:r>
          </w:p>
        </w:tc>
        <w:tc>
          <w:tcPr>
            <w:tcW w:w="716" w:type="pct"/>
          </w:tcPr>
          <w:p w:rsidR="001900DD" w:rsidRDefault="001900DD" w:rsidP="001900DD">
            <w:pPr>
              <w:jc w:val="both"/>
            </w:pPr>
            <w:r>
              <w:t>58-59</w:t>
            </w:r>
          </w:p>
        </w:tc>
        <w:tc>
          <w:tcPr>
            <w:tcW w:w="933" w:type="pct"/>
          </w:tcPr>
          <w:p w:rsidR="001900DD" w:rsidRDefault="001900DD" w:rsidP="001900DD">
            <w:pPr>
              <w:jc w:val="both"/>
            </w:pPr>
            <w:r>
              <w:t>TableS4.docx</w:t>
            </w:r>
          </w:p>
        </w:tc>
      </w:tr>
      <w:tr w:rsidR="001900DD" w:rsidTr="001900DD">
        <w:trPr>
          <w:cantSplit/>
          <w:trHeight w:hRule="exact" w:val="360"/>
        </w:trPr>
        <w:tc>
          <w:tcPr>
            <w:tcW w:w="774" w:type="pct"/>
          </w:tcPr>
          <w:p w:rsidR="001900DD" w:rsidRDefault="001900DD" w:rsidP="001900DD">
            <w:pPr>
              <w:pStyle w:val="Compact"/>
              <w:jc w:val="both"/>
            </w:pPr>
            <w:r>
              <w:t>Table S5</w:t>
            </w:r>
          </w:p>
        </w:tc>
        <w:tc>
          <w:tcPr>
            <w:tcW w:w="859" w:type="pct"/>
          </w:tcPr>
          <w:p w:rsidR="001900DD" w:rsidRDefault="001900DD" w:rsidP="001900DD">
            <w:pPr>
              <w:pStyle w:val="Compact"/>
              <w:jc w:val="both"/>
            </w:pPr>
            <w:r>
              <w:t>monthly*</w:t>
            </w:r>
          </w:p>
        </w:tc>
        <w:tc>
          <w:tcPr>
            <w:tcW w:w="1719" w:type="pct"/>
          </w:tcPr>
          <w:p w:rsidR="001900DD" w:rsidRDefault="001900DD" w:rsidP="001900DD">
            <w:pPr>
              <w:pStyle w:val="Compact"/>
              <w:jc w:val="both"/>
            </w:pPr>
            <w:r>
              <w:t>4_regression_monthly.do</w:t>
            </w:r>
          </w:p>
        </w:tc>
        <w:tc>
          <w:tcPr>
            <w:tcW w:w="716" w:type="pct"/>
          </w:tcPr>
          <w:p w:rsidR="001900DD" w:rsidRDefault="001900DD" w:rsidP="001900DD">
            <w:pPr>
              <w:jc w:val="both"/>
            </w:pPr>
            <w:r>
              <w:t>87-184</w:t>
            </w:r>
          </w:p>
        </w:tc>
        <w:tc>
          <w:tcPr>
            <w:tcW w:w="933" w:type="pct"/>
          </w:tcPr>
          <w:p w:rsidR="001900DD" w:rsidRDefault="001900DD" w:rsidP="001900DD">
            <w:pPr>
              <w:jc w:val="both"/>
            </w:pPr>
            <w:r>
              <w:t>TableS5.xlsx</w:t>
            </w:r>
          </w:p>
        </w:tc>
      </w:tr>
      <w:tr w:rsidR="001900DD" w:rsidTr="001900DD">
        <w:trPr>
          <w:cantSplit/>
          <w:trHeight w:hRule="exact" w:val="360"/>
        </w:trPr>
        <w:tc>
          <w:tcPr>
            <w:tcW w:w="774" w:type="pct"/>
          </w:tcPr>
          <w:p w:rsidR="001900DD" w:rsidRDefault="001900DD" w:rsidP="001900DD">
            <w:pPr>
              <w:pStyle w:val="Compact"/>
              <w:jc w:val="both"/>
            </w:pPr>
            <w:r>
              <w:t>Table S6</w:t>
            </w:r>
          </w:p>
        </w:tc>
        <w:tc>
          <w:tcPr>
            <w:tcW w:w="859" w:type="pct"/>
          </w:tcPr>
          <w:p w:rsidR="001900DD" w:rsidRDefault="001900DD" w:rsidP="001900DD">
            <w:pPr>
              <w:pStyle w:val="Compact"/>
              <w:jc w:val="both"/>
            </w:pPr>
            <w:r>
              <w:t>monthly*</w:t>
            </w:r>
          </w:p>
        </w:tc>
        <w:tc>
          <w:tcPr>
            <w:tcW w:w="1719" w:type="pct"/>
          </w:tcPr>
          <w:p w:rsidR="001900DD" w:rsidRDefault="001900DD" w:rsidP="001900DD">
            <w:pPr>
              <w:pStyle w:val="Compact"/>
              <w:jc w:val="both"/>
            </w:pPr>
            <w:r>
              <w:t>4_regression_monthly.do</w:t>
            </w:r>
          </w:p>
        </w:tc>
        <w:tc>
          <w:tcPr>
            <w:tcW w:w="716" w:type="pct"/>
          </w:tcPr>
          <w:p w:rsidR="001900DD" w:rsidRDefault="001900DD" w:rsidP="001900DD">
            <w:pPr>
              <w:jc w:val="both"/>
            </w:pPr>
            <w:r>
              <w:t>509-636</w:t>
            </w:r>
          </w:p>
        </w:tc>
        <w:tc>
          <w:tcPr>
            <w:tcW w:w="933" w:type="pct"/>
          </w:tcPr>
          <w:p w:rsidR="001900DD" w:rsidRDefault="001900DD" w:rsidP="001900DD">
            <w:pPr>
              <w:jc w:val="both"/>
            </w:pPr>
            <w:r>
              <w:t>TableS6.doc</w:t>
            </w:r>
          </w:p>
        </w:tc>
      </w:tr>
      <w:tr w:rsidR="001900DD" w:rsidTr="001900DD">
        <w:trPr>
          <w:cantSplit/>
          <w:trHeight w:hRule="exact" w:val="360"/>
        </w:trPr>
        <w:tc>
          <w:tcPr>
            <w:tcW w:w="774" w:type="pct"/>
          </w:tcPr>
          <w:p w:rsidR="001900DD" w:rsidRDefault="001900DD" w:rsidP="001900DD">
            <w:pPr>
              <w:pStyle w:val="Compact"/>
              <w:jc w:val="both"/>
            </w:pPr>
            <w:r>
              <w:t>Table S7</w:t>
            </w:r>
          </w:p>
        </w:tc>
        <w:tc>
          <w:tcPr>
            <w:tcW w:w="859" w:type="pct"/>
          </w:tcPr>
          <w:p w:rsidR="001900DD" w:rsidRDefault="001900DD" w:rsidP="001900DD">
            <w:pPr>
              <w:pStyle w:val="Compact"/>
              <w:jc w:val="both"/>
            </w:pPr>
            <w:r>
              <w:t>monthly*</w:t>
            </w:r>
          </w:p>
        </w:tc>
        <w:tc>
          <w:tcPr>
            <w:tcW w:w="1719" w:type="pct"/>
          </w:tcPr>
          <w:p w:rsidR="001900DD" w:rsidRDefault="001900DD" w:rsidP="001900DD">
            <w:pPr>
              <w:pStyle w:val="Compact"/>
              <w:jc w:val="both"/>
            </w:pPr>
            <w:r>
              <w:t>4_regression_monthly.do</w:t>
            </w:r>
          </w:p>
        </w:tc>
        <w:tc>
          <w:tcPr>
            <w:tcW w:w="716" w:type="pct"/>
          </w:tcPr>
          <w:p w:rsidR="001900DD" w:rsidRDefault="001900DD" w:rsidP="001900DD">
            <w:pPr>
              <w:jc w:val="both"/>
            </w:pPr>
            <w:r>
              <w:t>187-211</w:t>
            </w:r>
          </w:p>
        </w:tc>
        <w:tc>
          <w:tcPr>
            <w:tcW w:w="933" w:type="pct"/>
          </w:tcPr>
          <w:p w:rsidR="001900DD" w:rsidRDefault="001900DD" w:rsidP="001900DD">
            <w:pPr>
              <w:jc w:val="both"/>
            </w:pPr>
            <w:r>
              <w:t>TableS7.doc</w:t>
            </w:r>
          </w:p>
        </w:tc>
      </w:tr>
      <w:tr w:rsidR="001900DD" w:rsidTr="001900DD">
        <w:trPr>
          <w:cantSplit/>
          <w:trHeight w:hRule="exact" w:val="360"/>
        </w:trPr>
        <w:tc>
          <w:tcPr>
            <w:tcW w:w="774" w:type="pct"/>
          </w:tcPr>
          <w:p w:rsidR="001900DD" w:rsidRDefault="001900DD" w:rsidP="001900DD">
            <w:pPr>
              <w:pStyle w:val="Compact"/>
              <w:jc w:val="both"/>
            </w:pPr>
            <w:r>
              <w:t>Table S8</w:t>
            </w:r>
          </w:p>
        </w:tc>
        <w:tc>
          <w:tcPr>
            <w:tcW w:w="859" w:type="pct"/>
          </w:tcPr>
          <w:p w:rsidR="001900DD" w:rsidRDefault="001900DD" w:rsidP="001900DD">
            <w:pPr>
              <w:pStyle w:val="Compact"/>
              <w:jc w:val="both"/>
            </w:pPr>
            <w:r>
              <w:t>monthly*</w:t>
            </w:r>
          </w:p>
        </w:tc>
        <w:tc>
          <w:tcPr>
            <w:tcW w:w="1719" w:type="pct"/>
          </w:tcPr>
          <w:p w:rsidR="001900DD" w:rsidRDefault="001900DD" w:rsidP="001900DD">
            <w:pPr>
              <w:pStyle w:val="Compact"/>
              <w:jc w:val="both"/>
            </w:pPr>
            <w:r>
              <w:t>4_regression_monthly.do</w:t>
            </w:r>
          </w:p>
        </w:tc>
        <w:tc>
          <w:tcPr>
            <w:tcW w:w="716" w:type="pct"/>
          </w:tcPr>
          <w:p w:rsidR="001900DD" w:rsidRDefault="001900DD" w:rsidP="001900DD">
            <w:pPr>
              <w:jc w:val="both"/>
            </w:pPr>
            <w:r>
              <w:t>215-430</w:t>
            </w:r>
          </w:p>
        </w:tc>
        <w:tc>
          <w:tcPr>
            <w:tcW w:w="933" w:type="pct"/>
          </w:tcPr>
          <w:p w:rsidR="001900DD" w:rsidRDefault="001900DD" w:rsidP="001900DD">
            <w:pPr>
              <w:jc w:val="both"/>
            </w:pPr>
            <w:r>
              <w:t>TableS8.xlsx</w:t>
            </w:r>
          </w:p>
        </w:tc>
      </w:tr>
      <w:tr w:rsidR="001900DD" w:rsidTr="001900DD">
        <w:trPr>
          <w:cantSplit/>
          <w:trHeight w:hRule="exact" w:val="360"/>
        </w:trPr>
        <w:tc>
          <w:tcPr>
            <w:tcW w:w="774" w:type="pct"/>
          </w:tcPr>
          <w:p w:rsidR="001900DD" w:rsidRDefault="001900DD" w:rsidP="001900DD">
            <w:pPr>
              <w:pStyle w:val="Compact"/>
              <w:jc w:val="both"/>
            </w:pPr>
            <w:r>
              <w:t>Table S9</w:t>
            </w:r>
          </w:p>
        </w:tc>
        <w:tc>
          <w:tcPr>
            <w:tcW w:w="859" w:type="pct"/>
          </w:tcPr>
          <w:p w:rsidR="001900DD" w:rsidRDefault="001900DD" w:rsidP="001900DD">
            <w:pPr>
              <w:pStyle w:val="Compact"/>
              <w:jc w:val="both"/>
            </w:pPr>
            <w:r>
              <w:t>monthly*</w:t>
            </w:r>
          </w:p>
        </w:tc>
        <w:tc>
          <w:tcPr>
            <w:tcW w:w="1719" w:type="pct"/>
          </w:tcPr>
          <w:p w:rsidR="001900DD" w:rsidRDefault="001900DD" w:rsidP="001900DD">
            <w:pPr>
              <w:pStyle w:val="Compact"/>
              <w:jc w:val="both"/>
            </w:pPr>
            <w:r>
              <w:t>4_regression_monthly.do</w:t>
            </w:r>
          </w:p>
        </w:tc>
        <w:tc>
          <w:tcPr>
            <w:tcW w:w="716" w:type="pct"/>
          </w:tcPr>
          <w:p w:rsidR="001900DD" w:rsidRDefault="001900DD" w:rsidP="001900DD">
            <w:pPr>
              <w:jc w:val="both"/>
            </w:pPr>
            <w:r>
              <w:t>434-468</w:t>
            </w:r>
          </w:p>
        </w:tc>
        <w:tc>
          <w:tcPr>
            <w:tcW w:w="933" w:type="pct"/>
          </w:tcPr>
          <w:p w:rsidR="001900DD" w:rsidRDefault="001900DD" w:rsidP="001900DD">
            <w:pPr>
              <w:jc w:val="both"/>
            </w:pPr>
            <w:r>
              <w:t>TableS9.doc</w:t>
            </w:r>
          </w:p>
        </w:tc>
      </w:tr>
      <w:tr w:rsidR="001900DD" w:rsidTr="001900DD">
        <w:trPr>
          <w:cantSplit/>
          <w:trHeight w:hRule="exact" w:val="360"/>
        </w:trPr>
        <w:tc>
          <w:tcPr>
            <w:tcW w:w="774" w:type="pct"/>
          </w:tcPr>
          <w:p w:rsidR="001900DD" w:rsidRDefault="001900DD" w:rsidP="001900DD">
            <w:pPr>
              <w:pStyle w:val="Compact"/>
              <w:jc w:val="both"/>
            </w:pPr>
            <w:r>
              <w:t>Table S10</w:t>
            </w:r>
          </w:p>
        </w:tc>
        <w:tc>
          <w:tcPr>
            <w:tcW w:w="859" w:type="pct"/>
          </w:tcPr>
          <w:p w:rsidR="001900DD" w:rsidRDefault="001900DD" w:rsidP="001900DD">
            <w:pPr>
              <w:pStyle w:val="Compact"/>
              <w:jc w:val="both"/>
            </w:pPr>
            <w:r>
              <w:t>monthly*</w:t>
            </w:r>
          </w:p>
        </w:tc>
        <w:tc>
          <w:tcPr>
            <w:tcW w:w="1719" w:type="pct"/>
          </w:tcPr>
          <w:p w:rsidR="001900DD" w:rsidRDefault="001900DD" w:rsidP="001900DD">
            <w:pPr>
              <w:pStyle w:val="Compact"/>
              <w:jc w:val="both"/>
            </w:pPr>
            <w:r>
              <w:t>4_regression_monthly.do</w:t>
            </w:r>
          </w:p>
        </w:tc>
        <w:tc>
          <w:tcPr>
            <w:tcW w:w="716" w:type="pct"/>
          </w:tcPr>
          <w:p w:rsidR="001900DD" w:rsidRDefault="001900DD" w:rsidP="001900DD">
            <w:pPr>
              <w:jc w:val="both"/>
            </w:pPr>
            <w:r>
              <w:t>472-505</w:t>
            </w:r>
          </w:p>
        </w:tc>
        <w:tc>
          <w:tcPr>
            <w:tcW w:w="933" w:type="pct"/>
          </w:tcPr>
          <w:p w:rsidR="001900DD" w:rsidRDefault="001900DD" w:rsidP="001900DD">
            <w:pPr>
              <w:jc w:val="both"/>
            </w:pPr>
            <w:r>
              <w:t>TableS10.doc</w:t>
            </w:r>
          </w:p>
        </w:tc>
      </w:tr>
      <w:tr w:rsidR="001900DD" w:rsidTr="001900DD">
        <w:trPr>
          <w:cantSplit/>
          <w:trHeight w:hRule="exact" w:val="360"/>
        </w:trPr>
        <w:tc>
          <w:tcPr>
            <w:tcW w:w="774" w:type="pct"/>
          </w:tcPr>
          <w:p w:rsidR="001900DD" w:rsidRDefault="001900DD" w:rsidP="001900DD">
            <w:pPr>
              <w:pStyle w:val="Compact"/>
              <w:jc w:val="both"/>
            </w:pPr>
            <w:r>
              <w:t>Table S11</w:t>
            </w:r>
          </w:p>
        </w:tc>
        <w:tc>
          <w:tcPr>
            <w:tcW w:w="859" w:type="pct"/>
          </w:tcPr>
          <w:p w:rsidR="001900DD" w:rsidRDefault="001900DD" w:rsidP="001900DD">
            <w:pPr>
              <w:pStyle w:val="Compact"/>
              <w:jc w:val="both"/>
            </w:pPr>
            <w:r>
              <w:t>halfyearly*</w:t>
            </w:r>
          </w:p>
        </w:tc>
        <w:tc>
          <w:tcPr>
            <w:tcW w:w="1719" w:type="pct"/>
          </w:tcPr>
          <w:p w:rsidR="001900DD" w:rsidRDefault="001900DD" w:rsidP="001900DD">
            <w:pPr>
              <w:pStyle w:val="Compact"/>
              <w:jc w:val="both"/>
            </w:pPr>
            <w:r>
              <w:t>5_regression_halfyearly.do</w:t>
            </w:r>
          </w:p>
        </w:tc>
        <w:tc>
          <w:tcPr>
            <w:tcW w:w="716" w:type="pct"/>
          </w:tcPr>
          <w:p w:rsidR="001900DD" w:rsidRDefault="001900DD" w:rsidP="001900DD">
            <w:pPr>
              <w:jc w:val="both"/>
            </w:pPr>
            <w:r>
              <w:t>11-37</w:t>
            </w:r>
          </w:p>
        </w:tc>
        <w:tc>
          <w:tcPr>
            <w:tcW w:w="933" w:type="pct"/>
          </w:tcPr>
          <w:p w:rsidR="001900DD" w:rsidRDefault="001900DD" w:rsidP="001900DD">
            <w:pPr>
              <w:jc w:val="both"/>
            </w:pPr>
            <w:r>
              <w:t>TableS11.doc</w:t>
            </w:r>
          </w:p>
        </w:tc>
      </w:tr>
      <w:tr w:rsidR="001900DD" w:rsidTr="001900DD">
        <w:trPr>
          <w:cantSplit/>
          <w:trHeight w:hRule="exact" w:val="360"/>
        </w:trPr>
        <w:tc>
          <w:tcPr>
            <w:tcW w:w="774" w:type="pct"/>
          </w:tcPr>
          <w:p w:rsidR="001900DD" w:rsidRDefault="001900DD" w:rsidP="001900DD">
            <w:pPr>
              <w:pStyle w:val="Compact"/>
              <w:jc w:val="both"/>
            </w:pPr>
            <w:r>
              <w:t>Figure S1</w:t>
            </w:r>
          </w:p>
        </w:tc>
        <w:tc>
          <w:tcPr>
            <w:tcW w:w="859" w:type="pct"/>
          </w:tcPr>
          <w:p w:rsidR="001900DD" w:rsidRDefault="001900DD" w:rsidP="001900DD">
            <w:pPr>
              <w:pStyle w:val="Compact"/>
              <w:jc w:val="both"/>
            </w:pPr>
          </w:p>
        </w:tc>
        <w:tc>
          <w:tcPr>
            <w:tcW w:w="1719" w:type="pct"/>
          </w:tcPr>
          <w:p w:rsidR="001900DD" w:rsidRDefault="001900DD" w:rsidP="001900DD">
            <w:pPr>
              <w:pStyle w:val="Compact"/>
              <w:jc w:val="both"/>
            </w:pPr>
            <w:r>
              <w:t>n.a. (no data)</w:t>
            </w:r>
          </w:p>
        </w:tc>
        <w:tc>
          <w:tcPr>
            <w:tcW w:w="716" w:type="pct"/>
          </w:tcPr>
          <w:p w:rsidR="001900DD" w:rsidRDefault="001900DD" w:rsidP="001900DD">
            <w:pPr>
              <w:jc w:val="both"/>
            </w:pPr>
          </w:p>
        </w:tc>
        <w:tc>
          <w:tcPr>
            <w:tcW w:w="933" w:type="pct"/>
          </w:tcPr>
          <w:p w:rsidR="001900DD" w:rsidRDefault="001900DD" w:rsidP="001900DD">
            <w:pPr>
              <w:jc w:val="both"/>
            </w:pPr>
          </w:p>
        </w:tc>
      </w:tr>
      <w:tr w:rsidR="001900DD" w:rsidTr="001900DD">
        <w:trPr>
          <w:cantSplit/>
          <w:trHeight w:hRule="exact" w:val="360"/>
        </w:trPr>
        <w:tc>
          <w:tcPr>
            <w:tcW w:w="774" w:type="pct"/>
          </w:tcPr>
          <w:p w:rsidR="001900DD" w:rsidRDefault="001900DD" w:rsidP="001900DD">
            <w:pPr>
              <w:pStyle w:val="Compact"/>
              <w:jc w:val="both"/>
            </w:pPr>
            <w:r>
              <w:t>Figure S2</w:t>
            </w:r>
          </w:p>
        </w:tc>
        <w:tc>
          <w:tcPr>
            <w:tcW w:w="859" w:type="pct"/>
          </w:tcPr>
          <w:p w:rsidR="001900DD" w:rsidRDefault="001900DD" w:rsidP="001900DD">
            <w:pPr>
              <w:pStyle w:val="Compact"/>
              <w:jc w:val="both"/>
            </w:pPr>
          </w:p>
        </w:tc>
        <w:tc>
          <w:tcPr>
            <w:tcW w:w="1719" w:type="pct"/>
          </w:tcPr>
          <w:p w:rsidR="001900DD" w:rsidRDefault="001900DD" w:rsidP="001900DD">
            <w:pPr>
              <w:pStyle w:val="Compact"/>
              <w:jc w:val="both"/>
            </w:pPr>
            <w:r>
              <w:t>n.a. (no data)</w:t>
            </w:r>
          </w:p>
        </w:tc>
        <w:tc>
          <w:tcPr>
            <w:tcW w:w="716" w:type="pct"/>
          </w:tcPr>
          <w:p w:rsidR="001900DD" w:rsidRDefault="001900DD" w:rsidP="001900DD">
            <w:pPr>
              <w:jc w:val="both"/>
            </w:pPr>
          </w:p>
        </w:tc>
        <w:tc>
          <w:tcPr>
            <w:tcW w:w="933" w:type="pct"/>
          </w:tcPr>
          <w:p w:rsidR="001900DD" w:rsidRDefault="001900DD" w:rsidP="001900DD">
            <w:pPr>
              <w:pStyle w:val="Compact"/>
              <w:jc w:val="both"/>
            </w:pPr>
          </w:p>
        </w:tc>
      </w:tr>
      <w:tr w:rsidR="001900DD" w:rsidTr="001900DD">
        <w:trPr>
          <w:cantSplit/>
          <w:trHeight w:hRule="exact" w:val="360"/>
        </w:trPr>
        <w:tc>
          <w:tcPr>
            <w:tcW w:w="774" w:type="pct"/>
            <w:tcBorders>
              <w:bottom w:val="single" w:sz="4" w:space="0" w:color="auto"/>
            </w:tcBorders>
          </w:tcPr>
          <w:p w:rsidR="001900DD" w:rsidRDefault="001900DD" w:rsidP="001900DD">
            <w:pPr>
              <w:pStyle w:val="Compact"/>
              <w:jc w:val="both"/>
            </w:pPr>
            <w:r>
              <w:t>Figure S3</w:t>
            </w:r>
          </w:p>
          <w:p w:rsidR="001900DD" w:rsidRPr="00CE506D" w:rsidRDefault="001900DD" w:rsidP="001900DD"/>
          <w:p w:rsidR="001900DD" w:rsidRPr="00CE506D" w:rsidRDefault="001900DD" w:rsidP="001900DD"/>
          <w:p w:rsidR="001900DD" w:rsidRPr="00CE506D" w:rsidRDefault="001900DD" w:rsidP="001900DD">
            <w:pPr>
              <w:jc w:val="center"/>
            </w:pPr>
          </w:p>
        </w:tc>
        <w:tc>
          <w:tcPr>
            <w:tcW w:w="859" w:type="pct"/>
            <w:tcBorders>
              <w:bottom w:val="single" w:sz="4" w:space="0" w:color="auto"/>
            </w:tcBorders>
          </w:tcPr>
          <w:p w:rsidR="001900DD" w:rsidRDefault="001900DD" w:rsidP="001900DD">
            <w:pPr>
              <w:pStyle w:val="Compact"/>
              <w:jc w:val="both"/>
            </w:pPr>
            <w:r>
              <w:t>experiment</w:t>
            </w:r>
          </w:p>
        </w:tc>
        <w:tc>
          <w:tcPr>
            <w:tcW w:w="1719" w:type="pct"/>
            <w:tcBorders>
              <w:bottom w:val="single" w:sz="4" w:space="0" w:color="auto"/>
            </w:tcBorders>
          </w:tcPr>
          <w:p w:rsidR="001900DD" w:rsidRDefault="001900DD" w:rsidP="001900DD">
            <w:pPr>
              <w:pStyle w:val="Compact"/>
              <w:jc w:val="both"/>
            </w:pPr>
            <w:r>
              <w:t>1_summary_experimental.do</w:t>
            </w:r>
          </w:p>
        </w:tc>
        <w:tc>
          <w:tcPr>
            <w:tcW w:w="716" w:type="pct"/>
            <w:tcBorders>
              <w:bottom w:val="single" w:sz="4" w:space="0" w:color="auto"/>
            </w:tcBorders>
          </w:tcPr>
          <w:p w:rsidR="001900DD" w:rsidRDefault="001900DD" w:rsidP="001900DD">
            <w:pPr>
              <w:jc w:val="both"/>
            </w:pPr>
            <w:r>
              <w:t>59-92</w:t>
            </w:r>
          </w:p>
        </w:tc>
        <w:tc>
          <w:tcPr>
            <w:tcW w:w="933" w:type="pct"/>
            <w:tcBorders>
              <w:bottom w:val="single" w:sz="4" w:space="0" w:color="auto"/>
            </w:tcBorders>
          </w:tcPr>
          <w:p w:rsidR="001900DD" w:rsidRDefault="001900DD" w:rsidP="001900DD">
            <w:pPr>
              <w:pStyle w:val="Compact"/>
              <w:jc w:val="both"/>
            </w:pPr>
            <w:r>
              <w:t>FigureS3_*.png</w:t>
            </w:r>
          </w:p>
        </w:tc>
      </w:tr>
    </w:tbl>
    <w:p w:rsidR="001900DD" w:rsidRDefault="001900DD" w:rsidP="001900DD">
      <w:pPr>
        <w:pStyle w:val="BodyText"/>
        <w:spacing w:before="0" w:after="0"/>
        <w:rPr>
          <w:sz w:val="20"/>
          <w:szCs w:val="20"/>
        </w:rPr>
      </w:pPr>
      <w:bookmarkStart w:id="14" w:name="references"/>
      <w:r>
        <w:rPr>
          <w:sz w:val="20"/>
          <w:szCs w:val="20"/>
          <w:vertAlign w:val="superscript"/>
        </w:rPr>
        <w:t xml:space="preserve">1 </w:t>
      </w:r>
      <w:r>
        <w:rPr>
          <w:sz w:val="20"/>
          <w:szCs w:val="20"/>
        </w:rPr>
        <w:t xml:space="preserve">Abbreviations used in the Data File column: “experiment” refers to </w:t>
      </w:r>
      <w:r w:rsidRPr="001900DD">
        <w:rPr>
          <w:sz w:val="20"/>
          <w:szCs w:val="20"/>
        </w:rPr>
        <w:t>data_experimental.dta</w:t>
      </w:r>
      <w:r>
        <w:rPr>
          <w:sz w:val="20"/>
          <w:szCs w:val="20"/>
        </w:rPr>
        <w:t xml:space="preserve">, “funds” refers to </w:t>
      </w:r>
      <w:r w:rsidRPr="001900DD">
        <w:rPr>
          <w:sz w:val="20"/>
          <w:szCs w:val="20"/>
        </w:rPr>
        <w:t>data_funds2017.dta</w:t>
      </w:r>
      <w:r>
        <w:rPr>
          <w:sz w:val="20"/>
          <w:szCs w:val="20"/>
        </w:rPr>
        <w:t xml:space="preserve">, “monthly” refers to </w:t>
      </w:r>
      <w:r w:rsidRPr="001900DD">
        <w:rPr>
          <w:sz w:val="20"/>
          <w:szCs w:val="20"/>
        </w:rPr>
        <w:t>data_monthly.dta</w:t>
      </w:r>
      <w:r>
        <w:rPr>
          <w:sz w:val="20"/>
          <w:szCs w:val="20"/>
        </w:rPr>
        <w:t xml:space="preserve">, and “halfyearly” refers to </w:t>
      </w:r>
      <w:r w:rsidRPr="001900DD">
        <w:rPr>
          <w:sz w:val="20"/>
          <w:szCs w:val="20"/>
        </w:rPr>
        <w:t>data_halfyearly.dta</w:t>
      </w:r>
      <w:r>
        <w:rPr>
          <w:sz w:val="20"/>
          <w:szCs w:val="20"/>
        </w:rPr>
        <w:t>.</w:t>
      </w:r>
    </w:p>
    <w:p w:rsidR="001900DD" w:rsidRPr="001900DD" w:rsidRDefault="001900DD" w:rsidP="0069249C">
      <w:pPr>
        <w:pStyle w:val="BodyText"/>
        <w:rPr>
          <w:sz w:val="20"/>
          <w:szCs w:val="20"/>
        </w:rPr>
      </w:pPr>
      <w:r>
        <w:rPr>
          <w:sz w:val="20"/>
          <w:szCs w:val="20"/>
        </w:rPr>
        <w:t>* indicates that the data is synthetic, i.e</w:t>
      </w:r>
      <w:r w:rsidRPr="0069249C">
        <w:rPr>
          <w:sz w:val="20"/>
          <w:szCs w:val="20"/>
        </w:rPr>
        <w:t>.,</w:t>
      </w:r>
      <w:r w:rsidR="0069249C" w:rsidRPr="0069249C">
        <w:rPr>
          <w:sz w:val="20"/>
          <w:szCs w:val="20"/>
        </w:rPr>
        <w:t xml:space="preserve"> </w:t>
      </w:r>
      <w:r w:rsidR="0069249C" w:rsidRPr="0069249C">
        <w:rPr>
          <w:sz w:val="20"/>
          <w:szCs w:val="20"/>
        </w:rPr>
        <w:t xml:space="preserve">the values generated </w:t>
      </w:r>
      <w:r w:rsidR="0069249C" w:rsidRPr="0069249C">
        <w:rPr>
          <w:sz w:val="20"/>
          <w:szCs w:val="20"/>
        </w:rPr>
        <w:t>via</w:t>
      </w:r>
      <w:r w:rsidR="0069249C" w:rsidRPr="0069249C">
        <w:rPr>
          <w:sz w:val="20"/>
          <w:szCs w:val="20"/>
        </w:rPr>
        <w:t xml:space="preserve"> the</w:t>
      </w:r>
      <w:r w:rsidR="0069249C" w:rsidRPr="0069249C">
        <w:rPr>
          <w:sz w:val="20"/>
          <w:szCs w:val="20"/>
        </w:rPr>
        <w:t xml:space="preserve"> replication package do</w:t>
      </w:r>
      <w:r w:rsidR="0069249C" w:rsidRPr="0069249C">
        <w:rPr>
          <w:sz w:val="20"/>
          <w:szCs w:val="20"/>
        </w:rPr>
        <w:t xml:space="preserve"> not </w:t>
      </w:r>
      <w:r w:rsidR="0069249C" w:rsidRPr="0069249C">
        <w:rPr>
          <w:sz w:val="20"/>
          <w:szCs w:val="20"/>
        </w:rPr>
        <w:t xml:space="preserve">exactly </w:t>
      </w:r>
      <w:r w:rsidR="0069249C" w:rsidRPr="0069249C">
        <w:rPr>
          <w:sz w:val="20"/>
          <w:szCs w:val="20"/>
        </w:rPr>
        <w:t>match th</w:t>
      </w:r>
      <w:r w:rsidR="0069249C" w:rsidRPr="0069249C">
        <w:rPr>
          <w:sz w:val="20"/>
          <w:szCs w:val="20"/>
        </w:rPr>
        <w:t>ose</w:t>
      </w:r>
      <w:r w:rsidR="0069249C" w:rsidRPr="0069249C">
        <w:rPr>
          <w:sz w:val="20"/>
          <w:szCs w:val="20"/>
        </w:rPr>
        <w:t xml:space="preserve"> in the paper.</w:t>
      </w:r>
    </w:p>
    <w:p w:rsidR="00065B00" w:rsidRDefault="00987AB0" w:rsidP="00DD0EA6">
      <w:pPr>
        <w:pStyle w:val="Heading2"/>
        <w:jc w:val="both"/>
      </w:pPr>
      <w:r>
        <w:t>References</w:t>
      </w:r>
      <w:bookmarkEnd w:id="14"/>
    </w:p>
    <w:p w:rsidR="00065B00" w:rsidRDefault="008B2497" w:rsidP="00DD0EA6">
      <w:pPr>
        <w:pStyle w:val="BodyText"/>
        <w:jc w:val="both"/>
      </w:pPr>
      <w:r>
        <w:t xml:space="preserve">Chen, D. L., Schonger, M., &amp; Wickens, C. (2016). oTree: An open-source platform for laboratory, online, and field experiments. </w:t>
      </w:r>
      <w:r w:rsidRPr="008B2497">
        <w:rPr>
          <w:i/>
        </w:rPr>
        <w:t>Journal of Behavioral and Experimental Finance</w:t>
      </w:r>
      <w:r>
        <w:t>, 9, 88–97.</w:t>
      </w:r>
    </w:p>
    <w:sectPr w:rsidR="00065B0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A31" w:rsidRDefault="00F22A31">
      <w:pPr>
        <w:spacing w:after="0"/>
      </w:pPr>
      <w:r>
        <w:separator/>
      </w:r>
    </w:p>
  </w:endnote>
  <w:endnote w:type="continuationSeparator" w:id="0">
    <w:p w:rsidR="00F22A31" w:rsidRDefault="00F22A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546091"/>
      <w:docPartObj>
        <w:docPartGallery w:val="Page Numbers (Bottom of Page)"/>
        <w:docPartUnique/>
      </w:docPartObj>
    </w:sdtPr>
    <w:sdtEndPr/>
    <w:sdtContent>
      <w:p w:rsidR="006B33EE" w:rsidRDefault="006B33EE">
        <w:pPr>
          <w:pStyle w:val="Footer"/>
          <w:jc w:val="center"/>
        </w:pPr>
        <w:r>
          <w:fldChar w:fldCharType="begin"/>
        </w:r>
        <w:r>
          <w:instrText>PAGE   \* MERGEFORMAT</w:instrText>
        </w:r>
        <w:r>
          <w:fldChar w:fldCharType="separate"/>
        </w:r>
        <w:r w:rsidR="00C565F6" w:rsidRPr="00C565F6">
          <w:rPr>
            <w:noProof/>
            <w:lang w:val="sv-SE"/>
          </w:rPr>
          <w:t>8</w:t>
        </w:r>
        <w:r>
          <w:fldChar w:fldCharType="end"/>
        </w:r>
      </w:p>
    </w:sdtContent>
  </w:sdt>
  <w:p w:rsidR="006B33EE" w:rsidRDefault="006B3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A31" w:rsidRDefault="00F22A31">
      <w:r>
        <w:separator/>
      </w:r>
    </w:p>
  </w:footnote>
  <w:footnote w:type="continuationSeparator" w:id="0">
    <w:p w:rsidR="00F22A31" w:rsidRDefault="00F22A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A454B4C"/>
    <w:multiLevelType w:val="multilevel"/>
    <w:tmpl w:val="FF4A6880"/>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01124E0E"/>
    <w:multiLevelType w:val="hybridMultilevel"/>
    <w:tmpl w:val="638A3C86"/>
    <w:lvl w:ilvl="0" w:tplc="041D0001">
      <w:start w:val="1"/>
      <w:numFmt w:val="bullet"/>
      <w:lvlText w:val=""/>
      <w:lvlJc w:val="left"/>
      <w:pPr>
        <w:ind w:left="1200" w:hanging="360"/>
      </w:pPr>
      <w:rPr>
        <w:rFonts w:ascii="Symbol" w:hAnsi="Symbol" w:hint="default"/>
      </w:rPr>
    </w:lvl>
    <w:lvl w:ilvl="1" w:tplc="041D0003" w:tentative="1">
      <w:start w:val="1"/>
      <w:numFmt w:val="bullet"/>
      <w:lvlText w:val="o"/>
      <w:lvlJc w:val="left"/>
      <w:pPr>
        <w:ind w:left="1920" w:hanging="360"/>
      </w:pPr>
      <w:rPr>
        <w:rFonts w:ascii="Courier New" w:hAnsi="Courier New" w:cs="Courier New" w:hint="default"/>
      </w:rPr>
    </w:lvl>
    <w:lvl w:ilvl="2" w:tplc="041D0005" w:tentative="1">
      <w:start w:val="1"/>
      <w:numFmt w:val="bullet"/>
      <w:lvlText w:val=""/>
      <w:lvlJc w:val="left"/>
      <w:pPr>
        <w:ind w:left="2640" w:hanging="360"/>
      </w:pPr>
      <w:rPr>
        <w:rFonts w:ascii="Wingdings" w:hAnsi="Wingdings" w:hint="default"/>
      </w:rPr>
    </w:lvl>
    <w:lvl w:ilvl="3" w:tplc="041D0001" w:tentative="1">
      <w:start w:val="1"/>
      <w:numFmt w:val="bullet"/>
      <w:lvlText w:val=""/>
      <w:lvlJc w:val="left"/>
      <w:pPr>
        <w:ind w:left="3360" w:hanging="360"/>
      </w:pPr>
      <w:rPr>
        <w:rFonts w:ascii="Symbol" w:hAnsi="Symbol" w:hint="default"/>
      </w:rPr>
    </w:lvl>
    <w:lvl w:ilvl="4" w:tplc="041D0003" w:tentative="1">
      <w:start w:val="1"/>
      <w:numFmt w:val="bullet"/>
      <w:lvlText w:val="o"/>
      <w:lvlJc w:val="left"/>
      <w:pPr>
        <w:ind w:left="4080" w:hanging="360"/>
      </w:pPr>
      <w:rPr>
        <w:rFonts w:ascii="Courier New" w:hAnsi="Courier New" w:cs="Courier New" w:hint="default"/>
      </w:rPr>
    </w:lvl>
    <w:lvl w:ilvl="5" w:tplc="041D0005" w:tentative="1">
      <w:start w:val="1"/>
      <w:numFmt w:val="bullet"/>
      <w:lvlText w:val=""/>
      <w:lvlJc w:val="left"/>
      <w:pPr>
        <w:ind w:left="4800" w:hanging="360"/>
      </w:pPr>
      <w:rPr>
        <w:rFonts w:ascii="Wingdings" w:hAnsi="Wingdings" w:hint="default"/>
      </w:rPr>
    </w:lvl>
    <w:lvl w:ilvl="6" w:tplc="041D0001" w:tentative="1">
      <w:start w:val="1"/>
      <w:numFmt w:val="bullet"/>
      <w:lvlText w:val=""/>
      <w:lvlJc w:val="left"/>
      <w:pPr>
        <w:ind w:left="5520" w:hanging="360"/>
      </w:pPr>
      <w:rPr>
        <w:rFonts w:ascii="Symbol" w:hAnsi="Symbol" w:hint="default"/>
      </w:rPr>
    </w:lvl>
    <w:lvl w:ilvl="7" w:tplc="041D0003" w:tentative="1">
      <w:start w:val="1"/>
      <w:numFmt w:val="bullet"/>
      <w:lvlText w:val="o"/>
      <w:lvlJc w:val="left"/>
      <w:pPr>
        <w:ind w:left="6240" w:hanging="360"/>
      </w:pPr>
      <w:rPr>
        <w:rFonts w:ascii="Courier New" w:hAnsi="Courier New" w:cs="Courier New" w:hint="default"/>
      </w:rPr>
    </w:lvl>
    <w:lvl w:ilvl="8" w:tplc="041D0005" w:tentative="1">
      <w:start w:val="1"/>
      <w:numFmt w:val="bullet"/>
      <w:lvlText w:val=""/>
      <w:lvlJc w:val="left"/>
      <w:pPr>
        <w:ind w:left="6960" w:hanging="360"/>
      </w:pPr>
      <w:rPr>
        <w:rFonts w:ascii="Wingdings" w:hAnsi="Wingdings" w:hint="default"/>
      </w:rPr>
    </w:lvl>
  </w:abstractNum>
  <w:abstractNum w:abstractNumId="2" w15:restartNumberingAfterBreak="0">
    <w:nsid w:val="08F126F5"/>
    <w:multiLevelType w:val="hybridMultilevel"/>
    <w:tmpl w:val="8BBC2B9A"/>
    <w:lvl w:ilvl="0" w:tplc="041D0001">
      <w:start w:val="1"/>
      <w:numFmt w:val="bullet"/>
      <w:lvlText w:val=""/>
      <w:lvlJc w:val="left"/>
      <w:pPr>
        <w:ind w:left="1170" w:hanging="360"/>
      </w:pPr>
      <w:rPr>
        <w:rFonts w:ascii="Symbol" w:hAnsi="Symbol" w:hint="default"/>
      </w:rPr>
    </w:lvl>
    <w:lvl w:ilvl="1" w:tplc="041D0003" w:tentative="1">
      <w:start w:val="1"/>
      <w:numFmt w:val="bullet"/>
      <w:lvlText w:val="o"/>
      <w:lvlJc w:val="left"/>
      <w:pPr>
        <w:ind w:left="1890" w:hanging="360"/>
      </w:pPr>
      <w:rPr>
        <w:rFonts w:ascii="Courier New" w:hAnsi="Courier New" w:cs="Courier New" w:hint="default"/>
      </w:rPr>
    </w:lvl>
    <w:lvl w:ilvl="2" w:tplc="041D0005" w:tentative="1">
      <w:start w:val="1"/>
      <w:numFmt w:val="bullet"/>
      <w:lvlText w:val=""/>
      <w:lvlJc w:val="left"/>
      <w:pPr>
        <w:ind w:left="2610" w:hanging="360"/>
      </w:pPr>
      <w:rPr>
        <w:rFonts w:ascii="Wingdings" w:hAnsi="Wingdings" w:hint="default"/>
      </w:rPr>
    </w:lvl>
    <w:lvl w:ilvl="3" w:tplc="041D0001" w:tentative="1">
      <w:start w:val="1"/>
      <w:numFmt w:val="bullet"/>
      <w:lvlText w:val=""/>
      <w:lvlJc w:val="left"/>
      <w:pPr>
        <w:ind w:left="3330" w:hanging="360"/>
      </w:pPr>
      <w:rPr>
        <w:rFonts w:ascii="Symbol" w:hAnsi="Symbol" w:hint="default"/>
      </w:rPr>
    </w:lvl>
    <w:lvl w:ilvl="4" w:tplc="041D0003" w:tentative="1">
      <w:start w:val="1"/>
      <w:numFmt w:val="bullet"/>
      <w:lvlText w:val="o"/>
      <w:lvlJc w:val="left"/>
      <w:pPr>
        <w:ind w:left="4050" w:hanging="360"/>
      </w:pPr>
      <w:rPr>
        <w:rFonts w:ascii="Courier New" w:hAnsi="Courier New" w:cs="Courier New" w:hint="default"/>
      </w:rPr>
    </w:lvl>
    <w:lvl w:ilvl="5" w:tplc="041D0005" w:tentative="1">
      <w:start w:val="1"/>
      <w:numFmt w:val="bullet"/>
      <w:lvlText w:val=""/>
      <w:lvlJc w:val="left"/>
      <w:pPr>
        <w:ind w:left="4770" w:hanging="360"/>
      </w:pPr>
      <w:rPr>
        <w:rFonts w:ascii="Wingdings" w:hAnsi="Wingdings" w:hint="default"/>
      </w:rPr>
    </w:lvl>
    <w:lvl w:ilvl="6" w:tplc="041D0001" w:tentative="1">
      <w:start w:val="1"/>
      <w:numFmt w:val="bullet"/>
      <w:lvlText w:val=""/>
      <w:lvlJc w:val="left"/>
      <w:pPr>
        <w:ind w:left="5490" w:hanging="360"/>
      </w:pPr>
      <w:rPr>
        <w:rFonts w:ascii="Symbol" w:hAnsi="Symbol" w:hint="default"/>
      </w:rPr>
    </w:lvl>
    <w:lvl w:ilvl="7" w:tplc="041D0003" w:tentative="1">
      <w:start w:val="1"/>
      <w:numFmt w:val="bullet"/>
      <w:lvlText w:val="o"/>
      <w:lvlJc w:val="left"/>
      <w:pPr>
        <w:ind w:left="6210" w:hanging="360"/>
      </w:pPr>
      <w:rPr>
        <w:rFonts w:ascii="Courier New" w:hAnsi="Courier New" w:cs="Courier New" w:hint="default"/>
      </w:rPr>
    </w:lvl>
    <w:lvl w:ilvl="8" w:tplc="041D0005" w:tentative="1">
      <w:start w:val="1"/>
      <w:numFmt w:val="bullet"/>
      <w:lvlText w:val=""/>
      <w:lvlJc w:val="left"/>
      <w:pPr>
        <w:ind w:left="6930" w:hanging="360"/>
      </w:pPr>
      <w:rPr>
        <w:rFonts w:ascii="Wingdings" w:hAnsi="Wingdings" w:hint="default"/>
      </w:rPr>
    </w:lvl>
  </w:abstractNum>
  <w:abstractNum w:abstractNumId="3" w15:restartNumberingAfterBreak="0">
    <w:nsid w:val="2C1AE401"/>
    <w:multiLevelType w:val="multilevel"/>
    <w:tmpl w:val="042A2DB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3"/>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0219E5"/>
    <w:rsid w:val="0005266C"/>
    <w:rsid w:val="00065B00"/>
    <w:rsid w:val="00083F14"/>
    <w:rsid w:val="000C02B4"/>
    <w:rsid w:val="000C3693"/>
    <w:rsid w:val="000D43EF"/>
    <w:rsid w:val="000E47A1"/>
    <w:rsid w:val="000F51DE"/>
    <w:rsid w:val="0014406B"/>
    <w:rsid w:val="00144592"/>
    <w:rsid w:val="00156FA1"/>
    <w:rsid w:val="001900DD"/>
    <w:rsid w:val="001E0867"/>
    <w:rsid w:val="001F65D3"/>
    <w:rsid w:val="001F6A93"/>
    <w:rsid w:val="0020759D"/>
    <w:rsid w:val="002354E3"/>
    <w:rsid w:val="00241268"/>
    <w:rsid w:val="00243536"/>
    <w:rsid w:val="00264AB0"/>
    <w:rsid w:val="00277E26"/>
    <w:rsid w:val="0029023B"/>
    <w:rsid w:val="002C6733"/>
    <w:rsid w:val="003216F5"/>
    <w:rsid w:val="003B1C3F"/>
    <w:rsid w:val="003C4208"/>
    <w:rsid w:val="003F1B13"/>
    <w:rsid w:val="004135E7"/>
    <w:rsid w:val="00454EBE"/>
    <w:rsid w:val="00494684"/>
    <w:rsid w:val="004C0FD1"/>
    <w:rsid w:val="004E29B3"/>
    <w:rsid w:val="00511561"/>
    <w:rsid w:val="00520322"/>
    <w:rsid w:val="00575D82"/>
    <w:rsid w:val="00590D07"/>
    <w:rsid w:val="005A7F30"/>
    <w:rsid w:val="005B3DE0"/>
    <w:rsid w:val="005C3596"/>
    <w:rsid w:val="005E2FF0"/>
    <w:rsid w:val="005F2822"/>
    <w:rsid w:val="00615292"/>
    <w:rsid w:val="0062017A"/>
    <w:rsid w:val="00621865"/>
    <w:rsid w:val="00625538"/>
    <w:rsid w:val="0063614A"/>
    <w:rsid w:val="006502CE"/>
    <w:rsid w:val="006530F1"/>
    <w:rsid w:val="0067522A"/>
    <w:rsid w:val="0069249C"/>
    <w:rsid w:val="006B33EE"/>
    <w:rsid w:val="006B53A5"/>
    <w:rsid w:val="006E5FC1"/>
    <w:rsid w:val="00721C52"/>
    <w:rsid w:val="007322E3"/>
    <w:rsid w:val="007526EB"/>
    <w:rsid w:val="00784D58"/>
    <w:rsid w:val="007A2BE6"/>
    <w:rsid w:val="007B0993"/>
    <w:rsid w:val="007C4D3D"/>
    <w:rsid w:val="00850D0D"/>
    <w:rsid w:val="008A64BD"/>
    <w:rsid w:val="008B2497"/>
    <w:rsid w:val="008D6863"/>
    <w:rsid w:val="008E5B44"/>
    <w:rsid w:val="00950190"/>
    <w:rsid w:val="00977A6E"/>
    <w:rsid w:val="00987AB0"/>
    <w:rsid w:val="009C290C"/>
    <w:rsid w:val="009F3667"/>
    <w:rsid w:val="00A26B20"/>
    <w:rsid w:val="00A70F35"/>
    <w:rsid w:val="00AB0E1E"/>
    <w:rsid w:val="00AB2801"/>
    <w:rsid w:val="00AB5B45"/>
    <w:rsid w:val="00AC41A2"/>
    <w:rsid w:val="00AE37A8"/>
    <w:rsid w:val="00B4711F"/>
    <w:rsid w:val="00B8145D"/>
    <w:rsid w:val="00B86B75"/>
    <w:rsid w:val="00BB149F"/>
    <w:rsid w:val="00BC48D5"/>
    <w:rsid w:val="00BC53A1"/>
    <w:rsid w:val="00BE452A"/>
    <w:rsid w:val="00C36279"/>
    <w:rsid w:val="00C41865"/>
    <w:rsid w:val="00C565F6"/>
    <w:rsid w:val="00C60438"/>
    <w:rsid w:val="00C77A36"/>
    <w:rsid w:val="00C9199A"/>
    <w:rsid w:val="00C92B04"/>
    <w:rsid w:val="00CC4DD4"/>
    <w:rsid w:val="00CE506D"/>
    <w:rsid w:val="00D53458"/>
    <w:rsid w:val="00D638FA"/>
    <w:rsid w:val="00D756F3"/>
    <w:rsid w:val="00D771F0"/>
    <w:rsid w:val="00DB2485"/>
    <w:rsid w:val="00DD0EA6"/>
    <w:rsid w:val="00DE37C8"/>
    <w:rsid w:val="00E315A3"/>
    <w:rsid w:val="00F22A31"/>
    <w:rsid w:val="00F24BD2"/>
    <w:rsid w:val="00F2718D"/>
    <w:rsid w:val="00F44ED1"/>
    <w:rsid w:val="00FA3C72"/>
    <w:rsid w:val="00FF6ED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95F4D"/>
  <w15:docId w15:val="{B645166E-8A17-42F7-8B59-BC3318FAC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FollowedHyperlink">
    <w:name w:val="FollowedHyperlink"/>
    <w:basedOn w:val="DefaultParagraphFont"/>
    <w:rsid w:val="00977A6E"/>
    <w:rPr>
      <w:color w:val="800080" w:themeColor="followedHyperlink"/>
      <w:u w:val="single"/>
    </w:rPr>
  </w:style>
  <w:style w:type="table" w:styleId="TableGrid">
    <w:name w:val="Table Grid"/>
    <w:basedOn w:val="TableNormal"/>
    <w:rsid w:val="0062186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semiHidden/>
    <w:rsid w:val="00F2718D"/>
    <w:rPr>
      <w:color w:val="808080"/>
    </w:rPr>
  </w:style>
  <w:style w:type="paragraph" w:styleId="Header">
    <w:name w:val="header"/>
    <w:basedOn w:val="Normal"/>
    <w:link w:val="HeaderChar"/>
    <w:unhideWhenUsed/>
    <w:rsid w:val="00CE506D"/>
    <w:pPr>
      <w:tabs>
        <w:tab w:val="center" w:pos="4513"/>
        <w:tab w:val="right" w:pos="9026"/>
      </w:tabs>
      <w:spacing w:after="0"/>
    </w:pPr>
  </w:style>
  <w:style w:type="character" w:customStyle="1" w:styleId="HeaderChar">
    <w:name w:val="Header Char"/>
    <w:basedOn w:val="DefaultParagraphFont"/>
    <w:link w:val="Header"/>
    <w:rsid w:val="00CE506D"/>
  </w:style>
  <w:style w:type="paragraph" w:styleId="Footer">
    <w:name w:val="footer"/>
    <w:basedOn w:val="Normal"/>
    <w:link w:val="FooterChar"/>
    <w:uiPriority w:val="99"/>
    <w:unhideWhenUsed/>
    <w:rsid w:val="00CE506D"/>
    <w:pPr>
      <w:tabs>
        <w:tab w:val="center" w:pos="4513"/>
        <w:tab w:val="right" w:pos="9026"/>
      </w:tabs>
      <w:spacing w:after="0"/>
    </w:pPr>
  </w:style>
  <w:style w:type="character" w:customStyle="1" w:styleId="FooterChar">
    <w:name w:val="Footer Char"/>
    <w:basedOn w:val="DefaultParagraphFont"/>
    <w:link w:val="Footer"/>
    <w:uiPriority w:val="99"/>
    <w:rsid w:val="00CE5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451">
      <w:bodyDiv w:val="1"/>
      <w:marLeft w:val="0"/>
      <w:marRight w:val="0"/>
      <w:marTop w:val="0"/>
      <w:marBottom w:val="0"/>
      <w:divBdr>
        <w:top w:val="none" w:sz="0" w:space="0" w:color="auto"/>
        <w:left w:val="none" w:sz="0" w:space="0" w:color="auto"/>
        <w:bottom w:val="none" w:sz="0" w:space="0" w:color="auto"/>
        <w:right w:val="none" w:sz="0" w:space="0" w:color="auto"/>
      </w:divBdr>
    </w:div>
    <w:div w:id="20013566">
      <w:bodyDiv w:val="1"/>
      <w:marLeft w:val="0"/>
      <w:marRight w:val="0"/>
      <w:marTop w:val="0"/>
      <w:marBottom w:val="0"/>
      <w:divBdr>
        <w:top w:val="none" w:sz="0" w:space="0" w:color="auto"/>
        <w:left w:val="none" w:sz="0" w:space="0" w:color="auto"/>
        <w:bottom w:val="none" w:sz="0" w:space="0" w:color="auto"/>
        <w:right w:val="none" w:sz="0" w:space="0" w:color="auto"/>
      </w:divBdr>
    </w:div>
    <w:div w:id="39865440">
      <w:bodyDiv w:val="1"/>
      <w:marLeft w:val="0"/>
      <w:marRight w:val="0"/>
      <w:marTop w:val="0"/>
      <w:marBottom w:val="0"/>
      <w:divBdr>
        <w:top w:val="none" w:sz="0" w:space="0" w:color="auto"/>
        <w:left w:val="none" w:sz="0" w:space="0" w:color="auto"/>
        <w:bottom w:val="none" w:sz="0" w:space="0" w:color="auto"/>
        <w:right w:val="none" w:sz="0" w:space="0" w:color="auto"/>
      </w:divBdr>
    </w:div>
    <w:div w:id="43987892">
      <w:bodyDiv w:val="1"/>
      <w:marLeft w:val="0"/>
      <w:marRight w:val="0"/>
      <w:marTop w:val="0"/>
      <w:marBottom w:val="0"/>
      <w:divBdr>
        <w:top w:val="none" w:sz="0" w:space="0" w:color="auto"/>
        <w:left w:val="none" w:sz="0" w:space="0" w:color="auto"/>
        <w:bottom w:val="none" w:sz="0" w:space="0" w:color="auto"/>
        <w:right w:val="none" w:sz="0" w:space="0" w:color="auto"/>
      </w:divBdr>
    </w:div>
    <w:div w:id="145560332">
      <w:bodyDiv w:val="1"/>
      <w:marLeft w:val="0"/>
      <w:marRight w:val="0"/>
      <w:marTop w:val="0"/>
      <w:marBottom w:val="0"/>
      <w:divBdr>
        <w:top w:val="none" w:sz="0" w:space="0" w:color="auto"/>
        <w:left w:val="none" w:sz="0" w:space="0" w:color="auto"/>
        <w:bottom w:val="none" w:sz="0" w:space="0" w:color="auto"/>
        <w:right w:val="none" w:sz="0" w:space="0" w:color="auto"/>
      </w:divBdr>
    </w:div>
    <w:div w:id="167909345">
      <w:bodyDiv w:val="1"/>
      <w:marLeft w:val="0"/>
      <w:marRight w:val="0"/>
      <w:marTop w:val="0"/>
      <w:marBottom w:val="0"/>
      <w:divBdr>
        <w:top w:val="none" w:sz="0" w:space="0" w:color="auto"/>
        <w:left w:val="none" w:sz="0" w:space="0" w:color="auto"/>
        <w:bottom w:val="none" w:sz="0" w:space="0" w:color="auto"/>
        <w:right w:val="none" w:sz="0" w:space="0" w:color="auto"/>
      </w:divBdr>
    </w:div>
    <w:div w:id="263611029">
      <w:bodyDiv w:val="1"/>
      <w:marLeft w:val="0"/>
      <w:marRight w:val="0"/>
      <w:marTop w:val="0"/>
      <w:marBottom w:val="0"/>
      <w:divBdr>
        <w:top w:val="none" w:sz="0" w:space="0" w:color="auto"/>
        <w:left w:val="none" w:sz="0" w:space="0" w:color="auto"/>
        <w:bottom w:val="none" w:sz="0" w:space="0" w:color="auto"/>
        <w:right w:val="none" w:sz="0" w:space="0" w:color="auto"/>
      </w:divBdr>
    </w:div>
    <w:div w:id="269509891">
      <w:bodyDiv w:val="1"/>
      <w:marLeft w:val="0"/>
      <w:marRight w:val="0"/>
      <w:marTop w:val="0"/>
      <w:marBottom w:val="0"/>
      <w:divBdr>
        <w:top w:val="none" w:sz="0" w:space="0" w:color="auto"/>
        <w:left w:val="none" w:sz="0" w:space="0" w:color="auto"/>
        <w:bottom w:val="none" w:sz="0" w:space="0" w:color="auto"/>
        <w:right w:val="none" w:sz="0" w:space="0" w:color="auto"/>
      </w:divBdr>
    </w:div>
    <w:div w:id="298614358">
      <w:bodyDiv w:val="1"/>
      <w:marLeft w:val="0"/>
      <w:marRight w:val="0"/>
      <w:marTop w:val="0"/>
      <w:marBottom w:val="0"/>
      <w:divBdr>
        <w:top w:val="none" w:sz="0" w:space="0" w:color="auto"/>
        <w:left w:val="none" w:sz="0" w:space="0" w:color="auto"/>
        <w:bottom w:val="none" w:sz="0" w:space="0" w:color="auto"/>
        <w:right w:val="none" w:sz="0" w:space="0" w:color="auto"/>
      </w:divBdr>
    </w:div>
    <w:div w:id="304238888">
      <w:bodyDiv w:val="1"/>
      <w:marLeft w:val="0"/>
      <w:marRight w:val="0"/>
      <w:marTop w:val="0"/>
      <w:marBottom w:val="0"/>
      <w:divBdr>
        <w:top w:val="none" w:sz="0" w:space="0" w:color="auto"/>
        <w:left w:val="none" w:sz="0" w:space="0" w:color="auto"/>
        <w:bottom w:val="none" w:sz="0" w:space="0" w:color="auto"/>
        <w:right w:val="none" w:sz="0" w:space="0" w:color="auto"/>
      </w:divBdr>
    </w:div>
    <w:div w:id="322781358">
      <w:bodyDiv w:val="1"/>
      <w:marLeft w:val="0"/>
      <w:marRight w:val="0"/>
      <w:marTop w:val="0"/>
      <w:marBottom w:val="0"/>
      <w:divBdr>
        <w:top w:val="none" w:sz="0" w:space="0" w:color="auto"/>
        <w:left w:val="none" w:sz="0" w:space="0" w:color="auto"/>
        <w:bottom w:val="none" w:sz="0" w:space="0" w:color="auto"/>
        <w:right w:val="none" w:sz="0" w:space="0" w:color="auto"/>
      </w:divBdr>
    </w:div>
    <w:div w:id="362562406">
      <w:bodyDiv w:val="1"/>
      <w:marLeft w:val="0"/>
      <w:marRight w:val="0"/>
      <w:marTop w:val="0"/>
      <w:marBottom w:val="0"/>
      <w:divBdr>
        <w:top w:val="none" w:sz="0" w:space="0" w:color="auto"/>
        <w:left w:val="none" w:sz="0" w:space="0" w:color="auto"/>
        <w:bottom w:val="none" w:sz="0" w:space="0" w:color="auto"/>
        <w:right w:val="none" w:sz="0" w:space="0" w:color="auto"/>
      </w:divBdr>
    </w:div>
    <w:div w:id="388502770">
      <w:bodyDiv w:val="1"/>
      <w:marLeft w:val="0"/>
      <w:marRight w:val="0"/>
      <w:marTop w:val="0"/>
      <w:marBottom w:val="0"/>
      <w:divBdr>
        <w:top w:val="none" w:sz="0" w:space="0" w:color="auto"/>
        <w:left w:val="none" w:sz="0" w:space="0" w:color="auto"/>
        <w:bottom w:val="none" w:sz="0" w:space="0" w:color="auto"/>
        <w:right w:val="none" w:sz="0" w:space="0" w:color="auto"/>
      </w:divBdr>
    </w:div>
    <w:div w:id="405804675">
      <w:bodyDiv w:val="1"/>
      <w:marLeft w:val="0"/>
      <w:marRight w:val="0"/>
      <w:marTop w:val="0"/>
      <w:marBottom w:val="0"/>
      <w:divBdr>
        <w:top w:val="none" w:sz="0" w:space="0" w:color="auto"/>
        <w:left w:val="none" w:sz="0" w:space="0" w:color="auto"/>
        <w:bottom w:val="none" w:sz="0" w:space="0" w:color="auto"/>
        <w:right w:val="none" w:sz="0" w:space="0" w:color="auto"/>
      </w:divBdr>
    </w:div>
    <w:div w:id="407503061">
      <w:bodyDiv w:val="1"/>
      <w:marLeft w:val="0"/>
      <w:marRight w:val="0"/>
      <w:marTop w:val="0"/>
      <w:marBottom w:val="0"/>
      <w:divBdr>
        <w:top w:val="none" w:sz="0" w:space="0" w:color="auto"/>
        <w:left w:val="none" w:sz="0" w:space="0" w:color="auto"/>
        <w:bottom w:val="none" w:sz="0" w:space="0" w:color="auto"/>
        <w:right w:val="none" w:sz="0" w:space="0" w:color="auto"/>
      </w:divBdr>
    </w:div>
    <w:div w:id="407506687">
      <w:bodyDiv w:val="1"/>
      <w:marLeft w:val="0"/>
      <w:marRight w:val="0"/>
      <w:marTop w:val="0"/>
      <w:marBottom w:val="0"/>
      <w:divBdr>
        <w:top w:val="none" w:sz="0" w:space="0" w:color="auto"/>
        <w:left w:val="none" w:sz="0" w:space="0" w:color="auto"/>
        <w:bottom w:val="none" w:sz="0" w:space="0" w:color="auto"/>
        <w:right w:val="none" w:sz="0" w:space="0" w:color="auto"/>
      </w:divBdr>
    </w:div>
    <w:div w:id="414664978">
      <w:bodyDiv w:val="1"/>
      <w:marLeft w:val="0"/>
      <w:marRight w:val="0"/>
      <w:marTop w:val="0"/>
      <w:marBottom w:val="0"/>
      <w:divBdr>
        <w:top w:val="none" w:sz="0" w:space="0" w:color="auto"/>
        <w:left w:val="none" w:sz="0" w:space="0" w:color="auto"/>
        <w:bottom w:val="none" w:sz="0" w:space="0" w:color="auto"/>
        <w:right w:val="none" w:sz="0" w:space="0" w:color="auto"/>
      </w:divBdr>
    </w:div>
    <w:div w:id="425856249">
      <w:bodyDiv w:val="1"/>
      <w:marLeft w:val="0"/>
      <w:marRight w:val="0"/>
      <w:marTop w:val="0"/>
      <w:marBottom w:val="0"/>
      <w:divBdr>
        <w:top w:val="none" w:sz="0" w:space="0" w:color="auto"/>
        <w:left w:val="none" w:sz="0" w:space="0" w:color="auto"/>
        <w:bottom w:val="none" w:sz="0" w:space="0" w:color="auto"/>
        <w:right w:val="none" w:sz="0" w:space="0" w:color="auto"/>
      </w:divBdr>
    </w:div>
    <w:div w:id="436293296">
      <w:bodyDiv w:val="1"/>
      <w:marLeft w:val="0"/>
      <w:marRight w:val="0"/>
      <w:marTop w:val="0"/>
      <w:marBottom w:val="0"/>
      <w:divBdr>
        <w:top w:val="none" w:sz="0" w:space="0" w:color="auto"/>
        <w:left w:val="none" w:sz="0" w:space="0" w:color="auto"/>
        <w:bottom w:val="none" w:sz="0" w:space="0" w:color="auto"/>
        <w:right w:val="none" w:sz="0" w:space="0" w:color="auto"/>
      </w:divBdr>
    </w:div>
    <w:div w:id="446698761">
      <w:bodyDiv w:val="1"/>
      <w:marLeft w:val="0"/>
      <w:marRight w:val="0"/>
      <w:marTop w:val="0"/>
      <w:marBottom w:val="0"/>
      <w:divBdr>
        <w:top w:val="none" w:sz="0" w:space="0" w:color="auto"/>
        <w:left w:val="none" w:sz="0" w:space="0" w:color="auto"/>
        <w:bottom w:val="none" w:sz="0" w:space="0" w:color="auto"/>
        <w:right w:val="none" w:sz="0" w:space="0" w:color="auto"/>
      </w:divBdr>
    </w:div>
    <w:div w:id="465509109">
      <w:bodyDiv w:val="1"/>
      <w:marLeft w:val="0"/>
      <w:marRight w:val="0"/>
      <w:marTop w:val="0"/>
      <w:marBottom w:val="0"/>
      <w:divBdr>
        <w:top w:val="none" w:sz="0" w:space="0" w:color="auto"/>
        <w:left w:val="none" w:sz="0" w:space="0" w:color="auto"/>
        <w:bottom w:val="none" w:sz="0" w:space="0" w:color="auto"/>
        <w:right w:val="none" w:sz="0" w:space="0" w:color="auto"/>
      </w:divBdr>
    </w:div>
    <w:div w:id="492456114">
      <w:bodyDiv w:val="1"/>
      <w:marLeft w:val="0"/>
      <w:marRight w:val="0"/>
      <w:marTop w:val="0"/>
      <w:marBottom w:val="0"/>
      <w:divBdr>
        <w:top w:val="none" w:sz="0" w:space="0" w:color="auto"/>
        <w:left w:val="none" w:sz="0" w:space="0" w:color="auto"/>
        <w:bottom w:val="none" w:sz="0" w:space="0" w:color="auto"/>
        <w:right w:val="none" w:sz="0" w:space="0" w:color="auto"/>
      </w:divBdr>
    </w:div>
    <w:div w:id="498349781">
      <w:bodyDiv w:val="1"/>
      <w:marLeft w:val="0"/>
      <w:marRight w:val="0"/>
      <w:marTop w:val="0"/>
      <w:marBottom w:val="0"/>
      <w:divBdr>
        <w:top w:val="none" w:sz="0" w:space="0" w:color="auto"/>
        <w:left w:val="none" w:sz="0" w:space="0" w:color="auto"/>
        <w:bottom w:val="none" w:sz="0" w:space="0" w:color="auto"/>
        <w:right w:val="none" w:sz="0" w:space="0" w:color="auto"/>
      </w:divBdr>
    </w:div>
    <w:div w:id="521166579">
      <w:bodyDiv w:val="1"/>
      <w:marLeft w:val="0"/>
      <w:marRight w:val="0"/>
      <w:marTop w:val="0"/>
      <w:marBottom w:val="0"/>
      <w:divBdr>
        <w:top w:val="none" w:sz="0" w:space="0" w:color="auto"/>
        <w:left w:val="none" w:sz="0" w:space="0" w:color="auto"/>
        <w:bottom w:val="none" w:sz="0" w:space="0" w:color="auto"/>
        <w:right w:val="none" w:sz="0" w:space="0" w:color="auto"/>
      </w:divBdr>
    </w:div>
    <w:div w:id="645210578">
      <w:bodyDiv w:val="1"/>
      <w:marLeft w:val="0"/>
      <w:marRight w:val="0"/>
      <w:marTop w:val="0"/>
      <w:marBottom w:val="0"/>
      <w:divBdr>
        <w:top w:val="none" w:sz="0" w:space="0" w:color="auto"/>
        <w:left w:val="none" w:sz="0" w:space="0" w:color="auto"/>
        <w:bottom w:val="none" w:sz="0" w:space="0" w:color="auto"/>
        <w:right w:val="none" w:sz="0" w:space="0" w:color="auto"/>
      </w:divBdr>
    </w:div>
    <w:div w:id="651300832">
      <w:bodyDiv w:val="1"/>
      <w:marLeft w:val="0"/>
      <w:marRight w:val="0"/>
      <w:marTop w:val="0"/>
      <w:marBottom w:val="0"/>
      <w:divBdr>
        <w:top w:val="none" w:sz="0" w:space="0" w:color="auto"/>
        <w:left w:val="none" w:sz="0" w:space="0" w:color="auto"/>
        <w:bottom w:val="none" w:sz="0" w:space="0" w:color="auto"/>
        <w:right w:val="none" w:sz="0" w:space="0" w:color="auto"/>
      </w:divBdr>
    </w:div>
    <w:div w:id="661473611">
      <w:bodyDiv w:val="1"/>
      <w:marLeft w:val="0"/>
      <w:marRight w:val="0"/>
      <w:marTop w:val="0"/>
      <w:marBottom w:val="0"/>
      <w:divBdr>
        <w:top w:val="none" w:sz="0" w:space="0" w:color="auto"/>
        <w:left w:val="none" w:sz="0" w:space="0" w:color="auto"/>
        <w:bottom w:val="none" w:sz="0" w:space="0" w:color="auto"/>
        <w:right w:val="none" w:sz="0" w:space="0" w:color="auto"/>
      </w:divBdr>
    </w:div>
    <w:div w:id="669871577">
      <w:bodyDiv w:val="1"/>
      <w:marLeft w:val="0"/>
      <w:marRight w:val="0"/>
      <w:marTop w:val="0"/>
      <w:marBottom w:val="0"/>
      <w:divBdr>
        <w:top w:val="none" w:sz="0" w:space="0" w:color="auto"/>
        <w:left w:val="none" w:sz="0" w:space="0" w:color="auto"/>
        <w:bottom w:val="none" w:sz="0" w:space="0" w:color="auto"/>
        <w:right w:val="none" w:sz="0" w:space="0" w:color="auto"/>
      </w:divBdr>
    </w:div>
    <w:div w:id="717240684">
      <w:bodyDiv w:val="1"/>
      <w:marLeft w:val="0"/>
      <w:marRight w:val="0"/>
      <w:marTop w:val="0"/>
      <w:marBottom w:val="0"/>
      <w:divBdr>
        <w:top w:val="none" w:sz="0" w:space="0" w:color="auto"/>
        <w:left w:val="none" w:sz="0" w:space="0" w:color="auto"/>
        <w:bottom w:val="none" w:sz="0" w:space="0" w:color="auto"/>
        <w:right w:val="none" w:sz="0" w:space="0" w:color="auto"/>
      </w:divBdr>
    </w:div>
    <w:div w:id="749692936">
      <w:bodyDiv w:val="1"/>
      <w:marLeft w:val="0"/>
      <w:marRight w:val="0"/>
      <w:marTop w:val="0"/>
      <w:marBottom w:val="0"/>
      <w:divBdr>
        <w:top w:val="none" w:sz="0" w:space="0" w:color="auto"/>
        <w:left w:val="none" w:sz="0" w:space="0" w:color="auto"/>
        <w:bottom w:val="none" w:sz="0" w:space="0" w:color="auto"/>
        <w:right w:val="none" w:sz="0" w:space="0" w:color="auto"/>
      </w:divBdr>
    </w:div>
    <w:div w:id="791872773">
      <w:bodyDiv w:val="1"/>
      <w:marLeft w:val="0"/>
      <w:marRight w:val="0"/>
      <w:marTop w:val="0"/>
      <w:marBottom w:val="0"/>
      <w:divBdr>
        <w:top w:val="none" w:sz="0" w:space="0" w:color="auto"/>
        <w:left w:val="none" w:sz="0" w:space="0" w:color="auto"/>
        <w:bottom w:val="none" w:sz="0" w:space="0" w:color="auto"/>
        <w:right w:val="none" w:sz="0" w:space="0" w:color="auto"/>
      </w:divBdr>
    </w:div>
    <w:div w:id="792943893">
      <w:bodyDiv w:val="1"/>
      <w:marLeft w:val="0"/>
      <w:marRight w:val="0"/>
      <w:marTop w:val="0"/>
      <w:marBottom w:val="0"/>
      <w:divBdr>
        <w:top w:val="none" w:sz="0" w:space="0" w:color="auto"/>
        <w:left w:val="none" w:sz="0" w:space="0" w:color="auto"/>
        <w:bottom w:val="none" w:sz="0" w:space="0" w:color="auto"/>
        <w:right w:val="none" w:sz="0" w:space="0" w:color="auto"/>
      </w:divBdr>
    </w:div>
    <w:div w:id="820199552">
      <w:bodyDiv w:val="1"/>
      <w:marLeft w:val="0"/>
      <w:marRight w:val="0"/>
      <w:marTop w:val="0"/>
      <w:marBottom w:val="0"/>
      <w:divBdr>
        <w:top w:val="none" w:sz="0" w:space="0" w:color="auto"/>
        <w:left w:val="none" w:sz="0" w:space="0" w:color="auto"/>
        <w:bottom w:val="none" w:sz="0" w:space="0" w:color="auto"/>
        <w:right w:val="none" w:sz="0" w:space="0" w:color="auto"/>
      </w:divBdr>
    </w:div>
    <w:div w:id="835221628">
      <w:bodyDiv w:val="1"/>
      <w:marLeft w:val="0"/>
      <w:marRight w:val="0"/>
      <w:marTop w:val="0"/>
      <w:marBottom w:val="0"/>
      <w:divBdr>
        <w:top w:val="none" w:sz="0" w:space="0" w:color="auto"/>
        <w:left w:val="none" w:sz="0" w:space="0" w:color="auto"/>
        <w:bottom w:val="none" w:sz="0" w:space="0" w:color="auto"/>
        <w:right w:val="none" w:sz="0" w:space="0" w:color="auto"/>
      </w:divBdr>
    </w:div>
    <w:div w:id="871498653">
      <w:bodyDiv w:val="1"/>
      <w:marLeft w:val="0"/>
      <w:marRight w:val="0"/>
      <w:marTop w:val="0"/>
      <w:marBottom w:val="0"/>
      <w:divBdr>
        <w:top w:val="none" w:sz="0" w:space="0" w:color="auto"/>
        <w:left w:val="none" w:sz="0" w:space="0" w:color="auto"/>
        <w:bottom w:val="none" w:sz="0" w:space="0" w:color="auto"/>
        <w:right w:val="none" w:sz="0" w:space="0" w:color="auto"/>
      </w:divBdr>
    </w:div>
    <w:div w:id="891579979">
      <w:bodyDiv w:val="1"/>
      <w:marLeft w:val="0"/>
      <w:marRight w:val="0"/>
      <w:marTop w:val="0"/>
      <w:marBottom w:val="0"/>
      <w:divBdr>
        <w:top w:val="none" w:sz="0" w:space="0" w:color="auto"/>
        <w:left w:val="none" w:sz="0" w:space="0" w:color="auto"/>
        <w:bottom w:val="none" w:sz="0" w:space="0" w:color="auto"/>
        <w:right w:val="none" w:sz="0" w:space="0" w:color="auto"/>
      </w:divBdr>
    </w:div>
    <w:div w:id="947010257">
      <w:bodyDiv w:val="1"/>
      <w:marLeft w:val="0"/>
      <w:marRight w:val="0"/>
      <w:marTop w:val="0"/>
      <w:marBottom w:val="0"/>
      <w:divBdr>
        <w:top w:val="none" w:sz="0" w:space="0" w:color="auto"/>
        <w:left w:val="none" w:sz="0" w:space="0" w:color="auto"/>
        <w:bottom w:val="none" w:sz="0" w:space="0" w:color="auto"/>
        <w:right w:val="none" w:sz="0" w:space="0" w:color="auto"/>
      </w:divBdr>
    </w:div>
    <w:div w:id="989988232">
      <w:bodyDiv w:val="1"/>
      <w:marLeft w:val="0"/>
      <w:marRight w:val="0"/>
      <w:marTop w:val="0"/>
      <w:marBottom w:val="0"/>
      <w:divBdr>
        <w:top w:val="none" w:sz="0" w:space="0" w:color="auto"/>
        <w:left w:val="none" w:sz="0" w:space="0" w:color="auto"/>
        <w:bottom w:val="none" w:sz="0" w:space="0" w:color="auto"/>
        <w:right w:val="none" w:sz="0" w:space="0" w:color="auto"/>
      </w:divBdr>
    </w:div>
    <w:div w:id="989988623">
      <w:bodyDiv w:val="1"/>
      <w:marLeft w:val="0"/>
      <w:marRight w:val="0"/>
      <w:marTop w:val="0"/>
      <w:marBottom w:val="0"/>
      <w:divBdr>
        <w:top w:val="none" w:sz="0" w:space="0" w:color="auto"/>
        <w:left w:val="none" w:sz="0" w:space="0" w:color="auto"/>
        <w:bottom w:val="none" w:sz="0" w:space="0" w:color="auto"/>
        <w:right w:val="none" w:sz="0" w:space="0" w:color="auto"/>
      </w:divBdr>
    </w:div>
    <w:div w:id="1000160989">
      <w:bodyDiv w:val="1"/>
      <w:marLeft w:val="0"/>
      <w:marRight w:val="0"/>
      <w:marTop w:val="0"/>
      <w:marBottom w:val="0"/>
      <w:divBdr>
        <w:top w:val="none" w:sz="0" w:space="0" w:color="auto"/>
        <w:left w:val="none" w:sz="0" w:space="0" w:color="auto"/>
        <w:bottom w:val="none" w:sz="0" w:space="0" w:color="auto"/>
        <w:right w:val="none" w:sz="0" w:space="0" w:color="auto"/>
      </w:divBdr>
    </w:div>
    <w:div w:id="1000540610">
      <w:bodyDiv w:val="1"/>
      <w:marLeft w:val="0"/>
      <w:marRight w:val="0"/>
      <w:marTop w:val="0"/>
      <w:marBottom w:val="0"/>
      <w:divBdr>
        <w:top w:val="none" w:sz="0" w:space="0" w:color="auto"/>
        <w:left w:val="none" w:sz="0" w:space="0" w:color="auto"/>
        <w:bottom w:val="none" w:sz="0" w:space="0" w:color="auto"/>
        <w:right w:val="none" w:sz="0" w:space="0" w:color="auto"/>
      </w:divBdr>
    </w:div>
    <w:div w:id="1008285742">
      <w:bodyDiv w:val="1"/>
      <w:marLeft w:val="0"/>
      <w:marRight w:val="0"/>
      <w:marTop w:val="0"/>
      <w:marBottom w:val="0"/>
      <w:divBdr>
        <w:top w:val="none" w:sz="0" w:space="0" w:color="auto"/>
        <w:left w:val="none" w:sz="0" w:space="0" w:color="auto"/>
        <w:bottom w:val="none" w:sz="0" w:space="0" w:color="auto"/>
        <w:right w:val="none" w:sz="0" w:space="0" w:color="auto"/>
      </w:divBdr>
    </w:div>
    <w:div w:id="1036466105">
      <w:bodyDiv w:val="1"/>
      <w:marLeft w:val="0"/>
      <w:marRight w:val="0"/>
      <w:marTop w:val="0"/>
      <w:marBottom w:val="0"/>
      <w:divBdr>
        <w:top w:val="none" w:sz="0" w:space="0" w:color="auto"/>
        <w:left w:val="none" w:sz="0" w:space="0" w:color="auto"/>
        <w:bottom w:val="none" w:sz="0" w:space="0" w:color="auto"/>
        <w:right w:val="none" w:sz="0" w:space="0" w:color="auto"/>
      </w:divBdr>
    </w:div>
    <w:div w:id="1048408672">
      <w:bodyDiv w:val="1"/>
      <w:marLeft w:val="0"/>
      <w:marRight w:val="0"/>
      <w:marTop w:val="0"/>
      <w:marBottom w:val="0"/>
      <w:divBdr>
        <w:top w:val="none" w:sz="0" w:space="0" w:color="auto"/>
        <w:left w:val="none" w:sz="0" w:space="0" w:color="auto"/>
        <w:bottom w:val="none" w:sz="0" w:space="0" w:color="auto"/>
        <w:right w:val="none" w:sz="0" w:space="0" w:color="auto"/>
      </w:divBdr>
    </w:div>
    <w:div w:id="1052923613">
      <w:bodyDiv w:val="1"/>
      <w:marLeft w:val="0"/>
      <w:marRight w:val="0"/>
      <w:marTop w:val="0"/>
      <w:marBottom w:val="0"/>
      <w:divBdr>
        <w:top w:val="none" w:sz="0" w:space="0" w:color="auto"/>
        <w:left w:val="none" w:sz="0" w:space="0" w:color="auto"/>
        <w:bottom w:val="none" w:sz="0" w:space="0" w:color="auto"/>
        <w:right w:val="none" w:sz="0" w:space="0" w:color="auto"/>
      </w:divBdr>
    </w:div>
    <w:div w:id="1090540946">
      <w:bodyDiv w:val="1"/>
      <w:marLeft w:val="0"/>
      <w:marRight w:val="0"/>
      <w:marTop w:val="0"/>
      <w:marBottom w:val="0"/>
      <w:divBdr>
        <w:top w:val="none" w:sz="0" w:space="0" w:color="auto"/>
        <w:left w:val="none" w:sz="0" w:space="0" w:color="auto"/>
        <w:bottom w:val="none" w:sz="0" w:space="0" w:color="auto"/>
        <w:right w:val="none" w:sz="0" w:space="0" w:color="auto"/>
      </w:divBdr>
    </w:div>
    <w:div w:id="1105811485">
      <w:bodyDiv w:val="1"/>
      <w:marLeft w:val="0"/>
      <w:marRight w:val="0"/>
      <w:marTop w:val="0"/>
      <w:marBottom w:val="0"/>
      <w:divBdr>
        <w:top w:val="none" w:sz="0" w:space="0" w:color="auto"/>
        <w:left w:val="none" w:sz="0" w:space="0" w:color="auto"/>
        <w:bottom w:val="none" w:sz="0" w:space="0" w:color="auto"/>
        <w:right w:val="none" w:sz="0" w:space="0" w:color="auto"/>
      </w:divBdr>
    </w:div>
    <w:div w:id="1123765585">
      <w:bodyDiv w:val="1"/>
      <w:marLeft w:val="0"/>
      <w:marRight w:val="0"/>
      <w:marTop w:val="0"/>
      <w:marBottom w:val="0"/>
      <w:divBdr>
        <w:top w:val="none" w:sz="0" w:space="0" w:color="auto"/>
        <w:left w:val="none" w:sz="0" w:space="0" w:color="auto"/>
        <w:bottom w:val="none" w:sz="0" w:space="0" w:color="auto"/>
        <w:right w:val="none" w:sz="0" w:space="0" w:color="auto"/>
      </w:divBdr>
    </w:div>
    <w:div w:id="1145926666">
      <w:bodyDiv w:val="1"/>
      <w:marLeft w:val="0"/>
      <w:marRight w:val="0"/>
      <w:marTop w:val="0"/>
      <w:marBottom w:val="0"/>
      <w:divBdr>
        <w:top w:val="none" w:sz="0" w:space="0" w:color="auto"/>
        <w:left w:val="none" w:sz="0" w:space="0" w:color="auto"/>
        <w:bottom w:val="none" w:sz="0" w:space="0" w:color="auto"/>
        <w:right w:val="none" w:sz="0" w:space="0" w:color="auto"/>
      </w:divBdr>
    </w:div>
    <w:div w:id="1146632184">
      <w:bodyDiv w:val="1"/>
      <w:marLeft w:val="0"/>
      <w:marRight w:val="0"/>
      <w:marTop w:val="0"/>
      <w:marBottom w:val="0"/>
      <w:divBdr>
        <w:top w:val="none" w:sz="0" w:space="0" w:color="auto"/>
        <w:left w:val="none" w:sz="0" w:space="0" w:color="auto"/>
        <w:bottom w:val="none" w:sz="0" w:space="0" w:color="auto"/>
        <w:right w:val="none" w:sz="0" w:space="0" w:color="auto"/>
      </w:divBdr>
    </w:div>
    <w:div w:id="1158232107">
      <w:bodyDiv w:val="1"/>
      <w:marLeft w:val="0"/>
      <w:marRight w:val="0"/>
      <w:marTop w:val="0"/>
      <w:marBottom w:val="0"/>
      <w:divBdr>
        <w:top w:val="none" w:sz="0" w:space="0" w:color="auto"/>
        <w:left w:val="none" w:sz="0" w:space="0" w:color="auto"/>
        <w:bottom w:val="none" w:sz="0" w:space="0" w:color="auto"/>
        <w:right w:val="none" w:sz="0" w:space="0" w:color="auto"/>
      </w:divBdr>
    </w:div>
    <w:div w:id="1160385690">
      <w:bodyDiv w:val="1"/>
      <w:marLeft w:val="0"/>
      <w:marRight w:val="0"/>
      <w:marTop w:val="0"/>
      <w:marBottom w:val="0"/>
      <w:divBdr>
        <w:top w:val="none" w:sz="0" w:space="0" w:color="auto"/>
        <w:left w:val="none" w:sz="0" w:space="0" w:color="auto"/>
        <w:bottom w:val="none" w:sz="0" w:space="0" w:color="auto"/>
        <w:right w:val="none" w:sz="0" w:space="0" w:color="auto"/>
      </w:divBdr>
    </w:div>
    <w:div w:id="1185091006">
      <w:bodyDiv w:val="1"/>
      <w:marLeft w:val="0"/>
      <w:marRight w:val="0"/>
      <w:marTop w:val="0"/>
      <w:marBottom w:val="0"/>
      <w:divBdr>
        <w:top w:val="none" w:sz="0" w:space="0" w:color="auto"/>
        <w:left w:val="none" w:sz="0" w:space="0" w:color="auto"/>
        <w:bottom w:val="none" w:sz="0" w:space="0" w:color="auto"/>
        <w:right w:val="none" w:sz="0" w:space="0" w:color="auto"/>
      </w:divBdr>
    </w:div>
    <w:div w:id="1196118359">
      <w:bodyDiv w:val="1"/>
      <w:marLeft w:val="0"/>
      <w:marRight w:val="0"/>
      <w:marTop w:val="0"/>
      <w:marBottom w:val="0"/>
      <w:divBdr>
        <w:top w:val="none" w:sz="0" w:space="0" w:color="auto"/>
        <w:left w:val="none" w:sz="0" w:space="0" w:color="auto"/>
        <w:bottom w:val="none" w:sz="0" w:space="0" w:color="auto"/>
        <w:right w:val="none" w:sz="0" w:space="0" w:color="auto"/>
      </w:divBdr>
    </w:div>
    <w:div w:id="1196503440">
      <w:bodyDiv w:val="1"/>
      <w:marLeft w:val="0"/>
      <w:marRight w:val="0"/>
      <w:marTop w:val="0"/>
      <w:marBottom w:val="0"/>
      <w:divBdr>
        <w:top w:val="none" w:sz="0" w:space="0" w:color="auto"/>
        <w:left w:val="none" w:sz="0" w:space="0" w:color="auto"/>
        <w:bottom w:val="none" w:sz="0" w:space="0" w:color="auto"/>
        <w:right w:val="none" w:sz="0" w:space="0" w:color="auto"/>
      </w:divBdr>
    </w:div>
    <w:div w:id="1197087353">
      <w:bodyDiv w:val="1"/>
      <w:marLeft w:val="0"/>
      <w:marRight w:val="0"/>
      <w:marTop w:val="0"/>
      <w:marBottom w:val="0"/>
      <w:divBdr>
        <w:top w:val="none" w:sz="0" w:space="0" w:color="auto"/>
        <w:left w:val="none" w:sz="0" w:space="0" w:color="auto"/>
        <w:bottom w:val="none" w:sz="0" w:space="0" w:color="auto"/>
        <w:right w:val="none" w:sz="0" w:space="0" w:color="auto"/>
      </w:divBdr>
    </w:div>
    <w:div w:id="1207838002">
      <w:bodyDiv w:val="1"/>
      <w:marLeft w:val="0"/>
      <w:marRight w:val="0"/>
      <w:marTop w:val="0"/>
      <w:marBottom w:val="0"/>
      <w:divBdr>
        <w:top w:val="none" w:sz="0" w:space="0" w:color="auto"/>
        <w:left w:val="none" w:sz="0" w:space="0" w:color="auto"/>
        <w:bottom w:val="none" w:sz="0" w:space="0" w:color="auto"/>
        <w:right w:val="none" w:sz="0" w:space="0" w:color="auto"/>
      </w:divBdr>
    </w:div>
    <w:div w:id="1227186194">
      <w:bodyDiv w:val="1"/>
      <w:marLeft w:val="0"/>
      <w:marRight w:val="0"/>
      <w:marTop w:val="0"/>
      <w:marBottom w:val="0"/>
      <w:divBdr>
        <w:top w:val="none" w:sz="0" w:space="0" w:color="auto"/>
        <w:left w:val="none" w:sz="0" w:space="0" w:color="auto"/>
        <w:bottom w:val="none" w:sz="0" w:space="0" w:color="auto"/>
        <w:right w:val="none" w:sz="0" w:space="0" w:color="auto"/>
      </w:divBdr>
    </w:div>
    <w:div w:id="1241872323">
      <w:bodyDiv w:val="1"/>
      <w:marLeft w:val="0"/>
      <w:marRight w:val="0"/>
      <w:marTop w:val="0"/>
      <w:marBottom w:val="0"/>
      <w:divBdr>
        <w:top w:val="none" w:sz="0" w:space="0" w:color="auto"/>
        <w:left w:val="none" w:sz="0" w:space="0" w:color="auto"/>
        <w:bottom w:val="none" w:sz="0" w:space="0" w:color="auto"/>
        <w:right w:val="none" w:sz="0" w:space="0" w:color="auto"/>
      </w:divBdr>
    </w:div>
    <w:div w:id="1268269588">
      <w:bodyDiv w:val="1"/>
      <w:marLeft w:val="0"/>
      <w:marRight w:val="0"/>
      <w:marTop w:val="0"/>
      <w:marBottom w:val="0"/>
      <w:divBdr>
        <w:top w:val="none" w:sz="0" w:space="0" w:color="auto"/>
        <w:left w:val="none" w:sz="0" w:space="0" w:color="auto"/>
        <w:bottom w:val="none" w:sz="0" w:space="0" w:color="auto"/>
        <w:right w:val="none" w:sz="0" w:space="0" w:color="auto"/>
      </w:divBdr>
    </w:div>
    <w:div w:id="1287590268">
      <w:bodyDiv w:val="1"/>
      <w:marLeft w:val="0"/>
      <w:marRight w:val="0"/>
      <w:marTop w:val="0"/>
      <w:marBottom w:val="0"/>
      <w:divBdr>
        <w:top w:val="none" w:sz="0" w:space="0" w:color="auto"/>
        <w:left w:val="none" w:sz="0" w:space="0" w:color="auto"/>
        <w:bottom w:val="none" w:sz="0" w:space="0" w:color="auto"/>
        <w:right w:val="none" w:sz="0" w:space="0" w:color="auto"/>
      </w:divBdr>
    </w:div>
    <w:div w:id="1306472958">
      <w:bodyDiv w:val="1"/>
      <w:marLeft w:val="0"/>
      <w:marRight w:val="0"/>
      <w:marTop w:val="0"/>
      <w:marBottom w:val="0"/>
      <w:divBdr>
        <w:top w:val="none" w:sz="0" w:space="0" w:color="auto"/>
        <w:left w:val="none" w:sz="0" w:space="0" w:color="auto"/>
        <w:bottom w:val="none" w:sz="0" w:space="0" w:color="auto"/>
        <w:right w:val="none" w:sz="0" w:space="0" w:color="auto"/>
      </w:divBdr>
    </w:div>
    <w:div w:id="1331833128">
      <w:bodyDiv w:val="1"/>
      <w:marLeft w:val="0"/>
      <w:marRight w:val="0"/>
      <w:marTop w:val="0"/>
      <w:marBottom w:val="0"/>
      <w:divBdr>
        <w:top w:val="none" w:sz="0" w:space="0" w:color="auto"/>
        <w:left w:val="none" w:sz="0" w:space="0" w:color="auto"/>
        <w:bottom w:val="none" w:sz="0" w:space="0" w:color="auto"/>
        <w:right w:val="none" w:sz="0" w:space="0" w:color="auto"/>
      </w:divBdr>
    </w:div>
    <w:div w:id="1337147387">
      <w:bodyDiv w:val="1"/>
      <w:marLeft w:val="0"/>
      <w:marRight w:val="0"/>
      <w:marTop w:val="0"/>
      <w:marBottom w:val="0"/>
      <w:divBdr>
        <w:top w:val="none" w:sz="0" w:space="0" w:color="auto"/>
        <w:left w:val="none" w:sz="0" w:space="0" w:color="auto"/>
        <w:bottom w:val="none" w:sz="0" w:space="0" w:color="auto"/>
        <w:right w:val="none" w:sz="0" w:space="0" w:color="auto"/>
      </w:divBdr>
    </w:div>
    <w:div w:id="1338270936">
      <w:bodyDiv w:val="1"/>
      <w:marLeft w:val="0"/>
      <w:marRight w:val="0"/>
      <w:marTop w:val="0"/>
      <w:marBottom w:val="0"/>
      <w:divBdr>
        <w:top w:val="none" w:sz="0" w:space="0" w:color="auto"/>
        <w:left w:val="none" w:sz="0" w:space="0" w:color="auto"/>
        <w:bottom w:val="none" w:sz="0" w:space="0" w:color="auto"/>
        <w:right w:val="none" w:sz="0" w:space="0" w:color="auto"/>
      </w:divBdr>
    </w:div>
    <w:div w:id="1381594336">
      <w:bodyDiv w:val="1"/>
      <w:marLeft w:val="0"/>
      <w:marRight w:val="0"/>
      <w:marTop w:val="0"/>
      <w:marBottom w:val="0"/>
      <w:divBdr>
        <w:top w:val="none" w:sz="0" w:space="0" w:color="auto"/>
        <w:left w:val="none" w:sz="0" w:space="0" w:color="auto"/>
        <w:bottom w:val="none" w:sz="0" w:space="0" w:color="auto"/>
        <w:right w:val="none" w:sz="0" w:space="0" w:color="auto"/>
      </w:divBdr>
    </w:div>
    <w:div w:id="1387754154">
      <w:bodyDiv w:val="1"/>
      <w:marLeft w:val="0"/>
      <w:marRight w:val="0"/>
      <w:marTop w:val="0"/>
      <w:marBottom w:val="0"/>
      <w:divBdr>
        <w:top w:val="none" w:sz="0" w:space="0" w:color="auto"/>
        <w:left w:val="none" w:sz="0" w:space="0" w:color="auto"/>
        <w:bottom w:val="none" w:sz="0" w:space="0" w:color="auto"/>
        <w:right w:val="none" w:sz="0" w:space="0" w:color="auto"/>
      </w:divBdr>
    </w:div>
    <w:div w:id="1392581955">
      <w:bodyDiv w:val="1"/>
      <w:marLeft w:val="0"/>
      <w:marRight w:val="0"/>
      <w:marTop w:val="0"/>
      <w:marBottom w:val="0"/>
      <w:divBdr>
        <w:top w:val="none" w:sz="0" w:space="0" w:color="auto"/>
        <w:left w:val="none" w:sz="0" w:space="0" w:color="auto"/>
        <w:bottom w:val="none" w:sz="0" w:space="0" w:color="auto"/>
        <w:right w:val="none" w:sz="0" w:space="0" w:color="auto"/>
      </w:divBdr>
    </w:div>
    <w:div w:id="1396397464">
      <w:bodyDiv w:val="1"/>
      <w:marLeft w:val="0"/>
      <w:marRight w:val="0"/>
      <w:marTop w:val="0"/>
      <w:marBottom w:val="0"/>
      <w:divBdr>
        <w:top w:val="none" w:sz="0" w:space="0" w:color="auto"/>
        <w:left w:val="none" w:sz="0" w:space="0" w:color="auto"/>
        <w:bottom w:val="none" w:sz="0" w:space="0" w:color="auto"/>
        <w:right w:val="none" w:sz="0" w:space="0" w:color="auto"/>
      </w:divBdr>
    </w:div>
    <w:div w:id="1423260184">
      <w:bodyDiv w:val="1"/>
      <w:marLeft w:val="0"/>
      <w:marRight w:val="0"/>
      <w:marTop w:val="0"/>
      <w:marBottom w:val="0"/>
      <w:divBdr>
        <w:top w:val="none" w:sz="0" w:space="0" w:color="auto"/>
        <w:left w:val="none" w:sz="0" w:space="0" w:color="auto"/>
        <w:bottom w:val="none" w:sz="0" w:space="0" w:color="auto"/>
        <w:right w:val="none" w:sz="0" w:space="0" w:color="auto"/>
      </w:divBdr>
    </w:div>
    <w:div w:id="1452505893">
      <w:bodyDiv w:val="1"/>
      <w:marLeft w:val="0"/>
      <w:marRight w:val="0"/>
      <w:marTop w:val="0"/>
      <w:marBottom w:val="0"/>
      <w:divBdr>
        <w:top w:val="none" w:sz="0" w:space="0" w:color="auto"/>
        <w:left w:val="none" w:sz="0" w:space="0" w:color="auto"/>
        <w:bottom w:val="none" w:sz="0" w:space="0" w:color="auto"/>
        <w:right w:val="none" w:sz="0" w:space="0" w:color="auto"/>
      </w:divBdr>
    </w:div>
    <w:div w:id="1497116188">
      <w:bodyDiv w:val="1"/>
      <w:marLeft w:val="0"/>
      <w:marRight w:val="0"/>
      <w:marTop w:val="0"/>
      <w:marBottom w:val="0"/>
      <w:divBdr>
        <w:top w:val="none" w:sz="0" w:space="0" w:color="auto"/>
        <w:left w:val="none" w:sz="0" w:space="0" w:color="auto"/>
        <w:bottom w:val="none" w:sz="0" w:space="0" w:color="auto"/>
        <w:right w:val="none" w:sz="0" w:space="0" w:color="auto"/>
      </w:divBdr>
    </w:div>
    <w:div w:id="1497647379">
      <w:bodyDiv w:val="1"/>
      <w:marLeft w:val="0"/>
      <w:marRight w:val="0"/>
      <w:marTop w:val="0"/>
      <w:marBottom w:val="0"/>
      <w:divBdr>
        <w:top w:val="none" w:sz="0" w:space="0" w:color="auto"/>
        <w:left w:val="none" w:sz="0" w:space="0" w:color="auto"/>
        <w:bottom w:val="none" w:sz="0" w:space="0" w:color="auto"/>
        <w:right w:val="none" w:sz="0" w:space="0" w:color="auto"/>
      </w:divBdr>
    </w:div>
    <w:div w:id="1499080804">
      <w:bodyDiv w:val="1"/>
      <w:marLeft w:val="0"/>
      <w:marRight w:val="0"/>
      <w:marTop w:val="0"/>
      <w:marBottom w:val="0"/>
      <w:divBdr>
        <w:top w:val="none" w:sz="0" w:space="0" w:color="auto"/>
        <w:left w:val="none" w:sz="0" w:space="0" w:color="auto"/>
        <w:bottom w:val="none" w:sz="0" w:space="0" w:color="auto"/>
        <w:right w:val="none" w:sz="0" w:space="0" w:color="auto"/>
      </w:divBdr>
    </w:div>
    <w:div w:id="1516571908">
      <w:bodyDiv w:val="1"/>
      <w:marLeft w:val="0"/>
      <w:marRight w:val="0"/>
      <w:marTop w:val="0"/>
      <w:marBottom w:val="0"/>
      <w:divBdr>
        <w:top w:val="none" w:sz="0" w:space="0" w:color="auto"/>
        <w:left w:val="none" w:sz="0" w:space="0" w:color="auto"/>
        <w:bottom w:val="none" w:sz="0" w:space="0" w:color="auto"/>
        <w:right w:val="none" w:sz="0" w:space="0" w:color="auto"/>
      </w:divBdr>
    </w:div>
    <w:div w:id="1525286504">
      <w:bodyDiv w:val="1"/>
      <w:marLeft w:val="0"/>
      <w:marRight w:val="0"/>
      <w:marTop w:val="0"/>
      <w:marBottom w:val="0"/>
      <w:divBdr>
        <w:top w:val="none" w:sz="0" w:space="0" w:color="auto"/>
        <w:left w:val="none" w:sz="0" w:space="0" w:color="auto"/>
        <w:bottom w:val="none" w:sz="0" w:space="0" w:color="auto"/>
        <w:right w:val="none" w:sz="0" w:space="0" w:color="auto"/>
      </w:divBdr>
    </w:div>
    <w:div w:id="1536624337">
      <w:bodyDiv w:val="1"/>
      <w:marLeft w:val="0"/>
      <w:marRight w:val="0"/>
      <w:marTop w:val="0"/>
      <w:marBottom w:val="0"/>
      <w:divBdr>
        <w:top w:val="none" w:sz="0" w:space="0" w:color="auto"/>
        <w:left w:val="none" w:sz="0" w:space="0" w:color="auto"/>
        <w:bottom w:val="none" w:sz="0" w:space="0" w:color="auto"/>
        <w:right w:val="none" w:sz="0" w:space="0" w:color="auto"/>
      </w:divBdr>
    </w:div>
    <w:div w:id="1596740463">
      <w:bodyDiv w:val="1"/>
      <w:marLeft w:val="0"/>
      <w:marRight w:val="0"/>
      <w:marTop w:val="0"/>
      <w:marBottom w:val="0"/>
      <w:divBdr>
        <w:top w:val="none" w:sz="0" w:space="0" w:color="auto"/>
        <w:left w:val="none" w:sz="0" w:space="0" w:color="auto"/>
        <w:bottom w:val="none" w:sz="0" w:space="0" w:color="auto"/>
        <w:right w:val="none" w:sz="0" w:space="0" w:color="auto"/>
      </w:divBdr>
    </w:div>
    <w:div w:id="1608268467">
      <w:bodyDiv w:val="1"/>
      <w:marLeft w:val="0"/>
      <w:marRight w:val="0"/>
      <w:marTop w:val="0"/>
      <w:marBottom w:val="0"/>
      <w:divBdr>
        <w:top w:val="none" w:sz="0" w:space="0" w:color="auto"/>
        <w:left w:val="none" w:sz="0" w:space="0" w:color="auto"/>
        <w:bottom w:val="none" w:sz="0" w:space="0" w:color="auto"/>
        <w:right w:val="none" w:sz="0" w:space="0" w:color="auto"/>
      </w:divBdr>
    </w:div>
    <w:div w:id="1623683555">
      <w:bodyDiv w:val="1"/>
      <w:marLeft w:val="0"/>
      <w:marRight w:val="0"/>
      <w:marTop w:val="0"/>
      <w:marBottom w:val="0"/>
      <w:divBdr>
        <w:top w:val="none" w:sz="0" w:space="0" w:color="auto"/>
        <w:left w:val="none" w:sz="0" w:space="0" w:color="auto"/>
        <w:bottom w:val="none" w:sz="0" w:space="0" w:color="auto"/>
        <w:right w:val="none" w:sz="0" w:space="0" w:color="auto"/>
      </w:divBdr>
    </w:div>
    <w:div w:id="1627078984">
      <w:bodyDiv w:val="1"/>
      <w:marLeft w:val="0"/>
      <w:marRight w:val="0"/>
      <w:marTop w:val="0"/>
      <w:marBottom w:val="0"/>
      <w:divBdr>
        <w:top w:val="none" w:sz="0" w:space="0" w:color="auto"/>
        <w:left w:val="none" w:sz="0" w:space="0" w:color="auto"/>
        <w:bottom w:val="none" w:sz="0" w:space="0" w:color="auto"/>
        <w:right w:val="none" w:sz="0" w:space="0" w:color="auto"/>
      </w:divBdr>
    </w:div>
    <w:div w:id="1629584323">
      <w:bodyDiv w:val="1"/>
      <w:marLeft w:val="0"/>
      <w:marRight w:val="0"/>
      <w:marTop w:val="0"/>
      <w:marBottom w:val="0"/>
      <w:divBdr>
        <w:top w:val="none" w:sz="0" w:space="0" w:color="auto"/>
        <w:left w:val="none" w:sz="0" w:space="0" w:color="auto"/>
        <w:bottom w:val="none" w:sz="0" w:space="0" w:color="auto"/>
        <w:right w:val="none" w:sz="0" w:space="0" w:color="auto"/>
      </w:divBdr>
    </w:div>
    <w:div w:id="1653480262">
      <w:bodyDiv w:val="1"/>
      <w:marLeft w:val="0"/>
      <w:marRight w:val="0"/>
      <w:marTop w:val="0"/>
      <w:marBottom w:val="0"/>
      <w:divBdr>
        <w:top w:val="none" w:sz="0" w:space="0" w:color="auto"/>
        <w:left w:val="none" w:sz="0" w:space="0" w:color="auto"/>
        <w:bottom w:val="none" w:sz="0" w:space="0" w:color="auto"/>
        <w:right w:val="none" w:sz="0" w:space="0" w:color="auto"/>
      </w:divBdr>
    </w:div>
    <w:div w:id="1680892658">
      <w:bodyDiv w:val="1"/>
      <w:marLeft w:val="0"/>
      <w:marRight w:val="0"/>
      <w:marTop w:val="0"/>
      <w:marBottom w:val="0"/>
      <w:divBdr>
        <w:top w:val="none" w:sz="0" w:space="0" w:color="auto"/>
        <w:left w:val="none" w:sz="0" w:space="0" w:color="auto"/>
        <w:bottom w:val="none" w:sz="0" w:space="0" w:color="auto"/>
        <w:right w:val="none" w:sz="0" w:space="0" w:color="auto"/>
      </w:divBdr>
    </w:div>
    <w:div w:id="1694113250">
      <w:bodyDiv w:val="1"/>
      <w:marLeft w:val="0"/>
      <w:marRight w:val="0"/>
      <w:marTop w:val="0"/>
      <w:marBottom w:val="0"/>
      <w:divBdr>
        <w:top w:val="none" w:sz="0" w:space="0" w:color="auto"/>
        <w:left w:val="none" w:sz="0" w:space="0" w:color="auto"/>
        <w:bottom w:val="none" w:sz="0" w:space="0" w:color="auto"/>
        <w:right w:val="none" w:sz="0" w:space="0" w:color="auto"/>
      </w:divBdr>
    </w:div>
    <w:div w:id="1722438493">
      <w:bodyDiv w:val="1"/>
      <w:marLeft w:val="0"/>
      <w:marRight w:val="0"/>
      <w:marTop w:val="0"/>
      <w:marBottom w:val="0"/>
      <w:divBdr>
        <w:top w:val="none" w:sz="0" w:space="0" w:color="auto"/>
        <w:left w:val="none" w:sz="0" w:space="0" w:color="auto"/>
        <w:bottom w:val="none" w:sz="0" w:space="0" w:color="auto"/>
        <w:right w:val="none" w:sz="0" w:space="0" w:color="auto"/>
      </w:divBdr>
    </w:div>
    <w:div w:id="1724056808">
      <w:bodyDiv w:val="1"/>
      <w:marLeft w:val="0"/>
      <w:marRight w:val="0"/>
      <w:marTop w:val="0"/>
      <w:marBottom w:val="0"/>
      <w:divBdr>
        <w:top w:val="none" w:sz="0" w:space="0" w:color="auto"/>
        <w:left w:val="none" w:sz="0" w:space="0" w:color="auto"/>
        <w:bottom w:val="none" w:sz="0" w:space="0" w:color="auto"/>
        <w:right w:val="none" w:sz="0" w:space="0" w:color="auto"/>
      </w:divBdr>
    </w:div>
    <w:div w:id="1748847219">
      <w:bodyDiv w:val="1"/>
      <w:marLeft w:val="0"/>
      <w:marRight w:val="0"/>
      <w:marTop w:val="0"/>
      <w:marBottom w:val="0"/>
      <w:divBdr>
        <w:top w:val="none" w:sz="0" w:space="0" w:color="auto"/>
        <w:left w:val="none" w:sz="0" w:space="0" w:color="auto"/>
        <w:bottom w:val="none" w:sz="0" w:space="0" w:color="auto"/>
        <w:right w:val="none" w:sz="0" w:space="0" w:color="auto"/>
      </w:divBdr>
    </w:div>
    <w:div w:id="1760297180">
      <w:bodyDiv w:val="1"/>
      <w:marLeft w:val="0"/>
      <w:marRight w:val="0"/>
      <w:marTop w:val="0"/>
      <w:marBottom w:val="0"/>
      <w:divBdr>
        <w:top w:val="none" w:sz="0" w:space="0" w:color="auto"/>
        <w:left w:val="none" w:sz="0" w:space="0" w:color="auto"/>
        <w:bottom w:val="none" w:sz="0" w:space="0" w:color="auto"/>
        <w:right w:val="none" w:sz="0" w:space="0" w:color="auto"/>
      </w:divBdr>
    </w:div>
    <w:div w:id="1770152574">
      <w:bodyDiv w:val="1"/>
      <w:marLeft w:val="0"/>
      <w:marRight w:val="0"/>
      <w:marTop w:val="0"/>
      <w:marBottom w:val="0"/>
      <w:divBdr>
        <w:top w:val="none" w:sz="0" w:space="0" w:color="auto"/>
        <w:left w:val="none" w:sz="0" w:space="0" w:color="auto"/>
        <w:bottom w:val="none" w:sz="0" w:space="0" w:color="auto"/>
        <w:right w:val="none" w:sz="0" w:space="0" w:color="auto"/>
      </w:divBdr>
    </w:div>
    <w:div w:id="1812988020">
      <w:bodyDiv w:val="1"/>
      <w:marLeft w:val="0"/>
      <w:marRight w:val="0"/>
      <w:marTop w:val="0"/>
      <w:marBottom w:val="0"/>
      <w:divBdr>
        <w:top w:val="none" w:sz="0" w:space="0" w:color="auto"/>
        <w:left w:val="none" w:sz="0" w:space="0" w:color="auto"/>
        <w:bottom w:val="none" w:sz="0" w:space="0" w:color="auto"/>
        <w:right w:val="none" w:sz="0" w:space="0" w:color="auto"/>
      </w:divBdr>
    </w:div>
    <w:div w:id="1845587337">
      <w:bodyDiv w:val="1"/>
      <w:marLeft w:val="0"/>
      <w:marRight w:val="0"/>
      <w:marTop w:val="0"/>
      <w:marBottom w:val="0"/>
      <w:divBdr>
        <w:top w:val="none" w:sz="0" w:space="0" w:color="auto"/>
        <w:left w:val="none" w:sz="0" w:space="0" w:color="auto"/>
        <w:bottom w:val="none" w:sz="0" w:space="0" w:color="auto"/>
        <w:right w:val="none" w:sz="0" w:space="0" w:color="auto"/>
      </w:divBdr>
    </w:div>
    <w:div w:id="1847939623">
      <w:bodyDiv w:val="1"/>
      <w:marLeft w:val="0"/>
      <w:marRight w:val="0"/>
      <w:marTop w:val="0"/>
      <w:marBottom w:val="0"/>
      <w:divBdr>
        <w:top w:val="none" w:sz="0" w:space="0" w:color="auto"/>
        <w:left w:val="none" w:sz="0" w:space="0" w:color="auto"/>
        <w:bottom w:val="none" w:sz="0" w:space="0" w:color="auto"/>
        <w:right w:val="none" w:sz="0" w:space="0" w:color="auto"/>
      </w:divBdr>
    </w:div>
    <w:div w:id="1854341499">
      <w:bodyDiv w:val="1"/>
      <w:marLeft w:val="0"/>
      <w:marRight w:val="0"/>
      <w:marTop w:val="0"/>
      <w:marBottom w:val="0"/>
      <w:divBdr>
        <w:top w:val="none" w:sz="0" w:space="0" w:color="auto"/>
        <w:left w:val="none" w:sz="0" w:space="0" w:color="auto"/>
        <w:bottom w:val="none" w:sz="0" w:space="0" w:color="auto"/>
        <w:right w:val="none" w:sz="0" w:space="0" w:color="auto"/>
      </w:divBdr>
    </w:div>
    <w:div w:id="1858498554">
      <w:bodyDiv w:val="1"/>
      <w:marLeft w:val="0"/>
      <w:marRight w:val="0"/>
      <w:marTop w:val="0"/>
      <w:marBottom w:val="0"/>
      <w:divBdr>
        <w:top w:val="none" w:sz="0" w:space="0" w:color="auto"/>
        <w:left w:val="none" w:sz="0" w:space="0" w:color="auto"/>
        <w:bottom w:val="none" w:sz="0" w:space="0" w:color="auto"/>
        <w:right w:val="none" w:sz="0" w:space="0" w:color="auto"/>
      </w:divBdr>
    </w:div>
    <w:div w:id="1860581253">
      <w:bodyDiv w:val="1"/>
      <w:marLeft w:val="0"/>
      <w:marRight w:val="0"/>
      <w:marTop w:val="0"/>
      <w:marBottom w:val="0"/>
      <w:divBdr>
        <w:top w:val="none" w:sz="0" w:space="0" w:color="auto"/>
        <w:left w:val="none" w:sz="0" w:space="0" w:color="auto"/>
        <w:bottom w:val="none" w:sz="0" w:space="0" w:color="auto"/>
        <w:right w:val="none" w:sz="0" w:space="0" w:color="auto"/>
      </w:divBdr>
    </w:div>
    <w:div w:id="1913075027">
      <w:bodyDiv w:val="1"/>
      <w:marLeft w:val="0"/>
      <w:marRight w:val="0"/>
      <w:marTop w:val="0"/>
      <w:marBottom w:val="0"/>
      <w:divBdr>
        <w:top w:val="none" w:sz="0" w:space="0" w:color="auto"/>
        <w:left w:val="none" w:sz="0" w:space="0" w:color="auto"/>
        <w:bottom w:val="none" w:sz="0" w:space="0" w:color="auto"/>
        <w:right w:val="none" w:sz="0" w:space="0" w:color="auto"/>
      </w:divBdr>
    </w:div>
    <w:div w:id="1964188969">
      <w:bodyDiv w:val="1"/>
      <w:marLeft w:val="0"/>
      <w:marRight w:val="0"/>
      <w:marTop w:val="0"/>
      <w:marBottom w:val="0"/>
      <w:divBdr>
        <w:top w:val="none" w:sz="0" w:space="0" w:color="auto"/>
        <w:left w:val="none" w:sz="0" w:space="0" w:color="auto"/>
        <w:bottom w:val="none" w:sz="0" w:space="0" w:color="auto"/>
        <w:right w:val="none" w:sz="0" w:space="0" w:color="auto"/>
      </w:divBdr>
    </w:div>
    <w:div w:id="2031030527">
      <w:bodyDiv w:val="1"/>
      <w:marLeft w:val="0"/>
      <w:marRight w:val="0"/>
      <w:marTop w:val="0"/>
      <w:marBottom w:val="0"/>
      <w:divBdr>
        <w:top w:val="none" w:sz="0" w:space="0" w:color="auto"/>
        <w:left w:val="none" w:sz="0" w:space="0" w:color="auto"/>
        <w:bottom w:val="none" w:sz="0" w:space="0" w:color="auto"/>
        <w:right w:val="none" w:sz="0" w:space="0" w:color="auto"/>
      </w:divBdr>
    </w:div>
    <w:div w:id="2037386188">
      <w:bodyDiv w:val="1"/>
      <w:marLeft w:val="0"/>
      <w:marRight w:val="0"/>
      <w:marTop w:val="0"/>
      <w:marBottom w:val="0"/>
      <w:divBdr>
        <w:top w:val="none" w:sz="0" w:space="0" w:color="auto"/>
        <w:left w:val="none" w:sz="0" w:space="0" w:color="auto"/>
        <w:bottom w:val="none" w:sz="0" w:space="0" w:color="auto"/>
        <w:right w:val="none" w:sz="0" w:space="0" w:color="auto"/>
      </w:divBdr>
    </w:div>
    <w:div w:id="2042851407">
      <w:bodyDiv w:val="1"/>
      <w:marLeft w:val="0"/>
      <w:marRight w:val="0"/>
      <w:marTop w:val="0"/>
      <w:marBottom w:val="0"/>
      <w:divBdr>
        <w:top w:val="none" w:sz="0" w:space="0" w:color="auto"/>
        <w:left w:val="none" w:sz="0" w:space="0" w:color="auto"/>
        <w:bottom w:val="none" w:sz="0" w:space="0" w:color="auto"/>
        <w:right w:val="none" w:sz="0" w:space="0" w:color="auto"/>
      </w:divBdr>
    </w:div>
    <w:div w:id="2073695638">
      <w:bodyDiv w:val="1"/>
      <w:marLeft w:val="0"/>
      <w:marRight w:val="0"/>
      <w:marTop w:val="0"/>
      <w:marBottom w:val="0"/>
      <w:divBdr>
        <w:top w:val="none" w:sz="0" w:space="0" w:color="auto"/>
        <w:left w:val="none" w:sz="0" w:space="0" w:color="auto"/>
        <w:bottom w:val="none" w:sz="0" w:space="0" w:color="auto"/>
        <w:right w:val="none" w:sz="0" w:space="0" w:color="auto"/>
      </w:divBdr>
    </w:div>
    <w:div w:id="2086295256">
      <w:bodyDiv w:val="1"/>
      <w:marLeft w:val="0"/>
      <w:marRight w:val="0"/>
      <w:marTop w:val="0"/>
      <w:marBottom w:val="0"/>
      <w:divBdr>
        <w:top w:val="none" w:sz="0" w:space="0" w:color="auto"/>
        <w:left w:val="none" w:sz="0" w:space="0" w:color="auto"/>
        <w:bottom w:val="none" w:sz="0" w:space="0" w:color="auto"/>
        <w:right w:val="none" w:sz="0" w:space="0" w:color="auto"/>
      </w:divBdr>
    </w:div>
    <w:div w:id="2129398035">
      <w:bodyDiv w:val="1"/>
      <w:marLeft w:val="0"/>
      <w:marRight w:val="0"/>
      <w:marTop w:val="0"/>
      <w:marBottom w:val="0"/>
      <w:divBdr>
        <w:top w:val="none" w:sz="0" w:space="0" w:color="auto"/>
        <w:left w:val="none" w:sz="0" w:space="0" w:color="auto"/>
        <w:bottom w:val="none" w:sz="0" w:space="0" w:color="auto"/>
        <w:right w:val="none" w:sz="0" w:space="0" w:color="auto"/>
      </w:divBdr>
    </w:div>
    <w:div w:id="21423830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a-2018-en.herokuapp.com"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osf.io/dq3t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finitiv.com/en/financial-data/fund-data/lipper-fund-data" TargetMode="External"/><Relationship Id="rId4" Type="http://schemas.openxmlformats.org/officeDocument/2006/relationships/webSettings" Target="webSettings.xml"/><Relationship Id="rId9" Type="http://schemas.openxmlformats.org/officeDocument/2006/relationships/hyperlink" Target="https://www.morningstar.com/products/direct"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48D"/>
    <w:rsid w:val="00275401"/>
    <w:rsid w:val="00C8048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804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760</TotalTime>
  <Pages>9</Pages>
  <Words>2593</Words>
  <Characters>13744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Gothenburg</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Adam Farago</cp:lastModifiedBy>
  <cp:revision>68</cp:revision>
  <dcterms:created xsi:type="dcterms:W3CDTF">2021-06-02T14:29:00Z</dcterms:created>
  <dcterms:modified xsi:type="dcterms:W3CDTF">2021-10-19T11:25:00Z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ibutors">
    <vt:lpwstr/>
  </property>
</Properties>
</file>