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6F" w:rsidRPr="00AB0DF5" w:rsidRDefault="0043556F" w:rsidP="0043556F">
      <w:pPr>
        <w:spacing w:line="480" w:lineRule="auto"/>
        <w:rPr>
          <w:b/>
          <w:lang w:val="en-GB"/>
        </w:rPr>
      </w:pPr>
      <w:r>
        <w:rPr>
          <w:b/>
          <w:lang w:val="en-GB"/>
        </w:rPr>
        <w:t xml:space="preserve">Table </w:t>
      </w:r>
      <w:r w:rsidR="00533C27">
        <w:rPr>
          <w:b/>
          <w:lang w:val="en-GB"/>
        </w:rPr>
        <w:t>A5</w:t>
      </w:r>
      <w:bookmarkStart w:id="0" w:name="_GoBack"/>
      <w:bookmarkEnd w:id="0"/>
    </w:p>
    <w:p w:rsidR="0043556F" w:rsidRPr="00AB0DF5" w:rsidRDefault="0043556F" w:rsidP="0043556F">
      <w:pPr>
        <w:spacing w:line="480" w:lineRule="auto"/>
        <w:rPr>
          <w:rFonts w:eastAsia="Calibri"/>
          <w:i/>
          <w:sz w:val="18"/>
          <w:szCs w:val="18"/>
          <w:lang w:val="en-US"/>
        </w:rPr>
      </w:pPr>
      <w:r w:rsidRPr="00AB0DF5">
        <w:rPr>
          <w:lang w:val="en-US"/>
        </w:rPr>
        <w:t xml:space="preserve">Main floral (i.e. flower size, color, stamen type, flower numbers per individual) and vegetative characters (i.e. growth form, stem height), flowering time and population size </w:t>
      </w:r>
      <w:proofErr w:type="spellStart"/>
      <w:r w:rsidRPr="00AB0DF5">
        <w:rPr>
          <w:lang w:val="en-US"/>
        </w:rPr>
        <w:t>informations</w:t>
      </w:r>
      <w:proofErr w:type="spellEnd"/>
      <w:r w:rsidRPr="00AB0DF5">
        <w:rPr>
          <w:lang w:val="en-US"/>
        </w:rPr>
        <w:t xml:space="preserve">. Green highlighted species belong to </w:t>
      </w:r>
      <w:r>
        <w:rPr>
          <w:lang w:val="en-US"/>
        </w:rPr>
        <w:t xml:space="preserve">the </w:t>
      </w:r>
      <w:proofErr w:type="spellStart"/>
      <w:r>
        <w:rPr>
          <w:lang w:val="en-US"/>
        </w:rPr>
        <w:t>subg</w:t>
      </w:r>
      <w:proofErr w:type="spellEnd"/>
      <w:r>
        <w:rPr>
          <w:lang w:val="en-US"/>
        </w:rPr>
        <w:t xml:space="preserve">. </w:t>
      </w:r>
      <w:r w:rsidRPr="00CB2496">
        <w:rPr>
          <w:i/>
          <w:lang w:val="en-US"/>
        </w:rPr>
        <w:t>Salvia</w:t>
      </w:r>
      <w:r w:rsidRPr="00AB0DF5">
        <w:rPr>
          <w:lang w:val="en-US"/>
        </w:rPr>
        <w:t xml:space="preserve"> </w:t>
      </w:r>
      <w:r>
        <w:rPr>
          <w:lang w:val="en-US"/>
        </w:rPr>
        <w:t>c</w:t>
      </w:r>
      <w:r w:rsidRPr="00AB0DF5">
        <w:rPr>
          <w:lang w:val="en-US"/>
        </w:rPr>
        <w:t xml:space="preserve">lade, </w:t>
      </w:r>
      <w:r>
        <w:rPr>
          <w:lang w:val="en-US"/>
        </w:rPr>
        <w:t>y</w:t>
      </w:r>
      <w:r w:rsidRPr="00AB0DF5">
        <w:rPr>
          <w:lang w:val="en-US"/>
        </w:rPr>
        <w:t xml:space="preserve">ellow highlighted species belong to </w:t>
      </w:r>
      <w:r>
        <w:rPr>
          <w:lang w:val="en-US"/>
        </w:rPr>
        <w:t xml:space="preserve">the </w:t>
      </w:r>
      <w:proofErr w:type="spellStart"/>
      <w:r>
        <w:rPr>
          <w:lang w:val="en-US"/>
        </w:rPr>
        <w:t>subg</w:t>
      </w:r>
      <w:proofErr w:type="spellEnd"/>
      <w:r>
        <w:rPr>
          <w:lang w:val="en-US"/>
        </w:rPr>
        <w:t xml:space="preserve">. </w:t>
      </w:r>
      <w:proofErr w:type="spellStart"/>
      <w:r w:rsidRPr="00CB2496">
        <w:rPr>
          <w:i/>
          <w:lang w:val="en-US"/>
        </w:rPr>
        <w:t>Sclarea</w:t>
      </w:r>
      <w:proofErr w:type="spellEnd"/>
      <w:r w:rsidRPr="00AB0DF5">
        <w:rPr>
          <w:lang w:val="en-US"/>
        </w:rPr>
        <w:t xml:space="preserve"> </w:t>
      </w:r>
      <w:r>
        <w:rPr>
          <w:lang w:val="en-US"/>
        </w:rPr>
        <w:t>c</w:t>
      </w:r>
      <w:r w:rsidRPr="00AB0DF5">
        <w:rPr>
          <w:lang w:val="en-US"/>
        </w:rPr>
        <w:t xml:space="preserve">lade, and </w:t>
      </w:r>
      <w:r>
        <w:rPr>
          <w:lang w:val="en-US"/>
        </w:rPr>
        <w:t>b</w:t>
      </w:r>
      <w:r w:rsidRPr="00AB0DF5">
        <w:rPr>
          <w:lang w:val="en-US"/>
        </w:rPr>
        <w:t xml:space="preserve">lue highlighted species belong to </w:t>
      </w:r>
      <w:r>
        <w:rPr>
          <w:lang w:val="en-US"/>
        </w:rPr>
        <w:t xml:space="preserve">the </w:t>
      </w:r>
      <w:r w:rsidRPr="00CB2496">
        <w:rPr>
          <w:i/>
          <w:lang w:val="en-US"/>
        </w:rPr>
        <w:t xml:space="preserve">Salvia </w:t>
      </w:r>
      <w:proofErr w:type="spellStart"/>
      <w:r w:rsidRPr="00CB2496">
        <w:rPr>
          <w:i/>
          <w:lang w:val="en-US"/>
        </w:rPr>
        <w:t>verticillata</w:t>
      </w:r>
      <w:proofErr w:type="spellEnd"/>
      <w:r w:rsidRPr="00AB0DF5">
        <w:rPr>
          <w:lang w:val="en-US"/>
        </w:rPr>
        <w:t xml:space="preserve"> </w:t>
      </w:r>
      <w:r>
        <w:rPr>
          <w:lang w:val="en-US"/>
        </w:rPr>
        <w:t>c</w:t>
      </w:r>
      <w:r w:rsidRPr="00AB0DF5">
        <w:rPr>
          <w:lang w:val="en-US"/>
        </w:rPr>
        <w:t>lade. * endemic species.</w:t>
      </w:r>
    </w:p>
    <w:tbl>
      <w:tblPr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993"/>
        <w:gridCol w:w="1417"/>
        <w:gridCol w:w="1276"/>
        <w:gridCol w:w="850"/>
        <w:gridCol w:w="1134"/>
        <w:gridCol w:w="992"/>
        <w:gridCol w:w="1277"/>
        <w:gridCol w:w="1134"/>
        <w:gridCol w:w="850"/>
        <w:gridCol w:w="1135"/>
        <w:gridCol w:w="993"/>
      </w:tblGrid>
      <w:tr w:rsidR="0043556F" w:rsidRPr="00AB0DF5" w:rsidTr="00F31CAD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  <w:lang w:val="en-US"/>
              </w:rPr>
            </w:pP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*S. </w:t>
            </w:r>
            <w:r w:rsidRPr="00AB0DF5">
              <w:rPr>
                <w:rFonts w:eastAsia="Calibri"/>
                <w:bCs/>
                <w:i/>
                <w:sz w:val="18"/>
                <w:szCs w:val="18"/>
                <w:lang w:eastAsia="tr-TR"/>
              </w:rPr>
              <w:t>blepharochlaena</w:t>
            </w:r>
            <w:r w:rsidRPr="00AB0DF5"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recognita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3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</w:pPr>
            <w:r w:rsidRPr="00AB0DF5">
              <w:rPr>
                <w:rFonts w:eastAsia="Calibri"/>
                <w:bCs/>
                <w:i/>
                <w:sz w:val="18"/>
                <w:szCs w:val="18"/>
                <w:lang w:eastAsia="tr-TR"/>
              </w:rPr>
              <w:t>*S. absconditiflora</w:t>
            </w:r>
            <w:r w:rsidRPr="00AB0DF5"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  <w:t>1/2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tchihatcheffii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virgata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hypargeia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1/2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aethiopis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candidissima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cyanescens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viridis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EAADB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S.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verticillata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subsp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. </w:t>
            </w:r>
            <w:r w:rsidRPr="00AB0DF5">
              <w:rPr>
                <w:rFonts w:eastAsia="Calibri"/>
                <w:i/>
                <w:sz w:val="18"/>
                <w:szCs w:val="18"/>
              </w:rPr>
              <w:t>amasiaca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EAADB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russellii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</w:tr>
      <w:tr w:rsidR="0043556F" w:rsidRPr="00AB0DF5" w:rsidTr="00F31CAD"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Growth form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woody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at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base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mat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forming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suffruticose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hern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Annual herb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Perennial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herb</w:t>
            </w:r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Stem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height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(cm)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 xml:space="preserve">30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30 (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42)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12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60</w:t>
            </w:r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color w:val="000000"/>
                <w:sz w:val="18"/>
                <w:szCs w:val="18"/>
              </w:rPr>
              <w:t>Flowering</w:t>
            </w:r>
            <w:proofErr w:type="spellEnd"/>
            <w:r w:rsidRPr="00AB0DF5">
              <w:rPr>
                <w:rFonts w:eastAsia="Calibri"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3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th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April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2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nd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2nd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July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th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mid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th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mid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2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nd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mid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August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2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nd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3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th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 xml:space="preserve">th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July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 xml:space="preserve">th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July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th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1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 xml:space="preserve">th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end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July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From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2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nd</w:t>
            </w:r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week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May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mid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of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June</w:t>
            </w:r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lastRenderedPageBreak/>
              <w:t>Flower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size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(mm)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27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 xml:space="preserve">50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33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18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 xml:space="preserve">26 (1.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pop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>.)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18 (2. Pop.)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12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26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13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23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23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12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7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8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</w:t>
            </w:r>
          </w:p>
        </w:tc>
      </w:tr>
      <w:tr w:rsidR="0043556F" w:rsidRPr="00AB0DF5" w:rsidTr="00F31CAD">
        <w:trPr>
          <w:trHeight w:val="351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White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with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big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purple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spot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in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the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lip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Light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to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dark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pinkish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with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White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spots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in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the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lower</w:t>
            </w:r>
            <w:proofErr w:type="spellEnd"/>
            <w:r w:rsidRPr="00AB0DF5">
              <w:rPr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AB0DF5">
              <w:rPr>
                <w:sz w:val="18"/>
                <w:szCs w:val="18"/>
                <w:lang w:val="tr-TR" w:eastAsia="tr-TR"/>
              </w:rPr>
              <w:t>lip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Whitish-cream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white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Violet-blue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Light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violet-blue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to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lilac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White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White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with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yellow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lip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Light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lilac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with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yellow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lip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Lilac-purple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Violet-blue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Violet-blue</w:t>
            </w:r>
            <w:proofErr w:type="spellEnd"/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sz w:val="18"/>
                <w:szCs w:val="18"/>
              </w:rPr>
              <w:t>Flower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number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per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individiual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50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500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1500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30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12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400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400</w:t>
            </w:r>
            <w:r w:rsidRPr="00AB0DF5">
              <w:rPr>
                <w:lang w:val="en-GB"/>
              </w:rPr>
              <w:t>–</w:t>
            </w:r>
            <w:r w:rsidRPr="00AB0DF5">
              <w:rPr>
                <w:rFonts w:eastAsia="Calibri"/>
                <w:sz w:val="18"/>
                <w:szCs w:val="18"/>
              </w:rPr>
              <w:t>5000</w:t>
            </w:r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Population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size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Big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Big (1.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pop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>)</w:t>
            </w:r>
          </w:p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 (2. Pop.)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Big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Large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Small</w:t>
            </w:r>
          </w:p>
        </w:tc>
      </w:tr>
      <w:tr w:rsidR="0043556F" w:rsidRPr="00AB0DF5" w:rsidTr="00F31CAD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Stamen type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56F" w:rsidRPr="00AB0DF5" w:rsidRDefault="0043556F" w:rsidP="00F31CAD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C</w:t>
            </w:r>
          </w:p>
        </w:tc>
      </w:tr>
    </w:tbl>
    <w:p w:rsidR="00656C49" w:rsidRDefault="00656C49"/>
    <w:sectPr w:rsidR="00656C49" w:rsidSect="004355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6F"/>
    <w:rsid w:val="0043556F"/>
    <w:rsid w:val="00533C27"/>
    <w:rsid w:val="0065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2EC0F6"/>
  <w15:chartTrackingRefBased/>
  <w15:docId w15:val="{44C94D6B-08DA-4F48-90BB-80785000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uiPriority w:val="99"/>
    <w:semiHidden/>
    <w:unhideWhenUsed/>
    <w:rsid w:val="00435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2020-06-02T02:46:00Z</dcterms:created>
  <dcterms:modified xsi:type="dcterms:W3CDTF">2020-06-09T04:27:00Z</dcterms:modified>
</cp:coreProperties>
</file>