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897209" w14:textId="7B1E456D" w:rsidR="00F6415E" w:rsidRDefault="00DC49A6" w:rsidP="00DC49A6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Supplementary Material for</w:t>
      </w:r>
    </w:p>
    <w:p w14:paraId="535A4D66" w14:textId="4A5823FC" w:rsidR="00DC49A6" w:rsidRDefault="00DC49A6" w:rsidP="00DC49A6">
      <w:pPr>
        <w:jc w:val="center"/>
        <w:rPr>
          <w:rFonts w:ascii="Times New Roman" w:hAnsi="Times New Roman" w:cs="Times New Roman"/>
        </w:rPr>
      </w:pPr>
    </w:p>
    <w:p w14:paraId="326963E6" w14:textId="577C2D2E" w:rsidR="00DC49A6" w:rsidRDefault="00DC49A6" w:rsidP="00DC49A6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Observed Zonal Variations of the Relationship Between ITCZ Position and SST Contrast</w:t>
      </w:r>
    </w:p>
    <w:p w14:paraId="51DE17A0" w14:textId="503D44C4" w:rsidR="00DC49A6" w:rsidRDefault="00DC49A6" w:rsidP="00DC49A6">
      <w:pPr>
        <w:jc w:val="center"/>
        <w:rPr>
          <w:rFonts w:ascii="Times New Roman" w:hAnsi="Times New Roman" w:cs="Times New Roman"/>
        </w:rPr>
      </w:pPr>
    </w:p>
    <w:p w14:paraId="598405C4" w14:textId="2AE62C25" w:rsidR="00DC49A6" w:rsidRDefault="00DC49A6" w:rsidP="00DC49A6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Eric Mischell</w:t>
      </w:r>
      <w:r>
        <w:rPr>
          <w:rFonts w:ascii="Times New Roman" w:hAnsi="Times New Roman" w:cs="Times New Roman"/>
          <w:vertAlign w:val="superscript"/>
        </w:rPr>
        <w:t>1</w:t>
      </w:r>
      <w:r>
        <w:rPr>
          <w:rFonts w:ascii="Times New Roman" w:hAnsi="Times New Roman" w:cs="Times New Roman"/>
        </w:rPr>
        <w:t xml:space="preserve"> and Jung-</w:t>
      </w:r>
      <w:proofErr w:type="spellStart"/>
      <w:r>
        <w:rPr>
          <w:rFonts w:ascii="Times New Roman" w:hAnsi="Times New Roman" w:cs="Times New Roman"/>
        </w:rPr>
        <w:t>Eun</w:t>
      </w:r>
      <w:proofErr w:type="spellEnd"/>
      <w:r>
        <w:rPr>
          <w:rFonts w:ascii="Times New Roman" w:hAnsi="Times New Roman" w:cs="Times New Roman"/>
        </w:rPr>
        <w:t xml:space="preserve"> Lee</w:t>
      </w:r>
      <w:r>
        <w:rPr>
          <w:rFonts w:ascii="Times New Roman" w:hAnsi="Times New Roman" w:cs="Times New Roman"/>
          <w:vertAlign w:val="superscript"/>
        </w:rPr>
        <w:t>1</w:t>
      </w:r>
    </w:p>
    <w:p w14:paraId="5B386241" w14:textId="1D1E3726" w:rsidR="00DC49A6" w:rsidRDefault="00DC49A6" w:rsidP="00DC49A6">
      <w:pPr>
        <w:jc w:val="center"/>
        <w:rPr>
          <w:rFonts w:ascii="Times New Roman" w:hAnsi="Times New Roman" w:cs="Times New Roman"/>
        </w:rPr>
      </w:pPr>
    </w:p>
    <w:p w14:paraId="2B3676FC" w14:textId="4687201B" w:rsidR="00DC49A6" w:rsidRDefault="00DC49A6" w:rsidP="00DC49A6">
      <w:pPr>
        <w:jc w:val="center"/>
        <w:rPr>
          <w:rFonts w:ascii="Times New Roman" w:hAnsi="Times New Roman" w:cs="Times New Roman"/>
          <w:sz w:val="20"/>
          <w:szCs w:val="20"/>
        </w:rPr>
      </w:pPr>
      <w:r w:rsidRPr="00DC49A6">
        <w:rPr>
          <w:rFonts w:ascii="Times New Roman" w:hAnsi="Times New Roman" w:cs="Times New Roman"/>
          <w:sz w:val="20"/>
          <w:szCs w:val="20"/>
          <w:vertAlign w:val="superscript"/>
        </w:rPr>
        <w:t>1</w:t>
      </w:r>
      <w:r w:rsidRPr="00DC49A6">
        <w:rPr>
          <w:rFonts w:ascii="Times New Roman" w:hAnsi="Times New Roman" w:cs="Times New Roman"/>
          <w:sz w:val="20"/>
          <w:szCs w:val="20"/>
        </w:rPr>
        <w:t>Department of Earth, Environmental and Planetary Sciences, Brown University, Providence, R.I., U.S.A.</w:t>
      </w:r>
    </w:p>
    <w:p w14:paraId="48E798D4" w14:textId="77DEE1DE" w:rsidR="00DC49A6" w:rsidRDefault="00DC49A6" w:rsidP="00DC49A6">
      <w:pPr>
        <w:jc w:val="center"/>
        <w:rPr>
          <w:rFonts w:ascii="Times New Roman" w:hAnsi="Times New Roman" w:cs="Times New Roman"/>
        </w:rPr>
      </w:pPr>
    </w:p>
    <w:p w14:paraId="75CEA13B" w14:textId="77777777" w:rsidR="00DC49A6" w:rsidRDefault="00DC49A6" w:rsidP="00DC49A6">
      <w:pPr>
        <w:rPr>
          <w:rFonts w:ascii="Times New Roman" w:eastAsia="Times New Roman" w:hAnsi="Times New Roman" w:cs="Times New Roman"/>
          <w:color w:val="000000"/>
        </w:rPr>
      </w:pPr>
    </w:p>
    <w:p w14:paraId="3C8BEE38" w14:textId="47A54CF0" w:rsidR="00DC49A6" w:rsidRPr="00DC49A6" w:rsidRDefault="00DC49A6" w:rsidP="00DC49A6">
      <w:pPr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DC49A6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This file contains two supplementary tables which show the strength of the interannual relationship between ITCZ position and interhemispheric SST contrast for the seasonal cycle (S1) and annual mean (S2). </w:t>
      </w:r>
    </w:p>
    <w:p w14:paraId="2B857EF0" w14:textId="08990D1F" w:rsidR="00DC49A6" w:rsidRDefault="00DC49A6" w:rsidP="00DC49A6">
      <w:pPr>
        <w:rPr>
          <w:rFonts w:ascii="Times New Roman" w:eastAsia="Times New Roman" w:hAnsi="Times New Roman" w:cs="Times New Roman"/>
          <w:color w:val="000000"/>
        </w:rPr>
      </w:pPr>
    </w:p>
    <w:p w14:paraId="729921EB" w14:textId="77B73565" w:rsidR="00DC49A6" w:rsidRDefault="00DC49A6" w:rsidP="00DC49A6">
      <w:pPr>
        <w:rPr>
          <w:rFonts w:ascii="Times New Roman" w:eastAsia="Times New Roman" w:hAnsi="Times New Roman" w:cs="Times New Roman"/>
          <w:color w:val="000000"/>
        </w:rPr>
      </w:pPr>
    </w:p>
    <w:p w14:paraId="4A885BCD" w14:textId="6C36A7E7" w:rsidR="00DC49A6" w:rsidRDefault="00DC49A6" w:rsidP="00DC49A6">
      <w:pPr>
        <w:rPr>
          <w:rFonts w:ascii="Times New Roman" w:eastAsia="Times New Roman" w:hAnsi="Times New Roman" w:cs="Times New Roman"/>
          <w:color w:val="000000"/>
        </w:rPr>
      </w:pPr>
    </w:p>
    <w:p w14:paraId="07D4405C" w14:textId="77777777" w:rsidR="00DC49A6" w:rsidRDefault="00DC49A6" w:rsidP="00DC49A6">
      <w:pPr>
        <w:rPr>
          <w:rFonts w:ascii="Times New Roman" w:eastAsia="Times New Roman" w:hAnsi="Times New Roman" w:cs="Times New Roman"/>
          <w:color w:val="000000"/>
        </w:rPr>
      </w:pPr>
    </w:p>
    <w:tbl>
      <w:tblPr>
        <w:tblStyle w:val="TableGrid"/>
        <w:tblW w:w="8288" w:type="dxa"/>
        <w:jc w:val="center"/>
        <w:tblLook w:val="04A0" w:firstRow="1" w:lastRow="0" w:firstColumn="1" w:lastColumn="0" w:noHBand="0" w:noVBand="1"/>
      </w:tblPr>
      <w:tblGrid>
        <w:gridCol w:w="1184"/>
        <w:gridCol w:w="1184"/>
        <w:gridCol w:w="1184"/>
        <w:gridCol w:w="1184"/>
        <w:gridCol w:w="1184"/>
        <w:gridCol w:w="1184"/>
        <w:gridCol w:w="1184"/>
      </w:tblGrid>
      <w:tr w:rsidR="00DC49A6" w:rsidRPr="00DC49A6" w14:paraId="0D8938A5" w14:textId="77777777" w:rsidTr="00B17B7C">
        <w:trPr>
          <w:trHeight w:val="276"/>
          <w:jc w:val="center"/>
        </w:trPr>
        <w:tc>
          <w:tcPr>
            <w:tcW w:w="1184" w:type="dxa"/>
            <w:noWrap/>
            <w:hideMark/>
          </w:tcPr>
          <w:p w14:paraId="521680FB" w14:textId="77777777" w:rsidR="00DC49A6" w:rsidRPr="00DC49A6" w:rsidRDefault="00DC49A6" w:rsidP="00B17B7C">
            <w:pPr>
              <w:jc w:val="center"/>
              <w:rPr>
                <w:rFonts w:ascii="Arial" w:eastAsiaTheme="minorHAnsi" w:hAnsi="Arial" w:cs="Arial"/>
              </w:rPr>
            </w:pPr>
          </w:p>
        </w:tc>
        <w:tc>
          <w:tcPr>
            <w:tcW w:w="1184" w:type="dxa"/>
            <w:noWrap/>
            <w:hideMark/>
          </w:tcPr>
          <w:p w14:paraId="445F0EB3" w14:textId="77777777" w:rsidR="00DC49A6" w:rsidRPr="00DC49A6" w:rsidRDefault="00F128EC" w:rsidP="00B17B7C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m:oMathPara>
              <m:oMath>
                <m:acc>
                  <m:accPr>
                    <m:chr m:val="̅"/>
                    <m:ctrlPr>
                      <w:rPr>
                        <w:rFonts w:ascii="Cambria Math" w:hAnsi="Cambria Math" w:cs="Arial"/>
                        <w:b/>
                        <w:bCs/>
                        <w:i/>
                        <w:color w:val="000000"/>
                      </w:rPr>
                    </m:ctrlPr>
                  </m:accPr>
                  <m:e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color w:val="000000"/>
                      </w:rPr>
                      <m:t>R</m:t>
                    </m:r>
                  </m:e>
                </m:acc>
              </m:oMath>
            </m:oMathPara>
          </w:p>
        </w:tc>
        <w:tc>
          <w:tcPr>
            <w:tcW w:w="1184" w:type="dxa"/>
            <w:noWrap/>
            <w:hideMark/>
          </w:tcPr>
          <w:p w14:paraId="0DC3C9FD" w14:textId="77777777" w:rsidR="00DC49A6" w:rsidRPr="00DC49A6" w:rsidRDefault="00F128EC" w:rsidP="00B17B7C">
            <w:pPr>
              <w:jc w:val="center"/>
              <w:rPr>
                <w:rFonts w:ascii="Arial" w:hAnsi="Arial" w:cs="Arial"/>
                <w:b/>
                <w:bCs/>
                <w:color w:val="000000"/>
                <w:vertAlign w:val="subscript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Arial"/>
                        <w:b/>
                        <w:bCs/>
                        <w:i/>
                        <w:color w:val="000000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color w:val="000000"/>
                      </w:rPr>
                      <m:t>σ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color w:val="000000"/>
                      </w:rPr>
                      <m:t>R</m:t>
                    </m:r>
                  </m:sub>
                </m:sSub>
              </m:oMath>
            </m:oMathPara>
          </w:p>
        </w:tc>
        <w:tc>
          <w:tcPr>
            <w:tcW w:w="1184" w:type="dxa"/>
            <w:noWrap/>
            <w:hideMark/>
          </w:tcPr>
          <w:p w14:paraId="2B28A409" w14:textId="77777777" w:rsidR="00DC49A6" w:rsidRPr="00DC49A6" w:rsidRDefault="00F128EC" w:rsidP="00B17B7C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m:oMathPara>
              <m:oMath>
                <m:acc>
                  <m:accPr>
                    <m:chr m:val="̅"/>
                    <m:ctrlPr>
                      <w:rPr>
                        <w:rFonts w:ascii="Cambria Math" w:hAnsi="Cambria Math" w:cs="Arial"/>
                        <w:b/>
                        <w:bCs/>
                        <w:i/>
                        <w:color w:val="000000"/>
                      </w:rPr>
                    </m:ctrlPr>
                  </m:accPr>
                  <m:e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color w:val="000000"/>
                      </w:rPr>
                      <m:t>m</m:t>
                    </m:r>
                  </m:e>
                </m:acc>
              </m:oMath>
            </m:oMathPara>
          </w:p>
        </w:tc>
        <w:tc>
          <w:tcPr>
            <w:tcW w:w="1184" w:type="dxa"/>
            <w:noWrap/>
            <w:hideMark/>
          </w:tcPr>
          <w:p w14:paraId="5129BECA" w14:textId="77777777" w:rsidR="00DC49A6" w:rsidRPr="00DC49A6" w:rsidRDefault="00F128EC" w:rsidP="00B17B7C">
            <w:pPr>
              <w:jc w:val="center"/>
              <w:rPr>
                <w:rFonts w:ascii="Arial" w:hAnsi="Arial" w:cs="Arial"/>
                <w:b/>
                <w:bCs/>
                <w:color w:val="000000"/>
                <w:vertAlign w:val="subscript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Arial"/>
                        <w:b/>
                        <w:bCs/>
                        <w:i/>
                        <w:color w:val="000000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color w:val="000000"/>
                      </w:rPr>
                      <m:t>σ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color w:val="000000"/>
                      </w:rPr>
                      <m:t>m</m:t>
                    </m:r>
                  </m:sub>
                </m:sSub>
              </m:oMath>
            </m:oMathPara>
          </w:p>
        </w:tc>
        <w:tc>
          <w:tcPr>
            <w:tcW w:w="1184" w:type="dxa"/>
            <w:noWrap/>
            <w:hideMark/>
          </w:tcPr>
          <w:p w14:paraId="49893D33" w14:textId="77777777" w:rsidR="00DC49A6" w:rsidRPr="00DC49A6" w:rsidRDefault="00F128EC" w:rsidP="00B17B7C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m:oMathPara>
              <m:oMath>
                <m:acc>
                  <m:accPr>
                    <m:chr m:val="̅"/>
                    <m:ctrlPr>
                      <w:rPr>
                        <w:rFonts w:ascii="Cambria Math" w:hAnsi="Cambria Math" w:cs="Arial"/>
                        <w:b/>
                        <w:bCs/>
                        <w:i/>
                        <w:color w:val="000000"/>
                      </w:rPr>
                    </m:ctrlPr>
                  </m:accPr>
                  <m:e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color w:val="000000"/>
                      </w:rPr>
                      <m:t>b</m:t>
                    </m:r>
                  </m:e>
                </m:acc>
              </m:oMath>
            </m:oMathPara>
          </w:p>
        </w:tc>
        <w:tc>
          <w:tcPr>
            <w:tcW w:w="1184" w:type="dxa"/>
            <w:noWrap/>
            <w:hideMark/>
          </w:tcPr>
          <w:p w14:paraId="30FDA3FF" w14:textId="77777777" w:rsidR="00DC49A6" w:rsidRPr="00DC49A6" w:rsidRDefault="00F128EC" w:rsidP="00B17B7C">
            <w:pPr>
              <w:jc w:val="center"/>
              <w:rPr>
                <w:rFonts w:ascii="Arial" w:hAnsi="Arial" w:cs="Arial"/>
                <w:b/>
                <w:bCs/>
                <w:color w:val="000000"/>
                <w:vertAlign w:val="subscript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Arial"/>
                        <w:b/>
                        <w:bCs/>
                        <w:i/>
                        <w:color w:val="000000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color w:val="000000"/>
                      </w:rPr>
                      <m:t>σ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color w:val="000000"/>
                      </w:rPr>
                      <m:t>b</m:t>
                    </m:r>
                  </m:sub>
                </m:sSub>
              </m:oMath>
            </m:oMathPara>
          </w:p>
        </w:tc>
      </w:tr>
      <w:tr w:rsidR="00DC49A6" w:rsidRPr="00DC49A6" w14:paraId="108C3C63" w14:textId="77777777" w:rsidTr="00B17B7C">
        <w:trPr>
          <w:trHeight w:val="276"/>
          <w:jc w:val="center"/>
        </w:trPr>
        <w:tc>
          <w:tcPr>
            <w:tcW w:w="1184" w:type="dxa"/>
            <w:noWrap/>
            <w:hideMark/>
          </w:tcPr>
          <w:p w14:paraId="644EBE99" w14:textId="77777777" w:rsidR="00DC49A6" w:rsidRPr="00DC49A6" w:rsidRDefault="00DC49A6" w:rsidP="00B17B7C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DC49A6">
              <w:rPr>
                <w:rFonts w:ascii="Arial" w:hAnsi="Arial" w:cs="Arial"/>
                <w:b/>
                <w:bCs/>
                <w:color w:val="000000"/>
              </w:rPr>
              <w:t>Global</w:t>
            </w:r>
          </w:p>
        </w:tc>
        <w:tc>
          <w:tcPr>
            <w:tcW w:w="1184" w:type="dxa"/>
            <w:noWrap/>
            <w:hideMark/>
          </w:tcPr>
          <w:p w14:paraId="3BF2D750" w14:textId="77777777" w:rsidR="00DC49A6" w:rsidRPr="00DC49A6" w:rsidRDefault="00DC49A6" w:rsidP="00B17B7C">
            <w:pPr>
              <w:jc w:val="center"/>
              <w:rPr>
                <w:rFonts w:ascii="Arial" w:hAnsi="Arial" w:cs="Arial"/>
                <w:color w:val="000000"/>
              </w:rPr>
            </w:pPr>
            <w:r w:rsidRPr="00DC49A6">
              <w:rPr>
                <w:rFonts w:ascii="Arial" w:hAnsi="Arial" w:cs="Arial"/>
                <w:color w:val="000000"/>
              </w:rPr>
              <w:t>0.98</w:t>
            </w:r>
          </w:p>
        </w:tc>
        <w:tc>
          <w:tcPr>
            <w:tcW w:w="1184" w:type="dxa"/>
            <w:noWrap/>
            <w:hideMark/>
          </w:tcPr>
          <w:p w14:paraId="6E3AE8D5" w14:textId="77777777" w:rsidR="00DC49A6" w:rsidRPr="00DC49A6" w:rsidRDefault="00DC49A6" w:rsidP="00B17B7C">
            <w:pPr>
              <w:jc w:val="center"/>
              <w:rPr>
                <w:rFonts w:ascii="Arial" w:hAnsi="Arial" w:cs="Arial"/>
                <w:color w:val="000000"/>
              </w:rPr>
            </w:pPr>
            <w:r w:rsidRPr="00DC49A6">
              <w:rPr>
                <w:rFonts w:ascii="Arial" w:hAnsi="Arial" w:cs="Arial"/>
                <w:color w:val="000000"/>
              </w:rPr>
              <w:t>0.01</w:t>
            </w:r>
          </w:p>
        </w:tc>
        <w:tc>
          <w:tcPr>
            <w:tcW w:w="1184" w:type="dxa"/>
            <w:noWrap/>
            <w:hideMark/>
          </w:tcPr>
          <w:p w14:paraId="65032C3C" w14:textId="77777777" w:rsidR="00DC49A6" w:rsidRPr="00DC49A6" w:rsidRDefault="00DC49A6" w:rsidP="00B17B7C">
            <w:pPr>
              <w:jc w:val="center"/>
              <w:rPr>
                <w:rFonts w:ascii="Arial" w:hAnsi="Arial" w:cs="Arial"/>
                <w:color w:val="000000"/>
              </w:rPr>
            </w:pPr>
            <w:r w:rsidRPr="00DC49A6">
              <w:rPr>
                <w:rFonts w:ascii="Arial" w:hAnsi="Arial" w:cs="Arial"/>
                <w:color w:val="000000"/>
              </w:rPr>
              <w:t>2.95</w:t>
            </w:r>
          </w:p>
        </w:tc>
        <w:tc>
          <w:tcPr>
            <w:tcW w:w="1184" w:type="dxa"/>
            <w:noWrap/>
            <w:hideMark/>
          </w:tcPr>
          <w:p w14:paraId="45C4F98D" w14:textId="77777777" w:rsidR="00DC49A6" w:rsidRPr="00DC49A6" w:rsidRDefault="00DC49A6" w:rsidP="00B17B7C">
            <w:pPr>
              <w:jc w:val="center"/>
              <w:rPr>
                <w:rFonts w:ascii="Arial" w:hAnsi="Arial" w:cs="Arial"/>
                <w:color w:val="000000"/>
              </w:rPr>
            </w:pPr>
            <w:r w:rsidRPr="00DC49A6">
              <w:rPr>
                <w:rFonts w:ascii="Arial" w:hAnsi="Arial" w:cs="Arial"/>
                <w:color w:val="000000"/>
              </w:rPr>
              <w:t>0.2</w:t>
            </w:r>
          </w:p>
        </w:tc>
        <w:tc>
          <w:tcPr>
            <w:tcW w:w="1184" w:type="dxa"/>
            <w:noWrap/>
            <w:hideMark/>
          </w:tcPr>
          <w:p w14:paraId="30A66473" w14:textId="77777777" w:rsidR="00DC49A6" w:rsidRPr="00DC49A6" w:rsidRDefault="00DC49A6" w:rsidP="00B17B7C">
            <w:pPr>
              <w:jc w:val="center"/>
              <w:rPr>
                <w:rFonts w:ascii="Arial" w:hAnsi="Arial" w:cs="Arial"/>
                <w:color w:val="000000"/>
              </w:rPr>
            </w:pPr>
            <w:r w:rsidRPr="00DC49A6">
              <w:rPr>
                <w:rFonts w:ascii="Arial" w:hAnsi="Arial" w:cs="Arial"/>
                <w:color w:val="000000"/>
              </w:rPr>
              <w:t>-1.09</w:t>
            </w:r>
          </w:p>
        </w:tc>
        <w:tc>
          <w:tcPr>
            <w:tcW w:w="1184" w:type="dxa"/>
            <w:noWrap/>
            <w:hideMark/>
          </w:tcPr>
          <w:p w14:paraId="7A685B87" w14:textId="77777777" w:rsidR="00DC49A6" w:rsidRPr="00DC49A6" w:rsidRDefault="00DC49A6" w:rsidP="00B17B7C">
            <w:pPr>
              <w:jc w:val="center"/>
              <w:rPr>
                <w:rFonts w:ascii="Arial" w:hAnsi="Arial" w:cs="Arial"/>
                <w:color w:val="000000"/>
              </w:rPr>
            </w:pPr>
            <w:r w:rsidRPr="00DC49A6">
              <w:rPr>
                <w:rFonts w:ascii="Arial" w:hAnsi="Arial" w:cs="Arial"/>
                <w:color w:val="000000"/>
              </w:rPr>
              <w:t>0.53</w:t>
            </w:r>
          </w:p>
        </w:tc>
      </w:tr>
      <w:tr w:rsidR="00DC49A6" w:rsidRPr="00DC49A6" w14:paraId="319B6D1B" w14:textId="77777777" w:rsidTr="00B17B7C">
        <w:trPr>
          <w:trHeight w:val="276"/>
          <w:jc w:val="center"/>
        </w:trPr>
        <w:tc>
          <w:tcPr>
            <w:tcW w:w="1184" w:type="dxa"/>
            <w:noWrap/>
            <w:hideMark/>
          </w:tcPr>
          <w:p w14:paraId="6EF55CA2" w14:textId="77777777" w:rsidR="00DC49A6" w:rsidRPr="00DC49A6" w:rsidRDefault="00DC49A6" w:rsidP="00B17B7C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DC49A6">
              <w:rPr>
                <w:rFonts w:ascii="Arial" w:hAnsi="Arial" w:cs="Arial"/>
                <w:b/>
                <w:bCs/>
                <w:color w:val="000000"/>
              </w:rPr>
              <w:t>Indian</w:t>
            </w:r>
          </w:p>
        </w:tc>
        <w:tc>
          <w:tcPr>
            <w:tcW w:w="1184" w:type="dxa"/>
            <w:noWrap/>
            <w:hideMark/>
          </w:tcPr>
          <w:p w14:paraId="55EF954E" w14:textId="77777777" w:rsidR="00DC49A6" w:rsidRPr="00DC49A6" w:rsidRDefault="00DC49A6" w:rsidP="00B17B7C">
            <w:pPr>
              <w:jc w:val="center"/>
              <w:rPr>
                <w:rFonts w:ascii="Arial" w:hAnsi="Arial" w:cs="Arial"/>
                <w:color w:val="000000"/>
              </w:rPr>
            </w:pPr>
            <w:r w:rsidRPr="00DC49A6">
              <w:rPr>
                <w:rFonts w:ascii="Arial" w:hAnsi="Arial" w:cs="Arial"/>
                <w:color w:val="000000"/>
              </w:rPr>
              <w:t>0.83</w:t>
            </w:r>
          </w:p>
        </w:tc>
        <w:tc>
          <w:tcPr>
            <w:tcW w:w="1184" w:type="dxa"/>
            <w:noWrap/>
            <w:hideMark/>
          </w:tcPr>
          <w:p w14:paraId="633FC540" w14:textId="77777777" w:rsidR="00DC49A6" w:rsidRPr="00DC49A6" w:rsidRDefault="00DC49A6" w:rsidP="00B17B7C">
            <w:pPr>
              <w:jc w:val="center"/>
              <w:rPr>
                <w:rFonts w:ascii="Arial" w:hAnsi="Arial" w:cs="Arial"/>
                <w:color w:val="000000"/>
              </w:rPr>
            </w:pPr>
            <w:r w:rsidRPr="00DC49A6">
              <w:rPr>
                <w:rFonts w:ascii="Arial" w:hAnsi="Arial" w:cs="Arial"/>
                <w:color w:val="000000"/>
              </w:rPr>
              <w:t>0.06</w:t>
            </w:r>
          </w:p>
        </w:tc>
        <w:tc>
          <w:tcPr>
            <w:tcW w:w="1184" w:type="dxa"/>
            <w:noWrap/>
            <w:hideMark/>
          </w:tcPr>
          <w:p w14:paraId="207F0204" w14:textId="77777777" w:rsidR="00DC49A6" w:rsidRPr="00DC49A6" w:rsidRDefault="00DC49A6" w:rsidP="00B17B7C">
            <w:pPr>
              <w:jc w:val="center"/>
              <w:rPr>
                <w:rFonts w:ascii="Arial" w:hAnsi="Arial" w:cs="Arial"/>
                <w:color w:val="000000"/>
              </w:rPr>
            </w:pPr>
            <w:r w:rsidRPr="00DC49A6">
              <w:rPr>
                <w:rFonts w:ascii="Arial" w:hAnsi="Arial" w:cs="Arial"/>
                <w:color w:val="000000"/>
              </w:rPr>
              <w:t>3.86</w:t>
            </w:r>
          </w:p>
        </w:tc>
        <w:tc>
          <w:tcPr>
            <w:tcW w:w="1184" w:type="dxa"/>
            <w:noWrap/>
            <w:hideMark/>
          </w:tcPr>
          <w:p w14:paraId="437D1E28" w14:textId="77777777" w:rsidR="00DC49A6" w:rsidRPr="00DC49A6" w:rsidRDefault="00DC49A6" w:rsidP="00B17B7C">
            <w:pPr>
              <w:jc w:val="center"/>
              <w:rPr>
                <w:rFonts w:ascii="Arial" w:hAnsi="Arial" w:cs="Arial"/>
                <w:color w:val="000000"/>
              </w:rPr>
            </w:pPr>
            <w:r w:rsidRPr="00DC49A6">
              <w:rPr>
                <w:rFonts w:ascii="Arial" w:hAnsi="Arial" w:cs="Arial"/>
                <w:color w:val="000000"/>
              </w:rPr>
              <w:t>0.41</w:t>
            </w:r>
          </w:p>
        </w:tc>
        <w:tc>
          <w:tcPr>
            <w:tcW w:w="1184" w:type="dxa"/>
            <w:noWrap/>
            <w:hideMark/>
          </w:tcPr>
          <w:p w14:paraId="31FAC20B" w14:textId="77777777" w:rsidR="00DC49A6" w:rsidRPr="00DC49A6" w:rsidRDefault="00DC49A6" w:rsidP="00B17B7C">
            <w:pPr>
              <w:jc w:val="center"/>
              <w:rPr>
                <w:rFonts w:ascii="Arial" w:hAnsi="Arial" w:cs="Arial"/>
                <w:color w:val="000000"/>
              </w:rPr>
            </w:pPr>
            <w:r w:rsidRPr="00DC49A6">
              <w:rPr>
                <w:rFonts w:ascii="Arial" w:hAnsi="Arial" w:cs="Arial"/>
                <w:color w:val="000000"/>
              </w:rPr>
              <w:t>-8.96</w:t>
            </w:r>
          </w:p>
        </w:tc>
        <w:tc>
          <w:tcPr>
            <w:tcW w:w="1184" w:type="dxa"/>
            <w:noWrap/>
            <w:hideMark/>
          </w:tcPr>
          <w:p w14:paraId="7BF2EDD8" w14:textId="77777777" w:rsidR="00DC49A6" w:rsidRPr="00DC49A6" w:rsidRDefault="00DC49A6" w:rsidP="00B17B7C">
            <w:pPr>
              <w:jc w:val="center"/>
              <w:rPr>
                <w:rFonts w:ascii="Arial" w:hAnsi="Arial" w:cs="Arial"/>
                <w:color w:val="000000"/>
              </w:rPr>
            </w:pPr>
            <w:r w:rsidRPr="00DC49A6">
              <w:rPr>
                <w:rFonts w:ascii="Arial" w:hAnsi="Arial" w:cs="Arial"/>
                <w:color w:val="000000"/>
              </w:rPr>
              <w:t>0.95</w:t>
            </w:r>
          </w:p>
        </w:tc>
      </w:tr>
      <w:tr w:rsidR="00DC49A6" w:rsidRPr="00DC49A6" w14:paraId="1AE32DA5" w14:textId="77777777" w:rsidTr="00B17B7C">
        <w:trPr>
          <w:trHeight w:val="276"/>
          <w:jc w:val="center"/>
        </w:trPr>
        <w:tc>
          <w:tcPr>
            <w:tcW w:w="1184" w:type="dxa"/>
            <w:noWrap/>
            <w:hideMark/>
          </w:tcPr>
          <w:p w14:paraId="32B5858B" w14:textId="77777777" w:rsidR="00DC49A6" w:rsidRPr="00DC49A6" w:rsidRDefault="00DC49A6" w:rsidP="00B17B7C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DC49A6">
              <w:rPr>
                <w:rFonts w:ascii="Arial" w:hAnsi="Arial" w:cs="Arial"/>
                <w:b/>
                <w:bCs/>
                <w:color w:val="000000"/>
              </w:rPr>
              <w:t>Pacific</w:t>
            </w:r>
          </w:p>
        </w:tc>
        <w:tc>
          <w:tcPr>
            <w:tcW w:w="1184" w:type="dxa"/>
            <w:noWrap/>
            <w:hideMark/>
          </w:tcPr>
          <w:p w14:paraId="78D0EC13" w14:textId="77777777" w:rsidR="00DC49A6" w:rsidRPr="00DC49A6" w:rsidRDefault="00DC49A6" w:rsidP="00B17B7C">
            <w:pPr>
              <w:jc w:val="center"/>
              <w:rPr>
                <w:rFonts w:ascii="Arial" w:hAnsi="Arial" w:cs="Arial"/>
                <w:color w:val="000000"/>
              </w:rPr>
            </w:pPr>
            <w:r w:rsidRPr="00DC49A6">
              <w:rPr>
                <w:rFonts w:ascii="Arial" w:hAnsi="Arial" w:cs="Arial"/>
                <w:color w:val="000000"/>
              </w:rPr>
              <w:t>0.95</w:t>
            </w:r>
          </w:p>
        </w:tc>
        <w:tc>
          <w:tcPr>
            <w:tcW w:w="1184" w:type="dxa"/>
            <w:noWrap/>
            <w:hideMark/>
          </w:tcPr>
          <w:p w14:paraId="01FD9928" w14:textId="77777777" w:rsidR="00DC49A6" w:rsidRPr="00DC49A6" w:rsidRDefault="00DC49A6" w:rsidP="00B17B7C">
            <w:pPr>
              <w:jc w:val="center"/>
              <w:rPr>
                <w:rFonts w:ascii="Arial" w:hAnsi="Arial" w:cs="Arial"/>
                <w:color w:val="000000"/>
              </w:rPr>
            </w:pPr>
            <w:r w:rsidRPr="00DC49A6">
              <w:rPr>
                <w:rFonts w:ascii="Arial" w:hAnsi="Arial" w:cs="Arial"/>
                <w:color w:val="000000"/>
              </w:rPr>
              <w:t>0.03</w:t>
            </w:r>
          </w:p>
        </w:tc>
        <w:tc>
          <w:tcPr>
            <w:tcW w:w="1184" w:type="dxa"/>
            <w:noWrap/>
            <w:hideMark/>
          </w:tcPr>
          <w:p w14:paraId="78E93792" w14:textId="77777777" w:rsidR="00DC49A6" w:rsidRPr="00DC49A6" w:rsidRDefault="00DC49A6" w:rsidP="00B17B7C">
            <w:pPr>
              <w:jc w:val="center"/>
              <w:rPr>
                <w:rFonts w:ascii="Arial" w:hAnsi="Arial" w:cs="Arial"/>
                <w:color w:val="000000"/>
              </w:rPr>
            </w:pPr>
            <w:r w:rsidRPr="00DC49A6">
              <w:rPr>
                <w:rFonts w:ascii="Arial" w:hAnsi="Arial" w:cs="Arial"/>
                <w:color w:val="000000"/>
              </w:rPr>
              <w:t>3.27</w:t>
            </w:r>
          </w:p>
        </w:tc>
        <w:tc>
          <w:tcPr>
            <w:tcW w:w="1184" w:type="dxa"/>
            <w:noWrap/>
            <w:hideMark/>
          </w:tcPr>
          <w:p w14:paraId="2605C40B" w14:textId="77777777" w:rsidR="00DC49A6" w:rsidRPr="00DC49A6" w:rsidRDefault="00DC49A6" w:rsidP="00B17B7C">
            <w:pPr>
              <w:jc w:val="center"/>
              <w:rPr>
                <w:rFonts w:ascii="Arial" w:hAnsi="Arial" w:cs="Arial"/>
                <w:color w:val="000000"/>
              </w:rPr>
            </w:pPr>
            <w:r w:rsidRPr="00DC49A6">
              <w:rPr>
                <w:rFonts w:ascii="Arial" w:hAnsi="Arial" w:cs="Arial"/>
                <w:color w:val="000000"/>
              </w:rPr>
              <w:t>0.35</w:t>
            </w:r>
          </w:p>
        </w:tc>
        <w:tc>
          <w:tcPr>
            <w:tcW w:w="1184" w:type="dxa"/>
            <w:noWrap/>
            <w:hideMark/>
          </w:tcPr>
          <w:p w14:paraId="463EA90C" w14:textId="77777777" w:rsidR="00DC49A6" w:rsidRPr="00DC49A6" w:rsidRDefault="00DC49A6" w:rsidP="00B17B7C">
            <w:pPr>
              <w:jc w:val="center"/>
              <w:rPr>
                <w:rFonts w:ascii="Arial" w:hAnsi="Arial" w:cs="Arial"/>
                <w:color w:val="000000"/>
              </w:rPr>
            </w:pPr>
            <w:r w:rsidRPr="00DC49A6">
              <w:rPr>
                <w:rFonts w:ascii="Arial" w:hAnsi="Arial" w:cs="Arial"/>
                <w:color w:val="000000"/>
              </w:rPr>
              <w:t>2.45</w:t>
            </w:r>
          </w:p>
        </w:tc>
        <w:tc>
          <w:tcPr>
            <w:tcW w:w="1184" w:type="dxa"/>
            <w:noWrap/>
            <w:hideMark/>
          </w:tcPr>
          <w:p w14:paraId="6CE7FD09" w14:textId="77777777" w:rsidR="00DC49A6" w:rsidRPr="00DC49A6" w:rsidRDefault="00DC49A6" w:rsidP="00B17B7C">
            <w:pPr>
              <w:jc w:val="center"/>
              <w:rPr>
                <w:rFonts w:ascii="Arial" w:hAnsi="Arial" w:cs="Arial"/>
                <w:color w:val="000000"/>
              </w:rPr>
            </w:pPr>
            <w:r w:rsidRPr="00DC49A6">
              <w:rPr>
                <w:rFonts w:ascii="Arial" w:hAnsi="Arial" w:cs="Arial"/>
                <w:color w:val="000000"/>
              </w:rPr>
              <w:t>0.59</w:t>
            </w:r>
          </w:p>
        </w:tc>
      </w:tr>
      <w:tr w:rsidR="00DC49A6" w:rsidRPr="00DC49A6" w14:paraId="36F082F7" w14:textId="77777777" w:rsidTr="00B17B7C">
        <w:trPr>
          <w:trHeight w:val="276"/>
          <w:jc w:val="center"/>
        </w:trPr>
        <w:tc>
          <w:tcPr>
            <w:tcW w:w="1184" w:type="dxa"/>
            <w:noWrap/>
            <w:hideMark/>
          </w:tcPr>
          <w:p w14:paraId="185AD1A9" w14:textId="77777777" w:rsidR="00DC49A6" w:rsidRPr="00DC49A6" w:rsidRDefault="00DC49A6" w:rsidP="00B17B7C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DC49A6">
              <w:rPr>
                <w:rFonts w:ascii="Arial" w:hAnsi="Arial" w:cs="Arial"/>
                <w:b/>
                <w:bCs/>
                <w:color w:val="000000"/>
              </w:rPr>
              <w:t>Atlantic</w:t>
            </w:r>
          </w:p>
        </w:tc>
        <w:tc>
          <w:tcPr>
            <w:tcW w:w="1184" w:type="dxa"/>
            <w:noWrap/>
            <w:hideMark/>
          </w:tcPr>
          <w:p w14:paraId="6F29F524" w14:textId="77777777" w:rsidR="00DC49A6" w:rsidRPr="00DC49A6" w:rsidRDefault="00DC49A6" w:rsidP="00B17B7C">
            <w:pPr>
              <w:jc w:val="center"/>
              <w:rPr>
                <w:rFonts w:ascii="Arial" w:hAnsi="Arial" w:cs="Arial"/>
                <w:color w:val="000000"/>
              </w:rPr>
            </w:pPr>
            <w:r w:rsidRPr="00DC49A6">
              <w:rPr>
                <w:rFonts w:ascii="Arial" w:hAnsi="Arial" w:cs="Arial"/>
                <w:color w:val="000000"/>
              </w:rPr>
              <w:t>0.94</w:t>
            </w:r>
          </w:p>
        </w:tc>
        <w:tc>
          <w:tcPr>
            <w:tcW w:w="1184" w:type="dxa"/>
            <w:noWrap/>
            <w:hideMark/>
          </w:tcPr>
          <w:p w14:paraId="37AE617C" w14:textId="77777777" w:rsidR="00DC49A6" w:rsidRPr="00DC49A6" w:rsidRDefault="00DC49A6" w:rsidP="00B17B7C">
            <w:pPr>
              <w:jc w:val="center"/>
              <w:rPr>
                <w:rFonts w:ascii="Arial" w:hAnsi="Arial" w:cs="Arial"/>
                <w:color w:val="000000"/>
              </w:rPr>
            </w:pPr>
            <w:r w:rsidRPr="00DC49A6">
              <w:rPr>
                <w:rFonts w:ascii="Arial" w:hAnsi="Arial" w:cs="Arial"/>
                <w:color w:val="000000"/>
              </w:rPr>
              <w:t>0.02</w:t>
            </w:r>
          </w:p>
        </w:tc>
        <w:tc>
          <w:tcPr>
            <w:tcW w:w="1184" w:type="dxa"/>
            <w:noWrap/>
            <w:hideMark/>
          </w:tcPr>
          <w:p w14:paraId="37DEB22E" w14:textId="77777777" w:rsidR="00DC49A6" w:rsidRPr="00DC49A6" w:rsidRDefault="00DC49A6" w:rsidP="00B17B7C">
            <w:pPr>
              <w:jc w:val="center"/>
              <w:rPr>
                <w:rFonts w:ascii="Arial" w:hAnsi="Arial" w:cs="Arial"/>
                <w:color w:val="000000"/>
              </w:rPr>
            </w:pPr>
            <w:r w:rsidRPr="00DC49A6">
              <w:rPr>
                <w:rFonts w:ascii="Arial" w:hAnsi="Arial" w:cs="Arial"/>
                <w:color w:val="000000"/>
              </w:rPr>
              <w:t>1.75</w:t>
            </w:r>
          </w:p>
        </w:tc>
        <w:tc>
          <w:tcPr>
            <w:tcW w:w="1184" w:type="dxa"/>
            <w:noWrap/>
            <w:hideMark/>
          </w:tcPr>
          <w:p w14:paraId="75666A45" w14:textId="77777777" w:rsidR="00DC49A6" w:rsidRPr="00DC49A6" w:rsidRDefault="00DC49A6" w:rsidP="00B17B7C">
            <w:pPr>
              <w:jc w:val="center"/>
              <w:rPr>
                <w:rFonts w:ascii="Arial" w:hAnsi="Arial" w:cs="Arial"/>
                <w:color w:val="000000"/>
              </w:rPr>
            </w:pPr>
            <w:r w:rsidRPr="00DC49A6">
              <w:rPr>
                <w:rFonts w:ascii="Arial" w:hAnsi="Arial" w:cs="Arial"/>
                <w:color w:val="000000"/>
              </w:rPr>
              <w:t>0.18</w:t>
            </w:r>
          </w:p>
        </w:tc>
        <w:tc>
          <w:tcPr>
            <w:tcW w:w="1184" w:type="dxa"/>
            <w:noWrap/>
            <w:hideMark/>
          </w:tcPr>
          <w:p w14:paraId="7507D7EB" w14:textId="77777777" w:rsidR="00DC49A6" w:rsidRPr="00DC49A6" w:rsidRDefault="00DC49A6" w:rsidP="00B17B7C">
            <w:pPr>
              <w:jc w:val="center"/>
              <w:rPr>
                <w:rFonts w:ascii="Arial" w:hAnsi="Arial" w:cs="Arial"/>
                <w:color w:val="000000"/>
              </w:rPr>
            </w:pPr>
            <w:r w:rsidRPr="00DC49A6">
              <w:rPr>
                <w:rFonts w:ascii="Arial" w:hAnsi="Arial" w:cs="Arial"/>
                <w:color w:val="000000"/>
              </w:rPr>
              <w:t>2.78</w:t>
            </w:r>
          </w:p>
        </w:tc>
        <w:tc>
          <w:tcPr>
            <w:tcW w:w="1184" w:type="dxa"/>
            <w:noWrap/>
            <w:hideMark/>
          </w:tcPr>
          <w:p w14:paraId="48F34024" w14:textId="77777777" w:rsidR="00DC49A6" w:rsidRPr="00DC49A6" w:rsidRDefault="00DC49A6" w:rsidP="00B17B7C">
            <w:pPr>
              <w:jc w:val="center"/>
              <w:rPr>
                <w:rFonts w:ascii="Arial" w:hAnsi="Arial" w:cs="Arial"/>
                <w:color w:val="000000"/>
              </w:rPr>
            </w:pPr>
            <w:r w:rsidRPr="00DC49A6">
              <w:rPr>
                <w:rFonts w:ascii="Arial" w:hAnsi="Arial" w:cs="Arial"/>
                <w:color w:val="000000"/>
              </w:rPr>
              <w:t>0.38</w:t>
            </w:r>
          </w:p>
        </w:tc>
      </w:tr>
      <w:tr w:rsidR="00DC49A6" w:rsidRPr="00DC49A6" w14:paraId="1EAC574D" w14:textId="77777777" w:rsidTr="00B17B7C">
        <w:trPr>
          <w:trHeight w:val="276"/>
          <w:jc w:val="center"/>
        </w:trPr>
        <w:tc>
          <w:tcPr>
            <w:tcW w:w="1184" w:type="dxa"/>
            <w:noWrap/>
            <w:hideMark/>
          </w:tcPr>
          <w:p w14:paraId="43DD080F" w14:textId="77777777" w:rsidR="00DC49A6" w:rsidRPr="00DC49A6" w:rsidRDefault="00DC49A6" w:rsidP="00B17B7C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DC49A6">
              <w:rPr>
                <w:rFonts w:ascii="Arial" w:hAnsi="Arial" w:cs="Arial"/>
                <w:b/>
                <w:bCs/>
                <w:color w:val="000000"/>
              </w:rPr>
              <w:t>W. Pacific</w:t>
            </w:r>
          </w:p>
        </w:tc>
        <w:tc>
          <w:tcPr>
            <w:tcW w:w="1184" w:type="dxa"/>
            <w:noWrap/>
            <w:hideMark/>
          </w:tcPr>
          <w:p w14:paraId="118B087C" w14:textId="77777777" w:rsidR="00DC49A6" w:rsidRPr="00DC49A6" w:rsidRDefault="00DC49A6" w:rsidP="00B17B7C">
            <w:pPr>
              <w:jc w:val="center"/>
              <w:rPr>
                <w:rFonts w:ascii="Arial" w:hAnsi="Arial" w:cs="Arial"/>
                <w:color w:val="000000"/>
              </w:rPr>
            </w:pPr>
            <w:r w:rsidRPr="00DC49A6">
              <w:rPr>
                <w:rFonts w:ascii="Arial" w:hAnsi="Arial" w:cs="Arial"/>
                <w:color w:val="000000"/>
              </w:rPr>
              <w:t>0.9</w:t>
            </w:r>
          </w:p>
        </w:tc>
        <w:tc>
          <w:tcPr>
            <w:tcW w:w="1184" w:type="dxa"/>
            <w:noWrap/>
            <w:hideMark/>
          </w:tcPr>
          <w:p w14:paraId="1DD13924" w14:textId="77777777" w:rsidR="00DC49A6" w:rsidRPr="00DC49A6" w:rsidRDefault="00DC49A6" w:rsidP="00B17B7C">
            <w:pPr>
              <w:jc w:val="center"/>
              <w:rPr>
                <w:rFonts w:ascii="Arial" w:hAnsi="Arial" w:cs="Arial"/>
                <w:color w:val="000000"/>
              </w:rPr>
            </w:pPr>
            <w:r w:rsidRPr="00DC49A6">
              <w:rPr>
                <w:rFonts w:ascii="Arial" w:hAnsi="Arial" w:cs="Arial"/>
                <w:color w:val="000000"/>
              </w:rPr>
              <w:t>0.04</w:t>
            </w:r>
          </w:p>
        </w:tc>
        <w:tc>
          <w:tcPr>
            <w:tcW w:w="1184" w:type="dxa"/>
            <w:noWrap/>
            <w:hideMark/>
          </w:tcPr>
          <w:p w14:paraId="7E89E77A" w14:textId="77777777" w:rsidR="00DC49A6" w:rsidRPr="00DC49A6" w:rsidRDefault="00DC49A6" w:rsidP="00B17B7C">
            <w:pPr>
              <w:jc w:val="center"/>
              <w:rPr>
                <w:rFonts w:ascii="Arial" w:hAnsi="Arial" w:cs="Arial"/>
                <w:color w:val="000000"/>
              </w:rPr>
            </w:pPr>
            <w:r w:rsidRPr="00DC49A6">
              <w:rPr>
                <w:rFonts w:ascii="Arial" w:hAnsi="Arial" w:cs="Arial"/>
                <w:color w:val="000000"/>
              </w:rPr>
              <w:t>2.71</w:t>
            </w:r>
          </w:p>
        </w:tc>
        <w:tc>
          <w:tcPr>
            <w:tcW w:w="1184" w:type="dxa"/>
            <w:noWrap/>
            <w:hideMark/>
          </w:tcPr>
          <w:p w14:paraId="0B822584" w14:textId="77777777" w:rsidR="00DC49A6" w:rsidRPr="00DC49A6" w:rsidRDefault="00DC49A6" w:rsidP="00B17B7C">
            <w:pPr>
              <w:jc w:val="center"/>
              <w:rPr>
                <w:rFonts w:ascii="Arial" w:hAnsi="Arial" w:cs="Arial"/>
                <w:color w:val="000000"/>
              </w:rPr>
            </w:pPr>
            <w:r w:rsidRPr="00DC49A6">
              <w:rPr>
                <w:rFonts w:ascii="Arial" w:hAnsi="Arial" w:cs="Arial"/>
                <w:color w:val="000000"/>
              </w:rPr>
              <w:t>0.39</w:t>
            </w:r>
          </w:p>
        </w:tc>
        <w:tc>
          <w:tcPr>
            <w:tcW w:w="1184" w:type="dxa"/>
            <w:noWrap/>
            <w:hideMark/>
          </w:tcPr>
          <w:p w14:paraId="1AE5E58A" w14:textId="77777777" w:rsidR="00DC49A6" w:rsidRPr="00DC49A6" w:rsidRDefault="00DC49A6" w:rsidP="00B17B7C">
            <w:pPr>
              <w:jc w:val="center"/>
              <w:rPr>
                <w:rFonts w:ascii="Arial" w:hAnsi="Arial" w:cs="Arial"/>
                <w:color w:val="000000"/>
              </w:rPr>
            </w:pPr>
            <w:r w:rsidRPr="00DC49A6">
              <w:rPr>
                <w:rFonts w:ascii="Arial" w:hAnsi="Arial" w:cs="Arial"/>
                <w:color w:val="000000"/>
              </w:rPr>
              <w:t>4.86</w:t>
            </w:r>
          </w:p>
        </w:tc>
        <w:tc>
          <w:tcPr>
            <w:tcW w:w="1184" w:type="dxa"/>
            <w:noWrap/>
            <w:hideMark/>
          </w:tcPr>
          <w:p w14:paraId="00A39589" w14:textId="77777777" w:rsidR="00DC49A6" w:rsidRPr="00DC49A6" w:rsidRDefault="00DC49A6" w:rsidP="00B17B7C">
            <w:pPr>
              <w:jc w:val="center"/>
              <w:rPr>
                <w:rFonts w:ascii="Arial" w:hAnsi="Arial" w:cs="Arial"/>
                <w:color w:val="000000"/>
              </w:rPr>
            </w:pPr>
            <w:r w:rsidRPr="00DC49A6">
              <w:rPr>
                <w:rFonts w:ascii="Arial" w:hAnsi="Arial" w:cs="Arial"/>
                <w:color w:val="000000"/>
              </w:rPr>
              <w:t>0.93</w:t>
            </w:r>
          </w:p>
        </w:tc>
      </w:tr>
      <w:tr w:rsidR="00DC49A6" w:rsidRPr="00DC49A6" w14:paraId="025E0A8E" w14:textId="77777777" w:rsidTr="00B17B7C">
        <w:trPr>
          <w:trHeight w:val="276"/>
          <w:jc w:val="center"/>
        </w:trPr>
        <w:tc>
          <w:tcPr>
            <w:tcW w:w="1184" w:type="dxa"/>
            <w:noWrap/>
            <w:hideMark/>
          </w:tcPr>
          <w:p w14:paraId="549DF718" w14:textId="77777777" w:rsidR="00DC49A6" w:rsidRPr="00DC49A6" w:rsidRDefault="00DC49A6" w:rsidP="00B17B7C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DC49A6">
              <w:rPr>
                <w:rFonts w:ascii="Arial" w:hAnsi="Arial" w:cs="Arial"/>
                <w:b/>
                <w:bCs/>
                <w:color w:val="000000"/>
              </w:rPr>
              <w:t>C. Pacific</w:t>
            </w:r>
          </w:p>
        </w:tc>
        <w:tc>
          <w:tcPr>
            <w:tcW w:w="1184" w:type="dxa"/>
            <w:noWrap/>
            <w:hideMark/>
          </w:tcPr>
          <w:p w14:paraId="4B1D3C0E" w14:textId="77777777" w:rsidR="00DC49A6" w:rsidRPr="00DC49A6" w:rsidRDefault="00DC49A6" w:rsidP="00B17B7C">
            <w:pPr>
              <w:jc w:val="center"/>
              <w:rPr>
                <w:rFonts w:ascii="Arial" w:hAnsi="Arial" w:cs="Arial"/>
                <w:color w:val="000000"/>
              </w:rPr>
            </w:pPr>
            <w:r w:rsidRPr="00DC49A6">
              <w:rPr>
                <w:rFonts w:ascii="Arial" w:hAnsi="Arial" w:cs="Arial"/>
                <w:color w:val="000000"/>
              </w:rPr>
              <w:t>0.83</w:t>
            </w:r>
          </w:p>
        </w:tc>
        <w:tc>
          <w:tcPr>
            <w:tcW w:w="1184" w:type="dxa"/>
            <w:noWrap/>
            <w:hideMark/>
          </w:tcPr>
          <w:p w14:paraId="3B95CFA2" w14:textId="77777777" w:rsidR="00DC49A6" w:rsidRPr="00DC49A6" w:rsidRDefault="00DC49A6" w:rsidP="00B17B7C">
            <w:pPr>
              <w:jc w:val="center"/>
              <w:rPr>
                <w:rFonts w:ascii="Arial" w:hAnsi="Arial" w:cs="Arial"/>
                <w:color w:val="000000"/>
              </w:rPr>
            </w:pPr>
            <w:r w:rsidRPr="00DC49A6">
              <w:rPr>
                <w:rFonts w:ascii="Arial" w:hAnsi="Arial" w:cs="Arial"/>
                <w:color w:val="000000"/>
              </w:rPr>
              <w:t>0.08</w:t>
            </w:r>
          </w:p>
        </w:tc>
        <w:tc>
          <w:tcPr>
            <w:tcW w:w="1184" w:type="dxa"/>
            <w:noWrap/>
            <w:hideMark/>
          </w:tcPr>
          <w:p w14:paraId="7D4B5EED" w14:textId="77777777" w:rsidR="00DC49A6" w:rsidRPr="00DC49A6" w:rsidRDefault="00DC49A6" w:rsidP="00B17B7C">
            <w:pPr>
              <w:jc w:val="center"/>
              <w:rPr>
                <w:rFonts w:ascii="Arial" w:hAnsi="Arial" w:cs="Arial"/>
                <w:color w:val="000000"/>
              </w:rPr>
            </w:pPr>
            <w:r w:rsidRPr="00DC49A6">
              <w:rPr>
                <w:rFonts w:ascii="Arial" w:hAnsi="Arial" w:cs="Arial"/>
                <w:color w:val="000000"/>
              </w:rPr>
              <w:t>3.91</w:t>
            </w:r>
          </w:p>
        </w:tc>
        <w:tc>
          <w:tcPr>
            <w:tcW w:w="1184" w:type="dxa"/>
            <w:noWrap/>
            <w:hideMark/>
          </w:tcPr>
          <w:p w14:paraId="4F85AB93" w14:textId="77777777" w:rsidR="00DC49A6" w:rsidRPr="00DC49A6" w:rsidRDefault="00DC49A6" w:rsidP="00B17B7C">
            <w:pPr>
              <w:jc w:val="center"/>
              <w:rPr>
                <w:rFonts w:ascii="Arial" w:hAnsi="Arial" w:cs="Arial"/>
                <w:color w:val="000000"/>
              </w:rPr>
            </w:pPr>
            <w:r w:rsidRPr="00DC49A6">
              <w:rPr>
                <w:rFonts w:ascii="Arial" w:hAnsi="Arial" w:cs="Arial"/>
                <w:color w:val="000000"/>
              </w:rPr>
              <w:t>1.1</w:t>
            </w:r>
          </w:p>
        </w:tc>
        <w:tc>
          <w:tcPr>
            <w:tcW w:w="1184" w:type="dxa"/>
            <w:noWrap/>
            <w:hideMark/>
          </w:tcPr>
          <w:p w14:paraId="5613FB72" w14:textId="77777777" w:rsidR="00DC49A6" w:rsidRPr="00DC49A6" w:rsidRDefault="00DC49A6" w:rsidP="00B17B7C">
            <w:pPr>
              <w:jc w:val="center"/>
              <w:rPr>
                <w:rFonts w:ascii="Arial" w:hAnsi="Arial" w:cs="Arial"/>
                <w:color w:val="000000"/>
              </w:rPr>
            </w:pPr>
            <w:r w:rsidRPr="00DC49A6">
              <w:rPr>
                <w:rFonts w:ascii="Arial" w:hAnsi="Arial" w:cs="Arial"/>
                <w:color w:val="000000"/>
              </w:rPr>
              <w:t>-0.72</w:t>
            </w:r>
          </w:p>
        </w:tc>
        <w:tc>
          <w:tcPr>
            <w:tcW w:w="1184" w:type="dxa"/>
            <w:noWrap/>
            <w:hideMark/>
          </w:tcPr>
          <w:p w14:paraId="57A22479" w14:textId="77777777" w:rsidR="00DC49A6" w:rsidRPr="00DC49A6" w:rsidRDefault="00DC49A6" w:rsidP="00B17B7C">
            <w:pPr>
              <w:jc w:val="center"/>
              <w:rPr>
                <w:rFonts w:ascii="Arial" w:hAnsi="Arial" w:cs="Arial"/>
                <w:color w:val="000000"/>
              </w:rPr>
            </w:pPr>
            <w:r w:rsidRPr="00DC49A6">
              <w:rPr>
                <w:rFonts w:ascii="Arial" w:hAnsi="Arial" w:cs="Arial"/>
                <w:color w:val="000000"/>
              </w:rPr>
              <w:t>1.11</w:t>
            </w:r>
          </w:p>
        </w:tc>
      </w:tr>
      <w:tr w:rsidR="00DC49A6" w:rsidRPr="00DC49A6" w14:paraId="23AE3A27" w14:textId="77777777" w:rsidTr="00B17B7C">
        <w:trPr>
          <w:trHeight w:val="276"/>
          <w:jc w:val="center"/>
        </w:trPr>
        <w:tc>
          <w:tcPr>
            <w:tcW w:w="1184" w:type="dxa"/>
            <w:noWrap/>
            <w:hideMark/>
          </w:tcPr>
          <w:p w14:paraId="6CC79FD5" w14:textId="77777777" w:rsidR="00DC49A6" w:rsidRPr="00DC49A6" w:rsidRDefault="00DC49A6" w:rsidP="00B17B7C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DC49A6">
              <w:rPr>
                <w:rFonts w:ascii="Arial" w:hAnsi="Arial" w:cs="Arial"/>
                <w:b/>
                <w:bCs/>
                <w:color w:val="000000"/>
              </w:rPr>
              <w:t>E. Pacific</w:t>
            </w:r>
          </w:p>
        </w:tc>
        <w:tc>
          <w:tcPr>
            <w:tcW w:w="1184" w:type="dxa"/>
            <w:noWrap/>
            <w:hideMark/>
          </w:tcPr>
          <w:p w14:paraId="414B9BB4" w14:textId="77777777" w:rsidR="00DC49A6" w:rsidRPr="00DC49A6" w:rsidRDefault="00DC49A6" w:rsidP="00B17B7C">
            <w:pPr>
              <w:jc w:val="center"/>
              <w:rPr>
                <w:rFonts w:ascii="Arial" w:hAnsi="Arial" w:cs="Arial"/>
                <w:color w:val="000000"/>
              </w:rPr>
            </w:pPr>
            <w:r w:rsidRPr="00DC49A6">
              <w:rPr>
                <w:rFonts w:ascii="Arial" w:hAnsi="Arial" w:cs="Arial"/>
                <w:color w:val="000000"/>
              </w:rPr>
              <w:t>0.9</w:t>
            </w:r>
          </w:p>
        </w:tc>
        <w:tc>
          <w:tcPr>
            <w:tcW w:w="1184" w:type="dxa"/>
            <w:noWrap/>
            <w:hideMark/>
          </w:tcPr>
          <w:p w14:paraId="0CA11366" w14:textId="77777777" w:rsidR="00DC49A6" w:rsidRPr="00DC49A6" w:rsidRDefault="00DC49A6" w:rsidP="00B17B7C">
            <w:pPr>
              <w:jc w:val="center"/>
              <w:rPr>
                <w:rFonts w:ascii="Arial" w:hAnsi="Arial" w:cs="Arial"/>
                <w:color w:val="000000"/>
              </w:rPr>
            </w:pPr>
            <w:r w:rsidRPr="00DC49A6">
              <w:rPr>
                <w:rFonts w:ascii="Arial" w:hAnsi="Arial" w:cs="Arial"/>
                <w:color w:val="000000"/>
              </w:rPr>
              <w:t>0.05</w:t>
            </w:r>
          </w:p>
        </w:tc>
        <w:tc>
          <w:tcPr>
            <w:tcW w:w="1184" w:type="dxa"/>
            <w:noWrap/>
            <w:hideMark/>
          </w:tcPr>
          <w:p w14:paraId="1A71DCB7" w14:textId="77777777" w:rsidR="00DC49A6" w:rsidRPr="00DC49A6" w:rsidRDefault="00DC49A6" w:rsidP="00B17B7C">
            <w:pPr>
              <w:jc w:val="center"/>
              <w:rPr>
                <w:rFonts w:ascii="Arial" w:hAnsi="Arial" w:cs="Arial"/>
                <w:color w:val="000000"/>
              </w:rPr>
            </w:pPr>
            <w:r w:rsidRPr="00DC49A6">
              <w:rPr>
                <w:rFonts w:ascii="Arial" w:hAnsi="Arial" w:cs="Arial"/>
                <w:color w:val="000000"/>
              </w:rPr>
              <w:t>2.71</w:t>
            </w:r>
          </w:p>
        </w:tc>
        <w:tc>
          <w:tcPr>
            <w:tcW w:w="1184" w:type="dxa"/>
            <w:noWrap/>
            <w:hideMark/>
          </w:tcPr>
          <w:p w14:paraId="1D2D15D9" w14:textId="77777777" w:rsidR="00DC49A6" w:rsidRPr="00DC49A6" w:rsidRDefault="00DC49A6" w:rsidP="00B17B7C">
            <w:pPr>
              <w:jc w:val="center"/>
              <w:rPr>
                <w:rFonts w:ascii="Arial" w:hAnsi="Arial" w:cs="Arial"/>
                <w:color w:val="000000"/>
              </w:rPr>
            </w:pPr>
            <w:r w:rsidRPr="00DC49A6">
              <w:rPr>
                <w:rFonts w:ascii="Arial" w:hAnsi="Arial" w:cs="Arial"/>
                <w:color w:val="000000"/>
              </w:rPr>
              <w:t>0.77</w:t>
            </w:r>
          </w:p>
        </w:tc>
        <w:tc>
          <w:tcPr>
            <w:tcW w:w="1184" w:type="dxa"/>
            <w:noWrap/>
            <w:hideMark/>
          </w:tcPr>
          <w:p w14:paraId="65ABF69A" w14:textId="77777777" w:rsidR="00DC49A6" w:rsidRPr="00DC49A6" w:rsidRDefault="00DC49A6" w:rsidP="00B17B7C">
            <w:pPr>
              <w:jc w:val="center"/>
              <w:rPr>
                <w:rFonts w:ascii="Arial" w:hAnsi="Arial" w:cs="Arial"/>
                <w:color w:val="000000"/>
              </w:rPr>
            </w:pPr>
            <w:r w:rsidRPr="00DC49A6">
              <w:rPr>
                <w:rFonts w:ascii="Arial" w:hAnsi="Arial" w:cs="Arial"/>
                <w:color w:val="000000"/>
              </w:rPr>
              <w:t>4.07</w:t>
            </w:r>
          </w:p>
        </w:tc>
        <w:tc>
          <w:tcPr>
            <w:tcW w:w="1184" w:type="dxa"/>
            <w:noWrap/>
            <w:hideMark/>
          </w:tcPr>
          <w:p w14:paraId="11206ACF" w14:textId="77777777" w:rsidR="00DC49A6" w:rsidRPr="00DC49A6" w:rsidRDefault="00DC49A6" w:rsidP="00B17B7C">
            <w:pPr>
              <w:jc w:val="center"/>
              <w:rPr>
                <w:rFonts w:ascii="Arial" w:hAnsi="Arial" w:cs="Arial"/>
                <w:color w:val="000000"/>
              </w:rPr>
            </w:pPr>
            <w:r w:rsidRPr="00DC49A6">
              <w:rPr>
                <w:rFonts w:ascii="Arial" w:hAnsi="Arial" w:cs="Arial"/>
                <w:color w:val="000000"/>
              </w:rPr>
              <w:t>1.28</w:t>
            </w:r>
          </w:p>
        </w:tc>
      </w:tr>
    </w:tbl>
    <w:p w14:paraId="6DF9B16C" w14:textId="6650CBFA" w:rsidR="00DC49A6" w:rsidRPr="00DC49A6" w:rsidRDefault="00DC49A6" w:rsidP="00DC49A6">
      <w:pPr>
        <w:pStyle w:val="SMHeading"/>
        <w:rPr>
          <w:b w:val="0"/>
          <w:sz w:val="22"/>
          <w:szCs w:val="22"/>
        </w:rPr>
      </w:pPr>
      <w:r w:rsidRPr="00DC49A6">
        <w:rPr>
          <w:sz w:val="22"/>
          <w:szCs w:val="22"/>
        </w:rPr>
        <w:t xml:space="preserve">Table S1. </w:t>
      </w:r>
      <w:r w:rsidRPr="00DC49A6">
        <w:rPr>
          <w:b w:val="0"/>
          <w:sz w:val="22"/>
          <w:szCs w:val="22"/>
        </w:rPr>
        <w:t xml:space="preserve">21-year mean and standard deviation of regression outputs for the seasonal relationship between </w:t>
      </w:r>
      <w:r w:rsidRPr="00DC49A6">
        <w:rPr>
          <w:b w:val="0"/>
          <w:color w:val="000000" w:themeColor="text1"/>
          <w:sz w:val="22"/>
          <w:szCs w:val="22"/>
        </w:rPr>
        <w:t>P</w:t>
      </w:r>
      <w:r w:rsidRPr="00DC49A6">
        <w:rPr>
          <w:b w:val="0"/>
          <w:color w:val="000000" w:themeColor="text1"/>
          <w:sz w:val="22"/>
          <w:szCs w:val="22"/>
          <w:vertAlign w:val="subscript"/>
        </w:rPr>
        <w:t>C</w:t>
      </w:r>
      <w:r w:rsidRPr="00DC49A6">
        <w:rPr>
          <w:b w:val="0"/>
          <w:sz w:val="22"/>
          <w:szCs w:val="22"/>
        </w:rPr>
        <w:t xml:space="preserve"> and Δ</w:t>
      </w:r>
      <w:r w:rsidRPr="00DC49A6">
        <w:rPr>
          <w:b w:val="0"/>
          <w:color w:val="000000" w:themeColor="text1"/>
          <w:sz w:val="22"/>
          <w:szCs w:val="22"/>
        </w:rPr>
        <w:t xml:space="preserve">SST in each region. </w:t>
      </w:r>
      <m:oMath>
        <m:acc>
          <m:accPr>
            <m:chr m:val="̅"/>
            <m:ctrlPr>
              <w:rPr>
                <w:rFonts w:ascii="Cambria Math" w:hAnsi="Cambria Math" w:cs="Arial"/>
                <w:b w:val="0"/>
                <w:i/>
                <w:color w:val="000000"/>
                <w:kern w:val="0"/>
                <w:sz w:val="22"/>
                <w:szCs w:val="22"/>
              </w:rPr>
            </m:ctrlPr>
          </m:accPr>
          <m:e>
            <m:r>
              <m:rPr>
                <m:sty m:val="bi"/>
              </m:rPr>
              <w:rPr>
                <w:rFonts w:ascii="Cambria Math" w:hAnsi="Cambria Math" w:cs="Arial"/>
                <w:color w:val="000000"/>
                <w:sz w:val="22"/>
                <w:szCs w:val="22"/>
              </w:rPr>
              <m:t>R</m:t>
            </m:r>
          </m:e>
        </m:acc>
      </m:oMath>
      <w:r w:rsidRPr="00DC49A6">
        <w:rPr>
          <w:b w:val="0"/>
          <w:color w:val="000000"/>
          <w:kern w:val="0"/>
          <w:sz w:val="22"/>
          <w:szCs w:val="22"/>
        </w:rPr>
        <w:t xml:space="preserve">, </w:t>
      </w:r>
      <m:oMath>
        <m:acc>
          <m:accPr>
            <m:chr m:val="̅"/>
            <m:ctrlPr>
              <w:rPr>
                <w:rFonts w:ascii="Cambria Math" w:hAnsi="Cambria Math" w:cs="Arial"/>
                <w:b w:val="0"/>
                <w:i/>
                <w:color w:val="000000"/>
                <w:kern w:val="0"/>
                <w:sz w:val="22"/>
                <w:szCs w:val="22"/>
              </w:rPr>
            </m:ctrlPr>
          </m:accPr>
          <m:e>
            <m:r>
              <m:rPr>
                <m:sty m:val="bi"/>
              </m:rPr>
              <w:rPr>
                <w:rFonts w:ascii="Cambria Math" w:hAnsi="Cambria Math" w:cs="Arial"/>
                <w:color w:val="000000"/>
                <w:sz w:val="22"/>
                <w:szCs w:val="22"/>
              </w:rPr>
              <m:t>m</m:t>
            </m:r>
          </m:e>
        </m:acc>
      </m:oMath>
      <w:r w:rsidRPr="00DC49A6">
        <w:rPr>
          <w:b w:val="0"/>
          <w:color w:val="000000"/>
          <w:kern w:val="0"/>
          <w:sz w:val="22"/>
          <w:szCs w:val="22"/>
        </w:rPr>
        <w:t xml:space="preserve"> and </w:t>
      </w:r>
      <m:oMath>
        <m:acc>
          <m:accPr>
            <m:chr m:val="̅"/>
            <m:ctrlPr>
              <w:rPr>
                <w:rFonts w:ascii="Cambria Math" w:hAnsi="Cambria Math" w:cs="Arial"/>
                <w:b w:val="0"/>
                <w:i/>
                <w:color w:val="000000"/>
                <w:kern w:val="0"/>
                <w:sz w:val="22"/>
                <w:szCs w:val="22"/>
              </w:rPr>
            </m:ctrlPr>
          </m:accPr>
          <m:e>
            <m:r>
              <m:rPr>
                <m:sty m:val="bi"/>
              </m:rPr>
              <w:rPr>
                <w:rFonts w:ascii="Cambria Math" w:hAnsi="Cambria Math" w:cs="Arial"/>
                <w:color w:val="000000"/>
                <w:sz w:val="22"/>
                <w:szCs w:val="22"/>
              </w:rPr>
              <m:t>b</m:t>
            </m:r>
          </m:e>
        </m:acc>
      </m:oMath>
      <w:r w:rsidRPr="00DC49A6">
        <w:rPr>
          <w:b w:val="0"/>
          <w:color w:val="000000"/>
          <w:kern w:val="0"/>
          <w:sz w:val="22"/>
          <w:szCs w:val="22"/>
        </w:rPr>
        <w:t xml:space="preserve"> are the mean R-value, regression slope and regression intercept, respectively; </w:t>
      </w:r>
      <m:oMath>
        <m:sSub>
          <m:sSubPr>
            <m:ctrlPr>
              <w:rPr>
                <w:rFonts w:ascii="Cambria Math" w:hAnsi="Cambria Math" w:cs="Arial"/>
                <w:b w:val="0"/>
                <w:i/>
                <w:color w:val="000000"/>
                <w:kern w:val="0"/>
                <w:sz w:val="22"/>
                <w:szCs w:val="22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Arial"/>
                <w:color w:val="000000"/>
                <w:sz w:val="22"/>
                <w:szCs w:val="22"/>
              </w:rPr>
              <m:t>σ</m:t>
            </m:r>
          </m:e>
          <m:sub>
            <m:r>
              <m:rPr>
                <m:sty m:val="bi"/>
              </m:rPr>
              <w:rPr>
                <w:rFonts w:ascii="Cambria Math" w:hAnsi="Cambria Math" w:cs="Arial"/>
                <w:color w:val="000000"/>
                <w:sz w:val="22"/>
                <w:szCs w:val="22"/>
              </w:rPr>
              <m:t>x</m:t>
            </m:r>
          </m:sub>
        </m:sSub>
      </m:oMath>
      <w:r w:rsidRPr="00DC49A6">
        <w:rPr>
          <w:b w:val="0"/>
          <w:color w:val="000000"/>
          <w:kern w:val="0"/>
          <w:sz w:val="22"/>
          <w:szCs w:val="22"/>
        </w:rPr>
        <w:t xml:space="preserve"> is the standard deviation of each output. </w:t>
      </w:r>
      <m:oMath>
        <m:sSub>
          <m:sSubPr>
            <m:ctrlPr>
              <w:rPr>
                <w:rFonts w:ascii="Cambria Math" w:hAnsi="Cambria Math" w:cs="Arial"/>
                <w:b w:val="0"/>
                <w:i/>
                <w:color w:val="000000"/>
                <w:kern w:val="0"/>
                <w:sz w:val="22"/>
                <w:szCs w:val="22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Arial"/>
                <w:color w:val="000000"/>
                <w:sz w:val="22"/>
                <w:szCs w:val="22"/>
              </w:rPr>
              <m:t>σ</m:t>
            </m:r>
          </m:e>
          <m:sub>
            <m:r>
              <m:rPr>
                <m:sty m:val="bi"/>
              </m:rPr>
              <w:rPr>
                <w:rFonts w:ascii="Cambria Math" w:hAnsi="Cambria Math" w:cs="Arial"/>
                <w:color w:val="000000"/>
                <w:sz w:val="22"/>
                <w:szCs w:val="22"/>
              </w:rPr>
              <m:t>m</m:t>
            </m:r>
          </m:sub>
        </m:sSub>
      </m:oMath>
      <w:r w:rsidRPr="00DC49A6">
        <w:rPr>
          <w:b w:val="0"/>
          <w:color w:val="000000"/>
          <w:kern w:val="0"/>
          <w:sz w:val="22"/>
          <w:szCs w:val="22"/>
        </w:rPr>
        <w:t xml:space="preserve"> quantifies the interannual variability of the sensitivity of the ITCZ position to the SST </w:t>
      </w:r>
      <w:r w:rsidR="00F128EC">
        <w:rPr>
          <w:b w:val="0"/>
          <w:color w:val="000000"/>
          <w:kern w:val="0"/>
          <w:sz w:val="22"/>
          <w:szCs w:val="22"/>
        </w:rPr>
        <w:t>contrast</w:t>
      </w:r>
      <w:r w:rsidRPr="00DC49A6">
        <w:rPr>
          <w:b w:val="0"/>
          <w:color w:val="000000"/>
          <w:kern w:val="0"/>
          <w:sz w:val="22"/>
          <w:szCs w:val="22"/>
        </w:rPr>
        <w:t xml:space="preserve">. Higher values, such as that of the Central Pacific, indicate greater year-to-year variability. </w:t>
      </w:r>
    </w:p>
    <w:p w14:paraId="1F187279" w14:textId="77777777" w:rsidR="00DC49A6" w:rsidRPr="00DC49A6" w:rsidRDefault="00DC49A6" w:rsidP="00DC49A6">
      <w:pPr>
        <w:rPr>
          <w:sz w:val="22"/>
          <w:szCs w:val="22"/>
        </w:rPr>
      </w:pPr>
    </w:p>
    <w:p w14:paraId="07EC57B7" w14:textId="77777777" w:rsidR="00DC49A6" w:rsidRPr="00DC49A6" w:rsidRDefault="00DC49A6" w:rsidP="00DC49A6">
      <w:pPr>
        <w:rPr>
          <w:sz w:val="22"/>
          <w:szCs w:val="22"/>
        </w:rPr>
      </w:pPr>
    </w:p>
    <w:tbl>
      <w:tblPr>
        <w:tblStyle w:val="TableGrid"/>
        <w:tblW w:w="8148" w:type="dxa"/>
        <w:jc w:val="center"/>
        <w:tblLook w:val="04A0" w:firstRow="1" w:lastRow="0" w:firstColumn="1" w:lastColumn="0" w:noHBand="0" w:noVBand="1"/>
      </w:tblPr>
      <w:tblGrid>
        <w:gridCol w:w="2037"/>
        <w:gridCol w:w="2037"/>
        <w:gridCol w:w="2037"/>
        <w:gridCol w:w="2037"/>
      </w:tblGrid>
      <w:tr w:rsidR="00DC49A6" w:rsidRPr="00DC49A6" w14:paraId="1F86E075" w14:textId="77777777" w:rsidTr="00B17B7C">
        <w:trPr>
          <w:trHeight w:val="296"/>
          <w:jc w:val="center"/>
        </w:trPr>
        <w:tc>
          <w:tcPr>
            <w:tcW w:w="2037" w:type="dxa"/>
            <w:noWrap/>
            <w:hideMark/>
          </w:tcPr>
          <w:p w14:paraId="10EDAD19" w14:textId="77777777" w:rsidR="00DC49A6" w:rsidRPr="00DC49A6" w:rsidRDefault="00DC49A6" w:rsidP="00B17B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037" w:type="dxa"/>
            <w:noWrap/>
            <w:hideMark/>
          </w:tcPr>
          <w:p w14:paraId="0916529B" w14:textId="77777777" w:rsidR="00DC49A6" w:rsidRPr="00DC49A6" w:rsidRDefault="00DC49A6" w:rsidP="00B17B7C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DC49A6">
              <w:rPr>
                <w:rFonts w:ascii="Arial" w:hAnsi="Arial" w:cs="Arial"/>
                <w:b/>
                <w:bCs/>
                <w:color w:val="000000"/>
              </w:rPr>
              <w:t>R</w:t>
            </w:r>
          </w:p>
        </w:tc>
        <w:tc>
          <w:tcPr>
            <w:tcW w:w="2037" w:type="dxa"/>
            <w:noWrap/>
            <w:hideMark/>
          </w:tcPr>
          <w:p w14:paraId="386BB277" w14:textId="77777777" w:rsidR="00DC49A6" w:rsidRPr="00DC49A6" w:rsidRDefault="00DC49A6" w:rsidP="00B17B7C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DC49A6">
              <w:rPr>
                <w:rFonts w:ascii="Arial" w:hAnsi="Arial" w:cs="Arial"/>
                <w:b/>
                <w:bCs/>
                <w:color w:val="000000"/>
              </w:rPr>
              <w:t>m</w:t>
            </w:r>
          </w:p>
        </w:tc>
        <w:tc>
          <w:tcPr>
            <w:tcW w:w="2037" w:type="dxa"/>
            <w:noWrap/>
            <w:hideMark/>
          </w:tcPr>
          <w:p w14:paraId="16AA54E0" w14:textId="77777777" w:rsidR="00DC49A6" w:rsidRPr="00DC49A6" w:rsidRDefault="00DC49A6" w:rsidP="00B17B7C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DC49A6">
              <w:rPr>
                <w:rFonts w:ascii="Arial" w:hAnsi="Arial" w:cs="Arial"/>
                <w:b/>
                <w:bCs/>
                <w:color w:val="000000"/>
              </w:rPr>
              <w:t>b</w:t>
            </w:r>
          </w:p>
        </w:tc>
      </w:tr>
      <w:tr w:rsidR="00DC49A6" w:rsidRPr="00DC49A6" w14:paraId="7CA4525A" w14:textId="77777777" w:rsidTr="00B17B7C">
        <w:trPr>
          <w:trHeight w:val="296"/>
          <w:jc w:val="center"/>
        </w:trPr>
        <w:tc>
          <w:tcPr>
            <w:tcW w:w="2037" w:type="dxa"/>
            <w:noWrap/>
            <w:hideMark/>
          </w:tcPr>
          <w:p w14:paraId="145D9C22" w14:textId="77777777" w:rsidR="00DC49A6" w:rsidRPr="00DC49A6" w:rsidRDefault="00DC49A6" w:rsidP="00B17B7C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DC49A6">
              <w:rPr>
                <w:rFonts w:ascii="Arial" w:hAnsi="Arial" w:cs="Arial"/>
                <w:b/>
                <w:bCs/>
                <w:color w:val="000000"/>
              </w:rPr>
              <w:t>Global</w:t>
            </w:r>
          </w:p>
        </w:tc>
        <w:tc>
          <w:tcPr>
            <w:tcW w:w="2037" w:type="dxa"/>
            <w:noWrap/>
            <w:hideMark/>
          </w:tcPr>
          <w:p w14:paraId="663B7D98" w14:textId="77777777" w:rsidR="00DC49A6" w:rsidRPr="00DC49A6" w:rsidRDefault="00DC49A6" w:rsidP="00B17B7C">
            <w:pPr>
              <w:jc w:val="center"/>
              <w:rPr>
                <w:rFonts w:ascii="Arial" w:hAnsi="Arial" w:cs="Arial"/>
                <w:color w:val="000000"/>
              </w:rPr>
            </w:pPr>
            <w:r w:rsidRPr="00DC49A6">
              <w:rPr>
                <w:rFonts w:ascii="Arial" w:hAnsi="Arial" w:cs="Arial"/>
                <w:color w:val="000000"/>
              </w:rPr>
              <w:t>0.67</w:t>
            </w:r>
          </w:p>
        </w:tc>
        <w:tc>
          <w:tcPr>
            <w:tcW w:w="2037" w:type="dxa"/>
            <w:noWrap/>
            <w:hideMark/>
          </w:tcPr>
          <w:p w14:paraId="134E27BC" w14:textId="77777777" w:rsidR="00DC49A6" w:rsidRPr="00DC49A6" w:rsidRDefault="00DC49A6" w:rsidP="00B17B7C">
            <w:pPr>
              <w:jc w:val="center"/>
              <w:rPr>
                <w:rFonts w:ascii="Arial" w:hAnsi="Arial" w:cs="Arial"/>
                <w:color w:val="000000"/>
              </w:rPr>
            </w:pPr>
            <w:r w:rsidRPr="00DC49A6">
              <w:rPr>
                <w:rFonts w:ascii="Arial" w:hAnsi="Arial" w:cs="Arial"/>
                <w:color w:val="000000"/>
              </w:rPr>
              <w:t>3.97</w:t>
            </w:r>
          </w:p>
        </w:tc>
        <w:tc>
          <w:tcPr>
            <w:tcW w:w="2037" w:type="dxa"/>
            <w:noWrap/>
            <w:hideMark/>
          </w:tcPr>
          <w:p w14:paraId="3856FFE9" w14:textId="77777777" w:rsidR="00DC49A6" w:rsidRPr="00DC49A6" w:rsidRDefault="00DC49A6" w:rsidP="00B17B7C">
            <w:pPr>
              <w:jc w:val="center"/>
              <w:rPr>
                <w:rFonts w:ascii="Arial" w:hAnsi="Arial" w:cs="Arial"/>
                <w:color w:val="000000"/>
              </w:rPr>
            </w:pPr>
            <w:r w:rsidRPr="00DC49A6">
              <w:rPr>
                <w:rFonts w:ascii="Arial" w:hAnsi="Arial" w:cs="Arial"/>
                <w:color w:val="000000"/>
              </w:rPr>
              <w:t>-2.1</w:t>
            </w:r>
          </w:p>
        </w:tc>
      </w:tr>
      <w:tr w:rsidR="00DC49A6" w:rsidRPr="00DC49A6" w14:paraId="0F311F30" w14:textId="77777777" w:rsidTr="00B17B7C">
        <w:trPr>
          <w:trHeight w:val="296"/>
          <w:jc w:val="center"/>
        </w:trPr>
        <w:tc>
          <w:tcPr>
            <w:tcW w:w="2037" w:type="dxa"/>
            <w:noWrap/>
            <w:hideMark/>
          </w:tcPr>
          <w:p w14:paraId="46F83630" w14:textId="77777777" w:rsidR="00DC49A6" w:rsidRPr="00DC49A6" w:rsidRDefault="00DC49A6" w:rsidP="00B17B7C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DC49A6">
              <w:rPr>
                <w:rFonts w:ascii="Arial" w:hAnsi="Arial" w:cs="Arial"/>
                <w:b/>
                <w:bCs/>
                <w:color w:val="000000"/>
              </w:rPr>
              <w:t>Indian</w:t>
            </w:r>
          </w:p>
        </w:tc>
        <w:tc>
          <w:tcPr>
            <w:tcW w:w="2037" w:type="dxa"/>
            <w:noWrap/>
            <w:hideMark/>
          </w:tcPr>
          <w:p w14:paraId="3B43B411" w14:textId="77777777" w:rsidR="00DC49A6" w:rsidRPr="00DC49A6" w:rsidRDefault="00DC49A6" w:rsidP="00B17B7C">
            <w:pPr>
              <w:jc w:val="center"/>
              <w:rPr>
                <w:rFonts w:ascii="Arial" w:hAnsi="Arial" w:cs="Arial"/>
                <w:color w:val="000000"/>
              </w:rPr>
            </w:pPr>
            <w:r w:rsidRPr="00DC49A6">
              <w:rPr>
                <w:rFonts w:ascii="Arial" w:hAnsi="Arial" w:cs="Arial"/>
                <w:color w:val="000000"/>
              </w:rPr>
              <w:t>0.07*</w:t>
            </w:r>
          </w:p>
        </w:tc>
        <w:tc>
          <w:tcPr>
            <w:tcW w:w="2037" w:type="dxa"/>
            <w:noWrap/>
            <w:hideMark/>
          </w:tcPr>
          <w:p w14:paraId="2F5FC7D8" w14:textId="77777777" w:rsidR="00DC49A6" w:rsidRPr="00DC49A6" w:rsidRDefault="00DC49A6" w:rsidP="00B17B7C">
            <w:pPr>
              <w:jc w:val="center"/>
              <w:rPr>
                <w:rFonts w:ascii="Arial" w:hAnsi="Arial" w:cs="Arial"/>
                <w:color w:val="000000"/>
              </w:rPr>
            </w:pPr>
            <w:r w:rsidRPr="00DC49A6">
              <w:rPr>
                <w:rFonts w:ascii="Arial" w:hAnsi="Arial" w:cs="Arial"/>
                <w:color w:val="000000"/>
              </w:rPr>
              <w:t>0.53*</w:t>
            </w:r>
          </w:p>
        </w:tc>
        <w:tc>
          <w:tcPr>
            <w:tcW w:w="2037" w:type="dxa"/>
            <w:noWrap/>
            <w:hideMark/>
          </w:tcPr>
          <w:p w14:paraId="088270E1" w14:textId="77777777" w:rsidR="00DC49A6" w:rsidRPr="00DC49A6" w:rsidRDefault="00DC49A6" w:rsidP="00B17B7C">
            <w:pPr>
              <w:jc w:val="center"/>
              <w:rPr>
                <w:rFonts w:ascii="Arial" w:hAnsi="Arial" w:cs="Arial"/>
                <w:color w:val="000000"/>
              </w:rPr>
            </w:pPr>
            <w:r w:rsidRPr="00DC49A6">
              <w:rPr>
                <w:rFonts w:ascii="Arial" w:hAnsi="Arial" w:cs="Arial"/>
                <w:color w:val="000000"/>
              </w:rPr>
              <w:t>-1.48*</w:t>
            </w:r>
          </w:p>
        </w:tc>
      </w:tr>
      <w:tr w:rsidR="00DC49A6" w:rsidRPr="00DC49A6" w14:paraId="715C64F6" w14:textId="77777777" w:rsidTr="00B17B7C">
        <w:trPr>
          <w:trHeight w:val="296"/>
          <w:jc w:val="center"/>
        </w:trPr>
        <w:tc>
          <w:tcPr>
            <w:tcW w:w="2037" w:type="dxa"/>
            <w:noWrap/>
            <w:hideMark/>
          </w:tcPr>
          <w:p w14:paraId="6A8637CC" w14:textId="77777777" w:rsidR="00DC49A6" w:rsidRPr="00DC49A6" w:rsidRDefault="00DC49A6" w:rsidP="00B17B7C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DC49A6">
              <w:rPr>
                <w:rFonts w:ascii="Arial" w:hAnsi="Arial" w:cs="Arial"/>
                <w:b/>
                <w:bCs/>
                <w:color w:val="000000"/>
              </w:rPr>
              <w:t>Pacific</w:t>
            </w:r>
          </w:p>
        </w:tc>
        <w:tc>
          <w:tcPr>
            <w:tcW w:w="2037" w:type="dxa"/>
            <w:noWrap/>
            <w:hideMark/>
          </w:tcPr>
          <w:p w14:paraId="3A177243" w14:textId="77777777" w:rsidR="00DC49A6" w:rsidRPr="00DC49A6" w:rsidRDefault="00DC49A6" w:rsidP="00B17B7C">
            <w:pPr>
              <w:jc w:val="center"/>
              <w:rPr>
                <w:rFonts w:ascii="Arial" w:hAnsi="Arial" w:cs="Arial"/>
                <w:color w:val="000000"/>
              </w:rPr>
            </w:pPr>
            <w:r w:rsidRPr="00DC49A6">
              <w:rPr>
                <w:rFonts w:ascii="Arial" w:hAnsi="Arial" w:cs="Arial"/>
                <w:color w:val="000000"/>
              </w:rPr>
              <w:t>0.72</w:t>
            </w:r>
          </w:p>
        </w:tc>
        <w:tc>
          <w:tcPr>
            <w:tcW w:w="2037" w:type="dxa"/>
            <w:noWrap/>
            <w:hideMark/>
          </w:tcPr>
          <w:p w14:paraId="3087566C" w14:textId="77777777" w:rsidR="00DC49A6" w:rsidRPr="00DC49A6" w:rsidRDefault="00DC49A6" w:rsidP="00B17B7C">
            <w:pPr>
              <w:jc w:val="center"/>
              <w:rPr>
                <w:rFonts w:ascii="Arial" w:hAnsi="Arial" w:cs="Arial"/>
                <w:color w:val="000000"/>
              </w:rPr>
            </w:pPr>
            <w:r w:rsidRPr="00DC49A6">
              <w:rPr>
                <w:rFonts w:ascii="Arial" w:hAnsi="Arial" w:cs="Arial"/>
                <w:color w:val="000000"/>
              </w:rPr>
              <w:t>4.49</w:t>
            </w:r>
          </w:p>
        </w:tc>
        <w:tc>
          <w:tcPr>
            <w:tcW w:w="2037" w:type="dxa"/>
            <w:noWrap/>
            <w:hideMark/>
          </w:tcPr>
          <w:p w14:paraId="530B3E28" w14:textId="77777777" w:rsidR="00DC49A6" w:rsidRPr="00DC49A6" w:rsidRDefault="00DC49A6" w:rsidP="00B17B7C">
            <w:pPr>
              <w:jc w:val="center"/>
              <w:rPr>
                <w:rFonts w:ascii="Arial" w:hAnsi="Arial" w:cs="Arial"/>
                <w:color w:val="000000"/>
              </w:rPr>
            </w:pPr>
            <w:r w:rsidRPr="00DC49A6">
              <w:rPr>
                <w:rFonts w:ascii="Arial" w:hAnsi="Arial" w:cs="Arial"/>
                <w:color w:val="000000"/>
              </w:rPr>
              <w:t>2.68</w:t>
            </w:r>
          </w:p>
        </w:tc>
      </w:tr>
      <w:tr w:rsidR="00DC49A6" w:rsidRPr="00DC49A6" w14:paraId="5437F346" w14:textId="77777777" w:rsidTr="00B17B7C">
        <w:trPr>
          <w:trHeight w:val="296"/>
          <w:jc w:val="center"/>
        </w:trPr>
        <w:tc>
          <w:tcPr>
            <w:tcW w:w="2037" w:type="dxa"/>
            <w:noWrap/>
            <w:hideMark/>
          </w:tcPr>
          <w:p w14:paraId="009A28CF" w14:textId="77777777" w:rsidR="00DC49A6" w:rsidRPr="00DC49A6" w:rsidRDefault="00DC49A6" w:rsidP="00B17B7C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DC49A6">
              <w:rPr>
                <w:rFonts w:ascii="Arial" w:hAnsi="Arial" w:cs="Arial"/>
                <w:b/>
                <w:bCs/>
                <w:color w:val="000000"/>
              </w:rPr>
              <w:t>Atlantic</w:t>
            </w:r>
          </w:p>
        </w:tc>
        <w:tc>
          <w:tcPr>
            <w:tcW w:w="2037" w:type="dxa"/>
            <w:noWrap/>
            <w:hideMark/>
          </w:tcPr>
          <w:p w14:paraId="351C2EFE" w14:textId="77777777" w:rsidR="00DC49A6" w:rsidRPr="00DC49A6" w:rsidRDefault="00DC49A6" w:rsidP="00B17B7C">
            <w:pPr>
              <w:jc w:val="center"/>
              <w:rPr>
                <w:rFonts w:ascii="Arial" w:hAnsi="Arial" w:cs="Arial"/>
                <w:color w:val="000000"/>
              </w:rPr>
            </w:pPr>
            <w:r w:rsidRPr="00DC49A6">
              <w:rPr>
                <w:rFonts w:ascii="Arial" w:hAnsi="Arial" w:cs="Arial"/>
                <w:color w:val="000000"/>
              </w:rPr>
              <w:t>0.61</w:t>
            </w:r>
          </w:p>
        </w:tc>
        <w:tc>
          <w:tcPr>
            <w:tcW w:w="2037" w:type="dxa"/>
            <w:noWrap/>
            <w:hideMark/>
          </w:tcPr>
          <w:p w14:paraId="15439D0B" w14:textId="77777777" w:rsidR="00DC49A6" w:rsidRPr="00DC49A6" w:rsidRDefault="00DC49A6" w:rsidP="00B17B7C">
            <w:pPr>
              <w:jc w:val="center"/>
              <w:rPr>
                <w:rFonts w:ascii="Arial" w:hAnsi="Arial" w:cs="Arial"/>
                <w:color w:val="000000"/>
              </w:rPr>
            </w:pPr>
            <w:r w:rsidRPr="00DC49A6">
              <w:rPr>
                <w:rFonts w:ascii="Arial" w:hAnsi="Arial" w:cs="Arial"/>
                <w:color w:val="000000"/>
              </w:rPr>
              <w:t>1.05</w:t>
            </w:r>
          </w:p>
        </w:tc>
        <w:tc>
          <w:tcPr>
            <w:tcW w:w="2037" w:type="dxa"/>
            <w:noWrap/>
            <w:hideMark/>
          </w:tcPr>
          <w:p w14:paraId="5DEC7B02" w14:textId="77777777" w:rsidR="00DC49A6" w:rsidRPr="00DC49A6" w:rsidRDefault="00DC49A6" w:rsidP="00B17B7C">
            <w:pPr>
              <w:jc w:val="center"/>
              <w:rPr>
                <w:rFonts w:ascii="Arial" w:hAnsi="Arial" w:cs="Arial"/>
                <w:color w:val="000000"/>
              </w:rPr>
            </w:pPr>
            <w:r w:rsidRPr="00DC49A6">
              <w:rPr>
                <w:rFonts w:ascii="Arial" w:hAnsi="Arial" w:cs="Arial"/>
                <w:color w:val="000000"/>
              </w:rPr>
              <w:t>3.31</w:t>
            </w:r>
          </w:p>
        </w:tc>
      </w:tr>
      <w:tr w:rsidR="00DC49A6" w:rsidRPr="00DC49A6" w14:paraId="703C991C" w14:textId="77777777" w:rsidTr="00B17B7C">
        <w:trPr>
          <w:trHeight w:val="296"/>
          <w:jc w:val="center"/>
        </w:trPr>
        <w:tc>
          <w:tcPr>
            <w:tcW w:w="2037" w:type="dxa"/>
            <w:noWrap/>
            <w:hideMark/>
          </w:tcPr>
          <w:p w14:paraId="017CAA09" w14:textId="77777777" w:rsidR="00DC49A6" w:rsidRPr="00DC49A6" w:rsidRDefault="00DC49A6" w:rsidP="00B17B7C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DC49A6">
              <w:rPr>
                <w:rFonts w:ascii="Arial" w:hAnsi="Arial" w:cs="Arial"/>
                <w:b/>
                <w:bCs/>
                <w:color w:val="000000"/>
              </w:rPr>
              <w:t>W. Pacific</w:t>
            </w:r>
          </w:p>
        </w:tc>
        <w:tc>
          <w:tcPr>
            <w:tcW w:w="2037" w:type="dxa"/>
            <w:noWrap/>
            <w:hideMark/>
          </w:tcPr>
          <w:p w14:paraId="2693DA70" w14:textId="77777777" w:rsidR="00DC49A6" w:rsidRPr="00DC49A6" w:rsidRDefault="00DC49A6" w:rsidP="00B17B7C">
            <w:pPr>
              <w:jc w:val="center"/>
              <w:rPr>
                <w:rFonts w:ascii="Arial" w:hAnsi="Arial" w:cs="Arial"/>
                <w:color w:val="000000"/>
              </w:rPr>
            </w:pPr>
            <w:r w:rsidRPr="00DC49A6">
              <w:rPr>
                <w:rFonts w:ascii="Arial" w:hAnsi="Arial" w:cs="Arial"/>
                <w:color w:val="000000"/>
              </w:rPr>
              <w:t>0.46</w:t>
            </w:r>
          </w:p>
        </w:tc>
        <w:tc>
          <w:tcPr>
            <w:tcW w:w="2037" w:type="dxa"/>
            <w:noWrap/>
            <w:hideMark/>
          </w:tcPr>
          <w:p w14:paraId="112FB2E3" w14:textId="77777777" w:rsidR="00DC49A6" w:rsidRPr="00DC49A6" w:rsidRDefault="00DC49A6" w:rsidP="00B17B7C">
            <w:pPr>
              <w:jc w:val="center"/>
              <w:rPr>
                <w:rFonts w:ascii="Arial" w:hAnsi="Arial" w:cs="Arial"/>
                <w:color w:val="000000"/>
              </w:rPr>
            </w:pPr>
            <w:r w:rsidRPr="00DC49A6">
              <w:rPr>
                <w:rFonts w:ascii="Arial" w:hAnsi="Arial" w:cs="Arial"/>
                <w:color w:val="000000"/>
              </w:rPr>
              <w:t>3.74</w:t>
            </w:r>
          </w:p>
        </w:tc>
        <w:tc>
          <w:tcPr>
            <w:tcW w:w="2037" w:type="dxa"/>
            <w:noWrap/>
            <w:hideMark/>
          </w:tcPr>
          <w:p w14:paraId="6DEE7648" w14:textId="77777777" w:rsidR="00DC49A6" w:rsidRPr="00DC49A6" w:rsidRDefault="00DC49A6" w:rsidP="00B17B7C">
            <w:pPr>
              <w:jc w:val="center"/>
              <w:rPr>
                <w:rFonts w:ascii="Arial" w:hAnsi="Arial" w:cs="Arial"/>
                <w:color w:val="000000"/>
              </w:rPr>
            </w:pPr>
            <w:r w:rsidRPr="00DC49A6">
              <w:rPr>
                <w:rFonts w:ascii="Arial" w:hAnsi="Arial" w:cs="Arial"/>
                <w:color w:val="000000"/>
              </w:rPr>
              <w:t>5.83</w:t>
            </w:r>
          </w:p>
        </w:tc>
      </w:tr>
      <w:tr w:rsidR="00DC49A6" w:rsidRPr="00DC49A6" w14:paraId="1501EE9B" w14:textId="77777777" w:rsidTr="00B17B7C">
        <w:trPr>
          <w:trHeight w:val="296"/>
          <w:jc w:val="center"/>
        </w:trPr>
        <w:tc>
          <w:tcPr>
            <w:tcW w:w="2037" w:type="dxa"/>
            <w:noWrap/>
            <w:hideMark/>
          </w:tcPr>
          <w:p w14:paraId="5FCAAD73" w14:textId="77777777" w:rsidR="00DC49A6" w:rsidRPr="00DC49A6" w:rsidRDefault="00DC49A6" w:rsidP="00B17B7C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DC49A6">
              <w:rPr>
                <w:rFonts w:ascii="Arial" w:hAnsi="Arial" w:cs="Arial"/>
                <w:b/>
                <w:bCs/>
                <w:color w:val="000000"/>
              </w:rPr>
              <w:t>C. Pacific</w:t>
            </w:r>
          </w:p>
        </w:tc>
        <w:tc>
          <w:tcPr>
            <w:tcW w:w="2037" w:type="dxa"/>
            <w:noWrap/>
            <w:hideMark/>
          </w:tcPr>
          <w:p w14:paraId="7D6CEC5D" w14:textId="77777777" w:rsidR="00DC49A6" w:rsidRPr="00DC49A6" w:rsidRDefault="00DC49A6" w:rsidP="00B17B7C">
            <w:pPr>
              <w:jc w:val="center"/>
              <w:rPr>
                <w:rFonts w:ascii="Arial" w:hAnsi="Arial" w:cs="Arial"/>
                <w:color w:val="000000"/>
              </w:rPr>
            </w:pPr>
            <w:r w:rsidRPr="00DC49A6">
              <w:rPr>
                <w:rFonts w:ascii="Arial" w:hAnsi="Arial" w:cs="Arial"/>
                <w:color w:val="000000"/>
              </w:rPr>
              <w:t>0.52</w:t>
            </w:r>
          </w:p>
        </w:tc>
        <w:tc>
          <w:tcPr>
            <w:tcW w:w="2037" w:type="dxa"/>
            <w:noWrap/>
            <w:hideMark/>
          </w:tcPr>
          <w:p w14:paraId="56B4B8F3" w14:textId="77777777" w:rsidR="00DC49A6" w:rsidRPr="00DC49A6" w:rsidRDefault="00DC49A6" w:rsidP="00B17B7C">
            <w:pPr>
              <w:jc w:val="center"/>
              <w:rPr>
                <w:rFonts w:ascii="Arial" w:hAnsi="Arial" w:cs="Arial"/>
                <w:color w:val="000000"/>
              </w:rPr>
            </w:pPr>
            <w:r w:rsidRPr="00DC49A6">
              <w:rPr>
                <w:rFonts w:ascii="Arial" w:hAnsi="Arial" w:cs="Arial"/>
                <w:color w:val="000000"/>
              </w:rPr>
              <w:t>5.16</w:t>
            </w:r>
          </w:p>
        </w:tc>
        <w:tc>
          <w:tcPr>
            <w:tcW w:w="2037" w:type="dxa"/>
            <w:noWrap/>
            <w:hideMark/>
          </w:tcPr>
          <w:p w14:paraId="6E282435" w14:textId="77777777" w:rsidR="00DC49A6" w:rsidRPr="00DC49A6" w:rsidRDefault="00DC49A6" w:rsidP="00B17B7C">
            <w:pPr>
              <w:jc w:val="center"/>
              <w:rPr>
                <w:rFonts w:ascii="Arial" w:hAnsi="Arial" w:cs="Arial"/>
                <w:color w:val="000000"/>
              </w:rPr>
            </w:pPr>
            <w:r w:rsidRPr="00DC49A6">
              <w:rPr>
                <w:rFonts w:ascii="Arial" w:hAnsi="Arial" w:cs="Arial"/>
                <w:color w:val="000000"/>
              </w:rPr>
              <w:t>-0.05</w:t>
            </w:r>
          </w:p>
        </w:tc>
      </w:tr>
      <w:tr w:rsidR="00DC49A6" w:rsidRPr="00DC49A6" w14:paraId="022EE699" w14:textId="77777777" w:rsidTr="00B17B7C">
        <w:trPr>
          <w:trHeight w:val="296"/>
          <w:jc w:val="center"/>
        </w:trPr>
        <w:tc>
          <w:tcPr>
            <w:tcW w:w="2037" w:type="dxa"/>
            <w:noWrap/>
            <w:hideMark/>
          </w:tcPr>
          <w:p w14:paraId="062B72C6" w14:textId="77777777" w:rsidR="00DC49A6" w:rsidRPr="00DC49A6" w:rsidRDefault="00DC49A6" w:rsidP="00B17B7C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DC49A6">
              <w:rPr>
                <w:rFonts w:ascii="Arial" w:hAnsi="Arial" w:cs="Arial"/>
                <w:b/>
                <w:bCs/>
                <w:color w:val="000000"/>
              </w:rPr>
              <w:t>E. Pacific</w:t>
            </w:r>
          </w:p>
        </w:tc>
        <w:tc>
          <w:tcPr>
            <w:tcW w:w="2037" w:type="dxa"/>
            <w:noWrap/>
            <w:hideMark/>
          </w:tcPr>
          <w:p w14:paraId="4BDECDD3" w14:textId="77777777" w:rsidR="00DC49A6" w:rsidRPr="00DC49A6" w:rsidRDefault="00DC49A6" w:rsidP="00B17B7C">
            <w:pPr>
              <w:jc w:val="center"/>
              <w:rPr>
                <w:rFonts w:ascii="Arial" w:hAnsi="Arial" w:cs="Arial"/>
                <w:color w:val="000000"/>
              </w:rPr>
            </w:pPr>
            <w:r w:rsidRPr="00DC49A6">
              <w:rPr>
                <w:rFonts w:ascii="Arial" w:hAnsi="Arial" w:cs="Arial"/>
                <w:color w:val="000000"/>
              </w:rPr>
              <w:t>0.68</w:t>
            </w:r>
          </w:p>
        </w:tc>
        <w:tc>
          <w:tcPr>
            <w:tcW w:w="2037" w:type="dxa"/>
            <w:noWrap/>
            <w:hideMark/>
          </w:tcPr>
          <w:p w14:paraId="3D8B04D3" w14:textId="77777777" w:rsidR="00DC49A6" w:rsidRPr="00DC49A6" w:rsidRDefault="00DC49A6" w:rsidP="00B17B7C">
            <w:pPr>
              <w:jc w:val="center"/>
              <w:rPr>
                <w:rFonts w:ascii="Arial" w:hAnsi="Arial" w:cs="Arial"/>
                <w:color w:val="000000"/>
              </w:rPr>
            </w:pPr>
            <w:r w:rsidRPr="00DC49A6">
              <w:rPr>
                <w:rFonts w:ascii="Arial" w:hAnsi="Arial" w:cs="Arial"/>
                <w:color w:val="000000"/>
              </w:rPr>
              <w:t>2.54</w:t>
            </w:r>
          </w:p>
        </w:tc>
        <w:tc>
          <w:tcPr>
            <w:tcW w:w="2037" w:type="dxa"/>
            <w:noWrap/>
            <w:hideMark/>
          </w:tcPr>
          <w:p w14:paraId="1944DF15" w14:textId="77777777" w:rsidR="00DC49A6" w:rsidRPr="00DC49A6" w:rsidRDefault="00DC49A6" w:rsidP="00B17B7C">
            <w:pPr>
              <w:jc w:val="center"/>
              <w:rPr>
                <w:rFonts w:ascii="Arial" w:hAnsi="Arial" w:cs="Arial"/>
                <w:color w:val="000000"/>
              </w:rPr>
            </w:pPr>
            <w:r w:rsidRPr="00DC49A6">
              <w:rPr>
                <w:rFonts w:ascii="Arial" w:hAnsi="Arial" w:cs="Arial"/>
                <w:color w:val="000000"/>
              </w:rPr>
              <w:t>4.14</w:t>
            </w:r>
          </w:p>
        </w:tc>
      </w:tr>
    </w:tbl>
    <w:p w14:paraId="5C513760" w14:textId="77777777" w:rsidR="00DC49A6" w:rsidRPr="00DC49A6" w:rsidRDefault="00DC49A6" w:rsidP="00DC49A6">
      <w:pPr>
        <w:pStyle w:val="SMHeading"/>
        <w:rPr>
          <w:b w:val="0"/>
          <w:sz w:val="22"/>
          <w:szCs w:val="22"/>
        </w:rPr>
      </w:pPr>
      <w:r w:rsidRPr="00DC49A6">
        <w:rPr>
          <w:sz w:val="22"/>
          <w:szCs w:val="22"/>
        </w:rPr>
        <w:t xml:space="preserve">Table S2. </w:t>
      </w:r>
      <w:r w:rsidRPr="00DC49A6">
        <w:rPr>
          <w:b w:val="0"/>
          <w:sz w:val="22"/>
          <w:szCs w:val="22"/>
        </w:rPr>
        <w:t xml:space="preserve">Linear regression of annual-mean </w:t>
      </w:r>
      <w:r w:rsidRPr="00DC49A6">
        <w:rPr>
          <w:b w:val="0"/>
          <w:color w:val="000000" w:themeColor="text1"/>
          <w:sz w:val="22"/>
          <w:szCs w:val="22"/>
        </w:rPr>
        <w:t>P</w:t>
      </w:r>
      <w:r w:rsidRPr="00DC49A6">
        <w:rPr>
          <w:b w:val="0"/>
          <w:color w:val="000000" w:themeColor="text1"/>
          <w:sz w:val="22"/>
          <w:szCs w:val="22"/>
          <w:vertAlign w:val="subscript"/>
        </w:rPr>
        <w:t>C</w:t>
      </w:r>
      <w:r w:rsidRPr="00DC49A6">
        <w:rPr>
          <w:b w:val="0"/>
          <w:sz w:val="22"/>
          <w:szCs w:val="22"/>
        </w:rPr>
        <w:t xml:space="preserve"> and Δ</w:t>
      </w:r>
      <w:r w:rsidRPr="00DC49A6">
        <w:rPr>
          <w:b w:val="0"/>
          <w:color w:val="000000" w:themeColor="text1"/>
          <w:sz w:val="22"/>
          <w:szCs w:val="22"/>
        </w:rPr>
        <w:t>SST</w:t>
      </w:r>
      <w:r w:rsidRPr="00DC49A6">
        <w:rPr>
          <w:b w:val="0"/>
          <w:sz w:val="22"/>
          <w:szCs w:val="22"/>
        </w:rPr>
        <w:t xml:space="preserve"> over 21 years in each region. Correlation coefficients are lower than over the seasonal cycle, owing to small differences in Δ</w:t>
      </w:r>
      <w:r w:rsidRPr="00DC49A6">
        <w:rPr>
          <w:b w:val="0"/>
          <w:color w:val="000000" w:themeColor="text1"/>
          <w:sz w:val="22"/>
          <w:szCs w:val="22"/>
        </w:rPr>
        <w:t xml:space="preserve">SST. Regression slopes differ from the seasonal relationship. Starred values are not statistically significant, as in the Indian basin; all other values are significant. </w:t>
      </w:r>
    </w:p>
    <w:p w14:paraId="720B2E3C" w14:textId="77777777" w:rsidR="00DC49A6" w:rsidRPr="00DC49A6" w:rsidRDefault="00DC49A6" w:rsidP="00DC49A6">
      <w:pPr>
        <w:rPr>
          <w:rFonts w:ascii="Times New Roman" w:eastAsia="Times New Roman" w:hAnsi="Times New Roman" w:cs="Times New Roman"/>
        </w:rPr>
      </w:pPr>
    </w:p>
    <w:sectPr w:rsidR="00DC49A6" w:rsidRPr="00DC49A6" w:rsidSect="00D9121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49A6"/>
    <w:rsid w:val="004B05C8"/>
    <w:rsid w:val="00D91219"/>
    <w:rsid w:val="00DC49A6"/>
    <w:rsid w:val="00F128EC"/>
    <w:rsid w:val="00F641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2FFD6EE"/>
  <w14:defaultImageDpi w14:val="32767"/>
  <w15:chartTrackingRefBased/>
  <w15:docId w15:val="{B6B86DFF-DAAE-044C-937A-961538EB17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C49A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C49A6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SMHeading">
    <w:name w:val="SM Heading"/>
    <w:basedOn w:val="Heading1"/>
    <w:qFormat/>
    <w:rsid w:val="00DC49A6"/>
    <w:pPr>
      <w:keepLines w:val="0"/>
      <w:spacing w:after="60"/>
    </w:pPr>
    <w:rPr>
      <w:rFonts w:ascii="Times New Roman" w:eastAsia="Times New Roman" w:hAnsi="Times New Roman" w:cs="Times New Roman"/>
      <w:b/>
      <w:bCs/>
      <w:color w:val="auto"/>
      <w:kern w:val="32"/>
      <w:sz w:val="24"/>
      <w:szCs w:val="24"/>
    </w:rPr>
  </w:style>
  <w:style w:type="table" w:styleId="TableGrid">
    <w:name w:val="Table Grid"/>
    <w:basedOn w:val="TableNormal"/>
    <w:rsid w:val="00DC49A6"/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DC49A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5912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0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271</Words>
  <Characters>1545</Characters>
  <Application>Microsoft Office Word</Application>
  <DocSecurity>0</DocSecurity>
  <Lines>12</Lines>
  <Paragraphs>3</Paragraphs>
  <ScaleCrop>false</ScaleCrop>
  <Company/>
  <LinksUpToDate>false</LinksUpToDate>
  <CharactersWithSpaces>1813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william mischell</dc:creator>
  <cp:keywords/>
  <dc:description/>
  <cp:lastModifiedBy>william mischell</cp:lastModifiedBy>
  <cp:revision>2</cp:revision>
  <dcterms:created xsi:type="dcterms:W3CDTF">2021-07-01T13:56:00Z</dcterms:created>
  <dcterms:modified xsi:type="dcterms:W3CDTF">2021-07-01T18:05:00Z</dcterms:modified>
</cp:coreProperties>
</file>