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DC8B6" w14:textId="2C335B95" w:rsidR="006877D6" w:rsidRPr="004A7A4C" w:rsidRDefault="006F23B8" w:rsidP="006877D6">
      <w:pPr>
        <w:pStyle w:val="Heading1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Appendix_S6._Results"/>
      <w:bookmarkStart w:id="1" w:name="_Appendix_S7._Results"/>
      <w:bookmarkStart w:id="2" w:name="_Appendix_S8._Appendix"/>
      <w:bookmarkStart w:id="3" w:name="_Appendix_S8._Character"/>
      <w:bookmarkEnd w:id="0"/>
      <w:bookmarkEnd w:id="1"/>
      <w:bookmarkEnd w:id="2"/>
      <w:bookmarkEnd w:id="3"/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S10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B42154">
        <w:rPr>
          <w:rFonts w:ascii="Times New Roman" w:hAnsi="Times New Roman" w:cs="Times New Roman"/>
          <w:b/>
          <w:color w:val="auto"/>
          <w:sz w:val="24"/>
          <w:szCs w:val="24"/>
        </w:rPr>
        <w:t>Ancestral state reconstruction of vision and habitat</w:t>
      </w:r>
    </w:p>
    <w:p w14:paraId="6957E66B" w14:textId="5D851B7C" w:rsidR="006877D6" w:rsidRDefault="006877D6" w:rsidP="006877D6">
      <w:pPr>
        <w:spacing w:line="480" w:lineRule="auto"/>
      </w:pPr>
      <w:bookmarkStart w:id="4" w:name="_GoBack"/>
      <w:bookmarkEnd w:id="4"/>
      <w:r>
        <w:t xml:space="preserve">Our pairwise comparisons suggest that both vision and non-marine habitat seem to promote animal diversification. However, their distribution is correlated among animal phyla, making it </w:t>
      </w:r>
      <w:proofErr w:type="gramStart"/>
      <w:r>
        <w:t>unclear which</w:t>
      </w:r>
      <w:proofErr w:type="gramEnd"/>
      <w:r>
        <w:t xml:space="preserve"> actually explains variation in diversification rates. One pattern that might help resolve this uncertainty is if vision preceded the invasion of non-marine habitat, </w:t>
      </w:r>
      <w:r w:rsidR="00A8702F">
        <w:t>a pattern consistent with the idea</w:t>
      </w:r>
      <w:r>
        <w:t xml:space="preserve"> that </w:t>
      </w:r>
      <w:r w:rsidR="00A8702F">
        <w:t xml:space="preserve">vision facilitated invasion of non-marine habitats, but </w:t>
      </w:r>
      <w:r>
        <w:t>non-marine habitats had a more direct impact on diversification. Therefore, we tested whether the evolution of vision preceded the invasion of non-marine habitats among animal phyla using maximum likelihood ancestral state reconstructions</w:t>
      </w:r>
      <w:r w:rsidRPr="009E1DB7">
        <w:t xml:space="preserve"> in Mesquite 2.75 </w:t>
      </w:r>
      <w:r w:rsidRPr="009E1DB7">
        <w:fldChar w:fldCharType="begin"/>
      </w:r>
      <w:r>
        <w:instrText xml:space="preserve"> ADDIN EN.CITE &lt;EndNote&gt;&lt;Cite&gt;&lt;Author&gt;Maddison&lt;/Author&gt;&lt;Year&gt;2011&lt;/Year&gt;&lt;RecNum&gt;72&lt;/RecNum&gt;&lt;DisplayText&gt;(Maddison and Maddison 2011)&lt;/DisplayText&gt;&lt;record&gt;&lt;rec-number&gt;72&lt;/rec-number&gt;&lt;foreign-keys&gt;&lt;key app="EN" db-id="w252twfsovrzalesr5wvd201afreapdxpwws" timestamp="1467228389"&gt;72&lt;/key&gt;&lt;/foreign-keys&gt;&lt;ref-type name="Journal Article"&gt;17&lt;/ref-type&gt;&lt;contributors&gt;&lt;authors&gt;&lt;author&gt;Maddison, W.P.&lt;/author&gt;&lt;author&gt;Maddison, D.R.&lt;/author&gt;&lt;/authors&gt;&lt;/contributors&gt;&lt;titles&gt;&lt;title&gt;Mesquite: a modular system for evolutionary analysis. Version 2.75. Available at: http:// mesquiteproject.org&lt;/title&gt;&lt;/titles&gt;&lt;dates&gt;&lt;year&gt;2011&lt;/year&gt;&lt;/dates&gt;&lt;urls&gt;&lt;/urls&gt;&lt;/record&gt;&lt;/Cite&gt;&lt;/EndNote&gt;</w:instrText>
      </w:r>
      <w:r w:rsidRPr="009E1DB7">
        <w:fldChar w:fldCharType="separate"/>
      </w:r>
      <w:r>
        <w:rPr>
          <w:noProof/>
        </w:rPr>
        <w:t>(Maddison and Maddison 2011)</w:t>
      </w:r>
      <w:r w:rsidRPr="009E1DB7">
        <w:fldChar w:fldCharType="end"/>
      </w:r>
      <w:r w:rsidRPr="009E1DB7">
        <w:t xml:space="preserve">. For this analysis, we used </w:t>
      </w:r>
      <w:r>
        <w:t>Tree 2 (including</w:t>
      </w:r>
      <w:r w:rsidRPr="009E1DB7">
        <w:t xml:space="preserve"> 73 </w:t>
      </w:r>
      <w:r>
        <w:t xml:space="preserve">animal </w:t>
      </w:r>
      <w:r w:rsidRPr="009E1DB7">
        <w:t>taxa</w:t>
      </w:r>
      <w:r>
        <w:t>)</w:t>
      </w:r>
      <w:r w:rsidRPr="009E1DB7">
        <w:t xml:space="preserve"> </w:t>
      </w:r>
      <w:r>
        <w:t xml:space="preserve">from </w:t>
      </w:r>
      <w:r w:rsidRPr="009E1DB7">
        <w:fldChar w:fldCharType="begin"/>
      </w:r>
      <w:r>
        <w:instrText xml:space="preserve"> ADDIN EN.CITE &lt;EndNote&gt;&lt;Cite AuthorYear="1"&gt;&lt;Author&gt;Wiens&lt;/Author&gt;&lt;Year&gt;2015&lt;/Year&gt;&lt;RecNum&gt;8&lt;/RecNum&gt;&lt;DisplayText&gt;Wiens (2015b)&lt;/DisplayText&gt;&lt;record&gt;&lt;rec-number&gt;8&lt;/rec-number&gt;&lt;foreign-keys&gt;&lt;key app="EN" db-id="w252twfsovrzalesr5wvd201afreapdxpwws" timestamp="1467228353"&gt;8&lt;/key&gt;&lt;/foreign-keys&gt;&lt;ref-type name="Journal Article"&gt;17&lt;/ref-type&gt;&lt;contributors&gt;&lt;authors&gt;&lt;author&gt;Wiens, J. J.&lt;/author&gt;&lt;/authors&gt;&lt;/contributors&gt;&lt;auth-address&gt;Department of Ecology and Evolutionary Biology, University of Arizona, Tucson, AZ, 85721-0081, USA.&lt;/auth-address&gt;&lt;titles&gt;&lt;title&gt;Faster diversification on land than sea helps explain global biodiversity patterns among habitats and animal phyla&lt;/title&gt;&lt;secondary-title&gt;Ecology Letters&lt;/secondary-title&gt;&lt;/titles&gt;&lt;periodical&gt;&lt;full-title&gt;Ecology Letters&lt;/full-title&gt;&lt;/periodical&gt;&lt;pages&gt;1234–1241&lt;/pages&gt;&lt;volume&gt;18&lt;/volume&gt;&lt;number&gt;11&lt;/number&gt;&lt;keywords&gt;&lt;keyword&gt;Animal phyla, diversification&lt;/keyword&gt;&lt;keyword&gt;freshwater&lt;/keyword&gt;&lt;keyword&gt;marine&lt;/keyword&gt;&lt;keyword&gt;niche conservatism&lt;/keyword&gt;&lt;keyword&gt;phylogeny, species richness&lt;/keyword&gt;&lt;keyword&gt;terrestrial&lt;/keyword&gt;&lt;/keywords&gt;&lt;dates&gt;&lt;year&gt;2015&lt;/year&gt;&lt;pub-dates&gt;&lt;date&gt;Sep 8&lt;/date&gt;&lt;/pub-dates&gt;&lt;/dates&gt;&lt;isbn&gt;1461-0248 (Electronic)&amp;#xD;1461-023X (Linking)&lt;/isbn&gt;&lt;accession-num&gt;26346782&lt;/accession-num&gt;&lt;urls&gt;&lt;/urls&gt;&lt;electronic-resource-num&gt;10.1111/ele.12503&lt;/electronic-resource-num&gt;&lt;remote-database-provider&gt;NLM&lt;/remote-database-provider&gt;&lt;language&gt;Eng&lt;/language&gt;&lt;/record&gt;&lt;/Cite&gt;&lt;/EndNote&gt;</w:instrText>
      </w:r>
      <w:r w:rsidRPr="009E1DB7">
        <w:fldChar w:fldCharType="separate"/>
      </w:r>
      <w:r>
        <w:rPr>
          <w:noProof/>
        </w:rPr>
        <w:t>Wiens (2015b)</w:t>
      </w:r>
      <w:r w:rsidRPr="009E1DB7">
        <w:fldChar w:fldCharType="end"/>
      </w:r>
      <w:r w:rsidRPr="009E1DB7">
        <w:t>. A data matrix was constructed by coding vision as 0 (neither photoreceptor nor eyes present) and 1 (photoreceptor or eyes present) and by coding the habitat as 0 (marine) and 1 (non-marine</w:t>
      </w:r>
      <w:r>
        <w:t>, including terrestrial and freshwater</w:t>
      </w:r>
      <w:r w:rsidRPr="009E1DB7">
        <w:t xml:space="preserve">). </w:t>
      </w:r>
      <w:r>
        <w:t>Prior to conducting reconstructions for each character, w</w:t>
      </w:r>
      <w:r w:rsidRPr="009E1DB7">
        <w:t>e compared</w:t>
      </w:r>
      <w:r>
        <w:t xml:space="preserve"> the relative fit of</w:t>
      </w:r>
      <w:r w:rsidRPr="009E1DB7">
        <w:t xml:space="preserve"> two models</w:t>
      </w:r>
      <w:r>
        <w:t>. T</w:t>
      </w:r>
      <w:r w:rsidRPr="009E1DB7">
        <w:t xml:space="preserve">he first model </w:t>
      </w:r>
      <w:r>
        <w:t>used</w:t>
      </w:r>
      <w:r w:rsidRPr="009E1DB7">
        <w:t xml:space="preserve"> a single rate for </w:t>
      </w:r>
      <w:r>
        <w:t xml:space="preserve">all </w:t>
      </w:r>
      <w:r w:rsidRPr="009E1DB7">
        <w:t>changes between states (Mk1 model)</w:t>
      </w:r>
      <w:r>
        <w:t xml:space="preserve">. The </w:t>
      </w:r>
      <w:r w:rsidRPr="009E1DB7">
        <w:t xml:space="preserve">second model </w:t>
      </w:r>
      <w:r>
        <w:t>employed two rates;</w:t>
      </w:r>
      <w:r w:rsidRPr="009E1DB7">
        <w:t xml:space="preserve"> one rate </w:t>
      </w:r>
      <w:r>
        <w:t>for</w:t>
      </w:r>
      <w:r w:rsidRPr="009E1DB7">
        <w:t xml:space="preserve"> change</w:t>
      </w:r>
      <w:r>
        <w:t>s</w:t>
      </w:r>
      <w:r w:rsidRPr="009E1DB7">
        <w:t xml:space="preserve"> from state 0 to state 1</w:t>
      </w:r>
      <w:r>
        <w:t>,</w:t>
      </w:r>
      <w:r w:rsidRPr="009E1DB7">
        <w:t xml:space="preserve"> and the other </w:t>
      </w:r>
      <w:r>
        <w:t>for</w:t>
      </w:r>
      <w:r w:rsidRPr="009E1DB7">
        <w:t xml:space="preserve"> </w:t>
      </w:r>
      <w:r>
        <w:t>changes</w:t>
      </w:r>
      <w:r w:rsidRPr="009E1DB7">
        <w:t xml:space="preserve"> from 1 to 0 (</w:t>
      </w:r>
      <w:proofErr w:type="spellStart"/>
      <w:r w:rsidRPr="009E1DB7">
        <w:t>AsymmMk</w:t>
      </w:r>
      <w:proofErr w:type="spellEnd"/>
      <w:r w:rsidRPr="009E1DB7">
        <w:t xml:space="preserve"> model). We used the AIC value to choose the </w:t>
      </w:r>
      <w:r>
        <w:t xml:space="preserve">best-fitting </w:t>
      </w:r>
      <w:r w:rsidRPr="009E1DB7">
        <w:t xml:space="preserve">model. A node was considered ambiguously reconstructed (i.e. poorly supported) if the proportional likelihood of the most likely state was 0.87 or less, following the standard threshold utilized in Mesquite. </w:t>
      </w:r>
    </w:p>
    <w:p w14:paraId="6C2F7F78" w14:textId="3CA10B90" w:rsidR="006877D6" w:rsidRPr="006877D6" w:rsidRDefault="006877D6" w:rsidP="006877D6">
      <w:pPr>
        <w:spacing w:line="480" w:lineRule="auto"/>
        <w:ind w:firstLine="720"/>
      </w:pPr>
      <w:r w:rsidRPr="00957ACA">
        <w:t xml:space="preserve">There was negligible difference (≤2; </w:t>
      </w:r>
      <w:r w:rsidRPr="00957ACA">
        <w:fldChar w:fldCharType="begin"/>
      </w:r>
      <w:r>
        <w:instrText xml:space="preserve"> ADDIN EN.CITE &lt;EndNote&gt;&lt;Cite&gt;&lt;Author&gt;Burnham&lt;/Author&gt;&lt;Year&gt;2004&lt;/Year&gt;&lt;RecNum&gt;73&lt;/RecNum&gt;&lt;DisplayText&gt;(Burnham and Anderson 2004)&lt;/DisplayText&gt;&lt;record&gt;&lt;rec-number&gt;73&lt;/rec-number&gt;&lt;foreign-keys&gt;&lt;key app="EN" db-id="w252twfsovrzalesr5wvd201afreapdxpwws" timestamp="1467228389"&gt;73&lt;/key&gt;&lt;/foreign-keys&gt;&lt;ref-type name="Journal Article"&gt;17&lt;/ref-type&gt;&lt;contributors&gt;&lt;authors&gt;&lt;author&gt;Burnham, K. P.&lt;/author&gt;&lt;author&gt;Anderson, D. R.&lt;/author&gt;&lt;/authors&gt;&lt;/contributors&gt;&lt;titles&gt;&lt;title&gt;Multimodel inference - understanding AIC and BIC in model selection&lt;/title&gt;&lt;secondary-title&gt;Sociological Methods &amp;amp; Research&lt;/secondary-title&gt;&lt;/titles&gt;&lt;periodical&gt;&lt;full-title&gt;Sociological Methods &amp;amp; Research&lt;/full-title&gt;&lt;/periodical&gt;&lt;pages&gt;261–304&lt;/pages&gt;&lt;volume&gt;33&lt;/volume&gt;&lt;number&gt;2&lt;/number&gt;&lt;dates&gt;&lt;year&gt;2004&lt;/year&gt;&lt;pub-dates&gt;&lt;date&gt;Nov&lt;/date&gt;&lt;/pub-dates&gt;&lt;/dates&gt;&lt;isbn&gt;0049-1241&lt;/isbn&gt;&lt;accession-num&gt;WOS:000224706300004&lt;/accession-num&gt;&lt;urls&gt;&lt;related-urls&gt;&lt;url&gt;&amp;lt;Go to ISI&amp;gt;://WOS:000224706300004&lt;/url&gt;&lt;/related-urls&gt;&lt;/urls&gt;&lt;electronic-resource-num&gt;10.1177/0049124104268644&lt;/electronic-resource-num&gt;&lt;/record&gt;&lt;/Cite&gt;&lt;/EndNote&gt;</w:instrText>
      </w:r>
      <w:r w:rsidRPr="00957ACA">
        <w:fldChar w:fldCharType="separate"/>
      </w:r>
      <w:r>
        <w:rPr>
          <w:noProof/>
        </w:rPr>
        <w:t>(Burnham and Anderson 2004)</w:t>
      </w:r>
      <w:r w:rsidRPr="00957ACA">
        <w:fldChar w:fldCharType="end"/>
      </w:r>
      <w:r>
        <w:t xml:space="preserve"> between </w:t>
      </w:r>
      <w:r w:rsidRPr="00957ACA">
        <w:t>AIC value</w:t>
      </w:r>
      <w:r>
        <w:t>s</w:t>
      </w:r>
      <w:r w:rsidRPr="00957ACA">
        <w:t xml:space="preserve"> for the Mk1 model (habitat: AIC=74.9; vision: AIC=72.9) and the </w:t>
      </w:r>
      <w:proofErr w:type="spellStart"/>
      <w:r w:rsidRPr="00957ACA">
        <w:t>AsymmMk</w:t>
      </w:r>
      <w:proofErr w:type="spellEnd"/>
      <w:r w:rsidRPr="00957ACA">
        <w:t xml:space="preserve"> model (habitat: AIC=75.2; vision: AIC=74.2). We therefore </w:t>
      </w:r>
      <w:r>
        <w:t xml:space="preserve">used the simpler model to visualize the evolution of the two traits. The ancestral state reconstruction indicates that vision evolved prior to the </w:t>
      </w:r>
      <w:r>
        <w:lastRenderedPageBreak/>
        <w:t>multiple invasions of non-marine habitats (</w:t>
      </w:r>
      <w:r w:rsidR="007210D9">
        <w:t xml:space="preserve">Supplementary File S10, Figure </w:t>
      </w:r>
      <w:r>
        <w:t>1). These results are consistent with our regression analyses in suggesting that non-marine habitats are the more important driver of diversification rates among animal phyla, whereas vision may have facilitated the invasion of non-marine habitat</w:t>
      </w:r>
      <w:r w:rsidR="006129EB">
        <w:t>s but had a less direct impact on diversification.</w:t>
      </w:r>
      <w:r>
        <w:rPr>
          <w:b/>
        </w:rPr>
        <w:br w:type="page"/>
      </w:r>
    </w:p>
    <w:p w14:paraId="753A0E4F" w14:textId="66B5C1A6" w:rsidR="006877D6" w:rsidRPr="00275D23" w:rsidRDefault="00FF6C98" w:rsidP="006877D6">
      <w:pPr>
        <w:spacing w:line="480" w:lineRule="auto"/>
      </w:pPr>
      <w:proofErr w:type="gramStart"/>
      <w:r>
        <w:rPr>
          <w:b/>
        </w:rPr>
        <w:lastRenderedPageBreak/>
        <w:t>Supplementary File S10</w:t>
      </w:r>
      <w:r w:rsidR="006877D6" w:rsidRPr="00275D23">
        <w:rPr>
          <w:b/>
        </w:rPr>
        <w:t>, Figur</w:t>
      </w:r>
      <w:r>
        <w:rPr>
          <w:b/>
        </w:rPr>
        <w:t xml:space="preserve">e </w:t>
      </w:r>
      <w:r w:rsidR="006877D6">
        <w:rPr>
          <w:b/>
        </w:rPr>
        <w:t>1</w:t>
      </w:r>
      <w:r w:rsidR="006877D6" w:rsidRPr="00275D23">
        <w:t>.</w:t>
      </w:r>
      <w:proofErr w:type="gramEnd"/>
      <w:r w:rsidR="006877D6" w:rsidRPr="00275D23">
        <w:t xml:space="preserve"> Character state reconstruction for the habitat (top) and vision (bottom) on a tree of 73 taxa. The occupancy of non-marine habitats and the presence of vision are depicted in red, whereas occupancy of marine habitats and the absence of vision </w:t>
      </w:r>
      <w:proofErr w:type="gramStart"/>
      <w:r w:rsidR="006877D6" w:rsidRPr="00275D23">
        <w:t>is</w:t>
      </w:r>
      <w:proofErr w:type="gramEnd"/>
      <w:r w:rsidR="006877D6" w:rsidRPr="00275D23">
        <w:t xml:space="preserve"> depicted in green. Ambiguous nodes are </w:t>
      </w:r>
      <w:r w:rsidR="006877D6">
        <w:t xml:space="preserve">shown </w:t>
      </w:r>
      <w:r w:rsidR="006877D6" w:rsidRPr="00275D23">
        <w:t>in gr</w:t>
      </w:r>
      <w:r w:rsidR="006877D6">
        <w:t>a</w:t>
      </w:r>
      <w:r w:rsidR="006877D6" w:rsidRPr="00275D23">
        <w:t xml:space="preserve">y. </w:t>
      </w:r>
    </w:p>
    <w:p w14:paraId="4F43E64F" w14:textId="77777777" w:rsidR="006877D6" w:rsidRDefault="006877D6" w:rsidP="006877D6">
      <w:pPr>
        <w:spacing w:line="480" w:lineRule="auto"/>
        <w:jc w:val="center"/>
      </w:pPr>
      <w:r w:rsidRPr="002839A0">
        <w:rPr>
          <w:noProof/>
        </w:rPr>
        <w:drawing>
          <wp:inline distT="0" distB="0" distL="0" distR="0" wp14:anchorId="2E2BFF3A" wp14:editId="68EB2823">
            <wp:extent cx="5943600" cy="32531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7370B" w14:textId="77777777" w:rsidR="006877D6" w:rsidRPr="009E1DB7" w:rsidRDefault="006877D6" w:rsidP="006877D6">
      <w:pPr>
        <w:spacing w:line="480" w:lineRule="auto"/>
      </w:pPr>
      <w:r w:rsidRPr="00CE790E">
        <w:rPr>
          <w:noProof/>
        </w:rPr>
        <w:drawing>
          <wp:inline distT="0" distB="0" distL="0" distR="0" wp14:anchorId="206FBF47" wp14:editId="7A09C43B">
            <wp:extent cx="5943600" cy="32397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77D6" w:rsidRPr="009E1DB7" w:rsidSect="00DE55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269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73F84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489F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46A54-C1DC-2E40-B186-BD12D290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898</Words>
  <Characters>5125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278</cp:revision>
  <dcterms:created xsi:type="dcterms:W3CDTF">2016-07-05T04:27:00Z</dcterms:created>
  <dcterms:modified xsi:type="dcterms:W3CDTF">2016-10-14T05:58:00Z</dcterms:modified>
</cp:coreProperties>
</file>