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733" w:rsidRPr="00B15DB5" w:rsidRDefault="00B15DB5" w:rsidP="00B30638">
      <w:pPr>
        <w:spacing w:line="360" w:lineRule="auto"/>
        <w:ind w:right="-660"/>
        <w:jc w:val="both"/>
        <w:rPr>
          <w:lang w:val="en-US"/>
        </w:rPr>
      </w:pPr>
      <w:r w:rsidRPr="00B30638">
        <w:rPr>
          <w:b/>
          <w:lang w:val="en-US"/>
        </w:rPr>
        <w:t>Table S2.</w:t>
      </w:r>
      <w:r w:rsidR="00B30638">
        <w:rPr>
          <w:lang w:val="en-US"/>
        </w:rPr>
        <w:t xml:space="preserve"> Number of </w:t>
      </w:r>
      <w:proofErr w:type="spellStart"/>
      <w:r w:rsidR="00B30638">
        <w:rPr>
          <w:lang w:val="en-US"/>
        </w:rPr>
        <w:t>biogeograph</w:t>
      </w:r>
      <w:r w:rsidRPr="00B15DB5">
        <w:rPr>
          <w:lang w:val="en-US"/>
        </w:rPr>
        <w:t>ical</w:t>
      </w:r>
      <w:proofErr w:type="spellEnd"/>
      <w:r w:rsidRPr="00B15DB5">
        <w:rPr>
          <w:lang w:val="en-US"/>
        </w:rPr>
        <w:t xml:space="preserve"> events estimated in the history of the </w:t>
      </w:r>
      <w:proofErr w:type="spellStart"/>
      <w:r w:rsidRPr="00B15DB5">
        <w:rPr>
          <w:lang w:val="en-US"/>
        </w:rPr>
        <w:t>subtribe</w:t>
      </w:r>
      <w:proofErr w:type="spellEnd"/>
      <w:r w:rsidRPr="00B15DB5">
        <w:rPr>
          <w:lang w:val="en-US"/>
        </w:rPr>
        <w:t xml:space="preserve"> </w:t>
      </w:r>
      <w:proofErr w:type="spellStart"/>
      <w:r w:rsidRPr="00B15DB5">
        <w:rPr>
          <w:lang w:val="en-US"/>
        </w:rPr>
        <w:t>Panicinae</w:t>
      </w:r>
      <w:proofErr w:type="spellEnd"/>
      <w:r w:rsidRPr="00B15DB5">
        <w:rPr>
          <w:lang w:val="en-US"/>
        </w:rPr>
        <w:t xml:space="preserve"> using </w:t>
      </w:r>
      <w:proofErr w:type="spellStart"/>
      <w:r w:rsidRPr="00B15DB5">
        <w:rPr>
          <w:lang w:val="en-US"/>
        </w:rPr>
        <w:t>biogeographical</w:t>
      </w:r>
      <w:proofErr w:type="spellEnd"/>
      <w:r w:rsidRPr="00B15DB5">
        <w:rPr>
          <w:lang w:val="en-US"/>
        </w:rPr>
        <w:t xml:space="preserve"> stochastic </w:t>
      </w:r>
      <w:r>
        <w:rPr>
          <w:lang w:val="en-US"/>
        </w:rPr>
        <w:t xml:space="preserve">mapping. Event counts were averaged across 1000 BSMs and are presented here with the standard deviations in parentheses. Total event counts are given for </w:t>
      </w:r>
      <w:r>
        <w:rPr>
          <w:rFonts w:ascii="Calibri" w:eastAsia="Times New Roman" w:hAnsi="Calibri" w:cs="Times New Roman"/>
          <w:color w:val="000000"/>
          <w:lang w:val="en-US" w:eastAsia="es-AR"/>
        </w:rPr>
        <w:t>r</w:t>
      </w:r>
      <w:r w:rsidRPr="003D1733">
        <w:rPr>
          <w:rFonts w:ascii="Calibri" w:eastAsia="Times New Roman" w:hAnsi="Calibri" w:cs="Times New Roman"/>
          <w:color w:val="000000"/>
          <w:lang w:val="en-US" w:eastAsia="es-AR"/>
        </w:rPr>
        <w:t>ange-expansion event</w:t>
      </w:r>
      <w:r>
        <w:rPr>
          <w:rFonts w:ascii="Calibri" w:eastAsia="Times New Roman" w:hAnsi="Calibri" w:cs="Times New Roman"/>
          <w:color w:val="000000"/>
          <w:lang w:val="en-US" w:eastAsia="es-AR"/>
        </w:rPr>
        <w:t>s</w:t>
      </w:r>
      <w:r w:rsidRPr="003D1733">
        <w:rPr>
          <w:rFonts w:ascii="Calibri" w:eastAsia="Times New Roman" w:hAnsi="Calibri" w:cs="Times New Roman"/>
          <w:color w:val="000000"/>
          <w:lang w:val="en-US" w:eastAsia="es-AR"/>
        </w:rPr>
        <w:t xml:space="preserve"> (</w:t>
      </w:r>
      <w:proofErr w:type="spellStart"/>
      <w:r w:rsidRPr="003D1733">
        <w:rPr>
          <w:rFonts w:ascii="Calibri" w:eastAsia="Times New Roman" w:hAnsi="Calibri" w:cs="Times New Roman"/>
          <w:color w:val="000000"/>
          <w:lang w:val="en-US" w:eastAsia="es-AR"/>
        </w:rPr>
        <w:t>a</w:t>
      </w:r>
      <w:r>
        <w:rPr>
          <w:rFonts w:ascii="Calibri" w:eastAsia="Times New Roman" w:hAnsi="Calibri" w:cs="Times New Roman"/>
          <w:color w:val="000000"/>
          <w:lang w:val="en-US" w:eastAsia="es-AR"/>
        </w:rPr>
        <w:t>nagenetic</w:t>
      </w:r>
      <w:proofErr w:type="spellEnd"/>
      <w:r>
        <w:rPr>
          <w:rFonts w:ascii="Calibri" w:eastAsia="Times New Roman" w:hAnsi="Calibri" w:cs="Times New Roman"/>
          <w:color w:val="000000"/>
          <w:lang w:val="en-US" w:eastAsia="es-AR"/>
        </w:rPr>
        <w:t xml:space="preserve"> dispersal) (a), f</w:t>
      </w:r>
      <w:r w:rsidRPr="003D1733">
        <w:rPr>
          <w:rFonts w:ascii="Calibri" w:eastAsia="Times New Roman" w:hAnsi="Calibri" w:cs="Times New Roman"/>
          <w:color w:val="000000"/>
          <w:lang w:val="en-US" w:eastAsia="es-AR"/>
        </w:rPr>
        <w:t>ounder event</w:t>
      </w:r>
      <w:r>
        <w:rPr>
          <w:rFonts w:ascii="Calibri" w:eastAsia="Times New Roman" w:hAnsi="Calibri" w:cs="Times New Roman"/>
          <w:color w:val="000000"/>
          <w:lang w:val="en-US" w:eastAsia="es-AR"/>
        </w:rPr>
        <w:t>s</w:t>
      </w:r>
      <w:r w:rsidRPr="003D1733">
        <w:rPr>
          <w:rFonts w:ascii="Calibri" w:eastAsia="Times New Roman" w:hAnsi="Calibri" w:cs="Times New Roman"/>
          <w:color w:val="000000"/>
          <w:lang w:val="en-US" w:eastAsia="es-AR"/>
        </w:rPr>
        <w:t xml:space="preserve"> (</w:t>
      </w:r>
      <w:proofErr w:type="spellStart"/>
      <w:r w:rsidRPr="003D1733">
        <w:rPr>
          <w:rFonts w:ascii="Calibri" w:eastAsia="Times New Roman" w:hAnsi="Calibri" w:cs="Times New Roman"/>
          <w:color w:val="000000"/>
          <w:lang w:val="en-US" w:eastAsia="es-AR"/>
        </w:rPr>
        <w:t>cladogenetic</w:t>
      </w:r>
      <w:proofErr w:type="spellEnd"/>
      <w:r w:rsidRPr="003D1733">
        <w:rPr>
          <w:rFonts w:ascii="Calibri" w:eastAsia="Times New Roman" w:hAnsi="Calibri" w:cs="Times New Roman"/>
          <w:color w:val="000000"/>
          <w:lang w:val="en-US" w:eastAsia="es-AR"/>
        </w:rPr>
        <w:t xml:space="preserve"> dispersal)</w:t>
      </w:r>
      <w:r>
        <w:rPr>
          <w:rFonts w:ascii="Calibri" w:eastAsia="Times New Roman" w:hAnsi="Calibri" w:cs="Times New Roman"/>
          <w:color w:val="000000"/>
          <w:lang w:val="en-US" w:eastAsia="es-AR"/>
        </w:rPr>
        <w:t xml:space="preserve"> (b), and </w:t>
      </w:r>
      <w:proofErr w:type="spellStart"/>
      <w:r w:rsidRPr="003D1733">
        <w:rPr>
          <w:rFonts w:ascii="Calibri" w:eastAsia="Times New Roman" w:hAnsi="Calibri" w:cs="Times New Roman"/>
          <w:color w:val="000000"/>
          <w:lang w:val="en-US" w:eastAsia="es-AR"/>
        </w:rPr>
        <w:t>Sympatry</w:t>
      </w:r>
      <w:proofErr w:type="spellEnd"/>
      <w:r w:rsidRPr="003D1733">
        <w:rPr>
          <w:rFonts w:ascii="Calibri" w:eastAsia="Times New Roman" w:hAnsi="Calibri" w:cs="Times New Roman"/>
          <w:color w:val="000000"/>
          <w:lang w:val="en-US" w:eastAsia="es-AR"/>
        </w:rPr>
        <w:t xml:space="preserve"> speciation event</w:t>
      </w:r>
      <w:r>
        <w:rPr>
          <w:rFonts w:ascii="Calibri" w:eastAsia="Times New Roman" w:hAnsi="Calibri" w:cs="Times New Roman"/>
          <w:color w:val="000000"/>
          <w:lang w:val="en-US" w:eastAsia="es-AR"/>
        </w:rPr>
        <w:t>s (c). For dispersal events the ancestral area</w:t>
      </w:r>
      <w:r w:rsidR="00B30638">
        <w:rPr>
          <w:rFonts w:ascii="Calibri" w:eastAsia="Times New Roman" w:hAnsi="Calibri" w:cs="Times New Roman"/>
          <w:color w:val="000000"/>
          <w:lang w:val="en-US" w:eastAsia="es-AR"/>
        </w:rPr>
        <w:t>s</w:t>
      </w:r>
      <w:r>
        <w:rPr>
          <w:rFonts w:ascii="Calibri" w:eastAsia="Times New Roman" w:hAnsi="Calibri" w:cs="Times New Roman"/>
          <w:color w:val="000000"/>
          <w:lang w:val="en-US" w:eastAsia="es-AR"/>
        </w:rPr>
        <w:t xml:space="preserve"> (where the lineage dispersed from) are given in the row, and the descendent area</w:t>
      </w:r>
      <w:r w:rsidR="00B30638">
        <w:rPr>
          <w:rFonts w:ascii="Calibri" w:eastAsia="Times New Roman" w:hAnsi="Calibri" w:cs="Times New Roman"/>
          <w:color w:val="000000"/>
          <w:lang w:val="en-US" w:eastAsia="es-AR"/>
        </w:rPr>
        <w:t>s</w:t>
      </w:r>
      <w:r>
        <w:rPr>
          <w:rFonts w:ascii="Calibri" w:eastAsia="Times New Roman" w:hAnsi="Calibri" w:cs="Times New Roman"/>
          <w:color w:val="000000"/>
          <w:lang w:val="en-US" w:eastAsia="es-AR"/>
        </w:rPr>
        <w:t xml:space="preserve"> (where the lineage dispersed to) are given in the column. The percentages of events involving each area either as a source (the row</w:t>
      </w:r>
      <w:r w:rsidR="00C55744">
        <w:rPr>
          <w:rFonts w:ascii="Calibri" w:eastAsia="Times New Roman" w:hAnsi="Calibri" w:cs="Times New Roman"/>
          <w:color w:val="000000"/>
          <w:lang w:val="en-US" w:eastAsia="es-AR"/>
        </w:rPr>
        <w:t xml:space="preserve">s) or as the </w:t>
      </w:r>
      <w:r w:rsidR="00B30638">
        <w:rPr>
          <w:rFonts w:ascii="Calibri" w:eastAsia="Times New Roman" w:hAnsi="Calibri" w:cs="Times New Roman"/>
          <w:color w:val="000000"/>
          <w:lang w:val="en-US" w:eastAsia="es-AR"/>
        </w:rPr>
        <w:t>destination</w:t>
      </w:r>
      <w:r w:rsidR="00C55744">
        <w:rPr>
          <w:rFonts w:ascii="Calibri" w:eastAsia="Times New Roman" w:hAnsi="Calibri" w:cs="Times New Roman"/>
          <w:color w:val="000000"/>
          <w:lang w:val="en-US" w:eastAsia="es-AR"/>
        </w:rPr>
        <w:t xml:space="preserve"> (the columns)</w:t>
      </w:r>
      <w:r w:rsidR="00B30638">
        <w:rPr>
          <w:rFonts w:ascii="Calibri" w:eastAsia="Times New Roman" w:hAnsi="Calibri" w:cs="Times New Roman"/>
          <w:color w:val="000000"/>
          <w:lang w:val="en-US" w:eastAsia="es-AR"/>
        </w:rPr>
        <w:t xml:space="preserve">, are given on the margins. Area names in rows and columns are: </w:t>
      </w:r>
      <w:r w:rsidR="00B30638" w:rsidRPr="00B80CDD">
        <w:rPr>
          <w:b/>
          <w:lang w:val="en-US"/>
        </w:rPr>
        <w:t>A</w:t>
      </w:r>
      <w:r w:rsidR="00B30638" w:rsidRPr="00B80CDD">
        <w:rPr>
          <w:lang w:val="en-US"/>
        </w:rPr>
        <w:t xml:space="preserve">, North America; </w:t>
      </w:r>
      <w:r w:rsidR="00B30638" w:rsidRPr="00B80CDD">
        <w:rPr>
          <w:b/>
          <w:lang w:val="en-US"/>
        </w:rPr>
        <w:t>B</w:t>
      </w:r>
      <w:r w:rsidR="00B30638" w:rsidRPr="00B80CDD">
        <w:rPr>
          <w:lang w:val="en-US"/>
        </w:rPr>
        <w:t xml:space="preserve"> Central and South America; </w:t>
      </w:r>
      <w:r w:rsidR="00B30638" w:rsidRPr="00B80CDD">
        <w:rPr>
          <w:b/>
          <w:lang w:val="en-US"/>
        </w:rPr>
        <w:t>C</w:t>
      </w:r>
      <w:r w:rsidR="00B30638" w:rsidRPr="00B80CDD">
        <w:rPr>
          <w:lang w:val="en-US"/>
        </w:rPr>
        <w:t>, Eurasia</w:t>
      </w:r>
      <w:r w:rsidR="00B30638">
        <w:rPr>
          <w:lang w:val="en-US"/>
        </w:rPr>
        <w:t xml:space="preserve"> </w:t>
      </w:r>
      <w:r w:rsidR="00B30638" w:rsidRPr="00B80CDD">
        <w:rPr>
          <w:lang w:val="en-US"/>
        </w:rPr>
        <w:t>+</w:t>
      </w:r>
      <w:r w:rsidR="00B30638">
        <w:rPr>
          <w:lang w:val="en-US"/>
        </w:rPr>
        <w:t xml:space="preserve"> </w:t>
      </w:r>
      <w:proofErr w:type="spellStart"/>
      <w:r w:rsidR="00B30638" w:rsidRPr="00B80CDD">
        <w:rPr>
          <w:lang w:val="en-US"/>
        </w:rPr>
        <w:t>Mediterran</w:t>
      </w:r>
      <w:proofErr w:type="spellEnd"/>
      <w:r w:rsidR="00B30638">
        <w:rPr>
          <w:lang w:val="en-US"/>
        </w:rPr>
        <w:t xml:space="preserve"> </w:t>
      </w:r>
      <w:r w:rsidR="00B30638" w:rsidRPr="00B80CDD">
        <w:rPr>
          <w:lang w:val="en-US"/>
        </w:rPr>
        <w:t>+</w:t>
      </w:r>
      <w:r w:rsidR="00B30638">
        <w:rPr>
          <w:lang w:val="en-US"/>
        </w:rPr>
        <w:t xml:space="preserve"> </w:t>
      </w:r>
      <w:r w:rsidR="00B30638" w:rsidRPr="00B80CDD">
        <w:rPr>
          <w:lang w:val="en-US"/>
        </w:rPr>
        <w:t xml:space="preserve">North Africa; </w:t>
      </w:r>
      <w:r w:rsidR="00B30638" w:rsidRPr="00B80CDD">
        <w:rPr>
          <w:b/>
          <w:lang w:val="en-US"/>
        </w:rPr>
        <w:t>D</w:t>
      </w:r>
      <w:r w:rsidR="00B30638" w:rsidRPr="00B80CDD">
        <w:rPr>
          <w:lang w:val="en-US"/>
        </w:rPr>
        <w:t xml:space="preserve">, Tropical and South Africa; </w:t>
      </w:r>
      <w:r w:rsidR="00B30638" w:rsidRPr="00B80CDD">
        <w:rPr>
          <w:b/>
          <w:lang w:val="en-US"/>
        </w:rPr>
        <w:t>E</w:t>
      </w:r>
      <w:r w:rsidR="00B30638" w:rsidRPr="00B80CDD">
        <w:rPr>
          <w:lang w:val="en-US"/>
        </w:rPr>
        <w:t xml:space="preserve">, Southern Asia; </w:t>
      </w:r>
      <w:r w:rsidR="00B30638" w:rsidRPr="00B80CDD">
        <w:rPr>
          <w:b/>
          <w:lang w:val="en-US"/>
        </w:rPr>
        <w:t>F</w:t>
      </w:r>
      <w:r w:rsidR="00B30638">
        <w:rPr>
          <w:lang w:val="en-US"/>
        </w:rPr>
        <w:t>,</w:t>
      </w:r>
      <w:r w:rsidR="00B30638" w:rsidRPr="00B80CDD">
        <w:rPr>
          <w:lang w:val="en-US"/>
        </w:rPr>
        <w:t xml:space="preserve"> Australia.</w:t>
      </w:r>
    </w:p>
    <w:tbl>
      <w:tblPr>
        <w:tblW w:w="96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21"/>
        <w:gridCol w:w="1374"/>
        <w:gridCol w:w="1374"/>
        <w:gridCol w:w="1374"/>
        <w:gridCol w:w="1374"/>
        <w:gridCol w:w="1374"/>
        <w:gridCol w:w="1374"/>
        <w:gridCol w:w="735"/>
      </w:tblGrid>
      <w:tr w:rsidR="003D1733" w:rsidRPr="003D1733" w:rsidTr="00E139E2">
        <w:trPr>
          <w:trHeight w:val="300"/>
        </w:trPr>
        <w:tc>
          <w:tcPr>
            <w:tcW w:w="9600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val="en-US"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es-AR"/>
              </w:rPr>
              <w:t>(a)</w:t>
            </w:r>
            <w:r w:rsidRPr="003D1733"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 xml:space="preserve"> Range-expansion event counts (</w:t>
            </w:r>
            <w:proofErr w:type="spellStart"/>
            <w:r w:rsidRPr="003D1733"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>a</w:t>
            </w:r>
            <w:r w:rsidR="00F50762"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>nagenetic</w:t>
            </w:r>
            <w:proofErr w:type="spellEnd"/>
            <w:r w:rsidR="00F50762"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 xml:space="preserve"> dispersal), mean and (</w:t>
            </w:r>
            <w:r w:rsidRPr="003D1733"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 xml:space="preserve">standard deviations). </w:t>
            </w:r>
          </w:p>
        </w:tc>
      </w:tr>
      <w:tr w:rsidR="003D1733" w:rsidRPr="003D1733" w:rsidTr="00502289">
        <w:trPr>
          <w:trHeight w:val="300"/>
        </w:trPr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proofErr w:type="spellStart"/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Area</w:t>
            </w:r>
            <w:proofErr w:type="spellEnd"/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A</w:t>
            </w:r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B</w:t>
            </w:r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C</w:t>
            </w:r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D</w:t>
            </w:r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E</w:t>
            </w:r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F</w:t>
            </w: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%</w:t>
            </w:r>
          </w:p>
        </w:tc>
      </w:tr>
      <w:tr w:rsidR="003D1733" w:rsidRPr="003D1733" w:rsidTr="00502289">
        <w:trPr>
          <w:trHeight w:val="300"/>
        </w:trPr>
        <w:tc>
          <w:tcPr>
            <w:tcW w:w="621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A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-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0.66 (0.67)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 (0)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 (0)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 (0)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 (0)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6.60</w:t>
            </w:r>
          </w:p>
        </w:tc>
      </w:tr>
      <w:tr w:rsidR="003D1733" w:rsidRPr="003D1733" w:rsidTr="00502289">
        <w:trPr>
          <w:trHeight w:val="300"/>
        </w:trPr>
        <w:tc>
          <w:tcPr>
            <w:tcW w:w="621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B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2.34 (0.67)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-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 (0)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 (0)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 (0)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 (0)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23.39</w:t>
            </w:r>
          </w:p>
        </w:tc>
      </w:tr>
      <w:tr w:rsidR="003D1733" w:rsidRPr="003D1733" w:rsidTr="00502289">
        <w:trPr>
          <w:trHeight w:val="300"/>
        </w:trPr>
        <w:tc>
          <w:tcPr>
            <w:tcW w:w="621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C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 (0)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 (0)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-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0.09 (0.29)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 (0)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 (0)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0.93</w:t>
            </w:r>
          </w:p>
        </w:tc>
      </w:tr>
      <w:tr w:rsidR="003D1733" w:rsidRPr="003D1733" w:rsidTr="00502289">
        <w:trPr>
          <w:trHeight w:val="300"/>
        </w:trPr>
        <w:tc>
          <w:tcPr>
            <w:tcW w:w="621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D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 (0)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 (0)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0.91 (0.29)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-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1.2</w:t>
            </w:r>
            <w:r w:rsidR="00AC2ABC">
              <w:rPr>
                <w:rFonts w:ascii="Calibri" w:eastAsia="Times New Roman" w:hAnsi="Calibri" w:cs="Times New Roman"/>
                <w:color w:val="000000"/>
                <w:lang w:eastAsia="es-AR"/>
              </w:rPr>
              <w:t>0</w:t>
            </w: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 (0.8</w:t>
            </w:r>
            <w:r w:rsidR="00AC2ABC">
              <w:rPr>
                <w:rFonts w:ascii="Calibri" w:eastAsia="Times New Roman" w:hAnsi="Calibri" w:cs="Times New Roman"/>
                <w:color w:val="000000"/>
                <w:lang w:eastAsia="es-AR"/>
              </w:rPr>
              <w:t>0</w:t>
            </w: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)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0.72 (0.65)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28.29</w:t>
            </w:r>
          </w:p>
        </w:tc>
      </w:tr>
      <w:tr w:rsidR="003D1733" w:rsidRPr="003D1733" w:rsidTr="00502289">
        <w:trPr>
          <w:trHeight w:val="300"/>
        </w:trPr>
        <w:tc>
          <w:tcPr>
            <w:tcW w:w="621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E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 (0)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 (0)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 (0)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0.9</w:t>
            </w:r>
            <w:r w:rsidR="00AC2ABC">
              <w:rPr>
                <w:rFonts w:ascii="Calibri" w:eastAsia="Times New Roman" w:hAnsi="Calibri" w:cs="Times New Roman"/>
                <w:color w:val="000000"/>
                <w:lang w:eastAsia="es-AR"/>
              </w:rPr>
              <w:t>0</w:t>
            </w: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 (0.77)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-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0.76 (0.75)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16.60</w:t>
            </w:r>
          </w:p>
        </w:tc>
      </w:tr>
      <w:tr w:rsidR="003D1733" w:rsidRPr="003D1733" w:rsidTr="00502289">
        <w:trPr>
          <w:trHeight w:val="300"/>
        </w:trPr>
        <w:tc>
          <w:tcPr>
            <w:tcW w:w="621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F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 (0)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 (0)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 (0)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0.98 (0.74)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1.44 (0.81)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-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24.19</w:t>
            </w:r>
          </w:p>
        </w:tc>
      </w:tr>
      <w:tr w:rsidR="003D1733" w:rsidRPr="003D1733" w:rsidTr="00502289">
        <w:trPr>
          <w:trHeight w:val="300"/>
        </w:trPr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%</w:t>
            </w:r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23.39</w:t>
            </w:r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6.60</w:t>
            </w:r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9.10</w:t>
            </w:r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19.72</w:t>
            </w:r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26.39</w:t>
            </w:r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14.80</w:t>
            </w:r>
          </w:p>
        </w:tc>
        <w:tc>
          <w:tcPr>
            <w:tcW w:w="73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</w:tr>
    </w:tbl>
    <w:p w:rsidR="003D1733" w:rsidRDefault="003D1733" w:rsidP="00B30638">
      <w:pPr>
        <w:spacing w:line="360" w:lineRule="auto"/>
      </w:pPr>
    </w:p>
    <w:tbl>
      <w:tblPr>
        <w:tblW w:w="965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71"/>
        <w:gridCol w:w="1400"/>
        <w:gridCol w:w="1271"/>
        <w:gridCol w:w="1271"/>
        <w:gridCol w:w="1271"/>
        <w:gridCol w:w="1271"/>
        <w:gridCol w:w="1400"/>
        <w:gridCol w:w="1200"/>
      </w:tblGrid>
      <w:tr w:rsidR="00F50762" w:rsidRPr="003D1733" w:rsidTr="00502289">
        <w:trPr>
          <w:trHeight w:val="300"/>
        </w:trPr>
        <w:tc>
          <w:tcPr>
            <w:tcW w:w="9655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762" w:rsidRPr="003D1733" w:rsidRDefault="00F50762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val="en-US"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es-AR"/>
              </w:rPr>
              <w:t>(b)</w:t>
            </w:r>
            <w:r w:rsidRPr="003D1733"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 xml:space="preserve"> Founder event counts (</w:t>
            </w:r>
            <w:proofErr w:type="spellStart"/>
            <w:r w:rsidRPr="003D1733"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>cladogenetic</w:t>
            </w:r>
            <w:proofErr w:type="spellEnd"/>
            <w:r w:rsidRPr="003D1733"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 xml:space="preserve"> dispersal), mean and (standard deviations). </w:t>
            </w:r>
          </w:p>
        </w:tc>
      </w:tr>
      <w:tr w:rsidR="003D1733" w:rsidRPr="003D1733" w:rsidTr="00A06E25">
        <w:trPr>
          <w:trHeight w:val="300"/>
        </w:trPr>
        <w:tc>
          <w:tcPr>
            <w:tcW w:w="57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proofErr w:type="spellStart"/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Area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B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C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D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E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 </w:t>
            </w:r>
            <w:r w:rsidR="00F50762" w:rsidRPr="00502289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%</w:t>
            </w:r>
          </w:p>
        </w:tc>
      </w:tr>
      <w:tr w:rsidR="003D1733" w:rsidRPr="003D1733" w:rsidTr="00A06E25">
        <w:trPr>
          <w:trHeight w:val="300"/>
        </w:trPr>
        <w:tc>
          <w:tcPr>
            <w:tcW w:w="571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A</w:t>
            </w:r>
          </w:p>
        </w:tc>
        <w:tc>
          <w:tcPr>
            <w:tcW w:w="1400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-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0.21 (0.54)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0.024 (0.15)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0.18 (0.4)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3D1733" w:rsidRPr="003D1733" w:rsidRDefault="00F50762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0.08</w:t>
            </w:r>
            <w:r w:rsidR="003D1733"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 (0.27)</w:t>
            </w:r>
          </w:p>
        </w:tc>
        <w:tc>
          <w:tcPr>
            <w:tcW w:w="1400" w:type="dxa"/>
            <w:shd w:val="clear" w:color="auto" w:fill="auto"/>
            <w:noWrap/>
            <w:hideMark/>
          </w:tcPr>
          <w:p w:rsidR="003D1733" w:rsidRPr="003D1733" w:rsidRDefault="00F50762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0.01</w:t>
            </w:r>
            <w:r w:rsidR="003D1733"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 (0.071)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2.32</w:t>
            </w:r>
          </w:p>
        </w:tc>
      </w:tr>
      <w:tr w:rsidR="003D1733" w:rsidRPr="003D1733" w:rsidTr="00A06E25">
        <w:trPr>
          <w:trHeight w:val="300"/>
        </w:trPr>
        <w:tc>
          <w:tcPr>
            <w:tcW w:w="571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B</w:t>
            </w:r>
          </w:p>
        </w:tc>
        <w:tc>
          <w:tcPr>
            <w:tcW w:w="1400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1.3 (0.59)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-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0.98 (0.17)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4.34 (1.97)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1.04 (0.6)</w:t>
            </w:r>
          </w:p>
        </w:tc>
        <w:tc>
          <w:tcPr>
            <w:tcW w:w="1400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1.34 (0.71)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42.18</w:t>
            </w:r>
          </w:p>
        </w:tc>
      </w:tr>
      <w:tr w:rsidR="003D1733" w:rsidRPr="003D1733" w:rsidTr="00A06E25">
        <w:trPr>
          <w:trHeight w:val="300"/>
        </w:trPr>
        <w:tc>
          <w:tcPr>
            <w:tcW w:w="571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C</w:t>
            </w:r>
          </w:p>
        </w:tc>
        <w:tc>
          <w:tcPr>
            <w:tcW w:w="1400" w:type="dxa"/>
            <w:shd w:val="clear" w:color="auto" w:fill="auto"/>
            <w:noWrap/>
            <w:hideMark/>
          </w:tcPr>
          <w:p w:rsidR="003D1733" w:rsidRPr="003D1733" w:rsidRDefault="00F50762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0.01</w:t>
            </w:r>
            <w:r w:rsidR="003D1733"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 (0.063)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3D1733" w:rsidRPr="003D1733" w:rsidRDefault="00F50762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0.04</w:t>
            </w:r>
            <w:r w:rsidR="003D1733"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 (0.19)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-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3D1733" w:rsidRPr="003D1733" w:rsidRDefault="00F50762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0.01</w:t>
            </w:r>
            <w:r w:rsidR="003D1733"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 (0.15)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 (0)</w:t>
            </w:r>
          </w:p>
        </w:tc>
        <w:tc>
          <w:tcPr>
            <w:tcW w:w="1400" w:type="dxa"/>
            <w:shd w:val="clear" w:color="auto" w:fill="auto"/>
            <w:noWrap/>
            <w:hideMark/>
          </w:tcPr>
          <w:p w:rsidR="003D1733" w:rsidRPr="003D1733" w:rsidRDefault="00F50762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0.01</w:t>
            </w:r>
            <w:r w:rsidR="003D1733"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 (0.089)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0.30</w:t>
            </w:r>
          </w:p>
        </w:tc>
      </w:tr>
      <w:tr w:rsidR="003D1733" w:rsidRPr="003D1733" w:rsidTr="00A06E25">
        <w:trPr>
          <w:trHeight w:val="300"/>
        </w:trPr>
        <w:tc>
          <w:tcPr>
            <w:tcW w:w="571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D</w:t>
            </w:r>
          </w:p>
        </w:tc>
        <w:tc>
          <w:tcPr>
            <w:tcW w:w="1400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0.91 (0.48)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4.35 (1.85)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0.087 (0.28)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-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1.68 (0.73)</w:t>
            </w:r>
          </w:p>
        </w:tc>
        <w:tc>
          <w:tcPr>
            <w:tcW w:w="1400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0.65 (0.75)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35.98</w:t>
            </w:r>
          </w:p>
        </w:tc>
      </w:tr>
      <w:tr w:rsidR="003D1733" w:rsidRPr="003D1733" w:rsidTr="00A06E25">
        <w:trPr>
          <w:trHeight w:val="300"/>
        </w:trPr>
        <w:tc>
          <w:tcPr>
            <w:tcW w:w="571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E</w:t>
            </w:r>
          </w:p>
        </w:tc>
        <w:tc>
          <w:tcPr>
            <w:tcW w:w="1400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0.39 (0.49)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0.58 (0.65)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 (0)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0.54 (0.66)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-</w:t>
            </w:r>
          </w:p>
        </w:tc>
        <w:tc>
          <w:tcPr>
            <w:tcW w:w="1400" w:type="dxa"/>
            <w:shd w:val="clear" w:color="auto" w:fill="auto"/>
            <w:noWrap/>
            <w:hideMark/>
          </w:tcPr>
          <w:p w:rsidR="003D1733" w:rsidRPr="003D1733" w:rsidRDefault="00F50762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0.09</w:t>
            </w:r>
            <w:r w:rsidR="003D1733"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 (0.29)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7.49</w:t>
            </w:r>
          </w:p>
        </w:tc>
      </w:tr>
      <w:tr w:rsidR="003D1733" w:rsidRPr="003D1733" w:rsidTr="00A06E25">
        <w:trPr>
          <w:trHeight w:val="300"/>
        </w:trPr>
        <w:tc>
          <w:tcPr>
            <w:tcW w:w="571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F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F50762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0.01</w:t>
            </w:r>
            <w:r w:rsidR="003D1733"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 (0.055)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0.21 (0.41)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1 (0)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1.12 (0.35)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0.17 (0.39)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11.73</w:t>
            </w:r>
          </w:p>
        </w:tc>
      </w:tr>
      <w:tr w:rsidR="003D1733" w:rsidRPr="003D1733" w:rsidTr="00A06E25">
        <w:trPr>
          <w:trHeight w:val="300"/>
        </w:trPr>
        <w:tc>
          <w:tcPr>
            <w:tcW w:w="57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%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26.06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53.87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20.90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61.90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29.65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20.90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</w:tbl>
    <w:p w:rsidR="00B30638" w:rsidRDefault="00B30638" w:rsidP="00B30638">
      <w:pPr>
        <w:spacing w:line="360" w:lineRule="auto"/>
      </w:pPr>
    </w:p>
    <w:p w:rsidR="00B30638" w:rsidRDefault="00B30638">
      <w:r>
        <w:br w:type="page"/>
      </w:r>
    </w:p>
    <w:p w:rsidR="003D1733" w:rsidRDefault="003D1733" w:rsidP="00B30638">
      <w:pPr>
        <w:spacing w:line="360" w:lineRule="auto"/>
      </w:pPr>
    </w:p>
    <w:tbl>
      <w:tblPr>
        <w:tblW w:w="883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177"/>
        <w:gridCol w:w="1206"/>
        <w:gridCol w:w="1217"/>
        <w:gridCol w:w="1325"/>
        <w:gridCol w:w="1375"/>
        <w:gridCol w:w="1213"/>
        <w:gridCol w:w="1325"/>
      </w:tblGrid>
      <w:tr w:rsidR="00F50762" w:rsidRPr="003D1733" w:rsidTr="00502289">
        <w:trPr>
          <w:trHeight w:val="300"/>
        </w:trPr>
        <w:tc>
          <w:tcPr>
            <w:tcW w:w="883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0762" w:rsidRPr="003D1733" w:rsidRDefault="00F50762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val="en-US" w:eastAsia="es-AR"/>
              </w:rPr>
            </w:pPr>
            <w:r w:rsidRPr="00B30638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es-AR"/>
              </w:rPr>
              <w:t>(c)</w:t>
            </w:r>
            <w:r w:rsidRPr="00F50762"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 xml:space="preserve"> </w:t>
            </w:r>
            <w:proofErr w:type="spellStart"/>
            <w:r w:rsidRPr="003D1733"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>Sympatry</w:t>
            </w:r>
            <w:proofErr w:type="spellEnd"/>
            <w:r w:rsidRPr="003D1733"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 xml:space="preserve"> speciation event count, mean and (standard deviations).</w:t>
            </w:r>
          </w:p>
        </w:tc>
      </w:tr>
      <w:tr w:rsidR="003D1733" w:rsidRPr="003D1733" w:rsidTr="00A06E25">
        <w:trPr>
          <w:trHeight w:val="300"/>
        </w:trPr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proofErr w:type="spellStart"/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Area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A-&gt;A,A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AB-&gt;AB,AB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B-&gt;B,B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D-&gt;D,D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E-&gt;E,E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F-&gt;F,F</w:t>
            </w:r>
          </w:p>
        </w:tc>
      </w:tr>
      <w:tr w:rsidR="003D1733" w:rsidRPr="003D1733" w:rsidTr="00A06E25">
        <w:trPr>
          <w:trHeight w:val="300"/>
        </w:trPr>
        <w:tc>
          <w:tcPr>
            <w:tcW w:w="1177" w:type="dxa"/>
            <w:tcBorders>
              <w:top w:val="nil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Mean (SD)</w:t>
            </w:r>
          </w:p>
        </w:tc>
        <w:tc>
          <w:tcPr>
            <w:tcW w:w="1206" w:type="dxa"/>
            <w:tcBorders>
              <w:top w:val="nil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3.89 (0.27)</w:t>
            </w:r>
          </w:p>
        </w:tc>
        <w:tc>
          <w:tcPr>
            <w:tcW w:w="1217" w:type="dxa"/>
            <w:tcBorders>
              <w:top w:val="nil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7.59 (0.03)</w:t>
            </w:r>
          </w:p>
        </w:tc>
        <w:tc>
          <w:tcPr>
            <w:tcW w:w="1325" w:type="dxa"/>
            <w:tcBorders>
              <w:top w:val="nil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23.15 (1.97)</w:t>
            </w:r>
          </w:p>
        </w:tc>
        <w:tc>
          <w:tcPr>
            <w:tcW w:w="1375" w:type="dxa"/>
            <w:tcBorders>
              <w:top w:val="nil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31.51  (1.97)</w:t>
            </w:r>
          </w:p>
        </w:tc>
        <w:tc>
          <w:tcPr>
            <w:tcW w:w="1213" w:type="dxa"/>
            <w:tcBorders>
              <w:top w:val="nil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2.66 (0.51)</w:t>
            </w:r>
          </w:p>
        </w:tc>
        <w:tc>
          <w:tcPr>
            <w:tcW w:w="1325" w:type="dxa"/>
            <w:tcBorders>
              <w:top w:val="nil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color w:val="000000"/>
                <w:lang w:eastAsia="es-AR"/>
              </w:rPr>
              <w:t>31.19 (0.68)</w:t>
            </w:r>
          </w:p>
        </w:tc>
      </w:tr>
      <w:tr w:rsidR="003D1733" w:rsidRPr="003D1733" w:rsidTr="00A06E25">
        <w:trPr>
          <w:trHeight w:val="300"/>
        </w:trPr>
        <w:tc>
          <w:tcPr>
            <w:tcW w:w="11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%</w:t>
            </w:r>
          </w:p>
        </w:tc>
        <w:tc>
          <w:tcPr>
            <w:tcW w:w="120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3.89</w:t>
            </w:r>
          </w:p>
        </w:tc>
        <w:tc>
          <w:tcPr>
            <w:tcW w:w="121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7.59</w:t>
            </w:r>
          </w:p>
        </w:tc>
        <w:tc>
          <w:tcPr>
            <w:tcW w:w="132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23.15</w:t>
            </w:r>
          </w:p>
        </w:tc>
        <w:tc>
          <w:tcPr>
            <w:tcW w:w="13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31.51</w:t>
            </w:r>
          </w:p>
        </w:tc>
        <w:tc>
          <w:tcPr>
            <w:tcW w:w="121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2.66</w:t>
            </w:r>
          </w:p>
        </w:tc>
        <w:tc>
          <w:tcPr>
            <w:tcW w:w="132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3D1733" w:rsidRPr="003D1733" w:rsidRDefault="003D1733" w:rsidP="00B30638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3D1733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31.19</w:t>
            </w:r>
          </w:p>
        </w:tc>
      </w:tr>
    </w:tbl>
    <w:p w:rsidR="003D1733" w:rsidRDefault="003D1733" w:rsidP="00B30638">
      <w:pPr>
        <w:spacing w:line="360" w:lineRule="auto"/>
      </w:pPr>
    </w:p>
    <w:sectPr w:rsidR="003D1733" w:rsidSect="00844F2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A39B7"/>
    <w:rsid w:val="003D1733"/>
    <w:rsid w:val="00502289"/>
    <w:rsid w:val="007A39B7"/>
    <w:rsid w:val="007C51EF"/>
    <w:rsid w:val="00844F27"/>
    <w:rsid w:val="00A06E25"/>
    <w:rsid w:val="00AC2ABC"/>
    <w:rsid w:val="00B15DB5"/>
    <w:rsid w:val="00B30638"/>
    <w:rsid w:val="00C55744"/>
    <w:rsid w:val="00E139E2"/>
    <w:rsid w:val="00F50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F2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4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334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dsalariato</dc:creator>
  <cp:lastModifiedBy>dsalariato</cp:lastModifiedBy>
  <cp:revision>10</cp:revision>
  <dcterms:created xsi:type="dcterms:W3CDTF">2017-10-13T19:32:00Z</dcterms:created>
  <dcterms:modified xsi:type="dcterms:W3CDTF">2017-10-13T21:24:00Z</dcterms:modified>
</cp:coreProperties>
</file>