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213F75" w14:textId="77777777" w:rsidR="00557BDC" w:rsidRPr="00DF066D" w:rsidRDefault="00557BDC" w:rsidP="00557BDC">
      <w:pPr>
        <w:pStyle w:val="Normal1"/>
        <w:jc w:val="center"/>
        <w:rPr>
          <w:rFonts w:ascii="Times New Roman" w:hAnsi="Times New Roman" w:cs="Times New Roman"/>
          <w:b/>
          <w:sz w:val="28"/>
          <w:szCs w:val="24"/>
        </w:rPr>
      </w:pPr>
      <w:r w:rsidRPr="00DF066D">
        <w:rPr>
          <w:rFonts w:ascii="Times New Roman" w:hAnsi="Times New Roman" w:cs="Times New Roman"/>
          <w:b/>
          <w:sz w:val="28"/>
          <w:szCs w:val="24"/>
        </w:rPr>
        <w:t>Impacts of Drying and Rewetting on the Radiocarbon Signature of Respired CO</w:t>
      </w:r>
      <w:r w:rsidRPr="00DF066D">
        <w:rPr>
          <w:rFonts w:ascii="Times New Roman" w:hAnsi="Times New Roman" w:cs="Times New Roman"/>
          <w:b/>
          <w:sz w:val="28"/>
          <w:szCs w:val="24"/>
          <w:vertAlign w:val="subscript"/>
        </w:rPr>
        <w:t>2</w:t>
      </w:r>
      <w:r w:rsidRPr="00DF066D">
        <w:rPr>
          <w:rFonts w:ascii="Times New Roman" w:hAnsi="Times New Roman" w:cs="Times New Roman"/>
          <w:b/>
          <w:sz w:val="28"/>
          <w:szCs w:val="24"/>
        </w:rPr>
        <w:t xml:space="preserve"> and Implications for Incubating Archived Soils</w:t>
      </w:r>
    </w:p>
    <w:p w14:paraId="048C36E3" w14:textId="77777777" w:rsidR="00557BDC" w:rsidRPr="00C27016" w:rsidRDefault="00557BDC" w:rsidP="00557BDC">
      <w:pPr>
        <w:pStyle w:val="Authors"/>
      </w:pPr>
    </w:p>
    <w:p w14:paraId="12224B9B" w14:textId="77777777" w:rsidR="00557BDC" w:rsidRPr="00DF066D" w:rsidRDefault="00557BDC" w:rsidP="00557BDC">
      <w:pPr>
        <w:pStyle w:val="Normal1"/>
        <w:spacing w:before="120" w:after="360"/>
        <w:rPr>
          <w:rFonts w:ascii="Times New Roman" w:hAnsi="Times New Roman" w:cs="Times New Roman"/>
          <w:b/>
          <w:sz w:val="24"/>
          <w:szCs w:val="24"/>
          <w:vertAlign w:val="superscript"/>
        </w:rPr>
      </w:pPr>
      <w:r w:rsidRPr="00DF066D">
        <w:rPr>
          <w:rFonts w:ascii="Times New Roman" w:hAnsi="Times New Roman" w:cs="Times New Roman"/>
          <w:b/>
          <w:sz w:val="24"/>
          <w:szCs w:val="24"/>
        </w:rPr>
        <w:t>Jeffrey Beem-Miller</w:t>
      </w:r>
      <w:r w:rsidRPr="00DF066D">
        <w:rPr>
          <w:rFonts w:ascii="Times New Roman" w:hAnsi="Times New Roman" w:cs="Times New Roman"/>
          <w:b/>
          <w:sz w:val="24"/>
          <w:szCs w:val="24"/>
          <w:vertAlign w:val="superscript"/>
        </w:rPr>
        <w:t>1</w:t>
      </w:r>
      <w:r w:rsidRPr="00DF066D">
        <w:rPr>
          <w:rFonts w:ascii="Times New Roman" w:hAnsi="Times New Roman" w:cs="Times New Roman"/>
          <w:b/>
          <w:sz w:val="24"/>
          <w:szCs w:val="24"/>
        </w:rPr>
        <w:t>, Marion Schrumpf</w:t>
      </w:r>
      <w:r w:rsidRPr="00DF066D">
        <w:rPr>
          <w:rFonts w:ascii="Times New Roman" w:hAnsi="Times New Roman" w:cs="Times New Roman"/>
          <w:b/>
          <w:sz w:val="24"/>
          <w:szCs w:val="24"/>
          <w:vertAlign w:val="superscript"/>
        </w:rPr>
        <w:t>1</w:t>
      </w:r>
      <w:r w:rsidRPr="00DF066D">
        <w:rPr>
          <w:rFonts w:ascii="Times New Roman" w:hAnsi="Times New Roman" w:cs="Times New Roman"/>
          <w:b/>
          <w:sz w:val="24"/>
          <w:szCs w:val="24"/>
        </w:rPr>
        <w:t>, Alison Hoyt</w:t>
      </w:r>
      <w:r w:rsidRPr="00DF066D">
        <w:rPr>
          <w:rFonts w:ascii="Times New Roman" w:hAnsi="Times New Roman" w:cs="Times New Roman"/>
          <w:b/>
          <w:sz w:val="24"/>
          <w:szCs w:val="24"/>
          <w:vertAlign w:val="superscript"/>
        </w:rPr>
        <w:t>1,2</w:t>
      </w:r>
      <w:r w:rsidRPr="00DF066D">
        <w:rPr>
          <w:rFonts w:ascii="Times New Roman" w:hAnsi="Times New Roman" w:cs="Times New Roman"/>
          <w:b/>
          <w:sz w:val="24"/>
          <w:szCs w:val="24"/>
        </w:rPr>
        <w:t>, Georg Guggenberger</w:t>
      </w:r>
      <w:r w:rsidRPr="00DF066D">
        <w:rPr>
          <w:rFonts w:ascii="Times New Roman" w:hAnsi="Times New Roman" w:cs="Times New Roman"/>
          <w:b/>
          <w:sz w:val="24"/>
          <w:szCs w:val="24"/>
          <w:vertAlign w:val="superscript"/>
        </w:rPr>
        <w:t>3</w:t>
      </w:r>
      <w:r w:rsidRPr="00DF066D">
        <w:rPr>
          <w:rFonts w:ascii="Times New Roman" w:hAnsi="Times New Roman" w:cs="Times New Roman"/>
          <w:b/>
          <w:sz w:val="24"/>
          <w:szCs w:val="24"/>
        </w:rPr>
        <w:t>, and Susan Trumbore</w:t>
      </w:r>
      <w:r w:rsidRPr="00DF066D">
        <w:rPr>
          <w:rFonts w:ascii="Times New Roman" w:hAnsi="Times New Roman" w:cs="Times New Roman"/>
          <w:b/>
          <w:sz w:val="24"/>
          <w:szCs w:val="24"/>
          <w:vertAlign w:val="superscript"/>
        </w:rPr>
        <w:t>1,4</w:t>
      </w:r>
    </w:p>
    <w:p w14:paraId="48BB2212" w14:textId="77777777" w:rsidR="00557BDC" w:rsidRPr="00C27016" w:rsidRDefault="00557BDC" w:rsidP="00557BDC">
      <w:pPr>
        <w:pStyle w:val="Normal1"/>
        <w:spacing w:before="120"/>
        <w:rPr>
          <w:rFonts w:ascii="Times New Roman" w:hAnsi="Times New Roman" w:cs="Times New Roman"/>
          <w:sz w:val="24"/>
          <w:szCs w:val="24"/>
        </w:rPr>
      </w:pPr>
      <w:r w:rsidRPr="00C27016">
        <w:rPr>
          <w:rFonts w:ascii="Times New Roman" w:hAnsi="Times New Roman" w:cs="Times New Roman"/>
          <w:sz w:val="24"/>
          <w:szCs w:val="24"/>
          <w:vertAlign w:val="superscript"/>
        </w:rPr>
        <w:t>1</w:t>
      </w:r>
      <w:r w:rsidRPr="00C27016">
        <w:rPr>
          <w:rFonts w:ascii="Times New Roman" w:hAnsi="Times New Roman" w:cs="Times New Roman"/>
          <w:sz w:val="24"/>
          <w:szCs w:val="24"/>
        </w:rPr>
        <w:t xml:space="preserve">Max Planck Institute for Biogeochemistry, Jena, Germany, </w:t>
      </w:r>
      <w:r w:rsidRPr="00C27016">
        <w:rPr>
          <w:rFonts w:ascii="Times New Roman" w:hAnsi="Times New Roman" w:cs="Times New Roman"/>
          <w:sz w:val="24"/>
          <w:szCs w:val="24"/>
          <w:vertAlign w:val="superscript"/>
        </w:rPr>
        <w:t>2</w:t>
      </w:r>
      <w:r w:rsidRPr="00C27016">
        <w:rPr>
          <w:rFonts w:ascii="Times New Roman" w:hAnsi="Times New Roman" w:cs="Times New Roman"/>
          <w:sz w:val="24"/>
          <w:szCs w:val="24"/>
        </w:rPr>
        <w:t xml:space="preserve">Lawrence Berkeley National Laboratory, Berkeley, CA, USA, </w:t>
      </w:r>
      <w:r w:rsidRPr="00C27016">
        <w:rPr>
          <w:rFonts w:ascii="Times New Roman" w:hAnsi="Times New Roman" w:cs="Times New Roman"/>
          <w:sz w:val="24"/>
          <w:szCs w:val="24"/>
          <w:vertAlign w:val="superscript"/>
        </w:rPr>
        <w:t>3</w:t>
      </w:r>
      <w:r w:rsidRPr="00C27016">
        <w:rPr>
          <w:rFonts w:ascii="Times New Roman" w:hAnsi="Times New Roman" w:cs="Times New Roman"/>
          <w:sz w:val="24"/>
          <w:szCs w:val="24"/>
        </w:rPr>
        <w:t xml:space="preserve">Institute of Soil Science, Leibniz Universität Hannover, Hannover, Germany, </w:t>
      </w:r>
      <w:r w:rsidRPr="00C27016">
        <w:rPr>
          <w:rFonts w:ascii="Times New Roman" w:hAnsi="Times New Roman" w:cs="Times New Roman"/>
          <w:sz w:val="24"/>
          <w:szCs w:val="24"/>
          <w:vertAlign w:val="superscript"/>
        </w:rPr>
        <w:t>4</w:t>
      </w:r>
      <w:r w:rsidRPr="00C27016">
        <w:rPr>
          <w:rFonts w:ascii="Times New Roman" w:hAnsi="Times New Roman" w:cs="Times New Roman"/>
          <w:sz w:val="24"/>
          <w:szCs w:val="24"/>
        </w:rPr>
        <w:t>Department of Earth System Sciences, University of California, Irvine, CA, USA</w:t>
      </w:r>
    </w:p>
    <w:p w14:paraId="4E16DF2F" w14:textId="77777777" w:rsidR="00557BDC" w:rsidRPr="00C27016" w:rsidRDefault="00557BDC" w:rsidP="00557BDC">
      <w:pPr>
        <w:pStyle w:val="Affiliation"/>
      </w:pPr>
    </w:p>
    <w:p w14:paraId="5E7CF553" w14:textId="77777777" w:rsidR="00557BDC" w:rsidRPr="00C27016" w:rsidRDefault="00557BDC" w:rsidP="00557BDC">
      <w:pPr>
        <w:pStyle w:val="Normal1"/>
        <w:spacing w:before="120"/>
        <w:rPr>
          <w:rFonts w:ascii="Times New Roman" w:hAnsi="Times New Roman" w:cs="Times New Roman"/>
          <w:sz w:val="24"/>
          <w:szCs w:val="24"/>
        </w:rPr>
      </w:pPr>
      <w:r w:rsidRPr="00C27016">
        <w:rPr>
          <w:rFonts w:ascii="Times New Roman" w:hAnsi="Times New Roman" w:cs="Times New Roman"/>
          <w:sz w:val="24"/>
          <w:szCs w:val="24"/>
        </w:rPr>
        <w:t>Corresponding author: Jeffrey Beem-Miller (</w:t>
      </w:r>
      <w:hyperlink r:id="rId9">
        <w:r w:rsidRPr="00C27016">
          <w:rPr>
            <w:rFonts w:ascii="Times New Roman" w:hAnsi="Times New Roman" w:cs="Times New Roman"/>
            <w:color w:val="1155CC"/>
            <w:sz w:val="24"/>
            <w:szCs w:val="24"/>
            <w:u w:val="single"/>
          </w:rPr>
          <w:t>jbeem@bgc-jena.mpg.de</w:t>
        </w:r>
      </w:hyperlink>
      <w:r w:rsidRPr="00C27016">
        <w:rPr>
          <w:rFonts w:ascii="Times New Roman" w:hAnsi="Times New Roman" w:cs="Times New Roman"/>
          <w:sz w:val="24"/>
          <w:szCs w:val="24"/>
        </w:rPr>
        <w:t>)</w:t>
      </w:r>
    </w:p>
    <w:p w14:paraId="7ADC5687" w14:textId="77777777" w:rsidR="00557BDC" w:rsidRPr="00C27016" w:rsidRDefault="00557BDC" w:rsidP="00557BDC">
      <w:pPr>
        <w:pStyle w:val="Normal1"/>
        <w:spacing w:before="120"/>
        <w:rPr>
          <w:rFonts w:ascii="Times New Roman" w:hAnsi="Times New Roman" w:cs="Times New Roman"/>
          <w:sz w:val="24"/>
          <w:szCs w:val="24"/>
        </w:rPr>
      </w:pPr>
    </w:p>
    <w:p w14:paraId="71F07007" w14:textId="77777777" w:rsidR="00557BDC" w:rsidRPr="00C27016" w:rsidRDefault="00557BDC" w:rsidP="00557BDC">
      <w:pPr>
        <w:pStyle w:val="Normal1"/>
        <w:spacing w:before="240" w:after="120"/>
        <w:rPr>
          <w:rFonts w:ascii="Times New Roman" w:hAnsi="Times New Roman" w:cs="Times New Roman"/>
          <w:b/>
          <w:sz w:val="24"/>
          <w:szCs w:val="24"/>
        </w:rPr>
      </w:pPr>
      <w:r w:rsidRPr="00C27016">
        <w:rPr>
          <w:rFonts w:ascii="Times New Roman" w:hAnsi="Times New Roman" w:cs="Times New Roman"/>
          <w:b/>
          <w:sz w:val="24"/>
          <w:szCs w:val="24"/>
        </w:rPr>
        <w:t>Key Points:</w:t>
      </w:r>
    </w:p>
    <w:p w14:paraId="3006A778" w14:textId="77777777" w:rsidR="00557BDC" w:rsidRPr="00C27016" w:rsidRDefault="00557BDC" w:rsidP="00557BDC">
      <w:pPr>
        <w:pStyle w:val="Normal1"/>
        <w:spacing w:before="120"/>
        <w:ind w:left="720"/>
        <w:rPr>
          <w:rFonts w:ascii="Times New Roman" w:hAnsi="Times New Roman" w:cs="Times New Roman"/>
          <w:sz w:val="24"/>
          <w:szCs w:val="24"/>
        </w:rPr>
      </w:pPr>
      <w:r w:rsidRPr="00C27016">
        <w:rPr>
          <w:rFonts w:ascii="Times New Roman" w:eastAsia="Arial Unicode MS" w:hAnsi="Times New Roman" w:cs="Times New Roman"/>
          <w:sz w:val="24"/>
          <w:szCs w:val="24"/>
        </w:rPr>
        <w:t>·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measured in incubations of archived soils provides additional constraints for soil carbon models</w:t>
      </w:r>
    </w:p>
    <w:p w14:paraId="0A5361DE" w14:textId="77777777" w:rsidR="00557BDC" w:rsidRPr="00C27016" w:rsidRDefault="00557BDC" w:rsidP="00557BDC">
      <w:pPr>
        <w:pStyle w:val="Normal1"/>
        <w:spacing w:before="120"/>
        <w:ind w:left="720"/>
        <w:rPr>
          <w:rFonts w:ascii="Times New Roman" w:hAnsi="Times New Roman" w:cs="Times New Roman"/>
          <w:sz w:val="24"/>
          <w:szCs w:val="24"/>
        </w:rPr>
      </w:pPr>
      <w:r w:rsidRPr="00C27016">
        <w:rPr>
          <w:rFonts w:ascii="Times New Roman" w:eastAsia="Arial Unicode MS" w:hAnsi="Times New Roman" w:cs="Times New Roman"/>
          <w:sz w:val="24"/>
          <w:szCs w:val="24"/>
        </w:rPr>
        <w:t>·      Air-drying and rewetting soils shifted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by 10 to 20‰, while the duration of storage had no significant impact</w:t>
      </w:r>
    </w:p>
    <w:p w14:paraId="3BDE28C3" w14:textId="77777777" w:rsidR="00557BDC" w:rsidRPr="00C27016" w:rsidRDefault="00557BDC" w:rsidP="00557BDC">
      <w:pPr>
        <w:pStyle w:val="Normal1"/>
        <w:spacing w:before="120"/>
        <w:ind w:left="720"/>
        <w:rPr>
          <w:rFonts w:ascii="Times New Roman" w:hAnsi="Times New Roman" w:cs="Times New Roman"/>
          <w:sz w:val="24"/>
          <w:szCs w:val="24"/>
        </w:rPr>
      </w:pPr>
      <w:r w:rsidRPr="00C27016">
        <w:rPr>
          <w:rFonts w:ascii="Times New Roman" w:eastAsia="Arial Unicode MS" w:hAnsi="Times New Roman" w:cs="Times New Roman"/>
          <w:sz w:val="24"/>
          <w:szCs w:val="24"/>
        </w:rPr>
        <w:t>·      The direction and magnitude of the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d</w:t>
      </w:r>
      <w:r>
        <w:rPr>
          <w:rFonts w:ascii="Times New Roman" w:hAnsi="Times New Roman" w:cs="Times New Roman"/>
          <w:sz w:val="24"/>
          <w:szCs w:val="24"/>
        </w:rPr>
        <w:t>epended on sampling year, with</w:t>
      </w:r>
      <w:r w:rsidRPr="00C27016">
        <w:rPr>
          <w:rFonts w:ascii="Times New Roman" w:hAnsi="Times New Roman" w:cs="Times New Roman"/>
          <w:sz w:val="24"/>
          <w:szCs w:val="24"/>
        </w:rPr>
        <w:t xml:space="preserve"> stronger effect</w:t>
      </w:r>
      <w:r>
        <w:rPr>
          <w:rFonts w:ascii="Times New Roman" w:hAnsi="Times New Roman" w:cs="Times New Roman"/>
          <w:sz w:val="24"/>
          <w:szCs w:val="24"/>
        </w:rPr>
        <w:t>s</w:t>
      </w:r>
      <w:r w:rsidRPr="00C27016">
        <w:rPr>
          <w:rFonts w:ascii="Times New Roman" w:hAnsi="Times New Roman" w:cs="Times New Roman"/>
          <w:sz w:val="24"/>
          <w:szCs w:val="24"/>
        </w:rPr>
        <w:t xml:space="preserve"> in grassland than </w:t>
      </w:r>
      <w:r>
        <w:rPr>
          <w:rFonts w:ascii="Times New Roman" w:hAnsi="Times New Roman" w:cs="Times New Roman"/>
          <w:sz w:val="24"/>
          <w:szCs w:val="24"/>
        </w:rPr>
        <w:t xml:space="preserve">in </w:t>
      </w:r>
      <w:r w:rsidRPr="00C27016">
        <w:rPr>
          <w:rFonts w:ascii="Times New Roman" w:hAnsi="Times New Roman" w:cs="Times New Roman"/>
          <w:sz w:val="24"/>
          <w:szCs w:val="24"/>
        </w:rPr>
        <w:t>forest soils</w:t>
      </w:r>
      <w:r w:rsidRPr="00C27016">
        <w:rPr>
          <w:rFonts w:ascii="Times New Roman" w:hAnsi="Times New Roman" w:cs="Times New Roman"/>
          <w:sz w:val="24"/>
          <w:szCs w:val="24"/>
        </w:rPr>
        <w:br w:type="page"/>
      </w:r>
    </w:p>
    <w:p w14:paraId="54CE93A2" w14:textId="77777777" w:rsidR="00557BDC" w:rsidRPr="00C27016" w:rsidRDefault="00557BDC" w:rsidP="00557BDC">
      <w:pPr>
        <w:pStyle w:val="Heading-Main"/>
        <w:spacing w:line="360" w:lineRule="auto"/>
      </w:pPr>
      <w:r w:rsidRPr="00C27016">
        <w:lastRenderedPageBreak/>
        <w:t>Abstract</w:t>
      </w:r>
    </w:p>
    <w:p w14:paraId="1402A30B" w14:textId="4C7D8D96" w:rsidR="00557BDC" w:rsidRPr="00D128B8" w:rsidRDefault="00557BDC" w:rsidP="00557BDC">
      <w:pPr>
        <w:pStyle w:val="Abstract"/>
        <w:spacing w:line="360" w:lineRule="auto"/>
        <w:rPr>
          <w:lang w:val="en"/>
        </w:rPr>
      </w:pPr>
      <w:r w:rsidRPr="00D128B8">
        <w:rPr>
          <w:lang w:val="en"/>
        </w:rPr>
        <w:t>The radiocarbon signature of respired CO</w:t>
      </w:r>
      <w:r w:rsidRPr="00D128B8">
        <w:rPr>
          <w:vertAlign w:val="subscript"/>
          <w:lang w:val="en"/>
        </w:rPr>
        <w:t>2</w:t>
      </w:r>
      <w:r w:rsidRPr="00D128B8">
        <w:rPr>
          <w:lang w:val="en"/>
        </w:rPr>
        <w:t xml:space="preserve">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measured in laboratory soil incubations integrates </w:t>
      </w:r>
      <w:r>
        <w:rPr>
          <w:lang w:val="en"/>
        </w:rPr>
        <w:t>the contribution</w:t>
      </w:r>
      <w:r w:rsidRPr="00D128B8">
        <w:rPr>
          <w:lang w:val="en"/>
        </w:rPr>
        <w:t xml:space="preserve"> of soil carbon pools with </w:t>
      </w:r>
      <w:r>
        <w:rPr>
          <w:lang w:val="en"/>
        </w:rPr>
        <w:t>distinct</w:t>
      </w:r>
      <w:r w:rsidRPr="00D128B8">
        <w:rPr>
          <w:lang w:val="en"/>
        </w:rPr>
        <w:t xml:space="preserve"> intrinsic decomposition rates</w:t>
      </w:r>
      <w:r>
        <w:rPr>
          <w:lang w:val="en"/>
        </w:rPr>
        <w:t>.</w:t>
      </w:r>
      <w:r w:rsidRPr="00D128B8">
        <w:rPr>
          <w:lang w:val="en"/>
        </w:rPr>
        <w:t xml:space="preserve">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can thus be used to infer transit times</w:t>
      </w:r>
      <w:r>
        <w:rPr>
          <w:lang w:val="en"/>
        </w:rPr>
        <w:t xml:space="preserve"> of carbon</w:t>
      </w:r>
      <w:r>
        <w:rPr>
          <w:lang w:val="en"/>
        </w:rPr>
        <w:softHyphen/>
        <w:t>—the time between entering and exiting</w:t>
      </w:r>
      <w:r w:rsidRPr="00D128B8">
        <w:rPr>
          <w:lang w:val="en"/>
        </w:rPr>
        <w:t xml:space="preserve"> the soil. Incubating archived soils</w:t>
      </w:r>
      <w:r>
        <w:rPr>
          <w:lang w:val="en"/>
        </w:rPr>
        <w:t xml:space="preserve"> enriched by “bomb-C” from </w:t>
      </w:r>
      <w:r w:rsidRPr="00D128B8">
        <w:rPr>
          <w:lang w:val="en"/>
        </w:rPr>
        <w:t>mid-20</w:t>
      </w:r>
      <w:r w:rsidRPr="00D128B8">
        <w:rPr>
          <w:vertAlign w:val="superscript"/>
          <w:lang w:val="en"/>
        </w:rPr>
        <w:t>th</w:t>
      </w:r>
      <w:r w:rsidRPr="00D128B8">
        <w:rPr>
          <w:lang w:val="en"/>
        </w:rPr>
        <w:t xml:space="preserve"> century nuclear weapons testing</w:t>
      </w:r>
      <w:r>
        <w:rPr>
          <w:lang w:val="en"/>
        </w:rPr>
        <w:t xml:space="preserve"> would enable us to trace this pulse over time, a potentially powerful soil carbon model constraint. </w:t>
      </w:r>
      <w:r w:rsidRPr="00D128B8">
        <w:rPr>
          <w:lang w:val="en"/>
        </w:rPr>
        <w:t xml:space="preserve">However, air-drying, duration of storage, and subsequent rewetting </w:t>
      </w:r>
      <w:r>
        <w:rPr>
          <w:lang w:val="en"/>
        </w:rPr>
        <w:t xml:space="preserve">of archived soils </w:t>
      </w:r>
      <w:r w:rsidRPr="00D128B8">
        <w:rPr>
          <w:lang w:val="en"/>
        </w:rPr>
        <w:t xml:space="preserve">may </w:t>
      </w:r>
      <w:r>
        <w:rPr>
          <w:lang w:val="en"/>
        </w:rPr>
        <w:t xml:space="preserve">each </w:t>
      </w:r>
      <w:r w:rsidRPr="00D128B8">
        <w:rPr>
          <w:lang w:val="en"/>
        </w:rPr>
        <w:t xml:space="preserve">lead to changes in the relative contribution to respiration </w:t>
      </w:r>
      <w:r>
        <w:rPr>
          <w:lang w:val="en"/>
        </w:rPr>
        <w:t xml:space="preserve">from </w:t>
      </w:r>
      <w:r w:rsidRPr="00D128B8">
        <w:rPr>
          <w:lang w:val="en"/>
        </w:rPr>
        <w:t xml:space="preserve">faster </w:t>
      </w:r>
      <w:r>
        <w:rPr>
          <w:lang w:val="en"/>
        </w:rPr>
        <w:t xml:space="preserve">or more slowly </w:t>
      </w:r>
      <w:r w:rsidRPr="00D128B8">
        <w:rPr>
          <w:lang w:val="en"/>
        </w:rPr>
        <w:t>cycling soil carbon pools. We assessed these effects on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w:t>
      </w:r>
      <w:r>
        <w:rPr>
          <w:lang w:val="en"/>
        </w:rPr>
        <w:t>measured</w:t>
      </w:r>
      <w:r w:rsidRPr="00D128B8">
        <w:rPr>
          <w:lang w:val="en"/>
        </w:rPr>
        <w:t xml:space="preserve"> in incubations of </w:t>
      </w:r>
      <w:r>
        <w:rPr>
          <w:lang w:val="en"/>
        </w:rPr>
        <w:t>forest and grassland soils conducted before and after storage</w:t>
      </w:r>
      <w:r w:rsidRPr="00D128B8">
        <w:rPr>
          <w:lang w:val="en"/>
        </w:rPr>
        <w:t>. Air-drying and rewetting led to small but significant (</w:t>
      </w:r>
      <w:r w:rsidRPr="00D128B8">
        <w:rPr>
          <w:i/>
          <w:lang w:val="en"/>
        </w:rPr>
        <w:t>p</w:t>
      </w:r>
      <w:r w:rsidRPr="00D128B8">
        <w:rPr>
          <w:lang w:val="en"/>
        </w:rPr>
        <w:t xml:space="preserve"> &lt; 0.05) shifts in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relative to undried controls,</w:t>
      </w:r>
      <w:r w:rsidRPr="00D128B8">
        <w:rPr>
          <w:vertAlign w:val="subscript"/>
          <w:lang w:val="en"/>
        </w:rPr>
        <w:t xml:space="preserve"> </w:t>
      </w:r>
      <w:r w:rsidRPr="00D128B8">
        <w:rPr>
          <w:lang w:val="en"/>
        </w:rPr>
        <w:t xml:space="preserve">with mean </w:t>
      </w:r>
      <w:r w:rsidR="0093460B">
        <w:rPr>
          <w:lang w:val="en"/>
        </w:rPr>
        <w:t xml:space="preserve">absolute </w:t>
      </w:r>
      <w:r w:rsidRPr="00D128B8">
        <w:rPr>
          <w:lang w:val="en"/>
        </w:rPr>
        <w:t>di</w:t>
      </w:r>
      <w:r w:rsidR="0093460B">
        <w:rPr>
          <w:lang w:val="en"/>
        </w:rPr>
        <w:t>fferences smaller in forests (12.1</w:t>
      </w:r>
      <w:r w:rsidRPr="00D128B8">
        <w:rPr>
          <w:lang w:val="en"/>
        </w:rPr>
        <w:t xml:space="preserve">‰) than in grasslands (21.4‰); </w:t>
      </w:r>
      <w:r w:rsidR="00165F79">
        <w:rPr>
          <w:lang w:val="en"/>
        </w:rPr>
        <w:t xml:space="preserve">storage durations of 4-14 y </w:t>
      </w:r>
      <w:r>
        <w:rPr>
          <w:lang w:val="en"/>
        </w:rPr>
        <w:t xml:space="preserve">had no </w:t>
      </w:r>
      <w:r w:rsidRPr="00D128B8">
        <w:rPr>
          <w:lang w:val="en"/>
        </w:rPr>
        <w:t>significant</w:t>
      </w:r>
      <w:r>
        <w:rPr>
          <w:lang w:val="en"/>
        </w:rPr>
        <w:t xml:space="preserve"> effect on </w:t>
      </w:r>
      <w:r w:rsidRPr="00D128B8">
        <w:rPr>
          <w:lang w:val="en"/>
        </w:rPr>
        <w:t>∆</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w:t>
      </w:r>
      <w:r>
        <w:rPr>
          <w:lang w:val="en"/>
        </w:rPr>
        <w:t>Relative to the change in atmospheric ∆</w:t>
      </w:r>
      <w:r w:rsidRPr="00E83F4B">
        <w:rPr>
          <w:vertAlign w:val="superscript"/>
          <w:lang w:val="en"/>
        </w:rPr>
        <w:t>14</w:t>
      </w:r>
      <w:r>
        <w:rPr>
          <w:lang w:val="en"/>
        </w:rPr>
        <w:t xml:space="preserve">C over </w:t>
      </w:r>
      <w:bookmarkStart w:id="0" w:name="_GoBack"/>
      <w:bookmarkEnd w:id="0"/>
      <w:r>
        <w:rPr>
          <w:lang w:val="en"/>
        </w:rPr>
        <w:t>the study period, these shifts suggest a bias of 2 to 4</w:t>
      </w:r>
      <w:r w:rsidRPr="00D128B8">
        <w:rPr>
          <w:lang w:val="en"/>
        </w:rPr>
        <w:t xml:space="preserve"> years </w:t>
      </w:r>
      <w:r>
        <w:rPr>
          <w:lang w:val="en"/>
        </w:rPr>
        <w:t>for</w:t>
      </w:r>
      <w:r w:rsidRPr="00D128B8">
        <w:rPr>
          <w:lang w:val="en"/>
        </w:rPr>
        <w:t xml:space="preserve"> forest and grassland soil transit times, respectively. Our results </w:t>
      </w:r>
      <w:r>
        <w:rPr>
          <w:lang w:val="en"/>
        </w:rPr>
        <w:t>indicate</w:t>
      </w:r>
      <w:r w:rsidRPr="00D128B8">
        <w:rPr>
          <w:lang w:val="en"/>
        </w:rPr>
        <w:t xml:space="preserve"> that air-dryi</w:t>
      </w:r>
      <w:r>
        <w:rPr>
          <w:lang w:val="en"/>
        </w:rPr>
        <w:t>ng and rewetting soils mobilizes</w:t>
      </w:r>
      <w:r w:rsidRPr="00D128B8">
        <w:rPr>
          <w:lang w:val="en"/>
        </w:rPr>
        <w:t xml:space="preserve"> a </w:t>
      </w:r>
      <w:r>
        <w:rPr>
          <w:lang w:val="en"/>
        </w:rPr>
        <w:t>distinct</w:t>
      </w:r>
      <w:r w:rsidRPr="00D128B8">
        <w:rPr>
          <w:lang w:val="en"/>
        </w:rPr>
        <w:t xml:space="preserve"> pool of carbon that would otherwise be inaccessible to microbes</w:t>
      </w:r>
      <w:r>
        <w:rPr>
          <w:lang w:val="en"/>
        </w:rPr>
        <w:t xml:space="preserve">, an effect that persists </w:t>
      </w:r>
      <w:r w:rsidRPr="00D128B8">
        <w:rPr>
          <w:lang w:val="en"/>
        </w:rPr>
        <w:t>throughout the incubation. However, as the bias in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from air-drying and rewetting is small, measuring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in incubations of archived soils appears to be a promising technique for constraining soil carbon models.</w:t>
      </w:r>
    </w:p>
    <w:p w14:paraId="443593C5" w14:textId="77777777" w:rsidR="00557BDC" w:rsidRPr="00C27016" w:rsidRDefault="00557BDC" w:rsidP="00557BDC">
      <w:pPr>
        <w:pStyle w:val="Abstract"/>
        <w:spacing w:line="360" w:lineRule="auto"/>
        <w:rPr>
          <w:b/>
        </w:rPr>
      </w:pPr>
      <w:r w:rsidRPr="00C27016">
        <w:rPr>
          <w:b/>
        </w:rPr>
        <w:t>Plain Language Summary</w:t>
      </w:r>
    </w:p>
    <w:p w14:paraId="5672BDF0" w14:textId="77777777" w:rsidR="00557BDC" w:rsidRPr="00C27016" w:rsidRDefault="00557BDC" w:rsidP="00557BDC">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Soils play a key role in the global carbon cycle by sequestering carbon from the atmosphere for decades to millennia. However, it is unclear if they will continue to </w:t>
      </w:r>
      <w:r>
        <w:rPr>
          <w:rFonts w:ascii="Times New Roman" w:hAnsi="Times New Roman" w:cs="Times New Roman"/>
          <w:sz w:val="24"/>
          <w:szCs w:val="24"/>
        </w:rPr>
        <w:t>do so</w:t>
      </w:r>
      <w:r w:rsidRPr="00C27016">
        <w:rPr>
          <w:rFonts w:ascii="Times New Roman" w:hAnsi="Times New Roman" w:cs="Times New Roman"/>
          <w:sz w:val="24"/>
          <w:szCs w:val="24"/>
        </w:rPr>
        <w:t xml:space="preserve"> as the climate changes. Microbial decomposition of soil organic matter returns carbon back to the atmosphere, and radiocarbon dating of this returning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w:t>
      </w:r>
      <w:r w:rsidRPr="00EB1D40">
        <w:rPr>
          <w:rFonts w:ascii="Times New Roman" w:hAnsi="Times New Roman" w:cs="Times New Roman"/>
          <w:sz w:val="24"/>
          <w:szCs w:val="24"/>
          <w:vertAlign w:val="superscript"/>
        </w:rPr>
        <w:t>14</w:t>
      </w:r>
      <w:r>
        <w:rPr>
          <w:rFonts w:ascii="Times New Roman" w:hAnsi="Times New Roman" w:cs="Times New Roman"/>
          <w:sz w:val="24"/>
          <w:szCs w:val="24"/>
        </w:rPr>
        <w:t>C-CO</w:t>
      </w:r>
      <w:r w:rsidRPr="00EB1D40">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can be used to quantify </w:t>
      </w:r>
      <w:r>
        <w:rPr>
          <w:rFonts w:ascii="Times New Roman" w:hAnsi="Times New Roman" w:cs="Times New Roman"/>
          <w:sz w:val="24"/>
          <w:szCs w:val="24"/>
        </w:rPr>
        <w:t>how long carbon is stored in soils. Incubating</w:t>
      </w:r>
      <w:r w:rsidRPr="00C27016">
        <w:rPr>
          <w:rFonts w:ascii="Times New Roman" w:hAnsi="Times New Roman" w:cs="Times New Roman"/>
          <w:sz w:val="24"/>
          <w:szCs w:val="24"/>
        </w:rPr>
        <w:t xml:space="preserve"> archived soils</w:t>
      </w:r>
      <w:r>
        <w:rPr>
          <w:rFonts w:ascii="Times New Roman" w:hAnsi="Times New Roman" w:cs="Times New Roman"/>
          <w:sz w:val="24"/>
          <w:szCs w:val="24"/>
        </w:rPr>
        <w:t xml:space="preserve"> could provide unique insight into soil carbon sequestration potential by quantifying the change in ∆</w:t>
      </w:r>
      <w:r w:rsidRPr="00EB1D40">
        <w:rPr>
          <w:rFonts w:ascii="Times New Roman" w:hAnsi="Times New Roman" w:cs="Times New Roman"/>
          <w:sz w:val="24"/>
          <w:szCs w:val="24"/>
          <w:vertAlign w:val="superscript"/>
        </w:rPr>
        <w:t>14</w:t>
      </w:r>
      <w:r>
        <w:rPr>
          <w:rFonts w:ascii="Times New Roman" w:hAnsi="Times New Roman" w:cs="Times New Roman"/>
          <w:sz w:val="24"/>
          <w:szCs w:val="24"/>
        </w:rPr>
        <w:t>C-CO</w:t>
      </w:r>
      <w:r w:rsidRPr="00EB1D40">
        <w:rPr>
          <w:rFonts w:ascii="Times New Roman" w:hAnsi="Times New Roman" w:cs="Times New Roman"/>
          <w:sz w:val="24"/>
          <w:szCs w:val="24"/>
          <w:vertAlign w:val="subscript"/>
        </w:rPr>
        <w:t>2</w:t>
      </w:r>
      <w:r w:rsidRPr="003E621A">
        <w:rPr>
          <w:rFonts w:ascii="Times New Roman" w:hAnsi="Times New Roman" w:cs="Times New Roman"/>
          <w:sz w:val="24"/>
          <w:szCs w:val="24"/>
        </w:rPr>
        <w:t xml:space="preserve"> over time</w:t>
      </w:r>
      <w:r>
        <w:rPr>
          <w:rFonts w:ascii="Times New Roman" w:hAnsi="Times New Roman" w:cs="Times New Roman"/>
          <w:sz w:val="24"/>
          <w:szCs w:val="24"/>
        </w:rPr>
        <w:t xml:space="preserve">. However, </w:t>
      </w:r>
      <w:r w:rsidRPr="00C27016">
        <w:rPr>
          <w:rFonts w:ascii="Times New Roman" w:hAnsi="Times New Roman" w:cs="Times New Roman"/>
          <w:sz w:val="24"/>
          <w:szCs w:val="24"/>
        </w:rPr>
        <w:t xml:space="preserve">air-drying, </w:t>
      </w:r>
      <w:r>
        <w:rPr>
          <w:rFonts w:ascii="Times New Roman" w:hAnsi="Times New Roman" w:cs="Times New Roman"/>
          <w:sz w:val="24"/>
          <w:szCs w:val="24"/>
        </w:rPr>
        <w:t>duration of</w:t>
      </w:r>
      <w:r w:rsidRPr="00C27016">
        <w:rPr>
          <w:rFonts w:ascii="Times New Roman" w:hAnsi="Times New Roman" w:cs="Times New Roman"/>
          <w:sz w:val="24"/>
          <w:szCs w:val="24"/>
        </w:rPr>
        <w:t xml:space="preserve"> arch</w:t>
      </w:r>
      <w:r>
        <w:rPr>
          <w:rFonts w:ascii="Times New Roman" w:hAnsi="Times New Roman" w:cs="Times New Roman"/>
          <w:sz w:val="24"/>
          <w:szCs w:val="24"/>
        </w:rPr>
        <w:t>iving</w:t>
      </w:r>
      <w:r w:rsidRPr="00C27016">
        <w:rPr>
          <w:rFonts w:ascii="Times New Roman" w:hAnsi="Times New Roman" w:cs="Times New Roman"/>
          <w:sz w:val="24"/>
          <w:szCs w:val="24"/>
        </w:rPr>
        <w:t xml:space="preserve">, and subsequent rewetting of soils may </w:t>
      </w:r>
      <w:r>
        <w:rPr>
          <w:rFonts w:ascii="Times New Roman" w:hAnsi="Times New Roman" w:cs="Times New Roman"/>
          <w:sz w:val="24"/>
          <w:szCs w:val="24"/>
        </w:rPr>
        <w:t>bias estimates of sequestration potential by altering</w:t>
      </w:r>
      <w:r w:rsidRPr="00C27016">
        <w:rPr>
          <w:rFonts w:ascii="Times New Roman" w:hAnsi="Times New Roman" w:cs="Times New Roman"/>
          <w:sz w:val="24"/>
          <w:szCs w:val="24"/>
        </w:rPr>
        <w:t xml:space="preserve"> the balance of younger versus older carbon leaving the soil. We compared </w:t>
      </w:r>
      <w:r>
        <w:rPr>
          <w:rFonts w:ascii="Times New Roman" w:hAnsi="Times New Roman" w:cs="Times New Roman"/>
          <w:sz w:val="24"/>
          <w:szCs w:val="24"/>
        </w:rPr>
        <w:t>∆</w:t>
      </w:r>
      <w:r w:rsidRPr="00EB1D40">
        <w:rPr>
          <w:rFonts w:ascii="Times New Roman" w:hAnsi="Times New Roman" w:cs="Times New Roman"/>
          <w:sz w:val="24"/>
          <w:szCs w:val="24"/>
          <w:vertAlign w:val="superscript"/>
        </w:rPr>
        <w:t>14</w:t>
      </w:r>
      <w:r>
        <w:rPr>
          <w:rFonts w:ascii="Times New Roman" w:hAnsi="Times New Roman" w:cs="Times New Roman"/>
          <w:sz w:val="24"/>
          <w:szCs w:val="24"/>
        </w:rPr>
        <w:t>C-CO</w:t>
      </w:r>
      <w:r w:rsidRPr="00EB1D40">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C27016">
        <w:rPr>
          <w:rFonts w:ascii="Times New Roman" w:hAnsi="Times New Roman" w:cs="Times New Roman"/>
          <w:sz w:val="24"/>
          <w:szCs w:val="24"/>
        </w:rPr>
        <w:t>from soils incubated with and without air-drying and archiving, and found that the air-dried</w:t>
      </w:r>
      <w:r>
        <w:rPr>
          <w:rFonts w:ascii="Times New Roman" w:hAnsi="Times New Roman" w:cs="Times New Roman"/>
          <w:sz w:val="24"/>
          <w:szCs w:val="24"/>
        </w:rPr>
        <w:t xml:space="preserve"> </w:t>
      </w:r>
      <w:r w:rsidRPr="00C27016">
        <w:rPr>
          <w:rFonts w:ascii="Times New Roman" w:hAnsi="Times New Roman" w:cs="Times New Roman"/>
          <w:sz w:val="24"/>
          <w:szCs w:val="24"/>
        </w:rPr>
        <w:t>soils appeared to release slightly older carbon than soils that had never been air-dried</w:t>
      </w:r>
      <w:r>
        <w:rPr>
          <w:rFonts w:ascii="Times New Roman" w:hAnsi="Times New Roman" w:cs="Times New Roman"/>
          <w:sz w:val="24"/>
          <w:szCs w:val="24"/>
        </w:rPr>
        <w:t xml:space="preserve"> (by</w:t>
      </w:r>
      <w:r w:rsidRPr="00C27016">
        <w:rPr>
          <w:rFonts w:ascii="Times New Roman" w:hAnsi="Times New Roman" w:cs="Times New Roman"/>
          <w:sz w:val="24"/>
          <w:szCs w:val="24"/>
        </w:rPr>
        <w:t xml:space="preserve"> </w:t>
      </w:r>
      <w:r>
        <w:rPr>
          <w:rFonts w:ascii="Times New Roman" w:hAnsi="Times New Roman" w:cs="Times New Roman"/>
          <w:sz w:val="24"/>
          <w:szCs w:val="24"/>
        </w:rPr>
        <w:t>two</w:t>
      </w:r>
      <w:r w:rsidRPr="00C27016">
        <w:rPr>
          <w:rFonts w:ascii="Times New Roman" w:hAnsi="Times New Roman" w:cs="Times New Roman"/>
          <w:sz w:val="24"/>
          <w:szCs w:val="24"/>
        </w:rPr>
        <w:t xml:space="preserve"> years in forests and </w:t>
      </w:r>
      <w:r>
        <w:rPr>
          <w:rFonts w:ascii="Times New Roman" w:hAnsi="Times New Roman" w:cs="Times New Roman"/>
          <w:sz w:val="24"/>
          <w:szCs w:val="24"/>
        </w:rPr>
        <w:t>four</w:t>
      </w:r>
      <w:r w:rsidRPr="00C27016">
        <w:rPr>
          <w:rFonts w:ascii="Times New Roman" w:hAnsi="Times New Roman" w:cs="Times New Roman"/>
          <w:sz w:val="24"/>
          <w:szCs w:val="24"/>
        </w:rPr>
        <w:t xml:space="preserve"> years in grasslands</w:t>
      </w:r>
      <w:r>
        <w:rPr>
          <w:rFonts w:ascii="Times New Roman" w:hAnsi="Times New Roman" w:cs="Times New Roman"/>
          <w:sz w:val="24"/>
          <w:szCs w:val="24"/>
        </w:rPr>
        <w:t>)</w:t>
      </w:r>
      <w:r w:rsidRPr="00C27016">
        <w:rPr>
          <w:rFonts w:ascii="Times New Roman" w:hAnsi="Times New Roman" w:cs="Times New Roman"/>
          <w:sz w:val="24"/>
          <w:szCs w:val="24"/>
        </w:rPr>
        <w:t xml:space="preserve">. The amount of time the soils were archived did not have an effect. </w:t>
      </w:r>
      <w:r>
        <w:rPr>
          <w:rFonts w:ascii="Times New Roman" w:hAnsi="Times New Roman" w:cs="Times New Roman"/>
          <w:sz w:val="24"/>
          <w:szCs w:val="24"/>
        </w:rPr>
        <w:t>Since the bias from air-drying and rewetting was small, incubating archived soils appears to be</w:t>
      </w:r>
      <w:r w:rsidRPr="00C27016">
        <w:rPr>
          <w:rFonts w:ascii="Times New Roman" w:hAnsi="Times New Roman" w:cs="Times New Roman"/>
          <w:sz w:val="24"/>
          <w:szCs w:val="24"/>
        </w:rPr>
        <w:t xml:space="preserve"> a promising technique for improving our ability to model </w:t>
      </w:r>
      <w:r>
        <w:rPr>
          <w:rFonts w:ascii="Times New Roman" w:hAnsi="Times New Roman" w:cs="Times New Roman"/>
          <w:sz w:val="24"/>
          <w:szCs w:val="24"/>
        </w:rPr>
        <w:t xml:space="preserve">soil carbon </w:t>
      </w:r>
      <w:r w:rsidRPr="00C27016">
        <w:rPr>
          <w:rFonts w:ascii="Times New Roman" w:hAnsi="Times New Roman" w:cs="Times New Roman"/>
          <w:sz w:val="24"/>
          <w:szCs w:val="24"/>
        </w:rPr>
        <w:t>cycling</w:t>
      </w:r>
      <w:r>
        <w:rPr>
          <w:rFonts w:ascii="Times New Roman" w:hAnsi="Times New Roman" w:cs="Times New Roman"/>
          <w:sz w:val="24"/>
          <w:szCs w:val="24"/>
        </w:rPr>
        <w:t xml:space="preserve"> under global climate change</w:t>
      </w:r>
      <w:r w:rsidRPr="00C27016">
        <w:rPr>
          <w:rFonts w:ascii="Times New Roman" w:hAnsi="Times New Roman" w:cs="Times New Roman"/>
          <w:sz w:val="24"/>
          <w:szCs w:val="24"/>
        </w:rPr>
        <w:t>.</w:t>
      </w:r>
    </w:p>
    <w:p w14:paraId="01EEB14B" w14:textId="773BC824" w:rsidR="00F57905" w:rsidRPr="00151033" w:rsidRDefault="00151033" w:rsidP="00151033">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1</w:t>
      </w:r>
      <w:r>
        <w:rPr>
          <w:rFonts w:ascii="Times New Roman" w:hAnsi="Times New Roman" w:cs="Times New Roman"/>
          <w:b/>
          <w:sz w:val="24"/>
          <w:szCs w:val="24"/>
        </w:rPr>
        <w:t>.</w:t>
      </w:r>
      <w:r w:rsidRPr="00C27016">
        <w:rPr>
          <w:rFonts w:ascii="Times New Roman" w:hAnsi="Times New Roman" w:cs="Times New Roman"/>
          <w:b/>
          <w:sz w:val="24"/>
          <w:szCs w:val="24"/>
        </w:rPr>
        <w:t xml:space="preserve"> Introduction</w:t>
      </w:r>
    </w:p>
    <w:p w14:paraId="308BA670" w14:textId="18A1C8BB" w:rsidR="009E07D6" w:rsidRDefault="00D25F04" w:rsidP="00D25F04">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Soil carbon is a heterogeneous mixture of organic matter, some components of which persist in the soil for months or years, while others persist for centuries or millennia. The persistence of soil carbon can be understood through the concept of different “pools” of carbon, each defined by the mechanism by which carbon is stabilized in the soil and characterized by a distinct probability distribution of ages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{"citationItems":[{"id":"ITEM-1","itemData":{"DOI":"10.1029/2018GB005950","ISSN":"19449224","abstract":"The question of why some organic matter is more persistent than other that decomposes quickly in soils has motivated a large amount of research in recent years. Persistence is commonly characterized as turnover or mean residence time of soil organic matter (SOM). However, turnover and residence times are ambiguous measures of persistence, because they could either represent the concepts of age or transit time. To disambiguate these concepts and propose a metric to assess SOM persistence, we calculated age and transit time distributions for a wide range of soil organic carbon (SOC) models. Furthermore, we show how age and transit time distributions can be obtained from a stochastic approach that takes a deterministic model of mass transfers among different pools and creates an equivalent stochastic model at the level of atoms. Using this approach we show: 1) age distributions have relatively old mean values and long tails in relation to transit time distributions, suggesting that carbon stored in soils is on average much older than carbon in the release flux. 2) The difference between mean ages and mean transit times is large, with estimates of SOC persistence in the order of centuries or millennia when assessed using ages, and in the order of decades when using transit or turnover times. 3) The age distribution is an appropriate metric to characterize persistence of SOM. An important implication of our analysis is that random chance is a factor that helps to explain why some organic matter persists for millennia in soil.","author":[{"dropping-particle":"","family":"Sierra","given":"C.A.","non-dropping-particle":"","parse-names":false,"suffix":""},{"dropping-particle":"","family":"Hoyt","given":"A.M.","non-dropping-particle":"","parse-names":false,"suffix":""},{"dropping-particle":"","family":"He","given":"Y.","non-dropping-particle":"","parse-names":false,"suffix":""},{"dropping-particle":"","family":"Trumbore","given":"S.E.","non-dropping-particle":"","parse-names":false,"suffix":""}],"container-title":"Global Biogeochemical Cycles","id":"ITEM-1","issue":"10","issued":{"date-parts":[["2018"]]},"page":"1574-1588","title":"Soil Organic Matter Persistence as a Stochastic Process: Age and Transit Time Distributions of Carbon in Soils","type":"article-journal","volume":"32"},"uris":["http://www.mendeley.com/documents/?uuid=810e0443-e1cd-493d-842d-97b3a16b372e","http://www.mendeley.com/documents/?uuid=32e37f37-f324-4274-9eb5-a6aa587164ce"]}],"mendeley":{"formattedCitation":"(Sierra et al., 2018)","plainTextFormattedCitation":"(Sierra et al., 2018)","previouslyFormattedCitation":"(Sierra et al., 2018)"},"properties":{"noteIndex":0},"schema":"https://github.com/citation-style-language/schema/raw/master/csl-citation.json"}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(Sierra et al., 2018)</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sidR="00EE73EF">
        <w:rPr>
          <w:rFonts w:ascii="Times New Roman" w:hAnsi="Times New Roman" w:cs="Times New Roman"/>
          <w:sz w:val="24"/>
          <w:szCs w:val="24"/>
        </w:rPr>
        <w:t xml:space="preserve"> </w:t>
      </w:r>
      <w:r w:rsidR="009E07D6">
        <w:rPr>
          <w:rFonts w:ascii="Times New Roman" w:hAnsi="Times New Roman" w:cs="Times New Roman"/>
          <w:sz w:val="24"/>
          <w:szCs w:val="24"/>
        </w:rPr>
        <w:t xml:space="preserve">The distribution of soil carbon among faster and more slowly cycling pools has important implications for predicting the response of the soil carbon reservoir to changes in inputs or decomposition rates resulting from climate change (Trumbore, 2000). Soils with large pools of slowly cycling carbon would be expected to sequester more carbon with increased inputs than soils dominated by large fast cycling pools, while shifts in temperature or moisture regimes may affect decomposition rates differently depending on the stabilization mechanism. </w:t>
      </w:r>
    </w:p>
    <w:p w14:paraId="3AE58FBE" w14:textId="787CD493" w:rsidR="004932B8" w:rsidRDefault="00622A92" w:rsidP="00D25F04">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Empirical approaches for quantifying soil carbon pools that cycle at different rates include fraction</w:t>
      </w:r>
      <w:r w:rsidR="00EE73EF">
        <w:rPr>
          <w:rFonts w:ascii="Times New Roman" w:hAnsi="Times New Roman" w:cs="Times New Roman"/>
          <w:sz w:val="24"/>
          <w:szCs w:val="24"/>
        </w:rPr>
        <w:t>ation</w:t>
      </w:r>
      <w:r>
        <w:rPr>
          <w:rFonts w:ascii="Times New Roman" w:hAnsi="Times New Roman" w:cs="Times New Roman"/>
          <w:sz w:val="24"/>
          <w:szCs w:val="24"/>
        </w:rPr>
        <w:t xml:space="preserve"> by </w:t>
      </w:r>
      <w:r w:rsidR="00E00A61">
        <w:rPr>
          <w:rFonts w:ascii="Times New Roman" w:hAnsi="Times New Roman" w:cs="Times New Roman"/>
          <w:sz w:val="24"/>
          <w:szCs w:val="24"/>
        </w:rPr>
        <w:t>size</w:t>
      </w:r>
      <w:r w:rsidR="00E00A61" w:rsidRPr="00C27016">
        <w:rPr>
          <w:rFonts w:ascii="Times New Roman" w:hAnsi="Times New Roman" w:cs="Times New Roman"/>
          <w:sz w:val="24"/>
          <w:szCs w:val="24"/>
        </w:rPr>
        <w:t xml:space="preserve">, </w:t>
      </w:r>
      <w:r w:rsidR="00E00A61">
        <w:rPr>
          <w:rFonts w:ascii="Times New Roman" w:hAnsi="Times New Roman" w:cs="Times New Roman"/>
          <w:sz w:val="24"/>
          <w:szCs w:val="24"/>
        </w:rPr>
        <w:t>density</w:t>
      </w:r>
      <w:r w:rsidR="00E00A61" w:rsidRPr="00C27016">
        <w:rPr>
          <w:rFonts w:ascii="Times New Roman" w:hAnsi="Times New Roman" w:cs="Times New Roman"/>
          <w:sz w:val="24"/>
          <w:szCs w:val="24"/>
        </w:rPr>
        <w:t>, or resistance</w:t>
      </w:r>
      <w:r w:rsidR="00E00A61">
        <w:rPr>
          <w:rFonts w:ascii="Times New Roman" w:hAnsi="Times New Roman" w:cs="Times New Roman"/>
          <w:sz w:val="24"/>
          <w:szCs w:val="24"/>
        </w:rPr>
        <w:t xml:space="preserve"> to decomposition from acid, alkaline, or oxidative</w:t>
      </w:r>
      <w:r w:rsidR="00E00A61" w:rsidRPr="00C27016">
        <w:rPr>
          <w:rFonts w:ascii="Times New Roman" w:hAnsi="Times New Roman" w:cs="Times New Roman"/>
          <w:sz w:val="24"/>
          <w:szCs w:val="24"/>
        </w:rPr>
        <w:t xml:space="preserve"> </w:t>
      </w:r>
      <w:r w:rsidR="00E00A61">
        <w:rPr>
          <w:rFonts w:ascii="Times New Roman" w:hAnsi="Times New Roman" w:cs="Times New Roman"/>
          <w:sz w:val="24"/>
          <w:szCs w:val="24"/>
        </w:rPr>
        <w:t>reagents. However,</w:t>
      </w:r>
      <w:r w:rsidR="00E00A61" w:rsidRPr="00C27016">
        <w:rPr>
          <w:rFonts w:ascii="Times New Roman" w:hAnsi="Times New Roman" w:cs="Times New Roman"/>
          <w:sz w:val="24"/>
          <w:szCs w:val="24"/>
        </w:rPr>
        <w:t xml:space="preserve"> these methods result in mixtures of pools with different age distributions </w:t>
      </w:r>
      <w:r w:rsidR="00E00A61" w:rsidRPr="00C27016">
        <w:rPr>
          <w:rFonts w:ascii="Times New Roman" w:hAnsi="Times New Roman" w:cs="Times New Roman"/>
          <w:sz w:val="24"/>
          <w:szCs w:val="24"/>
        </w:rPr>
        <w:fldChar w:fldCharType="begin" w:fldLock="1"/>
      </w:r>
      <w:r w:rsidR="00E00A61">
        <w:rPr>
          <w:rFonts w:ascii="Times New Roman" w:hAnsi="Times New Roman" w:cs="Times New Roman"/>
          <w:sz w:val="24"/>
          <w:szCs w:val="24"/>
        </w:rPr>
        <w:instrText>ADDIN CSL_CITATION {"citationItems":[{"id":"ITEM-1","itemData":{"DOI":"10.1016/j.soilbio.2016.06.003","ISSN":"00380717","abstract":"Improving predictions of soil organic carbon (SOC) dynamics by multi-compartment models requires validation of turnover times of different SOC pools. Techniques such as laboratory incubation and isotope analysis have been adopted to estimate C turnover times, yet no studies have systematically compared these techniques and assessed the uncertainties associated with them. Here, we tested whether C turnover times of soil fractions were biased by methodology, and how this changed across soil particle sizes and ecosystems. We identified 52 studies that quantified C turnover times in different soil particles fractionated either according to aggregate size (e.g., macro- versus micro-aggregates) or according to soil texture (e.g., sand versus silt versus clay). C turnover times of these soil fractions were estimated by one of three methods: laboratory incubation (16 studies), δ13C shift due to C3-C4 vegetation change (25 studies), and 14C dating (19 studies). All methods showed that C turnover times of soil fractions generally increase with decreasing soil particle size. However, estimates of C turnover times within soil fractions differed significantly among methods, with incubation estimating the shortest turnover times and 14C the longest. The short C turnover times estimated by incubation are likely due to optimal environmental conditions for microbial decomposition existing in these studies, which is often a poor representation of field conditions. The 13C method can only be used when documenting a successive C3 versus C4 vegetation shift. C turnover times estimated by 14C were systematically higher than those estimated by 13C, especially for fine soil fractions (i.e., silt and clay). Overall, our findings highlight methodological uncertainties in estimating C turnover times of soil fractions, and correction factors should be explored to account for methodological bias when C turnover times estimated from different methods are used to parameterize soil C models.","author":[{"dropping-particle":"","family":"Feng","given":"Wenting","non-dropping-particle":"","parse-names":false,"suffix":""},{"dropping-particle":"","family":"Shi","given":"Zheng","non-dropping-particle":"","parse-names":false,"suffix":""},{"dropping-particle":"","family":"Jiang","given":"Jiang","non-dropping-particle":"","parse-names":false,"suffix":""},{"dropping-particle":"","family":"Xia","given":"Jianyang","non-dropping-particle":"","parse-names":false,"suffix":""},{"dropping-particle":"","family":"Liang","given":"Junyi","non-dropping-particle":"","parse-names":false,"suffix":""},{"dropping-particle":"","family":"Zhou","given":"Jizhong","non-dropping-particle":"","parse-names":false,"suffix":""},{"dropping-particle":"","family":"Luo","given":"Yiqi","non-dropping-particle":"","parse-names":false,"suffix":""}],"container-title":"Soil Biology and Biochemistry","id":"ITEM-1","issued":{"date-parts":[["2016"]]},"page":"118-124","publisher":"Elsevier Ltd","title":"Methodological uncertainty in estimating carbon turnover times of soil fractions","type":"article-journal","volume":"100"},"uris":["http://www.mendeley.com/documents/?uuid=f0746711-73bf-4a78-a2c7-85a0ec2decae","http://www.mendeley.com/documents/?uuid=20ab827e-4a31-44bd-8f50-5384ba21282a"]},{"id":"ITEM-2","itemData":{"DOI":"10.1111/j.1365-2486.2010.02278.x","ISSN":"13541013","abstract":"Soil carbon turnover models generally divide soil carbon into pools with varying intrinsic decomposition rates. Although these decomposition rates are modified by factors such as temperature, texture, and moisture, they are rationalized by assuming chemical structure is a primary controller of decomposition. In the current work, we use near edge X-ray absorption fine structure (NEXAFS) spectroscopy in combination with differential scanning calorimetry (DSC) and alkaline cupric oxide (CuO) oxidation to explore this assumption. Specifically, we examined material from the 2.3-2.6kgL-1 density fraction of three soils of different type (Oxisol, Alfisol, Inceptisol). The density fraction with the youngest 14C age (Oxisol, 107 years) showed the highest relative abundance of aromatic groups and the lowest O-alkyl C/aromatic C ratio as determined by NEXAFS. Conversely, the fraction with the oldest C (Inceptisol, 680 years) had the lowest relative abundance of aromatic groups and highest O-alkyl C/aromatic C ratio. This sample also had the highest proportion of thermally labile materials as measured by DSC, and the highest ratio of substituted fatty acids to lignin phenols as indicated by CuO oxidation. Therefore, the organic matter of the Inceptisol sample, with a 14C age associated with 'passive' pools of carbon (680 years), had the largest proportion of easily metabolizable organic molecules with low thermodynamic stability, whereas the organic matter of the much younger Oxisol sample (107 years) had the highest proportion of supposedly stable organic structures considered more difficult to metabolize. Our results demonstrate that C age is not necessarily related to molecular structure or thermodynamic stability, and we suggest that soil carbon models would benefit from viewing turnover rate as codetermined by the interaction between substrates, microbial actors, and abiotic driving variables. Furthermore, assuming that old carbon is composed of complex or 'recalcitrant' compounds will erroneously attribute a greater temperature sensitivity to those materials than they may actually possess. ? 2010 Blackwell Publishing Ltd.","author":[{"dropping-particle":"","family":"Kleber","given":"Markus","non-dropping-particle":"","parse-names":false,"suffix":""},{"dropping-particle":"","family":"Nico","given":"Peter S.","non-dropping-particle":"","parse-names":false,"suffix":""},{"dropping-particle":"","family":"Plante","given":"Alain","non-dropping-particle":"","parse-names":false,"suffix":""},{"dropping-particle":"","family":"Filley","given":"Timothy","non-dropping-particle":"","parse-names":false,"suffix":""},{"dropping-particle":"","family":"Kramer","given":"Marc","non-dropping-particle":"","parse-names":false,"suffix":""},{"dropping-particle":"","family":"Swanston","given":"Christopher","non-dropping-particle":"","parse-names":false,"suffix":""},{"dropping-particle":"","family":"Sollins","given":"Phillip","non-dropping-particle":"","parse-names":false,"suffix":""}],"container-title":"Global Change Biology","id":"ITEM-2","issue":"2","issued":{"date-parts":[["2011"]]},"page":"1097-1107","title":"Old and stable soil organic matter is not necessarily chemically recalcitrant: Implications for modeling concepts and temperature sensitivity","type":"article-journal","volume":"17"},"uris":["http://www.mendeley.com/documents/?uuid=27b5422d-9cc8-48c0-8b78-9869db5624be","http://www.mendeley.com/documents/?uuid=651fd6f8-0d0f-436c-8dc6-ba3b236f06d7"]},{"id":"ITEM-3","itemData":{"DOI":"10.1038/nature16069","ISSN":"0028-0836","PMID":"26595271","author":[{"dropping-particle":"","family":"Lehmann","given":"Johannes","non-dropping-particle":"","parse-names":false,"suffix":""},{"dropping-particle":"","family":"Kleber","given":"Markus","non-dropping-particle":"","parse-names":false,"suffix":""}],"container-title":"Nature","id":"ITEM-3","issued":{"date-parts":[["2015"]]},"page":"1-9","publisher":"Nature Publishing Group","title":"Perspective The contentious nature of soil organic matter","type":"article-journal"},"uris":["http://www.mendeley.com/documents/?uuid=64d02be5-584c-4e2f-a2f9-8600b4e50b32","http://www.mendeley.com/documents/?uuid=7116c96a-225c-4ddd-9617-981982abc976"]}],"mendeley":{"formattedCitation":"(Feng et al., 2016; Kleber et al., 2011; Lehmann &amp; Kleber, 2015)","plainTextFormattedCitation":"(Feng et al., 2016; Kleber et al., 2011; Lehmann &amp; Kleber, 2015)","previouslyFormattedCitation":"(Feng et al., 2016; Kleber et al., 2011; Lehmann &amp; Kleber, 2015)"},"properties":{"noteIndex":0},"schema":"https://github.com/citation-style-language/schema/raw/master/csl-citation.json"}</w:instrText>
      </w:r>
      <w:r w:rsidR="00E00A61" w:rsidRPr="00C27016">
        <w:rPr>
          <w:rFonts w:ascii="Times New Roman" w:hAnsi="Times New Roman" w:cs="Times New Roman"/>
          <w:sz w:val="24"/>
          <w:szCs w:val="24"/>
        </w:rPr>
        <w:fldChar w:fldCharType="separate"/>
      </w:r>
      <w:r w:rsidR="00E00A61" w:rsidRPr="00C27016">
        <w:rPr>
          <w:rFonts w:ascii="Times New Roman" w:hAnsi="Times New Roman" w:cs="Times New Roman"/>
          <w:noProof/>
          <w:sz w:val="24"/>
          <w:szCs w:val="24"/>
        </w:rPr>
        <w:t>(Feng et al., 2016; Kleber et al., 2011; Lehmann &amp; Kleber, 2015)</w:t>
      </w:r>
      <w:r w:rsidR="00E00A61" w:rsidRPr="00C27016">
        <w:rPr>
          <w:rFonts w:ascii="Times New Roman" w:hAnsi="Times New Roman" w:cs="Times New Roman"/>
          <w:sz w:val="24"/>
          <w:szCs w:val="24"/>
        </w:rPr>
        <w:fldChar w:fldCharType="end"/>
      </w:r>
      <w:r w:rsidR="00E00A61" w:rsidRPr="00C27016">
        <w:rPr>
          <w:rFonts w:ascii="Times New Roman" w:hAnsi="Times New Roman" w:cs="Times New Roman"/>
          <w:sz w:val="24"/>
          <w:szCs w:val="24"/>
        </w:rPr>
        <w:t xml:space="preserve">. In contrast, although they </w:t>
      </w:r>
      <w:r w:rsidR="00E00A61">
        <w:rPr>
          <w:rFonts w:ascii="Times New Roman" w:hAnsi="Times New Roman" w:cs="Times New Roman"/>
          <w:sz w:val="24"/>
          <w:szCs w:val="24"/>
        </w:rPr>
        <w:t>may</w:t>
      </w:r>
      <w:r w:rsidR="00E00A61" w:rsidRPr="00C27016">
        <w:rPr>
          <w:rFonts w:ascii="Times New Roman" w:hAnsi="Times New Roman" w:cs="Times New Roman"/>
          <w:sz w:val="24"/>
          <w:szCs w:val="24"/>
        </w:rPr>
        <w:t xml:space="preserve"> introduce artifacts due to disturbance and potential alteration of the microbial community, laboratory incubations of bulk soil make use of the same fractionation agent as is found </w:t>
      </w:r>
      <w:r w:rsidR="00E00A61" w:rsidRPr="00C27016">
        <w:rPr>
          <w:rFonts w:ascii="Times New Roman" w:hAnsi="Times New Roman" w:cs="Times New Roman"/>
          <w:i/>
          <w:sz w:val="24"/>
          <w:szCs w:val="24"/>
        </w:rPr>
        <w:t>in situ</w:t>
      </w:r>
      <w:r w:rsidR="00E00A61" w:rsidRPr="00C27016">
        <w:rPr>
          <w:rFonts w:ascii="Times New Roman" w:hAnsi="Times New Roman" w:cs="Times New Roman"/>
          <w:sz w:val="24"/>
          <w:szCs w:val="24"/>
        </w:rPr>
        <w:t xml:space="preserve">: the microbial community </w:t>
      </w:r>
      <w:r w:rsidR="00E00A61" w:rsidRPr="00C27016">
        <w:rPr>
          <w:rFonts w:ascii="Times New Roman" w:hAnsi="Times New Roman" w:cs="Times New Roman"/>
          <w:sz w:val="24"/>
          <w:szCs w:val="24"/>
        </w:rPr>
        <w:fldChar w:fldCharType="begin" w:fldLock="1"/>
      </w:r>
      <w:r w:rsidR="00E00A61">
        <w:rPr>
          <w:rFonts w:ascii="Times New Roman" w:hAnsi="Times New Roman" w:cs="Times New Roman"/>
          <w:sz w:val="24"/>
          <w:szCs w:val="24"/>
        </w:rPr>
        <w:instrText>ADDIN CSL_CITATION {"citationItems":[{"id":"ITEM-1","itemData":{"DOI":"10.5194/essd-12-1511-2020","abstract":"Abstract. The magnitude of carbon (C) loss to the atmosphere via microbial decomposition is a function of the amount of C stored in soils, the quality of the organic matter, and physical, chemical, and biological factors that comprise the environment for decomposition. The decomposability of C is commonly assessed by laboratory soil incubation studies that measure greenhouse gases mineralized from soils under controlled conditions. Here, we introduce the Soil Incubation Database (SIDb) version 1.0, a compilation of time series data from incubations, structured into a new, publicly available, open-access database of C flux (carbon dioxide, CO2, or methane, CH4). In addition, the SIDb project also provides a platform for the development of tools for reading and analysis of incubation data as well as documentation for future use and development. In addition to introducing SIDb, we provide reporting guidance for database entry and the required variables that incubation studies need at minimum to be included in SIDb. A key application of this synthesis effort is to better characterize soil C processes in Earth system models, which will in turn reduce our uncertainty in predicting the response of soil C decomposition to a changing climate. We demonstrate a framework to fit curves to a number of incubation studies from diverse ecosystems, depths, and organic matter content using a built-in model development module that integrates SIDb with the existing SoilR package to estimate soil C pools from time series data. The database will help bridge the gap between point location measurements, which are commonly used in incubation studies, and global remote-sensed data or data products derived from models aimed at assessing global-scale rates of decomposition and C turnover. The SIDb version 1.0 is archived and publicly available at https://doi.org/10.5281/zenodo.3871263 (Sierra et al., 2020), and the database is managed under a version-controlled system and centrally stored in GitHub (https://github.com/SoilBGC-Datashare/sidb, last access: 26 June 2020).","author":[{"dropping-particle":"","family":"Schädel","given":"Christina","non-dropping-particle":"","parse-names":false,"suffix":""},{"dropping-particle":"","family":"Beem-Miller","given":"Jeffrey","non-dropping-particle":"","parse-names":false,"suffix":""},{"dropping-particle":"","family":"Aziz Rad","given":"Mina","non-dropping-particle":"","parse-names":false,"suffix":""},{"dropping-particle":"","family":"Crow","given":"Susan E.","non-dropping-particle":"","parse-names":false,"suffix":""},{"dropping-particle":"","family":"Hicks Pries","given":"Caitlin E.","non-dropping-particle":"","parse-names":false,"suffix":""},{"dropping-particle":"","family":"Ernakovich","given":"Jessica","non-dropping-particle":"","parse-names":false,"suffix":""},{"dropping-particle":"","family":"Hoyt","given":"Alison M.","non-dropping-particle":"","parse-names":false,"suffix":""},{"dropping-particle":"","family":"Plante","given":"Alain","non-dropping-particle":"","parse-names":false,"suffix":""},{"dropping-particle":"","family":"Stoner","given":"Shane","non-dropping-particle":"","parse-names":false,"suffix":""},{"dropping-particle":"","family":"Treat","given":"Claire C.","non-dropping-particle":"","parse-names":false,"suffix":""},{"dropping-particle":"","family":"Sierra","given":"Carlos A.","non-dropping-particle":"","parse-names":false,"suffix":""}],"container-title":"Earth System Science Data","id":"ITEM-1","issue":"3","issued":{"date-parts":[["2020"]]},"page":"1511-1524","title":"Decomposability of soil organic matter over time: the Soil Incubation Database (SIDb, version 1.0) and guidance for incubation procedures","type":"article-journal","volume":"12"},"uris":["http://www.mendeley.com/documents/?uuid=20c992b6-7a94-4a6e-b137-f92723024b7e","http://www.mendeley.com/documents/?uuid=b6286718-605e-40c0-a84b-a76a2423ec4d"]}],"mendeley":{"formattedCitation":"(Schädel et al., 2020)","plainTextFormattedCitation":"(Schädel et al., 2020)","previouslyFormattedCitation":"(Schädel et al., 2020)"},"properties":{"noteIndex":0},"schema":"https://github.com/citation-style-language/schema/raw/master/csl-citation.json"}</w:instrText>
      </w:r>
      <w:r w:rsidR="00E00A61" w:rsidRPr="00C27016">
        <w:rPr>
          <w:rFonts w:ascii="Times New Roman" w:hAnsi="Times New Roman" w:cs="Times New Roman"/>
          <w:sz w:val="24"/>
          <w:szCs w:val="24"/>
        </w:rPr>
        <w:fldChar w:fldCharType="separate"/>
      </w:r>
      <w:r w:rsidR="00E00A61" w:rsidRPr="00C27016">
        <w:rPr>
          <w:rFonts w:ascii="Times New Roman" w:hAnsi="Times New Roman" w:cs="Times New Roman"/>
          <w:noProof/>
          <w:sz w:val="24"/>
          <w:szCs w:val="24"/>
        </w:rPr>
        <w:t>(Schädel et al., 2020)</w:t>
      </w:r>
      <w:r w:rsidR="00E00A61" w:rsidRPr="00C27016">
        <w:rPr>
          <w:rFonts w:ascii="Times New Roman" w:hAnsi="Times New Roman" w:cs="Times New Roman"/>
          <w:sz w:val="24"/>
          <w:szCs w:val="24"/>
        </w:rPr>
        <w:fldChar w:fldCharType="end"/>
      </w:r>
      <w:r w:rsidR="00E00A61" w:rsidRPr="00C27016">
        <w:rPr>
          <w:rFonts w:ascii="Times New Roman" w:hAnsi="Times New Roman" w:cs="Times New Roman"/>
          <w:sz w:val="24"/>
          <w:szCs w:val="24"/>
        </w:rPr>
        <w:t>.</w:t>
      </w:r>
    </w:p>
    <w:p w14:paraId="04FD9E26" w14:textId="2DE71F3F" w:rsidR="002D7A8F" w:rsidRPr="009E07D6" w:rsidRDefault="00F019C8" w:rsidP="002D7A8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Laboratory soil incubation is a commonly used technique for und</w:t>
      </w:r>
      <w:r>
        <w:rPr>
          <w:rFonts w:ascii="Times New Roman" w:hAnsi="Times New Roman" w:cs="Times New Roman"/>
          <w:sz w:val="24"/>
          <w:szCs w:val="24"/>
        </w:rPr>
        <w:t xml:space="preserve">erstanding soil carbon dynamics, but </w:t>
      </w:r>
      <w:r w:rsidR="002D7A8F">
        <w:rPr>
          <w:rFonts w:ascii="Times New Roman" w:hAnsi="Times New Roman" w:cs="Times New Roman"/>
          <w:sz w:val="24"/>
          <w:szCs w:val="24"/>
        </w:rPr>
        <w:t>measuring the radiocarbon signature of heterotrophically respired CO</w:t>
      </w:r>
      <w:r w:rsidR="002D7A8F" w:rsidRPr="002D7A8F">
        <w:rPr>
          <w:rFonts w:ascii="Times New Roman" w:hAnsi="Times New Roman" w:cs="Times New Roman"/>
          <w:sz w:val="24"/>
          <w:szCs w:val="24"/>
          <w:vertAlign w:val="subscript"/>
        </w:rPr>
        <w:t>2</w:t>
      </w:r>
      <w:r w:rsidR="002D7A8F">
        <w:rPr>
          <w:rFonts w:ascii="Times New Roman" w:hAnsi="Times New Roman" w:cs="Times New Roman"/>
          <w:sz w:val="24"/>
          <w:szCs w:val="24"/>
        </w:rPr>
        <w:t xml:space="preserve"> (∆</w:t>
      </w:r>
      <w:r w:rsidR="002D7A8F" w:rsidRPr="002D7A8F">
        <w:rPr>
          <w:rFonts w:ascii="Times New Roman" w:hAnsi="Times New Roman" w:cs="Times New Roman"/>
          <w:sz w:val="24"/>
          <w:szCs w:val="24"/>
          <w:vertAlign w:val="superscript"/>
        </w:rPr>
        <w:t>14</w:t>
      </w:r>
      <w:r w:rsidR="002D7A8F">
        <w:rPr>
          <w:rFonts w:ascii="Times New Roman" w:hAnsi="Times New Roman" w:cs="Times New Roman"/>
          <w:sz w:val="24"/>
          <w:szCs w:val="24"/>
        </w:rPr>
        <w:t>C-CO</w:t>
      </w:r>
      <w:r w:rsidR="002D7A8F" w:rsidRPr="002D7A8F">
        <w:rPr>
          <w:rFonts w:ascii="Times New Roman" w:hAnsi="Times New Roman" w:cs="Times New Roman"/>
          <w:sz w:val="24"/>
          <w:szCs w:val="24"/>
          <w:vertAlign w:val="subscript"/>
        </w:rPr>
        <w:t>2</w:t>
      </w:r>
      <w:r w:rsidR="002D7A8F">
        <w:rPr>
          <w:rFonts w:ascii="Times New Roman" w:hAnsi="Times New Roman" w:cs="Times New Roman"/>
          <w:sz w:val="24"/>
          <w:szCs w:val="24"/>
        </w:rPr>
        <w:t xml:space="preserve">) is not. However, </w:t>
      </w:r>
      <w:r w:rsidR="002D7A8F" w:rsidRPr="00C27016">
        <w:rPr>
          <w:rFonts w:ascii="Times New Roman" w:hAnsi="Times New Roman" w:cs="Times New Roman"/>
          <w:sz w:val="24"/>
          <w:szCs w:val="24"/>
        </w:rPr>
        <w:t>Δ</w:t>
      </w:r>
      <w:r w:rsidR="002D7A8F" w:rsidRPr="00C27016">
        <w:rPr>
          <w:rFonts w:ascii="Times New Roman" w:hAnsi="Times New Roman" w:cs="Times New Roman"/>
          <w:sz w:val="24"/>
          <w:szCs w:val="24"/>
          <w:vertAlign w:val="superscript"/>
        </w:rPr>
        <w:t>14</w:t>
      </w:r>
      <w:r w:rsidR="002D7A8F" w:rsidRPr="00C27016">
        <w:rPr>
          <w:rFonts w:ascii="Times New Roman" w:hAnsi="Times New Roman" w:cs="Times New Roman"/>
          <w:sz w:val="24"/>
          <w:szCs w:val="24"/>
        </w:rPr>
        <w:t>C-CO</w:t>
      </w:r>
      <w:r w:rsidR="002D7A8F" w:rsidRPr="00C27016">
        <w:rPr>
          <w:rFonts w:ascii="Times New Roman" w:hAnsi="Times New Roman" w:cs="Times New Roman"/>
          <w:sz w:val="24"/>
          <w:szCs w:val="24"/>
          <w:vertAlign w:val="subscript"/>
        </w:rPr>
        <w:t>2</w:t>
      </w:r>
      <w:r w:rsidR="002D7A8F">
        <w:rPr>
          <w:rFonts w:ascii="Times New Roman" w:hAnsi="Times New Roman" w:cs="Times New Roman"/>
          <w:sz w:val="24"/>
          <w:szCs w:val="24"/>
        </w:rPr>
        <w:t xml:space="preserve"> is a powerful constrait for modeling soil carbon dynamics because it provides an </w:t>
      </w:r>
      <w:r w:rsidR="002D7A8F" w:rsidRPr="00C27016">
        <w:rPr>
          <w:rFonts w:ascii="Times New Roman" w:hAnsi="Times New Roman" w:cs="Times New Roman"/>
          <w:sz w:val="24"/>
          <w:szCs w:val="24"/>
        </w:rPr>
        <w:t xml:space="preserve">integrated measure of the weighted contribution to the soil efflux from carbon pools with distinct processing rates </w:t>
      </w:r>
      <w:r w:rsidR="002D7A8F" w:rsidRPr="00C27016">
        <w:rPr>
          <w:rFonts w:ascii="Times New Roman" w:hAnsi="Times New Roman" w:cs="Times New Roman"/>
          <w:sz w:val="24"/>
          <w:szCs w:val="24"/>
        </w:rPr>
        <w:fldChar w:fldCharType="begin" w:fldLock="1"/>
      </w:r>
      <w:r w:rsidR="002D7A8F">
        <w:rPr>
          <w:rFonts w:ascii="Times New Roman" w:hAnsi="Times New Roman" w:cs="Times New Roman"/>
          <w:sz w:val="24"/>
          <w:szCs w:val="24"/>
        </w:rPr>
        <w:instrText>ADDIN CSL_CITATION {"citationItems":[{"id":"ITEM-1","itemData":{"DOI":"10.1890/1051-0761(2000)010[0399:AOSOMA]2.0.CO;2","ISBN":"10510761 (ISSN)","ISSN":"10510761","PMID":"17347700","abstract":"Radiocarbon data from soil organic matter and soil respiration provide powerful constraints for determining carbon dynamics and thereby the magnitude and timing of soil carbon response to global change. In this paper, data from three sites representing well-drained soils in boreal, temperate, and tropical forests are used to illustrate the methods for using radiocarbon to determine the turnover times of soil organic matter and to partition soil respiration. For these sites, the average age of bulk carbon in detrital and Oh/A-horizon organic carbon ranges from 200 to 1200 yr. In each case, this mass-weighted average includes components such as relatively undecomposed leaf, root, and moss litter with much shorter turnover times, and humified or mineral-associated organic matter with much longer turnover times. The average age of carbon in organic matter is greater than the average age predicted for CO2 produced by its decomposition (30, 8, and 3 yr for boreal, temperate, and tropical soil), or measured in t...","author":[{"dropping-particle":"","family":"Trumbore","given":"Susan","non-dropping-particle":"","parse-names":false,"suffix":""}],"container-title":"Ecological Applications","id":"ITEM-1","issue":"2","issued":{"date-parts":[["2000"]]},"page":"399-411","title":"Age of soil organic matter and soil respiration: Radiocarbon constraints on belowground C dynamics","type":"article-journal","volume":"10"},"uris":["http://www.mendeley.com/documents/?uuid=e885a58f-8964-4b98-8acb-504e1071f13f","http://www.mendeley.com/documents/?uuid=0ae25c3f-0de7-498d-88d8-5fc269849c40"]}],"mendeley":{"formattedCitation":"(Trumbore, 2000)","plainTextFormattedCitation":"(Trumbore, 2000)","previouslyFormattedCitation":"(Trumbore, 2000)"},"properties":{"noteIndex":0},"schema":"https://github.com/citation-style-language/schema/raw/master/csl-citation.json"}</w:instrText>
      </w:r>
      <w:r w:rsidR="002D7A8F" w:rsidRPr="00C27016">
        <w:rPr>
          <w:rFonts w:ascii="Times New Roman" w:hAnsi="Times New Roman" w:cs="Times New Roman"/>
          <w:sz w:val="24"/>
          <w:szCs w:val="24"/>
        </w:rPr>
        <w:fldChar w:fldCharType="separate"/>
      </w:r>
      <w:r w:rsidR="002D7A8F" w:rsidRPr="00C27016">
        <w:rPr>
          <w:rFonts w:ascii="Times New Roman" w:hAnsi="Times New Roman" w:cs="Times New Roman"/>
          <w:noProof/>
          <w:sz w:val="24"/>
          <w:szCs w:val="24"/>
        </w:rPr>
        <w:t>(Trumbore, 2000)</w:t>
      </w:r>
      <w:r w:rsidR="002D7A8F" w:rsidRPr="00C27016">
        <w:rPr>
          <w:rFonts w:ascii="Times New Roman" w:hAnsi="Times New Roman" w:cs="Times New Roman"/>
          <w:sz w:val="24"/>
          <w:szCs w:val="24"/>
        </w:rPr>
        <w:fldChar w:fldCharType="end"/>
      </w:r>
      <w:r w:rsidR="002D7A8F">
        <w:rPr>
          <w:rFonts w:ascii="Times New Roman" w:hAnsi="Times New Roman" w:cs="Times New Roman"/>
          <w:sz w:val="24"/>
          <w:szCs w:val="24"/>
        </w:rPr>
        <w:t>. ∆</w:t>
      </w:r>
      <w:r w:rsidR="002D7A8F" w:rsidRPr="002D7A8F">
        <w:rPr>
          <w:rFonts w:ascii="Times New Roman" w:hAnsi="Times New Roman" w:cs="Times New Roman"/>
          <w:sz w:val="24"/>
          <w:szCs w:val="24"/>
          <w:vertAlign w:val="superscript"/>
        </w:rPr>
        <w:t>14</w:t>
      </w:r>
      <w:r w:rsidR="002D7A8F">
        <w:rPr>
          <w:rFonts w:ascii="Times New Roman" w:hAnsi="Times New Roman" w:cs="Times New Roman"/>
          <w:sz w:val="24"/>
          <w:szCs w:val="24"/>
        </w:rPr>
        <w:t>C-CO</w:t>
      </w:r>
      <w:r w:rsidR="002D7A8F" w:rsidRPr="002D7A8F">
        <w:rPr>
          <w:rFonts w:ascii="Times New Roman" w:hAnsi="Times New Roman" w:cs="Times New Roman"/>
          <w:sz w:val="24"/>
          <w:szCs w:val="24"/>
          <w:vertAlign w:val="subscript"/>
        </w:rPr>
        <w:t>2</w:t>
      </w:r>
      <w:r w:rsidR="002D7A8F">
        <w:rPr>
          <w:rFonts w:ascii="Times New Roman" w:hAnsi="Times New Roman" w:cs="Times New Roman"/>
          <w:sz w:val="24"/>
          <w:szCs w:val="24"/>
          <w:vertAlign w:val="subscript"/>
        </w:rPr>
        <w:t xml:space="preserve"> </w:t>
      </w:r>
      <w:r w:rsidR="002D7A8F">
        <w:rPr>
          <w:rFonts w:ascii="Times New Roman" w:hAnsi="Times New Roman" w:cs="Times New Roman"/>
          <w:sz w:val="24"/>
          <w:szCs w:val="24"/>
        </w:rPr>
        <w:t>can thus be used to infer the r</w:t>
      </w:r>
      <w:r w:rsidR="002D7A8F" w:rsidRPr="00C27016">
        <w:rPr>
          <w:rFonts w:ascii="Times New Roman" w:hAnsi="Times New Roman" w:cs="Times New Roman"/>
          <w:sz w:val="24"/>
          <w:szCs w:val="24"/>
        </w:rPr>
        <w:t>elative processing rat</w:t>
      </w:r>
      <w:r w:rsidR="002D7A8F">
        <w:rPr>
          <w:rFonts w:ascii="Times New Roman" w:hAnsi="Times New Roman" w:cs="Times New Roman"/>
          <w:sz w:val="24"/>
          <w:szCs w:val="24"/>
        </w:rPr>
        <w:t>e of carbon (or transit time) for the whole</w:t>
      </w:r>
      <w:r w:rsidR="002D7A8F" w:rsidRPr="00C27016">
        <w:rPr>
          <w:rFonts w:ascii="Times New Roman" w:hAnsi="Times New Roman" w:cs="Times New Roman"/>
          <w:sz w:val="24"/>
          <w:szCs w:val="24"/>
        </w:rPr>
        <w:t xml:space="preserve"> soil, i.e. the average period of time between when an atom of carbon ent</w:t>
      </w:r>
      <w:r w:rsidR="002D7A8F">
        <w:rPr>
          <w:rFonts w:ascii="Times New Roman" w:hAnsi="Times New Roman" w:cs="Times New Roman"/>
          <w:sz w:val="24"/>
          <w:szCs w:val="24"/>
        </w:rPr>
        <w:t>ers the soil and when it leaves</w:t>
      </w:r>
      <w:r w:rsidR="002D7A8F" w:rsidRPr="00C2027D">
        <w:rPr>
          <w:rFonts w:ascii="Times New Roman" w:hAnsi="Times New Roman" w:cs="Times New Roman"/>
          <w:sz w:val="24"/>
          <w:szCs w:val="24"/>
        </w:rPr>
        <w:t xml:space="preserve"> </w:t>
      </w:r>
      <w:r w:rsidR="002D7A8F" w:rsidRPr="00C27016">
        <w:rPr>
          <w:rFonts w:ascii="Times New Roman" w:hAnsi="Times New Roman" w:cs="Times New Roman"/>
          <w:sz w:val="24"/>
          <w:szCs w:val="24"/>
        </w:rPr>
        <w:fldChar w:fldCharType="begin" w:fldLock="1"/>
      </w:r>
      <w:r w:rsidR="002D7A8F">
        <w:rPr>
          <w:rFonts w:ascii="Times New Roman" w:hAnsi="Times New Roman" w:cs="Times New Roman"/>
          <w:sz w:val="24"/>
          <w:szCs w:val="24"/>
        </w:rPr>
        <w:instrText>ADDIN CSL_CITATION {"citationItems":[{"id":"ITEM-1","itemData":{"DOI":"10.1111/gcb.13556","ISSN":"13652486","abstract":"Comparisons among ecosystem models or ecosystem dynamics along environmental gradients commonly rely on metrics that integrate different processes into a useful diagnostic. Terms such as age, turnover, residence, and transit times are often used for this purpose; however, these terms are variably defined in the literature and in many cases, calculations ignore assumptions implicit in their formulas. The aim of this opinion piece was i) to make evident these discrepancies and the incorrect use of formulas, ii) highlight recent results that simplify calculations and may help to avoid confusion, and iii) propose the adoption of simple and less ambiguous terms.","author":[{"dropping-particle":"","family":"Sierra","given":"C.A.","non-dropping-particle":"","parse-names":false,"suffix":""},{"dropping-particle":"","family":"Müller","given":"M.","non-dropping-particle":"","parse-names":false,"suffix":""},{"dropping-particle":"","family":"Metzler","given":"H.","non-dropping-particle":"","parse-names":false,"suffix":""},{"dropping-particle":"","family":"Manzoni","given":"S.","non-dropping-particle":"","parse-names":false,"suffix":""},{"dropping-particle":"","family":"Trumbore","given":"S.E.","non-dropping-particle":"","parse-names":false,"suffix":""}],"container-title":"Global Change Biology","id":"ITEM-1","issue":"5","issued":{"date-parts":[["2017"]]},"page":"1763-1773","title":"The muddle of ages, turnover, transit, and residence times in the carbon cycle","type":"article-journal","volume":"23"},"uris":["http://www.mendeley.com/documents/?uuid=79556391-eca1-498b-a5e0-4c7f11dca978","http://www.mendeley.com/documents/?uuid=12166f79-94a8-451e-8831-f2d030db6252"]}],"mendeley":{"formattedCitation":"(Sierra et al., 2017)","plainTextFormattedCitation":"(Sierra et al., 2017)","previouslyFormattedCitation":"(Sierra et al., 2017)"},"properties":{"noteIndex":0},"schema":"https://github.com/citation-style-language/schema/raw/master/csl-citation.json"}</w:instrText>
      </w:r>
      <w:r w:rsidR="002D7A8F" w:rsidRPr="00C27016">
        <w:rPr>
          <w:rFonts w:ascii="Times New Roman" w:hAnsi="Times New Roman" w:cs="Times New Roman"/>
          <w:sz w:val="24"/>
          <w:szCs w:val="24"/>
        </w:rPr>
        <w:fldChar w:fldCharType="separate"/>
      </w:r>
      <w:r w:rsidR="002D7A8F" w:rsidRPr="005238BD">
        <w:rPr>
          <w:rFonts w:ascii="Times New Roman" w:hAnsi="Times New Roman" w:cs="Times New Roman"/>
          <w:noProof/>
          <w:sz w:val="24"/>
          <w:szCs w:val="24"/>
        </w:rPr>
        <w:t>(Sierra et al., 2017)</w:t>
      </w:r>
      <w:r w:rsidR="002D7A8F" w:rsidRPr="00C27016">
        <w:rPr>
          <w:rFonts w:ascii="Times New Roman" w:hAnsi="Times New Roman" w:cs="Times New Roman"/>
          <w:sz w:val="24"/>
          <w:szCs w:val="24"/>
        </w:rPr>
        <w:fldChar w:fldCharType="end"/>
      </w:r>
      <w:r w:rsidR="002D7A8F" w:rsidRPr="00C27016">
        <w:rPr>
          <w:rFonts w:ascii="Times New Roman" w:hAnsi="Times New Roman" w:cs="Times New Roman"/>
          <w:sz w:val="24"/>
          <w:szCs w:val="24"/>
        </w:rPr>
        <w:t>.</w:t>
      </w:r>
      <w:r w:rsidR="002D7A8F">
        <w:rPr>
          <w:rFonts w:ascii="Times New Roman" w:hAnsi="Times New Roman" w:cs="Times New Roman"/>
          <w:sz w:val="24"/>
          <w:szCs w:val="24"/>
        </w:rPr>
        <w:t xml:space="preserve"> In contrast to bulk soil ∆</w:t>
      </w:r>
      <w:r w:rsidR="002D7A8F" w:rsidRPr="002D7A8F">
        <w:rPr>
          <w:rFonts w:ascii="Times New Roman" w:hAnsi="Times New Roman" w:cs="Times New Roman"/>
          <w:sz w:val="24"/>
          <w:szCs w:val="24"/>
          <w:vertAlign w:val="superscript"/>
        </w:rPr>
        <w:t>14</w:t>
      </w:r>
      <w:r w:rsidR="002D7A8F">
        <w:rPr>
          <w:rFonts w:ascii="Times New Roman" w:hAnsi="Times New Roman" w:cs="Times New Roman"/>
          <w:sz w:val="24"/>
          <w:szCs w:val="24"/>
        </w:rPr>
        <w:t>C, which is dominated by relatively slowly cycling carbon, ∆</w:t>
      </w:r>
      <w:r w:rsidR="002D7A8F" w:rsidRPr="002D7A8F">
        <w:rPr>
          <w:rFonts w:ascii="Times New Roman" w:hAnsi="Times New Roman" w:cs="Times New Roman"/>
          <w:sz w:val="24"/>
          <w:szCs w:val="24"/>
          <w:vertAlign w:val="superscript"/>
        </w:rPr>
        <w:t>14</w:t>
      </w:r>
      <w:r w:rsidR="002D7A8F">
        <w:rPr>
          <w:rFonts w:ascii="Times New Roman" w:hAnsi="Times New Roman" w:cs="Times New Roman"/>
          <w:sz w:val="24"/>
          <w:szCs w:val="24"/>
        </w:rPr>
        <w:t>C-CO</w:t>
      </w:r>
      <w:r w:rsidR="002D7A8F" w:rsidRPr="002D7A8F">
        <w:rPr>
          <w:rFonts w:ascii="Times New Roman" w:hAnsi="Times New Roman" w:cs="Times New Roman"/>
          <w:sz w:val="24"/>
          <w:szCs w:val="24"/>
          <w:vertAlign w:val="subscript"/>
        </w:rPr>
        <w:t>2</w:t>
      </w:r>
      <w:r w:rsidR="002D7A8F">
        <w:rPr>
          <w:rFonts w:ascii="Times New Roman" w:hAnsi="Times New Roman" w:cs="Times New Roman"/>
          <w:sz w:val="24"/>
          <w:szCs w:val="24"/>
          <w:vertAlign w:val="subscript"/>
        </w:rPr>
        <w:t xml:space="preserve"> </w:t>
      </w:r>
      <w:r w:rsidR="002D7A8F">
        <w:rPr>
          <w:rFonts w:ascii="Times New Roman" w:hAnsi="Times New Roman" w:cs="Times New Roman"/>
          <w:sz w:val="24"/>
          <w:szCs w:val="24"/>
        </w:rPr>
        <w:t>reflects mainly fast cycling carbon</w:t>
      </w:r>
      <w:r w:rsidR="009E07D6">
        <w:rPr>
          <w:rFonts w:ascii="Times New Roman" w:hAnsi="Times New Roman" w:cs="Times New Roman"/>
          <w:sz w:val="24"/>
          <w:szCs w:val="24"/>
        </w:rPr>
        <w:t xml:space="preserve"> (Sierra et al., 2018)</w:t>
      </w:r>
      <w:r w:rsidR="002D7A8F">
        <w:rPr>
          <w:rFonts w:ascii="Times New Roman" w:hAnsi="Times New Roman" w:cs="Times New Roman"/>
          <w:sz w:val="24"/>
          <w:szCs w:val="24"/>
        </w:rPr>
        <w:t>.</w:t>
      </w:r>
    </w:p>
    <w:p w14:paraId="11FB3BFD" w14:textId="77777777" w:rsidR="002D7A8F" w:rsidRDefault="00291036" w:rsidP="00021BD7">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Depletion of n</w:t>
      </w:r>
      <w:r w:rsidR="00482AF3">
        <w:rPr>
          <w:rFonts w:ascii="Times New Roman" w:hAnsi="Times New Roman" w:cs="Times New Roman"/>
          <w:sz w:val="24"/>
          <w:szCs w:val="24"/>
        </w:rPr>
        <w:t xml:space="preserve">atural </w:t>
      </w:r>
      <w:r w:rsidRPr="00C27016">
        <w:rPr>
          <w:rFonts w:ascii="Times New Roman" w:hAnsi="Times New Roman" w:cs="Times New Roman"/>
          <w:sz w:val="24"/>
          <w:szCs w:val="24"/>
        </w:rPr>
        <w:t>abundance radiocarbon</w:t>
      </w:r>
      <w:r>
        <w:rPr>
          <w:rFonts w:ascii="Times New Roman" w:hAnsi="Times New Roman" w:cs="Times New Roman"/>
          <w:sz w:val="24"/>
          <w:szCs w:val="24"/>
        </w:rPr>
        <w:t xml:space="preserve"> due to radioactive decay</w:t>
      </w:r>
      <w:r w:rsidRPr="00C27016">
        <w:rPr>
          <w:rFonts w:ascii="Times New Roman" w:hAnsi="Times New Roman" w:cs="Times New Roman"/>
          <w:sz w:val="24"/>
          <w:szCs w:val="24"/>
        </w:rPr>
        <w:t xml:space="preserve"> provides information about </w:t>
      </w:r>
      <w:r w:rsidR="00EC364E">
        <w:rPr>
          <w:rFonts w:ascii="Times New Roman" w:hAnsi="Times New Roman" w:cs="Times New Roman"/>
          <w:sz w:val="24"/>
          <w:szCs w:val="24"/>
        </w:rPr>
        <w:t>the age of carbon in soil organic matter</w:t>
      </w:r>
      <w:r w:rsidRPr="00C27016">
        <w:rPr>
          <w:rFonts w:ascii="Times New Roman" w:hAnsi="Times New Roman" w:cs="Times New Roman"/>
          <w:sz w:val="24"/>
          <w:szCs w:val="24"/>
        </w:rPr>
        <w:t xml:space="preserve"> on centennial or millennial scales, while insight into decadal scale dynamics can be gained from tracing the pulse of radiocarbon introduced into the biosphere from nuclear weapons testing (“bomb-C”) in the mid-20th century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{"citationItems":[{"id":"ITEM-1","itemData":{"DOI":"10.1146/annurev.earth.36.031207.124300","ISBN":"0084-6597\\n978-0-8243-2037-9","ISSN":"0084-6597","abstract":"Research over the past several decades has clarified the mechanisms and timescales involved in stabilizing organic matter in soils, but we still lack process-based understanding sufficient for predicting how vulnerable soil carbon (C) is, given climatic or environmental change across a range of soil types and landscapes. Part of the problem is the emphasis on short-term studies and processes that dominate C balance at the point or soil profile scale, whereas other processes that dominate over longer timescales and larger spatial scales may actually be more important for determining the carbon balance of soils in a region. Radiocarbon is one of the only tools to study the dynamics of C in soils on decadal to millennial timescales. It provides a means for directly testing models of organic matter dynamics in ecosystems and, when measured in respired CO2 or dissolved organic carbon (DOC), provides evidence of shifts in microbial metabolism. This review explores the application of this underutilized tool, wit...","author":[{"dropping-particle":"","family":"Trumbore","given":"Susan","non-dropping-particle":"","parse-names":false,"suffix":""}],"container-title":"Annual Review of Earth and Planetary Sciences","id":"ITEM-1","issue":"1","issued":{"date-parts":[["2009"]]},"page":"47-66","title":"Radiocarbon and Soil Carbon Dynamics","type":"article-journal","volume":"37"},"uris":["http://www.mendeley.com/documents/?uuid=fb4ae537-f436-49c8-b87b-b28624ea1044","http://www.mendeley.com/documents/?uuid=0a102fa1-c2c6-449a-b479-12d14c5e2496"]}],"mendeley":{"formattedCitation":"(Trumbore, 2009)","plainTextFormattedCitation":"(Trumbore, 2009)","previouslyFormattedCitation":"(Trumbore, 2009)"},"properties":{"noteIndex":0},"schema":"https://github.com/citation-style-language/schema/raw/master/csl-citation.json"}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(Trumbore, 2009)</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The bomb-C pulse peaked in the atmosphere in the 1960s, but due to differential rates of biological processing, the peak is lagged in time and dampened in soils.</w:t>
      </w:r>
      <w:r w:rsidR="00444BBA">
        <w:rPr>
          <w:rFonts w:ascii="Times New Roman" w:hAnsi="Times New Roman" w:cs="Times New Roman"/>
          <w:sz w:val="24"/>
          <w:szCs w:val="24"/>
        </w:rPr>
        <w:t xml:space="preserve"> </w:t>
      </w:r>
    </w:p>
    <w:p w14:paraId="3D6EC6E8" w14:textId="2A79D671" w:rsidR="00EC364E" w:rsidRDefault="002D7A8F" w:rsidP="00021BD7">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A critical issue with interpreting bomb-C radiocarbon is that </w:t>
      </w:r>
      <w:r w:rsidR="00EC364E" w:rsidRPr="00C27016">
        <w:rPr>
          <w:rFonts w:ascii="Times New Roman" w:hAnsi="Times New Roman" w:cs="Times New Roman"/>
          <w:sz w:val="24"/>
          <w:szCs w:val="24"/>
        </w:rPr>
        <w:t>there are two points in time at which the Δ</w:t>
      </w:r>
      <w:r w:rsidR="00EC364E" w:rsidRPr="00C27016">
        <w:rPr>
          <w:rFonts w:ascii="Times New Roman" w:hAnsi="Times New Roman" w:cs="Times New Roman"/>
          <w:sz w:val="24"/>
          <w:szCs w:val="24"/>
          <w:vertAlign w:val="superscript"/>
        </w:rPr>
        <w:t>14</w:t>
      </w:r>
      <w:r w:rsidR="00EC364E" w:rsidRPr="00C27016">
        <w:rPr>
          <w:rFonts w:ascii="Times New Roman" w:hAnsi="Times New Roman" w:cs="Times New Roman"/>
          <w:sz w:val="24"/>
          <w:szCs w:val="24"/>
        </w:rPr>
        <w:t>C signature of atmospheric CO</w:t>
      </w:r>
      <w:r w:rsidR="00EC364E" w:rsidRPr="00C27016">
        <w:rPr>
          <w:rFonts w:ascii="Times New Roman" w:hAnsi="Times New Roman" w:cs="Times New Roman"/>
          <w:sz w:val="24"/>
          <w:szCs w:val="24"/>
          <w:vertAlign w:val="subscript"/>
        </w:rPr>
        <w:t>2</w:t>
      </w:r>
      <w:r w:rsidR="00A43134">
        <w:rPr>
          <w:rFonts w:ascii="Times New Roman" w:hAnsi="Times New Roman" w:cs="Times New Roman"/>
          <w:sz w:val="24"/>
          <w:szCs w:val="24"/>
        </w:rPr>
        <w:t xml:space="preserve"> </w:t>
      </w:r>
      <w:r w:rsidR="009E07D6">
        <w:rPr>
          <w:rFonts w:ascii="Times New Roman" w:hAnsi="Times New Roman" w:cs="Times New Roman"/>
          <w:sz w:val="24"/>
          <w:szCs w:val="24"/>
        </w:rPr>
        <w:t>is</w:t>
      </w:r>
      <w:r w:rsidR="00A43134">
        <w:rPr>
          <w:rFonts w:ascii="Times New Roman" w:hAnsi="Times New Roman" w:cs="Times New Roman"/>
          <w:sz w:val="24"/>
          <w:szCs w:val="24"/>
        </w:rPr>
        <w:t xml:space="preserve"> identical</w:t>
      </w:r>
      <w:r>
        <w:rPr>
          <w:rFonts w:ascii="Times New Roman" w:hAnsi="Times New Roman" w:cs="Times New Roman"/>
          <w:sz w:val="24"/>
          <w:szCs w:val="24"/>
        </w:rPr>
        <w:t>, due</w:t>
      </w:r>
      <w:r w:rsidRPr="00C27016">
        <w:rPr>
          <w:rFonts w:ascii="Times New Roman" w:hAnsi="Times New Roman" w:cs="Times New Roman"/>
          <w:sz w:val="24"/>
          <w:szCs w:val="24"/>
        </w:rPr>
        <w:t xml:space="preserve"> to the curvature of the bomb-C peak</w:t>
      </w:r>
      <w:r w:rsidR="00A43134">
        <w:rPr>
          <w:rFonts w:ascii="Times New Roman" w:hAnsi="Times New Roman" w:cs="Times New Roman"/>
          <w:sz w:val="24"/>
          <w:szCs w:val="24"/>
        </w:rPr>
        <w:t>.</w:t>
      </w:r>
      <w:r w:rsidR="00C2027D">
        <w:rPr>
          <w:rFonts w:ascii="Times New Roman" w:hAnsi="Times New Roman" w:cs="Times New Roman"/>
          <w:sz w:val="24"/>
          <w:szCs w:val="24"/>
        </w:rPr>
        <w:t xml:space="preserve"> </w:t>
      </w:r>
      <w:r w:rsidR="009E07D6">
        <w:rPr>
          <w:rFonts w:ascii="Times New Roman" w:hAnsi="Times New Roman" w:cs="Times New Roman"/>
          <w:sz w:val="24"/>
          <w:szCs w:val="24"/>
        </w:rPr>
        <w:t xml:space="preserve">This creates a challenge when using </w:t>
      </w:r>
      <w:r w:rsidR="009E07D6" w:rsidRPr="00C27016">
        <w:rPr>
          <w:rFonts w:ascii="Times New Roman" w:hAnsi="Times New Roman" w:cs="Times New Roman"/>
          <w:sz w:val="24"/>
          <w:szCs w:val="24"/>
        </w:rPr>
        <w:t>Δ</w:t>
      </w:r>
      <w:r w:rsidR="009E07D6" w:rsidRPr="00C27016">
        <w:rPr>
          <w:rFonts w:ascii="Times New Roman" w:hAnsi="Times New Roman" w:cs="Times New Roman"/>
          <w:sz w:val="24"/>
          <w:szCs w:val="24"/>
          <w:vertAlign w:val="superscript"/>
        </w:rPr>
        <w:t>14</w:t>
      </w:r>
      <w:r w:rsidR="009E07D6" w:rsidRPr="00C27016">
        <w:rPr>
          <w:rFonts w:ascii="Times New Roman" w:hAnsi="Times New Roman" w:cs="Times New Roman"/>
          <w:sz w:val="24"/>
          <w:szCs w:val="24"/>
        </w:rPr>
        <w:t>C</w:t>
      </w:r>
      <w:r w:rsidR="009E07D6">
        <w:rPr>
          <w:rFonts w:ascii="Times New Roman" w:hAnsi="Times New Roman" w:cs="Times New Roman"/>
          <w:sz w:val="24"/>
          <w:szCs w:val="24"/>
        </w:rPr>
        <w:t xml:space="preserve"> to infer intrinsic decomposition rates when observations are only available from a single point in time, as the same </w:t>
      </w:r>
      <w:r w:rsidR="009E07D6" w:rsidRPr="00C27016">
        <w:rPr>
          <w:rFonts w:ascii="Times New Roman" w:hAnsi="Times New Roman" w:cs="Times New Roman"/>
          <w:sz w:val="24"/>
          <w:szCs w:val="24"/>
        </w:rPr>
        <w:t>Δ</w:t>
      </w:r>
      <w:r w:rsidR="009E07D6" w:rsidRPr="00C27016">
        <w:rPr>
          <w:rFonts w:ascii="Times New Roman" w:hAnsi="Times New Roman" w:cs="Times New Roman"/>
          <w:sz w:val="24"/>
          <w:szCs w:val="24"/>
          <w:vertAlign w:val="superscript"/>
        </w:rPr>
        <w:t>14</w:t>
      </w:r>
      <w:r w:rsidR="009E07D6" w:rsidRPr="00C27016">
        <w:rPr>
          <w:rFonts w:ascii="Times New Roman" w:hAnsi="Times New Roman" w:cs="Times New Roman"/>
          <w:sz w:val="24"/>
          <w:szCs w:val="24"/>
        </w:rPr>
        <w:t>C</w:t>
      </w:r>
      <w:r w:rsidR="009E07D6">
        <w:rPr>
          <w:rFonts w:ascii="Times New Roman" w:hAnsi="Times New Roman" w:cs="Times New Roman"/>
          <w:sz w:val="24"/>
          <w:szCs w:val="24"/>
        </w:rPr>
        <w:t xml:space="preserve"> value could be fit to models with different rates. </w:t>
      </w:r>
      <w:r w:rsidR="000D39B1">
        <w:rPr>
          <w:rFonts w:ascii="Times New Roman" w:hAnsi="Times New Roman" w:cs="Times New Roman"/>
          <w:sz w:val="24"/>
          <w:szCs w:val="24"/>
        </w:rPr>
        <w:t>Trumbore (2000) gives</w:t>
      </w:r>
      <w:r w:rsidR="00C2027D">
        <w:rPr>
          <w:rFonts w:ascii="Times New Roman" w:hAnsi="Times New Roman" w:cs="Times New Roman"/>
          <w:sz w:val="24"/>
          <w:szCs w:val="24"/>
        </w:rPr>
        <w:t xml:space="preserve"> </w:t>
      </w:r>
      <w:r w:rsidR="00021BD7">
        <w:rPr>
          <w:rFonts w:ascii="Times New Roman" w:hAnsi="Times New Roman" w:cs="Times New Roman"/>
          <w:sz w:val="24"/>
          <w:szCs w:val="24"/>
        </w:rPr>
        <w:t>the example of</w:t>
      </w:r>
      <w:r w:rsidR="008C3D78" w:rsidRPr="008C3D78">
        <w:rPr>
          <w:rFonts w:ascii="Times New Roman" w:hAnsi="Times New Roman" w:cs="Times New Roman"/>
          <w:sz w:val="24"/>
          <w:szCs w:val="24"/>
        </w:rPr>
        <w:t xml:space="preserve"> </w:t>
      </w:r>
      <w:r w:rsidR="00021BD7">
        <w:rPr>
          <w:rFonts w:ascii="Times New Roman" w:hAnsi="Times New Roman" w:cs="Times New Roman"/>
          <w:sz w:val="24"/>
          <w:szCs w:val="24"/>
        </w:rPr>
        <w:t>a</w:t>
      </w:r>
      <w:r w:rsidR="000D39B1">
        <w:rPr>
          <w:rFonts w:ascii="Times New Roman" w:hAnsi="Times New Roman" w:cs="Times New Roman"/>
          <w:sz w:val="24"/>
          <w:szCs w:val="24"/>
        </w:rPr>
        <w:t xml:space="preserve"> </w:t>
      </w:r>
      <w:r w:rsidR="009E07D6">
        <w:rPr>
          <w:rFonts w:ascii="Times New Roman" w:hAnsi="Times New Roman" w:cs="Times New Roman"/>
          <w:sz w:val="24"/>
          <w:szCs w:val="24"/>
        </w:rPr>
        <w:t xml:space="preserve">two independent, </w:t>
      </w:r>
      <w:r w:rsidR="000D39B1">
        <w:rPr>
          <w:rFonts w:ascii="Times New Roman" w:hAnsi="Times New Roman" w:cs="Times New Roman"/>
          <w:sz w:val="24"/>
          <w:szCs w:val="24"/>
        </w:rPr>
        <w:t>homogenous pool</w:t>
      </w:r>
      <w:r w:rsidR="009E07D6">
        <w:rPr>
          <w:rFonts w:ascii="Times New Roman" w:hAnsi="Times New Roman" w:cs="Times New Roman"/>
          <w:sz w:val="24"/>
          <w:szCs w:val="24"/>
        </w:rPr>
        <w:t>s</w:t>
      </w:r>
      <w:r w:rsidR="000D39B1">
        <w:rPr>
          <w:rFonts w:ascii="Times New Roman" w:hAnsi="Times New Roman" w:cs="Times New Roman"/>
          <w:sz w:val="24"/>
          <w:szCs w:val="24"/>
        </w:rPr>
        <w:t xml:space="preserve"> of soil carbon</w:t>
      </w:r>
      <w:r w:rsidR="009E07D6">
        <w:rPr>
          <w:rFonts w:ascii="Times New Roman" w:hAnsi="Times New Roman" w:cs="Times New Roman"/>
          <w:sz w:val="24"/>
          <w:szCs w:val="24"/>
        </w:rPr>
        <w:t>, one</w:t>
      </w:r>
      <w:r w:rsidR="000D39B1">
        <w:rPr>
          <w:rFonts w:ascii="Times New Roman" w:hAnsi="Times New Roman" w:cs="Times New Roman"/>
          <w:sz w:val="24"/>
          <w:szCs w:val="24"/>
        </w:rPr>
        <w:t xml:space="preserve"> with an intrinsic decomposition rate (</w:t>
      </w:r>
      <w:r w:rsidR="000D39B1" w:rsidRPr="000D39B1">
        <w:rPr>
          <w:rFonts w:ascii="Times New Roman" w:hAnsi="Times New Roman" w:cs="Times New Roman"/>
          <w:i/>
          <w:sz w:val="24"/>
          <w:szCs w:val="24"/>
        </w:rPr>
        <w:t>k</w:t>
      </w:r>
      <w:r w:rsidR="000D39B1">
        <w:rPr>
          <w:rFonts w:ascii="Times New Roman" w:hAnsi="Times New Roman" w:cs="Times New Roman"/>
          <w:sz w:val="24"/>
          <w:szCs w:val="24"/>
        </w:rPr>
        <w:t xml:space="preserve">) of 6.6 years </w:t>
      </w:r>
      <w:r w:rsidR="008C3D78">
        <w:rPr>
          <w:rFonts w:ascii="Times New Roman" w:hAnsi="Times New Roman" w:cs="Times New Roman"/>
          <w:sz w:val="24"/>
          <w:szCs w:val="24"/>
        </w:rPr>
        <w:t xml:space="preserve">and </w:t>
      </w:r>
      <w:r w:rsidR="009E07D6">
        <w:rPr>
          <w:rFonts w:ascii="Times New Roman" w:hAnsi="Times New Roman" w:cs="Times New Roman"/>
          <w:sz w:val="24"/>
          <w:szCs w:val="24"/>
        </w:rPr>
        <w:t>the</w:t>
      </w:r>
      <w:r w:rsidR="000D39B1">
        <w:rPr>
          <w:rFonts w:ascii="Times New Roman" w:hAnsi="Times New Roman" w:cs="Times New Roman"/>
          <w:sz w:val="24"/>
          <w:szCs w:val="24"/>
        </w:rPr>
        <w:t xml:space="preserve"> </w:t>
      </w:r>
      <w:r w:rsidR="00021BD7">
        <w:rPr>
          <w:rFonts w:ascii="Times New Roman" w:hAnsi="Times New Roman" w:cs="Times New Roman"/>
          <w:sz w:val="24"/>
          <w:szCs w:val="24"/>
        </w:rPr>
        <w:t xml:space="preserve">second </w:t>
      </w:r>
      <w:r w:rsidR="000D39B1">
        <w:rPr>
          <w:rFonts w:ascii="Times New Roman" w:hAnsi="Times New Roman" w:cs="Times New Roman"/>
          <w:sz w:val="24"/>
          <w:szCs w:val="24"/>
        </w:rPr>
        <w:t xml:space="preserve">with </w:t>
      </w:r>
      <w:r w:rsidR="000D39B1" w:rsidRPr="000D39B1">
        <w:rPr>
          <w:rFonts w:ascii="Times New Roman" w:hAnsi="Times New Roman" w:cs="Times New Roman"/>
          <w:i/>
          <w:sz w:val="24"/>
          <w:szCs w:val="24"/>
        </w:rPr>
        <w:t>k</w:t>
      </w:r>
      <w:r w:rsidR="000D39B1">
        <w:rPr>
          <w:rFonts w:ascii="Times New Roman" w:hAnsi="Times New Roman" w:cs="Times New Roman"/>
          <w:sz w:val="24"/>
          <w:szCs w:val="24"/>
        </w:rPr>
        <w:t xml:space="preserve"> = 50 years</w:t>
      </w:r>
      <w:r w:rsidR="00021BD7">
        <w:rPr>
          <w:rFonts w:ascii="Times New Roman" w:hAnsi="Times New Roman" w:cs="Times New Roman"/>
          <w:sz w:val="24"/>
          <w:szCs w:val="24"/>
        </w:rPr>
        <w:t xml:space="preserve">, both of which would have a </w:t>
      </w:r>
      <w:r w:rsidR="00021BD7" w:rsidRPr="00C27016">
        <w:rPr>
          <w:rFonts w:ascii="Times New Roman" w:hAnsi="Times New Roman" w:cs="Times New Roman"/>
          <w:sz w:val="24"/>
          <w:szCs w:val="24"/>
        </w:rPr>
        <w:t>Δ</w:t>
      </w:r>
      <w:r w:rsidR="00021BD7" w:rsidRPr="00C27016">
        <w:rPr>
          <w:rFonts w:ascii="Times New Roman" w:hAnsi="Times New Roman" w:cs="Times New Roman"/>
          <w:sz w:val="24"/>
          <w:szCs w:val="24"/>
          <w:vertAlign w:val="superscript"/>
        </w:rPr>
        <w:t>14</w:t>
      </w:r>
      <w:r w:rsidR="00021BD7" w:rsidRPr="00C27016">
        <w:rPr>
          <w:rFonts w:ascii="Times New Roman" w:hAnsi="Times New Roman" w:cs="Times New Roman"/>
          <w:sz w:val="24"/>
          <w:szCs w:val="24"/>
        </w:rPr>
        <w:t>C</w:t>
      </w:r>
      <w:r w:rsidR="00021BD7">
        <w:rPr>
          <w:rFonts w:ascii="Times New Roman" w:hAnsi="Times New Roman" w:cs="Times New Roman"/>
          <w:sz w:val="24"/>
          <w:szCs w:val="24"/>
        </w:rPr>
        <w:t xml:space="preserve"> of</w:t>
      </w:r>
      <w:r w:rsidR="008C3D78">
        <w:rPr>
          <w:rFonts w:ascii="Times New Roman" w:hAnsi="Times New Roman" w:cs="Times New Roman"/>
          <w:sz w:val="24"/>
          <w:szCs w:val="24"/>
        </w:rPr>
        <w:t xml:space="preserve"> 166</w:t>
      </w:r>
      <w:r w:rsidR="008C3D78" w:rsidRPr="00C27016">
        <w:rPr>
          <w:rFonts w:ascii="Times New Roman" w:hAnsi="Times New Roman" w:cs="Times New Roman"/>
          <w:sz w:val="24"/>
          <w:szCs w:val="24"/>
        </w:rPr>
        <w:t>‰</w:t>
      </w:r>
      <w:r w:rsidR="00021BD7">
        <w:rPr>
          <w:rFonts w:ascii="Times New Roman" w:hAnsi="Times New Roman" w:cs="Times New Roman"/>
          <w:sz w:val="24"/>
          <w:szCs w:val="24"/>
        </w:rPr>
        <w:t xml:space="preserve"> in 1996. However, </w:t>
      </w:r>
      <w:r w:rsidR="00C87E07">
        <w:rPr>
          <w:rFonts w:ascii="Times New Roman" w:hAnsi="Times New Roman" w:cs="Times New Roman"/>
          <w:sz w:val="24"/>
          <w:szCs w:val="24"/>
        </w:rPr>
        <w:t xml:space="preserve">this </w:t>
      </w:r>
      <w:r w:rsidR="009E07D6">
        <w:rPr>
          <w:rFonts w:ascii="Times New Roman" w:hAnsi="Times New Roman" w:cs="Times New Roman"/>
          <w:sz w:val="24"/>
          <w:szCs w:val="24"/>
        </w:rPr>
        <w:t xml:space="preserve">multiple solution </w:t>
      </w:r>
      <w:r w:rsidR="00C87E07">
        <w:rPr>
          <w:rFonts w:ascii="Times New Roman" w:hAnsi="Times New Roman" w:cs="Times New Roman"/>
          <w:sz w:val="24"/>
          <w:szCs w:val="24"/>
        </w:rPr>
        <w:t xml:space="preserve">problem </w:t>
      </w:r>
      <w:r w:rsidR="002242E4">
        <w:rPr>
          <w:rFonts w:ascii="Times New Roman" w:hAnsi="Times New Roman" w:cs="Times New Roman"/>
          <w:sz w:val="24"/>
          <w:szCs w:val="24"/>
        </w:rPr>
        <w:t>can be mitigated</w:t>
      </w:r>
      <w:r w:rsidR="00C87E07">
        <w:rPr>
          <w:rFonts w:ascii="Times New Roman" w:hAnsi="Times New Roman" w:cs="Times New Roman"/>
          <w:sz w:val="24"/>
          <w:szCs w:val="24"/>
        </w:rPr>
        <w:t xml:space="preserve"> with </w:t>
      </w:r>
      <w:r w:rsidR="00021BD7">
        <w:rPr>
          <w:rFonts w:ascii="Times New Roman" w:hAnsi="Times New Roman" w:cs="Times New Roman"/>
          <w:sz w:val="24"/>
          <w:szCs w:val="24"/>
        </w:rPr>
        <w:t>multiple observations of ∆</w:t>
      </w:r>
      <w:r w:rsidR="00021BD7" w:rsidRPr="00021BD7">
        <w:rPr>
          <w:rFonts w:ascii="Times New Roman" w:hAnsi="Times New Roman" w:cs="Times New Roman"/>
          <w:sz w:val="24"/>
          <w:szCs w:val="24"/>
          <w:vertAlign w:val="superscript"/>
        </w:rPr>
        <w:t>14</w:t>
      </w:r>
      <w:r w:rsidR="00021BD7">
        <w:rPr>
          <w:rFonts w:ascii="Times New Roman" w:hAnsi="Times New Roman" w:cs="Times New Roman"/>
          <w:sz w:val="24"/>
          <w:szCs w:val="24"/>
        </w:rPr>
        <w:t>C over time</w:t>
      </w:r>
      <w:r w:rsidR="00C87E07">
        <w:rPr>
          <w:rFonts w:ascii="Times New Roman" w:hAnsi="Times New Roman" w:cs="Times New Roman"/>
          <w:sz w:val="24"/>
          <w:szCs w:val="24"/>
        </w:rPr>
        <w:t>, as the trajectory of ∆</w:t>
      </w:r>
      <w:r w:rsidR="00C87E07" w:rsidRPr="00C87E07">
        <w:rPr>
          <w:rFonts w:ascii="Times New Roman" w:hAnsi="Times New Roman" w:cs="Times New Roman"/>
          <w:sz w:val="24"/>
          <w:szCs w:val="24"/>
          <w:vertAlign w:val="superscript"/>
        </w:rPr>
        <w:t>14</w:t>
      </w:r>
      <w:r w:rsidR="00C87E07">
        <w:rPr>
          <w:rFonts w:ascii="Times New Roman" w:hAnsi="Times New Roman" w:cs="Times New Roman"/>
          <w:sz w:val="24"/>
          <w:szCs w:val="24"/>
        </w:rPr>
        <w:t>C in a soil carbon pool turning over every 6.6 years is quite different from one with an intrinsic decomposition rate of 50 years</w:t>
      </w:r>
      <w:r w:rsidR="00021BD7">
        <w:rPr>
          <w:rFonts w:ascii="Times New Roman" w:hAnsi="Times New Roman" w:cs="Times New Roman"/>
          <w:sz w:val="24"/>
          <w:szCs w:val="24"/>
        </w:rPr>
        <w:t xml:space="preserve"> </w:t>
      </w:r>
      <w:r w:rsidR="00753DB8" w:rsidRPr="00C27016">
        <w:rPr>
          <w:rFonts w:ascii="Times New Roman" w:hAnsi="Times New Roman" w:cs="Times New Roman"/>
          <w:sz w:val="24"/>
          <w:szCs w:val="24"/>
        </w:rPr>
        <w:fldChar w:fldCharType="begin" w:fldLock="1"/>
      </w:r>
      <w:r w:rsidR="00753DB8">
        <w:rPr>
          <w:rFonts w:ascii="Times New Roman" w:hAnsi="Times New Roman" w:cs="Times New Roman"/>
          <w:sz w:val="24"/>
          <w:szCs w:val="24"/>
        </w:rPr>
        <w:instrText>ADDIN CSL_CITATION {"citationItems":[{"id":"ITEM-1","itemData":{"DOI":"10.1007/s10533-011-9675-y","author":[{"dropping-particle":"","family":"Baisden","given":"W T","non-dropping-particle":"","parse-names":false,"suffix":""},{"dropping-particle":"","family":"Parfitt","given":"Roger L","non-dropping-particle":"","parse-names":false,"suffix":""},{"dropping-particle":"","family":"Ross","given":"Craig","non-dropping-particle":"","parse-names":false,"suffix":""},{"dropping-particle":"","family":"Schipper","given":"Louis A","non-dropping-particle":"","parse-names":false,"suffix":""},{"dropping-particle":"","family":"Canessa","given":"Silvia","non-dropping-particle":"","parse-names":false,"suffix":""}],"container-title":"Biogeochemistry","id":"ITEM-1","issued":{"date-parts":[["2013"]]},"page":"129-137","title":"Evaluating 50 years of time-series soil radiocarbon data : towards routine calculation of robust C residence times","type":"article-journal","volume":"112"},"uris":["http://www.mendeley.com/documents/?uuid=bd5cc42e-c382-4e3f-985c-b69eb0ac3b95","http://www.mendeley.com/documents/?uuid=5c018094-4d14-4473-bc92-6f0f0cc25b57"]}],"mendeley":{"formattedCitation":"(Baisden et al., 2013)","plainTextFormattedCitation":"(Baisden et al., 2013)","previouslyFormattedCitation":"(Baisden et al., 2013)"},"properties":{"noteIndex":0},"schema":"https://github.com/citation-style-language/schema/raw/master/csl-citation.json"}</w:instrText>
      </w:r>
      <w:r w:rsidR="00753DB8" w:rsidRPr="00C27016">
        <w:rPr>
          <w:rFonts w:ascii="Times New Roman" w:hAnsi="Times New Roman" w:cs="Times New Roman"/>
          <w:sz w:val="24"/>
          <w:szCs w:val="24"/>
        </w:rPr>
        <w:fldChar w:fldCharType="separate"/>
      </w:r>
      <w:r w:rsidR="00753DB8" w:rsidRPr="005238BD">
        <w:rPr>
          <w:rFonts w:ascii="Times New Roman" w:hAnsi="Times New Roman" w:cs="Times New Roman"/>
          <w:noProof/>
          <w:sz w:val="24"/>
          <w:szCs w:val="24"/>
        </w:rPr>
        <w:t>(Baisden et al., 2013)</w:t>
      </w:r>
      <w:r w:rsidR="00753DB8" w:rsidRPr="00C27016">
        <w:rPr>
          <w:rFonts w:ascii="Times New Roman" w:hAnsi="Times New Roman" w:cs="Times New Roman"/>
          <w:sz w:val="24"/>
          <w:szCs w:val="24"/>
        </w:rPr>
        <w:fldChar w:fldCharType="end"/>
      </w:r>
      <w:r w:rsidR="00753DB8" w:rsidRPr="00C27016">
        <w:rPr>
          <w:rFonts w:ascii="Times New Roman" w:hAnsi="Times New Roman" w:cs="Times New Roman"/>
          <w:sz w:val="24"/>
          <w:szCs w:val="24"/>
        </w:rPr>
        <w:t>.</w:t>
      </w:r>
    </w:p>
    <w:p w14:paraId="06F8765D" w14:textId="6CA58637" w:rsidR="00444BBA" w:rsidRPr="00CD44DA" w:rsidRDefault="00946C58" w:rsidP="00CD44DA">
      <w:pPr>
        <w:pStyle w:val="Normal1"/>
        <w:spacing w:before="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 xml:space="preserve">Soil archives </w:t>
      </w:r>
      <w:r w:rsidR="00CD44DA">
        <w:rPr>
          <w:rFonts w:ascii="Times New Roman" w:eastAsia="Arial Unicode MS" w:hAnsi="Times New Roman" w:cs="Times New Roman"/>
          <w:sz w:val="24"/>
          <w:szCs w:val="24"/>
        </w:rPr>
        <w:t>have proven</w:t>
      </w:r>
      <w:r>
        <w:rPr>
          <w:rFonts w:ascii="Times New Roman" w:eastAsia="Arial Unicode MS" w:hAnsi="Times New Roman" w:cs="Times New Roman"/>
          <w:sz w:val="24"/>
          <w:szCs w:val="24"/>
        </w:rPr>
        <w:t xml:space="preserve"> to be </w:t>
      </w:r>
      <w:r w:rsidRPr="00C27016">
        <w:rPr>
          <w:rFonts w:ascii="Times New Roman" w:eastAsia="Arial Unicode MS" w:hAnsi="Times New Roman" w:cs="Times New Roman"/>
          <w:sz w:val="24"/>
          <w:szCs w:val="24"/>
        </w:rPr>
        <w:t xml:space="preserve">a valuable resource </w:t>
      </w:r>
      <w:r w:rsidR="00CD44DA">
        <w:rPr>
          <w:rFonts w:ascii="Times New Roman" w:eastAsia="Arial Unicode MS" w:hAnsi="Times New Roman" w:cs="Times New Roman"/>
          <w:sz w:val="24"/>
          <w:szCs w:val="24"/>
        </w:rPr>
        <w:t xml:space="preserve">when </w:t>
      </w:r>
      <w:r>
        <w:rPr>
          <w:rFonts w:ascii="Times New Roman" w:eastAsia="Arial Unicode MS" w:hAnsi="Times New Roman" w:cs="Times New Roman"/>
          <w:sz w:val="24"/>
          <w:szCs w:val="24"/>
        </w:rPr>
        <w:t xml:space="preserve">constructing time series of bulk soil radiocarbon </w:t>
      </w:r>
      <w:r w:rsidRPr="00C27016">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ADDIN CSL_CITATION {"citationItems":[{"id":"ITEM-1","itemData":{"DOI":"10.1111/j.1365-2389.2008.01025.x","ISSN":"1351-0754","author":[{"dropping-particle":"","family":"Jenkinson","given":"D. S.","non-dropping-particle":"","parse-names":false,"suffix":""},{"dropping-particle":"","family":"Poulton","given":"P. R.","non-dropping-particle":"","parse-names":false,"suffix":""},{"dropping-particle":"","family":"Bryant","given":"C.","non-dropping-particle":"","parse-names":false,"suffix":""}],"container-title":"European Journal of Soil Science","id":"ITEM-1","issue":"2","issued":{"date-parts":[["2008"]]},"page":"391-399","title":"The turnover of organic carbon in subsoils. Part 1. Natural and bomb radiocarbon in soil profiles from the Rothamsted long-term field experiments","type":"article-journal","volume":"59"},"uris":["http://www.mendeley.com/documents/?uuid=25cf1aab-54b6-4f1c-bc55-7378f2a94e30","http://www.mendeley.com/documents/?uuid=51f10080-8c33-431b-9fd2-01a0bca2ebf6"]}],"mendeley":{"formattedCitation":"(Jenkinson et al., 2008)","plainTextFormattedCitation":"(Jenkinson et al., 2008)","previouslyFormattedCitation":"(Jenkinson et al., 2008)"},"properties":{"noteIndex":0},"schema":"https://github.com/citation-style-language/schema/raw/master/csl-citation.json"}</w:instrText>
      </w:r>
      <w:r w:rsidRPr="00C27016">
        <w:rPr>
          <w:rFonts w:ascii="Times New Roman" w:eastAsia="Arial Unicode MS" w:hAnsi="Times New Roman" w:cs="Times New Roman"/>
          <w:sz w:val="24"/>
          <w:szCs w:val="24"/>
        </w:rPr>
        <w:fldChar w:fldCharType="separate"/>
      </w:r>
      <w:r w:rsidRPr="005238BD">
        <w:rPr>
          <w:rFonts w:ascii="Times New Roman" w:eastAsia="Arial Unicode MS" w:hAnsi="Times New Roman" w:cs="Times New Roman"/>
          <w:noProof/>
          <w:sz w:val="24"/>
          <w:szCs w:val="24"/>
        </w:rPr>
        <w:t>(Jenkinson et al., 2008)</w:t>
      </w:r>
      <w:r w:rsidRPr="00C27016">
        <w:rPr>
          <w:rFonts w:ascii="Times New Roman" w:eastAsia="Arial Unicode MS" w:hAnsi="Times New Roman" w:cs="Times New Roman"/>
          <w:sz w:val="24"/>
          <w:szCs w:val="24"/>
        </w:rPr>
        <w:fldChar w:fldCharType="end"/>
      </w:r>
      <w:r>
        <w:rPr>
          <w:rFonts w:ascii="Times New Roman" w:eastAsia="Arial Unicode MS" w:hAnsi="Times New Roman" w:cs="Times New Roman"/>
          <w:sz w:val="24"/>
          <w:szCs w:val="24"/>
        </w:rPr>
        <w:t>.</w:t>
      </w:r>
      <w:r w:rsidR="00482AF3">
        <w:rPr>
          <w:rFonts w:ascii="Times New Roman" w:eastAsia="Arial Unicode MS" w:hAnsi="Times New Roman" w:cs="Times New Roman"/>
          <w:sz w:val="24"/>
          <w:szCs w:val="24"/>
        </w:rPr>
        <w:t xml:space="preserve"> </w:t>
      </w:r>
      <w:r w:rsidR="00CD44DA">
        <w:rPr>
          <w:rFonts w:ascii="Times New Roman" w:eastAsia="Arial Unicode MS" w:hAnsi="Times New Roman" w:cs="Times New Roman"/>
          <w:sz w:val="24"/>
          <w:szCs w:val="24"/>
        </w:rPr>
        <w:t xml:space="preserve">However, measuring </w:t>
      </w:r>
      <w:r w:rsidR="00CD44DA" w:rsidRPr="00C27016">
        <w:rPr>
          <w:rFonts w:ascii="Times New Roman" w:hAnsi="Times New Roman" w:cs="Times New Roman"/>
          <w:sz w:val="24"/>
          <w:szCs w:val="24"/>
        </w:rPr>
        <w:t>Δ</w:t>
      </w:r>
      <w:r w:rsidR="00CD44DA" w:rsidRPr="00C27016">
        <w:rPr>
          <w:rFonts w:ascii="Times New Roman" w:hAnsi="Times New Roman" w:cs="Times New Roman"/>
          <w:sz w:val="24"/>
          <w:szCs w:val="24"/>
          <w:vertAlign w:val="superscript"/>
        </w:rPr>
        <w:t>14</w:t>
      </w:r>
      <w:r w:rsidR="00CD44DA" w:rsidRPr="00C27016">
        <w:rPr>
          <w:rFonts w:ascii="Times New Roman" w:hAnsi="Times New Roman" w:cs="Times New Roman"/>
          <w:sz w:val="24"/>
          <w:szCs w:val="24"/>
        </w:rPr>
        <w:t>C-CO</w:t>
      </w:r>
      <w:r w:rsidR="00CD44DA" w:rsidRPr="00C27016">
        <w:rPr>
          <w:rFonts w:ascii="Times New Roman" w:hAnsi="Times New Roman" w:cs="Times New Roman"/>
          <w:sz w:val="24"/>
          <w:szCs w:val="24"/>
          <w:vertAlign w:val="subscript"/>
        </w:rPr>
        <w:t>2</w:t>
      </w:r>
      <w:r w:rsidR="00CD44DA">
        <w:rPr>
          <w:rFonts w:ascii="Times New Roman" w:hAnsi="Times New Roman" w:cs="Times New Roman"/>
          <w:sz w:val="24"/>
          <w:szCs w:val="24"/>
        </w:rPr>
        <w:t xml:space="preserve"> in incubations of archived soils </w:t>
      </w:r>
      <w:r w:rsidR="00CD44DA">
        <w:rPr>
          <w:rFonts w:ascii="Times New Roman" w:eastAsia="Arial Unicode MS" w:hAnsi="Times New Roman" w:cs="Times New Roman"/>
          <w:sz w:val="24"/>
          <w:szCs w:val="24"/>
        </w:rPr>
        <w:t xml:space="preserve">presents additional challenges. </w:t>
      </w:r>
      <w:r w:rsidR="00444BBA">
        <w:rPr>
          <w:rFonts w:ascii="Times New Roman" w:eastAsia="Arial Unicode MS" w:hAnsi="Times New Roman" w:cs="Times New Roman"/>
          <w:sz w:val="24"/>
          <w:szCs w:val="24"/>
        </w:rPr>
        <w:t>P</w:t>
      </w:r>
      <w:r w:rsidR="00482AF3">
        <w:rPr>
          <w:rFonts w:ascii="Times New Roman" w:eastAsia="Arial Unicode MS" w:hAnsi="Times New Roman" w:cs="Times New Roman"/>
          <w:sz w:val="24"/>
          <w:szCs w:val="24"/>
        </w:rPr>
        <w:t>rior to long term storage soils are commonly air-dried, but this process is known to</w:t>
      </w:r>
      <w:r w:rsidR="00482AF3" w:rsidRPr="00C27016">
        <w:rPr>
          <w:rFonts w:ascii="Times New Roman" w:eastAsia="Arial Unicode MS" w:hAnsi="Times New Roman" w:cs="Times New Roman"/>
          <w:sz w:val="24"/>
          <w:szCs w:val="24"/>
        </w:rPr>
        <w:t xml:space="preserve"> </w:t>
      </w:r>
      <w:r w:rsidR="00482AF3">
        <w:rPr>
          <w:rFonts w:ascii="Times New Roman" w:eastAsia="Arial Unicode MS" w:hAnsi="Times New Roman" w:cs="Times New Roman"/>
          <w:sz w:val="24"/>
          <w:szCs w:val="24"/>
        </w:rPr>
        <w:t>affect</w:t>
      </w:r>
      <w:r w:rsidR="00482AF3" w:rsidRPr="00C27016">
        <w:rPr>
          <w:rFonts w:ascii="Times New Roman" w:eastAsia="Arial Unicode MS" w:hAnsi="Times New Roman" w:cs="Times New Roman"/>
          <w:sz w:val="24"/>
          <w:szCs w:val="24"/>
        </w:rPr>
        <w:t xml:space="preserve"> biological, physical, and chemical properties </w:t>
      </w:r>
      <w:r w:rsidR="00482AF3">
        <w:rPr>
          <w:rFonts w:ascii="Times New Roman" w:eastAsia="Arial Unicode MS" w:hAnsi="Times New Roman" w:cs="Times New Roman"/>
          <w:sz w:val="24"/>
          <w:szCs w:val="24"/>
        </w:rPr>
        <w:t xml:space="preserve">of the soil </w:t>
      </w:r>
      <w:r w:rsidR="00482AF3" w:rsidRPr="00C27016">
        <w:rPr>
          <w:rFonts w:ascii="Times New Roman" w:eastAsia="Arial Unicode MS" w:hAnsi="Times New Roman" w:cs="Times New Roman"/>
          <w:sz w:val="24"/>
          <w:szCs w:val="24"/>
        </w:rPr>
        <w:fldChar w:fldCharType="begin" w:fldLock="1"/>
      </w:r>
      <w:r w:rsidR="00482AF3">
        <w:rPr>
          <w:rFonts w:ascii="Times New Roman" w:eastAsia="Arial Unicode MS" w:hAnsi="Times New Roman" w:cs="Times New Roman"/>
          <w:sz w:val="24"/>
          <w:szCs w:val="24"/>
        </w:rPr>
        <w:instrText>ADDIN CSL_CITATION {"citationItems":[{"id":"ITEM-1","itemData":{"author":[{"dropping-particle":"","family":"Bartlett","given":"R.","non-dropping-particle":"","parse-names":false,"suffix":""},{"dropping-particle":"","family":"James","given":"B.","non-dropping-particle":"","parse-names":false,"suffix":""}],"container-title":"Soil Sci. Soc. Am. J","id":"ITEM-1","issued":{"date-parts":[["1980"]]},"page":"721-724","title":"Studying Dried, Stored Soil Samples — Some Pitfalls","type":"article-journal","volume":"44"},"uris":["http://www.mendeley.com/documents/?uuid=b62f1689-cd30-40f3-b47d-eee96b25072d","http://www.mendeley.com/documents/?uuid=da86acf6-6ebd-46ad-bde6-c51e4562645e"]},{"id":"ITEM-2","itemData":{"DOI":"10.1016/j.geoderma.2019.01.053","ISSN":"0016-7061","author":[{"dropping-particle":"","family":"Jones","given":"Andrew R","non-dropping-particle":"","parse-names":false,"suffix":""},{"dropping-particle":"","family":"Gupta","given":"Vadakattu V S R","non-dropping-particle":"","parse-names":false,"suffix":""},{"dropping-particle":"","family":"Buckley","given":"Scott","non-dropping-particle":"","parse-names":false,"suffix":""},{"dropping-particle":"","family":"Brackin","given":"Richard","non-dropping-particle":"","parse-names":false,"suffix":""},{"dropping-particle":"","family":"Schmidt","given":"Susanne","non-dropping-particle":"","parse-names":false,"suffix":""},{"dropping-particle":"","family":"Dalal","given":"Ram C","non-dropping-particle":"","parse-names":false,"suffix":""}],"container-title":"Geoderma","id":"ITEM-2","issued":{"date-parts":[["2019"]]},"page":"12-19","publisher":"Elsevier","title":"Drying and rewetting effects on organic matter mineralisation of contrasting soils after 36 years of storage","type":"article-journal","volume":"342"},"uris":["http://www.mendeley.com/documents/?uuid=0f9eb782-a0a8-4990-be23-661e0ca71bb6","http://www.mendeley.com/documents/?uuid=f98710bb-e377-48ee-bcf4-1f1491254570"]}],"mendeley":{"formattedCitation":"(Bartlett &amp; James, 1980; Jones et al., 2019)","plainTextFormattedCitation":"(Bartlett &amp; James, 1980; Jones et al., 2019)","previouslyFormattedCitation":"(Bartlett &amp; James, 1980; Jones et al., 2019)"},"properties":{"noteIndex":0},"schema":"https://github.com/citation-style-language/schema/raw/master/csl-citation.json"}</w:instrText>
      </w:r>
      <w:r w:rsidR="00482AF3" w:rsidRPr="00C27016">
        <w:rPr>
          <w:rFonts w:ascii="Times New Roman" w:eastAsia="Arial Unicode MS" w:hAnsi="Times New Roman" w:cs="Times New Roman"/>
          <w:sz w:val="24"/>
          <w:szCs w:val="24"/>
        </w:rPr>
        <w:fldChar w:fldCharType="separate"/>
      </w:r>
      <w:r w:rsidR="00482AF3" w:rsidRPr="00C27016">
        <w:rPr>
          <w:rFonts w:ascii="Times New Roman" w:eastAsia="Arial Unicode MS" w:hAnsi="Times New Roman" w:cs="Times New Roman"/>
          <w:noProof/>
          <w:sz w:val="24"/>
          <w:szCs w:val="24"/>
        </w:rPr>
        <w:t>(Bartlett &amp; James, 1980; Jones et al., 2019)</w:t>
      </w:r>
      <w:r w:rsidR="00482AF3" w:rsidRPr="00C27016">
        <w:rPr>
          <w:rFonts w:ascii="Times New Roman" w:eastAsia="Arial Unicode MS" w:hAnsi="Times New Roman" w:cs="Times New Roman"/>
          <w:sz w:val="24"/>
          <w:szCs w:val="24"/>
        </w:rPr>
        <w:fldChar w:fldCharType="end"/>
      </w:r>
      <w:r w:rsidR="00CD44DA">
        <w:rPr>
          <w:rFonts w:ascii="Times New Roman" w:eastAsia="Arial Unicode MS" w:hAnsi="Times New Roman" w:cs="Times New Roman"/>
          <w:sz w:val="24"/>
          <w:szCs w:val="24"/>
        </w:rPr>
        <w:t xml:space="preserve">. </w:t>
      </w:r>
      <w:r w:rsidR="00C02DE9">
        <w:rPr>
          <w:rFonts w:ascii="Times New Roman" w:eastAsia="Arial Unicode MS" w:hAnsi="Times New Roman" w:cs="Times New Roman"/>
          <w:sz w:val="24"/>
          <w:szCs w:val="24"/>
        </w:rPr>
        <w:t xml:space="preserve">While the impact of air-drying and rewetting on soil respiration rates has been extensively studied </w:t>
      </w:r>
      <w:r w:rsidR="00C02DE9" w:rsidRPr="00C27016">
        <w:rPr>
          <w:rFonts w:ascii="Times New Roman" w:hAnsi="Times New Roman" w:cs="Times New Roman"/>
          <w:sz w:val="24"/>
          <w:szCs w:val="24"/>
        </w:rPr>
        <w:fldChar w:fldCharType="begin" w:fldLock="1"/>
      </w:r>
      <w:r w:rsidR="00C02DE9">
        <w:rPr>
          <w:rFonts w:ascii="Times New Roman" w:hAnsi="Times New Roman" w:cs="Times New Roman"/>
          <w:sz w:val="24"/>
          <w:szCs w:val="24"/>
        </w:rPr>
        <w:instrText>ADDIN CSL_CITATION {"citationItems":[{"id":"ITEM-1","itemData":{"DOI":"10.1111/j.1365-2486.2008.01681.x","ISSN":"13541013","abstract":"In the next decades, many soils will be subjected to increased drying/ wetting cycles or modified water availability considering predicted global changes in precipitation and evapotranspiration. These changes may affect the turnover of C and N in soils, but the direction of changes is still unclear. The aim of the review is the evaluation of involved mechanisms, the intensity, duration and frequency of drying and wetting for the mineralization and fluxes of C and N in terrestrial soils. Controversial study results require a reappraisal of the present understanding that wetting of dry soils induces significant losses of soil C and N. The generally observed pulse in net C and N mineralization following wetting of dry soil (hereafter wetting pulse) is short-lived and often exceeds the mineralization rate of a respective moist control. Accumulated microbial and plant necromass, lysis of live microbial cells, release of compatible solutes and exposure of previously protected organic matter may explain the additional mineralization during wetting of soils. Frequent drying and wetting diminishes the wetting pulse due to limitation of the accessible organic matter pool. Despite wetting pulses, cumulative C and N mineralization (defined here as total net mineralization during drying and wetting) are mostly smaller compared with soil with optimum moisture, indicating that wetting pulses cannot compensate for small mineralization rates during drought periods. Cumulative mineralization is linked to the intensity and duration of drying, the amount and distribution of precipitation, temperature, hydrophobicity and the accessible pool of organic substrates. Wetting pulses may have  a significant impact on C and N mineralization or flux rates in arid and semiarid regions but have less impact in humid and subhumid regions on annual time scales. Organic matter stocks are progressively preserved with increasing duration and intensity of drought periods; however, fires enhance the risk of organic matter losses under dry conditions. Hydrophobicity of organic surfaces is an important mechanism that reduces C and N mineralization in topsoils after precipitation. Hence, mineralization in forest soils with hydrophobic organic horizons is presumably stronger limited than in grassland or farmland soils. Even in humid regions, suboptimal water potentials often restrict microbial activity in topsoils during growing seasons. Increasing summer droughts will likely reduce the minerali…","author":[{"dropping-particle":"","family":"Borken","given":"Werner","non-dropping-particle":"","parse-names":false,"suffix":""},{"dropping-particle":"","family":"Matzner","given":"Egbert","non-dropping-particle":"","parse-names":false,"suffix":""}],"container-title":"Global Change Biology","id":"ITEM-1","issue":"4","issued":{"date-parts":[["2009"]]},"page":"808-824","title":"Reappraisal of drying and wetting effects on C and N mineralization and fluxes in soils","type":"article-journal","volume":"15"},"uris":["http://www.mendeley.com/documents/?uuid=34b3d6b1-437d-4e15-b974-fa64a99820f7","http://www.mendeley.com/documents/?uuid=013e81b2-460f-4fef-8874-91a585009b5a"]},{"id":"ITEM-2","itemData":{"DOI":"10.1146/annurev-ecolsys-110617-062614","ISSN":"1543-592X","abstract":"Throughout Earth's history, drought has been a common crisis in terrestrial ecosystems; in human societies, it can cause famine, one of the Four Horsemen of the apocalypse. As the global hydrological cycle intensifies with global warming, deeper droughts and rewetting will alter, and possibly transform, ecosystems. Soil communities, however, seem more tolerant than plants or animals are to water stress—the main effects, in fact, on soil processes appear to be limited diffusion and the limited supply of resources to soil organisms. Thus, the rains that end a drought not only release soil microbes from stress but also create a resource pulse that fuels soil microbial activity. It remains unclear whether the effects of drought on soil processes result from drying or rewetting. It is also unclear whether the flush of activity on rewetting is driven by microbial growth or by the physical/chemical processes that mobilize organic matter. In this review, I discuss how soil water, and the lack of it, regulates microbial life and biogeochemical processes. I first focus on organismal-level responses and then consider how these influence whole-soil organic matter dynamics. A final focus is on how to incorporate these effects into Earth System models that can effectively capture dry–wet cycling.","author":[{"dropping-particle":"","family":"Schimel","given":"Joshua P.","non-dropping-particle":"","parse-names":false,"suffix":""}],"container-title":"Annual Review of Ecology, Evolution, and Systematics","id":"ITEM-2","issue":"1","issued":{"date-parts":[["2018"]]},"page":"409-432","title":"Life in Dry Soils: Effects of Drought on Soil Microbial Communities and Processes","type":"article-journal","volume":"49"},"uris":["http://www.mendeley.com/documents/?uuid=0d219e77-15fe-4a86-887f-674e6415bc7b","http://www.mendeley.com/documents/?uuid=f3facb79-023d-4672-8e8d-15826bcc72d2"]}],"mendeley":{"formattedCitation":"(Borken &amp; Matzner, 2009; Schimel, 2018)","plainTextFormattedCitation":"(Borken &amp; Matzner, 2009; Schimel, 2018)","previouslyFormattedCitation":"(Borken &amp; Matzner, 2009; Schimel, 2018)"},"properties":{"noteIndex":0},"schema":"https://github.com/citation-style-language/schema/raw/master/csl-citation.json"}</w:instrText>
      </w:r>
      <w:r w:rsidR="00C02DE9" w:rsidRPr="00C27016">
        <w:rPr>
          <w:rFonts w:ascii="Times New Roman" w:hAnsi="Times New Roman" w:cs="Times New Roman"/>
          <w:sz w:val="24"/>
          <w:szCs w:val="24"/>
        </w:rPr>
        <w:fldChar w:fldCharType="separate"/>
      </w:r>
      <w:r w:rsidR="00C02DE9" w:rsidRPr="00C27016">
        <w:rPr>
          <w:rFonts w:ascii="Times New Roman" w:hAnsi="Times New Roman" w:cs="Times New Roman"/>
          <w:noProof/>
          <w:sz w:val="24"/>
          <w:szCs w:val="24"/>
        </w:rPr>
        <w:t>(Borken &amp; Matzner, 2009; Schimel, 2018)</w:t>
      </w:r>
      <w:r w:rsidR="00C02DE9" w:rsidRPr="00C27016">
        <w:rPr>
          <w:rFonts w:ascii="Times New Roman" w:hAnsi="Times New Roman" w:cs="Times New Roman"/>
          <w:sz w:val="24"/>
          <w:szCs w:val="24"/>
        </w:rPr>
        <w:fldChar w:fldCharType="end"/>
      </w:r>
      <w:r w:rsidR="00C02DE9">
        <w:rPr>
          <w:rFonts w:ascii="Times New Roman" w:eastAsia="Arial Unicode MS" w:hAnsi="Times New Roman" w:cs="Times New Roman"/>
          <w:sz w:val="24"/>
          <w:szCs w:val="24"/>
        </w:rPr>
        <w:t>, t</w:t>
      </w:r>
      <w:r w:rsidR="00CD44DA">
        <w:rPr>
          <w:rFonts w:ascii="Times New Roman" w:eastAsia="Arial Unicode MS" w:hAnsi="Times New Roman" w:cs="Times New Roman"/>
          <w:sz w:val="24"/>
          <w:szCs w:val="24"/>
        </w:rPr>
        <w:t xml:space="preserve">he potential effects of air-drying, long-term storage, and rewetting on </w:t>
      </w:r>
      <w:r w:rsidR="00CD44DA" w:rsidRPr="00C27016">
        <w:rPr>
          <w:rFonts w:ascii="Times New Roman" w:hAnsi="Times New Roman" w:cs="Times New Roman"/>
          <w:sz w:val="24"/>
          <w:szCs w:val="24"/>
        </w:rPr>
        <w:t>Δ</w:t>
      </w:r>
      <w:r w:rsidR="00CD44DA" w:rsidRPr="00C27016">
        <w:rPr>
          <w:rFonts w:ascii="Times New Roman" w:hAnsi="Times New Roman" w:cs="Times New Roman"/>
          <w:sz w:val="24"/>
          <w:szCs w:val="24"/>
          <w:vertAlign w:val="superscript"/>
        </w:rPr>
        <w:t>14</w:t>
      </w:r>
      <w:r w:rsidR="00CD44DA" w:rsidRPr="00C27016">
        <w:rPr>
          <w:rFonts w:ascii="Times New Roman" w:hAnsi="Times New Roman" w:cs="Times New Roman"/>
          <w:sz w:val="24"/>
          <w:szCs w:val="24"/>
        </w:rPr>
        <w:t>C-CO</w:t>
      </w:r>
      <w:r w:rsidR="00CD44DA" w:rsidRPr="00C27016">
        <w:rPr>
          <w:rFonts w:ascii="Times New Roman" w:hAnsi="Times New Roman" w:cs="Times New Roman"/>
          <w:sz w:val="24"/>
          <w:szCs w:val="24"/>
          <w:vertAlign w:val="subscript"/>
        </w:rPr>
        <w:t>2</w:t>
      </w:r>
      <w:r w:rsidR="00CD44DA">
        <w:rPr>
          <w:rFonts w:ascii="Times New Roman" w:hAnsi="Times New Roman" w:cs="Times New Roman"/>
          <w:sz w:val="24"/>
          <w:szCs w:val="24"/>
        </w:rPr>
        <w:t xml:space="preserve"> has yet to be documented. </w:t>
      </w:r>
    </w:p>
    <w:p w14:paraId="00D2571D" w14:textId="343003AF" w:rsidR="006B0985" w:rsidRDefault="006B0985" w:rsidP="006B0985">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Incubation of soils following air-drying and rewetting typically leads to a rapid increase in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production, ranging from hours to several days (the Birch effect), before returning to equilibrium respiration rates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{"citationItems":[{"id":"ITEM-1","itemData":{"DOI":"10.1007/BF01343734","ISSN":"15735036","abstract":"Respirometer experiments show that when a dry soil is moistened a characteristic pattern of decomposition occurs in which an initial period of relatively rapid decomposition (Stage 1) falls, during a few days, to a slow steady rate (Stage 2). This pattern is repetitive with successive dryings and rewettings and is common to all soils so far investigated. The magnitude of decomposition depends in the percent carbon in the soil and on the drying conditions, air-drying being less effective than oven-drying. Decomposition during Stage 1 conforms approximately to a first-order reaction and proportionate amounts of nitrogen are mineralised. A similar pattern of decomposition occurs under field conditions throughout successive wet and dry seasons. Evidence is presented to show that decomposition involves direct microbial attack of the solid organic substrate and that the recurrent pattern of decomposition is due to the state in which the microbial population is left after drying and its subsequent behaviour on rewetting. The rapid decline in the rate of decomposition on rewetting (Stage 1) appears not to involve (1) the development of toxic conditions, (b) physical changes in the soil (since similar patterns of decomposition also occur with organic material alone or in sand) or (c) rapid decomposition of organic material made soluble by drying. The operation and repetition of this pattern of decomposition in the field has important consequences in the rundown of soil carbon and the mineralisation of soil nitrogen particularly where well-defined wet and dry seasons occur. These consequences are discussed in relation to climate and certain agricultural practices. © 1959 Martinus Nijhoff.","author":[{"dropping-particle":"","family":"Birch","given":"H. F.","non-dropping-particle":"","parse-names":false,"suffix":""}],"container-title":"Plant and Soil","id":"ITEM-1","issue":"1","issued":{"date-parts":[["1958"]]},"page":"9-31","title":"The effect of soil drying on humus decomposition and nitrogen availability","type":"article-journal","volume":"10"},"uris":["http://www.mendeley.com/documents/?uuid=4aec5d39-0cc1-466b-9e3f-721d7943ba8b","http://www.mendeley.com/documents/?uuid=7dd10f80-2073-41d0-8418-ff5934969390"]}],"mendeley":{"formattedCitation":"(Birch, 1958)","plainTextFormattedCitation":"(Birch, 1958)","previouslyFormattedCitation":"(Birch, 1958)"},"properties":{"noteIndex":0},"schema":"https://github.com/citation-style-language/schema/raw/master/csl-citation.json"}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(Birch, 1958)</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Hypothesized sources for the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released following soil rewetting include the lysis of microbial cells subjected to osmotic shock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{"citationItems":[{"id":"ITEM-1","itemData":{"DOI":"10.1016/j.soilbio.2016.03.021","ISSN":"0038-0717","author":[{"dropping-particle":"","family":"Warren","given":"Charles R","non-dropping-particle":"","parse-names":false,"suffix":""}],"container-title":"Soil Biology and Biochemistry","id":"ITEM-1","issued":{"date-parts":[["2016"]]},"page":"54-63","publisher":"Elsevier Ltd","title":"Do microbial osmolytes or extracellular depolymerisation products accumulate as soil dries?","type":"article-journal","volume":"98"},"uris":["http://www.mendeley.com/documents/?uuid=1cdafa52-1c7d-46d8-a756-3963ce1e3397","http://www.mendeley.com/documents/?uuid=80765e8b-d337-4ccc-912b-cdad719acf9f"]},{"id":"ITEM-2","itemData":{"DOI":"10.1016/j.soilbio.2008.08.013","ISSN":"00380717","abstract":"To better understand the nature of the C flush that follows the rewetting of dry soil, we chemically characterized the water soluble pools following rewetting of soil dried to several different water potentials. To assess the impact that historical soil water status has on the size of the rewetting labile soluble pool, a laboratory water stress gradient was applied to soils that were collected from drought-prone and irrigated tallgrass prairie soils. In the laboratory, soils were either incubated at -33 kPa or dried steadily over a 0.6, 1, 2, or 3 day period to -1.5, -4, -15, and -45 MPa respectively. On the 4th day, samples were wetted back to -33 kPa and immediately assayed for soluble, microbial, or respiratory pools of carbon. After extraction, samples were also assayed using NMR, GC-MS, and LC-MS to assess carbohydrate, amino acid, osmolyte and sugar pools. The greater the degree of drying before rewetting was associated with greater concentrations of microbial, soluble and respiratory pools of carbon, increasing by 50, 400 and 250%, respectively, in the most water stressed compared to continuously moist soil. Compared to drought-prone soils, the amount of soluble C released as a result of rewetting was 30 to 50% greater in soils that were irrigated for 11 years. The pool of organics was not completely characterized and only small amounts of TBDMS and TMS derived compounds accounting for 2-4% of the soluble C pool were detected. In contrast, oligosaccharides constituted approximately 20-25% of the sample C. Our results suggest that the flush of C following wetting of a dry soil is not dominated by common microbial osmolytes (e.g. proline, glycine betaine, ectoine, glycerol, mannitol, trehalose). In light of this finding more research is needed to better understand the adaptations that microbial communities utilize to respond to the rewetting of dried soil. © 2008 Elsevier Ltd. All rights reserved.","author":[{"dropping-particle":"","family":"Williams","given":"Mark A.","non-dropping-particle":"","parse-names":false,"suffix":""},{"dropping-particle":"","family":"Xia","given":"Kang","non-dropping-particle":"","parse-names":false,"suffix":""}],"container-title":"Soil Biology and Biochemistry","id":"ITEM-2","issue":"1","issued":{"date-parts":[["2009"]]},"page":"21-28","publisher":"Elsevier Ltd","title":"Characterization of the water soluble soil organic pool following the rewetting of dry soil in a drought-prone tallgrass prairie","type":"article-journal","volume":"41"},"uris":["http://www.mendeley.com/documents/?uuid=ae9d631e-c400-4c13-b5f0-3822ab5fe8d0","http://www.mendeley.com/documents/?uuid=0ec2419b-c157-4122-9e7b-151f5b9b272c"]}],"mendeley":{"formattedCitation":"(Warren, 2016; Williams &amp; Xia, 2009)","plainTextFormattedCitation":"(Warren, 2016; Williams &amp; Xia, 2009)","previouslyFormattedCitation":"(Warren, 2016; Williams &amp; Xia, 2009)"},"properties":{"noteIndex":0},"schema":"https://github.com/citation-style-language/schema/raw/master/csl-citation.json"}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(Warren, 2016; Williams &amp; Xia, 2009)</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disruption of soil aggregates, osmolytes released from</w:t>
      </w:r>
      <w:r>
        <w:rPr>
          <w:rFonts w:ascii="Times New Roman" w:hAnsi="Times New Roman" w:cs="Times New Roman"/>
          <w:sz w:val="24"/>
          <w:szCs w:val="24"/>
        </w:rPr>
        <w:t xml:space="preserve"> microbes emerging from aridity-</w:t>
      </w:r>
      <w:r w:rsidRPr="00C27016">
        <w:rPr>
          <w:rFonts w:ascii="Times New Roman" w:hAnsi="Times New Roman" w:cs="Times New Roman"/>
          <w:sz w:val="24"/>
          <w:szCs w:val="24"/>
        </w:rPr>
        <w:t xml:space="preserve">induced dormancy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{"citationItems":[{"id":"ITEM-1","itemData":{"DOI":"10.2136/sssaj2003.0798","abstract":"The rapid rewetting of a dry soil often yields a pulse in soil CO2 production that persists for 2 to 6 d. This phenomenon is a common occurrence in surface soils, yet the mechanism responsible for producing the CO2 pulse has not been positively identified. We studied the effects of a single drying and rewetting event on soil C pools, to identify which specific C substrates are mineralized to produce the observed pulse in respiration rates. We labeled two soils with 14C-glucose and measured the enrichment and pool sizes of the released CO2, extractable biomass C, and extractable soil organic matter (SOM-C) throughout a drying and rewetting cycle. After rewetting, respiration rates were 475 to 370% higher than the rates measured before the dry down. The enrichment of the released CO2 was 1 to 2 times higher than the enrichment of the extractable biomass C pools and 10 to 20 times higher than the enrichment of the extractable organic C, suggesting that the CO2 pulse was generated entirely from the mineralization of microbial biomass C. However, there was no evidence of substantial microbial cell lysis on rewetting. We hypothesize that the pulse of CO2 is generated by the rapid mineralization of highly enriched intracellular compounds as a response by the microbial biomass to the rapid increase in soil water potentials. The drying and rewetting process also releases physically protected SOM, increasing the amount of extractable SOM-C by up to 200%. The additional SOM-C rendered soluble by the rewetting event did not contribute substantially to the rewetting CO2 pulse. Overall, the rapid rewetting of a dry soil can influence soil C cycling in the short-term, by increasing the microbial mineralization of cytoplasmic solutes, and in the longer-term, by decreasing the total amount of SOM physically protected within microaggregates.","author":[{"dropping-particle":"","family":"Fierer","given":"N.","non-dropping-particle":"","parse-names":false,"suffix":""},{"dropping-particle":"","family":"Schimel","given":"J.P.","non-dropping-particle":"","parse-names":false,"suffix":""}],"container-title":"Soil Science Society of America Journal","id":"ITEM-1","issue":"3","issued":{"date-parts":[["2003"]]},"page":"798-805","title":"A Proposed Mechanism for the Pulse in Carbon Dioxide Production Commonly Observed Following the Rapid Rewetting of a Dry Soil","type":"article-journal","volume":"67"},"uris":["http://www.mendeley.com/documents/?uuid=c4e02876-ed5f-4210-9f2c-32aca31ce07f","http://www.mendeley.com/documents/?uuid=44ecf1a5-0a59-46a3-8988-c7c4c1a698ec"]}],"mendeley":{"formattedCitation":"(Fierer &amp; Schimel, 2003)","plainTextFormattedCitation":"(Fierer &amp; Schimel, 2003)","previouslyFormattedCitation":"(Fierer &amp; Schimel, 2003)"},"properties":{"noteIndex":0},"schema":"https://github.com/citation-style-language/schema/raw/master/csl-citation.json"}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(Fierer &amp; Schimel, 2003)</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or desorption of mineral-associated organic matter, and typically represent a</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 xml:space="preserve">combination of these sources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{"citationItems":[{"id":"ITEM-1","itemData":{"DOI":"10.1007/s10533-020-00645-y","ISBN":"0123456789","ISSN":"1573515X","abstract":"Wetting of dry soil triggers a pulse of microbial respiration that has been attributed to two broad mechanisms: (1) recycling of microbial cellular carbon (C), and (2) consumption of extracellular organic C made available to microbes by wetting. We evaluated these two mechanisms by measuring cumulative CO2 release, changes in the size and chemical composition of microbial biomass, and water-extractable organic carbon (WEOC) concentrations following artificial wetting of soil sampled from two depths at each of seven sites across California spanning a range of geologic parent materials. In samples collected from surface soil (0–10 cm depth), we found that cumulative CO2 release after wetting in the laboratory was most strongly correlated with microbial biomass. In these samples, the relative abundance of trehalose—a putative microbial osmolyte—decreased from 25% (SD = 12) to 16% (SD = 7) of the chloroform-labile fraction of the microbial biomass after wetting. This suggested a role for osmolyte consumption in generating the respiration pulse. In subsoil (40–50 cm depth, or sampled at contact with rock), however, the cumulative CO2 release after wetting was unrelated to microbial biomass and more strongly related to WEOC. The concentrations of selected microbial biomass constituents (e.g. trehalose and amino acids) in WEOC were negligible (&lt; 1%), suggesting that cell lysis was not important in generating WEOC in this study. The amount of WEOC relative to total organic C was greatest in subsoil, and negatively related to ammonium oxalate-extractable Fe (Pearson’s R = 0.42, p &lt; 0.01), suggesting a role for soil mineralogical properties in controlling WEOC release. Together, these findings suggest that microbial cellular C and extracellular C jointly contribute to the respiration pulse, and that their relative contribution depends on depth.","author":[{"dropping-particle":"","family":"Slessarev","given":"Eric W.","non-dropping-particle":"","parse-names":false,"suffix":""},{"dropping-particle":"","family":"Lin","given":"Yang","non-dropping-particle":"","parse-names":false,"suffix":""},{"dropping-particle":"","family":"Jiménez","given":"Beatrix Y.","non-dropping-particle":"","parse-names":false,"suffix":""},{"dropping-particle":"","family":"Homyak","given":"Peter M.","non-dropping-particle":"","parse-names":false,"suffix":""},{"dropping-particle":"","family":"Chadwick","given":"Oliver A.","non-dropping-particle":"","parse-names":false,"suffix":""},{"dropping-particle":"","family":"D’Antonio","given":"Carla M.","non-dropping-particle":"","parse-names":false,"suffix":""},{"dropping-particle":"","family":"Schimel","given":"Joshua P.","non-dropping-particle":"","parse-names":false,"suffix":""}],"container-title":"Biogeochemistry","id":"ITEM-1","issue":"3","issued":{"date-parts":[["2020"]]},"page":"307-324","title":"Cellular and extracellular C contributions to respiration after wetting dry soil","type":"article-journal","volume":"147"},"uris":["http://www.mendeley.com/documents/?uuid=1ad23cf0-b5ac-4956-bf6e-7cf1d6c54047","http://www.mendeley.com/documents/?uuid=cbfd053f-fe46-413a-9211-0090cf162ce3"]},{"id":"ITEM-2","itemData":{"DOI":"10.1016/j.soilbio.2014.10.018","ISSN":"00380717","abstract":"Air-drying and wetting of air-dried soil samples with water (i.e., rewetting) are widely used sample treatments in soil analyses. It is recognized that both air-drying and rewetting of soil samples affect the characteristics of organic matter (OM), but systematic evaluations are scarce. In this review, we synthesize what is known in the scientific literature concerning the types and magnitudes of effects resulting from air-drying and rewetting with respect to i) characteristics of aggregate-associated and water-extractable OM, ii) soil microbiota, and iii) decomposition of OM. Air-drying of soil samples results in the formation of new and/or stronger OM-mineral interactions as well as increased hydrophobicity and mineral surface acidity. The formation of new and enhancement of existing OM-mineral interactions may lead to an increase in perceived aggregate stability, potentially affecting estimates of amount and persistence of OM associated with soil aggregates. Compared to field moist samples, air-dried samples had 8-41% higher relative dry mass proportions in the 2-0.25. mm aggregate size fraction. Pronounced changes in the amount and composition of the water-extractable OM and soil microbiota are also detected during the course of air-drying and rewetting with the potential to affect the conclusions derived from OM decomposition experiments. Air-dried soil samples were found to have 2-10 times higher amounts of water extractable organic carbon and a decrease between 3% and 69% in the microbial biomass carbon (using the substrate-induced respiration technique) compared to field moist samples. The magnitude of air-drying and rewetting derived effects on sample characteristics appears to be site and soil type specific.","author":[{"dropping-particle":"","family":"Kaiser","given":"Michael","non-dropping-particle":"","parse-names":false,"suffix":""},{"dropping-particle":"","family":"Kleber","given":"Markus","non-dropping-particle":"","parse-names":false,"suffix":""},{"dropping-particle":"","family":"Berhe","given":"Asmeret Asefaw","non-dropping-particle":"","parse-names":false,"suffix":""}],"container-title":"Soil Biology and Biochemistry","id":"ITEM-2","issued":{"date-parts":[["2015"]]},"page":"324-340","publisher":"Elsevier Ltd","title":"How air-drying and rewetting modify soil organic matter characteristics: An assessment to improve data interpretation and inference","type":"article-journal","volume":"80"},"uris":["http://www.mendeley.com/documents/?uuid=5de7fa20-2fe4-4238-9803-d24d929ea038","http://www.mendeley.com/documents/?uuid=052c6952-c752-4559-8381-1b33dc9cf2d7"]}],"mendeley":{"formattedCitation":"(Kaiser et al., 2015; Slessarev et al., 2020)","plainTextFormattedCitation":"(Kaiser et al., 2015; Slessarev et al., 2020)","previouslyFormattedCitation":"(Kaiser et al., 2015; Slessarev et al., 2020)"},"properties":{"noteIndex":0},"schema":"https://github.com/citation-style-language/schema/raw/master/csl-citation.json"}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(Kaiser et al., 2015; Slessarev et al., 2020)</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p>
    <w:p w14:paraId="3374F2DD" w14:textId="62B94C5F" w:rsidR="00291036" w:rsidRPr="00C87E07" w:rsidRDefault="006B0985" w:rsidP="006B0985">
      <w:pPr>
        <w:pStyle w:val="Normal1"/>
        <w:spacing w:before="120" w:line="360" w:lineRule="auto"/>
        <w:rPr>
          <w:rFonts w:ascii="Times New Roman" w:hAnsi="Times New Roman" w:cs="Times New Roman"/>
          <w:sz w:val="24"/>
          <w:szCs w:val="24"/>
        </w:rPr>
      </w:pPr>
      <w:r w:rsidRPr="00C27016">
        <w:rPr>
          <w:rFonts w:ascii="Times New Roman" w:hAnsi="Times New Roman" w:cs="Times New Roman"/>
          <w:color w:val="000000"/>
          <w:sz w:val="24"/>
          <w:szCs w:val="24"/>
        </w:rPr>
        <w:t xml:space="preserve">Air-drying and rewetting of soil occurs </w:t>
      </w:r>
      <w:r w:rsidRPr="00C27016">
        <w:rPr>
          <w:rFonts w:ascii="Times New Roman" w:hAnsi="Times New Roman" w:cs="Times New Roman"/>
          <w:i/>
          <w:color w:val="000000"/>
          <w:sz w:val="24"/>
          <w:szCs w:val="24"/>
        </w:rPr>
        <w:t>in situ</w:t>
      </w:r>
      <w:r w:rsidRPr="00C27016">
        <w:rPr>
          <w:rFonts w:ascii="Times New Roman" w:hAnsi="Times New Roman" w:cs="Times New Roman"/>
          <w:color w:val="000000"/>
          <w:sz w:val="24"/>
          <w:szCs w:val="24"/>
        </w:rPr>
        <w:t xml:space="preserve"> and is also common in laboratory incubation studies as a means of controling moisture content, underscoring the</w:t>
      </w:r>
      <w:r w:rsidRPr="00C27016">
        <w:rPr>
          <w:rFonts w:ascii="Times New Roman" w:eastAsia="Arial Unicode MS" w:hAnsi="Times New Roman" w:cs="Times New Roman"/>
          <w:sz w:val="24"/>
          <w:szCs w:val="24"/>
        </w:rPr>
        <w:t xml:space="preserve"> importance of this kind of disturbance in understanding soil carbon cycling </w:t>
      </w:r>
      <w:r w:rsidRPr="00C27016">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ADDIN CSL_CITATION {"citationItems":[{"id":"ITEM-1","itemData":{"author":[{"dropping-particle":"","family":"Jarvis","given":"Paul","non-dropping-particle":"","parse-names":false,"suffix":""},{"dropping-particle":"","family":"Rey","given":"Ana","non-dropping-particle":"","parse-names":false,"suffix":""},{"dropping-particle":"","family":"Petsikos","given":"Charalampos","non-dropping-particle":"","parse-names":false,"suffix":""},{"dropping-particle":"","family":"Wingate","given":"Lisa","non-dropping-particle":"","parse-names":false,"suffix":""},{"dropping-particle":"","family":"Pereira","given":"João","non-dropping-particle":"","parse-names":false,"suffix":""},{"dropping-particle":"","family":"Banza","given":"João","non-dropping-particle":"","parse-names":false,"suffix":""},{"dropping-particle":"","family":"David","given":"Jorge","non-dropping-particle":"","parse-names":false,"suffix":""},{"dropping-particle":"","family":"Miglietta","given":"Franco","non-dropping-particle":"","parse-names":false,"suffix":""},{"dropping-particle":"","family":"Borghetti","given":"Marco","non-dropping-particle":"","parse-names":false,"suffix":""},{"dropping-particle":"","family":"Manca","given":"Giovanni","non-dropping-particle":"","parse-names":false,"suffix":""},{"dropping-particle":"","family":"Valentini","given":"Riccardo","non-dropping-particle":"","parse-names":false,"suffix":""}],"container-title":"Tree Physiology","id":"ITEM-1","issued":{"date-parts":[["2007"]]},"page":"929-940","title":"Drying and wetting of Mediterranean soils stimulates decomposition and carbon dioxide emission: the “Birch effect”","type":"article-journal","volume":"27"},"uris":["http://www.mendeley.com/documents/?uuid=3fd1ffff-f98c-4a7a-a34e-86f023f35c57","http://www.mendeley.com/documents/?uuid=8eae22cb-60c3-421b-8aca-048b23dffbd4"]},{"id":"ITEM-2","itemData":{"DOI":"10.1111/j.1365-2486.2008.01681.x","ISSN":"13541013","abstract":"In the next decades, many soils will be subjected to increased drying/ wetting cycles or modified water availability considering predicted global changes in precipitation and evapotranspiration. These changes may affect the turnover of C and N in soils, but the direction of changes is still unclear. The aim of the review is the evaluation of involved mechanisms, the intensity, duration and frequency of drying and wetting for the mineralization and fluxes of C and N in terrestrial soils. Controversial study results require a reappraisal of the present understanding that wetting of dry soils induces significant losses of soil C and N. The generally observed pulse in net C and N mineralization following wetting of dry soil (hereafter wetting pulse) is short-lived and often exceeds the mineralization rate of a respective moist control. Accumulated microbial and plant necromass, lysis of live microbial cells, release of compatible solutes and exposure of previously protected organic matter may explain the additional mineralization during wetting of soils. Frequent drying and wetting diminishes the wetting pulse due to limitation of the accessible organic matter pool. Despite wetting pulses, cumulative C and N mineralization (defined here as total net mineralization during drying and wetting) are mostly smaller compared with soil with optimum moisture, indicating that wetting pulses cannot compensate for small mineralization rates during drought periods. Cumulative mineralization is linked to the intensity and duration of drying, the amount and distribution of precipitation, temperature, hydrophobicity and the accessible pool of organic substrates. Wetting pulses may have  a significant impact on C and N mineralization or flux rates in arid and semiarid regions but have less impact in humid and subhumid regions on annual time scales. Organic matter stocks are progressively preserved with increasing duration and intensity of drought periods; however, fires enhance the risk of organic matter losses under dry conditions. Hydrophobicity of organic surfaces is an important mechanism that reduces C and N mineralization in topsoils after precipitation. Hence, mineralization in forest soils with hydrophobic organic horizons is presumably stronger limited than in grassland or farmland soils. Even in humid regions, suboptimal water potentials often restrict microbial activity in topsoils during growing seasons. Increasing summer droughts will likely reduce the minerali…","author":[{"dropping-particle":"","family":"Borken","given":"Werner","non-dropping-particle":"","parse-names":false,"suffix":""},{"dropping-particle":"","family":"Matzner","given":"Egbert","non-dropping-particle":"","parse-names":false,"suffix":""}],"container-title":"Global Change Biology","id":"ITEM-2","issue":"4","issued":{"date-parts":[["2009"]]},"page":"808-824","title":"Reappraisal of drying and wetting effects on C and N mineralization and fluxes in soils","type":"article-journal","volume":"15"},"uris":["http://www.mendeley.com/documents/?uuid=013e81b2-460f-4fef-8874-91a585009b5a","http://www.mendeley.com/documents/?uuid=34b3d6b1-437d-4e15-b974-fa64a99820f7"]}],"mendeley":{"formattedCitation":"(Borken &amp; Matzner, 2009; Jarvis et al., 2007)","plainTextFormattedCitation":"(Borken &amp; Matzner, 2009; Jarvis et al., 2007)","previouslyFormattedCitation":"(Borken &amp; Matzner, 2009; Jarvis et al., 2007)"},"properties":{"noteIndex":0},"schema":"https://github.com/citation-style-language/schema/raw/master/csl-citation.json"}</w:instrText>
      </w:r>
      <w:r w:rsidRPr="00C27016">
        <w:rPr>
          <w:rFonts w:ascii="Times New Roman" w:eastAsia="Arial Unicode MS" w:hAnsi="Times New Roman" w:cs="Times New Roman"/>
          <w:sz w:val="24"/>
          <w:szCs w:val="24"/>
        </w:rPr>
        <w:fldChar w:fldCharType="separate"/>
      </w:r>
      <w:r w:rsidRPr="00C27016">
        <w:rPr>
          <w:rFonts w:ascii="Times New Roman" w:eastAsia="Arial Unicode MS" w:hAnsi="Times New Roman" w:cs="Times New Roman"/>
          <w:noProof/>
          <w:sz w:val="24"/>
          <w:szCs w:val="24"/>
        </w:rPr>
        <w:t>(Borken &amp; Matzner, 2009; Jarvis et al., 2007)</w:t>
      </w:r>
      <w:r w:rsidRPr="00C27016">
        <w:rPr>
          <w:rFonts w:ascii="Times New Roman" w:eastAsia="Arial Unicode MS" w:hAnsi="Times New Roman" w:cs="Times New Roman"/>
          <w:sz w:val="24"/>
          <w:szCs w:val="24"/>
        </w:rPr>
        <w:fldChar w:fldCharType="end"/>
      </w:r>
      <w:r w:rsidRPr="00C27016">
        <w:rPr>
          <w:rFonts w:ascii="Times New Roman" w:eastAsia="Arial Unicode MS" w:hAnsi="Times New Roman" w:cs="Times New Roman"/>
          <w:sz w:val="24"/>
          <w:szCs w:val="24"/>
        </w:rPr>
        <w:t>. If air-drying and rewetting affects the relative contribution of soil organic matter pools with different intrinsic cycling rates to respiration, this should be detectable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For example, disruption of soil aggregates following drying and rewetting would likely lead to greater accessibility of soil organic matter formerly protected from decomposition via physical occlusion. Drying followed by rewetting could also lead to desorption of organic matter sorbed to mineral</w:t>
      </w:r>
      <w:r w:rsidRPr="00C27016">
        <w:rPr>
          <w:rFonts w:ascii="Times New Roman" w:eastAsia="Arial Unicode MS" w:hAnsi="Times New Roman" w:cs="Times New Roman"/>
          <w:sz w:val="24"/>
          <w:szCs w:val="24"/>
        </w:rPr>
        <w:t>s, increasing the accessibility of this formerly protected substrate. If drying and rewetting mobilizes carbon from these relatively slowly cycling soil organic matter pools th</w:t>
      </w:r>
      <w:r>
        <w:rPr>
          <w:rFonts w:ascii="Times New Roman" w:eastAsia="Arial Unicode MS" w:hAnsi="Times New Roman" w:cs="Times New Roman"/>
          <w:sz w:val="24"/>
          <w:szCs w:val="24"/>
        </w:rPr>
        <w:t>e effect should be detectable as a shift in</w:t>
      </w:r>
      <w:r w:rsidRPr="00C27016">
        <w:rPr>
          <w:rFonts w:ascii="Times New Roman" w:eastAsia="Arial Unicode MS" w:hAnsi="Times New Roman" w:cs="Times New Roman"/>
          <w:sz w:val="24"/>
          <w:szCs w:val="24"/>
        </w:rPr>
        <w:t xml:space="preserv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However, if the rewetting pulse derives mainly from lysed microbial cells or the release of microbial osmolytes little change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 xml:space="preserve">would be expected. </w:t>
      </w:r>
    </w:p>
    <w:p w14:paraId="1E9889B9" w14:textId="602E6B6E" w:rsidR="001A10E9" w:rsidRDefault="006B0985" w:rsidP="006B0985">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Obtaining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measurements from incubations of archived soils would be a valuable tool for further constraining and improving soil carbon models, but first the possible effects of air-drying and rewetting, as well as the effect of storage duration, must be assessed in order to exclude or quantify potential artifacts</w:t>
      </w:r>
      <w:r w:rsidRPr="00C27016">
        <w:rPr>
          <w:rFonts w:ascii="Times New Roman" w:eastAsia="Arial Unicode MS" w:hAnsi="Times New Roman" w:cs="Times New Roman"/>
          <w:sz w:val="24"/>
          <w:szCs w:val="24"/>
        </w:rPr>
        <w:t>. The direction and magnitude of any change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induced by these treatments should be indicative of the change in substrate, i.e. increased contribution of either faster or more slowly cycling carbon pools to heterotrophic respiration.</w:t>
      </w:r>
      <w:r w:rsidR="00F32F99">
        <w:rPr>
          <w:rFonts w:ascii="Times New Roman" w:hAnsi="Times New Roman" w:cs="Times New Roman"/>
          <w:sz w:val="24"/>
          <w:szCs w:val="24"/>
        </w:rPr>
        <w:t xml:space="preserve"> </w:t>
      </w:r>
    </w:p>
    <w:p w14:paraId="243A88E6" w14:textId="77777777" w:rsidR="006B3E29" w:rsidRDefault="006B3E29" w:rsidP="006B3E29">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designed three experiments to answer the following questions: </w:t>
      </w:r>
    </w:p>
    <w:p w14:paraId="74A2B053" w14:textId="77777777" w:rsidR="006B3E29" w:rsidRDefault="006B3E29" w:rsidP="006B3E29">
      <w:pPr>
        <w:pStyle w:val="Normal1"/>
        <w:numPr>
          <w:ilvl w:val="0"/>
          <w:numId w:val="1"/>
        </w:numPr>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Is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observed in incubations of soils prior to air-drying altered by the process of air-drying, storage, and subsequent rewetting?</w:t>
      </w:r>
    </w:p>
    <w:p w14:paraId="20535904" w14:textId="77777777" w:rsidR="006B3E29" w:rsidRDefault="006B3E29" w:rsidP="006B3E29">
      <w:pPr>
        <w:pStyle w:val="Normal1"/>
        <w:numPr>
          <w:ilvl w:val="0"/>
          <w:numId w:val="1"/>
        </w:numPr>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What is the effect of air-drying and rewetting alone, i.e. without storage, on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w:t>
      </w:r>
    </w:p>
    <w:p w14:paraId="388AA17B" w14:textId="77777777" w:rsidR="006B3E29" w:rsidRPr="00804528" w:rsidRDefault="006B3E29" w:rsidP="006B3E29">
      <w:pPr>
        <w:pStyle w:val="Normal1"/>
        <w:numPr>
          <w:ilvl w:val="0"/>
          <w:numId w:val="1"/>
        </w:numPr>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Does the duration of storage affect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w:t>
      </w:r>
    </w:p>
    <w:p w14:paraId="26CB6A23" w14:textId="71545FB6" w:rsidR="00292D46" w:rsidRDefault="0065797A" w:rsidP="00201690">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hypothesize</w:t>
      </w:r>
      <w:r w:rsidR="006B3E29">
        <w:rPr>
          <w:rFonts w:ascii="Times New Roman" w:hAnsi="Times New Roman" w:cs="Times New Roman"/>
          <w:sz w:val="24"/>
          <w:szCs w:val="24"/>
        </w:rPr>
        <w:t>d</w:t>
      </w:r>
      <w:r>
        <w:rPr>
          <w:rFonts w:ascii="Times New Roman" w:hAnsi="Times New Roman" w:cs="Times New Roman"/>
          <w:sz w:val="24"/>
          <w:szCs w:val="24"/>
        </w:rPr>
        <w:t xml:space="preserve"> that t</w:t>
      </w:r>
      <w:r w:rsidRPr="00C27016">
        <w:rPr>
          <w:rFonts w:ascii="Times New Roman" w:hAnsi="Times New Roman" w:cs="Times New Roman"/>
          <w:sz w:val="24"/>
          <w:szCs w:val="24"/>
        </w:rPr>
        <w:t>he pulse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released immediately following rewetting </w:t>
      </w:r>
      <w:r w:rsidR="00ED25E4">
        <w:rPr>
          <w:rFonts w:ascii="Times New Roman" w:hAnsi="Times New Roman" w:cs="Times New Roman"/>
          <w:sz w:val="24"/>
          <w:szCs w:val="24"/>
        </w:rPr>
        <w:t>would</w:t>
      </w:r>
      <w:r w:rsidRPr="00C27016">
        <w:rPr>
          <w:rFonts w:ascii="Times New Roman" w:hAnsi="Times New Roman" w:cs="Times New Roman"/>
          <w:sz w:val="24"/>
          <w:szCs w:val="24"/>
        </w:rPr>
        <w:t xml:space="preserve"> be older in</w:t>
      </w:r>
      <w:r>
        <w:rPr>
          <w:rFonts w:ascii="Times New Roman" w:hAnsi="Times New Roman" w:cs="Times New Roman"/>
          <w:sz w:val="24"/>
          <w:szCs w:val="24"/>
        </w:rPr>
        <w:t xml:space="preserve"> stored,</w:t>
      </w:r>
      <w:r w:rsidRPr="00C27016">
        <w:rPr>
          <w:rFonts w:ascii="Times New Roman" w:hAnsi="Times New Roman" w:cs="Times New Roman"/>
          <w:sz w:val="24"/>
          <w:szCs w:val="24"/>
        </w:rPr>
        <w:t xml:space="preserve"> air-dried </w:t>
      </w:r>
      <w:r>
        <w:rPr>
          <w:rFonts w:ascii="Times New Roman" w:hAnsi="Times New Roman" w:cs="Times New Roman"/>
          <w:sz w:val="24"/>
          <w:szCs w:val="24"/>
        </w:rPr>
        <w:t xml:space="preserve">soils than was measured initially on undried, freshly collected sample splits, </w:t>
      </w:r>
      <w:r w:rsidRPr="00C27016">
        <w:rPr>
          <w:rFonts w:ascii="Times New Roman" w:hAnsi="Times New Roman" w:cs="Times New Roman"/>
          <w:sz w:val="24"/>
          <w:szCs w:val="24"/>
        </w:rPr>
        <w:t>due to greater mobilization of protected</w:t>
      </w:r>
      <w:r w:rsidR="00152253">
        <w:rPr>
          <w:rFonts w:ascii="Times New Roman" w:hAnsi="Times New Roman" w:cs="Times New Roman"/>
          <w:sz w:val="24"/>
          <w:szCs w:val="24"/>
        </w:rPr>
        <w:t>, relatively slowly cycling carbon through the process of drying and rewetting</w:t>
      </w:r>
      <w:r>
        <w:rPr>
          <w:rFonts w:ascii="Times New Roman" w:hAnsi="Times New Roman" w:cs="Times New Roman"/>
          <w:sz w:val="24"/>
          <w:szCs w:val="24"/>
        </w:rPr>
        <w:t xml:space="preserve">. </w:t>
      </w:r>
      <w:r w:rsidR="002B715D">
        <w:rPr>
          <w:rFonts w:ascii="Times New Roman" w:hAnsi="Times New Roman" w:cs="Times New Roman"/>
          <w:sz w:val="24"/>
          <w:szCs w:val="24"/>
        </w:rPr>
        <w:t>However, we expect</w:t>
      </w:r>
      <w:r w:rsidR="00ED25E4">
        <w:rPr>
          <w:rFonts w:ascii="Times New Roman" w:hAnsi="Times New Roman" w:cs="Times New Roman"/>
          <w:sz w:val="24"/>
          <w:szCs w:val="24"/>
        </w:rPr>
        <w:t>ed</w:t>
      </w:r>
      <w:r w:rsidR="002B715D">
        <w:rPr>
          <w:rFonts w:ascii="Times New Roman" w:hAnsi="Times New Roman" w:cs="Times New Roman"/>
          <w:sz w:val="24"/>
          <w:szCs w:val="24"/>
        </w:rPr>
        <w:t xml:space="preserve"> any differences in </w:t>
      </w:r>
      <w:r w:rsidR="002B715D" w:rsidRPr="00C27016">
        <w:rPr>
          <w:rFonts w:ascii="Times New Roman" w:eastAsia="Arial Unicode MS" w:hAnsi="Times New Roman" w:cs="Times New Roman"/>
          <w:sz w:val="24"/>
          <w:szCs w:val="24"/>
        </w:rPr>
        <w:t>∆</w:t>
      </w:r>
      <w:r w:rsidR="002B715D" w:rsidRPr="00C27016">
        <w:rPr>
          <w:rFonts w:ascii="Times New Roman" w:hAnsi="Times New Roman" w:cs="Times New Roman"/>
          <w:sz w:val="24"/>
          <w:szCs w:val="24"/>
          <w:vertAlign w:val="superscript"/>
        </w:rPr>
        <w:t>14</w:t>
      </w:r>
      <w:r w:rsidR="002B715D" w:rsidRPr="00C27016">
        <w:rPr>
          <w:rFonts w:ascii="Times New Roman" w:hAnsi="Times New Roman" w:cs="Times New Roman"/>
          <w:sz w:val="24"/>
          <w:szCs w:val="24"/>
        </w:rPr>
        <w:t>C-CO</w:t>
      </w:r>
      <w:r w:rsidR="002B715D" w:rsidRPr="00C27016">
        <w:rPr>
          <w:rFonts w:ascii="Times New Roman" w:hAnsi="Times New Roman" w:cs="Times New Roman"/>
          <w:sz w:val="24"/>
          <w:szCs w:val="24"/>
          <w:vertAlign w:val="subscript"/>
        </w:rPr>
        <w:t>2</w:t>
      </w:r>
      <w:r w:rsidR="002B715D" w:rsidRPr="00C27016">
        <w:rPr>
          <w:rFonts w:ascii="Times New Roman" w:hAnsi="Times New Roman" w:cs="Times New Roman"/>
          <w:sz w:val="24"/>
          <w:szCs w:val="24"/>
        </w:rPr>
        <w:t xml:space="preserve"> </w:t>
      </w:r>
      <w:r w:rsidR="00ED25E4">
        <w:rPr>
          <w:rFonts w:ascii="Times New Roman" w:hAnsi="Times New Roman" w:cs="Times New Roman"/>
          <w:sz w:val="24"/>
          <w:szCs w:val="24"/>
        </w:rPr>
        <w:t>would</w:t>
      </w:r>
      <w:r w:rsidR="002B715D">
        <w:rPr>
          <w:rFonts w:ascii="Times New Roman" w:hAnsi="Times New Roman" w:cs="Times New Roman"/>
          <w:sz w:val="24"/>
          <w:szCs w:val="24"/>
        </w:rPr>
        <w:t xml:space="preserve"> be limited to the rewetting pulse and </w:t>
      </w:r>
      <w:r w:rsidR="00ED25E4">
        <w:rPr>
          <w:rFonts w:ascii="Times New Roman" w:hAnsi="Times New Roman" w:cs="Times New Roman"/>
          <w:sz w:val="24"/>
          <w:szCs w:val="24"/>
        </w:rPr>
        <w:t>would</w:t>
      </w:r>
      <w:r w:rsidR="002B715D">
        <w:rPr>
          <w:rFonts w:ascii="Times New Roman" w:hAnsi="Times New Roman" w:cs="Times New Roman"/>
          <w:sz w:val="24"/>
          <w:szCs w:val="24"/>
        </w:rPr>
        <w:t xml:space="preserve"> not persist through a second enclosure period. </w:t>
      </w:r>
      <w:r>
        <w:rPr>
          <w:rFonts w:ascii="Times New Roman" w:hAnsi="Times New Roman" w:cs="Times New Roman"/>
          <w:sz w:val="24"/>
          <w:szCs w:val="24"/>
        </w:rPr>
        <w:t>Furthermore, we expect</w:t>
      </w:r>
      <w:r w:rsidR="00ED25E4">
        <w:rPr>
          <w:rFonts w:ascii="Times New Roman" w:hAnsi="Times New Roman" w:cs="Times New Roman"/>
          <w:sz w:val="24"/>
          <w:szCs w:val="24"/>
        </w:rPr>
        <w:t>ed</w:t>
      </w:r>
      <w:r>
        <w:rPr>
          <w:rFonts w:ascii="Times New Roman" w:hAnsi="Times New Roman" w:cs="Times New Roman"/>
          <w:sz w:val="24"/>
          <w:szCs w:val="24"/>
        </w:rPr>
        <w:t xml:space="preserve"> that any differences between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measured in </w:t>
      </w:r>
      <w:r w:rsidR="006B3E29">
        <w:rPr>
          <w:rFonts w:ascii="Times New Roman" w:hAnsi="Times New Roman" w:cs="Times New Roman"/>
          <w:sz w:val="24"/>
          <w:szCs w:val="24"/>
        </w:rPr>
        <w:t xml:space="preserve">incubations of archived soils </w:t>
      </w:r>
      <w:r w:rsidR="00ED25E4">
        <w:rPr>
          <w:rFonts w:ascii="Times New Roman" w:hAnsi="Times New Roman" w:cs="Times New Roman"/>
          <w:sz w:val="24"/>
          <w:szCs w:val="24"/>
        </w:rPr>
        <w:t>would</w:t>
      </w:r>
      <w:r w:rsidR="00152253">
        <w:rPr>
          <w:rFonts w:ascii="Times New Roman" w:hAnsi="Times New Roman" w:cs="Times New Roman"/>
          <w:sz w:val="24"/>
          <w:szCs w:val="24"/>
        </w:rPr>
        <w:t xml:space="preserve"> be</w:t>
      </w:r>
      <w:r>
        <w:rPr>
          <w:rFonts w:ascii="Times New Roman" w:hAnsi="Times New Roman" w:cs="Times New Roman"/>
          <w:sz w:val="24"/>
          <w:szCs w:val="24"/>
        </w:rPr>
        <w:t xml:space="preserve"> due to air-dryin</w:t>
      </w:r>
      <w:r w:rsidR="00152253">
        <w:rPr>
          <w:rFonts w:ascii="Times New Roman" w:hAnsi="Times New Roman" w:cs="Times New Roman"/>
          <w:sz w:val="24"/>
          <w:szCs w:val="24"/>
        </w:rPr>
        <w:t>g and rewetting effects alone. Therefore</w:t>
      </w:r>
      <w:r>
        <w:rPr>
          <w:rFonts w:ascii="Times New Roman" w:hAnsi="Times New Roman" w:cs="Times New Roman"/>
          <w:sz w:val="24"/>
          <w:szCs w:val="24"/>
        </w:rPr>
        <w:t xml:space="preserve"> we expec</w:t>
      </w:r>
      <w:r w:rsidR="00ED25E4">
        <w:rPr>
          <w:rFonts w:ascii="Times New Roman" w:hAnsi="Times New Roman" w:cs="Times New Roman"/>
          <w:sz w:val="24"/>
          <w:szCs w:val="24"/>
        </w:rPr>
        <w:t xml:space="preserve">ted </w:t>
      </w:r>
      <w:r>
        <w:rPr>
          <w:rFonts w:ascii="Times New Roman" w:hAnsi="Times New Roman" w:cs="Times New Roman"/>
          <w:sz w:val="24"/>
          <w:szCs w:val="24"/>
        </w:rPr>
        <w:t xml:space="preserve">soils that </w:t>
      </w:r>
      <w:r w:rsidR="00ED25E4">
        <w:rPr>
          <w:rFonts w:ascii="Times New Roman" w:hAnsi="Times New Roman" w:cs="Times New Roman"/>
          <w:sz w:val="24"/>
          <w:szCs w:val="24"/>
        </w:rPr>
        <w:t>had</w:t>
      </w:r>
      <w:r>
        <w:rPr>
          <w:rFonts w:ascii="Times New Roman" w:hAnsi="Times New Roman" w:cs="Times New Roman"/>
          <w:sz w:val="24"/>
          <w:szCs w:val="24"/>
        </w:rPr>
        <w:t xml:space="preserve"> been air-dr</w:t>
      </w:r>
      <w:r w:rsidR="00ED25E4">
        <w:rPr>
          <w:rFonts w:ascii="Times New Roman" w:hAnsi="Times New Roman" w:cs="Times New Roman"/>
          <w:sz w:val="24"/>
          <w:szCs w:val="24"/>
        </w:rPr>
        <w:t>ied and rewet without storage would</w:t>
      </w:r>
      <w:r>
        <w:rPr>
          <w:rFonts w:ascii="Times New Roman" w:hAnsi="Times New Roman" w:cs="Times New Roman"/>
          <w:sz w:val="24"/>
          <w:szCs w:val="24"/>
        </w:rPr>
        <w:t xml:space="preserve"> exhibit the same differences in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as in archived soils, i.e. we </w:t>
      </w:r>
      <w:r w:rsidR="00ED25E4">
        <w:rPr>
          <w:rFonts w:ascii="Times New Roman" w:hAnsi="Times New Roman" w:cs="Times New Roman"/>
          <w:sz w:val="24"/>
          <w:szCs w:val="24"/>
        </w:rPr>
        <w:t>did</w:t>
      </w:r>
      <w:r>
        <w:rPr>
          <w:rFonts w:ascii="Times New Roman" w:hAnsi="Times New Roman" w:cs="Times New Roman"/>
          <w:sz w:val="24"/>
          <w:szCs w:val="24"/>
        </w:rPr>
        <w:t xml:space="preserve"> not expect a significant storage duration effect.</w:t>
      </w:r>
    </w:p>
    <w:p w14:paraId="57FCA90C" w14:textId="77777777" w:rsidR="005673F0" w:rsidRPr="00C27016" w:rsidRDefault="005673F0" w:rsidP="005673F0">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2</w:t>
      </w:r>
      <w:r>
        <w:rPr>
          <w:rFonts w:ascii="Times New Roman" w:hAnsi="Times New Roman" w:cs="Times New Roman"/>
          <w:b/>
          <w:sz w:val="24"/>
          <w:szCs w:val="24"/>
        </w:rPr>
        <w:t>.</w:t>
      </w:r>
      <w:r w:rsidRPr="00C27016">
        <w:rPr>
          <w:rFonts w:ascii="Times New Roman" w:hAnsi="Times New Roman" w:cs="Times New Roman"/>
          <w:b/>
          <w:sz w:val="24"/>
          <w:szCs w:val="24"/>
        </w:rPr>
        <w:t xml:space="preserve"> Materials and Methods</w:t>
      </w:r>
    </w:p>
    <w:p w14:paraId="12EE0E80" w14:textId="034627B0" w:rsidR="005673F0" w:rsidRPr="00C27016" w:rsidRDefault="005673F0" w:rsidP="005673F0">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 xml:space="preserve">We devised </w:t>
      </w:r>
      <w:r>
        <w:rPr>
          <w:rFonts w:ascii="Times New Roman" w:eastAsia="Arial Unicode MS" w:hAnsi="Times New Roman" w:cs="Times New Roman"/>
          <w:sz w:val="24"/>
          <w:szCs w:val="24"/>
        </w:rPr>
        <w:t>t</w:t>
      </w:r>
      <w:r w:rsidR="00C24DE7">
        <w:rPr>
          <w:rFonts w:ascii="Times New Roman" w:eastAsia="Arial Unicode MS" w:hAnsi="Times New Roman" w:cs="Times New Roman"/>
          <w:sz w:val="24"/>
          <w:szCs w:val="24"/>
        </w:rPr>
        <w:t>hree experiments to quantify potential shifts in</w:t>
      </w:r>
      <w:r w:rsidRPr="00C27016">
        <w:rPr>
          <w:rFonts w:ascii="Times New Roman" w:eastAsia="Arial Unicode MS" w:hAnsi="Times New Roman" w:cs="Times New Roman"/>
          <w:sz w:val="24"/>
          <w:szCs w:val="24"/>
        </w:rPr>
        <w:t xml:space="preserv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sidR="00C24DE7">
        <w:rPr>
          <w:rFonts w:ascii="Times New Roman" w:hAnsi="Times New Roman" w:cs="Times New Roman"/>
          <w:sz w:val="24"/>
          <w:szCs w:val="24"/>
        </w:rPr>
        <w:t xml:space="preserve">measured </w:t>
      </w:r>
      <w:r w:rsidRPr="00C27016">
        <w:rPr>
          <w:rFonts w:ascii="Times New Roman" w:hAnsi="Times New Roman" w:cs="Times New Roman"/>
          <w:sz w:val="24"/>
          <w:szCs w:val="24"/>
        </w:rPr>
        <w:t xml:space="preserve">in </w:t>
      </w:r>
      <w:r w:rsidR="00C24DE7">
        <w:rPr>
          <w:rFonts w:ascii="Times New Roman" w:hAnsi="Times New Roman" w:cs="Times New Roman"/>
          <w:sz w:val="24"/>
          <w:szCs w:val="24"/>
        </w:rPr>
        <w:t xml:space="preserve">laboratory soil </w:t>
      </w:r>
      <w:r w:rsidRPr="00C27016">
        <w:rPr>
          <w:rFonts w:ascii="Times New Roman" w:hAnsi="Times New Roman" w:cs="Times New Roman"/>
          <w:sz w:val="24"/>
          <w:szCs w:val="24"/>
        </w:rPr>
        <w:t xml:space="preserve">incubations </w:t>
      </w:r>
      <w:r w:rsidR="00C24DE7">
        <w:rPr>
          <w:rFonts w:ascii="Times New Roman" w:hAnsi="Times New Roman" w:cs="Times New Roman"/>
          <w:sz w:val="24"/>
          <w:szCs w:val="24"/>
        </w:rPr>
        <w:t>following air-drying, storage, and rewetting</w:t>
      </w:r>
      <w:r>
        <w:rPr>
          <w:rFonts w:ascii="Times New Roman" w:hAnsi="Times New Roman" w:cs="Times New Roman"/>
          <w:sz w:val="24"/>
          <w:szCs w:val="24"/>
        </w:rPr>
        <w:t xml:space="preserve">. All three experiments consider the effect of air-drying followed by subsequent rewetting, but with </w:t>
      </w:r>
      <w:r w:rsidR="00C24DE7">
        <w:rPr>
          <w:rFonts w:ascii="Times New Roman" w:hAnsi="Times New Roman" w:cs="Times New Roman"/>
          <w:sz w:val="24"/>
          <w:szCs w:val="24"/>
        </w:rPr>
        <w:t>varying storage duration, from less than 1 month (no storage) to 14 years</w:t>
      </w:r>
      <w:r>
        <w:rPr>
          <w:rFonts w:ascii="Times New Roman" w:hAnsi="Times New Roman" w:cs="Times New Roman"/>
          <w:sz w:val="24"/>
          <w:szCs w:val="24"/>
        </w:rPr>
        <w:t>. Experiment 1 focuses</w:t>
      </w:r>
      <w:r w:rsidRPr="00C27016">
        <w:rPr>
          <w:rFonts w:ascii="Times New Roman" w:hAnsi="Times New Roman" w:cs="Times New Roman"/>
          <w:sz w:val="24"/>
          <w:szCs w:val="24"/>
        </w:rPr>
        <w:t xml:space="preserve"> on the effects of air-drying </w:t>
      </w:r>
      <w:r>
        <w:rPr>
          <w:rFonts w:ascii="Times New Roman" w:hAnsi="Times New Roman" w:cs="Times New Roman"/>
          <w:sz w:val="24"/>
          <w:szCs w:val="24"/>
        </w:rPr>
        <w:t xml:space="preserve">and 7 y of storage prior to rewetting (air-dry/rewet + storage), </w:t>
      </w:r>
      <w:r w:rsidRPr="00C27016">
        <w:rPr>
          <w:rFonts w:ascii="Times New Roman" w:hAnsi="Times New Roman" w:cs="Times New Roman"/>
          <w:sz w:val="24"/>
          <w:szCs w:val="24"/>
        </w:rPr>
        <w:t xml:space="preserve">Experiment 2 on the effect of air-drying </w:t>
      </w:r>
      <w:r>
        <w:rPr>
          <w:rFonts w:ascii="Times New Roman" w:hAnsi="Times New Roman" w:cs="Times New Roman"/>
          <w:sz w:val="24"/>
          <w:szCs w:val="24"/>
        </w:rPr>
        <w:t xml:space="preserve">and rewetting </w:t>
      </w:r>
      <w:r w:rsidRPr="00C27016">
        <w:rPr>
          <w:rFonts w:ascii="Times New Roman" w:hAnsi="Times New Roman" w:cs="Times New Roman"/>
          <w:sz w:val="24"/>
          <w:szCs w:val="24"/>
        </w:rPr>
        <w:t>alone, i.e. without storage</w:t>
      </w:r>
      <w:r>
        <w:rPr>
          <w:rFonts w:ascii="Times New Roman" w:hAnsi="Times New Roman" w:cs="Times New Roman"/>
          <w:sz w:val="24"/>
          <w:szCs w:val="24"/>
        </w:rPr>
        <w:t xml:space="preserve"> (air-dry/rewet)</w:t>
      </w:r>
      <w:r w:rsidRPr="00C27016">
        <w:rPr>
          <w:rFonts w:ascii="Times New Roman" w:hAnsi="Times New Roman" w:cs="Times New Roman"/>
          <w:sz w:val="24"/>
          <w:szCs w:val="24"/>
        </w:rPr>
        <w:t xml:space="preserve">, and Experiment 3 on </w:t>
      </w:r>
      <w:r w:rsidR="00C24DE7">
        <w:rPr>
          <w:rFonts w:ascii="Times New Roman" w:hAnsi="Times New Roman" w:cs="Times New Roman"/>
          <w:sz w:val="24"/>
          <w:szCs w:val="24"/>
        </w:rPr>
        <w:t>the effect of varied storage duration (storage duration)</w:t>
      </w:r>
      <w:r w:rsidRPr="00C27016">
        <w:rPr>
          <w:rFonts w:ascii="Times New Roman" w:hAnsi="Times New Roman" w:cs="Times New Roman"/>
          <w:sz w:val="24"/>
          <w:szCs w:val="24"/>
        </w:rPr>
        <w:t>.</w:t>
      </w:r>
    </w:p>
    <w:p w14:paraId="3204C1EE" w14:textId="6EFEB7B9" w:rsidR="00AB2DB9" w:rsidRDefault="005673F0" w:rsidP="00AB2DB9">
      <w:pPr>
        <w:pStyle w:val="Normal1"/>
        <w:spacing w:before="240" w:after="120" w:line="360" w:lineRule="auto"/>
        <w:ind w:left="720"/>
        <w:rPr>
          <w:rFonts w:ascii="Times New Roman" w:hAnsi="Times New Roman" w:cs="Times New Roman"/>
          <w:sz w:val="24"/>
          <w:szCs w:val="24"/>
        </w:rPr>
      </w:pPr>
      <w:r w:rsidRPr="00C27016">
        <w:rPr>
          <w:rFonts w:ascii="Times New Roman" w:hAnsi="Times New Roman" w:cs="Times New Roman"/>
          <w:sz w:val="24"/>
          <w:szCs w:val="24"/>
        </w:rPr>
        <w:t xml:space="preserve">2.1 </w:t>
      </w:r>
      <w:r w:rsidR="00AB2DB9">
        <w:rPr>
          <w:rFonts w:ascii="Times New Roman" w:hAnsi="Times New Roman" w:cs="Times New Roman"/>
          <w:sz w:val="24"/>
          <w:szCs w:val="24"/>
        </w:rPr>
        <w:t>Experiment 1</w:t>
      </w:r>
    </w:p>
    <w:p w14:paraId="51AEEF82" w14:textId="15F3D955" w:rsidR="005673F0" w:rsidRPr="00C27016" w:rsidRDefault="00AB2DB9" w:rsidP="00AB2DB9">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 xml:space="preserve">2.1.1 </w:t>
      </w:r>
      <w:r w:rsidR="00FE06A1">
        <w:rPr>
          <w:rFonts w:ascii="Times New Roman" w:hAnsi="Times New Roman" w:cs="Times New Roman"/>
          <w:sz w:val="24"/>
          <w:szCs w:val="24"/>
        </w:rPr>
        <w:t>Experiment 1 s</w:t>
      </w:r>
      <w:r w:rsidR="005673F0" w:rsidRPr="00C27016">
        <w:rPr>
          <w:rFonts w:ascii="Times New Roman" w:hAnsi="Times New Roman" w:cs="Times New Roman"/>
          <w:sz w:val="24"/>
          <w:szCs w:val="24"/>
        </w:rPr>
        <w:t>ample selection and field sampling</w:t>
      </w:r>
    </w:p>
    <w:p w14:paraId="5DBA1484" w14:textId="1FC4FC46" w:rsidR="005673F0" w:rsidRPr="00AB2DB9" w:rsidRDefault="005673F0" w:rsidP="005673F0">
      <w:pPr>
        <w:pStyle w:val="Normal1"/>
        <w:spacing w:before="120" w:line="360" w:lineRule="auto"/>
        <w:rPr>
          <w:rFonts w:ascii="Times New Roman" w:hAnsi="Times New Roman" w:cs="Times New Roman"/>
          <w:color w:val="1155CC"/>
          <w:sz w:val="24"/>
          <w:szCs w:val="24"/>
        </w:rPr>
      </w:pPr>
      <w:r>
        <w:rPr>
          <w:rFonts w:ascii="Times New Roman" w:hAnsi="Times New Roman" w:cs="Times New Roman"/>
          <w:sz w:val="24"/>
          <w:szCs w:val="24"/>
        </w:rPr>
        <w:t>Soils analyzed for Experiment 1</w:t>
      </w:r>
      <w:r w:rsidR="00AB2DB9">
        <w:rPr>
          <w:rFonts w:ascii="Times New Roman" w:hAnsi="Times New Roman" w:cs="Times New Roman"/>
          <w:sz w:val="24"/>
          <w:szCs w:val="24"/>
        </w:rPr>
        <w:t xml:space="preserve"> </w:t>
      </w:r>
      <w:r w:rsidRPr="00C27016">
        <w:rPr>
          <w:rFonts w:ascii="Times New Roman" w:hAnsi="Times New Roman" w:cs="Times New Roman"/>
          <w:sz w:val="24"/>
          <w:szCs w:val="24"/>
        </w:rPr>
        <w:t xml:space="preserve">were collected </w:t>
      </w:r>
      <w:r w:rsidR="00AB2DB9">
        <w:rPr>
          <w:rFonts w:ascii="Times New Roman" w:hAnsi="Times New Roman" w:cs="Times New Roman"/>
          <w:sz w:val="24"/>
          <w:szCs w:val="24"/>
        </w:rPr>
        <w:t xml:space="preserve">in 2011 </w:t>
      </w:r>
      <w:r w:rsidRPr="00C27016">
        <w:rPr>
          <w:rFonts w:ascii="Times New Roman" w:hAnsi="Times New Roman" w:cs="Times New Roman"/>
          <w:sz w:val="24"/>
          <w:szCs w:val="24"/>
        </w:rPr>
        <w:t xml:space="preserve">from plots established as part of the Biodiversity Exploratories project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{"citationItems":[{"id":"ITEM-1","itemData":{"DOI":"10.1016/j.baae.2010.07.009","ISSN":"16180089","abstract":"Functional biodiversity research explores drivers and functional consequences of biodiversity changes. Land use change is a major driver of changes of biodiversity and of biogeochemical and biological ecosystem processes and services. However, land use effects on genetic and species diversity are well documented only for a few taxa and trophic networks. We hardly know how different components of biodiversity and their responses to land use change are interrelated and very little about the simultaneous, and interacting, effects of land use on multiple ecosystem processes and services. Moreover, we do not know to what extent land use effects on ecosystem processes and services are mediated by biodiversity change. Thus, overall goals are on the one hand to understand the effects of land use on biodiversity, and on the other to understand the modifying role of biodiversity change for land-use effects on ecosystem processes, including biogeochemical cycles. To comprehensively address these important questions, we recently established a new large-scale and long-term project for functional biodiversity, the Biodiversity Exploratories (www.biodiversity-exploratories.de). They comprise a hierarchical set of standardized field plots in three different regions of Germany covering manifold management types and intensities in grasslands and forests. They serve as a joint research platform for currently 40 projects involving over 300 people studying various aspects of the relationships between land use, biodiversity and ecosystem processes through monitoring, comparative observation and experiments. We introduce guiding questions, concept and design of the Biodiversity Exploratories - including main aspects of selection and implementation of field plots and project structure - and we discuss the significance of this approach for further functional biodiversity research. This includes the crucial relevance of a common study design encompassing variation in both drivers and outcomes of biodiversity change and ecosystem processes, the interdisciplinary integration of biodiversity and ecosystem researchers, the training of a new generation of integrative biodiversity researchers, and the stimulation of functional biodiversity research in real landscape contexts, in Germany and elsewhere. © 2010 Gesellschaft für Ökologie.","author":[{"dropping-particle":"","family":"Fischer","given":"Markus","non-dropping-particle":"","parse-names":false,"suffix":""},{"dropping-particle":"","family":"Bossdorf","given":"Oliver","non-dropping-particle":"","parse-names":false,"suffix":""},{"dropping-particle":"","family":"Gockel","given":"Sonja","non-dropping-particle":"","parse-names":false,"suffix":""},{"dropping-particle":"","family":"Hänsel","given":"Falk","non-dropping-particle":"","parse-names":false,"suffix":""},{"dropping-particle":"","family":"Hemp","given":"Andreas","non-dropping-particle":"","parse-names":false,"suffix":""},{"dropping-particle":"","family":"Hessenmöller","given":"Dominik","non-dropping-particle":"","parse-names":false,"suffix":""},{"dropping-particle":"","family":"Korte","given":"Gunnar","non-dropping-particle":"","parse-names":false,"suffix":""},{"dropping-particle":"","family":"Nieschulze","given":"Jens","non-dropping-particle":"","parse-names":false,"suffix":""},{"dropping-particle":"","family":"Pfeiffer","given":"Simone","non-dropping-particle":"","parse-names":false,"suffix":""},{"dropping-particle":"","family":"Prati","given":"Daniel","non-dropping-particle":"","parse-names":false,"suffix":""},{"dropping-particle":"","family":"Renner","given":"Swen","non-dropping-particle":"","parse-names":false,"suffix":""},{"dropping-particle":"","family":"Schöning","given":"Ingo","non-dropping-particle":"","parse-names":false,"suffix":""},{"dropping-particle":"","family":"Schumacher","given":"Uta","non-dropping-particle":"","parse-names":false,"suffix":""},{"dropping-particle":"","family":"Wells","given":"Konstans","non-dropping-particle":"","parse-names":false,"suffix":""},{"dropping-particle":"","family":"Buscot","given":"François","non-dropping-particle":"","parse-names":false,"suffix":""},{"dropping-particle":"","family":"Kalko","given":"Elisabeth K.V.","non-dropping-particle":"","parse-names":false,"suffix":""},{"dropping-particle":"","family":"Linsenmair","given":"Karl Eduard","non-dropping-particle":"","parse-names":false,"suffix":""},{"dropping-particle":"","family":"Schulze","given":"Ernst Detlef","non-dropping-particle":"","parse-names":false,"suffix":""},{"dropping-particle":"","family":"Weisser","given":"Wolfgang W.","non-dropping-particle":"","parse-names":false,"suffix":""}],"container-title":"Basic and Applied Ecology","id":"ITEM-1","issue":"6","issued":{"date-parts":[["2010"]]},"page":"473-485","title":"Implementing large-scale and long-term functional biodiversity research: The Biodiversity Exploratories","type":"article-journal","volume":"11"},"uris":["http://www.mendeley.com/documents/?uuid=1d6d9686-9312-444c-962a-64830894e883","http://www.mendeley.com/documents/?uuid=75824669-6880-4cee-ab51-e4a163779d6a"]}],"mendeley":{"formattedCitation":"(Fischer et al., 2010)","plainTextFormattedCitation":"(Fischer et al., 2010)","previouslyFormattedCitation":"(Fischer et al., 2010)"},"properties":{"noteIndex":0},"schema":"https://github.com/citation-style-language/schema/raw/master/csl-citation.json"}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(Fischer et al., 2010)</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xml:space="preserve">. </w:t>
      </w:r>
      <w:r w:rsidR="00AB2DB9">
        <w:rPr>
          <w:rFonts w:ascii="Times New Roman" w:hAnsi="Times New Roman" w:cs="Times New Roman"/>
          <w:sz w:val="24"/>
          <w:szCs w:val="24"/>
        </w:rPr>
        <w:t>The samples used in this study</w:t>
      </w:r>
      <w:r w:rsidRPr="00C27016">
        <w:rPr>
          <w:rFonts w:ascii="Times New Roman" w:hAnsi="Times New Roman" w:cs="Times New Roman"/>
          <w:sz w:val="24"/>
          <w:szCs w:val="24"/>
        </w:rPr>
        <w:t xml:space="preserve"> comprised a subset of samples originally collected for a different study</w:t>
      </w:r>
      <w:r w:rsidR="00AB2DB9">
        <w:rPr>
          <w:rFonts w:ascii="Times New Roman" w:hAnsi="Times New Roman" w:cs="Times New Roman"/>
          <w:sz w:val="24"/>
          <w:szCs w:val="24"/>
        </w:rPr>
        <w:t xml:space="preserve"> by</w:t>
      </w:r>
      <w:r w:rsidRPr="00C27016">
        <w:rPr>
          <w:rFonts w:ascii="Times New Roman" w:hAnsi="Times New Roman" w:cs="Times New Roman"/>
          <w:sz w:val="24"/>
          <w:szCs w:val="24"/>
        </w:rPr>
        <w:t xml:space="preserve">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{"citationItems":[{"id":"ITEM-1","itemData":{"DOI":"10.1007/s11104-014-2151-4","ISSN":"0032079X","abstract":"Background and aims: Fine root decomposition contributes significantly to element cycling in terrestrial ecosystems. However, studies on root decomposition rates and on the factors that potentially influence them are fewer than those on leaf litter decomposition. To study the effects of region and land use intensity on fine root decomposition, we established a large scale study in three German regions with different climate regimes and soil properties. Methods In 150 forest and 150 grassland sites we deployed litterbags (100 μm mesh size) with standardized litter consisting of fine roots from European beech in forests and from a lowland mesophilous hay meadow in grasslands. In the central study region, we compared decomposition rates of this standardized litter with root litter collected on-site to separate the effect of litter quality from environmental factors. Results: Standardized herbaceous roots in grassland soils decomposed on average significantly faster (24 ± 6 % mass loss after 12 months, mean ± SD) than beech roots in forest soils (12 ± 4 %; p &lt; 0.001). Fine root decomposition varied among the three study regions. Land use intensity, in particular N addition, decreased fine root decomposition in grasslands. The initial lignin:N ratio explained 15 % of the variance in grasslands and 11 % in forests. Soil moisture, soil temperature, and C:N ratios of soils together explained 34 % of the variance of the fine root mass loss in grasslands, and 24 % in forests. Conclusions: Grasslands, which have higher fine root biomass and root turnover compared to forests, also have higher rates of root decomposition. Our results further show that at the regional scale fine root decomposition is influenced by environmental variables such as soil moisture, soil temperature and soil nutrient content. Additional variation is explained by root litter quality. © 2014 The Author(s).","author":[{"dropping-particle":"","family":"Solly","given":"E.","non-dropping-particle":"","parse-names":false,"suffix":""},{"dropping-particle":"","family":"Schöning","given":"I.","non-dropping-particle":"","parse-names":false,"suffix":""},{"dropping-particle":"","family":"Boch","given":"S.","non-dropping-particle":"","parse-names":false,"suffix":""},{"dropping-particle":"","family":"Kandeler","given":"E.","non-dropping-particle":"","parse-names":false,"suffix":""},{"dropping-particle":"","family":"Marhan","given":"S.","non-dropping-particle":"","parse-names":false,"suffix":""},{"dropping-particle":"","family":"Michalzik","given":"B.","non-dropping-particle":"","parse-names":false,"suffix":""},{"dropping-particle":"","family":"Müller","given":"J.","non-dropping-particle":"","parse-names":false,"suffix":""},{"dropping-particle":"","family":"Zscheischler","given":"J.","non-dropping-particle":"","parse-names":false,"suffix":""},{"dropping-particle":"","family":"Trumbore","given":"S.E.","non-dropping-particle":"","parse-names":false,"suffix":""},{"dropping-particle":"","family":"Schrumpf","given":"M.","non-dropping-particle":"","parse-names":false,"suffix":""}],"container-title":"Plant and Soil","id":"ITEM-1","issue":"1-2","issued":{"date-parts":[["2014"]]},"page":"203-218","title":"Factors controlling decomposition rates of fine root litter in temperate forests and grasslands","type":"article-journal","volume":"382"},"uris":["http://www.mendeley.com/documents/?uuid=76eba988-1a13-46ae-91aa-a806082bff70","http://www.mendeley.com/documents/?uuid=cbb95a29-2dfa-4bdd-95d5-ffde60c2f420"]}],"mendeley":{"formattedCitation":"(Solly et al., 2014)","plainTextFormattedCitation":"(Solly et al., 2014)","previouslyFormattedCitation":"(Solly et al., 2014)"},"properties":{"noteIndex":0},"schema":"https://github.com/citation-style-language/schema/raw/master/csl-citation.json"}</w:instrText>
      </w:r>
      <w:r w:rsidRPr="00C27016">
        <w:rPr>
          <w:rFonts w:ascii="Times New Roman" w:hAnsi="Times New Roman" w:cs="Times New Roman"/>
          <w:sz w:val="24"/>
          <w:szCs w:val="24"/>
        </w:rPr>
        <w:fldChar w:fldCharType="separate"/>
      </w:r>
      <w:r w:rsidR="00AB2DB9">
        <w:rPr>
          <w:rFonts w:ascii="Times New Roman" w:hAnsi="Times New Roman" w:cs="Times New Roman"/>
          <w:noProof/>
          <w:sz w:val="24"/>
          <w:szCs w:val="24"/>
        </w:rPr>
        <w:t>Solly et al</w:t>
      </w:r>
      <w:r w:rsidR="008274A5">
        <w:rPr>
          <w:rFonts w:ascii="Times New Roman" w:hAnsi="Times New Roman" w:cs="Times New Roman"/>
          <w:noProof/>
          <w:sz w:val="24"/>
          <w:szCs w:val="24"/>
        </w:rPr>
        <w:t>.</w:t>
      </w:r>
      <w:r w:rsidRPr="005238BD">
        <w:rPr>
          <w:rFonts w:ascii="Times New Roman" w:hAnsi="Times New Roman" w:cs="Times New Roman"/>
          <w:noProof/>
          <w:sz w:val="24"/>
          <w:szCs w:val="24"/>
        </w:rPr>
        <w:t xml:space="preserve"> </w:t>
      </w:r>
      <w:r w:rsidR="00AB2DB9">
        <w:rPr>
          <w:rFonts w:ascii="Times New Roman" w:hAnsi="Times New Roman" w:cs="Times New Roman"/>
          <w:noProof/>
          <w:sz w:val="24"/>
          <w:szCs w:val="24"/>
        </w:rPr>
        <w:t>(</w:t>
      </w:r>
      <w:r w:rsidRPr="005238BD">
        <w:rPr>
          <w:rFonts w:ascii="Times New Roman" w:hAnsi="Times New Roman" w:cs="Times New Roman"/>
          <w:noProof/>
          <w:sz w:val="24"/>
          <w:szCs w:val="24"/>
        </w:rPr>
        <w:t>2014)</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Two ecosystem types (forest and grassland) were sam</w:t>
      </w:r>
      <w:r w:rsidR="00AB2DB9">
        <w:rPr>
          <w:rFonts w:ascii="Times New Roman" w:hAnsi="Times New Roman" w:cs="Times New Roman"/>
          <w:sz w:val="24"/>
          <w:szCs w:val="24"/>
        </w:rPr>
        <w:t xml:space="preserve">pled from </w:t>
      </w:r>
      <w:r w:rsidRPr="00C27016">
        <w:rPr>
          <w:rFonts w:ascii="Times New Roman" w:hAnsi="Times New Roman" w:cs="Times New Roman"/>
          <w:sz w:val="24"/>
          <w:szCs w:val="24"/>
        </w:rPr>
        <w:t>two regions</w:t>
      </w:r>
      <w:r w:rsidR="00C24DE7">
        <w:rPr>
          <w:rFonts w:ascii="Times New Roman" w:hAnsi="Times New Roman" w:cs="Times New Roman"/>
          <w:sz w:val="24"/>
          <w:szCs w:val="24"/>
        </w:rPr>
        <w:t xml:space="preserve"> of </w:t>
      </w:r>
      <w:r w:rsidR="00985308">
        <w:rPr>
          <w:rFonts w:ascii="Times New Roman" w:hAnsi="Times New Roman" w:cs="Times New Roman"/>
          <w:sz w:val="24"/>
          <w:szCs w:val="24"/>
        </w:rPr>
        <w:t xml:space="preserve">central </w:t>
      </w:r>
      <w:r w:rsidR="00C24DE7">
        <w:rPr>
          <w:rFonts w:ascii="Times New Roman" w:hAnsi="Times New Roman" w:cs="Times New Roman"/>
          <w:sz w:val="24"/>
          <w:szCs w:val="24"/>
        </w:rPr>
        <w:t>Germany</w:t>
      </w:r>
      <w:r w:rsidRPr="00C27016">
        <w:rPr>
          <w:rFonts w:ascii="Times New Roman" w:hAnsi="Times New Roman" w:cs="Times New Roman"/>
          <w:sz w:val="24"/>
          <w:szCs w:val="24"/>
        </w:rPr>
        <w:t>, Schorheide-Chorin</w:t>
      </w:r>
      <w:r w:rsidR="00985308">
        <w:rPr>
          <w:rFonts w:ascii="Times New Roman" w:hAnsi="Times New Roman" w:cs="Times New Roman"/>
          <w:sz w:val="24"/>
          <w:szCs w:val="24"/>
        </w:rPr>
        <w:t xml:space="preserve"> (Central Germany 1) and Hainich-Dün (Central Germany 2)</w:t>
      </w:r>
      <w:r w:rsidRPr="00C27016">
        <w:rPr>
          <w:rFonts w:ascii="Times New Roman" w:hAnsi="Times New Roman" w:cs="Times New Roman"/>
          <w:sz w:val="24"/>
          <w:szCs w:val="24"/>
        </w:rPr>
        <w:t xml:space="preserve">. </w:t>
      </w:r>
      <w:r w:rsidR="00AB2DB9">
        <w:rPr>
          <w:rFonts w:ascii="Times New Roman" w:hAnsi="Times New Roman" w:cs="Times New Roman"/>
          <w:sz w:val="24"/>
          <w:szCs w:val="24"/>
        </w:rPr>
        <w:t>The two regions have similar climates, but are characterized by different soil textures (</w:t>
      </w:r>
      <w:r w:rsidR="00AB2DB9" w:rsidRPr="00C27016">
        <w:rPr>
          <w:rFonts w:ascii="Times New Roman" w:hAnsi="Times New Roman" w:cs="Times New Roman"/>
          <w:sz w:val="24"/>
          <w:szCs w:val="24"/>
        </w:rPr>
        <w:t>Table 1)</w:t>
      </w:r>
      <w:r w:rsidR="00AB2DB9">
        <w:rPr>
          <w:rFonts w:ascii="Times New Roman" w:hAnsi="Times New Roman" w:cs="Times New Roman"/>
          <w:sz w:val="24"/>
          <w:szCs w:val="24"/>
        </w:rPr>
        <w:t xml:space="preserve">. </w:t>
      </w:r>
      <w:r w:rsidRPr="00C27016">
        <w:rPr>
          <w:rFonts w:ascii="Times New Roman" w:hAnsi="Times New Roman" w:cs="Times New Roman"/>
          <w:sz w:val="24"/>
          <w:szCs w:val="24"/>
        </w:rPr>
        <w:t>We used the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 signature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sidR="00F456D2">
        <w:rPr>
          <w:rFonts w:ascii="Times New Roman" w:hAnsi="Times New Roman" w:cs="Times New Roman"/>
          <w:sz w:val="24"/>
          <w:szCs w:val="24"/>
        </w:rPr>
        <w:t>(</w:t>
      </w:r>
      <w:r w:rsidR="00F456D2" w:rsidRPr="00C27016">
        <w:rPr>
          <w:rFonts w:ascii="Times New Roman" w:hAnsi="Times New Roman" w:cs="Times New Roman"/>
          <w:sz w:val="24"/>
          <w:szCs w:val="24"/>
        </w:rPr>
        <w:t>δ</w:t>
      </w:r>
      <w:r w:rsidR="00F456D2" w:rsidRPr="00C27016">
        <w:rPr>
          <w:rFonts w:ascii="Times New Roman" w:hAnsi="Times New Roman" w:cs="Times New Roman"/>
          <w:sz w:val="24"/>
          <w:szCs w:val="24"/>
          <w:vertAlign w:val="superscript"/>
        </w:rPr>
        <w:t>13</w:t>
      </w:r>
      <w:r w:rsidR="00F456D2" w:rsidRPr="00C27016">
        <w:rPr>
          <w:rFonts w:ascii="Times New Roman" w:hAnsi="Times New Roman" w:cs="Times New Roman"/>
          <w:sz w:val="24"/>
          <w:szCs w:val="24"/>
        </w:rPr>
        <w:t>C-CO</w:t>
      </w:r>
      <w:r w:rsidR="00F456D2" w:rsidRPr="00C27016">
        <w:rPr>
          <w:rFonts w:ascii="Times New Roman" w:hAnsi="Times New Roman" w:cs="Times New Roman"/>
          <w:sz w:val="24"/>
          <w:szCs w:val="24"/>
          <w:vertAlign w:val="subscript"/>
        </w:rPr>
        <w:t>2</w:t>
      </w:r>
      <w:r w:rsidR="00F456D2">
        <w:rPr>
          <w:rFonts w:ascii="Times New Roman" w:hAnsi="Times New Roman" w:cs="Times New Roman"/>
          <w:sz w:val="24"/>
          <w:szCs w:val="24"/>
        </w:rPr>
        <w:t xml:space="preserve">) </w:t>
      </w:r>
      <w:r w:rsidRPr="00C27016">
        <w:rPr>
          <w:rFonts w:ascii="Times New Roman" w:hAnsi="Times New Roman" w:cs="Times New Roman"/>
          <w:sz w:val="24"/>
          <w:szCs w:val="24"/>
        </w:rPr>
        <w:t xml:space="preserve">from the </w:t>
      </w:r>
      <w:r w:rsidR="007661B0">
        <w:rPr>
          <w:rFonts w:ascii="Times New Roman" w:hAnsi="Times New Roman" w:cs="Times New Roman"/>
          <w:sz w:val="24"/>
          <w:szCs w:val="24"/>
        </w:rPr>
        <w:t xml:space="preserve">second enclosure period of the </w:t>
      </w:r>
      <w:r w:rsidRPr="00C27016">
        <w:rPr>
          <w:rFonts w:ascii="Times New Roman" w:hAnsi="Times New Roman" w:cs="Times New Roman"/>
          <w:sz w:val="24"/>
          <w:szCs w:val="24"/>
        </w:rPr>
        <w:t>incubations conducted in 2011 to omit samples containing inorganic carbon, conservatively deeming any samples with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&gt; -25‰ as potentially affected by the release of inorganic C</w:t>
      </w:r>
      <w:r w:rsidRPr="00C27016">
        <w:rPr>
          <w:rFonts w:ascii="Times New Roman" w:eastAsia="Arial Unicode MS" w:hAnsi="Times New Roman" w:cs="Times New Roman"/>
          <w:sz w:val="24"/>
          <w:szCs w:val="24"/>
        </w:rPr>
        <w:t xml:space="preserve"> (which may be present in previously limed soils in this region). We then selected soils from three grassland plots (50 m by 50 m) and three forest plots (100 m by 100 m) in each of the two geographic regions (n total = 12 sites), using the additional criterium that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observed in the 2011 incubations fell within the interquartile range observed for the ecosystem type and region. Further details on the soil collection and sampling strategy can be found in Solly et al. (2014).</w:t>
      </w:r>
    </w:p>
    <w:p w14:paraId="0B3B9707" w14:textId="112B31E2" w:rsidR="005673F0" w:rsidRPr="00C27016" w:rsidRDefault="00AB2DB9" w:rsidP="005673F0">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2.1</w:t>
      </w:r>
      <w:r w:rsidR="005673F0">
        <w:rPr>
          <w:rFonts w:ascii="Times New Roman" w:hAnsi="Times New Roman" w:cs="Times New Roman"/>
          <w:sz w:val="24"/>
          <w:szCs w:val="24"/>
        </w:rPr>
        <w:t>.</w:t>
      </w:r>
      <w:r>
        <w:rPr>
          <w:rFonts w:ascii="Times New Roman" w:hAnsi="Times New Roman" w:cs="Times New Roman"/>
          <w:sz w:val="24"/>
          <w:szCs w:val="24"/>
        </w:rPr>
        <w:t>2</w:t>
      </w:r>
      <w:r w:rsidR="005673F0" w:rsidRPr="00C27016">
        <w:rPr>
          <w:rFonts w:ascii="Times New Roman" w:hAnsi="Times New Roman" w:cs="Times New Roman"/>
          <w:sz w:val="24"/>
          <w:szCs w:val="24"/>
        </w:rPr>
        <w:t xml:space="preserve"> </w:t>
      </w:r>
      <w:r w:rsidR="00FE06A1">
        <w:rPr>
          <w:rFonts w:ascii="Times New Roman" w:hAnsi="Times New Roman" w:cs="Times New Roman"/>
          <w:sz w:val="24"/>
          <w:szCs w:val="24"/>
        </w:rPr>
        <w:t>Experiment 1 s</w:t>
      </w:r>
      <w:r>
        <w:rPr>
          <w:rFonts w:ascii="Times New Roman" w:hAnsi="Times New Roman" w:cs="Times New Roman"/>
          <w:sz w:val="24"/>
          <w:szCs w:val="24"/>
        </w:rPr>
        <w:t>ample</w:t>
      </w:r>
      <w:r w:rsidR="005673F0" w:rsidRPr="00C27016">
        <w:rPr>
          <w:rFonts w:ascii="Times New Roman" w:hAnsi="Times New Roman" w:cs="Times New Roman"/>
          <w:sz w:val="24"/>
          <w:szCs w:val="24"/>
        </w:rPr>
        <w:t xml:space="preserve"> preparation</w:t>
      </w:r>
    </w:p>
    <w:p w14:paraId="3E76D075" w14:textId="77777777" w:rsidR="00E35B46" w:rsidRDefault="005673F0" w:rsidP="005673F0">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Following sample collection, soils for Experiment 1 were sieved to &lt;2 mm at field-moisture and water holding capacity was determined on a 10 g subsample. The remaining soil was then split, with one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air-dried at 40º C (air-dry</w:t>
      </w:r>
      <w:r>
        <w:rPr>
          <w:rFonts w:ascii="Times New Roman" w:hAnsi="Times New Roman" w:cs="Times New Roman"/>
          <w:sz w:val="24"/>
          <w:szCs w:val="24"/>
        </w:rPr>
        <w:t>/rewet</w:t>
      </w:r>
      <w:r w:rsidRPr="00C27016">
        <w:rPr>
          <w:rFonts w:ascii="Times New Roman" w:hAnsi="Times New Roman" w:cs="Times New Roman"/>
          <w:sz w:val="24"/>
          <w:szCs w:val="24"/>
        </w:rPr>
        <w:t xml:space="preserve"> + storage </w:t>
      </w:r>
      <w:r w:rsidR="00AB2DB9">
        <w:rPr>
          <w:rFonts w:ascii="Times New Roman" w:hAnsi="Times New Roman" w:cs="Times New Roman"/>
          <w:sz w:val="24"/>
          <w:szCs w:val="24"/>
        </w:rPr>
        <w:t>treatment samples, n = 12</w:t>
      </w:r>
      <w:r w:rsidRPr="00C27016">
        <w:rPr>
          <w:rFonts w:ascii="Times New Roman" w:hAnsi="Times New Roman" w:cs="Times New Roman"/>
          <w:sz w:val="24"/>
          <w:szCs w:val="24"/>
        </w:rPr>
        <w:t>), while the other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was left at field moisture (control-1</w:t>
      </w:r>
      <w:r w:rsidR="00AB2DB9">
        <w:rPr>
          <w:rFonts w:ascii="Times New Roman" w:hAnsi="Times New Roman" w:cs="Times New Roman"/>
          <w:sz w:val="24"/>
          <w:szCs w:val="24"/>
        </w:rPr>
        <w:t xml:space="preserve"> samples, n = 12</w:t>
      </w:r>
      <w:r w:rsidRPr="00C27016">
        <w:rPr>
          <w:rFonts w:ascii="Times New Roman" w:hAnsi="Times New Roman" w:cs="Times New Roman"/>
          <w:sz w:val="24"/>
          <w:szCs w:val="24"/>
        </w:rPr>
        <w:t xml:space="preserve">). </w:t>
      </w:r>
      <w:r w:rsidR="00E35B46" w:rsidRPr="00C27016">
        <w:rPr>
          <w:rFonts w:ascii="Times New Roman" w:hAnsi="Times New Roman" w:cs="Times New Roman"/>
          <w:sz w:val="24"/>
          <w:szCs w:val="24"/>
        </w:rPr>
        <w:t xml:space="preserve">Control-1 </w:t>
      </w:r>
      <w:r w:rsidR="00E35B46">
        <w:rPr>
          <w:rFonts w:ascii="Times New Roman" w:hAnsi="Times New Roman" w:cs="Times New Roman"/>
          <w:sz w:val="24"/>
          <w:szCs w:val="24"/>
        </w:rPr>
        <w:t xml:space="preserve">samples </w:t>
      </w:r>
      <w:r w:rsidR="00E35B46" w:rsidRPr="00C27016">
        <w:rPr>
          <w:rFonts w:ascii="Times New Roman" w:hAnsi="Times New Roman" w:cs="Times New Roman"/>
          <w:sz w:val="24"/>
          <w:szCs w:val="24"/>
        </w:rPr>
        <w:t>were stored in re-sealable plastic bags at 4º C until incubation. After air-drying, air-dry</w:t>
      </w:r>
      <w:r w:rsidR="00E35B46">
        <w:rPr>
          <w:rFonts w:ascii="Times New Roman" w:hAnsi="Times New Roman" w:cs="Times New Roman"/>
          <w:sz w:val="24"/>
          <w:szCs w:val="24"/>
        </w:rPr>
        <w:t>/rewet</w:t>
      </w:r>
      <w:r w:rsidR="00E35B46" w:rsidRPr="00C27016">
        <w:rPr>
          <w:rFonts w:ascii="Times New Roman" w:hAnsi="Times New Roman" w:cs="Times New Roman"/>
          <w:sz w:val="24"/>
          <w:szCs w:val="24"/>
        </w:rPr>
        <w:t xml:space="preserve"> + storage samples</w:t>
      </w:r>
      <w:r w:rsidR="00E35B46">
        <w:rPr>
          <w:rFonts w:ascii="Times New Roman" w:hAnsi="Times New Roman" w:cs="Times New Roman"/>
          <w:sz w:val="24"/>
          <w:szCs w:val="24"/>
        </w:rPr>
        <w:t xml:space="preserve"> </w:t>
      </w:r>
      <w:r w:rsidR="00E35B46" w:rsidRPr="00C27016">
        <w:rPr>
          <w:rFonts w:ascii="Times New Roman" w:hAnsi="Times New Roman" w:cs="Times New Roman"/>
          <w:sz w:val="24"/>
          <w:szCs w:val="24"/>
        </w:rPr>
        <w:t>were placed in re-sealable plastic bags, and stored inside large plastic boxes in a cool (ca. 15º C) dark room for seven years.</w:t>
      </w:r>
    </w:p>
    <w:p w14:paraId="70E5569A" w14:textId="54EED106" w:rsidR="005673F0" w:rsidRPr="00C27016" w:rsidRDefault="00F456D2" w:rsidP="005673F0">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An additional 10g aliquot was removed from the air-dried sample </w:t>
      </w:r>
      <w:r w:rsidR="00E35B46">
        <w:rPr>
          <w:rFonts w:ascii="Times New Roman" w:hAnsi="Times New Roman" w:cs="Times New Roman"/>
          <w:sz w:val="24"/>
          <w:szCs w:val="24"/>
        </w:rPr>
        <w:t xml:space="preserve">and further dried at 105ºC </w:t>
      </w:r>
      <w:r>
        <w:rPr>
          <w:rFonts w:ascii="Times New Roman" w:hAnsi="Times New Roman" w:cs="Times New Roman"/>
          <w:sz w:val="24"/>
          <w:szCs w:val="24"/>
        </w:rPr>
        <w:t>in order to determine water holding capacity (WHC). Briefly, t</w:t>
      </w:r>
      <w:r w:rsidR="00E35B46">
        <w:rPr>
          <w:rFonts w:ascii="Times New Roman" w:hAnsi="Times New Roman" w:cs="Times New Roman"/>
          <w:sz w:val="24"/>
          <w:szCs w:val="24"/>
        </w:rPr>
        <w:t>he tip was removed from a</w:t>
      </w:r>
      <w:r>
        <w:rPr>
          <w:rFonts w:ascii="Times New Roman" w:hAnsi="Times New Roman" w:cs="Times New Roman"/>
          <w:sz w:val="24"/>
          <w:szCs w:val="24"/>
        </w:rPr>
        <w:t xml:space="preserve"> 50 ml centrifuge tube and covered with a fine mesh (&lt;50 µm). The tube was filled with soil and placed </w:t>
      </w:r>
      <w:r w:rsidR="00E35B46">
        <w:rPr>
          <w:rFonts w:ascii="Times New Roman" w:hAnsi="Times New Roman" w:cs="Times New Roman"/>
          <w:sz w:val="24"/>
          <w:szCs w:val="24"/>
        </w:rPr>
        <w:t xml:space="preserve">mesh-side down overnight in a glass dish filled with a mass of water equal to twice that of the mass of soil. The following day </w:t>
      </w:r>
      <w:r w:rsidR="003E0A1A">
        <w:rPr>
          <w:rFonts w:ascii="Times New Roman" w:hAnsi="Times New Roman" w:cs="Times New Roman"/>
          <w:sz w:val="24"/>
          <w:szCs w:val="24"/>
        </w:rPr>
        <w:t xml:space="preserve">the tube was </w:t>
      </w:r>
      <w:r w:rsidR="00E35B46">
        <w:rPr>
          <w:rFonts w:ascii="Times New Roman" w:hAnsi="Times New Roman" w:cs="Times New Roman"/>
          <w:sz w:val="24"/>
          <w:szCs w:val="24"/>
        </w:rPr>
        <w:t>moved to a second glass dish filled with sand and allowed to drain for 30 minutes</w:t>
      </w:r>
      <w:r w:rsidR="00186AF3">
        <w:rPr>
          <w:rFonts w:ascii="Times New Roman" w:hAnsi="Times New Roman" w:cs="Times New Roman"/>
          <w:sz w:val="24"/>
          <w:szCs w:val="24"/>
        </w:rPr>
        <w:t xml:space="preserve"> before weighing again (wet mass). WHC is defined as the difference between the wet mass and the oven-dry mass over the oven-dry mass. </w:t>
      </w:r>
    </w:p>
    <w:p w14:paraId="1794C46D" w14:textId="2CAF4A81" w:rsidR="005673F0" w:rsidRPr="00C27016" w:rsidRDefault="00832A93" w:rsidP="005673F0">
      <w:pPr>
        <w:pStyle w:val="Normal1"/>
        <w:spacing w:before="120" w:line="360" w:lineRule="auto"/>
        <w:ind w:firstLine="720"/>
        <w:rPr>
          <w:rFonts w:ascii="Times New Roman" w:hAnsi="Times New Roman" w:cs="Times New Roman"/>
          <w:strike/>
          <w:color w:val="1155CC"/>
          <w:sz w:val="24"/>
          <w:szCs w:val="24"/>
        </w:rPr>
      </w:pPr>
      <w:r>
        <w:rPr>
          <w:rFonts w:ascii="Times New Roman" w:hAnsi="Times New Roman" w:cs="Times New Roman"/>
          <w:sz w:val="24"/>
          <w:szCs w:val="24"/>
        </w:rPr>
        <w:t>2.1.3</w:t>
      </w:r>
      <w:r w:rsidR="005673F0" w:rsidRPr="00C27016">
        <w:rPr>
          <w:rFonts w:ascii="Times New Roman" w:hAnsi="Times New Roman" w:cs="Times New Roman"/>
          <w:color w:val="1155CC"/>
          <w:sz w:val="24"/>
          <w:szCs w:val="24"/>
        </w:rPr>
        <w:t xml:space="preserve"> </w:t>
      </w:r>
      <w:r w:rsidR="00FE06A1">
        <w:rPr>
          <w:rFonts w:ascii="Times New Roman" w:hAnsi="Times New Roman" w:cs="Times New Roman"/>
          <w:sz w:val="24"/>
          <w:szCs w:val="24"/>
        </w:rPr>
        <w:t>Experiment 1 i</w:t>
      </w:r>
      <w:r w:rsidR="005673F0" w:rsidRPr="00C27016">
        <w:rPr>
          <w:rFonts w:ascii="Times New Roman" w:hAnsi="Times New Roman" w:cs="Times New Roman"/>
          <w:sz w:val="24"/>
          <w:szCs w:val="24"/>
        </w:rPr>
        <w:t>ncubations</w:t>
      </w:r>
    </w:p>
    <w:p w14:paraId="04B4227F" w14:textId="135DD419" w:rsidR="00565045" w:rsidRDefault="00832A93" w:rsidP="00FF4D47">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Control-1 </w:t>
      </w:r>
      <w:r w:rsidR="005673F0" w:rsidRPr="00C27016">
        <w:rPr>
          <w:rFonts w:ascii="Times New Roman" w:hAnsi="Times New Roman" w:cs="Times New Roman"/>
          <w:sz w:val="24"/>
          <w:szCs w:val="24"/>
        </w:rPr>
        <w:t>incubations were performed on single samples</w:t>
      </w:r>
      <w:r>
        <w:rPr>
          <w:rFonts w:ascii="Times New Roman" w:hAnsi="Times New Roman" w:cs="Times New Roman"/>
          <w:sz w:val="24"/>
          <w:szCs w:val="24"/>
        </w:rPr>
        <w:t xml:space="preserve"> due to time and space limitations within the original expe</w:t>
      </w:r>
      <w:r w:rsidR="00FF4D47">
        <w:rPr>
          <w:rFonts w:ascii="Times New Roman" w:hAnsi="Times New Roman" w:cs="Times New Roman"/>
          <w:sz w:val="24"/>
          <w:szCs w:val="24"/>
        </w:rPr>
        <w:t>riment. S</w:t>
      </w:r>
      <w:r w:rsidR="005673F0" w:rsidRPr="00C27016">
        <w:rPr>
          <w:rFonts w:ascii="Times New Roman" w:hAnsi="Times New Roman" w:cs="Times New Roman"/>
          <w:sz w:val="24"/>
          <w:szCs w:val="24"/>
        </w:rPr>
        <w:t xml:space="preserve">oils were weighed out into 250 ml beakers and placed into 1000 ml mason jars with airtight lids fitted with two sampling ports. The mass of soil used for control-1 </w:t>
      </w:r>
      <w:r w:rsidR="003B6D54">
        <w:rPr>
          <w:rFonts w:ascii="Times New Roman" w:hAnsi="Times New Roman" w:cs="Times New Roman"/>
          <w:sz w:val="24"/>
          <w:szCs w:val="24"/>
        </w:rPr>
        <w:t>incubations</w:t>
      </w:r>
      <w:r w:rsidR="005673F0" w:rsidRPr="00C27016">
        <w:rPr>
          <w:rFonts w:ascii="Times New Roman" w:hAnsi="Times New Roman" w:cs="Times New Roman"/>
          <w:sz w:val="24"/>
          <w:szCs w:val="24"/>
        </w:rPr>
        <w:t xml:space="preserve"> ranged from </w:t>
      </w:r>
      <w:r w:rsidR="00163A7C">
        <w:rPr>
          <w:rFonts w:ascii="Times New Roman" w:hAnsi="Times New Roman" w:cs="Times New Roman"/>
          <w:sz w:val="24"/>
          <w:szCs w:val="24"/>
        </w:rPr>
        <w:t>45</w:t>
      </w:r>
      <w:r w:rsidR="005673F0" w:rsidRPr="00C27016">
        <w:rPr>
          <w:rFonts w:ascii="Times New Roman" w:hAnsi="Times New Roman" w:cs="Times New Roman"/>
          <w:sz w:val="24"/>
          <w:szCs w:val="24"/>
        </w:rPr>
        <w:t xml:space="preserve"> g to </w:t>
      </w:r>
      <w:r w:rsidR="00163A7C">
        <w:rPr>
          <w:rFonts w:ascii="Times New Roman" w:hAnsi="Times New Roman" w:cs="Times New Roman"/>
          <w:sz w:val="24"/>
          <w:szCs w:val="24"/>
        </w:rPr>
        <w:t>75 g (air-dry equivalent)</w:t>
      </w:r>
      <w:r w:rsidR="005673F0" w:rsidRPr="00C27016">
        <w:rPr>
          <w:rFonts w:ascii="Times New Roman" w:hAnsi="Times New Roman" w:cs="Times New Roman"/>
          <w:sz w:val="24"/>
          <w:szCs w:val="24"/>
        </w:rPr>
        <w:t xml:space="preserve"> </w:t>
      </w:r>
      <w:r w:rsidR="0085382B">
        <w:rPr>
          <w:rFonts w:ascii="Times New Roman" w:hAnsi="Times New Roman" w:cs="Times New Roman"/>
          <w:sz w:val="24"/>
          <w:szCs w:val="24"/>
        </w:rPr>
        <w:t>based on estimated respiration rates f</w:t>
      </w:r>
      <w:r w:rsidR="00905211">
        <w:rPr>
          <w:rFonts w:ascii="Times New Roman" w:hAnsi="Times New Roman" w:cs="Times New Roman"/>
          <w:sz w:val="24"/>
          <w:szCs w:val="24"/>
        </w:rPr>
        <w:t xml:space="preserve">rom </w:t>
      </w:r>
      <w:r w:rsidR="003B6D54">
        <w:rPr>
          <w:rFonts w:ascii="Times New Roman" w:hAnsi="Times New Roman" w:cs="Times New Roman"/>
          <w:sz w:val="24"/>
          <w:szCs w:val="24"/>
        </w:rPr>
        <w:t>previous work at the sites. Soil masses were adjusted</w:t>
      </w:r>
      <w:r w:rsidR="00905211">
        <w:rPr>
          <w:rFonts w:ascii="Times New Roman" w:hAnsi="Times New Roman" w:cs="Times New Roman"/>
          <w:sz w:val="24"/>
          <w:szCs w:val="24"/>
        </w:rPr>
        <w:t xml:space="preserve"> </w:t>
      </w:r>
      <w:r w:rsidR="003B6D54">
        <w:rPr>
          <w:rFonts w:ascii="Times New Roman" w:hAnsi="Times New Roman" w:cs="Times New Roman"/>
          <w:sz w:val="24"/>
          <w:szCs w:val="24"/>
        </w:rPr>
        <w:t xml:space="preserve">to </w:t>
      </w:r>
      <w:r w:rsidR="00905211">
        <w:rPr>
          <w:rFonts w:ascii="Times New Roman" w:hAnsi="Times New Roman" w:cs="Times New Roman"/>
          <w:sz w:val="24"/>
          <w:szCs w:val="24"/>
        </w:rPr>
        <w:t xml:space="preserve">ensure </w:t>
      </w:r>
      <w:r w:rsidR="003B6D54">
        <w:rPr>
          <w:rFonts w:ascii="Times New Roman" w:hAnsi="Times New Roman" w:cs="Times New Roman"/>
          <w:sz w:val="24"/>
          <w:szCs w:val="24"/>
        </w:rPr>
        <w:t xml:space="preserve">that </w:t>
      </w:r>
      <w:r w:rsidR="00905211">
        <w:rPr>
          <w:rFonts w:ascii="Times New Roman" w:hAnsi="Times New Roman" w:cs="Times New Roman"/>
          <w:sz w:val="24"/>
          <w:szCs w:val="24"/>
        </w:rPr>
        <w:t>enough CO</w:t>
      </w:r>
      <w:r w:rsidR="00905211" w:rsidRPr="00905211">
        <w:rPr>
          <w:rFonts w:ascii="Times New Roman" w:hAnsi="Times New Roman" w:cs="Times New Roman"/>
          <w:sz w:val="24"/>
          <w:szCs w:val="24"/>
          <w:vertAlign w:val="subscript"/>
        </w:rPr>
        <w:t>2</w:t>
      </w:r>
      <w:r w:rsidR="00905211">
        <w:rPr>
          <w:rFonts w:ascii="Times New Roman" w:hAnsi="Times New Roman" w:cs="Times New Roman"/>
          <w:sz w:val="24"/>
          <w:szCs w:val="24"/>
        </w:rPr>
        <w:t xml:space="preserve"> would be respired to measure ∆</w:t>
      </w:r>
      <w:r w:rsidR="00905211" w:rsidRPr="00C05339">
        <w:rPr>
          <w:rFonts w:ascii="Times New Roman" w:hAnsi="Times New Roman" w:cs="Times New Roman"/>
          <w:sz w:val="24"/>
          <w:szCs w:val="24"/>
          <w:vertAlign w:val="superscript"/>
        </w:rPr>
        <w:t>14</w:t>
      </w:r>
      <w:r w:rsidR="00905211">
        <w:rPr>
          <w:rFonts w:ascii="Times New Roman" w:hAnsi="Times New Roman" w:cs="Times New Roman"/>
          <w:sz w:val="24"/>
          <w:szCs w:val="24"/>
        </w:rPr>
        <w:t>C-CO</w:t>
      </w:r>
      <w:r w:rsidR="00905211" w:rsidRPr="00C05339">
        <w:rPr>
          <w:rFonts w:ascii="Times New Roman" w:hAnsi="Times New Roman" w:cs="Times New Roman"/>
          <w:sz w:val="24"/>
          <w:szCs w:val="24"/>
          <w:vertAlign w:val="subscript"/>
        </w:rPr>
        <w:t>2</w:t>
      </w:r>
      <w:r w:rsidR="00905211">
        <w:rPr>
          <w:rFonts w:ascii="Times New Roman" w:hAnsi="Times New Roman" w:cs="Times New Roman"/>
          <w:sz w:val="24"/>
          <w:szCs w:val="24"/>
        </w:rPr>
        <w:t xml:space="preserve"> (&gt; 0.5 mg) </w:t>
      </w:r>
      <w:r w:rsidR="003B6D54">
        <w:rPr>
          <w:rFonts w:ascii="Times New Roman" w:hAnsi="Times New Roman" w:cs="Times New Roman"/>
          <w:sz w:val="24"/>
          <w:szCs w:val="24"/>
        </w:rPr>
        <w:t xml:space="preserve">following the second enclosure period </w:t>
      </w:r>
      <w:r w:rsidR="00905211">
        <w:rPr>
          <w:rFonts w:ascii="Times New Roman" w:hAnsi="Times New Roman" w:cs="Times New Roman"/>
          <w:sz w:val="24"/>
          <w:szCs w:val="24"/>
        </w:rPr>
        <w:t xml:space="preserve">while </w:t>
      </w:r>
      <w:r w:rsidR="003B6D54">
        <w:rPr>
          <w:rFonts w:ascii="Times New Roman" w:hAnsi="Times New Roman" w:cs="Times New Roman"/>
          <w:sz w:val="24"/>
          <w:szCs w:val="24"/>
        </w:rPr>
        <w:t xml:space="preserve">at the same time </w:t>
      </w:r>
      <w:r w:rsidR="00905211">
        <w:rPr>
          <w:rFonts w:ascii="Times New Roman" w:hAnsi="Times New Roman" w:cs="Times New Roman"/>
          <w:sz w:val="24"/>
          <w:szCs w:val="24"/>
        </w:rPr>
        <w:t>preventing excessive CO</w:t>
      </w:r>
      <w:r w:rsidR="00905211" w:rsidRPr="00C05339">
        <w:rPr>
          <w:rFonts w:ascii="Times New Roman" w:hAnsi="Times New Roman" w:cs="Times New Roman"/>
          <w:sz w:val="24"/>
          <w:szCs w:val="24"/>
          <w:vertAlign w:val="subscript"/>
        </w:rPr>
        <w:t>2</w:t>
      </w:r>
      <w:r w:rsidR="00905211">
        <w:rPr>
          <w:rFonts w:ascii="Times New Roman" w:hAnsi="Times New Roman" w:cs="Times New Roman"/>
          <w:sz w:val="24"/>
          <w:szCs w:val="24"/>
        </w:rPr>
        <w:t xml:space="preserve"> build-up as this has been shown to negatively impact heterotrophic respiration (MacFayden 1973; Santruckova and Simek 1994). </w:t>
      </w:r>
      <w:r w:rsidR="00565045">
        <w:rPr>
          <w:rFonts w:ascii="Times New Roman" w:hAnsi="Times New Roman" w:cs="Times New Roman"/>
          <w:sz w:val="24"/>
          <w:szCs w:val="24"/>
        </w:rPr>
        <w:t>S</w:t>
      </w:r>
      <w:r w:rsidR="00565045" w:rsidRPr="00C27016">
        <w:rPr>
          <w:rFonts w:ascii="Times New Roman" w:hAnsi="Times New Roman" w:cs="Times New Roman"/>
          <w:sz w:val="24"/>
          <w:szCs w:val="24"/>
        </w:rPr>
        <w:t>oil moisture</w:t>
      </w:r>
      <w:r w:rsidR="00565045">
        <w:rPr>
          <w:rFonts w:ascii="Times New Roman" w:hAnsi="Times New Roman" w:cs="Times New Roman"/>
          <w:sz w:val="24"/>
          <w:szCs w:val="24"/>
        </w:rPr>
        <w:t xml:space="preserve"> contents</w:t>
      </w:r>
      <w:r w:rsidR="00565045" w:rsidRPr="00C27016">
        <w:rPr>
          <w:rFonts w:ascii="Times New Roman" w:hAnsi="Times New Roman" w:cs="Times New Roman"/>
          <w:sz w:val="24"/>
          <w:szCs w:val="24"/>
        </w:rPr>
        <w:t xml:space="preserve"> </w:t>
      </w:r>
      <w:r w:rsidR="00565045">
        <w:rPr>
          <w:rFonts w:ascii="Times New Roman" w:hAnsi="Times New Roman" w:cs="Times New Roman"/>
          <w:sz w:val="24"/>
          <w:szCs w:val="24"/>
        </w:rPr>
        <w:t>of control-1 samples were</w:t>
      </w:r>
      <w:r w:rsidR="00565045" w:rsidRPr="00C27016">
        <w:rPr>
          <w:rFonts w:ascii="Times New Roman" w:hAnsi="Times New Roman" w:cs="Times New Roman"/>
          <w:sz w:val="24"/>
          <w:szCs w:val="24"/>
        </w:rPr>
        <w:t xml:space="preserve"> adjusted to 60% of water holding capacity (WHC) prior to sealing the jars, </w:t>
      </w:r>
      <w:r w:rsidR="00565045">
        <w:rPr>
          <w:rFonts w:ascii="Times New Roman" w:hAnsi="Times New Roman" w:cs="Times New Roman"/>
          <w:sz w:val="24"/>
          <w:szCs w:val="24"/>
        </w:rPr>
        <w:t>either f</w:t>
      </w:r>
      <w:r w:rsidR="00565045" w:rsidRPr="00C27016">
        <w:rPr>
          <w:rFonts w:ascii="Times New Roman" w:hAnsi="Times New Roman" w:cs="Times New Roman"/>
          <w:sz w:val="24"/>
          <w:szCs w:val="24"/>
        </w:rPr>
        <w:t>rom field moisture (control-1 samples) or from air-dried conditions (air-dry</w:t>
      </w:r>
      <w:r w:rsidR="00565045">
        <w:rPr>
          <w:rFonts w:ascii="Times New Roman" w:hAnsi="Times New Roman" w:cs="Times New Roman"/>
          <w:sz w:val="24"/>
          <w:szCs w:val="24"/>
        </w:rPr>
        <w:t>/rewet</w:t>
      </w:r>
      <w:r w:rsidR="00565045" w:rsidRPr="00C27016">
        <w:rPr>
          <w:rFonts w:ascii="Times New Roman" w:hAnsi="Times New Roman" w:cs="Times New Roman"/>
          <w:sz w:val="24"/>
          <w:szCs w:val="24"/>
        </w:rPr>
        <w:t xml:space="preserve"> </w:t>
      </w:r>
      <w:r w:rsidR="00565045">
        <w:rPr>
          <w:rFonts w:ascii="Times New Roman" w:hAnsi="Times New Roman" w:cs="Times New Roman"/>
          <w:sz w:val="24"/>
          <w:szCs w:val="24"/>
        </w:rPr>
        <w:t xml:space="preserve">+ storage samples). We moistened the soil from the top by means of a perforated luerlock cap attached to a 10 ml syringe that emitted water in small droplets for minimal disturbance. </w:t>
      </w:r>
      <w:r w:rsidR="003B6D54">
        <w:rPr>
          <w:rFonts w:ascii="Times New Roman" w:hAnsi="Times New Roman" w:cs="Times New Roman"/>
          <w:sz w:val="24"/>
          <w:szCs w:val="24"/>
        </w:rPr>
        <w:t xml:space="preserve">All control-1 samples were </w:t>
      </w:r>
      <w:r w:rsidR="008274A5">
        <w:rPr>
          <w:rFonts w:ascii="Times New Roman" w:hAnsi="Times New Roman" w:cs="Times New Roman"/>
          <w:sz w:val="24"/>
          <w:szCs w:val="24"/>
        </w:rPr>
        <w:t xml:space="preserve">incubated for </w:t>
      </w:r>
      <w:r w:rsidR="003B6D54">
        <w:rPr>
          <w:rFonts w:ascii="Times New Roman" w:hAnsi="Times New Roman" w:cs="Times New Roman"/>
          <w:sz w:val="24"/>
          <w:szCs w:val="24"/>
        </w:rPr>
        <w:t xml:space="preserve">4 d </w:t>
      </w:r>
      <w:r w:rsidR="008274A5">
        <w:rPr>
          <w:rFonts w:ascii="Times New Roman" w:hAnsi="Times New Roman" w:cs="Times New Roman"/>
          <w:sz w:val="24"/>
          <w:szCs w:val="24"/>
        </w:rPr>
        <w:t xml:space="preserve">following </w:t>
      </w:r>
      <w:r w:rsidR="00565045">
        <w:rPr>
          <w:rFonts w:ascii="Times New Roman" w:hAnsi="Times New Roman" w:cs="Times New Roman"/>
          <w:sz w:val="24"/>
          <w:szCs w:val="24"/>
        </w:rPr>
        <w:t>moisture adjustment</w:t>
      </w:r>
      <w:r w:rsidR="008274A5">
        <w:rPr>
          <w:rFonts w:ascii="Times New Roman" w:hAnsi="Times New Roman" w:cs="Times New Roman"/>
          <w:sz w:val="24"/>
          <w:szCs w:val="24"/>
        </w:rPr>
        <w:t xml:space="preserve"> (the first enclosure period)</w:t>
      </w:r>
      <w:r w:rsidR="003B6D54">
        <w:rPr>
          <w:rFonts w:ascii="Times New Roman" w:hAnsi="Times New Roman" w:cs="Times New Roman"/>
          <w:sz w:val="24"/>
          <w:szCs w:val="24"/>
        </w:rPr>
        <w:t>, after which the jars were flushed with CO</w:t>
      </w:r>
      <w:r w:rsidR="003B6D54" w:rsidRPr="003B6D54">
        <w:rPr>
          <w:rFonts w:ascii="Times New Roman" w:hAnsi="Times New Roman" w:cs="Times New Roman"/>
          <w:sz w:val="24"/>
          <w:szCs w:val="24"/>
          <w:vertAlign w:val="subscript"/>
        </w:rPr>
        <w:t>2</w:t>
      </w:r>
      <w:r w:rsidR="003B6D54">
        <w:rPr>
          <w:rFonts w:ascii="Times New Roman" w:hAnsi="Times New Roman" w:cs="Times New Roman"/>
          <w:sz w:val="24"/>
          <w:szCs w:val="24"/>
        </w:rPr>
        <w:t>-free air and allowed to accumulate CO</w:t>
      </w:r>
      <w:r w:rsidR="003B6D54" w:rsidRPr="003B6D54">
        <w:rPr>
          <w:rFonts w:ascii="Times New Roman" w:hAnsi="Times New Roman" w:cs="Times New Roman"/>
          <w:sz w:val="24"/>
          <w:szCs w:val="24"/>
          <w:vertAlign w:val="subscript"/>
        </w:rPr>
        <w:t>2</w:t>
      </w:r>
      <w:r w:rsidR="003B6D54">
        <w:rPr>
          <w:rFonts w:ascii="Times New Roman" w:hAnsi="Times New Roman" w:cs="Times New Roman"/>
          <w:sz w:val="24"/>
          <w:szCs w:val="24"/>
        </w:rPr>
        <w:t xml:space="preserve"> for a second enclosure period of 14 d. </w:t>
      </w:r>
    </w:p>
    <w:p w14:paraId="479F2220" w14:textId="3E4A783B" w:rsidR="00565045" w:rsidRDefault="003B6D54" w:rsidP="00565045">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performed the air-dry/rewet + storage treatment incubations in duplicate in order to quantify potential laboratory errors. </w:t>
      </w:r>
      <w:r w:rsidR="00565045">
        <w:rPr>
          <w:rFonts w:ascii="Times New Roman" w:hAnsi="Times New Roman" w:cs="Times New Roman"/>
          <w:sz w:val="24"/>
          <w:szCs w:val="24"/>
        </w:rPr>
        <w:t>However, o</w:t>
      </w:r>
      <w:r w:rsidR="005673F0" w:rsidRPr="00C27016">
        <w:rPr>
          <w:rFonts w:ascii="Times New Roman" w:hAnsi="Times New Roman" w:cs="Times New Roman"/>
          <w:sz w:val="24"/>
          <w:szCs w:val="24"/>
        </w:rPr>
        <w:t xml:space="preserve">wing to </w:t>
      </w:r>
      <w:r w:rsidR="00426C45">
        <w:rPr>
          <w:rFonts w:ascii="Times New Roman" w:hAnsi="Times New Roman" w:cs="Times New Roman"/>
          <w:sz w:val="24"/>
          <w:szCs w:val="24"/>
        </w:rPr>
        <w:t xml:space="preserve">a </w:t>
      </w:r>
      <w:r w:rsidR="005673F0" w:rsidRPr="00C27016">
        <w:rPr>
          <w:rFonts w:ascii="Times New Roman" w:hAnsi="Times New Roman" w:cs="Times New Roman"/>
          <w:sz w:val="24"/>
          <w:szCs w:val="24"/>
        </w:rPr>
        <w:t>limited quantity</w:t>
      </w:r>
      <w:r w:rsidR="005673F0">
        <w:rPr>
          <w:rFonts w:ascii="Times New Roman" w:hAnsi="Times New Roman" w:cs="Times New Roman"/>
          <w:sz w:val="24"/>
          <w:szCs w:val="24"/>
        </w:rPr>
        <w:t xml:space="preserve"> </w:t>
      </w:r>
      <w:r w:rsidR="00426C45">
        <w:rPr>
          <w:rFonts w:ascii="Times New Roman" w:hAnsi="Times New Roman" w:cs="Times New Roman"/>
          <w:sz w:val="24"/>
          <w:szCs w:val="24"/>
        </w:rPr>
        <w:t xml:space="preserve">of archived soil </w:t>
      </w:r>
      <w:r w:rsidR="005673F0">
        <w:rPr>
          <w:rFonts w:ascii="Times New Roman" w:hAnsi="Times New Roman" w:cs="Times New Roman"/>
          <w:sz w:val="24"/>
          <w:szCs w:val="24"/>
        </w:rPr>
        <w:t>we</w:t>
      </w:r>
      <w:r w:rsidR="005673F0" w:rsidRPr="00C27016">
        <w:rPr>
          <w:rFonts w:ascii="Times New Roman" w:hAnsi="Times New Roman" w:cs="Times New Roman"/>
          <w:sz w:val="24"/>
          <w:szCs w:val="24"/>
        </w:rPr>
        <w:t xml:space="preserve"> </w:t>
      </w:r>
      <w:r w:rsidR="00565045">
        <w:rPr>
          <w:rFonts w:ascii="Times New Roman" w:hAnsi="Times New Roman" w:cs="Times New Roman"/>
          <w:sz w:val="24"/>
          <w:szCs w:val="24"/>
        </w:rPr>
        <w:t>had to reduce</w:t>
      </w:r>
      <w:r w:rsidR="005673F0">
        <w:rPr>
          <w:rFonts w:ascii="Times New Roman" w:hAnsi="Times New Roman" w:cs="Times New Roman"/>
          <w:sz w:val="24"/>
          <w:szCs w:val="24"/>
        </w:rPr>
        <w:t xml:space="preserve"> the mass of soil incubated to</w:t>
      </w:r>
      <w:r w:rsidR="005673F0" w:rsidRPr="00C27016">
        <w:rPr>
          <w:rFonts w:ascii="Times New Roman" w:hAnsi="Times New Roman" w:cs="Times New Roman"/>
          <w:sz w:val="24"/>
          <w:szCs w:val="24"/>
        </w:rPr>
        <w:t xml:space="preserve"> 20 g for </w:t>
      </w:r>
      <w:r w:rsidR="00905211">
        <w:rPr>
          <w:rFonts w:ascii="Times New Roman" w:hAnsi="Times New Roman" w:cs="Times New Roman"/>
          <w:sz w:val="24"/>
          <w:szCs w:val="24"/>
        </w:rPr>
        <w:t xml:space="preserve">all </w:t>
      </w:r>
      <w:r w:rsidR="005673F0" w:rsidRPr="00C27016">
        <w:rPr>
          <w:rFonts w:ascii="Times New Roman" w:hAnsi="Times New Roman" w:cs="Times New Roman"/>
          <w:sz w:val="24"/>
          <w:szCs w:val="24"/>
        </w:rPr>
        <w:t>air-dry</w:t>
      </w:r>
      <w:r w:rsidR="005673F0">
        <w:rPr>
          <w:rFonts w:ascii="Times New Roman" w:hAnsi="Times New Roman" w:cs="Times New Roman"/>
          <w:sz w:val="24"/>
          <w:szCs w:val="24"/>
        </w:rPr>
        <w:t>/rewet</w:t>
      </w:r>
      <w:r w:rsidR="005673F0" w:rsidRPr="00C27016">
        <w:rPr>
          <w:rFonts w:ascii="Times New Roman" w:hAnsi="Times New Roman" w:cs="Times New Roman"/>
          <w:sz w:val="24"/>
          <w:szCs w:val="24"/>
        </w:rPr>
        <w:t xml:space="preserve"> + storage</w:t>
      </w:r>
      <w:r w:rsidR="005673F0">
        <w:rPr>
          <w:rFonts w:ascii="Times New Roman" w:hAnsi="Times New Roman" w:cs="Times New Roman"/>
          <w:sz w:val="24"/>
          <w:szCs w:val="24"/>
        </w:rPr>
        <w:t xml:space="preserve"> treatment</w:t>
      </w:r>
      <w:r w:rsidR="005673F0" w:rsidRPr="00C27016">
        <w:rPr>
          <w:rFonts w:ascii="Times New Roman" w:hAnsi="Times New Roman" w:cs="Times New Roman"/>
          <w:sz w:val="24"/>
          <w:szCs w:val="24"/>
          <w:vertAlign w:val="subscript"/>
        </w:rPr>
        <w:t xml:space="preserve"> </w:t>
      </w:r>
      <w:r w:rsidR="00565045">
        <w:rPr>
          <w:rFonts w:ascii="Times New Roman" w:hAnsi="Times New Roman" w:cs="Times New Roman"/>
          <w:sz w:val="24"/>
          <w:szCs w:val="24"/>
        </w:rPr>
        <w:t>samples</w:t>
      </w:r>
      <w:r w:rsidR="00FF4D47">
        <w:rPr>
          <w:rFonts w:ascii="Times New Roman" w:hAnsi="Times New Roman" w:cs="Times New Roman"/>
          <w:sz w:val="24"/>
          <w:szCs w:val="24"/>
        </w:rPr>
        <w:t>.</w:t>
      </w:r>
      <w:r w:rsidR="00565045">
        <w:rPr>
          <w:rFonts w:ascii="Times New Roman" w:hAnsi="Times New Roman" w:cs="Times New Roman"/>
          <w:sz w:val="24"/>
          <w:szCs w:val="24"/>
        </w:rPr>
        <w:t xml:space="preserve"> As with control-1 samples, soil moisture content was adjusted to 60% water holding capacity prior to flushing and sealing the jars. We maintained the same 4 d </w:t>
      </w:r>
      <w:r w:rsidR="008274A5">
        <w:rPr>
          <w:rFonts w:ascii="Times New Roman" w:hAnsi="Times New Roman" w:cs="Times New Roman"/>
          <w:sz w:val="24"/>
          <w:szCs w:val="24"/>
        </w:rPr>
        <w:t>first enclosure</w:t>
      </w:r>
      <w:r w:rsidR="00565045">
        <w:rPr>
          <w:rFonts w:ascii="Times New Roman" w:hAnsi="Times New Roman" w:cs="Times New Roman"/>
          <w:sz w:val="24"/>
          <w:szCs w:val="24"/>
        </w:rPr>
        <w:t xml:space="preserve"> period to capture the CO</w:t>
      </w:r>
      <w:r w:rsidR="00565045" w:rsidRPr="00565045">
        <w:rPr>
          <w:rFonts w:ascii="Times New Roman" w:hAnsi="Times New Roman" w:cs="Times New Roman"/>
          <w:sz w:val="24"/>
          <w:szCs w:val="24"/>
          <w:vertAlign w:val="subscript"/>
        </w:rPr>
        <w:t>2</w:t>
      </w:r>
      <w:r w:rsidR="00565045">
        <w:rPr>
          <w:rFonts w:ascii="Times New Roman" w:hAnsi="Times New Roman" w:cs="Times New Roman"/>
          <w:sz w:val="24"/>
          <w:szCs w:val="24"/>
        </w:rPr>
        <w:t xml:space="preserve"> released during the rewetting pulse. However, to compensate for the difference in the mass of soil incubated and to account for the fact that the amount of CO</w:t>
      </w:r>
      <w:r w:rsidR="00565045" w:rsidRPr="00B62560">
        <w:rPr>
          <w:rFonts w:ascii="Times New Roman" w:hAnsi="Times New Roman" w:cs="Times New Roman"/>
          <w:sz w:val="24"/>
          <w:szCs w:val="24"/>
          <w:vertAlign w:val="subscript"/>
        </w:rPr>
        <w:t>2</w:t>
      </w:r>
      <w:r w:rsidR="00565045">
        <w:rPr>
          <w:rFonts w:ascii="Times New Roman" w:hAnsi="Times New Roman" w:cs="Times New Roman"/>
          <w:sz w:val="24"/>
          <w:szCs w:val="24"/>
        </w:rPr>
        <w:t xml:space="preserve"> respired is thought to affect ∆</w:t>
      </w:r>
      <w:r w:rsidR="00565045" w:rsidRPr="00C951B7">
        <w:rPr>
          <w:rFonts w:ascii="Times New Roman" w:hAnsi="Times New Roman" w:cs="Times New Roman"/>
          <w:sz w:val="24"/>
          <w:szCs w:val="24"/>
          <w:vertAlign w:val="superscript"/>
        </w:rPr>
        <w:t>14</w:t>
      </w:r>
      <w:r w:rsidR="00565045">
        <w:rPr>
          <w:rFonts w:ascii="Times New Roman" w:hAnsi="Times New Roman" w:cs="Times New Roman"/>
          <w:sz w:val="24"/>
          <w:szCs w:val="24"/>
        </w:rPr>
        <w:t>C-CO</w:t>
      </w:r>
      <w:r w:rsidR="00565045" w:rsidRPr="00C951B7">
        <w:rPr>
          <w:rFonts w:ascii="Times New Roman" w:hAnsi="Times New Roman" w:cs="Times New Roman"/>
          <w:sz w:val="24"/>
          <w:szCs w:val="24"/>
          <w:vertAlign w:val="subscript"/>
        </w:rPr>
        <w:t>2</w:t>
      </w:r>
      <w:r w:rsidR="00565045">
        <w:rPr>
          <w:rFonts w:ascii="Times New Roman" w:hAnsi="Times New Roman" w:cs="Times New Roman"/>
          <w:sz w:val="24"/>
          <w:szCs w:val="24"/>
        </w:rPr>
        <w:t xml:space="preserve">, we </w:t>
      </w:r>
      <w:r w:rsidR="00BE491C">
        <w:rPr>
          <w:rFonts w:ascii="Times New Roman" w:hAnsi="Times New Roman" w:cs="Times New Roman"/>
          <w:sz w:val="24"/>
          <w:szCs w:val="24"/>
        </w:rPr>
        <w:t>determined the duration of the second enclosure period for the</w:t>
      </w:r>
      <w:r w:rsidR="00565045">
        <w:rPr>
          <w:rFonts w:ascii="Times New Roman" w:hAnsi="Times New Roman" w:cs="Times New Roman"/>
          <w:sz w:val="24"/>
          <w:szCs w:val="24"/>
        </w:rPr>
        <w:t xml:space="preserve"> air-dry/rewet + storage treatment incubations </w:t>
      </w:r>
      <w:r w:rsidR="00BE491C">
        <w:rPr>
          <w:rFonts w:ascii="Times New Roman" w:hAnsi="Times New Roman" w:cs="Times New Roman"/>
          <w:sz w:val="24"/>
          <w:szCs w:val="24"/>
        </w:rPr>
        <w:t xml:space="preserve">by </w:t>
      </w:r>
      <w:r w:rsidR="00565045">
        <w:rPr>
          <w:rFonts w:ascii="Times New Roman" w:hAnsi="Times New Roman" w:cs="Times New Roman"/>
          <w:sz w:val="24"/>
          <w:szCs w:val="24"/>
        </w:rPr>
        <w:t>the amount of CO</w:t>
      </w:r>
      <w:r w:rsidR="00565045" w:rsidRPr="00DA4440">
        <w:rPr>
          <w:rFonts w:ascii="Times New Roman" w:hAnsi="Times New Roman" w:cs="Times New Roman"/>
          <w:sz w:val="24"/>
          <w:szCs w:val="24"/>
          <w:vertAlign w:val="subscript"/>
        </w:rPr>
        <w:t>2</w:t>
      </w:r>
      <w:r w:rsidR="00565045">
        <w:rPr>
          <w:rFonts w:ascii="Times New Roman" w:hAnsi="Times New Roman" w:cs="Times New Roman"/>
          <w:sz w:val="24"/>
          <w:szCs w:val="24"/>
        </w:rPr>
        <w:t xml:space="preserve"> </w:t>
      </w:r>
      <w:r w:rsidR="00BE491C">
        <w:rPr>
          <w:rFonts w:ascii="Times New Roman" w:hAnsi="Times New Roman" w:cs="Times New Roman"/>
          <w:sz w:val="24"/>
          <w:szCs w:val="24"/>
        </w:rPr>
        <w:t>respired. We allowed the</w:t>
      </w:r>
      <w:r w:rsidR="00BE491C" w:rsidRPr="00BE491C">
        <w:rPr>
          <w:rFonts w:ascii="Times New Roman" w:hAnsi="Times New Roman" w:cs="Times New Roman"/>
          <w:sz w:val="24"/>
          <w:szCs w:val="24"/>
        </w:rPr>
        <w:t xml:space="preserve"> </w:t>
      </w:r>
      <w:r w:rsidR="00BE491C">
        <w:rPr>
          <w:rFonts w:ascii="Times New Roman" w:hAnsi="Times New Roman" w:cs="Times New Roman"/>
          <w:sz w:val="24"/>
          <w:szCs w:val="24"/>
        </w:rPr>
        <w:t>air-dry/rewet + storage treatment incubations to proceed until the same amount of CO</w:t>
      </w:r>
      <w:r w:rsidR="00BE491C" w:rsidRPr="00BE491C">
        <w:rPr>
          <w:rFonts w:ascii="Times New Roman" w:hAnsi="Times New Roman" w:cs="Times New Roman"/>
          <w:sz w:val="24"/>
          <w:szCs w:val="24"/>
          <w:vertAlign w:val="subscript"/>
        </w:rPr>
        <w:t>2</w:t>
      </w:r>
      <w:r w:rsidR="00BE491C">
        <w:rPr>
          <w:rFonts w:ascii="Times New Roman" w:hAnsi="Times New Roman" w:cs="Times New Roman"/>
          <w:sz w:val="24"/>
          <w:szCs w:val="24"/>
        </w:rPr>
        <w:t xml:space="preserve"> had </w:t>
      </w:r>
      <w:r w:rsidR="00565045">
        <w:rPr>
          <w:rFonts w:ascii="Times New Roman" w:hAnsi="Times New Roman" w:cs="Times New Roman"/>
          <w:sz w:val="24"/>
          <w:szCs w:val="24"/>
        </w:rPr>
        <w:t xml:space="preserve">been respired per g soil C as in the </w:t>
      </w:r>
      <w:r w:rsidR="00BE491C">
        <w:rPr>
          <w:rFonts w:ascii="Times New Roman" w:hAnsi="Times New Roman" w:cs="Times New Roman"/>
          <w:sz w:val="24"/>
          <w:szCs w:val="24"/>
        </w:rPr>
        <w:t xml:space="preserve">second enclosure period of </w:t>
      </w:r>
      <w:r w:rsidR="00565045">
        <w:rPr>
          <w:rFonts w:ascii="Times New Roman" w:hAnsi="Times New Roman" w:cs="Times New Roman"/>
          <w:sz w:val="24"/>
          <w:szCs w:val="24"/>
        </w:rPr>
        <w:t>corresponding control-1 sample incubations.</w:t>
      </w:r>
      <w:r w:rsidR="00BE491C">
        <w:rPr>
          <w:rFonts w:ascii="Times New Roman" w:hAnsi="Times New Roman" w:cs="Times New Roman"/>
          <w:sz w:val="24"/>
          <w:szCs w:val="24"/>
        </w:rPr>
        <w:t xml:space="preserve"> </w:t>
      </w:r>
      <w:r w:rsidR="00565045">
        <w:rPr>
          <w:rFonts w:ascii="Times New Roman" w:hAnsi="Times New Roman" w:cs="Times New Roman"/>
          <w:sz w:val="24"/>
          <w:szCs w:val="24"/>
        </w:rPr>
        <w:t xml:space="preserve">Accordingly, the incubation duration </w:t>
      </w:r>
      <w:r w:rsidR="00BE491C">
        <w:rPr>
          <w:rFonts w:ascii="Times New Roman" w:hAnsi="Times New Roman" w:cs="Times New Roman"/>
          <w:sz w:val="24"/>
          <w:szCs w:val="24"/>
        </w:rPr>
        <w:t>of</w:t>
      </w:r>
      <w:r w:rsidR="00565045">
        <w:rPr>
          <w:rFonts w:ascii="Times New Roman" w:hAnsi="Times New Roman" w:cs="Times New Roman"/>
          <w:sz w:val="24"/>
          <w:szCs w:val="24"/>
        </w:rPr>
        <w:t xml:space="preserve"> the </w:t>
      </w:r>
      <w:r w:rsidR="00BE491C">
        <w:rPr>
          <w:rFonts w:ascii="Times New Roman" w:hAnsi="Times New Roman" w:cs="Times New Roman"/>
          <w:sz w:val="24"/>
          <w:szCs w:val="24"/>
        </w:rPr>
        <w:t xml:space="preserve">second enclosure period for the </w:t>
      </w:r>
      <w:r w:rsidR="00565045" w:rsidRPr="00C27016">
        <w:rPr>
          <w:rFonts w:ascii="Times New Roman" w:hAnsi="Times New Roman" w:cs="Times New Roman"/>
          <w:sz w:val="24"/>
          <w:szCs w:val="24"/>
        </w:rPr>
        <w:t>air-dry</w:t>
      </w:r>
      <w:r w:rsidR="00565045">
        <w:rPr>
          <w:rFonts w:ascii="Times New Roman" w:hAnsi="Times New Roman" w:cs="Times New Roman"/>
          <w:sz w:val="24"/>
          <w:szCs w:val="24"/>
        </w:rPr>
        <w:t>/rewet</w:t>
      </w:r>
      <w:r w:rsidR="00565045" w:rsidRPr="00C27016">
        <w:rPr>
          <w:rFonts w:ascii="Times New Roman" w:hAnsi="Times New Roman" w:cs="Times New Roman"/>
          <w:sz w:val="24"/>
          <w:szCs w:val="24"/>
        </w:rPr>
        <w:t xml:space="preserve"> + storage</w:t>
      </w:r>
      <w:r w:rsidR="00565045">
        <w:rPr>
          <w:rFonts w:ascii="Times New Roman" w:hAnsi="Times New Roman" w:cs="Times New Roman"/>
          <w:sz w:val="24"/>
          <w:szCs w:val="24"/>
        </w:rPr>
        <w:t xml:space="preserve"> treatment</w:t>
      </w:r>
      <w:r w:rsidR="00565045" w:rsidRPr="00C27016">
        <w:rPr>
          <w:rFonts w:ascii="Times New Roman" w:hAnsi="Times New Roman" w:cs="Times New Roman"/>
          <w:sz w:val="24"/>
          <w:szCs w:val="24"/>
          <w:vertAlign w:val="subscript"/>
        </w:rPr>
        <w:t xml:space="preserve"> </w:t>
      </w:r>
      <w:r w:rsidR="00565045" w:rsidRPr="00C27016">
        <w:rPr>
          <w:rFonts w:ascii="Times New Roman" w:hAnsi="Times New Roman" w:cs="Times New Roman"/>
          <w:sz w:val="24"/>
          <w:szCs w:val="24"/>
        </w:rPr>
        <w:t>incubations</w:t>
      </w:r>
      <w:r w:rsidR="008274A5">
        <w:rPr>
          <w:rFonts w:ascii="Times New Roman" w:hAnsi="Times New Roman" w:cs="Times New Roman"/>
          <w:sz w:val="24"/>
          <w:szCs w:val="24"/>
        </w:rPr>
        <w:t xml:space="preserve"> varied (Table 2</w:t>
      </w:r>
      <w:r w:rsidR="00565045">
        <w:rPr>
          <w:rFonts w:ascii="Times New Roman" w:hAnsi="Times New Roman" w:cs="Times New Roman"/>
          <w:sz w:val="24"/>
          <w:szCs w:val="24"/>
        </w:rPr>
        <w:t xml:space="preserve">). </w:t>
      </w:r>
    </w:p>
    <w:p w14:paraId="512B9C80" w14:textId="2E663CC4" w:rsidR="005673F0" w:rsidRDefault="005673F0" w:rsidP="005673F0">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Headspace 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 xml:space="preserve">concentrations for control-1 incubations were measured once at the end of the </w:t>
      </w:r>
      <w:r w:rsidR="00FC4674">
        <w:rPr>
          <w:rFonts w:ascii="Times New Roman" w:hAnsi="Times New Roman" w:cs="Times New Roman"/>
          <w:sz w:val="24"/>
          <w:szCs w:val="24"/>
        </w:rPr>
        <w:t>first enclosure</w:t>
      </w:r>
      <w:r w:rsidRPr="00C27016">
        <w:rPr>
          <w:rFonts w:ascii="Times New Roman" w:hAnsi="Times New Roman" w:cs="Times New Roman"/>
          <w:sz w:val="24"/>
          <w:szCs w:val="24"/>
        </w:rPr>
        <w:t xml:space="preserve"> period, but were measured daily during </w:t>
      </w:r>
      <w:r w:rsidR="00FC4674">
        <w:rPr>
          <w:rFonts w:ascii="Times New Roman" w:hAnsi="Times New Roman" w:cs="Times New Roman"/>
          <w:sz w:val="24"/>
          <w:szCs w:val="24"/>
        </w:rPr>
        <w:t>the first enclosure period</w:t>
      </w:r>
      <w:r w:rsidRPr="00C27016">
        <w:rPr>
          <w:rFonts w:ascii="Times New Roman" w:hAnsi="Times New Roman" w:cs="Times New Roman"/>
          <w:sz w:val="24"/>
          <w:szCs w:val="24"/>
        </w:rPr>
        <w:t xml:space="preserve"> for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w:t>
      </w:r>
      <w:r w:rsidR="007661B0">
        <w:rPr>
          <w:rFonts w:ascii="Times New Roman" w:hAnsi="Times New Roman" w:cs="Times New Roman"/>
          <w:sz w:val="24"/>
          <w:szCs w:val="24"/>
        </w:rPr>
        <w:t>incubations</w:t>
      </w:r>
      <w:r w:rsidRPr="00C27016">
        <w:rPr>
          <w:rFonts w:ascii="Times New Roman" w:hAnsi="Times New Roman" w:cs="Times New Roman"/>
          <w:sz w:val="24"/>
          <w:szCs w:val="24"/>
        </w:rPr>
        <w:t>. We measured headspace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concentrations one to three times per week during the </w:t>
      </w:r>
      <w:r w:rsidR="007661B0">
        <w:rPr>
          <w:rFonts w:ascii="Times New Roman" w:hAnsi="Times New Roman" w:cs="Times New Roman"/>
          <w:sz w:val="24"/>
          <w:szCs w:val="24"/>
        </w:rPr>
        <w:t xml:space="preserve">second enclosure </w:t>
      </w:r>
      <w:r w:rsidRPr="00C27016">
        <w:rPr>
          <w:rFonts w:ascii="Times New Roman" w:hAnsi="Times New Roman" w:cs="Times New Roman"/>
          <w:sz w:val="24"/>
          <w:szCs w:val="24"/>
        </w:rPr>
        <w:t xml:space="preserve">period for both </w:t>
      </w:r>
      <w:r w:rsidR="007661B0">
        <w:rPr>
          <w:rFonts w:ascii="Times New Roman" w:hAnsi="Times New Roman" w:cs="Times New Roman"/>
          <w:sz w:val="24"/>
          <w:szCs w:val="24"/>
        </w:rPr>
        <w:t xml:space="preserve">control-1 and </w:t>
      </w:r>
      <w:r w:rsidR="007661B0" w:rsidRPr="00C27016">
        <w:rPr>
          <w:rFonts w:ascii="Times New Roman" w:hAnsi="Times New Roman" w:cs="Times New Roman"/>
          <w:sz w:val="24"/>
          <w:szCs w:val="24"/>
        </w:rPr>
        <w:t>air-dry</w:t>
      </w:r>
      <w:r w:rsidR="007661B0">
        <w:rPr>
          <w:rFonts w:ascii="Times New Roman" w:hAnsi="Times New Roman" w:cs="Times New Roman"/>
          <w:sz w:val="24"/>
          <w:szCs w:val="24"/>
        </w:rPr>
        <w:t>/rewet</w:t>
      </w:r>
      <w:r w:rsidR="007661B0" w:rsidRPr="00C27016">
        <w:rPr>
          <w:rFonts w:ascii="Times New Roman" w:hAnsi="Times New Roman" w:cs="Times New Roman"/>
          <w:sz w:val="24"/>
          <w:szCs w:val="24"/>
        </w:rPr>
        <w:t xml:space="preserve"> + storage</w:t>
      </w:r>
      <w:r w:rsidR="007661B0">
        <w:rPr>
          <w:rFonts w:ascii="Times New Roman" w:hAnsi="Times New Roman" w:cs="Times New Roman"/>
          <w:sz w:val="24"/>
          <w:szCs w:val="24"/>
        </w:rPr>
        <w:t xml:space="preserve"> treatment</w:t>
      </w:r>
      <w:r w:rsidR="007661B0" w:rsidRPr="00C27016">
        <w:rPr>
          <w:rFonts w:ascii="Times New Roman" w:hAnsi="Times New Roman" w:cs="Times New Roman"/>
          <w:sz w:val="24"/>
          <w:szCs w:val="24"/>
          <w:vertAlign w:val="subscript"/>
        </w:rPr>
        <w:t xml:space="preserve"> </w:t>
      </w:r>
      <w:r w:rsidR="007661B0" w:rsidRPr="00C27016">
        <w:rPr>
          <w:rFonts w:ascii="Times New Roman" w:hAnsi="Times New Roman" w:cs="Times New Roman"/>
          <w:sz w:val="24"/>
          <w:szCs w:val="24"/>
        </w:rPr>
        <w:t>incubations</w:t>
      </w:r>
      <w:r w:rsidR="007661B0">
        <w:rPr>
          <w:rFonts w:ascii="Times New Roman" w:hAnsi="Times New Roman" w:cs="Times New Roman"/>
          <w:sz w:val="24"/>
          <w:szCs w:val="24"/>
        </w:rPr>
        <w:t>, with more frequent</w:t>
      </w:r>
      <w:r w:rsidRPr="00C27016">
        <w:rPr>
          <w:rFonts w:ascii="Times New Roman" w:hAnsi="Times New Roman" w:cs="Times New Roman"/>
          <w:sz w:val="24"/>
          <w:szCs w:val="24"/>
        </w:rPr>
        <w:t xml:space="preserve"> measurements made for samples with faster respiration rates. </w:t>
      </w:r>
      <w:r w:rsidRPr="00C27016">
        <w:rPr>
          <w:rFonts w:ascii="Times New Roman" w:eastAsia="Arial Unicode MS" w:hAnsi="Times New Roman" w:cs="Times New Roman"/>
          <w:sz w:val="24"/>
          <w:szCs w:val="24"/>
        </w:rPr>
        <w:t>Headspace gas samples were collected and analyzed for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and δ</w:t>
      </w:r>
      <w:r w:rsidRPr="00C27016">
        <w:rPr>
          <w:rFonts w:ascii="Times New Roman" w:hAnsi="Times New Roman" w:cs="Times New Roman"/>
          <w:sz w:val="24"/>
          <w:szCs w:val="24"/>
          <w:vertAlign w:val="superscript"/>
        </w:rPr>
        <w:t>13</w:t>
      </w:r>
      <w:r w:rsidRPr="00C27016">
        <w:rPr>
          <w:rFonts w:ascii="Times New Roman" w:eastAsia="Arial Unicode MS" w:hAnsi="Times New Roman" w:cs="Times New Roman"/>
          <w:sz w:val="24"/>
          <w:szCs w:val="24"/>
        </w:rPr>
        <w:t xml:space="preserve">C content at the end of both the </w:t>
      </w:r>
      <w:r w:rsidR="00FC4674">
        <w:rPr>
          <w:rFonts w:ascii="Times New Roman" w:eastAsia="Arial Unicode MS" w:hAnsi="Times New Roman" w:cs="Times New Roman"/>
          <w:sz w:val="24"/>
          <w:szCs w:val="24"/>
        </w:rPr>
        <w:t>first enclosure</w:t>
      </w:r>
      <w:r w:rsidR="007661B0">
        <w:rPr>
          <w:rFonts w:ascii="Times New Roman" w:eastAsia="Arial Unicode MS" w:hAnsi="Times New Roman" w:cs="Times New Roman"/>
          <w:sz w:val="24"/>
          <w:szCs w:val="24"/>
        </w:rPr>
        <w:t xml:space="preserve"> period</w:t>
      </w:r>
      <w:r w:rsidRPr="00C27016">
        <w:rPr>
          <w:rFonts w:ascii="Times New Roman" w:eastAsia="Arial Unicode MS" w:hAnsi="Times New Roman" w:cs="Times New Roman"/>
          <w:sz w:val="24"/>
          <w:szCs w:val="24"/>
        </w:rPr>
        <w:t xml:space="preserve"> and the </w:t>
      </w:r>
      <w:r w:rsidR="007661B0">
        <w:rPr>
          <w:rFonts w:ascii="Times New Roman" w:eastAsia="Arial Unicode MS" w:hAnsi="Times New Roman" w:cs="Times New Roman"/>
          <w:sz w:val="24"/>
          <w:szCs w:val="24"/>
        </w:rPr>
        <w:t>second enclosure</w:t>
      </w:r>
      <w:r w:rsidRPr="00C27016">
        <w:rPr>
          <w:rFonts w:ascii="Times New Roman" w:eastAsia="Arial Unicode MS" w:hAnsi="Times New Roman" w:cs="Times New Roman"/>
          <w:sz w:val="24"/>
          <w:szCs w:val="24"/>
        </w:rPr>
        <w:t xml:space="preserve"> period </w:t>
      </w:r>
      <w:r w:rsidR="007661B0">
        <w:rPr>
          <w:rFonts w:ascii="Times New Roman" w:eastAsia="Arial Unicode MS" w:hAnsi="Times New Roman" w:cs="Times New Roman"/>
          <w:sz w:val="24"/>
          <w:szCs w:val="24"/>
        </w:rPr>
        <w:t xml:space="preserve">for the </w:t>
      </w:r>
      <w:r w:rsidR="007661B0" w:rsidRPr="00C27016">
        <w:rPr>
          <w:rFonts w:ascii="Times New Roman" w:hAnsi="Times New Roman" w:cs="Times New Roman"/>
          <w:sz w:val="24"/>
          <w:szCs w:val="24"/>
        </w:rPr>
        <w:t>air-dry</w:t>
      </w:r>
      <w:r w:rsidR="007661B0">
        <w:rPr>
          <w:rFonts w:ascii="Times New Roman" w:hAnsi="Times New Roman" w:cs="Times New Roman"/>
          <w:sz w:val="24"/>
          <w:szCs w:val="24"/>
        </w:rPr>
        <w:t>/rewet</w:t>
      </w:r>
      <w:r w:rsidR="007661B0" w:rsidRPr="00C27016">
        <w:rPr>
          <w:rFonts w:ascii="Times New Roman" w:hAnsi="Times New Roman" w:cs="Times New Roman"/>
          <w:sz w:val="24"/>
          <w:szCs w:val="24"/>
        </w:rPr>
        <w:t xml:space="preserve"> + storage</w:t>
      </w:r>
      <w:r w:rsidR="007661B0">
        <w:rPr>
          <w:rFonts w:ascii="Times New Roman" w:hAnsi="Times New Roman" w:cs="Times New Roman"/>
          <w:sz w:val="24"/>
          <w:szCs w:val="24"/>
        </w:rPr>
        <w:t xml:space="preserve"> treatment</w:t>
      </w:r>
      <w:r w:rsidR="007661B0" w:rsidRPr="00C27016">
        <w:rPr>
          <w:rFonts w:ascii="Times New Roman" w:hAnsi="Times New Roman" w:cs="Times New Roman"/>
          <w:sz w:val="24"/>
          <w:szCs w:val="24"/>
          <w:vertAlign w:val="subscript"/>
        </w:rPr>
        <w:t xml:space="preserve"> </w:t>
      </w:r>
      <w:r w:rsidR="007661B0" w:rsidRPr="00C27016">
        <w:rPr>
          <w:rFonts w:ascii="Times New Roman" w:hAnsi="Times New Roman" w:cs="Times New Roman"/>
          <w:sz w:val="24"/>
          <w:szCs w:val="24"/>
        </w:rPr>
        <w:t>incubations</w:t>
      </w:r>
      <w:r w:rsidR="007661B0">
        <w:rPr>
          <w:rFonts w:ascii="Times New Roman" w:hAnsi="Times New Roman" w:cs="Times New Roman"/>
          <w:sz w:val="24"/>
          <w:szCs w:val="24"/>
        </w:rPr>
        <w:t>, but these measurements were only made following the second enclosure period for control-1 samples.</w:t>
      </w:r>
      <w:r w:rsidR="00565045">
        <w:rPr>
          <w:rFonts w:ascii="Times New Roman" w:hAnsi="Times New Roman" w:cs="Times New Roman"/>
          <w:sz w:val="24"/>
          <w:szCs w:val="24"/>
        </w:rPr>
        <w:t xml:space="preserve"> </w:t>
      </w:r>
      <w:r w:rsidR="00565045" w:rsidRPr="00C27016">
        <w:rPr>
          <w:rFonts w:ascii="Times New Roman" w:hAnsi="Times New Roman" w:cs="Times New Roman"/>
          <w:sz w:val="24"/>
          <w:szCs w:val="24"/>
        </w:rPr>
        <w:t>All samples were incubated at 20º C.</w:t>
      </w:r>
    </w:p>
    <w:p w14:paraId="26CFDC92" w14:textId="7BDD363A" w:rsidR="007661B0" w:rsidRPr="00C27016" w:rsidRDefault="00BE685A" w:rsidP="007661B0">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2.2</w:t>
      </w:r>
      <w:r w:rsidR="007661B0">
        <w:rPr>
          <w:rFonts w:ascii="Times New Roman" w:hAnsi="Times New Roman" w:cs="Times New Roman"/>
          <w:sz w:val="24"/>
          <w:szCs w:val="24"/>
        </w:rPr>
        <w:t xml:space="preserve"> Experiment 2</w:t>
      </w:r>
    </w:p>
    <w:p w14:paraId="0339213D" w14:textId="124892A7" w:rsidR="007661B0" w:rsidRDefault="007661B0" w:rsidP="007661B0">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 xml:space="preserve">2.2.1 </w:t>
      </w:r>
      <w:r w:rsidR="00FE06A1">
        <w:rPr>
          <w:rFonts w:ascii="Times New Roman" w:hAnsi="Times New Roman" w:cs="Times New Roman"/>
          <w:sz w:val="24"/>
          <w:szCs w:val="24"/>
        </w:rPr>
        <w:t>Experiment 2 s</w:t>
      </w:r>
      <w:r w:rsidRPr="00C27016">
        <w:rPr>
          <w:rFonts w:ascii="Times New Roman" w:hAnsi="Times New Roman" w:cs="Times New Roman"/>
          <w:sz w:val="24"/>
          <w:szCs w:val="24"/>
        </w:rPr>
        <w:t>ample selection and field sampling</w:t>
      </w:r>
    </w:p>
    <w:p w14:paraId="70315A04" w14:textId="1F3A0EB6" w:rsidR="00AF2BBA" w:rsidRDefault="007661B0" w:rsidP="00AF2BBA">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returned to the </w:t>
      </w:r>
      <w:r w:rsidR="00985308">
        <w:rPr>
          <w:rFonts w:ascii="Times New Roman" w:hAnsi="Times New Roman" w:cs="Times New Roman"/>
          <w:sz w:val="24"/>
          <w:szCs w:val="24"/>
        </w:rPr>
        <w:t xml:space="preserve">Central Germany 1 </w:t>
      </w:r>
      <w:r>
        <w:rPr>
          <w:rFonts w:ascii="Times New Roman" w:hAnsi="Times New Roman" w:cs="Times New Roman"/>
          <w:sz w:val="24"/>
          <w:szCs w:val="24"/>
        </w:rPr>
        <w:t>region</w:t>
      </w:r>
      <w:r w:rsidR="00AF2BBA">
        <w:rPr>
          <w:rFonts w:ascii="Times New Roman" w:hAnsi="Times New Roman" w:cs="Times New Roman"/>
          <w:sz w:val="24"/>
          <w:szCs w:val="24"/>
        </w:rPr>
        <w:t xml:space="preserve"> </w:t>
      </w:r>
      <w:r w:rsidR="00985308">
        <w:rPr>
          <w:rFonts w:ascii="Times New Roman" w:hAnsi="Times New Roman" w:cs="Times New Roman"/>
          <w:sz w:val="24"/>
          <w:szCs w:val="24"/>
        </w:rPr>
        <w:t xml:space="preserve">(Hainich-Dün) </w:t>
      </w:r>
      <w:r w:rsidR="00AF2BBA">
        <w:rPr>
          <w:rFonts w:ascii="Times New Roman" w:hAnsi="Times New Roman" w:cs="Times New Roman"/>
          <w:sz w:val="24"/>
          <w:szCs w:val="24"/>
        </w:rPr>
        <w:t>in July 2019</w:t>
      </w:r>
      <w:r>
        <w:rPr>
          <w:rFonts w:ascii="Times New Roman" w:hAnsi="Times New Roman" w:cs="Times New Roman"/>
          <w:sz w:val="24"/>
          <w:szCs w:val="24"/>
        </w:rPr>
        <w:t xml:space="preserve"> to collect samples </w:t>
      </w:r>
      <w:r w:rsidR="00AF2BBA">
        <w:rPr>
          <w:rFonts w:ascii="Times New Roman" w:hAnsi="Times New Roman" w:cs="Times New Roman"/>
          <w:sz w:val="24"/>
          <w:szCs w:val="24"/>
        </w:rPr>
        <w:t>for Experiment 2 from the same plots originally sampled for Experiment 1 in 2011</w:t>
      </w:r>
      <w:r>
        <w:rPr>
          <w:rFonts w:ascii="Times New Roman" w:hAnsi="Times New Roman" w:cs="Times New Roman"/>
          <w:sz w:val="24"/>
          <w:szCs w:val="24"/>
        </w:rPr>
        <w:t>.</w:t>
      </w:r>
      <w:r w:rsidR="00AF2BBA" w:rsidRPr="00C27016">
        <w:rPr>
          <w:rFonts w:ascii="Times New Roman" w:hAnsi="Times New Roman" w:cs="Times New Roman"/>
          <w:sz w:val="24"/>
          <w:szCs w:val="24"/>
        </w:rPr>
        <w:t xml:space="preserve"> As we did not observe significant treatment differences between the two geographic regions in the results of Experiment 1, we restricted the resampling to just one region to save on cost and time. At each plot (n = 6) we collected three cores from the same depth interval as 2011 (0-10 cm), which were then homogenized to yield one composite sample. </w:t>
      </w:r>
      <w:r w:rsidR="00AF2BBA">
        <w:rPr>
          <w:rFonts w:ascii="Times New Roman" w:hAnsi="Times New Roman" w:cs="Times New Roman"/>
          <w:sz w:val="24"/>
          <w:szCs w:val="24"/>
        </w:rPr>
        <w:t>Following the protocol from the 2011 sampling, a</w:t>
      </w:r>
      <w:r w:rsidR="00AF2BBA" w:rsidRPr="00C27016">
        <w:rPr>
          <w:rFonts w:ascii="Times New Roman" w:hAnsi="Times New Roman" w:cs="Times New Roman"/>
          <w:sz w:val="24"/>
          <w:szCs w:val="24"/>
        </w:rPr>
        <w:t>ny aboveground vegetation was clipped, and organic horizons were scraped away prio</w:t>
      </w:r>
      <w:r w:rsidR="00AF2BBA">
        <w:rPr>
          <w:rFonts w:ascii="Times New Roman" w:hAnsi="Times New Roman" w:cs="Times New Roman"/>
          <w:sz w:val="24"/>
          <w:szCs w:val="24"/>
        </w:rPr>
        <w:t>r to coring at the forest plots.</w:t>
      </w:r>
      <w:r w:rsidR="000B53C1">
        <w:rPr>
          <w:rFonts w:ascii="Times New Roman" w:hAnsi="Times New Roman" w:cs="Times New Roman"/>
          <w:sz w:val="24"/>
          <w:szCs w:val="24"/>
        </w:rPr>
        <w:t xml:space="preserve"> </w:t>
      </w:r>
    </w:p>
    <w:p w14:paraId="5567E479" w14:textId="51ED860D" w:rsidR="000B53C1" w:rsidRPr="00C27016" w:rsidRDefault="000B53C1" w:rsidP="000B53C1">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2.2.2</w:t>
      </w:r>
      <w:r w:rsidRPr="00C27016">
        <w:rPr>
          <w:rFonts w:ascii="Times New Roman" w:hAnsi="Times New Roman" w:cs="Times New Roman"/>
          <w:sz w:val="24"/>
          <w:szCs w:val="24"/>
        </w:rPr>
        <w:t xml:space="preserve"> </w:t>
      </w:r>
      <w:r w:rsidR="00FE06A1">
        <w:rPr>
          <w:rFonts w:ascii="Times New Roman" w:hAnsi="Times New Roman" w:cs="Times New Roman"/>
          <w:sz w:val="24"/>
          <w:szCs w:val="24"/>
        </w:rPr>
        <w:t>Experiment 2 s</w:t>
      </w:r>
      <w:r>
        <w:rPr>
          <w:rFonts w:ascii="Times New Roman" w:hAnsi="Times New Roman" w:cs="Times New Roman"/>
          <w:sz w:val="24"/>
          <w:szCs w:val="24"/>
        </w:rPr>
        <w:t>ample</w:t>
      </w:r>
      <w:r w:rsidRPr="00C27016">
        <w:rPr>
          <w:rFonts w:ascii="Times New Roman" w:hAnsi="Times New Roman" w:cs="Times New Roman"/>
          <w:sz w:val="24"/>
          <w:szCs w:val="24"/>
        </w:rPr>
        <w:t xml:space="preserve"> preparation</w:t>
      </w:r>
    </w:p>
    <w:p w14:paraId="1A62082C" w14:textId="620A169F" w:rsidR="00DF5069" w:rsidRDefault="00DF5069" w:rsidP="00DF5069">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Following sample collection, soils for </w:t>
      </w:r>
      <w:r>
        <w:rPr>
          <w:rFonts w:ascii="Times New Roman" w:hAnsi="Times New Roman" w:cs="Times New Roman"/>
          <w:sz w:val="24"/>
          <w:szCs w:val="24"/>
        </w:rPr>
        <w:t>Experiment 2</w:t>
      </w:r>
      <w:r w:rsidR="00BE685A">
        <w:rPr>
          <w:rFonts w:ascii="Times New Roman" w:hAnsi="Times New Roman" w:cs="Times New Roman"/>
          <w:sz w:val="24"/>
          <w:szCs w:val="24"/>
        </w:rPr>
        <w:t xml:space="preserve"> were sieved to &lt;2 mm at field </w:t>
      </w:r>
      <w:r w:rsidRPr="00C27016">
        <w:rPr>
          <w:rFonts w:ascii="Times New Roman" w:hAnsi="Times New Roman" w:cs="Times New Roman"/>
          <w:sz w:val="24"/>
          <w:szCs w:val="24"/>
        </w:rPr>
        <w:t xml:space="preserve">moisture and </w:t>
      </w:r>
      <w:r w:rsidR="005D2DB6">
        <w:rPr>
          <w:rFonts w:ascii="Times New Roman" w:hAnsi="Times New Roman" w:cs="Times New Roman"/>
          <w:sz w:val="24"/>
          <w:szCs w:val="24"/>
        </w:rPr>
        <w:t>WHC</w:t>
      </w:r>
      <w:r w:rsidRPr="00C27016">
        <w:rPr>
          <w:rFonts w:ascii="Times New Roman" w:hAnsi="Times New Roman" w:cs="Times New Roman"/>
          <w:sz w:val="24"/>
          <w:szCs w:val="24"/>
        </w:rPr>
        <w:t xml:space="preserve"> was determined on a 10 g subsample. The remaining soil was then split, with one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air-dried at 40º C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treatment samples, n = 6</w:t>
      </w:r>
      <w:r w:rsidRPr="00C27016">
        <w:rPr>
          <w:rFonts w:ascii="Times New Roman" w:hAnsi="Times New Roman" w:cs="Times New Roman"/>
          <w:sz w:val="24"/>
          <w:szCs w:val="24"/>
        </w:rPr>
        <w:t>), while the other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was l</w:t>
      </w:r>
      <w:r>
        <w:rPr>
          <w:rFonts w:ascii="Times New Roman" w:hAnsi="Times New Roman" w:cs="Times New Roman"/>
          <w:sz w:val="24"/>
          <w:szCs w:val="24"/>
        </w:rPr>
        <w:t>eft at field moisture (control-2 samples, n = 6</w:t>
      </w:r>
      <w:r w:rsidRPr="00C27016">
        <w:rPr>
          <w:rFonts w:ascii="Times New Roman" w:hAnsi="Times New Roman" w:cs="Times New Roman"/>
          <w:sz w:val="24"/>
          <w:szCs w:val="24"/>
        </w:rPr>
        <w:t xml:space="preserve">). </w:t>
      </w:r>
      <w:r>
        <w:rPr>
          <w:rFonts w:ascii="Times New Roman" w:hAnsi="Times New Roman" w:cs="Times New Roman"/>
          <w:sz w:val="24"/>
          <w:szCs w:val="24"/>
        </w:rPr>
        <w:t>Control-2</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samples </w:t>
      </w:r>
      <w:r w:rsidRPr="00C27016">
        <w:rPr>
          <w:rFonts w:ascii="Times New Roman" w:hAnsi="Times New Roman" w:cs="Times New Roman"/>
          <w:sz w:val="24"/>
          <w:szCs w:val="24"/>
        </w:rPr>
        <w:t>were stored in re-sealable plastic bags at 4º C until incubation. After air-drying,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treatment </w:t>
      </w:r>
      <w:r w:rsidRPr="00C27016">
        <w:rPr>
          <w:rFonts w:ascii="Times New Roman" w:hAnsi="Times New Roman" w:cs="Times New Roman"/>
          <w:sz w:val="24"/>
          <w:szCs w:val="24"/>
        </w:rPr>
        <w:t>samples</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were placed in re-sealable plastic bags, and stored inside large plastic boxes in a cool (ca. 15º C) dark room for </w:t>
      </w:r>
      <w:r>
        <w:rPr>
          <w:rFonts w:ascii="Times New Roman" w:hAnsi="Times New Roman" w:cs="Times New Roman"/>
          <w:sz w:val="24"/>
          <w:szCs w:val="24"/>
        </w:rPr>
        <w:t>two months prior to incubation</w:t>
      </w:r>
      <w:r w:rsidRPr="00C27016">
        <w:rPr>
          <w:rFonts w:ascii="Times New Roman" w:hAnsi="Times New Roman" w:cs="Times New Roman"/>
          <w:sz w:val="24"/>
          <w:szCs w:val="24"/>
        </w:rPr>
        <w:t>.</w:t>
      </w:r>
    </w:p>
    <w:p w14:paraId="0C555BF6" w14:textId="43B42719" w:rsidR="000B53C1" w:rsidRPr="00C27016" w:rsidRDefault="0045113B" w:rsidP="00AF2BBA">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ab/>
        <w:t xml:space="preserve">2.2.3 </w:t>
      </w:r>
      <w:r w:rsidR="00FE06A1">
        <w:rPr>
          <w:rFonts w:ascii="Times New Roman" w:hAnsi="Times New Roman" w:cs="Times New Roman"/>
          <w:sz w:val="24"/>
          <w:szCs w:val="24"/>
        </w:rPr>
        <w:t>Experiment 2 i</w:t>
      </w:r>
      <w:r w:rsidRPr="00C27016">
        <w:rPr>
          <w:rFonts w:ascii="Times New Roman" w:hAnsi="Times New Roman" w:cs="Times New Roman"/>
          <w:sz w:val="24"/>
          <w:szCs w:val="24"/>
        </w:rPr>
        <w:t>ncubations</w:t>
      </w:r>
    </w:p>
    <w:p w14:paraId="2276AADD" w14:textId="6296F89D" w:rsidR="003D0E01" w:rsidRDefault="0045113B" w:rsidP="0045113B">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Incubation conditions for control-2 and air-dry/rewet treatment samples were identical, and so will be described jointly. Incubations were performed in duplicate to quantify potential laboratory errors. As with the air-dry/rewet + storage treatment samples</w:t>
      </w:r>
      <w:r w:rsidR="009D6F90">
        <w:rPr>
          <w:rFonts w:ascii="Times New Roman" w:hAnsi="Times New Roman" w:cs="Times New Roman"/>
          <w:sz w:val="24"/>
          <w:szCs w:val="24"/>
        </w:rPr>
        <w:t xml:space="preserve"> in Experiment 1</w:t>
      </w:r>
      <w:r>
        <w:rPr>
          <w:rFonts w:ascii="Times New Roman" w:hAnsi="Times New Roman" w:cs="Times New Roman"/>
          <w:sz w:val="24"/>
          <w:szCs w:val="24"/>
        </w:rPr>
        <w:t xml:space="preserve">, 20 g (air-dry equivalent weight) of soil </w:t>
      </w:r>
      <w:r w:rsidRPr="00C27016">
        <w:rPr>
          <w:rFonts w:ascii="Times New Roman" w:hAnsi="Times New Roman" w:cs="Times New Roman"/>
          <w:sz w:val="24"/>
          <w:szCs w:val="24"/>
        </w:rPr>
        <w:t>were weighed out into 250 ml beakers and placed into 1000 ml mason jars with airtight lids fitted with two sampling</w:t>
      </w:r>
      <w:r>
        <w:rPr>
          <w:rFonts w:ascii="Times New Roman" w:hAnsi="Times New Roman" w:cs="Times New Roman"/>
          <w:sz w:val="24"/>
          <w:szCs w:val="24"/>
        </w:rPr>
        <w:t>. Soil moisture content was adjusted</w:t>
      </w:r>
      <w:r w:rsidRPr="00C27016">
        <w:rPr>
          <w:rFonts w:ascii="Times New Roman" w:hAnsi="Times New Roman" w:cs="Times New Roman"/>
          <w:sz w:val="24"/>
          <w:szCs w:val="24"/>
        </w:rPr>
        <w:t xml:space="preserve"> to 60% </w:t>
      </w:r>
      <w:r w:rsidR="009D6F90">
        <w:rPr>
          <w:rFonts w:ascii="Times New Roman" w:hAnsi="Times New Roman" w:cs="Times New Roman"/>
          <w:sz w:val="24"/>
          <w:szCs w:val="24"/>
        </w:rPr>
        <w:t>WHC</w:t>
      </w:r>
      <w:r w:rsidRPr="00C27016">
        <w:rPr>
          <w:rFonts w:ascii="Times New Roman" w:hAnsi="Times New Roman" w:cs="Times New Roman"/>
          <w:sz w:val="24"/>
          <w:szCs w:val="24"/>
        </w:rPr>
        <w:t xml:space="preserve"> prior to sealing the jars</w:t>
      </w:r>
      <w:r>
        <w:rPr>
          <w:rFonts w:ascii="Times New Roman" w:hAnsi="Times New Roman" w:cs="Times New Roman"/>
          <w:sz w:val="24"/>
          <w:szCs w:val="24"/>
        </w:rPr>
        <w:t xml:space="preserve"> in the same manner as Experiment 1 samples (section 2.1.3)</w:t>
      </w:r>
      <w:r w:rsidRPr="00C27016">
        <w:rPr>
          <w:rFonts w:ascii="Times New Roman" w:hAnsi="Times New Roman" w:cs="Times New Roman"/>
          <w:sz w:val="24"/>
          <w:szCs w:val="24"/>
        </w:rPr>
        <w:t xml:space="preserve">, </w:t>
      </w:r>
      <w:r>
        <w:rPr>
          <w:rFonts w:ascii="Times New Roman" w:hAnsi="Times New Roman" w:cs="Times New Roman"/>
          <w:sz w:val="24"/>
          <w:szCs w:val="24"/>
        </w:rPr>
        <w:t>either f</w:t>
      </w:r>
      <w:r w:rsidRPr="00C27016">
        <w:rPr>
          <w:rFonts w:ascii="Times New Roman" w:hAnsi="Times New Roman" w:cs="Times New Roman"/>
          <w:sz w:val="24"/>
          <w:szCs w:val="24"/>
        </w:rPr>
        <w:t>rom</w:t>
      </w:r>
      <w:r>
        <w:rPr>
          <w:rFonts w:ascii="Times New Roman" w:hAnsi="Times New Roman" w:cs="Times New Roman"/>
          <w:sz w:val="24"/>
          <w:szCs w:val="24"/>
        </w:rPr>
        <w:t xml:space="preserve"> field moisture (control-2</w:t>
      </w:r>
      <w:r w:rsidRPr="00C27016">
        <w:rPr>
          <w:rFonts w:ascii="Times New Roman" w:hAnsi="Times New Roman" w:cs="Times New Roman"/>
          <w:sz w:val="24"/>
          <w:szCs w:val="24"/>
        </w:rPr>
        <w:t xml:space="preserve"> samples) or from air-dried conditions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samples). </w:t>
      </w:r>
      <w:r w:rsidRPr="00C27016">
        <w:rPr>
          <w:rFonts w:ascii="Times New Roman" w:hAnsi="Times New Roman" w:cs="Times New Roman"/>
          <w:sz w:val="24"/>
          <w:szCs w:val="24"/>
        </w:rPr>
        <w:t>Following moisture adjustment, jars were flushed with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-free air, sealed, and left to incubate for a </w:t>
      </w:r>
      <w:r w:rsidR="008A48EE">
        <w:rPr>
          <w:rFonts w:ascii="Times New Roman" w:hAnsi="Times New Roman" w:cs="Times New Roman"/>
          <w:sz w:val="24"/>
          <w:szCs w:val="24"/>
        </w:rPr>
        <w:t>4 d</w:t>
      </w:r>
      <w:r w:rsidRPr="00C27016">
        <w:rPr>
          <w:rFonts w:ascii="Times New Roman" w:hAnsi="Times New Roman" w:cs="Times New Roman"/>
          <w:sz w:val="24"/>
          <w:szCs w:val="24"/>
        </w:rPr>
        <w:t xml:space="preserve"> </w:t>
      </w:r>
      <w:r w:rsidR="008A48EE">
        <w:rPr>
          <w:rFonts w:ascii="Times New Roman" w:hAnsi="Times New Roman" w:cs="Times New Roman"/>
          <w:sz w:val="24"/>
          <w:szCs w:val="24"/>
        </w:rPr>
        <w:t>first enclosure</w:t>
      </w:r>
      <w:r w:rsidRPr="00C27016">
        <w:rPr>
          <w:rFonts w:ascii="Times New Roman" w:hAnsi="Times New Roman" w:cs="Times New Roman"/>
          <w:sz w:val="24"/>
          <w:szCs w:val="24"/>
        </w:rPr>
        <w:t xml:space="preserve"> period. After the </w:t>
      </w:r>
      <w:r w:rsidR="008A48EE">
        <w:rPr>
          <w:rFonts w:ascii="Times New Roman" w:hAnsi="Times New Roman" w:cs="Times New Roman"/>
          <w:sz w:val="24"/>
          <w:szCs w:val="24"/>
        </w:rPr>
        <w:t xml:space="preserve">first enclosure period the </w:t>
      </w:r>
      <w:r w:rsidRPr="00C27016">
        <w:rPr>
          <w:rFonts w:ascii="Times New Roman" w:hAnsi="Times New Roman" w:cs="Times New Roman"/>
          <w:sz w:val="24"/>
          <w:szCs w:val="24"/>
        </w:rPr>
        <w:t>jars were flushed again, and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was allowed to accumulate</w:t>
      </w:r>
      <w:r>
        <w:rPr>
          <w:rFonts w:ascii="Times New Roman" w:hAnsi="Times New Roman" w:cs="Times New Roman"/>
          <w:sz w:val="24"/>
          <w:szCs w:val="24"/>
        </w:rPr>
        <w:t xml:space="preserve"> for a second enclosure period (Table 2).</w:t>
      </w:r>
    </w:p>
    <w:p w14:paraId="55D5A38C" w14:textId="77777777" w:rsidR="008A48EE" w:rsidRDefault="003D0E01" w:rsidP="008A48EE">
      <w:pPr>
        <w:pStyle w:val="Normal1"/>
        <w:spacing w:before="120" w:line="360" w:lineRule="auto"/>
        <w:rPr>
          <w:rFonts w:ascii="Times New Roman" w:eastAsia="Arial Unicode MS" w:hAnsi="Times New Roman" w:cs="Times New Roman"/>
          <w:sz w:val="24"/>
          <w:szCs w:val="24"/>
        </w:rPr>
      </w:pPr>
      <w:r w:rsidRPr="00C27016">
        <w:rPr>
          <w:rFonts w:ascii="Times New Roman" w:hAnsi="Times New Roman" w:cs="Times New Roman"/>
          <w:sz w:val="24"/>
          <w:szCs w:val="24"/>
        </w:rPr>
        <w:t>Headspace 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 xml:space="preserve">concentrations </w:t>
      </w:r>
      <w:r>
        <w:rPr>
          <w:rFonts w:ascii="Times New Roman" w:hAnsi="Times New Roman" w:cs="Times New Roman"/>
          <w:sz w:val="24"/>
          <w:szCs w:val="24"/>
        </w:rPr>
        <w:t xml:space="preserve">of both contol-2 and air-dry/rewet incubations </w:t>
      </w:r>
      <w:r w:rsidRPr="00C27016">
        <w:rPr>
          <w:rFonts w:ascii="Times New Roman" w:hAnsi="Times New Roman" w:cs="Times New Roman"/>
          <w:sz w:val="24"/>
          <w:szCs w:val="24"/>
        </w:rPr>
        <w:t xml:space="preserve">were measured </w:t>
      </w:r>
      <w:r>
        <w:rPr>
          <w:rFonts w:ascii="Times New Roman" w:hAnsi="Times New Roman" w:cs="Times New Roman"/>
          <w:sz w:val="24"/>
          <w:szCs w:val="24"/>
        </w:rPr>
        <w:t xml:space="preserve">following the same protocol as the air-dry/rewet + storage incubations in Experiment 1: daily during the </w:t>
      </w:r>
      <w:r w:rsidR="008A48EE">
        <w:rPr>
          <w:rFonts w:ascii="Times New Roman" w:hAnsi="Times New Roman" w:cs="Times New Roman"/>
          <w:sz w:val="24"/>
          <w:szCs w:val="24"/>
        </w:rPr>
        <w:t>rewetting pulse</w:t>
      </w:r>
      <w:r>
        <w:rPr>
          <w:rFonts w:ascii="Times New Roman" w:hAnsi="Times New Roman" w:cs="Times New Roman"/>
          <w:sz w:val="24"/>
          <w:szCs w:val="24"/>
        </w:rPr>
        <w:t xml:space="preserve"> period, and </w:t>
      </w:r>
      <w:r w:rsidRPr="00C27016">
        <w:rPr>
          <w:rFonts w:ascii="Times New Roman" w:hAnsi="Times New Roman" w:cs="Times New Roman"/>
          <w:sz w:val="24"/>
          <w:szCs w:val="24"/>
        </w:rPr>
        <w:t xml:space="preserve">one to three times per week during the </w:t>
      </w:r>
      <w:r>
        <w:rPr>
          <w:rFonts w:ascii="Times New Roman" w:hAnsi="Times New Roman" w:cs="Times New Roman"/>
          <w:sz w:val="24"/>
          <w:szCs w:val="24"/>
        </w:rPr>
        <w:t xml:space="preserve">second enclosure </w:t>
      </w:r>
      <w:r w:rsidRPr="00C27016">
        <w:rPr>
          <w:rFonts w:ascii="Times New Roman" w:hAnsi="Times New Roman" w:cs="Times New Roman"/>
          <w:sz w:val="24"/>
          <w:szCs w:val="24"/>
        </w:rPr>
        <w:t>period</w:t>
      </w:r>
      <w:r w:rsidR="008A48EE">
        <w:rPr>
          <w:rFonts w:ascii="Times New Roman" w:hAnsi="Times New Roman" w:cs="Times New Roman"/>
          <w:sz w:val="24"/>
          <w:szCs w:val="24"/>
        </w:rPr>
        <w:t xml:space="preserve"> depending on</w:t>
      </w:r>
      <w:r w:rsidR="008A48EE" w:rsidRPr="00C27016">
        <w:rPr>
          <w:rFonts w:ascii="Times New Roman" w:hAnsi="Times New Roman" w:cs="Times New Roman"/>
          <w:sz w:val="24"/>
          <w:szCs w:val="24"/>
        </w:rPr>
        <w:t xml:space="preserve"> respiration rates. </w:t>
      </w:r>
      <w:r w:rsidR="008A48EE" w:rsidRPr="00C27016">
        <w:rPr>
          <w:rFonts w:ascii="Times New Roman" w:eastAsia="Arial Unicode MS" w:hAnsi="Times New Roman" w:cs="Times New Roman"/>
          <w:sz w:val="24"/>
          <w:szCs w:val="24"/>
        </w:rPr>
        <w:t>Headspace gas samples were collected and analyzed for ∆</w:t>
      </w:r>
      <w:r w:rsidR="008A48EE" w:rsidRPr="00C27016">
        <w:rPr>
          <w:rFonts w:ascii="Times New Roman" w:hAnsi="Times New Roman" w:cs="Times New Roman"/>
          <w:sz w:val="24"/>
          <w:szCs w:val="24"/>
          <w:vertAlign w:val="superscript"/>
        </w:rPr>
        <w:t>14</w:t>
      </w:r>
      <w:r w:rsidR="008A48EE" w:rsidRPr="00C27016">
        <w:rPr>
          <w:rFonts w:ascii="Times New Roman" w:hAnsi="Times New Roman" w:cs="Times New Roman"/>
          <w:sz w:val="24"/>
          <w:szCs w:val="24"/>
        </w:rPr>
        <w:t>C and δ</w:t>
      </w:r>
      <w:r w:rsidR="008A48EE" w:rsidRPr="00C27016">
        <w:rPr>
          <w:rFonts w:ascii="Times New Roman" w:hAnsi="Times New Roman" w:cs="Times New Roman"/>
          <w:sz w:val="24"/>
          <w:szCs w:val="24"/>
          <w:vertAlign w:val="superscript"/>
        </w:rPr>
        <w:t>13</w:t>
      </w:r>
      <w:r w:rsidR="008A48EE" w:rsidRPr="00C27016">
        <w:rPr>
          <w:rFonts w:ascii="Times New Roman" w:eastAsia="Arial Unicode MS" w:hAnsi="Times New Roman" w:cs="Times New Roman"/>
          <w:sz w:val="24"/>
          <w:szCs w:val="24"/>
        </w:rPr>
        <w:t xml:space="preserve">C content at the end of both the </w:t>
      </w:r>
      <w:r w:rsidR="008A48EE">
        <w:rPr>
          <w:rFonts w:ascii="Times New Roman" w:eastAsia="Arial Unicode MS" w:hAnsi="Times New Roman" w:cs="Times New Roman"/>
          <w:sz w:val="24"/>
          <w:szCs w:val="24"/>
        </w:rPr>
        <w:t>rewetting pulse period</w:t>
      </w:r>
      <w:r w:rsidR="008A48EE" w:rsidRPr="00C27016">
        <w:rPr>
          <w:rFonts w:ascii="Times New Roman" w:eastAsia="Arial Unicode MS" w:hAnsi="Times New Roman" w:cs="Times New Roman"/>
          <w:sz w:val="24"/>
          <w:szCs w:val="24"/>
        </w:rPr>
        <w:t xml:space="preserve"> and the </w:t>
      </w:r>
      <w:r w:rsidR="008A48EE">
        <w:rPr>
          <w:rFonts w:ascii="Times New Roman" w:eastAsia="Arial Unicode MS" w:hAnsi="Times New Roman" w:cs="Times New Roman"/>
          <w:sz w:val="24"/>
          <w:szCs w:val="24"/>
        </w:rPr>
        <w:t>second enclosure</w:t>
      </w:r>
      <w:r w:rsidR="008A48EE" w:rsidRPr="00C27016">
        <w:rPr>
          <w:rFonts w:ascii="Times New Roman" w:eastAsia="Arial Unicode MS" w:hAnsi="Times New Roman" w:cs="Times New Roman"/>
          <w:sz w:val="24"/>
          <w:szCs w:val="24"/>
        </w:rPr>
        <w:t xml:space="preserve"> period</w:t>
      </w:r>
      <w:r w:rsidR="008A48EE">
        <w:rPr>
          <w:rFonts w:ascii="Times New Roman" w:eastAsia="Arial Unicode MS" w:hAnsi="Times New Roman" w:cs="Times New Roman"/>
          <w:sz w:val="24"/>
          <w:szCs w:val="24"/>
        </w:rPr>
        <w:t>.</w:t>
      </w:r>
    </w:p>
    <w:p w14:paraId="7FF02492" w14:textId="77777777" w:rsidR="008A48EE" w:rsidRPr="003D0E01" w:rsidRDefault="008A48EE" w:rsidP="008A48EE">
      <w:pPr>
        <w:pStyle w:val="Normal1"/>
        <w:spacing w:before="120" w:line="360" w:lineRule="auto"/>
        <w:rPr>
          <w:rFonts w:ascii="Times New Roman" w:eastAsia="Arial Unicode MS" w:hAnsi="Times New Roman" w:cs="Times New Roman"/>
          <w:sz w:val="24"/>
          <w:szCs w:val="24"/>
        </w:rPr>
      </w:pPr>
      <w:r>
        <w:rPr>
          <w:rFonts w:ascii="Times New Roman" w:eastAsia="Arial Unicode MS" w:hAnsi="Times New Roman" w:cs="Times New Roman"/>
          <w:sz w:val="24"/>
          <w:szCs w:val="24"/>
        </w:rPr>
        <w:t>The duration of the second enclosure period differed between control-2 and air-dry/rewet samples.</w:t>
      </w:r>
      <w:r>
        <w:rPr>
          <w:rFonts w:ascii="Times New Roman" w:hAnsi="Times New Roman" w:cs="Times New Roman"/>
          <w:sz w:val="24"/>
          <w:szCs w:val="24"/>
        </w:rPr>
        <w:t xml:space="preserve"> Control-2 samples were allowed to incubate until &gt; 0.5 mg of CO</w:t>
      </w:r>
      <w:r w:rsidRPr="0045113B">
        <w:rPr>
          <w:rFonts w:ascii="Times New Roman" w:hAnsi="Times New Roman" w:cs="Times New Roman"/>
          <w:sz w:val="24"/>
          <w:szCs w:val="24"/>
          <w:vertAlign w:val="subscript"/>
        </w:rPr>
        <w:t>2</w:t>
      </w:r>
      <w:r>
        <w:rPr>
          <w:rFonts w:ascii="Times New Roman" w:hAnsi="Times New Roman" w:cs="Times New Roman"/>
          <w:sz w:val="24"/>
          <w:szCs w:val="24"/>
        </w:rPr>
        <w:t>-C was present in the jar headspace, which is the quantity needed to measure ∆</w:t>
      </w:r>
      <w:r w:rsidRPr="0045113B">
        <w:rPr>
          <w:rFonts w:ascii="Times New Roman" w:hAnsi="Times New Roman" w:cs="Times New Roman"/>
          <w:sz w:val="24"/>
          <w:szCs w:val="24"/>
          <w:vertAlign w:val="superscript"/>
        </w:rPr>
        <w:t>14</w:t>
      </w:r>
      <w:r>
        <w:rPr>
          <w:rFonts w:ascii="Times New Roman" w:hAnsi="Times New Roman" w:cs="Times New Roman"/>
          <w:sz w:val="24"/>
          <w:szCs w:val="24"/>
        </w:rPr>
        <w:t>C. In contrast, incubations for the air-dry/rewet treatment samples were allowed to proceed until the same amount of CO</w:t>
      </w:r>
      <w:r w:rsidRPr="009D6F90">
        <w:rPr>
          <w:rFonts w:ascii="Times New Roman" w:hAnsi="Times New Roman" w:cs="Times New Roman"/>
          <w:sz w:val="24"/>
          <w:szCs w:val="24"/>
          <w:vertAlign w:val="subscript"/>
        </w:rPr>
        <w:t>2</w:t>
      </w:r>
      <w:r>
        <w:rPr>
          <w:rFonts w:ascii="Times New Roman" w:hAnsi="Times New Roman" w:cs="Times New Roman"/>
          <w:sz w:val="24"/>
          <w:szCs w:val="24"/>
        </w:rPr>
        <w:t xml:space="preserve"> was respired per g of soil C as in the paired control-2 sample. </w:t>
      </w:r>
      <w:r w:rsidRPr="00C27016">
        <w:rPr>
          <w:rFonts w:ascii="Times New Roman" w:hAnsi="Times New Roman" w:cs="Times New Roman"/>
          <w:sz w:val="24"/>
          <w:szCs w:val="24"/>
        </w:rPr>
        <w:t>All samples were incubated at 20º C.</w:t>
      </w:r>
    </w:p>
    <w:p w14:paraId="3AB7F8C3" w14:textId="77777777" w:rsidR="008A48EE" w:rsidRDefault="008A48EE" w:rsidP="008A48EE">
      <w:pPr>
        <w:pStyle w:val="Normal1"/>
        <w:spacing w:before="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t>2.3 Experiment 3</w:t>
      </w:r>
    </w:p>
    <w:p w14:paraId="3ECF3744" w14:textId="77777777" w:rsidR="008A48EE" w:rsidRDefault="008A48EE" w:rsidP="008A48EE">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were forced to modify the incubation conditions for Experiment 3 samples slightly from the protocols followed for Experiments 1 and 2 in order to accommodate the variation in experimental design of the control-3 incubations, which were conducted by different investigators in different labs as part of six unrelated experiments. </w:t>
      </w:r>
    </w:p>
    <w:p w14:paraId="2E881128" w14:textId="77777777" w:rsidR="008A48EE" w:rsidRDefault="008A48EE" w:rsidP="008A48EE">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ab/>
        <w:t xml:space="preserve">2.3.1 </w:t>
      </w:r>
      <w:r w:rsidRPr="00C27016">
        <w:rPr>
          <w:rFonts w:ascii="Times New Roman" w:hAnsi="Times New Roman" w:cs="Times New Roman"/>
          <w:sz w:val="24"/>
          <w:szCs w:val="24"/>
        </w:rPr>
        <w:t>Experiment 3</w:t>
      </w:r>
      <w:r>
        <w:rPr>
          <w:rFonts w:ascii="Times New Roman" w:hAnsi="Times New Roman" w:cs="Times New Roman"/>
          <w:sz w:val="24"/>
          <w:szCs w:val="24"/>
        </w:rPr>
        <w:t xml:space="preserve"> s</w:t>
      </w:r>
      <w:r w:rsidRPr="00C27016">
        <w:rPr>
          <w:rFonts w:ascii="Times New Roman" w:hAnsi="Times New Roman" w:cs="Times New Roman"/>
          <w:sz w:val="24"/>
          <w:szCs w:val="24"/>
        </w:rPr>
        <w:t>ample selection</w:t>
      </w:r>
    </w:p>
    <w:p w14:paraId="35070320" w14:textId="38E854C9" w:rsidR="008A48EE" w:rsidRDefault="008A48EE" w:rsidP="008A48EE">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The main criteria for sample selection for Experiment 3 were: 1) samples were split prior to incubation, 2) ∆</w:t>
      </w:r>
      <w:r w:rsidRPr="00407914">
        <w:rPr>
          <w:rFonts w:ascii="Times New Roman" w:hAnsi="Times New Roman" w:cs="Times New Roman"/>
          <w:sz w:val="24"/>
          <w:szCs w:val="24"/>
          <w:vertAlign w:val="superscript"/>
        </w:rPr>
        <w:t>14</w:t>
      </w:r>
      <w:r>
        <w:rPr>
          <w:rFonts w:ascii="Times New Roman" w:hAnsi="Times New Roman" w:cs="Times New Roman"/>
          <w:sz w:val="24"/>
          <w:szCs w:val="24"/>
        </w:rPr>
        <w:t>C-CO</w:t>
      </w:r>
      <w:r w:rsidRPr="00407914">
        <w:rPr>
          <w:rFonts w:ascii="Times New Roman" w:hAnsi="Times New Roman" w:cs="Times New Roman"/>
          <w:sz w:val="24"/>
          <w:szCs w:val="24"/>
          <w:vertAlign w:val="subscript"/>
        </w:rPr>
        <w:t>2</w:t>
      </w:r>
      <w:r>
        <w:rPr>
          <w:rFonts w:ascii="Times New Roman" w:hAnsi="Times New Roman" w:cs="Times New Roman"/>
          <w:sz w:val="24"/>
          <w:szCs w:val="24"/>
        </w:rPr>
        <w:t xml:space="preserve"> was available from the second enclosure period of the initial incubations, and 3) adequate soil material from the unincubated sample split was available for the storage duration treatment incubation. We sought to cover a range of storage duration, but this was ultimately constrained to be between 4 and 14 y due to the difficulty of obtaining samples. We were able to obtain samples from a range of soil types and climatic conditions, and as with the first two experiments, we limited the samples studied to the A horizon (SI Table 1).</w:t>
      </w:r>
    </w:p>
    <w:p w14:paraId="369CAB3F" w14:textId="77777777" w:rsidR="008A48EE" w:rsidRDefault="008A48EE" w:rsidP="008A48EE">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2.3.2  </w:t>
      </w:r>
      <w:r w:rsidRPr="00C27016">
        <w:rPr>
          <w:rFonts w:ascii="Times New Roman" w:hAnsi="Times New Roman" w:cs="Times New Roman"/>
          <w:sz w:val="24"/>
          <w:szCs w:val="24"/>
        </w:rPr>
        <w:t>Experiment 3</w:t>
      </w:r>
      <w:r>
        <w:rPr>
          <w:rFonts w:ascii="Times New Roman" w:hAnsi="Times New Roman" w:cs="Times New Roman"/>
          <w:sz w:val="24"/>
          <w:szCs w:val="24"/>
        </w:rPr>
        <w:t xml:space="preserve"> sample</w:t>
      </w:r>
      <w:r w:rsidRPr="00C27016">
        <w:rPr>
          <w:rFonts w:ascii="Times New Roman" w:hAnsi="Times New Roman" w:cs="Times New Roman"/>
          <w:sz w:val="24"/>
          <w:szCs w:val="24"/>
        </w:rPr>
        <w:t xml:space="preserve"> preparation</w:t>
      </w:r>
    </w:p>
    <w:p w14:paraId="33624E74" w14:textId="77777777" w:rsidR="008A48EE" w:rsidRDefault="008A48EE" w:rsidP="008A48EE">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Sieving protocol varied among control-3 samples, with some samples seived to 2-mm while others remained unseived (Table xx). All soils obtained for the storage duration incubations were air-dried splits made prior to control-3 incubations.</w:t>
      </w:r>
    </w:p>
    <w:p w14:paraId="6B745AC5" w14:textId="7F7565F7" w:rsidR="001D0BD0" w:rsidRDefault="001D0BD0" w:rsidP="003D0E01">
      <w:pPr>
        <w:pStyle w:val="Normal1"/>
        <w:spacing w:before="120" w:line="360" w:lineRule="auto"/>
        <w:rPr>
          <w:rFonts w:ascii="Times New Roman" w:hAnsi="Times New Roman" w:cs="Times New Roman"/>
          <w:sz w:val="24"/>
          <w:szCs w:val="24"/>
        </w:rPr>
        <w:sectPr w:rsidR="001D0BD0" w:rsidSect="005673F0">
          <w:headerReference w:type="default" r:id="rId10"/>
          <w:footerReference w:type="even" r:id="rId11"/>
          <w:footerReference w:type="default" r:id="rId12"/>
          <w:headerReference w:type="first" r:id="rId13"/>
          <w:pgSz w:w="12240" w:h="15840"/>
          <w:pgMar w:top="1440" w:right="1440" w:bottom="1440" w:left="1440" w:header="432" w:footer="720" w:gutter="0"/>
          <w:lnNumType w:countBy="1" w:restart="continuous"/>
          <w:cols w:space="720"/>
          <w:docGrid w:linePitch="360"/>
        </w:sectPr>
      </w:pPr>
    </w:p>
    <w:p w14:paraId="3CDE4C90" w14:textId="77777777" w:rsidR="001D0BD0" w:rsidRPr="00062C25" w:rsidRDefault="001D0BD0" w:rsidP="001D0BD0">
      <w:pPr>
        <w:pStyle w:val="Normal1"/>
        <w:spacing w:before="120"/>
        <w:rPr>
          <w:rFonts w:ascii="Times New Roman" w:hAnsi="Times New Roman" w:cs="Times New Roman"/>
          <w:b/>
          <w:sz w:val="24"/>
          <w:szCs w:val="24"/>
        </w:rPr>
      </w:pPr>
      <w:r w:rsidRPr="00062C25">
        <w:rPr>
          <w:rFonts w:ascii="Times New Roman" w:hAnsi="Times New Roman" w:cs="Times New Roman"/>
          <w:b/>
          <w:sz w:val="24"/>
          <w:szCs w:val="24"/>
        </w:rPr>
        <w:t xml:space="preserve">Table 1. </w:t>
      </w:r>
    </w:p>
    <w:p w14:paraId="372C16AA" w14:textId="4DA4FB14" w:rsidR="001D0BD0" w:rsidRPr="00062C25" w:rsidRDefault="00CB733F" w:rsidP="001D0BD0">
      <w:pPr>
        <w:pStyle w:val="Normal1"/>
        <w:spacing w:before="120"/>
        <w:rPr>
          <w:rFonts w:ascii="Times New Roman" w:hAnsi="Times New Roman" w:cs="Times New Roman"/>
          <w:i/>
          <w:sz w:val="24"/>
          <w:szCs w:val="24"/>
        </w:rPr>
      </w:pPr>
      <w:r>
        <w:rPr>
          <w:rFonts w:ascii="Times New Roman" w:hAnsi="Times New Roman" w:cs="Times New Roman"/>
          <w:i/>
          <w:sz w:val="24"/>
          <w:szCs w:val="24"/>
        </w:rPr>
        <w:t>Mean soil p</w:t>
      </w:r>
      <w:r w:rsidR="001D0BD0" w:rsidRPr="00062C25">
        <w:rPr>
          <w:rFonts w:ascii="Times New Roman" w:hAnsi="Times New Roman" w:cs="Times New Roman"/>
          <w:i/>
          <w:sz w:val="24"/>
          <w:szCs w:val="24"/>
        </w:rPr>
        <w:t xml:space="preserve">roperties </w:t>
      </w:r>
      <w:r>
        <w:rPr>
          <w:rFonts w:ascii="Times New Roman" w:hAnsi="Times New Roman" w:cs="Times New Roman"/>
          <w:i/>
          <w:sz w:val="24"/>
          <w:szCs w:val="24"/>
        </w:rPr>
        <w:t>by sampling region</w:t>
      </w:r>
      <w:r w:rsidR="001C00F4">
        <w:rPr>
          <w:rFonts w:ascii="Times New Roman" w:hAnsi="Times New Roman" w:cs="Times New Roman"/>
          <w:i/>
          <w:sz w:val="24"/>
          <w:szCs w:val="24"/>
        </w:rPr>
        <w:t>*</w:t>
      </w:r>
    </w:p>
    <w:tbl>
      <w:tblPr>
        <w:tblW w:w="12384" w:type="dxa"/>
        <w:tblInd w:w="93" w:type="dxa"/>
        <w:tblLook w:val="04A0" w:firstRow="1" w:lastRow="0" w:firstColumn="1" w:lastColumn="0" w:noHBand="0" w:noVBand="1"/>
      </w:tblPr>
      <w:tblGrid>
        <w:gridCol w:w="1319"/>
        <w:gridCol w:w="2116"/>
        <w:gridCol w:w="1540"/>
        <w:gridCol w:w="621"/>
        <w:gridCol w:w="853"/>
        <w:gridCol w:w="505"/>
        <w:gridCol w:w="853"/>
        <w:gridCol w:w="505"/>
        <w:gridCol w:w="847"/>
        <w:gridCol w:w="613"/>
        <w:gridCol w:w="846"/>
        <w:gridCol w:w="460"/>
        <w:gridCol w:w="846"/>
        <w:gridCol w:w="460"/>
      </w:tblGrid>
      <w:tr w:rsidR="00CB733F" w:rsidRPr="00CB733F" w14:paraId="221FD841" w14:textId="77777777" w:rsidTr="00CB733F">
        <w:trPr>
          <w:trHeight w:val="300"/>
        </w:trPr>
        <w:tc>
          <w:tcPr>
            <w:tcW w:w="1319" w:type="dxa"/>
            <w:tcBorders>
              <w:top w:val="nil"/>
              <w:left w:val="nil"/>
              <w:bottom w:val="nil"/>
              <w:right w:val="nil"/>
            </w:tcBorders>
            <w:shd w:val="clear" w:color="auto" w:fill="auto"/>
            <w:noWrap/>
            <w:vAlign w:val="bottom"/>
            <w:hideMark/>
          </w:tcPr>
          <w:p w14:paraId="0595ED59" w14:textId="77777777" w:rsidR="00CB733F" w:rsidRPr="00CB733F" w:rsidRDefault="00CB733F" w:rsidP="00CB733F">
            <w:pPr>
              <w:jc w:val="center"/>
              <w:rPr>
                <w:rFonts w:ascii="Cambria" w:eastAsia="Times New Roman" w:hAnsi="Cambria"/>
                <w:color w:val="000000"/>
                <w:sz w:val="22"/>
                <w:szCs w:val="22"/>
              </w:rPr>
            </w:pPr>
          </w:p>
        </w:tc>
        <w:tc>
          <w:tcPr>
            <w:tcW w:w="2116" w:type="dxa"/>
            <w:tcBorders>
              <w:top w:val="nil"/>
              <w:left w:val="nil"/>
              <w:bottom w:val="nil"/>
              <w:right w:val="nil"/>
            </w:tcBorders>
            <w:shd w:val="clear" w:color="auto" w:fill="auto"/>
            <w:noWrap/>
            <w:vAlign w:val="bottom"/>
            <w:hideMark/>
          </w:tcPr>
          <w:p w14:paraId="63BF28BA" w14:textId="77777777" w:rsidR="00CB733F" w:rsidRPr="00CB733F" w:rsidRDefault="00CB733F" w:rsidP="00CB733F">
            <w:pPr>
              <w:rPr>
                <w:rFonts w:ascii="Cambria" w:eastAsia="Times New Roman" w:hAnsi="Cambria"/>
                <w:b/>
                <w:bCs/>
                <w:color w:val="000000"/>
                <w:sz w:val="22"/>
                <w:szCs w:val="22"/>
              </w:rPr>
            </w:pPr>
          </w:p>
        </w:tc>
        <w:tc>
          <w:tcPr>
            <w:tcW w:w="1540" w:type="dxa"/>
            <w:tcBorders>
              <w:top w:val="nil"/>
              <w:left w:val="nil"/>
              <w:bottom w:val="nil"/>
              <w:right w:val="nil"/>
            </w:tcBorders>
            <w:shd w:val="clear" w:color="auto" w:fill="auto"/>
            <w:noWrap/>
            <w:vAlign w:val="bottom"/>
            <w:hideMark/>
          </w:tcPr>
          <w:p w14:paraId="378A46A8" w14:textId="77777777" w:rsidR="00CB733F" w:rsidRPr="00CB733F" w:rsidRDefault="00CB733F" w:rsidP="00CB733F">
            <w:pPr>
              <w:rPr>
                <w:rFonts w:ascii="Cambria" w:eastAsia="Times New Roman" w:hAnsi="Cambria"/>
                <w:b/>
                <w:bCs/>
                <w:color w:val="000000"/>
                <w:sz w:val="22"/>
                <w:szCs w:val="22"/>
              </w:rPr>
            </w:pPr>
          </w:p>
        </w:tc>
        <w:tc>
          <w:tcPr>
            <w:tcW w:w="621" w:type="dxa"/>
            <w:tcBorders>
              <w:top w:val="nil"/>
              <w:left w:val="nil"/>
              <w:bottom w:val="nil"/>
              <w:right w:val="nil"/>
            </w:tcBorders>
            <w:shd w:val="clear" w:color="auto" w:fill="auto"/>
            <w:noWrap/>
            <w:vAlign w:val="bottom"/>
            <w:hideMark/>
          </w:tcPr>
          <w:p w14:paraId="4EC561C3" w14:textId="77777777" w:rsidR="00CB733F" w:rsidRPr="00CB733F" w:rsidRDefault="00CB733F" w:rsidP="00CB733F">
            <w:pPr>
              <w:rPr>
                <w:rFonts w:ascii="Cambria" w:eastAsia="Times New Roman" w:hAnsi="Cambria"/>
                <w:b/>
                <w:bCs/>
                <w:color w:val="000000"/>
                <w:sz w:val="22"/>
                <w:szCs w:val="22"/>
              </w:rPr>
            </w:pPr>
          </w:p>
        </w:tc>
        <w:tc>
          <w:tcPr>
            <w:tcW w:w="2716" w:type="dxa"/>
            <w:gridSpan w:val="4"/>
            <w:tcBorders>
              <w:top w:val="nil"/>
              <w:left w:val="nil"/>
              <w:bottom w:val="single" w:sz="4" w:space="0" w:color="auto"/>
              <w:right w:val="nil"/>
            </w:tcBorders>
            <w:shd w:val="clear" w:color="auto" w:fill="auto"/>
            <w:noWrap/>
            <w:vAlign w:val="bottom"/>
            <w:hideMark/>
          </w:tcPr>
          <w:p w14:paraId="054461A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Nutrient</w:t>
            </w:r>
          </w:p>
        </w:tc>
        <w:tc>
          <w:tcPr>
            <w:tcW w:w="4072" w:type="dxa"/>
            <w:gridSpan w:val="6"/>
            <w:tcBorders>
              <w:top w:val="nil"/>
              <w:left w:val="nil"/>
              <w:bottom w:val="single" w:sz="4" w:space="0" w:color="auto"/>
              <w:right w:val="nil"/>
            </w:tcBorders>
            <w:shd w:val="clear" w:color="auto" w:fill="auto"/>
            <w:noWrap/>
            <w:vAlign w:val="bottom"/>
            <w:hideMark/>
          </w:tcPr>
          <w:p w14:paraId="2B6378D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Particle size</w:t>
            </w:r>
          </w:p>
        </w:tc>
      </w:tr>
      <w:tr w:rsidR="00CB733F" w:rsidRPr="00CB733F" w14:paraId="63284CFB" w14:textId="77777777" w:rsidTr="00CB733F">
        <w:trPr>
          <w:trHeight w:val="300"/>
        </w:trPr>
        <w:tc>
          <w:tcPr>
            <w:tcW w:w="1319" w:type="dxa"/>
            <w:tcBorders>
              <w:top w:val="nil"/>
              <w:left w:val="nil"/>
              <w:bottom w:val="nil"/>
              <w:right w:val="nil"/>
            </w:tcBorders>
            <w:shd w:val="clear" w:color="auto" w:fill="auto"/>
            <w:noWrap/>
            <w:vAlign w:val="bottom"/>
            <w:hideMark/>
          </w:tcPr>
          <w:p w14:paraId="3AB7EAAA" w14:textId="77777777" w:rsidR="00CB733F" w:rsidRPr="00CB733F" w:rsidRDefault="00CB733F" w:rsidP="00CB733F">
            <w:pPr>
              <w:jc w:val="center"/>
              <w:rPr>
                <w:rFonts w:ascii="Cambria" w:eastAsia="Times New Roman" w:hAnsi="Cambria"/>
                <w:color w:val="000000"/>
                <w:sz w:val="22"/>
                <w:szCs w:val="22"/>
              </w:rPr>
            </w:pPr>
          </w:p>
        </w:tc>
        <w:tc>
          <w:tcPr>
            <w:tcW w:w="2116" w:type="dxa"/>
            <w:tcBorders>
              <w:top w:val="nil"/>
              <w:left w:val="nil"/>
              <w:bottom w:val="nil"/>
              <w:right w:val="nil"/>
            </w:tcBorders>
            <w:shd w:val="clear" w:color="auto" w:fill="auto"/>
            <w:noWrap/>
            <w:vAlign w:val="bottom"/>
            <w:hideMark/>
          </w:tcPr>
          <w:p w14:paraId="3CB24650" w14:textId="77777777" w:rsidR="00CB733F" w:rsidRPr="00CB733F" w:rsidRDefault="00CB733F" w:rsidP="00CB733F">
            <w:pPr>
              <w:jc w:val="center"/>
              <w:rPr>
                <w:rFonts w:ascii="Cambria" w:eastAsia="Times New Roman" w:hAnsi="Cambria"/>
                <w:color w:val="000000"/>
                <w:sz w:val="22"/>
                <w:szCs w:val="22"/>
              </w:rPr>
            </w:pPr>
          </w:p>
        </w:tc>
        <w:tc>
          <w:tcPr>
            <w:tcW w:w="1540" w:type="dxa"/>
            <w:tcBorders>
              <w:top w:val="nil"/>
              <w:left w:val="nil"/>
              <w:bottom w:val="nil"/>
              <w:right w:val="nil"/>
            </w:tcBorders>
            <w:shd w:val="clear" w:color="auto" w:fill="auto"/>
            <w:noWrap/>
            <w:vAlign w:val="bottom"/>
            <w:hideMark/>
          </w:tcPr>
          <w:p w14:paraId="1E403AA4" w14:textId="77777777" w:rsidR="00CB733F" w:rsidRPr="00CB733F" w:rsidRDefault="00CB733F" w:rsidP="00CB733F">
            <w:pPr>
              <w:jc w:val="center"/>
              <w:rPr>
                <w:rFonts w:ascii="Cambria" w:eastAsia="Times New Roman" w:hAnsi="Cambria"/>
                <w:color w:val="000000"/>
                <w:sz w:val="22"/>
                <w:szCs w:val="22"/>
              </w:rPr>
            </w:pPr>
          </w:p>
        </w:tc>
        <w:tc>
          <w:tcPr>
            <w:tcW w:w="621" w:type="dxa"/>
            <w:tcBorders>
              <w:top w:val="nil"/>
              <w:left w:val="nil"/>
              <w:bottom w:val="nil"/>
              <w:right w:val="nil"/>
            </w:tcBorders>
            <w:shd w:val="clear" w:color="auto" w:fill="auto"/>
            <w:noWrap/>
            <w:vAlign w:val="bottom"/>
            <w:hideMark/>
          </w:tcPr>
          <w:p w14:paraId="2116554F" w14:textId="77777777" w:rsidR="00CB733F" w:rsidRPr="00CB733F" w:rsidRDefault="00CB733F" w:rsidP="00CB733F">
            <w:pPr>
              <w:jc w:val="center"/>
              <w:rPr>
                <w:rFonts w:ascii="Cambria" w:eastAsia="Times New Roman" w:hAnsi="Cambria"/>
                <w:color w:val="000000"/>
                <w:sz w:val="22"/>
                <w:szCs w:val="22"/>
              </w:rPr>
            </w:pPr>
          </w:p>
        </w:tc>
        <w:tc>
          <w:tcPr>
            <w:tcW w:w="1358" w:type="dxa"/>
            <w:gridSpan w:val="2"/>
            <w:tcBorders>
              <w:top w:val="nil"/>
              <w:left w:val="nil"/>
              <w:bottom w:val="single" w:sz="4" w:space="0" w:color="auto"/>
              <w:right w:val="nil"/>
            </w:tcBorders>
            <w:shd w:val="clear" w:color="auto" w:fill="auto"/>
            <w:vAlign w:val="bottom"/>
            <w:hideMark/>
          </w:tcPr>
          <w:p w14:paraId="70D3863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Organic C</w:t>
            </w:r>
          </w:p>
        </w:tc>
        <w:tc>
          <w:tcPr>
            <w:tcW w:w="1358" w:type="dxa"/>
            <w:gridSpan w:val="2"/>
            <w:tcBorders>
              <w:top w:val="nil"/>
              <w:left w:val="nil"/>
              <w:bottom w:val="single" w:sz="4" w:space="0" w:color="auto"/>
              <w:right w:val="nil"/>
            </w:tcBorders>
            <w:shd w:val="clear" w:color="auto" w:fill="auto"/>
            <w:vAlign w:val="bottom"/>
            <w:hideMark/>
          </w:tcPr>
          <w:p w14:paraId="7DD1205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Total N</w:t>
            </w:r>
          </w:p>
        </w:tc>
        <w:tc>
          <w:tcPr>
            <w:tcW w:w="1460" w:type="dxa"/>
            <w:gridSpan w:val="2"/>
            <w:tcBorders>
              <w:top w:val="nil"/>
              <w:left w:val="nil"/>
              <w:bottom w:val="single" w:sz="4" w:space="0" w:color="auto"/>
              <w:right w:val="nil"/>
            </w:tcBorders>
            <w:shd w:val="clear" w:color="auto" w:fill="auto"/>
            <w:vAlign w:val="bottom"/>
            <w:hideMark/>
          </w:tcPr>
          <w:p w14:paraId="5AD23EC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Sand</w:t>
            </w:r>
          </w:p>
        </w:tc>
        <w:tc>
          <w:tcPr>
            <w:tcW w:w="1306" w:type="dxa"/>
            <w:gridSpan w:val="2"/>
            <w:tcBorders>
              <w:top w:val="nil"/>
              <w:left w:val="nil"/>
              <w:bottom w:val="single" w:sz="4" w:space="0" w:color="auto"/>
              <w:right w:val="nil"/>
            </w:tcBorders>
            <w:shd w:val="clear" w:color="auto" w:fill="auto"/>
            <w:vAlign w:val="bottom"/>
            <w:hideMark/>
          </w:tcPr>
          <w:p w14:paraId="4EC0749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Silt</w:t>
            </w:r>
          </w:p>
        </w:tc>
        <w:tc>
          <w:tcPr>
            <w:tcW w:w="1306" w:type="dxa"/>
            <w:gridSpan w:val="2"/>
            <w:tcBorders>
              <w:top w:val="nil"/>
              <w:left w:val="nil"/>
              <w:bottom w:val="single" w:sz="4" w:space="0" w:color="auto"/>
              <w:right w:val="nil"/>
            </w:tcBorders>
            <w:shd w:val="clear" w:color="auto" w:fill="auto"/>
            <w:vAlign w:val="bottom"/>
            <w:hideMark/>
          </w:tcPr>
          <w:p w14:paraId="4846E768"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Clay</w:t>
            </w:r>
          </w:p>
        </w:tc>
      </w:tr>
      <w:tr w:rsidR="00CB733F" w:rsidRPr="00CB733F" w14:paraId="6C518AF6" w14:textId="77777777" w:rsidTr="00CB733F">
        <w:trPr>
          <w:trHeight w:val="300"/>
        </w:trPr>
        <w:tc>
          <w:tcPr>
            <w:tcW w:w="1319" w:type="dxa"/>
            <w:tcBorders>
              <w:top w:val="nil"/>
              <w:left w:val="nil"/>
              <w:bottom w:val="single" w:sz="4" w:space="0" w:color="auto"/>
              <w:right w:val="nil"/>
            </w:tcBorders>
            <w:shd w:val="clear" w:color="auto" w:fill="auto"/>
            <w:noWrap/>
            <w:vAlign w:val="bottom"/>
            <w:hideMark/>
          </w:tcPr>
          <w:p w14:paraId="1C1E2EF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Experiment</w:t>
            </w:r>
          </w:p>
        </w:tc>
        <w:tc>
          <w:tcPr>
            <w:tcW w:w="2116" w:type="dxa"/>
            <w:tcBorders>
              <w:top w:val="nil"/>
              <w:left w:val="nil"/>
              <w:bottom w:val="single" w:sz="4" w:space="0" w:color="auto"/>
              <w:right w:val="nil"/>
            </w:tcBorders>
            <w:shd w:val="clear" w:color="auto" w:fill="auto"/>
            <w:noWrap/>
            <w:vAlign w:val="bottom"/>
            <w:hideMark/>
          </w:tcPr>
          <w:p w14:paraId="4CFCCE9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Region</w:t>
            </w:r>
          </w:p>
        </w:tc>
        <w:tc>
          <w:tcPr>
            <w:tcW w:w="1540" w:type="dxa"/>
            <w:tcBorders>
              <w:top w:val="nil"/>
              <w:left w:val="nil"/>
              <w:bottom w:val="single" w:sz="4" w:space="0" w:color="auto"/>
              <w:right w:val="nil"/>
            </w:tcBorders>
            <w:shd w:val="clear" w:color="auto" w:fill="auto"/>
            <w:vAlign w:val="bottom"/>
            <w:hideMark/>
          </w:tcPr>
          <w:p w14:paraId="198F33C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Ecosystem**</w:t>
            </w:r>
          </w:p>
        </w:tc>
        <w:tc>
          <w:tcPr>
            <w:tcW w:w="621" w:type="dxa"/>
            <w:tcBorders>
              <w:top w:val="nil"/>
              <w:left w:val="nil"/>
              <w:bottom w:val="nil"/>
              <w:right w:val="nil"/>
            </w:tcBorders>
            <w:shd w:val="clear" w:color="auto" w:fill="auto"/>
            <w:vAlign w:val="bottom"/>
            <w:hideMark/>
          </w:tcPr>
          <w:p w14:paraId="25C3265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n***</w:t>
            </w:r>
          </w:p>
        </w:tc>
        <w:tc>
          <w:tcPr>
            <w:tcW w:w="853" w:type="dxa"/>
            <w:tcBorders>
              <w:top w:val="nil"/>
              <w:left w:val="nil"/>
              <w:bottom w:val="nil"/>
              <w:right w:val="nil"/>
            </w:tcBorders>
            <w:shd w:val="clear" w:color="auto" w:fill="auto"/>
            <w:noWrap/>
            <w:vAlign w:val="bottom"/>
            <w:hideMark/>
          </w:tcPr>
          <w:p w14:paraId="4AA30D3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505" w:type="dxa"/>
            <w:tcBorders>
              <w:top w:val="nil"/>
              <w:left w:val="nil"/>
              <w:bottom w:val="nil"/>
              <w:right w:val="nil"/>
            </w:tcBorders>
            <w:shd w:val="clear" w:color="auto" w:fill="auto"/>
            <w:noWrap/>
            <w:vAlign w:val="bottom"/>
            <w:hideMark/>
          </w:tcPr>
          <w:p w14:paraId="6C3F75A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sd</w:t>
            </w:r>
          </w:p>
        </w:tc>
        <w:tc>
          <w:tcPr>
            <w:tcW w:w="853" w:type="dxa"/>
            <w:tcBorders>
              <w:top w:val="nil"/>
              <w:left w:val="nil"/>
              <w:bottom w:val="nil"/>
              <w:right w:val="nil"/>
            </w:tcBorders>
            <w:shd w:val="clear" w:color="auto" w:fill="auto"/>
            <w:noWrap/>
            <w:vAlign w:val="bottom"/>
            <w:hideMark/>
          </w:tcPr>
          <w:p w14:paraId="5991BD7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505" w:type="dxa"/>
            <w:tcBorders>
              <w:top w:val="nil"/>
              <w:left w:val="nil"/>
              <w:bottom w:val="nil"/>
              <w:right w:val="nil"/>
            </w:tcBorders>
            <w:shd w:val="clear" w:color="auto" w:fill="auto"/>
            <w:noWrap/>
            <w:vAlign w:val="bottom"/>
            <w:hideMark/>
          </w:tcPr>
          <w:p w14:paraId="471D8B5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sd</w:t>
            </w:r>
          </w:p>
        </w:tc>
        <w:tc>
          <w:tcPr>
            <w:tcW w:w="847" w:type="dxa"/>
            <w:tcBorders>
              <w:top w:val="nil"/>
              <w:left w:val="nil"/>
              <w:bottom w:val="nil"/>
              <w:right w:val="nil"/>
            </w:tcBorders>
            <w:shd w:val="clear" w:color="auto" w:fill="auto"/>
            <w:noWrap/>
            <w:vAlign w:val="bottom"/>
            <w:hideMark/>
          </w:tcPr>
          <w:p w14:paraId="53785D8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613" w:type="dxa"/>
            <w:tcBorders>
              <w:top w:val="nil"/>
              <w:left w:val="nil"/>
              <w:bottom w:val="nil"/>
              <w:right w:val="nil"/>
            </w:tcBorders>
            <w:shd w:val="clear" w:color="auto" w:fill="auto"/>
            <w:noWrap/>
            <w:vAlign w:val="bottom"/>
            <w:hideMark/>
          </w:tcPr>
          <w:p w14:paraId="4BA8EFB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sd</w:t>
            </w:r>
          </w:p>
        </w:tc>
        <w:tc>
          <w:tcPr>
            <w:tcW w:w="846" w:type="dxa"/>
            <w:tcBorders>
              <w:top w:val="nil"/>
              <w:left w:val="nil"/>
              <w:bottom w:val="nil"/>
              <w:right w:val="nil"/>
            </w:tcBorders>
            <w:shd w:val="clear" w:color="auto" w:fill="auto"/>
            <w:noWrap/>
            <w:vAlign w:val="bottom"/>
            <w:hideMark/>
          </w:tcPr>
          <w:p w14:paraId="2B0119F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460" w:type="dxa"/>
            <w:tcBorders>
              <w:top w:val="nil"/>
              <w:left w:val="nil"/>
              <w:bottom w:val="nil"/>
              <w:right w:val="nil"/>
            </w:tcBorders>
            <w:shd w:val="clear" w:color="auto" w:fill="auto"/>
            <w:noWrap/>
            <w:vAlign w:val="bottom"/>
            <w:hideMark/>
          </w:tcPr>
          <w:p w14:paraId="644F0F4C"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sd</w:t>
            </w:r>
          </w:p>
        </w:tc>
        <w:tc>
          <w:tcPr>
            <w:tcW w:w="846" w:type="dxa"/>
            <w:tcBorders>
              <w:top w:val="nil"/>
              <w:left w:val="nil"/>
              <w:bottom w:val="nil"/>
              <w:right w:val="nil"/>
            </w:tcBorders>
            <w:shd w:val="clear" w:color="auto" w:fill="auto"/>
            <w:noWrap/>
            <w:vAlign w:val="bottom"/>
            <w:hideMark/>
          </w:tcPr>
          <w:p w14:paraId="480AB146"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460" w:type="dxa"/>
            <w:tcBorders>
              <w:top w:val="nil"/>
              <w:left w:val="nil"/>
              <w:bottom w:val="nil"/>
              <w:right w:val="nil"/>
            </w:tcBorders>
            <w:shd w:val="clear" w:color="auto" w:fill="auto"/>
            <w:noWrap/>
            <w:vAlign w:val="bottom"/>
            <w:hideMark/>
          </w:tcPr>
          <w:p w14:paraId="5D3F9C06"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sd</w:t>
            </w:r>
          </w:p>
        </w:tc>
      </w:tr>
      <w:tr w:rsidR="00CB733F" w:rsidRPr="00CB733F" w14:paraId="193E7BE5" w14:textId="77777777" w:rsidTr="00CB733F">
        <w:trPr>
          <w:trHeight w:val="320"/>
        </w:trPr>
        <w:tc>
          <w:tcPr>
            <w:tcW w:w="1319" w:type="dxa"/>
            <w:tcBorders>
              <w:top w:val="nil"/>
              <w:left w:val="nil"/>
              <w:bottom w:val="nil"/>
              <w:right w:val="nil"/>
            </w:tcBorders>
            <w:shd w:val="clear" w:color="auto" w:fill="auto"/>
            <w:noWrap/>
            <w:vAlign w:val="bottom"/>
            <w:hideMark/>
          </w:tcPr>
          <w:p w14:paraId="0F4CF814" w14:textId="77777777" w:rsidR="00CB733F" w:rsidRPr="00CB733F" w:rsidRDefault="00CB733F" w:rsidP="00CB733F">
            <w:pPr>
              <w:jc w:val="center"/>
              <w:rPr>
                <w:rFonts w:ascii="Cambria" w:eastAsia="Times New Roman" w:hAnsi="Cambria"/>
                <w:color w:val="000000"/>
                <w:sz w:val="22"/>
                <w:szCs w:val="22"/>
              </w:rPr>
            </w:pPr>
          </w:p>
        </w:tc>
        <w:tc>
          <w:tcPr>
            <w:tcW w:w="2116" w:type="dxa"/>
            <w:tcBorders>
              <w:top w:val="nil"/>
              <w:left w:val="nil"/>
              <w:bottom w:val="nil"/>
              <w:right w:val="nil"/>
            </w:tcBorders>
            <w:shd w:val="clear" w:color="auto" w:fill="auto"/>
            <w:noWrap/>
            <w:vAlign w:val="bottom"/>
            <w:hideMark/>
          </w:tcPr>
          <w:p w14:paraId="16D5E2B9" w14:textId="77777777" w:rsidR="00CB733F" w:rsidRPr="00CB733F" w:rsidRDefault="00CB733F" w:rsidP="00CB733F">
            <w:pPr>
              <w:jc w:val="center"/>
              <w:rPr>
                <w:rFonts w:ascii="Cambria" w:eastAsia="Times New Roman" w:hAnsi="Cambria"/>
                <w:i/>
                <w:iCs/>
                <w:color w:val="000000"/>
                <w:sz w:val="22"/>
                <w:szCs w:val="22"/>
              </w:rPr>
            </w:pPr>
          </w:p>
        </w:tc>
        <w:tc>
          <w:tcPr>
            <w:tcW w:w="1540" w:type="dxa"/>
            <w:tcBorders>
              <w:top w:val="nil"/>
              <w:left w:val="nil"/>
              <w:bottom w:val="nil"/>
              <w:right w:val="nil"/>
            </w:tcBorders>
            <w:shd w:val="clear" w:color="auto" w:fill="auto"/>
            <w:vAlign w:val="bottom"/>
            <w:hideMark/>
          </w:tcPr>
          <w:p w14:paraId="26678350" w14:textId="77777777" w:rsidR="00CB733F" w:rsidRPr="00CB733F" w:rsidRDefault="00CB733F" w:rsidP="00CB733F">
            <w:pPr>
              <w:jc w:val="center"/>
              <w:rPr>
                <w:rFonts w:ascii="Cambria" w:eastAsia="Times New Roman" w:hAnsi="Cambria"/>
                <w:i/>
                <w:iCs/>
                <w:color w:val="000000"/>
                <w:sz w:val="22"/>
                <w:szCs w:val="22"/>
              </w:rPr>
            </w:pPr>
            <w:r w:rsidRPr="00CB733F">
              <w:rPr>
                <w:rFonts w:ascii="Cambria" w:eastAsia="Times New Roman" w:hAnsi="Cambria"/>
                <w:i/>
                <w:iCs/>
                <w:color w:val="000000"/>
                <w:sz w:val="22"/>
                <w:szCs w:val="22"/>
              </w:rPr>
              <w:t> </w:t>
            </w:r>
          </w:p>
        </w:tc>
        <w:tc>
          <w:tcPr>
            <w:tcW w:w="621" w:type="dxa"/>
            <w:tcBorders>
              <w:top w:val="single" w:sz="4" w:space="0" w:color="auto"/>
              <w:left w:val="nil"/>
              <w:bottom w:val="nil"/>
              <w:right w:val="nil"/>
            </w:tcBorders>
            <w:shd w:val="clear" w:color="auto" w:fill="auto"/>
            <w:vAlign w:val="bottom"/>
            <w:hideMark/>
          </w:tcPr>
          <w:p w14:paraId="6C255F10" w14:textId="77777777" w:rsidR="00CB733F" w:rsidRPr="00CB733F" w:rsidRDefault="00CB733F" w:rsidP="00CB733F">
            <w:pPr>
              <w:jc w:val="center"/>
              <w:rPr>
                <w:rFonts w:ascii="Cambria" w:eastAsia="Times New Roman" w:hAnsi="Cambria"/>
                <w:i/>
                <w:iCs/>
                <w:color w:val="000000"/>
                <w:sz w:val="22"/>
                <w:szCs w:val="22"/>
              </w:rPr>
            </w:pPr>
            <w:r w:rsidRPr="00CB733F">
              <w:rPr>
                <w:rFonts w:ascii="Cambria" w:eastAsia="Times New Roman" w:hAnsi="Cambria"/>
                <w:i/>
                <w:iCs/>
                <w:color w:val="000000"/>
                <w:sz w:val="22"/>
                <w:szCs w:val="22"/>
              </w:rPr>
              <w:t>sites</w:t>
            </w:r>
          </w:p>
        </w:tc>
        <w:tc>
          <w:tcPr>
            <w:tcW w:w="6788" w:type="dxa"/>
            <w:gridSpan w:val="10"/>
            <w:tcBorders>
              <w:top w:val="single" w:sz="4" w:space="0" w:color="auto"/>
              <w:left w:val="nil"/>
              <w:bottom w:val="nil"/>
              <w:right w:val="nil"/>
            </w:tcBorders>
            <w:shd w:val="clear" w:color="auto" w:fill="auto"/>
            <w:noWrap/>
            <w:vAlign w:val="bottom"/>
            <w:hideMark/>
          </w:tcPr>
          <w:p w14:paraId="70BCE232" w14:textId="77777777" w:rsidR="00CB733F" w:rsidRPr="00CB733F" w:rsidRDefault="00CB733F" w:rsidP="00CB733F">
            <w:pPr>
              <w:jc w:val="center"/>
              <w:rPr>
                <w:rFonts w:ascii="Cambria" w:eastAsia="Times New Roman" w:hAnsi="Cambria"/>
                <w:i/>
                <w:iCs/>
                <w:color w:val="000000"/>
                <w:sz w:val="22"/>
                <w:szCs w:val="22"/>
              </w:rPr>
            </w:pPr>
            <w:r w:rsidRPr="00CB733F">
              <w:rPr>
                <w:rFonts w:ascii="Cambria" w:eastAsia="Times New Roman" w:hAnsi="Cambria"/>
                <w:i/>
                <w:iCs/>
                <w:color w:val="000000"/>
                <w:sz w:val="22"/>
                <w:szCs w:val="22"/>
              </w:rPr>
              <w:t>g kg</w:t>
            </w:r>
            <w:r w:rsidRPr="00CB733F">
              <w:rPr>
                <w:rFonts w:ascii="Cambria" w:eastAsia="Times New Roman" w:hAnsi="Cambria"/>
                <w:i/>
                <w:iCs/>
                <w:color w:val="000000"/>
                <w:sz w:val="22"/>
                <w:szCs w:val="22"/>
                <w:vertAlign w:val="superscript"/>
              </w:rPr>
              <w:t>-1</w:t>
            </w:r>
          </w:p>
        </w:tc>
      </w:tr>
      <w:tr w:rsidR="00CB733F" w:rsidRPr="00CB733F" w14:paraId="3FC9D3AB" w14:textId="77777777" w:rsidTr="00CB733F">
        <w:trPr>
          <w:trHeight w:val="300"/>
        </w:trPr>
        <w:tc>
          <w:tcPr>
            <w:tcW w:w="1319" w:type="dxa"/>
            <w:tcBorders>
              <w:top w:val="nil"/>
              <w:left w:val="nil"/>
              <w:bottom w:val="nil"/>
              <w:right w:val="nil"/>
            </w:tcBorders>
            <w:shd w:val="clear" w:color="auto" w:fill="auto"/>
            <w:noWrap/>
            <w:vAlign w:val="bottom"/>
            <w:hideMark/>
          </w:tcPr>
          <w:p w14:paraId="0D23D10B" w14:textId="24785AA1" w:rsidR="00CB733F" w:rsidRPr="00CB733F" w:rsidRDefault="001D71A7" w:rsidP="00CB733F">
            <w:pPr>
              <w:jc w:val="center"/>
              <w:rPr>
                <w:rFonts w:ascii="Cambria" w:eastAsia="Times New Roman" w:hAnsi="Cambria"/>
                <w:color w:val="000000"/>
                <w:sz w:val="22"/>
                <w:szCs w:val="22"/>
              </w:rPr>
            </w:pPr>
            <w:r>
              <w:rPr>
                <w:rFonts w:ascii="Cambria" w:eastAsia="Times New Roman" w:hAnsi="Cambria"/>
                <w:color w:val="000000"/>
                <w:sz w:val="22"/>
                <w:szCs w:val="22"/>
              </w:rPr>
              <w:t>1</w:t>
            </w:r>
          </w:p>
        </w:tc>
        <w:tc>
          <w:tcPr>
            <w:tcW w:w="2116" w:type="dxa"/>
            <w:tcBorders>
              <w:top w:val="nil"/>
              <w:left w:val="nil"/>
              <w:bottom w:val="nil"/>
              <w:right w:val="nil"/>
            </w:tcBorders>
            <w:shd w:val="clear" w:color="auto" w:fill="auto"/>
            <w:noWrap/>
            <w:vAlign w:val="bottom"/>
            <w:hideMark/>
          </w:tcPr>
          <w:p w14:paraId="32174619" w14:textId="56559421" w:rsidR="00CB733F" w:rsidRPr="00CB733F" w:rsidRDefault="001C00F4" w:rsidP="00CB733F">
            <w:pPr>
              <w:jc w:val="center"/>
              <w:rPr>
                <w:rFonts w:ascii="Cambria" w:eastAsia="Times New Roman" w:hAnsi="Cambria"/>
                <w:color w:val="000000"/>
                <w:sz w:val="22"/>
                <w:szCs w:val="22"/>
              </w:rPr>
            </w:pPr>
            <w:r>
              <w:rPr>
                <w:rFonts w:ascii="Cambria" w:eastAsia="Times New Roman" w:hAnsi="Cambria"/>
                <w:color w:val="000000"/>
                <w:sz w:val="22"/>
                <w:szCs w:val="22"/>
              </w:rPr>
              <w:t>Central Germany 1</w:t>
            </w:r>
          </w:p>
        </w:tc>
        <w:tc>
          <w:tcPr>
            <w:tcW w:w="1540" w:type="dxa"/>
            <w:tcBorders>
              <w:top w:val="nil"/>
              <w:left w:val="nil"/>
              <w:bottom w:val="nil"/>
              <w:right w:val="nil"/>
            </w:tcBorders>
            <w:shd w:val="clear" w:color="auto" w:fill="auto"/>
            <w:noWrap/>
            <w:vAlign w:val="bottom"/>
            <w:hideMark/>
          </w:tcPr>
          <w:p w14:paraId="41E9024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forest</w:t>
            </w:r>
          </w:p>
        </w:tc>
        <w:tc>
          <w:tcPr>
            <w:tcW w:w="621" w:type="dxa"/>
            <w:tcBorders>
              <w:top w:val="nil"/>
              <w:left w:val="nil"/>
              <w:bottom w:val="nil"/>
              <w:right w:val="nil"/>
            </w:tcBorders>
            <w:shd w:val="clear" w:color="auto" w:fill="auto"/>
            <w:noWrap/>
            <w:vAlign w:val="bottom"/>
            <w:hideMark/>
          </w:tcPr>
          <w:p w14:paraId="2309256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53" w:type="dxa"/>
            <w:tcBorders>
              <w:top w:val="nil"/>
              <w:left w:val="nil"/>
              <w:bottom w:val="nil"/>
              <w:right w:val="nil"/>
            </w:tcBorders>
            <w:shd w:val="clear" w:color="auto" w:fill="auto"/>
            <w:noWrap/>
            <w:vAlign w:val="bottom"/>
            <w:hideMark/>
          </w:tcPr>
          <w:p w14:paraId="30ED92F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22.1</w:t>
            </w:r>
          </w:p>
        </w:tc>
        <w:tc>
          <w:tcPr>
            <w:tcW w:w="505" w:type="dxa"/>
            <w:tcBorders>
              <w:top w:val="nil"/>
              <w:left w:val="nil"/>
              <w:bottom w:val="nil"/>
              <w:right w:val="nil"/>
            </w:tcBorders>
            <w:shd w:val="clear" w:color="auto" w:fill="auto"/>
            <w:noWrap/>
            <w:vAlign w:val="bottom"/>
            <w:hideMark/>
          </w:tcPr>
          <w:p w14:paraId="252B51A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8.1</w:t>
            </w:r>
          </w:p>
        </w:tc>
        <w:tc>
          <w:tcPr>
            <w:tcW w:w="853" w:type="dxa"/>
            <w:tcBorders>
              <w:top w:val="nil"/>
              <w:left w:val="nil"/>
              <w:bottom w:val="nil"/>
              <w:right w:val="nil"/>
            </w:tcBorders>
            <w:shd w:val="clear" w:color="auto" w:fill="auto"/>
            <w:noWrap/>
            <w:vAlign w:val="bottom"/>
            <w:hideMark/>
          </w:tcPr>
          <w:p w14:paraId="09E7C07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1.1</w:t>
            </w:r>
          </w:p>
        </w:tc>
        <w:tc>
          <w:tcPr>
            <w:tcW w:w="505" w:type="dxa"/>
            <w:tcBorders>
              <w:top w:val="nil"/>
              <w:left w:val="nil"/>
              <w:bottom w:val="nil"/>
              <w:right w:val="nil"/>
            </w:tcBorders>
            <w:shd w:val="clear" w:color="auto" w:fill="auto"/>
            <w:noWrap/>
            <w:vAlign w:val="bottom"/>
            <w:hideMark/>
          </w:tcPr>
          <w:p w14:paraId="1AD0794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0.3</w:t>
            </w:r>
          </w:p>
        </w:tc>
        <w:tc>
          <w:tcPr>
            <w:tcW w:w="847" w:type="dxa"/>
            <w:tcBorders>
              <w:top w:val="nil"/>
              <w:left w:val="nil"/>
              <w:bottom w:val="nil"/>
              <w:right w:val="nil"/>
            </w:tcBorders>
            <w:shd w:val="clear" w:color="auto" w:fill="auto"/>
            <w:noWrap/>
            <w:vAlign w:val="bottom"/>
            <w:hideMark/>
          </w:tcPr>
          <w:p w14:paraId="4AC9EBB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861</w:t>
            </w:r>
          </w:p>
        </w:tc>
        <w:tc>
          <w:tcPr>
            <w:tcW w:w="613" w:type="dxa"/>
            <w:tcBorders>
              <w:top w:val="nil"/>
              <w:left w:val="nil"/>
              <w:bottom w:val="nil"/>
              <w:right w:val="nil"/>
            </w:tcBorders>
            <w:shd w:val="clear" w:color="auto" w:fill="auto"/>
            <w:noWrap/>
            <w:vAlign w:val="bottom"/>
            <w:hideMark/>
          </w:tcPr>
          <w:p w14:paraId="3F64B188"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44</w:t>
            </w:r>
          </w:p>
        </w:tc>
        <w:tc>
          <w:tcPr>
            <w:tcW w:w="846" w:type="dxa"/>
            <w:tcBorders>
              <w:top w:val="nil"/>
              <w:left w:val="nil"/>
              <w:bottom w:val="nil"/>
              <w:right w:val="nil"/>
            </w:tcBorders>
            <w:shd w:val="clear" w:color="auto" w:fill="auto"/>
            <w:noWrap/>
            <w:vAlign w:val="bottom"/>
            <w:hideMark/>
          </w:tcPr>
          <w:p w14:paraId="14FB976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92</w:t>
            </w:r>
          </w:p>
        </w:tc>
        <w:tc>
          <w:tcPr>
            <w:tcW w:w="460" w:type="dxa"/>
            <w:tcBorders>
              <w:top w:val="nil"/>
              <w:left w:val="nil"/>
              <w:bottom w:val="nil"/>
              <w:right w:val="nil"/>
            </w:tcBorders>
            <w:shd w:val="clear" w:color="auto" w:fill="auto"/>
            <w:noWrap/>
            <w:vAlign w:val="bottom"/>
            <w:hideMark/>
          </w:tcPr>
          <w:p w14:paraId="12EB5070"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27</w:t>
            </w:r>
          </w:p>
        </w:tc>
        <w:tc>
          <w:tcPr>
            <w:tcW w:w="846" w:type="dxa"/>
            <w:tcBorders>
              <w:top w:val="nil"/>
              <w:left w:val="nil"/>
              <w:bottom w:val="nil"/>
              <w:right w:val="nil"/>
            </w:tcBorders>
            <w:shd w:val="clear" w:color="auto" w:fill="auto"/>
            <w:noWrap/>
            <w:vAlign w:val="bottom"/>
            <w:hideMark/>
          </w:tcPr>
          <w:p w14:paraId="68799740"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47</w:t>
            </w:r>
          </w:p>
        </w:tc>
        <w:tc>
          <w:tcPr>
            <w:tcW w:w="460" w:type="dxa"/>
            <w:tcBorders>
              <w:top w:val="nil"/>
              <w:left w:val="nil"/>
              <w:bottom w:val="nil"/>
              <w:right w:val="nil"/>
            </w:tcBorders>
            <w:shd w:val="clear" w:color="auto" w:fill="auto"/>
            <w:noWrap/>
            <w:vAlign w:val="bottom"/>
            <w:hideMark/>
          </w:tcPr>
          <w:p w14:paraId="1BAC65C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20</w:t>
            </w:r>
          </w:p>
        </w:tc>
      </w:tr>
      <w:tr w:rsidR="00CB733F" w:rsidRPr="00CB733F" w14:paraId="0001BBE7" w14:textId="77777777" w:rsidTr="00CB733F">
        <w:trPr>
          <w:trHeight w:val="300"/>
        </w:trPr>
        <w:tc>
          <w:tcPr>
            <w:tcW w:w="1319" w:type="dxa"/>
            <w:tcBorders>
              <w:top w:val="nil"/>
              <w:left w:val="nil"/>
              <w:bottom w:val="nil"/>
              <w:right w:val="nil"/>
            </w:tcBorders>
            <w:shd w:val="clear" w:color="auto" w:fill="auto"/>
            <w:noWrap/>
            <w:vAlign w:val="bottom"/>
            <w:hideMark/>
          </w:tcPr>
          <w:p w14:paraId="3CCA266E" w14:textId="3A41D184" w:rsidR="00CB733F" w:rsidRPr="00CB733F" w:rsidRDefault="001D71A7" w:rsidP="00CB733F">
            <w:pPr>
              <w:jc w:val="center"/>
              <w:rPr>
                <w:rFonts w:ascii="Cambria" w:eastAsia="Times New Roman" w:hAnsi="Cambria"/>
                <w:color w:val="000000"/>
                <w:sz w:val="22"/>
                <w:szCs w:val="22"/>
              </w:rPr>
            </w:pPr>
            <w:r>
              <w:rPr>
                <w:rFonts w:ascii="Cambria" w:eastAsia="Times New Roman" w:hAnsi="Cambria"/>
                <w:color w:val="000000"/>
                <w:sz w:val="22"/>
                <w:szCs w:val="22"/>
              </w:rPr>
              <w:t>1</w:t>
            </w:r>
          </w:p>
        </w:tc>
        <w:tc>
          <w:tcPr>
            <w:tcW w:w="2116" w:type="dxa"/>
            <w:tcBorders>
              <w:top w:val="nil"/>
              <w:left w:val="nil"/>
              <w:bottom w:val="nil"/>
              <w:right w:val="nil"/>
            </w:tcBorders>
            <w:shd w:val="clear" w:color="auto" w:fill="auto"/>
            <w:noWrap/>
            <w:vAlign w:val="bottom"/>
            <w:hideMark/>
          </w:tcPr>
          <w:p w14:paraId="32312599" w14:textId="6355F48C" w:rsidR="00CB733F" w:rsidRPr="00CB733F" w:rsidRDefault="001C00F4" w:rsidP="00CB733F">
            <w:pPr>
              <w:jc w:val="center"/>
              <w:rPr>
                <w:rFonts w:ascii="Cambria" w:eastAsia="Times New Roman" w:hAnsi="Cambria"/>
                <w:color w:val="000000"/>
                <w:sz w:val="22"/>
                <w:szCs w:val="22"/>
              </w:rPr>
            </w:pPr>
            <w:r>
              <w:rPr>
                <w:rFonts w:ascii="Cambria" w:eastAsia="Times New Roman" w:hAnsi="Cambria"/>
                <w:color w:val="000000"/>
                <w:sz w:val="22"/>
                <w:szCs w:val="22"/>
              </w:rPr>
              <w:t>Central Germany 1</w:t>
            </w:r>
          </w:p>
        </w:tc>
        <w:tc>
          <w:tcPr>
            <w:tcW w:w="1540" w:type="dxa"/>
            <w:tcBorders>
              <w:top w:val="nil"/>
              <w:left w:val="nil"/>
              <w:bottom w:val="nil"/>
              <w:right w:val="nil"/>
            </w:tcBorders>
            <w:shd w:val="clear" w:color="auto" w:fill="auto"/>
            <w:noWrap/>
            <w:vAlign w:val="bottom"/>
            <w:hideMark/>
          </w:tcPr>
          <w:p w14:paraId="227C3E0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grassland</w:t>
            </w:r>
          </w:p>
        </w:tc>
        <w:tc>
          <w:tcPr>
            <w:tcW w:w="621" w:type="dxa"/>
            <w:tcBorders>
              <w:top w:val="nil"/>
              <w:left w:val="nil"/>
              <w:bottom w:val="nil"/>
              <w:right w:val="nil"/>
            </w:tcBorders>
            <w:shd w:val="clear" w:color="auto" w:fill="auto"/>
            <w:noWrap/>
            <w:vAlign w:val="bottom"/>
            <w:hideMark/>
          </w:tcPr>
          <w:p w14:paraId="1364EF36"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53" w:type="dxa"/>
            <w:tcBorders>
              <w:top w:val="nil"/>
              <w:left w:val="nil"/>
              <w:bottom w:val="nil"/>
              <w:right w:val="nil"/>
            </w:tcBorders>
            <w:shd w:val="clear" w:color="auto" w:fill="auto"/>
            <w:noWrap/>
            <w:vAlign w:val="bottom"/>
            <w:hideMark/>
          </w:tcPr>
          <w:p w14:paraId="22399B7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22.8</w:t>
            </w:r>
          </w:p>
        </w:tc>
        <w:tc>
          <w:tcPr>
            <w:tcW w:w="505" w:type="dxa"/>
            <w:tcBorders>
              <w:top w:val="nil"/>
              <w:left w:val="nil"/>
              <w:bottom w:val="nil"/>
              <w:right w:val="nil"/>
            </w:tcBorders>
            <w:shd w:val="clear" w:color="auto" w:fill="auto"/>
            <w:noWrap/>
            <w:vAlign w:val="bottom"/>
            <w:hideMark/>
          </w:tcPr>
          <w:p w14:paraId="170E34E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1.5</w:t>
            </w:r>
          </w:p>
        </w:tc>
        <w:tc>
          <w:tcPr>
            <w:tcW w:w="853" w:type="dxa"/>
            <w:tcBorders>
              <w:top w:val="nil"/>
              <w:left w:val="nil"/>
              <w:bottom w:val="nil"/>
              <w:right w:val="nil"/>
            </w:tcBorders>
            <w:shd w:val="clear" w:color="auto" w:fill="auto"/>
            <w:noWrap/>
            <w:vAlign w:val="bottom"/>
            <w:hideMark/>
          </w:tcPr>
          <w:p w14:paraId="1710EB8C"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2.2</w:t>
            </w:r>
          </w:p>
        </w:tc>
        <w:tc>
          <w:tcPr>
            <w:tcW w:w="505" w:type="dxa"/>
            <w:tcBorders>
              <w:top w:val="nil"/>
              <w:left w:val="nil"/>
              <w:bottom w:val="nil"/>
              <w:right w:val="nil"/>
            </w:tcBorders>
            <w:shd w:val="clear" w:color="auto" w:fill="auto"/>
            <w:noWrap/>
            <w:vAlign w:val="bottom"/>
            <w:hideMark/>
          </w:tcPr>
          <w:p w14:paraId="7F291AF8"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47" w:type="dxa"/>
            <w:tcBorders>
              <w:top w:val="nil"/>
              <w:left w:val="nil"/>
              <w:bottom w:val="nil"/>
              <w:right w:val="nil"/>
            </w:tcBorders>
            <w:shd w:val="clear" w:color="auto" w:fill="auto"/>
            <w:noWrap/>
            <w:vAlign w:val="bottom"/>
            <w:hideMark/>
          </w:tcPr>
          <w:p w14:paraId="66FC9660"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731</w:t>
            </w:r>
          </w:p>
        </w:tc>
        <w:tc>
          <w:tcPr>
            <w:tcW w:w="613" w:type="dxa"/>
            <w:tcBorders>
              <w:top w:val="nil"/>
              <w:left w:val="nil"/>
              <w:bottom w:val="nil"/>
              <w:right w:val="nil"/>
            </w:tcBorders>
            <w:shd w:val="clear" w:color="auto" w:fill="auto"/>
            <w:noWrap/>
            <w:vAlign w:val="bottom"/>
            <w:hideMark/>
          </w:tcPr>
          <w:p w14:paraId="0321CB8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99</w:t>
            </w:r>
          </w:p>
        </w:tc>
        <w:tc>
          <w:tcPr>
            <w:tcW w:w="846" w:type="dxa"/>
            <w:tcBorders>
              <w:top w:val="nil"/>
              <w:left w:val="nil"/>
              <w:bottom w:val="nil"/>
              <w:right w:val="nil"/>
            </w:tcBorders>
            <w:shd w:val="clear" w:color="auto" w:fill="auto"/>
            <w:noWrap/>
            <w:vAlign w:val="bottom"/>
            <w:hideMark/>
          </w:tcPr>
          <w:p w14:paraId="4288B32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158</w:t>
            </w:r>
          </w:p>
        </w:tc>
        <w:tc>
          <w:tcPr>
            <w:tcW w:w="460" w:type="dxa"/>
            <w:tcBorders>
              <w:top w:val="nil"/>
              <w:left w:val="nil"/>
              <w:bottom w:val="nil"/>
              <w:right w:val="nil"/>
            </w:tcBorders>
            <w:shd w:val="clear" w:color="auto" w:fill="auto"/>
            <w:noWrap/>
            <w:vAlign w:val="bottom"/>
            <w:hideMark/>
          </w:tcPr>
          <w:p w14:paraId="114EE91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75</w:t>
            </w:r>
          </w:p>
        </w:tc>
        <w:tc>
          <w:tcPr>
            <w:tcW w:w="846" w:type="dxa"/>
            <w:tcBorders>
              <w:top w:val="nil"/>
              <w:left w:val="nil"/>
              <w:bottom w:val="nil"/>
              <w:right w:val="nil"/>
            </w:tcBorders>
            <w:shd w:val="clear" w:color="auto" w:fill="auto"/>
            <w:noWrap/>
            <w:vAlign w:val="bottom"/>
            <w:hideMark/>
          </w:tcPr>
          <w:p w14:paraId="1B501D9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111</w:t>
            </w:r>
          </w:p>
        </w:tc>
        <w:tc>
          <w:tcPr>
            <w:tcW w:w="460" w:type="dxa"/>
            <w:tcBorders>
              <w:top w:val="nil"/>
              <w:left w:val="nil"/>
              <w:bottom w:val="nil"/>
              <w:right w:val="nil"/>
            </w:tcBorders>
            <w:shd w:val="clear" w:color="auto" w:fill="auto"/>
            <w:noWrap/>
            <w:vAlign w:val="bottom"/>
            <w:hideMark/>
          </w:tcPr>
          <w:p w14:paraId="6B8C4A0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31</w:t>
            </w:r>
          </w:p>
        </w:tc>
      </w:tr>
      <w:tr w:rsidR="00CB733F" w:rsidRPr="00CB733F" w14:paraId="4C046447" w14:textId="77777777" w:rsidTr="00CB733F">
        <w:trPr>
          <w:trHeight w:val="300"/>
        </w:trPr>
        <w:tc>
          <w:tcPr>
            <w:tcW w:w="1319" w:type="dxa"/>
            <w:tcBorders>
              <w:top w:val="nil"/>
              <w:left w:val="nil"/>
              <w:bottom w:val="nil"/>
              <w:right w:val="nil"/>
            </w:tcBorders>
            <w:shd w:val="clear" w:color="auto" w:fill="auto"/>
            <w:noWrap/>
            <w:vAlign w:val="bottom"/>
            <w:hideMark/>
          </w:tcPr>
          <w:p w14:paraId="5D92450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1, 2, 3</w:t>
            </w:r>
          </w:p>
        </w:tc>
        <w:tc>
          <w:tcPr>
            <w:tcW w:w="2116" w:type="dxa"/>
            <w:tcBorders>
              <w:top w:val="nil"/>
              <w:left w:val="nil"/>
              <w:bottom w:val="nil"/>
              <w:right w:val="nil"/>
            </w:tcBorders>
            <w:shd w:val="clear" w:color="auto" w:fill="auto"/>
            <w:noWrap/>
            <w:vAlign w:val="bottom"/>
            <w:hideMark/>
          </w:tcPr>
          <w:p w14:paraId="4F6F6C59" w14:textId="45101327" w:rsidR="00CB733F" w:rsidRPr="00CB733F" w:rsidRDefault="001C00F4" w:rsidP="00CB733F">
            <w:pPr>
              <w:jc w:val="center"/>
              <w:rPr>
                <w:rFonts w:ascii="Cambria" w:eastAsia="Times New Roman" w:hAnsi="Cambria"/>
                <w:color w:val="000000"/>
                <w:sz w:val="22"/>
                <w:szCs w:val="22"/>
              </w:rPr>
            </w:pPr>
            <w:r>
              <w:rPr>
                <w:rFonts w:ascii="Cambria" w:eastAsia="Times New Roman" w:hAnsi="Cambria"/>
                <w:color w:val="000000"/>
                <w:sz w:val="22"/>
                <w:szCs w:val="22"/>
              </w:rPr>
              <w:t>Central Germany 2</w:t>
            </w:r>
          </w:p>
        </w:tc>
        <w:tc>
          <w:tcPr>
            <w:tcW w:w="1540" w:type="dxa"/>
            <w:tcBorders>
              <w:top w:val="nil"/>
              <w:left w:val="nil"/>
              <w:bottom w:val="nil"/>
              <w:right w:val="nil"/>
            </w:tcBorders>
            <w:shd w:val="clear" w:color="auto" w:fill="auto"/>
            <w:noWrap/>
            <w:vAlign w:val="bottom"/>
            <w:hideMark/>
          </w:tcPr>
          <w:p w14:paraId="009C604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forest</w:t>
            </w:r>
          </w:p>
        </w:tc>
        <w:tc>
          <w:tcPr>
            <w:tcW w:w="621" w:type="dxa"/>
            <w:tcBorders>
              <w:top w:val="nil"/>
              <w:left w:val="nil"/>
              <w:bottom w:val="nil"/>
              <w:right w:val="nil"/>
            </w:tcBorders>
            <w:shd w:val="clear" w:color="auto" w:fill="auto"/>
            <w:noWrap/>
            <w:vAlign w:val="bottom"/>
            <w:hideMark/>
          </w:tcPr>
          <w:p w14:paraId="0A259A3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53" w:type="dxa"/>
            <w:tcBorders>
              <w:top w:val="nil"/>
              <w:left w:val="nil"/>
              <w:bottom w:val="nil"/>
              <w:right w:val="nil"/>
            </w:tcBorders>
            <w:shd w:val="clear" w:color="auto" w:fill="auto"/>
            <w:noWrap/>
            <w:vAlign w:val="bottom"/>
            <w:hideMark/>
          </w:tcPr>
          <w:p w14:paraId="5F9A32C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23.7</w:t>
            </w:r>
          </w:p>
        </w:tc>
        <w:tc>
          <w:tcPr>
            <w:tcW w:w="505" w:type="dxa"/>
            <w:tcBorders>
              <w:top w:val="nil"/>
              <w:left w:val="nil"/>
              <w:bottom w:val="nil"/>
              <w:right w:val="nil"/>
            </w:tcBorders>
            <w:shd w:val="clear" w:color="auto" w:fill="auto"/>
            <w:noWrap/>
            <w:vAlign w:val="bottom"/>
            <w:hideMark/>
          </w:tcPr>
          <w:p w14:paraId="399BF3B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0.5</w:t>
            </w:r>
          </w:p>
        </w:tc>
        <w:tc>
          <w:tcPr>
            <w:tcW w:w="853" w:type="dxa"/>
            <w:tcBorders>
              <w:top w:val="nil"/>
              <w:left w:val="nil"/>
              <w:bottom w:val="nil"/>
              <w:right w:val="nil"/>
            </w:tcBorders>
            <w:shd w:val="clear" w:color="auto" w:fill="auto"/>
            <w:noWrap/>
            <w:vAlign w:val="bottom"/>
            <w:hideMark/>
          </w:tcPr>
          <w:p w14:paraId="2EE1CB2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1.7</w:t>
            </w:r>
          </w:p>
        </w:tc>
        <w:tc>
          <w:tcPr>
            <w:tcW w:w="505" w:type="dxa"/>
            <w:tcBorders>
              <w:top w:val="nil"/>
              <w:left w:val="nil"/>
              <w:bottom w:val="nil"/>
              <w:right w:val="nil"/>
            </w:tcBorders>
            <w:shd w:val="clear" w:color="auto" w:fill="auto"/>
            <w:noWrap/>
            <w:vAlign w:val="bottom"/>
            <w:hideMark/>
          </w:tcPr>
          <w:p w14:paraId="273AC9C5"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47" w:type="dxa"/>
            <w:tcBorders>
              <w:top w:val="nil"/>
              <w:left w:val="nil"/>
              <w:bottom w:val="nil"/>
              <w:right w:val="nil"/>
            </w:tcBorders>
            <w:shd w:val="clear" w:color="auto" w:fill="auto"/>
            <w:noWrap/>
            <w:vAlign w:val="bottom"/>
            <w:hideMark/>
          </w:tcPr>
          <w:p w14:paraId="155B4C0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54</w:t>
            </w:r>
          </w:p>
        </w:tc>
        <w:tc>
          <w:tcPr>
            <w:tcW w:w="613" w:type="dxa"/>
            <w:tcBorders>
              <w:top w:val="nil"/>
              <w:left w:val="nil"/>
              <w:bottom w:val="nil"/>
              <w:right w:val="nil"/>
            </w:tcBorders>
            <w:shd w:val="clear" w:color="auto" w:fill="auto"/>
            <w:noWrap/>
            <w:vAlign w:val="bottom"/>
            <w:hideMark/>
          </w:tcPr>
          <w:p w14:paraId="6A81857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18</w:t>
            </w:r>
          </w:p>
        </w:tc>
        <w:tc>
          <w:tcPr>
            <w:tcW w:w="846" w:type="dxa"/>
            <w:tcBorders>
              <w:top w:val="nil"/>
              <w:left w:val="nil"/>
              <w:bottom w:val="nil"/>
              <w:right w:val="nil"/>
            </w:tcBorders>
            <w:shd w:val="clear" w:color="auto" w:fill="auto"/>
            <w:noWrap/>
            <w:vAlign w:val="bottom"/>
            <w:hideMark/>
          </w:tcPr>
          <w:p w14:paraId="05EABC1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754</w:t>
            </w:r>
          </w:p>
        </w:tc>
        <w:tc>
          <w:tcPr>
            <w:tcW w:w="460" w:type="dxa"/>
            <w:tcBorders>
              <w:top w:val="nil"/>
              <w:left w:val="nil"/>
              <w:bottom w:val="nil"/>
              <w:right w:val="nil"/>
            </w:tcBorders>
            <w:shd w:val="clear" w:color="auto" w:fill="auto"/>
            <w:noWrap/>
            <w:vAlign w:val="bottom"/>
            <w:hideMark/>
          </w:tcPr>
          <w:p w14:paraId="193D9FBC"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w:t>
            </w:r>
          </w:p>
        </w:tc>
        <w:tc>
          <w:tcPr>
            <w:tcW w:w="846" w:type="dxa"/>
            <w:tcBorders>
              <w:top w:val="nil"/>
              <w:left w:val="nil"/>
              <w:bottom w:val="nil"/>
              <w:right w:val="nil"/>
            </w:tcBorders>
            <w:shd w:val="clear" w:color="auto" w:fill="auto"/>
            <w:noWrap/>
            <w:vAlign w:val="bottom"/>
            <w:hideMark/>
          </w:tcPr>
          <w:p w14:paraId="6C25B4A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193</w:t>
            </w:r>
          </w:p>
        </w:tc>
        <w:tc>
          <w:tcPr>
            <w:tcW w:w="460" w:type="dxa"/>
            <w:tcBorders>
              <w:top w:val="nil"/>
              <w:left w:val="nil"/>
              <w:bottom w:val="nil"/>
              <w:right w:val="nil"/>
            </w:tcBorders>
            <w:shd w:val="clear" w:color="auto" w:fill="auto"/>
            <w:noWrap/>
            <w:vAlign w:val="bottom"/>
            <w:hideMark/>
          </w:tcPr>
          <w:p w14:paraId="7D9158B0"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15</w:t>
            </w:r>
          </w:p>
        </w:tc>
      </w:tr>
      <w:tr w:rsidR="00CB733F" w:rsidRPr="00CB733F" w14:paraId="0E0EC57B" w14:textId="77777777" w:rsidTr="00CB733F">
        <w:trPr>
          <w:trHeight w:val="300"/>
        </w:trPr>
        <w:tc>
          <w:tcPr>
            <w:tcW w:w="1319" w:type="dxa"/>
            <w:tcBorders>
              <w:top w:val="nil"/>
              <w:left w:val="nil"/>
              <w:bottom w:val="nil"/>
              <w:right w:val="nil"/>
            </w:tcBorders>
            <w:shd w:val="clear" w:color="auto" w:fill="auto"/>
            <w:noWrap/>
            <w:vAlign w:val="bottom"/>
            <w:hideMark/>
          </w:tcPr>
          <w:p w14:paraId="5F87D9D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1, 2, 3</w:t>
            </w:r>
          </w:p>
        </w:tc>
        <w:tc>
          <w:tcPr>
            <w:tcW w:w="2116" w:type="dxa"/>
            <w:tcBorders>
              <w:top w:val="nil"/>
              <w:left w:val="nil"/>
              <w:bottom w:val="nil"/>
              <w:right w:val="nil"/>
            </w:tcBorders>
            <w:shd w:val="clear" w:color="auto" w:fill="auto"/>
            <w:noWrap/>
            <w:vAlign w:val="bottom"/>
            <w:hideMark/>
          </w:tcPr>
          <w:p w14:paraId="79BE374B" w14:textId="1AE64DEE" w:rsidR="00CB733F" w:rsidRPr="00CB733F" w:rsidRDefault="001C00F4" w:rsidP="00CB733F">
            <w:pPr>
              <w:jc w:val="center"/>
              <w:rPr>
                <w:rFonts w:ascii="Cambria" w:eastAsia="Times New Roman" w:hAnsi="Cambria"/>
                <w:color w:val="000000"/>
                <w:sz w:val="22"/>
                <w:szCs w:val="22"/>
              </w:rPr>
            </w:pPr>
            <w:r>
              <w:rPr>
                <w:rFonts w:ascii="Cambria" w:eastAsia="Times New Roman" w:hAnsi="Cambria"/>
                <w:color w:val="000000"/>
                <w:sz w:val="22"/>
                <w:szCs w:val="22"/>
              </w:rPr>
              <w:t>Central Germany 2</w:t>
            </w:r>
          </w:p>
        </w:tc>
        <w:tc>
          <w:tcPr>
            <w:tcW w:w="1540" w:type="dxa"/>
            <w:tcBorders>
              <w:top w:val="nil"/>
              <w:left w:val="nil"/>
              <w:bottom w:val="nil"/>
              <w:right w:val="nil"/>
            </w:tcBorders>
            <w:shd w:val="clear" w:color="auto" w:fill="auto"/>
            <w:noWrap/>
            <w:vAlign w:val="bottom"/>
            <w:hideMark/>
          </w:tcPr>
          <w:p w14:paraId="115C3F0C"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grassland</w:t>
            </w:r>
          </w:p>
        </w:tc>
        <w:tc>
          <w:tcPr>
            <w:tcW w:w="621" w:type="dxa"/>
            <w:tcBorders>
              <w:top w:val="nil"/>
              <w:left w:val="nil"/>
              <w:bottom w:val="nil"/>
              <w:right w:val="nil"/>
            </w:tcBorders>
            <w:shd w:val="clear" w:color="auto" w:fill="auto"/>
            <w:noWrap/>
            <w:vAlign w:val="bottom"/>
            <w:hideMark/>
          </w:tcPr>
          <w:p w14:paraId="1AEB5A25"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53" w:type="dxa"/>
            <w:tcBorders>
              <w:top w:val="nil"/>
              <w:left w:val="nil"/>
              <w:bottom w:val="nil"/>
              <w:right w:val="nil"/>
            </w:tcBorders>
            <w:shd w:val="clear" w:color="auto" w:fill="auto"/>
            <w:noWrap/>
            <w:vAlign w:val="bottom"/>
            <w:hideMark/>
          </w:tcPr>
          <w:p w14:paraId="51EE0C6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41.8</w:t>
            </w:r>
          </w:p>
        </w:tc>
        <w:tc>
          <w:tcPr>
            <w:tcW w:w="505" w:type="dxa"/>
            <w:tcBorders>
              <w:top w:val="nil"/>
              <w:left w:val="nil"/>
              <w:bottom w:val="nil"/>
              <w:right w:val="nil"/>
            </w:tcBorders>
            <w:shd w:val="clear" w:color="auto" w:fill="auto"/>
            <w:noWrap/>
            <w:vAlign w:val="bottom"/>
            <w:hideMark/>
          </w:tcPr>
          <w:p w14:paraId="345F2995"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1.9</w:t>
            </w:r>
          </w:p>
        </w:tc>
        <w:tc>
          <w:tcPr>
            <w:tcW w:w="853" w:type="dxa"/>
            <w:tcBorders>
              <w:top w:val="nil"/>
              <w:left w:val="nil"/>
              <w:bottom w:val="nil"/>
              <w:right w:val="nil"/>
            </w:tcBorders>
            <w:shd w:val="clear" w:color="auto" w:fill="auto"/>
            <w:noWrap/>
            <w:vAlign w:val="bottom"/>
            <w:hideMark/>
          </w:tcPr>
          <w:p w14:paraId="41CB024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3.9</w:t>
            </w:r>
          </w:p>
        </w:tc>
        <w:tc>
          <w:tcPr>
            <w:tcW w:w="505" w:type="dxa"/>
            <w:tcBorders>
              <w:top w:val="nil"/>
              <w:left w:val="nil"/>
              <w:bottom w:val="nil"/>
              <w:right w:val="nil"/>
            </w:tcBorders>
            <w:shd w:val="clear" w:color="auto" w:fill="auto"/>
            <w:noWrap/>
            <w:vAlign w:val="bottom"/>
            <w:hideMark/>
          </w:tcPr>
          <w:p w14:paraId="2422829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47" w:type="dxa"/>
            <w:tcBorders>
              <w:top w:val="nil"/>
              <w:left w:val="nil"/>
              <w:bottom w:val="nil"/>
              <w:right w:val="nil"/>
            </w:tcBorders>
            <w:shd w:val="clear" w:color="auto" w:fill="auto"/>
            <w:noWrap/>
            <w:vAlign w:val="bottom"/>
            <w:hideMark/>
          </w:tcPr>
          <w:p w14:paraId="5AF94BF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32</w:t>
            </w:r>
          </w:p>
        </w:tc>
        <w:tc>
          <w:tcPr>
            <w:tcW w:w="613" w:type="dxa"/>
            <w:tcBorders>
              <w:top w:val="nil"/>
              <w:left w:val="nil"/>
              <w:bottom w:val="nil"/>
              <w:right w:val="nil"/>
            </w:tcBorders>
            <w:shd w:val="clear" w:color="auto" w:fill="auto"/>
            <w:noWrap/>
            <w:vAlign w:val="bottom"/>
            <w:hideMark/>
          </w:tcPr>
          <w:p w14:paraId="28E47D3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17</w:t>
            </w:r>
          </w:p>
        </w:tc>
        <w:tc>
          <w:tcPr>
            <w:tcW w:w="846" w:type="dxa"/>
            <w:tcBorders>
              <w:top w:val="nil"/>
              <w:left w:val="nil"/>
              <w:bottom w:val="nil"/>
              <w:right w:val="nil"/>
            </w:tcBorders>
            <w:shd w:val="clear" w:color="auto" w:fill="auto"/>
            <w:noWrap/>
            <w:vAlign w:val="bottom"/>
            <w:hideMark/>
          </w:tcPr>
          <w:p w14:paraId="60A4F7E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553</w:t>
            </w:r>
          </w:p>
        </w:tc>
        <w:tc>
          <w:tcPr>
            <w:tcW w:w="460" w:type="dxa"/>
            <w:tcBorders>
              <w:top w:val="nil"/>
              <w:left w:val="nil"/>
              <w:bottom w:val="nil"/>
              <w:right w:val="nil"/>
            </w:tcBorders>
            <w:shd w:val="clear" w:color="auto" w:fill="auto"/>
            <w:noWrap/>
            <w:vAlign w:val="bottom"/>
            <w:hideMark/>
          </w:tcPr>
          <w:p w14:paraId="33C65C7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78</w:t>
            </w:r>
          </w:p>
        </w:tc>
        <w:tc>
          <w:tcPr>
            <w:tcW w:w="846" w:type="dxa"/>
            <w:tcBorders>
              <w:top w:val="nil"/>
              <w:left w:val="nil"/>
              <w:bottom w:val="nil"/>
              <w:right w:val="nil"/>
            </w:tcBorders>
            <w:shd w:val="clear" w:color="auto" w:fill="auto"/>
            <w:noWrap/>
            <w:vAlign w:val="bottom"/>
            <w:hideMark/>
          </w:tcPr>
          <w:p w14:paraId="5BD60005"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414</w:t>
            </w:r>
          </w:p>
        </w:tc>
        <w:tc>
          <w:tcPr>
            <w:tcW w:w="460" w:type="dxa"/>
            <w:tcBorders>
              <w:top w:val="nil"/>
              <w:left w:val="nil"/>
              <w:bottom w:val="nil"/>
              <w:right w:val="nil"/>
            </w:tcBorders>
            <w:shd w:val="clear" w:color="auto" w:fill="auto"/>
            <w:noWrap/>
            <w:vAlign w:val="bottom"/>
            <w:hideMark/>
          </w:tcPr>
          <w:p w14:paraId="3BCBA1E6"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65</w:t>
            </w:r>
          </w:p>
        </w:tc>
      </w:tr>
      <w:tr w:rsidR="00CB733F" w:rsidRPr="00CB733F" w14:paraId="466ADA25" w14:textId="77777777" w:rsidTr="00CB733F">
        <w:trPr>
          <w:trHeight w:val="300"/>
        </w:trPr>
        <w:tc>
          <w:tcPr>
            <w:tcW w:w="1319" w:type="dxa"/>
            <w:tcBorders>
              <w:top w:val="nil"/>
              <w:left w:val="nil"/>
              <w:bottom w:val="nil"/>
              <w:right w:val="nil"/>
            </w:tcBorders>
            <w:shd w:val="clear" w:color="auto" w:fill="auto"/>
            <w:noWrap/>
            <w:vAlign w:val="bottom"/>
            <w:hideMark/>
          </w:tcPr>
          <w:p w14:paraId="67BAB9C0"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0174F23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Oak Ridge</w:t>
            </w:r>
          </w:p>
        </w:tc>
        <w:tc>
          <w:tcPr>
            <w:tcW w:w="1540" w:type="dxa"/>
            <w:tcBorders>
              <w:top w:val="nil"/>
              <w:left w:val="nil"/>
              <w:bottom w:val="nil"/>
              <w:right w:val="nil"/>
            </w:tcBorders>
            <w:shd w:val="clear" w:color="auto" w:fill="auto"/>
            <w:noWrap/>
            <w:vAlign w:val="bottom"/>
            <w:hideMark/>
          </w:tcPr>
          <w:p w14:paraId="7E7BE37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forest</w:t>
            </w:r>
          </w:p>
        </w:tc>
        <w:tc>
          <w:tcPr>
            <w:tcW w:w="621" w:type="dxa"/>
            <w:tcBorders>
              <w:top w:val="nil"/>
              <w:left w:val="nil"/>
              <w:bottom w:val="nil"/>
              <w:right w:val="nil"/>
            </w:tcBorders>
            <w:shd w:val="clear" w:color="auto" w:fill="auto"/>
            <w:noWrap/>
            <w:vAlign w:val="bottom"/>
            <w:hideMark/>
          </w:tcPr>
          <w:p w14:paraId="71D1553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w:t>
            </w:r>
          </w:p>
        </w:tc>
        <w:tc>
          <w:tcPr>
            <w:tcW w:w="853" w:type="dxa"/>
            <w:tcBorders>
              <w:top w:val="nil"/>
              <w:left w:val="nil"/>
              <w:bottom w:val="nil"/>
              <w:right w:val="nil"/>
            </w:tcBorders>
            <w:shd w:val="clear" w:color="auto" w:fill="auto"/>
            <w:noWrap/>
            <w:vAlign w:val="bottom"/>
            <w:hideMark/>
          </w:tcPr>
          <w:p w14:paraId="06C0262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24.9</w:t>
            </w:r>
          </w:p>
        </w:tc>
        <w:tc>
          <w:tcPr>
            <w:tcW w:w="505" w:type="dxa"/>
            <w:tcBorders>
              <w:top w:val="nil"/>
              <w:left w:val="nil"/>
              <w:bottom w:val="nil"/>
              <w:right w:val="nil"/>
            </w:tcBorders>
            <w:shd w:val="clear" w:color="auto" w:fill="auto"/>
            <w:noWrap/>
            <w:vAlign w:val="bottom"/>
            <w:hideMark/>
          </w:tcPr>
          <w:p w14:paraId="148599E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w:t>
            </w:r>
          </w:p>
        </w:tc>
        <w:tc>
          <w:tcPr>
            <w:tcW w:w="853" w:type="dxa"/>
            <w:tcBorders>
              <w:top w:val="nil"/>
              <w:left w:val="nil"/>
              <w:bottom w:val="nil"/>
              <w:right w:val="nil"/>
            </w:tcBorders>
            <w:shd w:val="clear" w:color="auto" w:fill="auto"/>
            <w:noWrap/>
            <w:vAlign w:val="bottom"/>
            <w:hideMark/>
          </w:tcPr>
          <w:p w14:paraId="646D77D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1.1</w:t>
            </w:r>
          </w:p>
        </w:tc>
        <w:tc>
          <w:tcPr>
            <w:tcW w:w="505" w:type="dxa"/>
            <w:tcBorders>
              <w:top w:val="nil"/>
              <w:left w:val="nil"/>
              <w:bottom w:val="nil"/>
              <w:right w:val="nil"/>
            </w:tcBorders>
            <w:shd w:val="clear" w:color="auto" w:fill="auto"/>
            <w:noWrap/>
            <w:vAlign w:val="bottom"/>
            <w:hideMark/>
          </w:tcPr>
          <w:p w14:paraId="569CA11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47" w:type="dxa"/>
            <w:tcBorders>
              <w:top w:val="nil"/>
              <w:left w:val="nil"/>
              <w:bottom w:val="nil"/>
              <w:right w:val="nil"/>
            </w:tcBorders>
            <w:shd w:val="clear" w:color="auto" w:fill="auto"/>
            <w:noWrap/>
            <w:vAlign w:val="bottom"/>
            <w:hideMark/>
          </w:tcPr>
          <w:p w14:paraId="51DDE67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613" w:type="dxa"/>
            <w:tcBorders>
              <w:top w:val="nil"/>
              <w:left w:val="nil"/>
              <w:bottom w:val="nil"/>
              <w:right w:val="nil"/>
            </w:tcBorders>
            <w:shd w:val="clear" w:color="auto" w:fill="auto"/>
            <w:noWrap/>
            <w:vAlign w:val="bottom"/>
            <w:hideMark/>
          </w:tcPr>
          <w:p w14:paraId="48DE887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6" w:type="dxa"/>
            <w:tcBorders>
              <w:top w:val="nil"/>
              <w:left w:val="nil"/>
              <w:bottom w:val="nil"/>
              <w:right w:val="nil"/>
            </w:tcBorders>
            <w:shd w:val="clear" w:color="auto" w:fill="auto"/>
            <w:noWrap/>
            <w:vAlign w:val="bottom"/>
            <w:hideMark/>
          </w:tcPr>
          <w:p w14:paraId="1C2724E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tcBorders>
              <w:top w:val="nil"/>
              <w:left w:val="nil"/>
              <w:bottom w:val="nil"/>
              <w:right w:val="nil"/>
            </w:tcBorders>
            <w:shd w:val="clear" w:color="auto" w:fill="auto"/>
            <w:noWrap/>
            <w:vAlign w:val="bottom"/>
            <w:hideMark/>
          </w:tcPr>
          <w:p w14:paraId="24BEED8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6" w:type="dxa"/>
            <w:tcBorders>
              <w:top w:val="nil"/>
              <w:left w:val="nil"/>
              <w:bottom w:val="nil"/>
              <w:right w:val="nil"/>
            </w:tcBorders>
            <w:shd w:val="clear" w:color="auto" w:fill="auto"/>
            <w:noWrap/>
            <w:vAlign w:val="bottom"/>
            <w:hideMark/>
          </w:tcPr>
          <w:p w14:paraId="4BAA744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tcBorders>
              <w:top w:val="nil"/>
              <w:left w:val="nil"/>
              <w:bottom w:val="nil"/>
              <w:right w:val="nil"/>
            </w:tcBorders>
            <w:shd w:val="clear" w:color="auto" w:fill="auto"/>
            <w:noWrap/>
            <w:vAlign w:val="bottom"/>
            <w:hideMark/>
          </w:tcPr>
          <w:p w14:paraId="653BE91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r>
      <w:tr w:rsidR="00CB733F" w:rsidRPr="00CB733F" w14:paraId="17E1491E" w14:textId="77777777" w:rsidTr="00CB733F">
        <w:trPr>
          <w:trHeight w:val="300"/>
        </w:trPr>
        <w:tc>
          <w:tcPr>
            <w:tcW w:w="1319" w:type="dxa"/>
            <w:tcBorders>
              <w:top w:val="nil"/>
              <w:left w:val="nil"/>
              <w:bottom w:val="nil"/>
              <w:right w:val="nil"/>
            </w:tcBorders>
            <w:shd w:val="clear" w:color="auto" w:fill="auto"/>
            <w:noWrap/>
            <w:vAlign w:val="bottom"/>
            <w:hideMark/>
          </w:tcPr>
          <w:p w14:paraId="0C3FAAC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0186D535" w14:textId="364F5739"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Sierra Nevada</w:t>
            </w:r>
            <w:r w:rsidR="001C00F4">
              <w:rPr>
                <w:rFonts w:ascii="Cambria" w:eastAsia="Times New Roman" w:hAnsi="Cambria"/>
                <w:color w:val="000000"/>
                <w:sz w:val="22"/>
                <w:szCs w:val="22"/>
              </w:rPr>
              <w:t>, CA</w:t>
            </w:r>
          </w:p>
        </w:tc>
        <w:tc>
          <w:tcPr>
            <w:tcW w:w="1540" w:type="dxa"/>
            <w:tcBorders>
              <w:top w:val="nil"/>
              <w:left w:val="nil"/>
              <w:bottom w:val="nil"/>
              <w:right w:val="nil"/>
            </w:tcBorders>
            <w:shd w:val="clear" w:color="auto" w:fill="auto"/>
            <w:noWrap/>
            <w:vAlign w:val="bottom"/>
            <w:hideMark/>
          </w:tcPr>
          <w:p w14:paraId="2CAE07F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forest</w:t>
            </w:r>
          </w:p>
        </w:tc>
        <w:tc>
          <w:tcPr>
            <w:tcW w:w="621" w:type="dxa"/>
            <w:tcBorders>
              <w:top w:val="nil"/>
              <w:left w:val="nil"/>
              <w:bottom w:val="nil"/>
              <w:right w:val="nil"/>
            </w:tcBorders>
            <w:shd w:val="clear" w:color="auto" w:fill="auto"/>
            <w:noWrap/>
            <w:vAlign w:val="bottom"/>
            <w:hideMark/>
          </w:tcPr>
          <w:p w14:paraId="2B74E4B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w:t>
            </w:r>
          </w:p>
        </w:tc>
        <w:tc>
          <w:tcPr>
            <w:tcW w:w="853" w:type="dxa"/>
            <w:tcBorders>
              <w:top w:val="nil"/>
              <w:left w:val="nil"/>
              <w:bottom w:val="nil"/>
              <w:right w:val="nil"/>
            </w:tcBorders>
            <w:shd w:val="clear" w:color="auto" w:fill="auto"/>
            <w:noWrap/>
            <w:vAlign w:val="bottom"/>
            <w:hideMark/>
          </w:tcPr>
          <w:p w14:paraId="3E778FEB"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28.4</w:t>
            </w:r>
          </w:p>
        </w:tc>
        <w:tc>
          <w:tcPr>
            <w:tcW w:w="505" w:type="dxa"/>
            <w:tcBorders>
              <w:top w:val="nil"/>
              <w:left w:val="nil"/>
              <w:bottom w:val="nil"/>
              <w:right w:val="nil"/>
            </w:tcBorders>
            <w:shd w:val="clear" w:color="auto" w:fill="auto"/>
            <w:noWrap/>
            <w:vAlign w:val="bottom"/>
            <w:hideMark/>
          </w:tcPr>
          <w:p w14:paraId="0BD9127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1.4</w:t>
            </w:r>
          </w:p>
        </w:tc>
        <w:tc>
          <w:tcPr>
            <w:tcW w:w="853" w:type="dxa"/>
            <w:tcBorders>
              <w:top w:val="nil"/>
              <w:left w:val="nil"/>
              <w:bottom w:val="nil"/>
              <w:right w:val="nil"/>
            </w:tcBorders>
            <w:shd w:val="clear" w:color="auto" w:fill="auto"/>
            <w:noWrap/>
            <w:vAlign w:val="bottom"/>
            <w:hideMark/>
          </w:tcPr>
          <w:p w14:paraId="21A6F49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1.1</w:t>
            </w:r>
          </w:p>
        </w:tc>
        <w:tc>
          <w:tcPr>
            <w:tcW w:w="505" w:type="dxa"/>
            <w:tcBorders>
              <w:top w:val="nil"/>
              <w:left w:val="nil"/>
              <w:bottom w:val="nil"/>
              <w:right w:val="nil"/>
            </w:tcBorders>
            <w:shd w:val="clear" w:color="auto" w:fill="auto"/>
            <w:noWrap/>
            <w:vAlign w:val="bottom"/>
            <w:hideMark/>
          </w:tcPr>
          <w:p w14:paraId="1D03158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47" w:type="dxa"/>
            <w:tcBorders>
              <w:top w:val="nil"/>
              <w:left w:val="nil"/>
              <w:bottom w:val="nil"/>
              <w:right w:val="nil"/>
            </w:tcBorders>
            <w:shd w:val="clear" w:color="auto" w:fill="auto"/>
            <w:noWrap/>
            <w:vAlign w:val="bottom"/>
            <w:hideMark/>
          </w:tcPr>
          <w:p w14:paraId="1A5CFA5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700</w:t>
            </w:r>
          </w:p>
        </w:tc>
        <w:tc>
          <w:tcPr>
            <w:tcW w:w="613" w:type="dxa"/>
            <w:tcBorders>
              <w:top w:val="nil"/>
              <w:left w:val="nil"/>
              <w:bottom w:val="nil"/>
              <w:right w:val="nil"/>
            </w:tcBorders>
            <w:shd w:val="clear" w:color="auto" w:fill="auto"/>
            <w:noWrap/>
            <w:vAlign w:val="bottom"/>
            <w:hideMark/>
          </w:tcPr>
          <w:p w14:paraId="7BFC947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141</w:t>
            </w:r>
          </w:p>
        </w:tc>
        <w:tc>
          <w:tcPr>
            <w:tcW w:w="846" w:type="dxa"/>
            <w:tcBorders>
              <w:top w:val="nil"/>
              <w:left w:val="nil"/>
              <w:bottom w:val="nil"/>
              <w:right w:val="nil"/>
            </w:tcBorders>
            <w:shd w:val="clear" w:color="auto" w:fill="auto"/>
            <w:noWrap/>
            <w:vAlign w:val="bottom"/>
            <w:hideMark/>
          </w:tcPr>
          <w:p w14:paraId="23D8E0F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210</w:t>
            </w:r>
          </w:p>
        </w:tc>
        <w:tc>
          <w:tcPr>
            <w:tcW w:w="460" w:type="dxa"/>
            <w:tcBorders>
              <w:top w:val="nil"/>
              <w:left w:val="nil"/>
              <w:bottom w:val="nil"/>
              <w:right w:val="nil"/>
            </w:tcBorders>
            <w:shd w:val="clear" w:color="auto" w:fill="auto"/>
            <w:noWrap/>
            <w:vAlign w:val="bottom"/>
            <w:hideMark/>
          </w:tcPr>
          <w:p w14:paraId="523C2DA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85</w:t>
            </w:r>
          </w:p>
        </w:tc>
        <w:tc>
          <w:tcPr>
            <w:tcW w:w="846" w:type="dxa"/>
            <w:tcBorders>
              <w:top w:val="nil"/>
              <w:left w:val="nil"/>
              <w:bottom w:val="nil"/>
              <w:right w:val="nil"/>
            </w:tcBorders>
            <w:shd w:val="clear" w:color="auto" w:fill="auto"/>
            <w:noWrap/>
            <w:vAlign w:val="bottom"/>
            <w:hideMark/>
          </w:tcPr>
          <w:p w14:paraId="69AFBD5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100</w:t>
            </w:r>
          </w:p>
        </w:tc>
        <w:tc>
          <w:tcPr>
            <w:tcW w:w="460" w:type="dxa"/>
            <w:tcBorders>
              <w:top w:val="nil"/>
              <w:left w:val="nil"/>
              <w:bottom w:val="nil"/>
              <w:right w:val="nil"/>
            </w:tcBorders>
            <w:shd w:val="clear" w:color="auto" w:fill="auto"/>
            <w:noWrap/>
            <w:vAlign w:val="bottom"/>
            <w:hideMark/>
          </w:tcPr>
          <w:p w14:paraId="15FFF83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71</w:t>
            </w:r>
          </w:p>
        </w:tc>
      </w:tr>
      <w:tr w:rsidR="00CB733F" w:rsidRPr="00CB733F" w14:paraId="04E1D3E6" w14:textId="77777777" w:rsidTr="00CB733F">
        <w:trPr>
          <w:trHeight w:val="300"/>
        </w:trPr>
        <w:tc>
          <w:tcPr>
            <w:tcW w:w="1319" w:type="dxa"/>
            <w:tcBorders>
              <w:top w:val="nil"/>
              <w:left w:val="nil"/>
              <w:bottom w:val="nil"/>
              <w:right w:val="nil"/>
            </w:tcBorders>
            <w:shd w:val="clear" w:color="auto" w:fill="auto"/>
            <w:noWrap/>
            <w:vAlign w:val="bottom"/>
            <w:hideMark/>
          </w:tcPr>
          <w:p w14:paraId="38BECB28"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0A848D6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Harvard Forest</w:t>
            </w:r>
          </w:p>
        </w:tc>
        <w:tc>
          <w:tcPr>
            <w:tcW w:w="1540" w:type="dxa"/>
            <w:tcBorders>
              <w:top w:val="nil"/>
              <w:left w:val="nil"/>
              <w:bottom w:val="nil"/>
              <w:right w:val="nil"/>
            </w:tcBorders>
            <w:shd w:val="clear" w:color="auto" w:fill="auto"/>
            <w:noWrap/>
            <w:vAlign w:val="bottom"/>
            <w:hideMark/>
          </w:tcPr>
          <w:p w14:paraId="1A319A6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forest</w:t>
            </w:r>
          </w:p>
        </w:tc>
        <w:tc>
          <w:tcPr>
            <w:tcW w:w="621" w:type="dxa"/>
            <w:tcBorders>
              <w:top w:val="nil"/>
              <w:left w:val="nil"/>
              <w:bottom w:val="nil"/>
              <w:right w:val="nil"/>
            </w:tcBorders>
            <w:shd w:val="clear" w:color="auto" w:fill="auto"/>
            <w:noWrap/>
            <w:vAlign w:val="bottom"/>
            <w:hideMark/>
          </w:tcPr>
          <w:p w14:paraId="7BFC860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w:t>
            </w:r>
          </w:p>
        </w:tc>
        <w:tc>
          <w:tcPr>
            <w:tcW w:w="853" w:type="dxa"/>
            <w:tcBorders>
              <w:top w:val="nil"/>
              <w:left w:val="nil"/>
              <w:bottom w:val="nil"/>
              <w:right w:val="nil"/>
            </w:tcBorders>
            <w:shd w:val="clear" w:color="auto" w:fill="auto"/>
            <w:noWrap/>
            <w:vAlign w:val="bottom"/>
            <w:hideMark/>
          </w:tcPr>
          <w:p w14:paraId="21ADBD7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60</w:t>
            </w:r>
          </w:p>
        </w:tc>
        <w:tc>
          <w:tcPr>
            <w:tcW w:w="505" w:type="dxa"/>
            <w:tcBorders>
              <w:top w:val="nil"/>
              <w:left w:val="nil"/>
              <w:bottom w:val="nil"/>
              <w:right w:val="nil"/>
            </w:tcBorders>
            <w:shd w:val="clear" w:color="auto" w:fill="auto"/>
            <w:noWrap/>
            <w:vAlign w:val="bottom"/>
            <w:hideMark/>
          </w:tcPr>
          <w:p w14:paraId="214B384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53" w:type="dxa"/>
            <w:tcBorders>
              <w:top w:val="nil"/>
              <w:left w:val="nil"/>
              <w:bottom w:val="nil"/>
              <w:right w:val="nil"/>
            </w:tcBorders>
            <w:shd w:val="clear" w:color="auto" w:fill="auto"/>
            <w:noWrap/>
            <w:vAlign w:val="bottom"/>
            <w:hideMark/>
          </w:tcPr>
          <w:p w14:paraId="5DB9F944"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505" w:type="dxa"/>
            <w:tcBorders>
              <w:top w:val="nil"/>
              <w:left w:val="nil"/>
              <w:bottom w:val="nil"/>
              <w:right w:val="nil"/>
            </w:tcBorders>
            <w:shd w:val="clear" w:color="auto" w:fill="auto"/>
            <w:noWrap/>
            <w:vAlign w:val="bottom"/>
            <w:hideMark/>
          </w:tcPr>
          <w:p w14:paraId="429C95D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7" w:type="dxa"/>
            <w:tcBorders>
              <w:top w:val="nil"/>
              <w:left w:val="nil"/>
              <w:bottom w:val="nil"/>
              <w:right w:val="nil"/>
            </w:tcBorders>
            <w:shd w:val="clear" w:color="auto" w:fill="auto"/>
            <w:noWrap/>
            <w:vAlign w:val="bottom"/>
            <w:hideMark/>
          </w:tcPr>
          <w:p w14:paraId="0C2E62A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613" w:type="dxa"/>
            <w:tcBorders>
              <w:top w:val="nil"/>
              <w:left w:val="nil"/>
              <w:bottom w:val="nil"/>
              <w:right w:val="nil"/>
            </w:tcBorders>
            <w:shd w:val="clear" w:color="auto" w:fill="auto"/>
            <w:noWrap/>
            <w:vAlign w:val="bottom"/>
            <w:hideMark/>
          </w:tcPr>
          <w:p w14:paraId="6A8A936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6" w:type="dxa"/>
            <w:tcBorders>
              <w:top w:val="nil"/>
              <w:left w:val="nil"/>
              <w:bottom w:val="nil"/>
              <w:right w:val="nil"/>
            </w:tcBorders>
            <w:shd w:val="clear" w:color="auto" w:fill="auto"/>
            <w:noWrap/>
            <w:vAlign w:val="bottom"/>
            <w:hideMark/>
          </w:tcPr>
          <w:p w14:paraId="6146ADB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tcBorders>
              <w:top w:val="nil"/>
              <w:left w:val="nil"/>
              <w:bottom w:val="nil"/>
              <w:right w:val="nil"/>
            </w:tcBorders>
            <w:shd w:val="clear" w:color="auto" w:fill="auto"/>
            <w:noWrap/>
            <w:vAlign w:val="bottom"/>
            <w:hideMark/>
          </w:tcPr>
          <w:p w14:paraId="6F841023"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6" w:type="dxa"/>
            <w:tcBorders>
              <w:top w:val="nil"/>
              <w:left w:val="nil"/>
              <w:bottom w:val="nil"/>
              <w:right w:val="nil"/>
            </w:tcBorders>
            <w:shd w:val="clear" w:color="auto" w:fill="auto"/>
            <w:noWrap/>
            <w:vAlign w:val="bottom"/>
            <w:hideMark/>
          </w:tcPr>
          <w:p w14:paraId="386BFEC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tcBorders>
              <w:top w:val="nil"/>
              <w:left w:val="nil"/>
              <w:bottom w:val="nil"/>
              <w:right w:val="nil"/>
            </w:tcBorders>
            <w:shd w:val="clear" w:color="auto" w:fill="auto"/>
            <w:noWrap/>
            <w:vAlign w:val="bottom"/>
            <w:hideMark/>
          </w:tcPr>
          <w:p w14:paraId="221B1AD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r>
      <w:tr w:rsidR="00CB733F" w:rsidRPr="00CB733F" w14:paraId="2475FAA0" w14:textId="77777777" w:rsidTr="00CB733F">
        <w:trPr>
          <w:trHeight w:val="300"/>
        </w:trPr>
        <w:tc>
          <w:tcPr>
            <w:tcW w:w="1319" w:type="dxa"/>
            <w:tcBorders>
              <w:top w:val="nil"/>
              <w:left w:val="nil"/>
              <w:bottom w:val="nil"/>
              <w:right w:val="nil"/>
            </w:tcBorders>
            <w:shd w:val="clear" w:color="auto" w:fill="auto"/>
            <w:noWrap/>
            <w:vAlign w:val="bottom"/>
            <w:hideMark/>
          </w:tcPr>
          <w:p w14:paraId="668AC298"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74582937"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Duke FACE</w:t>
            </w:r>
          </w:p>
        </w:tc>
        <w:tc>
          <w:tcPr>
            <w:tcW w:w="1540" w:type="dxa"/>
            <w:tcBorders>
              <w:top w:val="nil"/>
              <w:left w:val="nil"/>
              <w:bottom w:val="nil"/>
              <w:right w:val="nil"/>
            </w:tcBorders>
            <w:shd w:val="clear" w:color="auto" w:fill="auto"/>
            <w:noWrap/>
            <w:vAlign w:val="bottom"/>
            <w:hideMark/>
          </w:tcPr>
          <w:p w14:paraId="753227A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forest</w:t>
            </w:r>
          </w:p>
        </w:tc>
        <w:tc>
          <w:tcPr>
            <w:tcW w:w="621" w:type="dxa"/>
            <w:tcBorders>
              <w:top w:val="nil"/>
              <w:left w:val="nil"/>
              <w:bottom w:val="nil"/>
              <w:right w:val="nil"/>
            </w:tcBorders>
            <w:shd w:val="clear" w:color="auto" w:fill="auto"/>
            <w:noWrap/>
            <w:vAlign w:val="bottom"/>
            <w:hideMark/>
          </w:tcPr>
          <w:p w14:paraId="20290C10"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w:t>
            </w:r>
          </w:p>
        </w:tc>
        <w:tc>
          <w:tcPr>
            <w:tcW w:w="853" w:type="dxa"/>
            <w:tcBorders>
              <w:top w:val="nil"/>
              <w:left w:val="nil"/>
              <w:bottom w:val="nil"/>
              <w:right w:val="nil"/>
            </w:tcBorders>
            <w:shd w:val="clear" w:color="auto" w:fill="auto"/>
            <w:noWrap/>
            <w:vAlign w:val="bottom"/>
            <w:hideMark/>
          </w:tcPr>
          <w:p w14:paraId="61C0912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16.6</w:t>
            </w:r>
          </w:p>
        </w:tc>
        <w:tc>
          <w:tcPr>
            <w:tcW w:w="505" w:type="dxa"/>
            <w:tcBorders>
              <w:top w:val="nil"/>
              <w:left w:val="nil"/>
              <w:bottom w:val="nil"/>
              <w:right w:val="nil"/>
            </w:tcBorders>
            <w:shd w:val="clear" w:color="auto" w:fill="auto"/>
            <w:noWrap/>
            <w:vAlign w:val="bottom"/>
            <w:hideMark/>
          </w:tcPr>
          <w:p w14:paraId="338DB972"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53" w:type="dxa"/>
            <w:tcBorders>
              <w:top w:val="nil"/>
              <w:left w:val="nil"/>
              <w:bottom w:val="nil"/>
              <w:right w:val="nil"/>
            </w:tcBorders>
            <w:shd w:val="clear" w:color="auto" w:fill="auto"/>
            <w:noWrap/>
            <w:vAlign w:val="bottom"/>
            <w:hideMark/>
          </w:tcPr>
          <w:p w14:paraId="5F10254D"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0.8</w:t>
            </w:r>
          </w:p>
        </w:tc>
        <w:tc>
          <w:tcPr>
            <w:tcW w:w="505" w:type="dxa"/>
            <w:tcBorders>
              <w:top w:val="nil"/>
              <w:left w:val="nil"/>
              <w:bottom w:val="nil"/>
              <w:right w:val="nil"/>
            </w:tcBorders>
            <w:shd w:val="clear" w:color="auto" w:fill="auto"/>
            <w:noWrap/>
            <w:vAlign w:val="bottom"/>
            <w:hideMark/>
          </w:tcPr>
          <w:p w14:paraId="0973E17A"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7" w:type="dxa"/>
            <w:tcBorders>
              <w:top w:val="nil"/>
              <w:left w:val="nil"/>
              <w:bottom w:val="nil"/>
              <w:right w:val="nil"/>
            </w:tcBorders>
            <w:shd w:val="clear" w:color="auto" w:fill="auto"/>
            <w:noWrap/>
            <w:vAlign w:val="bottom"/>
            <w:hideMark/>
          </w:tcPr>
          <w:p w14:paraId="3D9DCB6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613" w:type="dxa"/>
            <w:tcBorders>
              <w:top w:val="nil"/>
              <w:left w:val="nil"/>
              <w:bottom w:val="nil"/>
              <w:right w:val="nil"/>
            </w:tcBorders>
            <w:shd w:val="clear" w:color="auto" w:fill="auto"/>
            <w:noWrap/>
            <w:vAlign w:val="bottom"/>
            <w:hideMark/>
          </w:tcPr>
          <w:p w14:paraId="69901BB5"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6" w:type="dxa"/>
            <w:tcBorders>
              <w:top w:val="nil"/>
              <w:left w:val="nil"/>
              <w:bottom w:val="nil"/>
              <w:right w:val="nil"/>
            </w:tcBorders>
            <w:shd w:val="clear" w:color="auto" w:fill="auto"/>
            <w:noWrap/>
            <w:vAlign w:val="bottom"/>
            <w:hideMark/>
          </w:tcPr>
          <w:p w14:paraId="5883D5EE"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tcBorders>
              <w:top w:val="nil"/>
              <w:left w:val="nil"/>
              <w:bottom w:val="nil"/>
              <w:right w:val="nil"/>
            </w:tcBorders>
            <w:shd w:val="clear" w:color="auto" w:fill="auto"/>
            <w:noWrap/>
            <w:vAlign w:val="bottom"/>
            <w:hideMark/>
          </w:tcPr>
          <w:p w14:paraId="54B2E9DF"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46" w:type="dxa"/>
            <w:tcBorders>
              <w:top w:val="nil"/>
              <w:left w:val="nil"/>
              <w:bottom w:val="nil"/>
              <w:right w:val="nil"/>
            </w:tcBorders>
            <w:shd w:val="clear" w:color="auto" w:fill="auto"/>
            <w:noWrap/>
            <w:vAlign w:val="bottom"/>
            <w:hideMark/>
          </w:tcPr>
          <w:p w14:paraId="6EC2E4C1"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tcBorders>
              <w:top w:val="nil"/>
              <w:left w:val="nil"/>
              <w:bottom w:val="nil"/>
              <w:right w:val="nil"/>
            </w:tcBorders>
            <w:shd w:val="clear" w:color="auto" w:fill="auto"/>
            <w:noWrap/>
            <w:vAlign w:val="bottom"/>
            <w:hideMark/>
          </w:tcPr>
          <w:p w14:paraId="45CEAAA9" w14:textId="77777777" w:rsidR="00CB733F" w:rsidRPr="00CB733F" w:rsidRDefault="00CB733F" w:rsidP="00CB733F">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r>
    </w:tbl>
    <w:p w14:paraId="6E2018C1" w14:textId="00C7C26E" w:rsidR="001D0BD0" w:rsidRPr="00CB733F" w:rsidRDefault="00CB733F" w:rsidP="003D0E01">
      <w:pPr>
        <w:pStyle w:val="Normal1"/>
        <w:spacing w:before="120" w:line="360" w:lineRule="auto"/>
        <w:rPr>
          <w:rFonts w:ascii="Times New Roman" w:hAnsi="Times New Roman" w:cs="Times New Roman"/>
          <w:sz w:val="20"/>
          <w:szCs w:val="20"/>
        </w:rPr>
        <w:sectPr w:rsidR="001D0BD0" w:rsidRPr="00CB733F" w:rsidSect="001D0BD0">
          <w:pgSz w:w="15840" w:h="12240" w:orient="landscape"/>
          <w:pgMar w:top="1440" w:right="1440" w:bottom="1440" w:left="1440" w:header="432" w:footer="720" w:gutter="0"/>
          <w:lnNumType w:countBy="1" w:restart="continuous"/>
          <w:cols w:space="720"/>
          <w:docGrid w:linePitch="360"/>
        </w:sectPr>
      </w:pPr>
      <w:r w:rsidRPr="00CB733F">
        <w:rPr>
          <w:rFonts w:ascii="Times New Roman" w:hAnsi="Times New Roman" w:cs="Times New Roman"/>
          <w:sz w:val="20"/>
          <w:szCs w:val="20"/>
        </w:rPr>
        <w:t xml:space="preserve">* </w:t>
      </w:r>
      <w:r w:rsidR="001C00F4">
        <w:rPr>
          <w:rFonts w:ascii="Times New Roman" w:hAnsi="Times New Roman" w:cs="Times New Roman"/>
          <w:sz w:val="20"/>
          <w:szCs w:val="20"/>
        </w:rPr>
        <w:t xml:space="preserve">The </w:t>
      </w:r>
      <w:r w:rsidR="001C00F4">
        <w:rPr>
          <w:rFonts w:ascii="Times New Roman" w:hAnsi="Times New Roman" w:cs="Times New Roman"/>
          <w:color w:val="000000"/>
          <w:sz w:val="20"/>
          <w:szCs w:val="20"/>
        </w:rPr>
        <w:t>Central Germany regions are two sites from the Biodiversity Exploratories project: 1) Schorfheide-Chorin, 2) Hainich-Dün.</w:t>
      </w:r>
      <w:r>
        <w:rPr>
          <w:rFonts w:ascii="Times New Roman" w:hAnsi="Times New Roman" w:cs="Times New Roman"/>
          <w:color w:val="000000"/>
          <w:sz w:val="20"/>
          <w:szCs w:val="20"/>
        </w:rPr>
        <w:t xml:space="preserve"> </w:t>
      </w:r>
      <w:r w:rsidR="001C00F4">
        <w:rPr>
          <w:rFonts w:ascii="Times New Roman" w:hAnsi="Times New Roman" w:cs="Times New Roman"/>
          <w:color w:val="000000"/>
          <w:sz w:val="20"/>
          <w:szCs w:val="20"/>
        </w:rPr>
        <w:t xml:space="preserve">Data </w:t>
      </w:r>
      <w:r>
        <w:rPr>
          <w:rFonts w:ascii="Times New Roman" w:hAnsi="Times New Roman" w:cs="Times New Roman"/>
          <w:color w:val="000000"/>
          <w:sz w:val="20"/>
          <w:szCs w:val="20"/>
        </w:rPr>
        <w:t>from</w:t>
      </w:r>
      <w:r w:rsidRPr="00CB733F">
        <w:rPr>
          <w:rFonts w:ascii="Times New Roman" w:hAnsi="Times New Roman" w:cs="Times New Roman"/>
          <w:color w:val="000000"/>
          <w:sz w:val="20"/>
          <w:szCs w:val="20"/>
        </w:rPr>
        <w:t xml:space="preserve"> Harvard Forest provided by Gaudinki </w:t>
      </w:r>
      <w:r w:rsidR="00900256">
        <w:rPr>
          <w:rFonts w:ascii="Times New Roman" w:hAnsi="Times New Roman" w:cs="Times New Roman"/>
          <w:color w:val="000000"/>
          <w:sz w:val="20"/>
          <w:szCs w:val="20"/>
        </w:rPr>
        <w:t>et al. (2000</w:t>
      </w:r>
      <w:r w:rsidRPr="00CB733F">
        <w:rPr>
          <w:rFonts w:ascii="Times New Roman" w:hAnsi="Times New Roman" w:cs="Times New Roman"/>
          <w:color w:val="000000"/>
          <w:sz w:val="20"/>
          <w:szCs w:val="20"/>
        </w:rPr>
        <w:t>), Oak Ridge data from Cisneros</w:t>
      </w:r>
      <w:r w:rsidR="00D463E2">
        <w:rPr>
          <w:rFonts w:ascii="Times New Roman" w:hAnsi="Times New Roman" w:cs="Times New Roman"/>
          <w:color w:val="000000"/>
          <w:sz w:val="20"/>
          <w:szCs w:val="20"/>
        </w:rPr>
        <w:t>-Dozel</w:t>
      </w:r>
      <w:r w:rsidRPr="00CB733F">
        <w:rPr>
          <w:rFonts w:ascii="Times New Roman" w:hAnsi="Times New Roman" w:cs="Times New Roman"/>
          <w:color w:val="000000"/>
          <w:sz w:val="20"/>
          <w:szCs w:val="20"/>
        </w:rPr>
        <w:t xml:space="preserve"> et al. (2006), Duke FACE data from Hopkins et al. (2012), Sierra Nevada data from Koarashi et al. (2009).</w:t>
      </w:r>
      <w:r>
        <w:rPr>
          <w:rFonts w:ascii="Times New Roman" w:hAnsi="Times New Roman" w:cs="Times New Roman"/>
          <w:color w:val="000000"/>
          <w:sz w:val="20"/>
          <w:szCs w:val="20"/>
        </w:rPr>
        <w:t xml:space="preserve"> </w:t>
      </w:r>
      <w:r w:rsidR="001C00F4">
        <w:rPr>
          <w:rFonts w:ascii="Times New Roman" w:hAnsi="Times New Roman" w:cs="Times New Roman"/>
          <w:color w:val="000000"/>
          <w:sz w:val="20"/>
          <w:szCs w:val="20"/>
        </w:rPr>
        <w:t>Central Germany region</w:t>
      </w:r>
      <w:r>
        <w:rPr>
          <w:rFonts w:ascii="Times New Roman" w:hAnsi="Times New Roman" w:cs="Times New Roman"/>
          <w:color w:val="000000"/>
          <w:sz w:val="20"/>
          <w:szCs w:val="20"/>
        </w:rPr>
        <w:t xml:space="preserve"> data are from the database of the Biodiversty Exploratories project (BEXIS).</w:t>
      </w:r>
      <w:r w:rsidRPr="00CB733F">
        <w:rPr>
          <w:rFonts w:ascii="Times New Roman" w:hAnsi="Times New Roman" w:cs="Times New Roman"/>
          <w:color w:val="000000"/>
          <w:sz w:val="20"/>
          <w:szCs w:val="20"/>
        </w:rPr>
        <w:t xml:space="preserve"> Not</w:t>
      </w:r>
      <w:r>
        <w:rPr>
          <w:rFonts w:ascii="Times New Roman" w:hAnsi="Times New Roman" w:cs="Times New Roman"/>
          <w:color w:val="000000"/>
          <w:sz w:val="20"/>
          <w:szCs w:val="20"/>
        </w:rPr>
        <w:t>e that not</w:t>
      </w:r>
      <w:r w:rsidRPr="00CB733F">
        <w:rPr>
          <w:rFonts w:ascii="Times New Roman" w:hAnsi="Times New Roman" w:cs="Times New Roman"/>
          <w:color w:val="000000"/>
          <w:sz w:val="20"/>
          <w:szCs w:val="20"/>
        </w:rPr>
        <w:t xml:space="preserve"> all data were available for all sites.</w:t>
      </w:r>
      <w:r>
        <w:rPr>
          <w:rFonts w:ascii="Times New Roman" w:hAnsi="Times New Roman" w:cs="Times New Roman"/>
          <w:color w:val="000000"/>
          <w:sz w:val="20"/>
          <w:szCs w:val="20"/>
        </w:rPr>
        <w:t xml:space="preserve"> ** </w:t>
      </w:r>
      <w:r w:rsidR="001D71A7">
        <w:rPr>
          <w:rFonts w:ascii="Times New Roman" w:hAnsi="Times New Roman" w:cs="Times New Roman"/>
          <w:color w:val="000000"/>
          <w:sz w:val="20"/>
          <w:szCs w:val="20"/>
          <w:lang w:val="en-US"/>
        </w:rPr>
        <w:t>Central Germany 2</w:t>
      </w:r>
      <w:r w:rsidRPr="00CB733F">
        <w:rPr>
          <w:rFonts w:ascii="Times New Roman" w:hAnsi="Times New Roman" w:cs="Times New Roman"/>
          <w:color w:val="000000"/>
          <w:sz w:val="20"/>
          <w:szCs w:val="20"/>
          <w:lang w:val="en-US"/>
        </w:rPr>
        <w:t xml:space="preserve">, Harvard Forest, and Oak Ridge forest sites </w:t>
      </w:r>
      <w:r w:rsidR="005A7BD5">
        <w:rPr>
          <w:rFonts w:ascii="Times New Roman" w:hAnsi="Times New Roman" w:cs="Times New Roman"/>
          <w:color w:val="000000"/>
          <w:sz w:val="20"/>
          <w:szCs w:val="20"/>
          <w:lang w:val="en-US"/>
        </w:rPr>
        <w:t>are</w:t>
      </w:r>
      <w:r w:rsidRPr="00CB733F">
        <w:rPr>
          <w:rFonts w:ascii="Times New Roman" w:hAnsi="Times New Roman" w:cs="Times New Roman"/>
          <w:color w:val="000000"/>
          <w:sz w:val="20"/>
          <w:szCs w:val="20"/>
          <w:lang w:val="en-US"/>
        </w:rPr>
        <w:t xml:space="preserve"> mixed deciduous; </w:t>
      </w:r>
      <w:r w:rsidR="001D71A7">
        <w:rPr>
          <w:rFonts w:ascii="Times New Roman" w:hAnsi="Times New Roman" w:cs="Times New Roman"/>
          <w:color w:val="000000"/>
          <w:sz w:val="20"/>
          <w:szCs w:val="20"/>
          <w:lang w:val="en-US"/>
        </w:rPr>
        <w:t>Central Germany 2</w:t>
      </w:r>
      <w:r w:rsidRPr="00CB733F">
        <w:rPr>
          <w:rFonts w:ascii="Times New Roman" w:hAnsi="Times New Roman" w:cs="Times New Roman"/>
          <w:color w:val="000000"/>
          <w:sz w:val="20"/>
          <w:szCs w:val="20"/>
          <w:lang w:val="en-US"/>
        </w:rPr>
        <w:t xml:space="preserve"> forest sites are a mix of coniferous and deciduous species; Sierra Nevada </w:t>
      </w:r>
      <w:r w:rsidR="005A7BD5">
        <w:rPr>
          <w:rFonts w:ascii="Times New Roman" w:hAnsi="Times New Roman" w:cs="Times New Roman"/>
          <w:color w:val="000000"/>
          <w:sz w:val="20"/>
          <w:szCs w:val="20"/>
          <w:lang w:val="en-US"/>
        </w:rPr>
        <w:t xml:space="preserve">and Duke FACE </w:t>
      </w:r>
      <w:r w:rsidRPr="00CB733F">
        <w:rPr>
          <w:rFonts w:ascii="Times New Roman" w:hAnsi="Times New Roman" w:cs="Times New Roman"/>
          <w:color w:val="000000"/>
          <w:sz w:val="20"/>
          <w:szCs w:val="20"/>
          <w:lang w:val="en-US"/>
        </w:rPr>
        <w:t>forest sites are exclusively coniferous. Grasslands were all cool-season grasses (C3 photosynthetic pathway)</w:t>
      </w:r>
      <w:r w:rsidR="005A7BD5">
        <w:rPr>
          <w:rFonts w:ascii="Times New Roman" w:hAnsi="Times New Roman" w:cs="Times New Roman"/>
          <w:color w:val="000000"/>
          <w:sz w:val="20"/>
          <w:szCs w:val="20"/>
          <w:lang w:val="en-US"/>
        </w:rPr>
        <w:t>.</w:t>
      </w:r>
      <w:r w:rsidR="005A7BD5" w:rsidRPr="005A7BD5">
        <w:rPr>
          <w:rFonts w:ascii="Lucida Grande" w:eastAsiaTheme="minorEastAsia" w:hAnsi="Lucida Grande" w:cs="Lucida Grande"/>
          <w:color w:val="000000"/>
          <w:sz w:val="20"/>
          <w:szCs w:val="20"/>
          <w:lang w:val="en-US"/>
        </w:rPr>
        <w:t xml:space="preserve"> </w:t>
      </w:r>
      <w:r w:rsidR="005A7BD5" w:rsidRPr="005A7BD5">
        <w:rPr>
          <w:rFonts w:ascii="Times New Roman" w:hAnsi="Times New Roman" w:cs="Times New Roman"/>
          <w:color w:val="000000"/>
          <w:sz w:val="20"/>
          <w:szCs w:val="20"/>
          <w:lang w:val="en-US"/>
        </w:rPr>
        <w:t>*** See Table 2 for the total number of samples per experiment, and Table 3 for the number of samples per site per experimen</w:t>
      </w:r>
      <w:r w:rsidR="008A48EE">
        <w:rPr>
          <w:rFonts w:ascii="Times New Roman" w:hAnsi="Times New Roman" w:cs="Times New Roman"/>
          <w:color w:val="000000"/>
          <w:sz w:val="20"/>
          <w:szCs w:val="20"/>
          <w:lang w:val="en-US"/>
        </w:rPr>
        <w:t>t.</w:t>
      </w:r>
    </w:p>
    <w:p w14:paraId="67B32606" w14:textId="2F2975A9" w:rsidR="00FE06A1" w:rsidRDefault="00FE06A1" w:rsidP="008A48EE">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2.3.3  </w:t>
      </w:r>
      <w:r w:rsidRPr="00C27016">
        <w:rPr>
          <w:rFonts w:ascii="Times New Roman" w:hAnsi="Times New Roman" w:cs="Times New Roman"/>
          <w:sz w:val="24"/>
          <w:szCs w:val="24"/>
        </w:rPr>
        <w:t>Experiment 3</w:t>
      </w:r>
      <w:r>
        <w:rPr>
          <w:rFonts w:ascii="Times New Roman" w:hAnsi="Times New Roman" w:cs="Times New Roman"/>
          <w:sz w:val="24"/>
          <w:szCs w:val="24"/>
        </w:rPr>
        <w:t xml:space="preserve"> Incubations</w:t>
      </w:r>
    </w:p>
    <w:p w14:paraId="0A39298E" w14:textId="5F4192D2" w:rsidR="005673F0" w:rsidRPr="00C27016" w:rsidRDefault="005673F0" w:rsidP="005673F0">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Replication and the mass of soil incubated in control-3 inc</w:t>
      </w:r>
      <w:r w:rsidR="00EB5863">
        <w:rPr>
          <w:rFonts w:ascii="Times New Roman" w:hAnsi="Times New Roman" w:cs="Times New Roman"/>
          <w:sz w:val="24"/>
          <w:szCs w:val="24"/>
        </w:rPr>
        <w:t>ubations varied according to the objectives of the original investigators.</w:t>
      </w:r>
      <w:r w:rsidR="00E476B8">
        <w:rPr>
          <w:rFonts w:ascii="Times New Roman" w:hAnsi="Times New Roman" w:cs="Times New Roman"/>
          <w:sz w:val="24"/>
          <w:szCs w:val="24"/>
        </w:rPr>
        <w:t xml:space="preserve"> </w:t>
      </w:r>
      <w:r w:rsidR="00EB5863">
        <w:rPr>
          <w:rFonts w:ascii="Times New Roman" w:hAnsi="Times New Roman" w:cs="Times New Roman"/>
          <w:sz w:val="24"/>
          <w:szCs w:val="24"/>
        </w:rPr>
        <w:t xml:space="preserve">Soil mass and replication for the corresponding paired storage duration treatment incubations were kept the same as control-3 incubations </w:t>
      </w:r>
      <w:r w:rsidR="00FF375F">
        <w:rPr>
          <w:rFonts w:ascii="Times New Roman" w:hAnsi="Times New Roman" w:cs="Times New Roman"/>
          <w:sz w:val="24"/>
          <w:szCs w:val="24"/>
        </w:rPr>
        <w:t>unless</w:t>
      </w:r>
      <w:r w:rsidR="00EB5863">
        <w:rPr>
          <w:rFonts w:ascii="Times New Roman" w:hAnsi="Times New Roman" w:cs="Times New Roman"/>
          <w:sz w:val="24"/>
          <w:szCs w:val="24"/>
        </w:rPr>
        <w:t xml:space="preserve"> </w:t>
      </w:r>
      <w:r w:rsidR="00FF375F">
        <w:rPr>
          <w:rFonts w:ascii="Times New Roman" w:hAnsi="Times New Roman" w:cs="Times New Roman"/>
          <w:sz w:val="24"/>
          <w:szCs w:val="24"/>
        </w:rPr>
        <w:t>this was not possible due to</w:t>
      </w:r>
      <w:r w:rsidR="00EB5863">
        <w:rPr>
          <w:rFonts w:ascii="Times New Roman" w:hAnsi="Times New Roman" w:cs="Times New Roman"/>
          <w:sz w:val="24"/>
          <w:szCs w:val="24"/>
        </w:rPr>
        <w:t xml:space="preserve"> the amount of a</w:t>
      </w:r>
      <w:r w:rsidR="00DD2571">
        <w:rPr>
          <w:rFonts w:ascii="Times New Roman" w:hAnsi="Times New Roman" w:cs="Times New Roman"/>
          <w:sz w:val="24"/>
          <w:szCs w:val="24"/>
        </w:rPr>
        <w:t>rchived soil available</w:t>
      </w:r>
      <w:r w:rsidR="00EB5863">
        <w:rPr>
          <w:rFonts w:ascii="Times New Roman" w:hAnsi="Times New Roman" w:cs="Times New Roman"/>
          <w:sz w:val="24"/>
          <w:szCs w:val="24"/>
        </w:rPr>
        <w:t>. D</w:t>
      </w:r>
      <w:r w:rsidRPr="00C27016">
        <w:rPr>
          <w:rFonts w:ascii="Times New Roman" w:hAnsi="Times New Roman" w:cs="Times New Roman"/>
          <w:sz w:val="24"/>
          <w:szCs w:val="24"/>
        </w:rPr>
        <w:t xml:space="preserve">ue to </w:t>
      </w:r>
      <w:r w:rsidR="00EB5863">
        <w:rPr>
          <w:rFonts w:ascii="Times New Roman" w:hAnsi="Times New Roman" w:cs="Times New Roman"/>
          <w:sz w:val="24"/>
          <w:szCs w:val="24"/>
        </w:rPr>
        <w:t xml:space="preserve">the </w:t>
      </w:r>
      <w:r w:rsidRPr="00C27016">
        <w:rPr>
          <w:rFonts w:ascii="Times New Roman" w:hAnsi="Times New Roman" w:cs="Times New Roman"/>
          <w:sz w:val="24"/>
          <w:szCs w:val="24"/>
        </w:rPr>
        <w:t>different objectiv</w:t>
      </w:r>
      <w:r>
        <w:rPr>
          <w:rFonts w:ascii="Times New Roman" w:hAnsi="Times New Roman" w:cs="Times New Roman"/>
          <w:sz w:val="24"/>
          <w:szCs w:val="24"/>
        </w:rPr>
        <w:t>es of the initial investigators</w:t>
      </w:r>
      <w:r w:rsidR="00EB5863">
        <w:rPr>
          <w:rFonts w:ascii="Times New Roman" w:hAnsi="Times New Roman" w:cs="Times New Roman"/>
          <w:sz w:val="24"/>
          <w:szCs w:val="24"/>
        </w:rPr>
        <w:t xml:space="preserve"> soil moisture and incubation temperature also varied among control-3 samples. The soil moisture content of paired storage duration and control-3 samples was the same. However</w:t>
      </w:r>
      <w:r w:rsidR="00FF375F">
        <w:rPr>
          <w:rFonts w:ascii="Times New Roman" w:hAnsi="Times New Roman" w:cs="Times New Roman"/>
          <w:sz w:val="24"/>
          <w:szCs w:val="24"/>
        </w:rPr>
        <w:t>,</w:t>
      </w:r>
      <w:r w:rsidR="00EB5863">
        <w:rPr>
          <w:rFonts w:ascii="Times New Roman" w:hAnsi="Times New Roman" w:cs="Times New Roman"/>
          <w:sz w:val="24"/>
          <w:szCs w:val="24"/>
        </w:rPr>
        <w:t xml:space="preserve"> all storage duration incubations were conducted at 20ºC</w:t>
      </w:r>
      <w:r w:rsidR="00FF375F">
        <w:rPr>
          <w:rFonts w:ascii="Times New Roman" w:hAnsi="Times New Roman" w:cs="Times New Roman"/>
          <w:sz w:val="24"/>
          <w:szCs w:val="24"/>
        </w:rPr>
        <w:t xml:space="preserve"> for simplicity</w:t>
      </w:r>
      <w:r w:rsidR="00EB5863">
        <w:rPr>
          <w:rFonts w:ascii="Times New Roman" w:hAnsi="Times New Roman" w:cs="Times New Roman"/>
          <w:sz w:val="24"/>
          <w:szCs w:val="24"/>
        </w:rPr>
        <w:t xml:space="preserve">, as </w:t>
      </w:r>
      <w:r w:rsidR="00FF375F">
        <w:rPr>
          <w:rFonts w:ascii="Times New Roman" w:hAnsi="Times New Roman" w:cs="Times New Roman"/>
          <w:sz w:val="24"/>
          <w:szCs w:val="24"/>
        </w:rPr>
        <w:t xml:space="preserve">while </w:t>
      </w:r>
      <w:r w:rsidR="00EB5863">
        <w:rPr>
          <w:rFonts w:ascii="Times New Roman" w:hAnsi="Times New Roman" w:cs="Times New Roman"/>
          <w:sz w:val="24"/>
          <w:szCs w:val="24"/>
        </w:rPr>
        <w:t xml:space="preserve">temperature </w:t>
      </w:r>
      <w:r w:rsidR="00FF375F">
        <w:rPr>
          <w:rFonts w:ascii="Times New Roman" w:hAnsi="Times New Roman" w:cs="Times New Roman"/>
          <w:sz w:val="24"/>
          <w:szCs w:val="24"/>
        </w:rPr>
        <w:t>has known effects on respiration rates, it has been shown that it does not</w:t>
      </w:r>
      <w:r w:rsidR="00EB5863">
        <w:rPr>
          <w:rFonts w:ascii="Times New Roman" w:hAnsi="Times New Roman" w:cs="Times New Roman"/>
          <w:sz w:val="24"/>
          <w:szCs w:val="24"/>
        </w:rPr>
        <w:t xml:space="preserve"> affect ∆</w:t>
      </w:r>
      <w:r w:rsidR="00EB5863" w:rsidRPr="00EB5863">
        <w:rPr>
          <w:rFonts w:ascii="Times New Roman" w:hAnsi="Times New Roman" w:cs="Times New Roman"/>
          <w:sz w:val="24"/>
          <w:szCs w:val="24"/>
          <w:vertAlign w:val="superscript"/>
        </w:rPr>
        <w:t>14</w:t>
      </w:r>
      <w:r w:rsidR="00EB5863">
        <w:rPr>
          <w:rFonts w:ascii="Times New Roman" w:hAnsi="Times New Roman" w:cs="Times New Roman"/>
          <w:sz w:val="24"/>
          <w:szCs w:val="24"/>
        </w:rPr>
        <w:t>C-CO</w:t>
      </w:r>
      <w:r w:rsidR="00EB5863" w:rsidRPr="00EB5863">
        <w:rPr>
          <w:rFonts w:ascii="Times New Roman" w:hAnsi="Times New Roman" w:cs="Times New Roman"/>
          <w:sz w:val="24"/>
          <w:szCs w:val="24"/>
          <w:vertAlign w:val="subscript"/>
        </w:rPr>
        <w:t>2</w:t>
      </w:r>
      <w:r w:rsidR="008A48EE">
        <w:rPr>
          <w:rFonts w:ascii="Times New Roman" w:hAnsi="Times New Roman" w:cs="Times New Roman"/>
          <w:sz w:val="24"/>
          <w:szCs w:val="24"/>
          <w:vertAlign w:val="subscript"/>
        </w:rPr>
        <w:t xml:space="preserve"> </w:t>
      </w:r>
      <w:r w:rsidR="008A48EE" w:rsidRPr="008A48EE">
        <w:rPr>
          <w:rFonts w:ascii="Times New Roman" w:hAnsi="Times New Roman" w:cs="Times New Roman"/>
          <w:sz w:val="24"/>
          <w:szCs w:val="24"/>
        </w:rPr>
        <w:t>(</w:t>
      </w:r>
      <w:r w:rsidR="00DD2571">
        <w:rPr>
          <w:rFonts w:ascii="Times New Roman" w:hAnsi="Times New Roman" w:cs="Times New Roman"/>
          <w:sz w:val="24"/>
          <w:szCs w:val="24"/>
        </w:rPr>
        <w:t>Vaughn and Torn, 2019</w:t>
      </w:r>
      <w:r w:rsidR="008A48EE" w:rsidRPr="008A48EE">
        <w:rPr>
          <w:rFonts w:ascii="Times New Roman" w:hAnsi="Times New Roman" w:cs="Times New Roman"/>
          <w:sz w:val="24"/>
          <w:szCs w:val="24"/>
        </w:rPr>
        <w:t>)</w:t>
      </w:r>
      <w:r w:rsidR="00EB5863">
        <w:rPr>
          <w:rFonts w:ascii="Times New Roman" w:hAnsi="Times New Roman" w:cs="Times New Roman"/>
          <w:sz w:val="24"/>
          <w:szCs w:val="24"/>
        </w:rPr>
        <w:t>.</w:t>
      </w:r>
    </w:p>
    <w:p w14:paraId="48DEF849" w14:textId="08EE3C1E" w:rsidR="00307CC7" w:rsidRDefault="00307CC7" w:rsidP="005673F0">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w:t>
      </w:r>
      <w:r w:rsidR="009B46E2">
        <w:rPr>
          <w:rFonts w:ascii="Times New Roman" w:hAnsi="Times New Roman" w:cs="Times New Roman"/>
          <w:sz w:val="24"/>
          <w:szCs w:val="24"/>
        </w:rPr>
        <w:t xml:space="preserve">e were unable to obtain </w:t>
      </w:r>
      <w:r w:rsidR="005673F0" w:rsidRPr="00C27016">
        <w:rPr>
          <w:rFonts w:ascii="Times New Roman" w:hAnsi="Times New Roman" w:cs="Times New Roman"/>
          <w:sz w:val="24"/>
          <w:szCs w:val="24"/>
        </w:rPr>
        <w:t>data on the</w:t>
      </w:r>
      <w:r w:rsidR="009B46E2" w:rsidRPr="009B46E2">
        <w:rPr>
          <w:rFonts w:ascii="Times New Roman" w:hAnsi="Times New Roman" w:cs="Times New Roman"/>
          <w:sz w:val="24"/>
          <w:szCs w:val="24"/>
        </w:rPr>
        <w:t xml:space="preserve"> </w:t>
      </w:r>
      <w:r w:rsidR="009B3DF3">
        <w:rPr>
          <w:rFonts w:ascii="Times New Roman" w:hAnsi="Times New Roman" w:cs="Times New Roman"/>
          <w:sz w:val="24"/>
          <w:szCs w:val="24"/>
        </w:rPr>
        <w:t>first enclosure</w:t>
      </w:r>
      <w:r w:rsidR="009B46E2" w:rsidRPr="00C27016">
        <w:rPr>
          <w:rFonts w:ascii="Times New Roman" w:hAnsi="Times New Roman" w:cs="Times New Roman"/>
          <w:sz w:val="24"/>
          <w:szCs w:val="24"/>
        </w:rPr>
        <w:t xml:space="preserve"> period</w:t>
      </w:r>
      <w:r w:rsidR="005673F0" w:rsidRPr="00C27016">
        <w:rPr>
          <w:rFonts w:ascii="Times New Roman" w:hAnsi="Times New Roman" w:cs="Times New Roman"/>
          <w:sz w:val="24"/>
          <w:szCs w:val="24"/>
        </w:rPr>
        <w:t xml:space="preserve"> duration </w:t>
      </w:r>
      <w:r w:rsidR="009B46E2">
        <w:rPr>
          <w:rFonts w:ascii="Times New Roman" w:hAnsi="Times New Roman" w:cs="Times New Roman"/>
          <w:sz w:val="24"/>
          <w:szCs w:val="24"/>
        </w:rPr>
        <w:t>or</w:t>
      </w:r>
      <w:r w:rsidR="005673F0" w:rsidRPr="00C27016">
        <w:rPr>
          <w:rFonts w:ascii="Times New Roman" w:hAnsi="Times New Roman" w:cs="Times New Roman"/>
          <w:sz w:val="24"/>
          <w:szCs w:val="24"/>
        </w:rPr>
        <w:t xml:space="preserve"> </w:t>
      </w:r>
      <w:r w:rsidR="009B46E2">
        <w:rPr>
          <w:rFonts w:ascii="Times New Roman" w:hAnsi="Times New Roman" w:cs="Times New Roman"/>
          <w:sz w:val="24"/>
          <w:szCs w:val="24"/>
        </w:rPr>
        <w:t xml:space="preserve">the amount of </w:t>
      </w:r>
      <w:r w:rsidR="005673F0" w:rsidRPr="00C27016">
        <w:rPr>
          <w:rFonts w:ascii="Times New Roman" w:hAnsi="Times New Roman" w:cs="Times New Roman"/>
          <w:sz w:val="24"/>
          <w:szCs w:val="24"/>
        </w:rPr>
        <w:t>CO</w:t>
      </w:r>
      <w:r w:rsidR="005673F0" w:rsidRPr="00C27016">
        <w:rPr>
          <w:rFonts w:ascii="Times New Roman" w:hAnsi="Times New Roman" w:cs="Times New Roman"/>
          <w:sz w:val="24"/>
          <w:szCs w:val="24"/>
          <w:vertAlign w:val="subscript"/>
        </w:rPr>
        <w:t>2</w:t>
      </w:r>
      <w:r w:rsidR="005673F0" w:rsidRPr="00C27016">
        <w:rPr>
          <w:rFonts w:ascii="Times New Roman" w:hAnsi="Times New Roman" w:cs="Times New Roman"/>
          <w:sz w:val="24"/>
          <w:szCs w:val="24"/>
        </w:rPr>
        <w:t xml:space="preserve"> release</w:t>
      </w:r>
      <w:r w:rsidR="009B46E2">
        <w:rPr>
          <w:rFonts w:ascii="Times New Roman" w:hAnsi="Times New Roman" w:cs="Times New Roman"/>
          <w:sz w:val="24"/>
          <w:szCs w:val="24"/>
        </w:rPr>
        <w:t>d</w:t>
      </w:r>
      <w:r w:rsidR="005673F0" w:rsidRPr="00C27016">
        <w:rPr>
          <w:rFonts w:ascii="Times New Roman" w:hAnsi="Times New Roman" w:cs="Times New Roman"/>
          <w:sz w:val="24"/>
          <w:szCs w:val="24"/>
        </w:rPr>
        <w:t xml:space="preserve"> </w:t>
      </w:r>
      <w:r w:rsidR="009B3DF3">
        <w:rPr>
          <w:rFonts w:ascii="Times New Roman" w:hAnsi="Times New Roman" w:cs="Times New Roman"/>
          <w:sz w:val="24"/>
          <w:szCs w:val="24"/>
        </w:rPr>
        <w:t xml:space="preserve">during this </w:t>
      </w:r>
      <w:r w:rsidR="009B46E2">
        <w:rPr>
          <w:rFonts w:ascii="Times New Roman" w:hAnsi="Times New Roman" w:cs="Times New Roman"/>
          <w:sz w:val="24"/>
          <w:szCs w:val="24"/>
        </w:rPr>
        <w:t xml:space="preserve">period for all of the </w:t>
      </w:r>
      <w:r w:rsidR="005673F0" w:rsidRPr="00C27016">
        <w:rPr>
          <w:rFonts w:ascii="Times New Roman" w:hAnsi="Times New Roman" w:cs="Times New Roman"/>
          <w:sz w:val="24"/>
          <w:szCs w:val="24"/>
        </w:rPr>
        <w:t xml:space="preserve">control-3 </w:t>
      </w:r>
      <w:r>
        <w:rPr>
          <w:rFonts w:ascii="Times New Roman" w:hAnsi="Times New Roman" w:cs="Times New Roman"/>
          <w:sz w:val="24"/>
          <w:szCs w:val="24"/>
        </w:rPr>
        <w:t>samples</w:t>
      </w:r>
      <w:r w:rsidR="005673F0" w:rsidRPr="00C27016">
        <w:rPr>
          <w:rFonts w:ascii="Times New Roman" w:hAnsi="Times New Roman" w:cs="Times New Roman"/>
          <w:sz w:val="24"/>
          <w:szCs w:val="24"/>
        </w:rPr>
        <w:t>.</w:t>
      </w:r>
      <w:r>
        <w:rPr>
          <w:rFonts w:ascii="Times New Roman" w:hAnsi="Times New Roman" w:cs="Times New Roman"/>
          <w:sz w:val="24"/>
          <w:szCs w:val="24"/>
        </w:rPr>
        <w:t xml:space="preserve"> Given this lack of data, and since we did not observe significant differences between rewetting pulse ∆</w:t>
      </w:r>
      <w:r w:rsidRPr="00BE685A">
        <w:rPr>
          <w:rFonts w:ascii="Times New Roman" w:hAnsi="Times New Roman" w:cs="Times New Roman"/>
          <w:sz w:val="24"/>
          <w:szCs w:val="24"/>
          <w:vertAlign w:val="superscript"/>
        </w:rPr>
        <w:t>14</w:t>
      </w:r>
      <w:r>
        <w:rPr>
          <w:rFonts w:ascii="Times New Roman" w:hAnsi="Times New Roman" w:cs="Times New Roman"/>
          <w:sz w:val="24"/>
          <w:szCs w:val="24"/>
        </w:rPr>
        <w:t>C-CO</w:t>
      </w:r>
      <w:r w:rsidRPr="00BE685A">
        <w:rPr>
          <w:rFonts w:ascii="Times New Roman" w:hAnsi="Times New Roman" w:cs="Times New Roman"/>
          <w:sz w:val="24"/>
          <w:szCs w:val="24"/>
          <w:vertAlign w:val="subscript"/>
        </w:rPr>
        <w:t>2</w:t>
      </w:r>
      <w:r>
        <w:rPr>
          <w:rFonts w:ascii="Times New Roman" w:hAnsi="Times New Roman" w:cs="Times New Roman"/>
          <w:sz w:val="24"/>
          <w:szCs w:val="24"/>
        </w:rPr>
        <w:t xml:space="preserve"> and ∆</w:t>
      </w:r>
      <w:r w:rsidRPr="00BE685A">
        <w:rPr>
          <w:rFonts w:ascii="Times New Roman" w:hAnsi="Times New Roman" w:cs="Times New Roman"/>
          <w:sz w:val="24"/>
          <w:szCs w:val="24"/>
          <w:vertAlign w:val="superscript"/>
        </w:rPr>
        <w:t>14</w:t>
      </w:r>
      <w:r>
        <w:rPr>
          <w:rFonts w:ascii="Times New Roman" w:hAnsi="Times New Roman" w:cs="Times New Roman"/>
          <w:sz w:val="24"/>
          <w:szCs w:val="24"/>
        </w:rPr>
        <w:t>C-CO</w:t>
      </w:r>
      <w:r w:rsidRPr="00BE685A">
        <w:rPr>
          <w:rFonts w:ascii="Times New Roman" w:hAnsi="Times New Roman" w:cs="Times New Roman"/>
          <w:sz w:val="24"/>
          <w:szCs w:val="24"/>
          <w:vertAlign w:val="subscript"/>
        </w:rPr>
        <w:t>2</w:t>
      </w:r>
      <w:r>
        <w:rPr>
          <w:rFonts w:ascii="Times New Roman" w:hAnsi="Times New Roman" w:cs="Times New Roman"/>
          <w:sz w:val="24"/>
          <w:szCs w:val="24"/>
        </w:rPr>
        <w:t xml:space="preserve"> collected following the second enclosure period in Experiment 1 air-dry/rewet + storage samples or in Experiment 2 samples (Results</w:t>
      </w:r>
      <w:r w:rsidR="009B3DF3">
        <w:rPr>
          <w:rFonts w:ascii="Times New Roman" w:hAnsi="Times New Roman" w:cs="Times New Roman"/>
          <w:sz w:val="24"/>
          <w:szCs w:val="24"/>
        </w:rPr>
        <w:t xml:space="preserve"> 3.2</w:t>
      </w:r>
      <w:r>
        <w:rPr>
          <w:rFonts w:ascii="Times New Roman" w:hAnsi="Times New Roman" w:cs="Times New Roman"/>
          <w:sz w:val="24"/>
          <w:szCs w:val="24"/>
        </w:rPr>
        <w:t>), we decided to conduct the storage duration treatment incubations for Experiment 3 with only</w:t>
      </w:r>
      <w:r w:rsidR="009B3DF3">
        <w:rPr>
          <w:rFonts w:ascii="Times New Roman" w:hAnsi="Times New Roman" w:cs="Times New Roman"/>
          <w:sz w:val="24"/>
          <w:szCs w:val="24"/>
        </w:rPr>
        <w:t xml:space="preserve"> a single enclosure period.</w:t>
      </w:r>
    </w:p>
    <w:p w14:paraId="2F42EA58" w14:textId="272B96EB" w:rsidR="00E04FCE" w:rsidRPr="00E04FCE" w:rsidRDefault="00307CC7" w:rsidP="005673F0">
      <w:pPr>
        <w:pStyle w:val="Normal1"/>
        <w:spacing w:before="120" w:line="360" w:lineRule="auto"/>
        <w:rPr>
          <w:rFonts w:ascii="Times New Roman" w:eastAsia="Arial Unicode MS" w:hAnsi="Times New Roman" w:cs="Times New Roman"/>
          <w:sz w:val="24"/>
          <w:szCs w:val="24"/>
        </w:rPr>
      </w:pPr>
      <w:r>
        <w:rPr>
          <w:rFonts w:ascii="Times New Roman" w:hAnsi="Times New Roman" w:cs="Times New Roman"/>
          <w:sz w:val="24"/>
          <w:szCs w:val="24"/>
        </w:rPr>
        <w:t xml:space="preserve">The </w:t>
      </w:r>
      <w:r w:rsidRPr="00C27016">
        <w:rPr>
          <w:rFonts w:ascii="Times New Roman" w:hAnsi="Times New Roman" w:cs="Times New Roman"/>
          <w:sz w:val="24"/>
          <w:szCs w:val="24"/>
        </w:rPr>
        <w:t>duration</w:t>
      </w:r>
      <w:r>
        <w:rPr>
          <w:rFonts w:ascii="Times New Roman" w:hAnsi="Times New Roman" w:cs="Times New Roman"/>
          <w:sz w:val="24"/>
          <w:szCs w:val="24"/>
        </w:rPr>
        <w:t xml:space="preserve"> of the second enclosure period</w:t>
      </w:r>
      <w:r w:rsidRPr="00C27016">
        <w:rPr>
          <w:rFonts w:ascii="Times New Roman" w:hAnsi="Times New Roman" w:cs="Times New Roman"/>
          <w:sz w:val="24"/>
          <w:szCs w:val="24"/>
        </w:rPr>
        <w:t xml:space="preserve"> and the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measurement frequency varied</w:t>
      </w:r>
      <w:r>
        <w:rPr>
          <w:rFonts w:ascii="Times New Roman" w:hAnsi="Times New Roman" w:cs="Times New Roman"/>
          <w:sz w:val="24"/>
          <w:szCs w:val="24"/>
        </w:rPr>
        <w:t xml:space="preserve"> for the control-3 incubations. However, we were able to obtain </w:t>
      </w:r>
      <w:r w:rsidR="004C284E">
        <w:rPr>
          <w:rFonts w:ascii="Times New Roman" w:hAnsi="Times New Roman" w:cs="Times New Roman"/>
          <w:sz w:val="24"/>
          <w:szCs w:val="24"/>
        </w:rPr>
        <w:t xml:space="preserve">data on the </w:t>
      </w:r>
      <w:r>
        <w:rPr>
          <w:rFonts w:ascii="Times New Roman" w:hAnsi="Times New Roman" w:cs="Times New Roman"/>
          <w:sz w:val="24"/>
          <w:szCs w:val="24"/>
        </w:rPr>
        <w:t>cumulative CO</w:t>
      </w:r>
      <w:r w:rsidRPr="004C284E">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004C284E">
        <w:rPr>
          <w:rFonts w:ascii="Times New Roman" w:hAnsi="Times New Roman" w:cs="Times New Roman"/>
          <w:sz w:val="24"/>
          <w:szCs w:val="24"/>
        </w:rPr>
        <w:t xml:space="preserve">respired during the second enclosure period and </w:t>
      </w:r>
      <w:r>
        <w:rPr>
          <w:rFonts w:ascii="Times New Roman" w:hAnsi="Times New Roman" w:cs="Times New Roman"/>
          <w:sz w:val="24"/>
          <w:szCs w:val="24"/>
        </w:rPr>
        <w:t>∆</w:t>
      </w:r>
      <w:r w:rsidRPr="00CD39D0">
        <w:rPr>
          <w:rFonts w:ascii="Times New Roman" w:hAnsi="Times New Roman" w:cs="Times New Roman"/>
          <w:sz w:val="24"/>
          <w:szCs w:val="24"/>
          <w:vertAlign w:val="superscript"/>
        </w:rPr>
        <w:t>14</w:t>
      </w:r>
      <w:r>
        <w:rPr>
          <w:rFonts w:ascii="Times New Roman" w:hAnsi="Times New Roman" w:cs="Times New Roman"/>
          <w:sz w:val="24"/>
          <w:szCs w:val="24"/>
        </w:rPr>
        <w:t>C</w:t>
      </w:r>
      <w:r w:rsidRPr="00C27016">
        <w:rPr>
          <w:rFonts w:ascii="Times New Roman" w:hAnsi="Times New Roman" w:cs="Times New Roman"/>
          <w:sz w:val="24"/>
          <w:szCs w:val="24"/>
        </w:rPr>
        <w:t xml:space="preserve"> </w:t>
      </w:r>
      <w:r w:rsidR="004C284E">
        <w:rPr>
          <w:rFonts w:ascii="Times New Roman" w:hAnsi="Times New Roman" w:cs="Times New Roman"/>
          <w:sz w:val="24"/>
          <w:szCs w:val="24"/>
        </w:rPr>
        <w:t>of this CO</w:t>
      </w:r>
      <w:r w:rsidR="004C284E" w:rsidRPr="004C284E">
        <w:rPr>
          <w:rFonts w:ascii="Times New Roman" w:hAnsi="Times New Roman" w:cs="Times New Roman"/>
          <w:sz w:val="24"/>
          <w:szCs w:val="24"/>
          <w:vertAlign w:val="subscript"/>
        </w:rPr>
        <w:t>2</w:t>
      </w:r>
      <w:r w:rsidR="004C284E">
        <w:rPr>
          <w:rFonts w:ascii="Times New Roman" w:hAnsi="Times New Roman" w:cs="Times New Roman"/>
          <w:sz w:val="24"/>
          <w:szCs w:val="24"/>
        </w:rPr>
        <w:t xml:space="preserve"> for all of the control-3 samples. For the storage duration treatment samples we sealed the incubation jars </w:t>
      </w:r>
      <w:r w:rsidR="005673F0" w:rsidRPr="00C27016">
        <w:rPr>
          <w:rFonts w:ascii="Times New Roman" w:hAnsi="Times New Roman" w:cs="Times New Roman"/>
          <w:sz w:val="24"/>
          <w:szCs w:val="24"/>
        </w:rPr>
        <w:t xml:space="preserve">following moisture adjustment </w:t>
      </w:r>
      <w:r w:rsidR="004C284E">
        <w:rPr>
          <w:rFonts w:ascii="Times New Roman" w:hAnsi="Times New Roman" w:cs="Times New Roman"/>
          <w:sz w:val="24"/>
          <w:szCs w:val="24"/>
        </w:rPr>
        <w:t>(section 2.1.3) and flushing with CO</w:t>
      </w:r>
      <w:r w:rsidR="004C284E" w:rsidRPr="004C284E">
        <w:rPr>
          <w:rFonts w:ascii="Times New Roman" w:hAnsi="Times New Roman" w:cs="Times New Roman"/>
          <w:sz w:val="24"/>
          <w:szCs w:val="24"/>
          <w:vertAlign w:val="subscript"/>
        </w:rPr>
        <w:t>2</w:t>
      </w:r>
      <w:r w:rsidR="004C284E">
        <w:rPr>
          <w:rFonts w:ascii="Times New Roman" w:hAnsi="Times New Roman" w:cs="Times New Roman"/>
          <w:sz w:val="24"/>
          <w:szCs w:val="24"/>
        </w:rPr>
        <w:t xml:space="preserve">-free air. Incubations of storage duration treatment samples </w:t>
      </w:r>
      <w:r w:rsidR="005673F0" w:rsidRPr="00C27016">
        <w:rPr>
          <w:rFonts w:ascii="Times New Roman" w:hAnsi="Times New Roman" w:cs="Times New Roman"/>
          <w:sz w:val="24"/>
          <w:szCs w:val="24"/>
        </w:rPr>
        <w:t xml:space="preserve">were allowed to </w:t>
      </w:r>
      <w:r w:rsidR="004C284E">
        <w:rPr>
          <w:rFonts w:ascii="Times New Roman" w:hAnsi="Times New Roman" w:cs="Times New Roman"/>
          <w:sz w:val="24"/>
          <w:szCs w:val="24"/>
        </w:rPr>
        <w:t>proceed</w:t>
      </w:r>
      <w:r w:rsidR="005673F0" w:rsidRPr="00C27016">
        <w:rPr>
          <w:rFonts w:ascii="Times New Roman" w:hAnsi="Times New Roman" w:cs="Times New Roman"/>
          <w:sz w:val="24"/>
          <w:szCs w:val="24"/>
        </w:rPr>
        <w:t xml:space="preserve"> until an equivalent amount of CO</w:t>
      </w:r>
      <w:r w:rsidR="005673F0" w:rsidRPr="00C27016">
        <w:rPr>
          <w:rFonts w:ascii="Times New Roman" w:hAnsi="Times New Roman" w:cs="Times New Roman"/>
          <w:sz w:val="24"/>
          <w:szCs w:val="24"/>
          <w:vertAlign w:val="subscript"/>
        </w:rPr>
        <w:t>2</w:t>
      </w:r>
      <w:r w:rsidR="005673F0" w:rsidRPr="00C27016">
        <w:rPr>
          <w:rFonts w:ascii="Times New Roman" w:hAnsi="Times New Roman" w:cs="Times New Roman"/>
          <w:sz w:val="24"/>
          <w:szCs w:val="24"/>
        </w:rPr>
        <w:t xml:space="preserve"> had been </w:t>
      </w:r>
      <w:r w:rsidR="004C284E">
        <w:rPr>
          <w:rFonts w:ascii="Times New Roman" w:hAnsi="Times New Roman" w:cs="Times New Roman"/>
          <w:sz w:val="24"/>
          <w:szCs w:val="24"/>
        </w:rPr>
        <w:t>released</w:t>
      </w:r>
      <w:r w:rsidR="005673F0" w:rsidRPr="00C27016">
        <w:rPr>
          <w:rFonts w:ascii="Times New Roman" w:hAnsi="Times New Roman" w:cs="Times New Roman"/>
          <w:sz w:val="24"/>
          <w:szCs w:val="24"/>
        </w:rPr>
        <w:t xml:space="preserve"> (mg CO</w:t>
      </w:r>
      <w:r w:rsidR="005673F0" w:rsidRPr="00C27016">
        <w:rPr>
          <w:rFonts w:ascii="Times New Roman" w:hAnsi="Times New Roman" w:cs="Times New Roman"/>
          <w:sz w:val="24"/>
          <w:szCs w:val="24"/>
          <w:vertAlign w:val="subscript"/>
        </w:rPr>
        <w:t>2</w:t>
      </w:r>
      <w:r w:rsidR="005673F0" w:rsidRPr="00C27016">
        <w:rPr>
          <w:rFonts w:ascii="Times New Roman" w:hAnsi="Times New Roman" w:cs="Times New Roman"/>
          <w:sz w:val="24"/>
          <w:szCs w:val="24"/>
        </w:rPr>
        <w:t xml:space="preserve"> g soil C</w:t>
      </w:r>
      <w:r w:rsidR="005673F0" w:rsidRPr="00C27016">
        <w:rPr>
          <w:rFonts w:ascii="Times New Roman" w:hAnsi="Times New Roman" w:cs="Times New Roman"/>
          <w:sz w:val="24"/>
          <w:szCs w:val="24"/>
          <w:vertAlign w:val="superscript"/>
        </w:rPr>
        <w:t>-1</w:t>
      </w:r>
      <w:r w:rsidR="005673F0" w:rsidRPr="00C27016">
        <w:rPr>
          <w:rFonts w:ascii="Times New Roman" w:hAnsi="Times New Roman" w:cs="Times New Roman"/>
          <w:sz w:val="24"/>
          <w:szCs w:val="24"/>
        </w:rPr>
        <w:t xml:space="preserve">) as during the </w:t>
      </w:r>
      <w:r>
        <w:rPr>
          <w:rFonts w:ascii="Times New Roman" w:hAnsi="Times New Roman" w:cs="Times New Roman"/>
          <w:sz w:val="24"/>
          <w:szCs w:val="24"/>
        </w:rPr>
        <w:t>second enclosure</w:t>
      </w:r>
      <w:r w:rsidR="005673F0" w:rsidRPr="00C27016">
        <w:rPr>
          <w:rFonts w:ascii="Times New Roman" w:hAnsi="Times New Roman" w:cs="Times New Roman"/>
          <w:sz w:val="24"/>
          <w:szCs w:val="24"/>
        </w:rPr>
        <w:t xml:space="preserve"> period of the co</w:t>
      </w:r>
      <w:r w:rsidR="004C284E">
        <w:rPr>
          <w:rFonts w:ascii="Times New Roman" w:hAnsi="Times New Roman" w:cs="Times New Roman"/>
          <w:sz w:val="24"/>
          <w:szCs w:val="24"/>
        </w:rPr>
        <w:t>rresponding control-3 samples. We measured h</w:t>
      </w:r>
      <w:r w:rsidR="005673F0" w:rsidRPr="00C27016">
        <w:rPr>
          <w:rFonts w:ascii="Times New Roman" w:hAnsi="Times New Roman" w:cs="Times New Roman"/>
          <w:sz w:val="24"/>
          <w:szCs w:val="24"/>
        </w:rPr>
        <w:t>eadspace CO</w:t>
      </w:r>
      <w:r w:rsidR="005673F0" w:rsidRPr="00C27016">
        <w:rPr>
          <w:rFonts w:ascii="Times New Roman" w:hAnsi="Times New Roman" w:cs="Times New Roman"/>
          <w:sz w:val="24"/>
          <w:szCs w:val="24"/>
          <w:vertAlign w:val="subscript"/>
        </w:rPr>
        <w:t>2</w:t>
      </w:r>
      <w:r w:rsidR="005673F0" w:rsidRPr="00C27016">
        <w:rPr>
          <w:rFonts w:ascii="Times New Roman" w:hAnsi="Times New Roman" w:cs="Times New Roman"/>
          <w:sz w:val="24"/>
          <w:szCs w:val="24"/>
        </w:rPr>
        <w:t xml:space="preserve"> concentrations every three days for the first two weeks of the</w:t>
      </w:r>
      <w:r>
        <w:rPr>
          <w:rFonts w:ascii="Times New Roman" w:hAnsi="Times New Roman" w:cs="Times New Roman"/>
          <w:sz w:val="24"/>
          <w:szCs w:val="24"/>
        </w:rPr>
        <w:t xml:space="preserve"> storage duration</w:t>
      </w:r>
      <w:r w:rsidR="005673F0" w:rsidRPr="00C27016">
        <w:rPr>
          <w:rFonts w:ascii="Times New Roman" w:hAnsi="Times New Roman" w:cs="Times New Roman"/>
          <w:sz w:val="24"/>
          <w:szCs w:val="24"/>
        </w:rPr>
        <w:t xml:space="preserve"> treatment sample incubations, and weekly as needed thereafter.</w:t>
      </w:r>
      <w:r w:rsidR="004C284E">
        <w:rPr>
          <w:rFonts w:ascii="Times New Roman" w:hAnsi="Times New Roman" w:cs="Times New Roman"/>
          <w:sz w:val="24"/>
          <w:szCs w:val="24"/>
        </w:rPr>
        <w:t xml:space="preserve"> Aliquots of jar atmosphere were collected once the samples reached target CO</w:t>
      </w:r>
      <w:r w:rsidR="004C284E" w:rsidRPr="004C284E">
        <w:rPr>
          <w:rFonts w:ascii="Times New Roman" w:hAnsi="Times New Roman" w:cs="Times New Roman"/>
          <w:sz w:val="24"/>
          <w:szCs w:val="24"/>
          <w:vertAlign w:val="subscript"/>
        </w:rPr>
        <w:t>2</w:t>
      </w:r>
      <w:r w:rsidR="004C284E">
        <w:rPr>
          <w:rFonts w:ascii="Times New Roman" w:hAnsi="Times New Roman" w:cs="Times New Roman"/>
          <w:sz w:val="24"/>
          <w:szCs w:val="24"/>
        </w:rPr>
        <w:t xml:space="preserve"> concentrations and subsequently analyzed for </w:t>
      </w:r>
      <w:r w:rsidR="004C284E" w:rsidRPr="00C27016">
        <w:rPr>
          <w:rFonts w:ascii="Times New Roman" w:eastAsia="Arial Unicode MS" w:hAnsi="Times New Roman" w:cs="Times New Roman"/>
          <w:sz w:val="24"/>
          <w:szCs w:val="24"/>
        </w:rPr>
        <w:t>∆</w:t>
      </w:r>
      <w:r w:rsidR="004C284E" w:rsidRPr="00C27016">
        <w:rPr>
          <w:rFonts w:ascii="Times New Roman" w:hAnsi="Times New Roman" w:cs="Times New Roman"/>
          <w:sz w:val="24"/>
          <w:szCs w:val="24"/>
          <w:vertAlign w:val="superscript"/>
        </w:rPr>
        <w:t>14</w:t>
      </w:r>
      <w:r w:rsidR="004C284E" w:rsidRPr="00C27016">
        <w:rPr>
          <w:rFonts w:ascii="Times New Roman" w:hAnsi="Times New Roman" w:cs="Times New Roman"/>
          <w:sz w:val="24"/>
          <w:szCs w:val="24"/>
        </w:rPr>
        <w:t>C</w:t>
      </w:r>
      <w:r w:rsidR="004C284E">
        <w:rPr>
          <w:rFonts w:ascii="Times New Roman" w:eastAsia="Arial Unicode MS" w:hAnsi="Times New Roman" w:cs="Times New Roman"/>
          <w:sz w:val="24"/>
          <w:szCs w:val="24"/>
        </w:rPr>
        <w:t>.</w:t>
      </w:r>
      <w:r w:rsidR="00E04FCE">
        <w:rPr>
          <w:rFonts w:ascii="Times New Roman" w:eastAsia="Arial Unicode MS" w:hAnsi="Times New Roman" w:cs="Times New Roman"/>
          <w:sz w:val="24"/>
          <w:szCs w:val="24"/>
        </w:rPr>
        <w:t xml:space="preserve"> </w:t>
      </w:r>
      <w:r w:rsidR="008D5A07">
        <w:rPr>
          <w:rFonts w:ascii="Times New Roman" w:hAnsi="Times New Roman" w:cs="Times New Roman"/>
          <w:sz w:val="24"/>
          <w:szCs w:val="24"/>
        </w:rPr>
        <w:t>We conducted the majority (n = 1</w:t>
      </w:r>
      <w:r w:rsidR="00E04FCE">
        <w:rPr>
          <w:rFonts w:ascii="Times New Roman" w:hAnsi="Times New Roman" w:cs="Times New Roman"/>
          <w:sz w:val="24"/>
          <w:szCs w:val="24"/>
        </w:rPr>
        <w:t xml:space="preserve">6) of the Experiment 3 air-dry/rewet + storage incubations in 2018 at the </w:t>
      </w:r>
      <w:r w:rsidR="00E04FCE" w:rsidRPr="00C27016">
        <w:rPr>
          <w:rFonts w:ascii="Times New Roman" w:hAnsi="Times New Roman" w:cs="Times New Roman"/>
          <w:sz w:val="24"/>
          <w:szCs w:val="24"/>
        </w:rPr>
        <w:t xml:space="preserve">Max Planck Institute for Biogeochemistry (MPI-BGC) </w:t>
      </w:r>
      <w:r w:rsidR="00E04FCE">
        <w:rPr>
          <w:rFonts w:ascii="Times New Roman" w:hAnsi="Times New Roman" w:cs="Times New Roman"/>
          <w:sz w:val="24"/>
          <w:szCs w:val="24"/>
        </w:rPr>
        <w:t xml:space="preserve">but </w:t>
      </w:r>
      <w:r w:rsidR="008D5A07">
        <w:rPr>
          <w:rFonts w:ascii="Times New Roman" w:hAnsi="Times New Roman" w:cs="Times New Roman"/>
          <w:sz w:val="24"/>
          <w:szCs w:val="24"/>
        </w:rPr>
        <w:t>the remainder</w:t>
      </w:r>
      <w:r w:rsidR="00E04FCE">
        <w:rPr>
          <w:rFonts w:ascii="Times New Roman" w:hAnsi="Times New Roman" w:cs="Times New Roman"/>
          <w:sz w:val="24"/>
          <w:szCs w:val="24"/>
        </w:rPr>
        <w:t xml:space="preserve"> (n = 12) of the treatment sample incubations were performed in 2009 at the University of California Irvine (UCI) (Supplementary Table 1).</w:t>
      </w:r>
    </w:p>
    <w:p w14:paraId="6361E2BB" w14:textId="6147944C" w:rsidR="000B53C1" w:rsidRDefault="000B53C1" w:rsidP="000B53C1">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ab/>
        <w:t>2.4 Soil analyses</w:t>
      </w:r>
    </w:p>
    <w:p w14:paraId="597925A5" w14:textId="30ABD317" w:rsidR="000B53C1" w:rsidRDefault="000B53C1" w:rsidP="005673F0">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Carbon and nitrogen contents of Experiment 1 and Experiment 2 samples were </w:t>
      </w:r>
      <w:r w:rsidRPr="00C27016">
        <w:rPr>
          <w:rFonts w:ascii="Times New Roman" w:hAnsi="Times New Roman" w:cs="Times New Roman"/>
          <w:sz w:val="24"/>
          <w:szCs w:val="24"/>
        </w:rPr>
        <w:t>determined</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by dry combustion in a CN analyzer (Vario Max, Elementar Analysensysteme GmbH, Hanau, Germany) following fine grinding with a ball-mill (Retsch MM400, Hanau, Germany) using material from the air-dried sample splits. </w:t>
      </w:r>
      <w:r>
        <w:rPr>
          <w:rFonts w:ascii="Times New Roman" w:hAnsi="Times New Roman" w:cs="Times New Roman"/>
          <w:sz w:val="24"/>
          <w:szCs w:val="24"/>
        </w:rPr>
        <w:t>Nutrient</w:t>
      </w:r>
      <w:r w:rsidRPr="00C27016">
        <w:rPr>
          <w:rFonts w:ascii="Times New Roman" w:hAnsi="Times New Roman" w:cs="Times New Roman"/>
          <w:sz w:val="24"/>
          <w:szCs w:val="24"/>
        </w:rPr>
        <w:t xml:space="preserve"> contents were then corrected for residual moisture content. Additional analyses performed on the air-dried soils for Experiment 1 </w:t>
      </w:r>
      <w:r>
        <w:rPr>
          <w:rFonts w:ascii="Times New Roman" w:hAnsi="Times New Roman" w:cs="Times New Roman"/>
          <w:sz w:val="24"/>
          <w:szCs w:val="24"/>
        </w:rPr>
        <w:t>samples</w:t>
      </w:r>
      <w:r w:rsidRPr="00C27016">
        <w:rPr>
          <w:rFonts w:ascii="Times New Roman" w:hAnsi="Times New Roman" w:cs="Times New Roman"/>
          <w:sz w:val="24"/>
          <w:szCs w:val="24"/>
        </w:rPr>
        <w:t xml:space="preserve"> included texture (pipette method following removal of organic matter, Schlichting et al., 1995) and pH (1:2.5 mixture of soil and 0.01 M CaCl</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sidR="00153A8E">
        <w:rPr>
          <w:rFonts w:ascii="Times New Roman" w:hAnsi="Times New Roman" w:cs="Times New Roman"/>
          <w:sz w:val="24"/>
          <w:szCs w:val="24"/>
        </w:rPr>
        <w:t xml:space="preserve">Data on the soil properties for Experiment 3 samples were obtained from the original investigators (Gaudinski et al. 2000; Cisneros et al., 2005; </w:t>
      </w:r>
      <w:r w:rsidR="00E04FCE">
        <w:rPr>
          <w:rFonts w:ascii="Times New Roman" w:hAnsi="Times New Roman" w:cs="Times New Roman"/>
          <w:sz w:val="24"/>
          <w:szCs w:val="24"/>
        </w:rPr>
        <w:t>Hopkins et al. 2012; Koarashi et al. 2012; Solly et al. 2014</w:t>
      </w:r>
      <w:r w:rsidR="00153A8E">
        <w:rPr>
          <w:rFonts w:ascii="Times New Roman" w:hAnsi="Times New Roman" w:cs="Times New Roman"/>
          <w:sz w:val="24"/>
          <w:szCs w:val="24"/>
        </w:rPr>
        <w:t>)</w:t>
      </w:r>
      <w:r w:rsidR="00C672B2">
        <w:rPr>
          <w:rFonts w:ascii="Times New Roman" w:hAnsi="Times New Roman" w:cs="Times New Roman"/>
          <w:sz w:val="24"/>
          <w:szCs w:val="24"/>
        </w:rPr>
        <w:t xml:space="preserve"> (Table 1)</w:t>
      </w:r>
      <w:r w:rsidR="00153A8E">
        <w:rPr>
          <w:rFonts w:ascii="Times New Roman" w:hAnsi="Times New Roman" w:cs="Times New Roman"/>
          <w:sz w:val="24"/>
          <w:szCs w:val="24"/>
        </w:rPr>
        <w:t>.</w:t>
      </w:r>
    </w:p>
    <w:p w14:paraId="13640FCA" w14:textId="77777777" w:rsidR="00C94ED6" w:rsidRPr="00C27016" w:rsidRDefault="00C94ED6" w:rsidP="00C94ED6">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2.5</w:t>
      </w:r>
      <w:r w:rsidRPr="00C27016">
        <w:rPr>
          <w:rFonts w:ascii="Times New Roman" w:hAnsi="Times New Roman" w:cs="Times New Roman"/>
          <w:sz w:val="24"/>
          <w:szCs w:val="24"/>
        </w:rPr>
        <w:t xml:space="preserve"> Isotopic analyses</w:t>
      </w:r>
    </w:p>
    <w:p w14:paraId="4CC91A9F" w14:textId="0F82C8F3" w:rsidR="00C94ED6" w:rsidRDefault="00C94ED6" w:rsidP="005673F0">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For all three experiments, we separated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from the gas samples collected from incubation jar headspace using a vacuum line, with splits of the purified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analyzed for both δ</w:t>
      </w:r>
      <w:r w:rsidRPr="00C27016">
        <w:rPr>
          <w:rFonts w:ascii="Times New Roman" w:hAnsi="Times New Roman" w:cs="Times New Roman"/>
          <w:sz w:val="24"/>
          <w:szCs w:val="24"/>
          <w:vertAlign w:val="superscript"/>
        </w:rPr>
        <w:t>13</w:t>
      </w:r>
      <w:r w:rsidRPr="00C27016">
        <w:rPr>
          <w:rFonts w:ascii="Times New Roman" w:eastAsia="Arial Unicode MS" w:hAnsi="Times New Roman" w:cs="Times New Roman"/>
          <w:sz w:val="24"/>
          <w:szCs w:val="24"/>
        </w:rPr>
        <w:t>C and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Radiocarbon analyses for Experiments 1, 2, and </w:t>
      </w:r>
      <w:r>
        <w:rPr>
          <w:rFonts w:ascii="Times New Roman" w:hAnsi="Times New Roman" w:cs="Times New Roman"/>
          <w:sz w:val="24"/>
          <w:szCs w:val="24"/>
        </w:rPr>
        <w:t>the storage duration samples</w:t>
      </w:r>
      <w:r w:rsidRPr="00C27016">
        <w:rPr>
          <w:rFonts w:ascii="Times New Roman" w:hAnsi="Times New Roman" w:cs="Times New Roman"/>
          <w:sz w:val="24"/>
          <w:szCs w:val="24"/>
        </w:rPr>
        <w:t xml:space="preserve"> from Experiment 3</w:t>
      </w:r>
      <w:r>
        <w:rPr>
          <w:rFonts w:ascii="Times New Roman" w:hAnsi="Times New Roman" w:cs="Times New Roman"/>
          <w:sz w:val="24"/>
          <w:szCs w:val="24"/>
        </w:rPr>
        <w:t xml:space="preserve"> incubated in 2018</w:t>
      </w:r>
      <w:r w:rsidRPr="00C27016">
        <w:rPr>
          <w:rFonts w:ascii="Times New Roman" w:hAnsi="Times New Roman" w:cs="Times New Roman"/>
          <w:sz w:val="24"/>
          <w:szCs w:val="24"/>
        </w:rPr>
        <w:t xml:space="preserve"> were conducted at the </w:t>
      </w:r>
      <w:r>
        <w:rPr>
          <w:rFonts w:ascii="Times New Roman" w:hAnsi="Times New Roman" w:cs="Times New Roman"/>
          <w:sz w:val="24"/>
          <w:szCs w:val="24"/>
        </w:rPr>
        <w:t>MPI-BGC</w:t>
      </w:r>
      <w:r w:rsidRPr="00C27016">
        <w:rPr>
          <w:rFonts w:ascii="Times New Roman" w:hAnsi="Times New Roman" w:cs="Times New Roman"/>
          <w:sz w:val="24"/>
          <w:szCs w:val="24"/>
        </w:rPr>
        <w:t xml:space="preserve"> accelerator mass spectrometer facility</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{"citationItems":[{"id":"ITEM-1","itemData":{"DOI":"10.2458/azu_js_rc.55.16350","ISSN":"00338222","abstract":"The Jena Analysis Code (JAC) was developed at the Jena radiocarbon laboratory for the analysis of all 14C accelerator mass spectrometry (AMS) data measured there. The fundamental principles and algorithms of JAC are presented here, along with the equally important checking procedures. JAC places emphasis on the uncertainty due to background subtraction and other contributions to the statistical uncertainty of 14C events. DOI: 10.2458/azu_js_rc.55.16350","author":[{"dropping-particle":"","family":"Steinhof","given":"Axel","non-dropping-particle":"","parse-names":false,"suffix":""}],"container-title":"Radiocarbon","id":"ITEM-1","issue":"3–4","issued":{"date-parts":[["2013"]]},"page":"282-293","title":"Data Analysis at the Jena 14C Laboratory","type":"article-journal","volume":"55"},"uris":["http://www.mendeley.com/documents/?uuid=3ca3fcd9-6769-449a-9bde-ebb14594cc81"]}],"mendeley":{"formattedCitation":"(Steinhof, 2013)","plainTextFormattedCitation":"(Steinhof, 2013)","previouslyFormattedCitation":"(Steinhof, 2013)"},"properties":{"noteIndex":0},"schema":"https://github.com/citation-style-language/schema/raw/master/csl-citation.json"}</w:instrText>
      </w:r>
      <w:r>
        <w:rPr>
          <w:rFonts w:ascii="Times New Roman" w:hAnsi="Times New Roman" w:cs="Times New Roman"/>
          <w:sz w:val="24"/>
          <w:szCs w:val="24"/>
        </w:rPr>
        <w:fldChar w:fldCharType="separate"/>
      </w:r>
      <w:r w:rsidRPr="005238BD">
        <w:rPr>
          <w:rFonts w:ascii="Times New Roman" w:hAnsi="Times New Roman" w:cs="Times New Roman"/>
          <w:noProof/>
          <w:sz w:val="24"/>
          <w:szCs w:val="24"/>
        </w:rPr>
        <w:t>(Steinhof, 2013)</w:t>
      </w:r>
      <w:r>
        <w:rPr>
          <w:rFonts w:ascii="Times New Roman" w:hAnsi="Times New Roman" w:cs="Times New Roman"/>
          <w:sz w:val="24"/>
          <w:szCs w:val="24"/>
        </w:rPr>
        <w:fldChar w:fldCharType="end"/>
      </w:r>
      <w:r>
        <w:rPr>
          <w:rFonts w:ascii="Times New Roman" w:hAnsi="Times New Roman" w:cs="Times New Roman"/>
          <w:sz w:val="24"/>
          <w:szCs w:val="24"/>
        </w:rPr>
        <w:t xml:space="preserve">. All other </w:t>
      </w:r>
      <w:r w:rsidRPr="00C27016">
        <w:rPr>
          <w:rFonts w:ascii="Times New Roman" w:hAnsi="Times New Roman" w:cs="Times New Roman"/>
          <w:sz w:val="24"/>
          <w:szCs w:val="24"/>
        </w:rPr>
        <w:t>samples were analyzed at the UCI</w:t>
      </w:r>
      <w:r w:rsidRPr="00C27016">
        <w:rPr>
          <w:rFonts w:ascii="Times New Roman" w:eastAsia="Arial Unicode MS" w:hAnsi="Times New Roman" w:cs="Times New Roman"/>
          <w:sz w:val="24"/>
          <w:szCs w:val="24"/>
        </w:rPr>
        <w:t xml:space="preserve"> W.M. Keck Facility for Accelerator Mass Spectrometry</w:t>
      </w:r>
      <w:r>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 xml:space="preserve">ADDIN CSL_CITATION {"citationItems":[{"id":"ITEM-1","itemData":{"DOI":"10.1016/j.nimb.2007.01.175","ISSN":"0168583X","abstract":"The sealed tube zinc reduction method for converting CO2 to graphite for AMS 14C measurements was originally developed for rapid production of graphite in biomedical tracer experiments. The method was usually thought to have low precision and a high background. We have modified the zinc reduction method originally outlined in Vogel [J.S. Vogel, Radiocarbon 34 (3) (1992) 344] by carefully controlling the amounts of reagents (zinc, titanium hydride and Co or Fe catalyst) and now routinely obtain a precision of 2-3‰ and a relatively low background of </w:instrText>
      </w:r>
      <w:r>
        <w:rPr>
          <w:rFonts w:ascii="Monaco" w:eastAsia="Arial Unicode MS" w:hAnsi="Monaco" w:cs="Monaco"/>
          <w:sz w:val="24"/>
          <w:szCs w:val="24"/>
        </w:rPr>
        <w:instrText>∼</w:instrText>
      </w:r>
      <w:r>
        <w:rPr>
          <w:rFonts w:ascii="Times New Roman" w:eastAsia="Arial Unicode MS" w:hAnsi="Times New Roman" w:cs="Times New Roman"/>
          <w:sz w:val="24"/>
          <w:szCs w:val="24"/>
        </w:rPr>
        <w:instrText>50,000 14C years when analyzing for 14C at the Keck Carbon Cycle AMS facility at UC Irvine. Fractionation of carbon isotopes does occur during graphitization and depends on the graphitization yield, which can be affected by the amounts of reagents used and other conditions. The δ13C of our zinc-reduced graphite is usually lighter by 2-3‰ than the CO2 from which it is made, but this is corrected for in our system by simultaneous measurement of 13C/12C along with 14C/12C by the spectrometer. This method is suitable for 14C enriched samples, as well as natural abundance 14C samples, especially those with modern 14C contents. With improved precision and background, we believe that many disciplines can benefit from this technique because of its low cost and rapid production of graphite.","author":[{"dropping-particle":"","family":"Xu","given":"Xiaomei","non-dropping-particle":"","parse-names":false,"suffix":""},{"dropping-particle":"","family":"Trumbore","given":"Susan E.","non-dropping-particle":"","parse-names":false,"suffix":""},{"dropping-particle":"","family":"Zheng","given":"Shuhui","non-dropping-particle":"","parse-names":false,"suffix":""},{"dropping-particle":"","family":"Southon","given":"John R.","non-dropping-particle":"","parse-names":false,"suffix":""},{"dropping-particle":"","family":"McDuffee","given":"Kelsey E.","non-dropping-particle":"","parse-names":false,"suffix":""},{"dropping-particle":"","family":"Luttgen","given":"Madelyn","non-dropping-particle":"","parse-names":false,"suffix":""},{"dropping-particle":"","family":"Liu","given":"Julia C.","non-dropping-particle":"","parse-names":false,"suffix":""}],"container-title":"Nuclear Instruments and Methods in Physics Research, Section B: Beam Interactions with Materials and Atoms","id":"ITEM-1","issue":"1","issued":{"date-parts":[["2007"]]},"page":"320-329","title":"Modifying a sealed tube zinc reduction method for preparation of AMS graphite targets: Reducing background and attaining high precision","type":"article-journal","volume":"259"},"uris":["http://www.mendeley.com/documents/?uuid=0fa27f09-1131-4242-872b-49eae3ae5693"]}],"mendeley":{"formattedCitation":"(Xu et al., 2007)","plainTextFormattedCitation":"(Xu et al., 2007)","previouslyFormattedCitation":"(Xu et al., 2007)"},"properties":{"noteIndex":0},"schema":"https://github.com/citation-style-language/schema/raw/master/csl-citation.json"}</w:instrText>
      </w:r>
      <w:r>
        <w:rPr>
          <w:rFonts w:ascii="Times New Roman" w:eastAsia="Arial Unicode MS" w:hAnsi="Times New Roman" w:cs="Times New Roman"/>
          <w:sz w:val="24"/>
          <w:szCs w:val="24"/>
        </w:rPr>
        <w:fldChar w:fldCharType="separate"/>
      </w:r>
      <w:r w:rsidRPr="005238BD">
        <w:rPr>
          <w:rFonts w:ascii="Times New Roman" w:eastAsia="Arial Unicode MS" w:hAnsi="Times New Roman" w:cs="Times New Roman"/>
          <w:noProof/>
          <w:sz w:val="24"/>
          <w:szCs w:val="24"/>
        </w:rPr>
        <w:t>(Xu et al., 2007)</w:t>
      </w:r>
      <w:r>
        <w:rPr>
          <w:rFonts w:ascii="Times New Roman" w:eastAsia="Arial Unicode MS" w:hAnsi="Times New Roman" w:cs="Times New Roman"/>
          <w:sz w:val="24"/>
          <w:szCs w:val="24"/>
        </w:rPr>
        <w:fldChar w:fldCharType="end"/>
      </w:r>
      <w:r>
        <w:rPr>
          <w:rFonts w:ascii="Times New Roman" w:eastAsia="Arial Unicode MS" w:hAnsi="Times New Roman" w:cs="Times New Roman"/>
          <w:sz w:val="24"/>
          <w:szCs w:val="24"/>
        </w:rPr>
        <w:t xml:space="preserve">. </w:t>
      </w:r>
      <w:r w:rsidRPr="00C27016">
        <w:rPr>
          <w:rFonts w:ascii="Times New Roman" w:eastAsia="Arial Unicode MS" w:hAnsi="Times New Roman" w:cs="Times New Roman"/>
          <w:sz w:val="24"/>
          <w:szCs w:val="24"/>
        </w:rPr>
        <w:t>Radiocarbon values are reported in units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defined as the deviation in parts per thousand of the ratio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to </w:t>
      </w:r>
      <w:r w:rsidRPr="00C27016">
        <w:rPr>
          <w:rFonts w:ascii="Times New Roman" w:hAnsi="Times New Roman" w:cs="Times New Roman"/>
          <w:sz w:val="24"/>
          <w:szCs w:val="24"/>
          <w:vertAlign w:val="superscript"/>
        </w:rPr>
        <w:t>12</w:t>
      </w:r>
      <w:r w:rsidRPr="00C27016">
        <w:rPr>
          <w:rFonts w:ascii="Times New Roman" w:hAnsi="Times New Roman" w:cs="Times New Roman"/>
          <w:sz w:val="24"/>
          <w:szCs w:val="24"/>
        </w:rPr>
        <w:t xml:space="preserve">C from that of the oxalic acid standard measured in 1950. In order to account for potential mass-dependent fractionation effects,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C27016">
        <w:rPr>
          <w:rFonts w:ascii="Times New Roman" w:hAnsi="Times New Roman" w:cs="Times New Roman"/>
          <w:sz w:val="24"/>
          <w:szCs w:val="24"/>
          <w:vertAlign w:val="superscript"/>
        </w:rPr>
        <w:t>12</w:t>
      </w:r>
      <w:r w:rsidRPr="00C27016">
        <w:rPr>
          <w:rFonts w:ascii="Times New Roman" w:hAnsi="Times New Roman" w:cs="Times New Roman"/>
          <w:sz w:val="24"/>
          <w:szCs w:val="24"/>
        </w:rPr>
        <w:t xml:space="preserve">C ratio of all samples </w:t>
      </w:r>
      <w:r>
        <w:rPr>
          <w:rFonts w:ascii="Times New Roman" w:hAnsi="Times New Roman" w:cs="Times New Roman"/>
          <w:sz w:val="24"/>
          <w:szCs w:val="24"/>
        </w:rPr>
        <w:t>is</w:t>
      </w:r>
      <w:r w:rsidRPr="00C27016">
        <w:rPr>
          <w:rFonts w:ascii="Times New Roman" w:hAnsi="Times New Roman" w:cs="Times New Roman"/>
          <w:sz w:val="24"/>
          <w:szCs w:val="24"/>
        </w:rPr>
        <w:t xml:space="preserve"> corrected to a common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value of -25 per mil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10.1017/S0033822200003672","author":[{"dropping-particle":"","family":"Stuiver","given":"M.","non-dropping-particle":"","parse-names":false,"suffix":""},{"dropping-particle":"","family":"Polach","given":"H.A.","non-dropping-particle":"","parse-names":false,"suffix":""}],"container-title":"Radiocarbon","id":"ITEM-1","issue":"3","issued":{"date-parts":[["1977"]]},"page":"355-363","title":"Reporting of 14C Data","type":"article-journal","volume":"19"},"uris":["http://www.mendeley.com/documents/?uuid=39f19fb7-8011-4728-8e04-72326dc39225","http://www.mendeley.com/documents/?uuid=ce53dfcf-97a6-4166-9287-7b47b2c453f3"]}],"mendeley":{"formattedCitation":"(Stuiver &amp; Polach, 1977)","plainTextFormattedCitation":"(Stuiver &amp; Polach, 1977)","previouslyFormattedCitation":"(Stuiver &amp; Polach, 1977)"},"properties":{"noteIndex":0},"schema":"https://github.com/citation-style-language/schema/raw/master/csl-citation.json"}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(Stuiver &amp; Polach, 1977)</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Pr>
          <w:rFonts w:ascii="Times New Roman" w:hAnsi="Times New Roman" w:cs="Times New Roman"/>
          <w:sz w:val="24"/>
          <w:szCs w:val="24"/>
        </w:rPr>
        <w:t xml:space="preserve"> Although the effect was small, ∆</w:t>
      </w:r>
      <w:r w:rsidRPr="004E0A9E">
        <w:rPr>
          <w:rFonts w:ascii="Times New Roman" w:hAnsi="Times New Roman" w:cs="Times New Roman"/>
          <w:sz w:val="24"/>
          <w:szCs w:val="24"/>
          <w:vertAlign w:val="superscript"/>
        </w:rPr>
        <w:t>14</w:t>
      </w:r>
      <w:r>
        <w:rPr>
          <w:rFonts w:ascii="Times New Roman" w:hAnsi="Times New Roman" w:cs="Times New Roman"/>
          <w:sz w:val="24"/>
          <w:szCs w:val="24"/>
        </w:rPr>
        <w:t>C data from air-dry/rewet + storage samples (Experiments 1 and 3) were also corrected for depletion due to radioactive decay that occurred during storage.</w:t>
      </w:r>
      <w:r w:rsidRPr="00C27016">
        <w:rPr>
          <w:rFonts w:ascii="Times New Roman" w:eastAsia="Arial Unicode MS" w:hAnsi="Times New Roman" w:cs="Times New Roman"/>
          <w:sz w:val="24"/>
          <w:szCs w:val="24"/>
        </w:rPr>
        <w:t xml:space="preserve"> An additional unit used in this study is ∆∆</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C, which is defined as the difference between the ∆</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 xml:space="preserve">C measured in a sample and that of the atmosphere in the year of sampling. </w:t>
      </w:r>
    </w:p>
    <w:p w14:paraId="0D58D40F" w14:textId="77777777" w:rsidR="00C94ED6" w:rsidRPr="00C27016" w:rsidRDefault="00C94ED6" w:rsidP="00C94ED6">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As with the radiocarbon analyses, measurements of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for Experiments 1, 2, and </w:t>
      </w:r>
      <w:r>
        <w:rPr>
          <w:rFonts w:ascii="Times New Roman" w:hAnsi="Times New Roman" w:cs="Times New Roman"/>
          <w:sz w:val="24"/>
          <w:szCs w:val="24"/>
        </w:rPr>
        <w:t>the storage duration samples from Experiment 3</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incubated in 2018 </w:t>
      </w:r>
      <w:r w:rsidRPr="00C27016">
        <w:rPr>
          <w:rFonts w:ascii="Times New Roman" w:hAnsi="Times New Roman" w:cs="Times New Roman"/>
          <w:sz w:val="24"/>
          <w:szCs w:val="24"/>
        </w:rPr>
        <w:t>were made at MPI-BGC (</w:t>
      </w:r>
      <w:r>
        <w:t>Delta</w:t>
      </w:r>
      <w:r>
        <w:rPr>
          <w:vertAlign w:val="superscript"/>
        </w:rPr>
        <w:t>+</w:t>
      </w:r>
      <w:r>
        <w:t>XL</w:t>
      </w:r>
      <w:r w:rsidRPr="00FC33C6">
        <w:rPr>
          <w:rFonts w:ascii="Times" w:hAnsi="Times"/>
        </w:rPr>
        <w:t xml:space="preserve">, </w:t>
      </w:r>
      <w:r>
        <w:t>Thermo Finnigan, Bremen, Germany</w:t>
      </w:r>
      <w:r w:rsidRPr="00C27016">
        <w:rPr>
          <w:rFonts w:ascii="Times New Roman" w:hAnsi="Times New Roman" w:cs="Times New Roman"/>
          <w:sz w:val="24"/>
          <w:szCs w:val="24"/>
        </w:rPr>
        <w:t>), while control</w:t>
      </w:r>
      <w:r>
        <w:rPr>
          <w:rFonts w:ascii="Times New Roman" w:hAnsi="Times New Roman" w:cs="Times New Roman"/>
          <w:sz w:val="24"/>
          <w:szCs w:val="24"/>
        </w:rPr>
        <w:t xml:space="preserve">-3 samples </w:t>
      </w:r>
      <w:r w:rsidRPr="00C27016">
        <w:rPr>
          <w:rFonts w:ascii="Times New Roman" w:hAnsi="Times New Roman" w:cs="Times New Roman"/>
          <w:sz w:val="24"/>
          <w:szCs w:val="24"/>
        </w:rPr>
        <w:t>were measured at UCI (Thermo Delta Plus</w:t>
      </w:r>
      <w:r w:rsidRPr="00403CE4">
        <w:rPr>
          <w:rFonts w:ascii="Times New Roman" w:hAnsi="Times New Roman" w:cs="Times New Roman"/>
          <w:sz w:val="24"/>
          <w:szCs w:val="24"/>
        </w:rPr>
        <w:t xml:space="preserve">, </w:t>
      </w:r>
      <w:r w:rsidRPr="00AA71A3">
        <w:rPr>
          <w:rFonts w:ascii="Times New Roman" w:eastAsia="Times New Roman" w:hAnsi="Times New Roman" w:cs="Times New Roman"/>
          <w:sz w:val="24"/>
          <w:szCs w:val="24"/>
        </w:rPr>
        <w:t>Thermo Fisher Scientific</w:t>
      </w:r>
      <w:r w:rsidRPr="00C27016">
        <w:rPr>
          <w:rFonts w:ascii="Times New Roman" w:hAnsi="Times New Roman" w:cs="Times New Roman"/>
          <w:sz w:val="24"/>
          <w:szCs w:val="24"/>
        </w:rPr>
        <w:t>). Data are reported using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notation, which refers to the deviation in parts per thousand of the ratio of </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w:t>
      </w:r>
      <w:r w:rsidRPr="00C27016">
        <w:rPr>
          <w:rFonts w:ascii="Times New Roman" w:hAnsi="Times New Roman" w:cs="Times New Roman"/>
          <w:sz w:val="24"/>
          <w:szCs w:val="24"/>
          <w:vertAlign w:val="superscript"/>
        </w:rPr>
        <w:t>12</w:t>
      </w:r>
      <w:r w:rsidRPr="00C27016">
        <w:rPr>
          <w:rFonts w:ascii="Times New Roman" w:hAnsi="Times New Roman" w:cs="Times New Roman"/>
          <w:sz w:val="24"/>
          <w:szCs w:val="24"/>
        </w:rPr>
        <w:t>C in the PDB standard.</w:t>
      </w:r>
    </w:p>
    <w:p w14:paraId="7CA08DC3" w14:textId="77777777" w:rsidR="00C94ED6" w:rsidRDefault="00C94ED6" w:rsidP="005673F0">
      <w:pPr>
        <w:pStyle w:val="Normal1"/>
        <w:spacing w:before="120" w:line="360" w:lineRule="auto"/>
        <w:rPr>
          <w:rFonts w:ascii="Times New Roman" w:hAnsi="Times New Roman" w:cs="Times New Roman"/>
          <w:sz w:val="24"/>
          <w:szCs w:val="24"/>
        </w:rPr>
        <w:sectPr w:rsidR="00C94ED6" w:rsidSect="001D0BD0">
          <w:pgSz w:w="12240" w:h="15840"/>
          <w:pgMar w:top="1440" w:right="1440" w:bottom="1440" w:left="1440" w:header="432" w:footer="720" w:gutter="0"/>
          <w:lnNumType w:countBy="1" w:restart="continuous"/>
          <w:cols w:space="720"/>
          <w:docGrid w:linePitch="360"/>
        </w:sectPr>
      </w:pPr>
    </w:p>
    <w:p w14:paraId="037A703E" w14:textId="497353FE" w:rsidR="005673F0" w:rsidRPr="00296532" w:rsidRDefault="00296532" w:rsidP="005673F0">
      <w:pPr>
        <w:pStyle w:val="Normal1"/>
        <w:spacing w:before="120"/>
        <w:rPr>
          <w:rFonts w:ascii="Times New Roman" w:hAnsi="Times New Roman" w:cs="Times New Roman"/>
          <w:b/>
          <w:sz w:val="24"/>
          <w:szCs w:val="24"/>
        </w:rPr>
      </w:pPr>
      <w:r w:rsidRPr="00296532">
        <w:rPr>
          <w:rFonts w:ascii="Times New Roman" w:hAnsi="Times New Roman" w:cs="Times New Roman"/>
          <w:b/>
          <w:sz w:val="24"/>
          <w:szCs w:val="24"/>
        </w:rPr>
        <w:t>Table 2.</w:t>
      </w:r>
    </w:p>
    <w:p w14:paraId="53DFBD70" w14:textId="38B5A1B4" w:rsidR="00296532" w:rsidRPr="00296532" w:rsidRDefault="00296532" w:rsidP="005673F0">
      <w:pPr>
        <w:pStyle w:val="Normal1"/>
        <w:spacing w:before="120"/>
        <w:rPr>
          <w:rFonts w:ascii="Times New Roman" w:hAnsi="Times New Roman" w:cs="Times New Roman"/>
          <w:i/>
          <w:sz w:val="24"/>
          <w:szCs w:val="24"/>
        </w:rPr>
      </w:pPr>
      <w:r w:rsidRPr="00296532">
        <w:rPr>
          <w:rFonts w:ascii="Times New Roman" w:hAnsi="Times New Roman" w:cs="Times New Roman"/>
          <w:i/>
          <w:sz w:val="24"/>
          <w:szCs w:val="24"/>
        </w:rPr>
        <w:t>Experimental design</w:t>
      </w:r>
    </w:p>
    <w:tbl>
      <w:tblPr>
        <w:tblW w:w="13581" w:type="dxa"/>
        <w:tblInd w:w="93" w:type="dxa"/>
        <w:tblLook w:val="04A0" w:firstRow="1" w:lastRow="0" w:firstColumn="1" w:lastColumn="0" w:noHBand="0" w:noVBand="1"/>
      </w:tblPr>
      <w:tblGrid>
        <w:gridCol w:w="1360"/>
        <w:gridCol w:w="460"/>
        <w:gridCol w:w="1700"/>
        <w:gridCol w:w="771"/>
        <w:gridCol w:w="1140"/>
        <w:gridCol w:w="1240"/>
        <w:gridCol w:w="1320"/>
        <w:gridCol w:w="1320"/>
        <w:gridCol w:w="743"/>
        <w:gridCol w:w="772"/>
        <w:gridCol w:w="728"/>
        <w:gridCol w:w="725"/>
        <w:gridCol w:w="727"/>
        <w:gridCol w:w="706"/>
      </w:tblGrid>
      <w:tr w:rsidR="00296532" w:rsidRPr="00296532" w14:paraId="0902E761" w14:textId="77777777" w:rsidTr="00296532">
        <w:trPr>
          <w:trHeight w:val="300"/>
        </w:trPr>
        <w:tc>
          <w:tcPr>
            <w:tcW w:w="1360" w:type="dxa"/>
            <w:tcBorders>
              <w:top w:val="nil"/>
              <w:left w:val="nil"/>
              <w:bottom w:val="nil"/>
              <w:right w:val="nil"/>
            </w:tcBorders>
            <w:shd w:val="clear" w:color="auto" w:fill="auto"/>
            <w:noWrap/>
            <w:vAlign w:val="bottom"/>
            <w:hideMark/>
          </w:tcPr>
          <w:p w14:paraId="569D9B05" w14:textId="77777777" w:rsidR="00296532" w:rsidRPr="00296532" w:rsidRDefault="00296532" w:rsidP="00296532">
            <w:pPr>
              <w:jc w:val="center"/>
              <w:rPr>
                <w:rFonts w:ascii="Cambria" w:eastAsia="Times New Roman" w:hAnsi="Cambria"/>
                <w:color w:val="000000"/>
                <w:sz w:val="22"/>
                <w:szCs w:val="22"/>
              </w:rPr>
            </w:pPr>
          </w:p>
        </w:tc>
        <w:tc>
          <w:tcPr>
            <w:tcW w:w="380" w:type="dxa"/>
            <w:tcBorders>
              <w:top w:val="nil"/>
              <w:left w:val="nil"/>
              <w:bottom w:val="nil"/>
              <w:right w:val="nil"/>
            </w:tcBorders>
            <w:shd w:val="clear" w:color="auto" w:fill="auto"/>
            <w:noWrap/>
            <w:vAlign w:val="bottom"/>
            <w:hideMark/>
          </w:tcPr>
          <w:p w14:paraId="7750EA13" w14:textId="77777777" w:rsidR="00296532" w:rsidRPr="00296532" w:rsidRDefault="00296532" w:rsidP="00296532">
            <w:pPr>
              <w:jc w:val="center"/>
              <w:rPr>
                <w:rFonts w:ascii="Cambria" w:eastAsia="Times New Roman" w:hAnsi="Cambria"/>
                <w:color w:val="000000"/>
                <w:sz w:val="22"/>
                <w:szCs w:val="22"/>
              </w:rPr>
            </w:pPr>
          </w:p>
        </w:tc>
        <w:tc>
          <w:tcPr>
            <w:tcW w:w="1700" w:type="dxa"/>
            <w:tcBorders>
              <w:top w:val="nil"/>
              <w:left w:val="nil"/>
              <w:bottom w:val="nil"/>
              <w:right w:val="nil"/>
            </w:tcBorders>
            <w:shd w:val="clear" w:color="auto" w:fill="auto"/>
            <w:noWrap/>
            <w:vAlign w:val="bottom"/>
            <w:hideMark/>
          </w:tcPr>
          <w:p w14:paraId="7630E43E" w14:textId="77777777" w:rsidR="00296532" w:rsidRPr="00296532" w:rsidRDefault="00296532" w:rsidP="00296532">
            <w:pPr>
              <w:rPr>
                <w:rFonts w:ascii="Cambria" w:eastAsia="Times New Roman" w:hAnsi="Cambria"/>
                <w:color w:val="000000"/>
                <w:sz w:val="22"/>
                <w:szCs w:val="22"/>
              </w:rPr>
            </w:pPr>
          </w:p>
        </w:tc>
        <w:tc>
          <w:tcPr>
            <w:tcW w:w="720" w:type="dxa"/>
            <w:tcBorders>
              <w:top w:val="nil"/>
              <w:left w:val="nil"/>
              <w:bottom w:val="nil"/>
              <w:right w:val="nil"/>
            </w:tcBorders>
            <w:shd w:val="clear" w:color="auto" w:fill="auto"/>
            <w:noWrap/>
            <w:vAlign w:val="bottom"/>
            <w:hideMark/>
          </w:tcPr>
          <w:p w14:paraId="4CB11CC7" w14:textId="77777777" w:rsidR="00296532" w:rsidRPr="00296532" w:rsidRDefault="00296532" w:rsidP="00296532">
            <w:pPr>
              <w:rPr>
                <w:rFonts w:ascii="Cambria" w:eastAsia="Times New Roman" w:hAnsi="Cambria"/>
                <w:color w:val="000000"/>
                <w:sz w:val="22"/>
                <w:szCs w:val="22"/>
              </w:rPr>
            </w:pPr>
          </w:p>
        </w:tc>
        <w:tc>
          <w:tcPr>
            <w:tcW w:w="1140" w:type="dxa"/>
            <w:tcBorders>
              <w:top w:val="nil"/>
              <w:left w:val="nil"/>
              <w:bottom w:val="nil"/>
              <w:right w:val="nil"/>
            </w:tcBorders>
            <w:shd w:val="clear" w:color="auto" w:fill="auto"/>
            <w:noWrap/>
            <w:vAlign w:val="bottom"/>
            <w:hideMark/>
          </w:tcPr>
          <w:p w14:paraId="41A9DAAE" w14:textId="77777777" w:rsidR="00296532" w:rsidRPr="00296532" w:rsidRDefault="00296532" w:rsidP="00296532">
            <w:pPr>
              <w:rPr>
                <w:rFonts w:ascii="Cambria" w:eastAsia="Times New Roman" w:hAnsi="Cambria"/>
                <w:color w:val="000000"/>
                <w:sz w:val="22"/>
                <w:szCs w:val="22"/>
              </w:rPr>
            </w:pPr>
          </w:p>
        </w:tc>
        <w:tc>
          <w:tcPr>
            <w:tcW w:w="1240" w:type="dxa"/>
            <w:tcBorders>
              <w:top w:val="nil"/>
              <w:left w:val="nil"/>
              <w:bottom w:val="nil"/>
              <w:right w:val="nil"/>
            </w:tcBorders>
            <w:shd w:val="clear" w:color="auto" w:fill="auto"/>
            <w:noWrap/>
            <w:vAlign w:val="bottom"/>
            <w:hideMark/>
          </w:tcPr>
          <w:p w14:paraId="2C371DA1" w14:textId="77777777" w:rsidR="00296532" w:rsidRPr="00296532" w:rsidRDefault="00296532" w:rsidP="00296532">
            <w:pPr>
              <w:rPr>
                <w:rFonts w:ascii="Cambria" w:eastAsia="Times New Roman" w:hAnsi="Cambria"/>
                <w:color w:val="000000"/>
                <w:sz w:val="22"/>
                <w:szCs w:val="22"/>
              </w:rPr>
            </w:pPr>
          </w:p>
        </w:tc>
        <w:tc>
          <w:tcPr>
            <w:tcW w:w="1320" w:type="dxa"/>
            <w:tcBorders>
              <w:top w:val="nil"/>
              <w:left w:val="nil"/>
              <w:bottom w:val="nil"/>
              <w:right w:val="nil"/>
            </w:tcBorders>
            <w:shd w:val="clear" w:color="auto" w:fill="auto"/>
            <w:noWrap/>
            <w:vAlign w:val="bottom"/>
            <w:hideMark/>
          </w:tcPr>
          <w:p w14:paraId="597869DA" w14:textId="77777777" w:rsidR="00296532" w:rsidRPr="00296532" w:rsidRDefault="00296532" w:rsidP="00296532">
            <w:pPr>
              <w:rPr>
                <w:rFonts w:ascii="Cambria" w:eastAsia="Times New Roman" w:hAnsi="Cambria"/>
                <w:color w:val="000000"/>
                <w:sz w:val="22"/>
                <w:szCs w:val="22"/>
              </w:rPr>
            </w:pPr>
          </w:p>
        </w:tc>
        <w:tc>
          <w:tcPr>
            <w:tcW w:w="1320" w:type="dxa"/>
            <w:tcBorders>
              <w:top w:val="nil"/>
              <w:left w:val="nil"/>
              <w:bottom w:val="nil"/>
              <w:right w:val="nil"/>
            </w:tcBorders>
            <w:shd w:val="clear" w:color="auto" w:fill="auto"/>
            <w:noWrap/>
            <w:vAlign w:val="bottom"/>
            <w:hideMark/>
          </w:tcPr>
          <w:p w14:paraId="7B81AB28" w14:textId="77777777" w:rsidR="00296532" w:rsidRPr="00296532" w:rsidRDefault="00296532" w:rsidP="00296532">
            <w:pPr>
              <w:rPr>
                <w:rFonts w:ascii="Cambria" w:eastAsia="Times New Roman" w:hAnsi="Cambria"/>
                <w:color w:val="000000"/>
                <w:sz w:val="22"/>
                <w:szCs w:val="22"/>
              </w:rPr>
            </w:pPr>
          </w:p>
        </w:tc>
        <w:tc>
          <w:tcPr>
            <w:tcW w:w="4401" w:type="dxa"/>
            <w:gridSpan w:val="6"/>
            <w:tcBorders>
              <w:top w:val="nil"/>
              <w:left w:val="nil"/>
              <w:bottom w:val="single" w:sz="4" w:space="0" w:color="auto"/>
              <w:right w:val="nil"/>
            </w:tcBorders>
            <w:shd w:val="clear" w:color="auto" w:fill="auto"/>
            <w:noWrap/>
            <w:vAlign w:val="bottom"/>
            <w:hideMark/>
          </w:tcPr>
          <w:p w14:paraId="38900B01"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Enclosure period***</w:t>
            </w:r>
          </w:p>
        </w:tc>
      </w:tr>
      <w:tr w:rsidR="00296532" w:rsidRPr="00296532" w14:paraId="6833C336" w14:textId="77777777" w:rsidTr="00296532">
        <w:trPr>
          <w:trHeight w:val="300"/>
        </w:trPr>
        <w:tc>
          <w:tcPr>
            <w:tcW w:w="1360" w:type="dxa"/>
            <w:tcBorders>
              <w:top w:val="nil"/>
              <w:left w:val="nil"/>
              <w:bottom w:val="nil"/>
              <w:right w:val="nil"/>
            </w:tcBorders>
            <w:shd w:val="clear" w:color="auto" w:fill="auto"/>
            <w:vAlign w:val="bottom"/>
            <w:hideMark/>
          </w:tcPr>
          <w:p w14:paraId="4F7328B0" w14:textId="77777777" w:rsidR="00296532" w:rsidRPr="00296532" w:rsidRDefault="00296532" w:rsidP="00296532">
            <w:pPr>
              <w:jc w:val="center"/>
              <w:rPr>
                <w:rFonts w:ascii="Cambria" w:eastAsia="Times New Roman" w:hAnsi="Cambria"/>
                <w:color w:val="000000"/>
                <w:sz w:val="22"/>
                <w:szCs w:val="22"/>
              </w:rPr>
            </w:pPr>
          </w:p>
        </w:tc>
        <w:tc>
          <w:tcPr>
            <w:tcW w:w="380" w:type="dxa"/>
            <w:tcBorders>
              <w:top w:val="nil"/>
              <w:left w:val="nil"/>
              <w:bottom w:val="nil"/>
              <w:right w:val="nil"/>
            </w:tcBorders>
            <w:shd w:val="clear" w:color="auto" w:fill="auto"/>
            <w:vAlign w:val="bottom"/>
            <w:hideMark/>
          </w:tcPr>
          <w:p w14:paraId="0FECC779" w14:textId="77777777" w:rsidR="00296532" w:rsidRPr="00296532" w:rsidRDefault="00296532" w:rsidP="00296532">
            <w:pPr>
              <w:jc w:val="center"/>
              <w:rPr>
                <w:rFonts w:ascii="Cambria" w:eastAsia="Times New Roman" w:hAnsi="Cambria"/>
                <w:color w:val="000000"/>
                <w:sz w:val="22"/>
                <w:szCs w:val="22"/>
              </w:rPr>
            </w:pPr>
          </w:p>
        </w:tc>
        <w:tc>
          <w:tcPr>
            <w:tcW w:w="1700" w:type="dxa"/>
            <w:tcBorders>
              <w:top w:val="nil"/>
              <w:left w:val="nil"/>
              <w:bottom w:val="nil"/>
              <w:right w:val="nil"/>
            </w:tcBorders>
            <w:shd w:val="clear" w:color="auto" w:fill="auto"/>
            <w:vAlign w:val="bottom"/>
            <w:hideMark/>
          </w:tcPr>
          <w:p w14:paraId="09AD3724" w14:textId="77777777" w:rsidR="00296532" w:rsidRPr="00296532" w:rsidRDefault="00296532" w:rsidP="00296532">
            <w:pPr>
              <w:jc w:val="center"/>
              <w:rPr>
                <w:rFonts w:ascii="Cambria" w:eastAsia="Times New Roman" w:hAnsi="Cambria"/>
                <w:color w:val="000000"/>
                <w:sz w:val="22"/>
                <w:szCs w:val="22"/>
              </w:rPr>
            </w:pPr>
          </w:p>
        </w:tc>
        <w:tc>
          <w:tcPr>
            <w:tcW w:w="720" w:type="dxa"/>
            <w:tcBorders>
              <w:top w:val="nil"/>
              <w:left w:val="nil"/>
              <w:bottom w:val="nil"/>
              <w:right w:val="nil"/>
            </w:tcBorders>
            <w:shd w:val="clear" w:color="auto" w:fill="auto"/>
            <w:vAlign w:val="bottom"/>
            <w:hideMark/>
          </w:tcPr>
          <w:p w14:paraId="55290CCF" w14:textId="77777777" w:rsidR="00296532" w:rsidRPr="00296532" w:rsidRDefault="00296532" w:rsidP="00296532">
            <w:pPr>
              <w:jc w:val="center"/>
              <w:rPr>
                <w:rFonts w:ascii="Cambria" w:eastAsia="Times New Roman" w:hAnsi="Cambria"/>
                <w:color w:val="000000"/>
                <w:sz w:val="22"/>
                <w:szCs w:val="22"/>
              </w:rPr>
            </w:pPr>
          </w:p>
        </w:tc>
        <w:tc>
          <w:tcPr>
            <w:tcW w:w="1140" w:type="dxa"/>
            <w:tcBorders>
              <w:top w:val="nil"/>
              <w:left w:val="nil"/>
              <w:bottom w:val="nil"/>
              <w:right w:val="nil"/>
            </w:tcBorders>
            <w:shd w:val="clear" w:color="auto" w:fill="auto"/>
            <w:vAlign w:val="bottom"/>
            <w:hideMark/>
          </w:tcPr>
          <w:p w14:paraId="22DD4BE6" w14:textId="77777777" w:rsidR="00296532" w:rsidRPr="00296532" w:rsidRDefault="00296532" w:rsidP="00296532">
            <w:pPr>
              <w:jc w:val="center"/>
              <w:rPr>
                <w:rFonts w:ascii="Cambria" w:eastAsia="Times New Roman" w:hAnsi="Cambria"/>
                <w:color w:val="000000"/>
                <w:sz w:val="22"/>
                <w:szCs w:val="22"/>
              </w:rPr>
            </w:pPr>
          </w:p>
        </w:tc>
        <w:tc>
          <w:tcPr>
            <w:tcW w:w="1240" w:type="dxa"/>
            <w:tcBorders>
              <w:top w:val="nil"/>
              <w:left w:val="nil"/>
              <w:bottom w:val="nil"/>
              <w:right w:val="nil"/>
            </w:tcBorders>
            <w:shd w:val="clear" w:color="auto" w:fill="auto"/>
            <w:vAlign w:val="bottom"/>
            <w:hideMark/>
          </w:tcPr>
          <w:p w14:paraId="1EB58335" w14:textId="77777777" w:rsidR="00296532" w:rsidRPr="00296532" w:rsidRDefault="00296532" w:rsidP="00296532">
            <w:pPr>
              <w:jc w:val="center"/>
              <w:rPr>
                <w:rFonts w:ascii="Cambria" w:eastAsia="Times New Roman" w:hAnsi="Cambria"/>
                <w:color w:val="000000"/>
                <w:sz w:val="22"/>
                <w:szCs w:val="22"/>
              </w:rPr>
            </w:pPr>
          </w:p>
        </w:tc>
        <w:tc>
          <w:tcPr>
            <w:tcW w:w="2640" w:type="dxa"/>
            <w:gridSpan w:val="2"/>
            <w:tcBorders>
              <w:top w:val="nil"/>
              <w:left w:val="nil"/>
              <w:bottom w:val="single" w:sz="4" w:space="0" w:color="auto"/>
              <w:right w:val="nil"/>
            </w:tcBorders>
            <w:shd w:val="clear" w:color="auto" w:fill="auto"/>
            <w:vAlign w:val="bottom"/>
            <w:hideMark/>
          </w:tcPr>
          <w:p w14:paraId="34775B20"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Moisture content**</w:t>
            </w:r>
          </w:p>
        </w:tc>
        <w:tc>
          <w:tcPr>
            <w:tcW w:w="2243" w:type="dxa"/>
            <w:gridSpan w:val="3"/>
            <w:tcBorders>
              <w:top w:val="single" w:sz="4" w:space="0" w:color="auto"/>
              <w:left w:val="nil"/>
              <w:bottom w:val="single" w:sz="4" w:space="0" w:color="auto"/>
              <w:right w:val="nil"/>
            </w:tcBorders>
            <w:shd w:val="clear" w:color="auto" w:fill="auto"/>
            <w:vAlign w:val="bottom"/>
            <w:hideMark/>
          </w:tcPr>
          <w:p w14:paraId="61EFB06B"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1</w:t>
            </w:r>
            <w:r w:rsidRPr="00296532">
              <w:rPr>
                <w:rFonts w:ascii="Cambria" w:eastAsia="Times New Roman" w:hAnsi="Cambria"/>
                <w:color w:val="000000"/>
                <w:sz w:val="22"/>
                <w:szCs w:val="22"/>
                <w:vertAlign w:val="superscript"/>
              </w:rPr>
              <w:t>st</w:t>
            </w:r>
            <w:r w:rsidRPr="00296532">
              <w:rPr>
                <w:rFonts w:ascii="Cambria" w:eastAsia="Times New Roman" w:hAnsi="Cambria"/>
                <w:color w:val="000000"/>
                <w:sz w:val="22"/>
                <w:szCs w:val="22"/>
              </w:rPr>
              <w:t xml:space="preserve"> (rewetting pulse)</w:t>
            </w:r>
          </w:p>
        </w:tc>
        <w:tc>
          <w:tcPr>
            <w:tcW w:w="2158" w:type="dxa"/>
            <w:gridSpan w:val="3"/>
            <w:tcBorders>
              <w:top w:val="single" w:sz="4" w:space="0" w:color="auto"/>
              <w:left w:val="nil"/>
              <w:bottom w:val="single" w:sz="4" w:space="0" w:color="auto"/>
              <w:right w:val="nil"/>
            </w:tcBorders>
            <w:shd w:val="clear" w:color="auto" w:fill="auto"/>
            <w:vAlign w:val="bottom"/>
            <w:hideMark/>
          </w:tcPr>
          <w:p w14:paraId="434FD1E3"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2</w:t>
            </w:r>
            <w:r w:rsidRPr="00296532">
              <w:rPr>
                <w:rFonts w:ascii="Cambria" w:eastAsia="Times New Roman" w:hAnsi="Cambria"/>
                <w:color w:val="000000"/>
                <w:sz w:val="22"/>
                <w:szCs w:val="22"/>
                <w:vertAlign w:val="superscript"/>
              </w:rPr>
              <w:t>nd</w:t>
            </w:r>
          </w:p>
        </w:tc>
      </w:tr>
      <w:tr w:rsidR="00296532" w:rsidRPr="00296532" w14:paraId="2C29787C" w14:textId="77777777" w:rsidTr="00296532">
        <w:trPr>
          <w:trHeight w:val="600"/>
        </w:trPr>
        <w:tc>
          <w:tcPr>
            <w:tcW w:w="1360" w:type="dxa"/>
            <w:tcBorders>
              <w:top w:val="nil"/>
              <w:left w:val="nil"/>
              <w:bottom w:val="single" w:sz="4" w:space="0" w:color="auto"/>
              <w:right w:val="nil"/>
            </w:tcBorders>
            <w:shd w:val="clear" w:color="auto" w:fill="auto"/>
            <w:vAlign w:val="bottom"/>
            <w:hideMark/>
          </w:tcPr>
          <w:p w14:paraId="24D4CEFA"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Experiment</w:t>
            </w:r>
          </w:p>
        </w:tc>
        <w:tc>
          <w:tcPr>
            <w:tcW w:w="380" w:type="dxa"/>
            <w:tcBorders>
              <w:top w:val="nil"/>
              <w:left w:val="nil"/>
              <w:bottom w:val="single" w:sz="4" w:space="0" w:color="auto"/>
              <w:right w:val="nil"/>
            </w:tcBorders>
            <w:shd w:val="clear" w:color="auto" w:fill="auto"/>
            <w:vAlign w:val="bottom"/>
            <w:hideMark/>
          </w:tcPr>
          <w:p w14:paraId="131516ED"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n</w:t>
            </w:r>
          </w:p>
        </w:tc>
        <w:tc>
          <w:tcPr>
            <w:tcW w:w="1700" w:type="dxa"/>
            <w:tcBorders>
              <w:top w:val="nil"/>
              <w:left w:val="nil"/>
              <w:bottom w:val="single" w:sz="4" w:space="0" w:color="auto"/>
              <w:right w:val="nil"/>
            </w:tcBorders>
            <w:shd w:val="clear" w:color="auto" w:fill="auto"/>
            <w:noWrap/>
            <w:vAlign w:val="bottom"/>
            <w:hideMark/>
          </w:tcPr>
          <w:p w14:paraId="2B1D4E3A"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Treatment</w:t>
            </w:r>
          </w:p>
        </w:tc>
        <w:tc>
          <w:tcPr>
            <w:tcW w:w="720" w:type="dxa"/>
            <w:tcBorders>
              <w:top w:val="nil"/>
              <w:left w:val="nil"/>
              <w:bottom w:val="single" w:sz="4" w:space="0" w:color="auto"/>
              <w:right w:val="nil"/>
            </w:tcBorders>
            <w:shd w:val="clear" w:color="auto" w:fill="auto"/>
            <w:vAlign w:val="bottom"/>
            <w:hideMark/>
          </w:tcPr>
          <w:p w14:paraId="1E4ECF87"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Reps*</w:t>
            </w:r>
          </w:p>
        </w:tc>
        <w:tc>
          <w:tcPr>
            <w:tcW w:w="1140" w:type="dxa"/>
            <w:tcBorders>
              <w:top w:val="nil"/>
              <w:left w:val="nil"/>
              <w:bottom w:val="single" w:sz="4" w:space="0" w:color="auto"/>
              <w:right w:val="nil"/>
            </w:tcBorders>
            <w:shd w:val="clear" w:color="auto" w:fill="auto"/>
            <w:vAlign w:val="bottom"/>
            <w:hideMark/>
          </w:tcPr>
          <w:p w14:paraId="507C3A52"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Sampling date</w:t>
            </w:r>
          </w:p>
        </w:tc>
        <w:tc>
          <w:tcPr>
            <w:tcW w:w="1240" w:type="dxa"/>
            <w:tcBorders>
              <w:top w:val="nil"/>
              <w:left w:val="nil"/>
              <w:bottom w:val="single" w:sz="4" w:space="0" w:color="auto"/>
              <w:right w:val="nil"/>
            </w:tcBorders>
            <w:shd w:val="clear" w:color="auto" w:fill="auto"/>
            <w:vAlign w:val="bottom"/>
            <w:hideMark/>
          </w:tcPr>
          <w:p w14:paraId="48D6322E"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Incubation date</w:t>
            </w:r>
          </w:p>
        </w:tc>
        <w:tc>
          <w:tcPr>
            <w:tcW w:w="1320" w:type="dxa"/>
            <w:tcBorders>
              <w:top w:val="nil"/>
              <w:left w:val="nil"/>
              <w:bottom w:val="single" w:sz="4" w:space="0" w:color="auto"/>
              <w:right w:val="nil"/>
            </w:tcBorders>
            <w:shd w:val="clear" w:color="auto" w:fill="auto"/>
            <w:vAlign w:val="bottom"/>
            <w:hideMark/>
          </w:tcPr>
          <w:p w14:paraId="5C4FF91C"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Intial</w:t>
            </w:r>
          </w:p>
        </w:tc>
        <w:tc>
          <w:tcPr>
            <w:tcW w:w="1320" w:type="dxa"/>
            <w:tcBorders>
              <w:top w:val="nil"/>
              <w:left w:val="nil"/>
              <w:bottom w:val="single" w:sz="4" w:space="0" w:color="auto"/>
              <w:right w:val="nil"/>
            </w:tcBorders>
            <w:shd w:val="clear" w:color="auto" w:fill="auto"/>
            <w:vAlign w:val="bottom"/>
            <w:hideMark/>
          </w:tcPr>
          <w:p w14:paraId="03147E51"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Adjusted</w:t>
            </w:r>
          </w:p>
        </w:tc>
        <w:tc>
          <w:tcPr>
            <w:tcW w:w="743" w:type="dxa"/>
            <w:tcBorders>
              <w:top w:val="nil"/>
              <w:left w:val="nil"/>
              <w:bottom w:val="single" w:sz="4" w:space="0" w:color="auto"/>
              <w:right w:val="nil"/>
            </w:tcBorders>
            <w:shd w:val="clear" w:color="auto" w:fill="auto"/>
            <w:vAlign w:val="bottom"/>
            <w:hideMark/>
          </w:tcPr>
          <w:p w14:paraId="443EA66B"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Time</w:t>
            </w:r>
          </w:p>
        </w:tc>
        <w:tc>
          <w:tcPr>
            <w:tcW w:w="772" w:type="dxa"/>
            <w:tcBorders>
              <w:top w:val="nil"/>
              <w:left w:val="nil"/>
              <w:bottom w:val="single" w:sz="4" w:space="0" w:color="auto"/>
              <w:right w:val="nil"/>
            </w:tcBorders>
            <w:shd w:val="clear" w:color="auto" w:fill="auto"/>
            <w:vAlign w:val="bottom"/>
            <w:hideMark/>
          </w:tcPr>
          <w:p w14:paraId="32832B2B"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w:t>
            </w:r>
            <w:r w:rsidRPr="00296532">
              <w:rPr>
                <w:rFonts w:ascii="Cambria" w:eastAsia="Times New Roman" w:hAnsi="Cambria"/>
                <w:color w:val="000000"/>
                <w:sz w:val="22"/>
                <w:szCs w:val="22"/>
                <w:vertAlign w:val="superscript"/>
              </w:rPr>
              <w:t>14</w:t>
            </w:r>
            <w:r w:rsidRPr="00296532">
              <w:rPr>
                <w:rFonts w:ascii="Cambria" w:eastAsia="Times New Roman" w:hAnsi="Cambria"/>
                <w:color w:val="000000"/>
                <w:sz w:val="22"/>
                <w:szCs w:val="22"/>
              </w:rPr>
              <w:t>C?</w:t>
            </w:r>
          </w:p>
        </w:tc>
        <w:tc>
          <w:tcPr>
            <w:tcW w:w="728" w:type="dxa"/>
            <w:tcBorders>
              <w:top w:val="nil"/>
              <w:left w:val="nil"/>
              <w:bottom w:val="single" w:sz="4" w:space="0" w:color="auto"/>
              <w:right w:val="nil"/>
            </w:tcBorders>
            <w:shd w:val="clear" w:color="auto" w:fill="auto"/>
            <w:vAlign w:val="bottom"/>
            <w:hideMark/>
          </w:tcPr>
          <w:p w14:paraId="6D1BE85C" w14:textId="77777777" w:rsidR="00296532" w:rsidRPr="00296532" w:rsidRDefault="00296532" w:rsidP="00296532">
            <w:pPr>
              <w:jc w:val="center"/>
              <w:rPr>
                <w:rFonts w:ascii="Cambria" w:eastAsia="Times New Roman" w:hAnsi="Cambria"/>
                <w:color w:val="333333"/>
                <w:sz w:val="22"/>
                <w:szCs w:val="22"/>
              </w:rPr>
            </w:pPr>
            <w:r w:rsidRPr="00296532">
              <w:rPr>
                <w:rFonts w:ascii="Cambria" w:eastAsia="Times New Roman" w:hAnsi="Cambria"/>
                <w:color w:val="333333"/>
                <w:sz w:val="22"/>
                <w:szCs w:val="22"/>
              </w:rPr>
              <w:t>δ</w:t>
            </w:r>
            <w:r w:rsidRPr="00296532">
              <w:rPr>
                <w:rFonts w:ascii="Cambria" w:eastAsia="Times New Roman" w:hAnsi="Cambria"/>
                <w:color w:val="333333"/>
                <w:sz w:val="22"/>
                <w:szCs w:val="22"/>
                <w:vertAlign w:val="superscript"/>
              </w:rPr>
              <w:t>13</w:t>
            </w:r>
            <w:r w:rsidRPr="00296532">
              <w:rPr>
                <w:rFonts w:ascii="Cambria" w:eastAsia="Times New Roman" w:hAnsi="Cambria"/>
                <w:color w:val="333333"/>
                <w:sz w:val="22"/>
                <w:szCs w:val="22"/>
              </w:rPr>
              <w:t>C?</w:t>
            </w:r>
          </w:p>
        </w:tc>
        <w:tc>
          <w:tcPr>
            <w:tcW w:w="725" w:type="dxa"/>
            <w:tcBorders>
              <w:top w:val="nil"/>
              <w:left w:val="nil"/>
              <w:bottom w:val="single" w:sz="4" w:space="0" w:color="auto"/>
              <w:right w:val="nil"/>
            </w:tcBorders>
            <w:shd w:val="clear" w:color="auto" w:fill="auto"/>
            <w:noWrap/>
            <w:vAlign w:val="bottom"/>
            <w:hideMark/>
          </w:tcPr>
          <w:p w14:paraId="62AE0629" w14:textId="77777777" w:rsidR="00296532" w:rsidRPr="00296532" w:rsidRDefault="00296532" w:rsidP="00296532">
            <w:pPr>
              <w:jc w:val="center"/>
              <w:rPr>
                <w:rFonts w:ascii="Cambria" w:eastAsia="Times New Roman" w:hAnsi="Cambria"/>
                <w:color w:val="333333"/>
                <w:sz w:val="22"/>
                <w:szCs w:val="22"/>
              </w:rPr>
            </w:pPr>
            <w:r w:rsidRPr="00296532">
              <w:rPr>
                <w:rFonts w:ascii="Cambria" w:eastAsia="Times New Roman" w:hAnsi="Cambria"/>
                <w:color w:val="333333"/>
                <w:sz w:val="22"/>
                <w:szCs w:val="22"/>
              </w:rPr>
              <w:t>Time</w:t>
            </w:r>
          </w:p>
        </w:tc>
        <w:tc>
          <w:tcPr>
            <w:tcW w:w="727" w:type="dxa"/>
            <w:tcBorders>
              <w:top w:val="nil"/>
              <w:left w:val="nil"/>
              <w:bottom w:val="single" w:sz="4" w:space="0" w:color="auto"/>
              <w:right w:val="nil"/>
            </w:tcBorders>
            <w:shd w:val="clear" w:color="auto" w:fill="auto"/>
            <w:vAlign w:val="bottom"/>
            <w:hideMark/>
          </w:tcPr>
          <w:p w14:paraId="492F2CBC"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w:t>
            </w:r>
            <w:r w:rsidRPr="00296532">
              <w:rPr>
                <w:rFonts w:ascii="Cambria" w:eastAsia="Times New Roman" w:hAnsi="Cambria"/>
                <w:color w:val="000000"/>
                <w:sz w:val="22"/>
                <w:szCs w:val="22"/>
                <w:vertAlign w:val="superscript"/>
              </w:rPr>
              <w:t>14</w:t>
            </w:r>
            <w:r w:rsidRPr="00296532">
              <w:rPr>
                <w:rFonts w:ascii="Cambria" w:eastAsia="Times New Roman" w:hAnsi="Cambria"/>
                <w:color w:val="000000"/>
                <w:sz w:val="22"/>
                <w:szCs w:val="22"/>
              </w:rPr>
              <w:t>C?</w:t>
            </w:r>
          </w:p>
        </w:tc>
        <w:tc>
          <w:tcPr>
            <w:tcW w:w="706" w:type="dxa"/>
            <w:tcBorders>
              <w:top w:val="nil"/>
              <w:left w:val="nil"/>
              <w:bottom w:val="single" w:sz="4" w:space="0" w:color="auto"/>
              <w:right w:val="nil"/>
            </w:tcBorders>
            <w:shd w:val="clear" w:color="auto" w:fill="auto"/>
            <w:vAlign w:val="bottom"/>
            <w:hideMark/>
          </w:tcPr>
          <w:p w14:paraId="31D3F9F8" w14:textId="77777777" w:rsidR="00296532" w:rsidRPr="00296532" w:rsidRDefault="00296532" w:rsidP="00296532">
            <w:pPr>
              <w:jc w:val="center"/>
              <w:rPr>
                <w:rFonts w:ascii="Cambria" w:eastAsia="Times New Roman" w:hAnsi="Cambria"/>
                <w:color w:val="333333"/>
                <w:sz w:val="22"/>
                <w:szCs w:val="22"/>
              </w:rPr>
            </w:pPr>
            <w:r w:rsidRPr="00296532">
              <w:rPr>
                <w:rFonts w:ascii="Cambria" w:eastAsia="Times New Roman" w:hAnsi="Cambria"/>
                <w:color w:val="333333"/>
                <w:sz w:val="22"/>
                <w:szCs w:val="22"/>
              </w:rPr>
              <w:t>δ</w:t>
            </w:r>
            <w:r w:rsidRPr="00296532">
              <w:rPr>
                <w:rFonts w:ascii="Cambria" w:eastAsia="Times New Roman" w:hAnsi="Cambria"/>
                <w:color w:val="333333"/>
                <w:sz w:val="22"/>
                <w:szCs w:val="22"/>
                <w:vertAlign w:val="superscript"/>
              </w:rPr>
              <w:t>13</w:t>
            </w:r>
            <w:r w:rsidRPr="00296532">
              <w:rPr>
                <w:rFonts w:ascii="Cambria" w:eastAsia="Times New Roman" w:hAnsi="Cambria"/>
                <w:color w:val="333333"/>
                <w:sz w:val="22"/>
                <w:szCs w:val="22"/>
              </w:rPr>
              <w:t>C?</w:t>
            </w:r>
          </w:p>
        </w:tc>
      </w:tr>
      <w:tr w:rsidR="00296532" w:rsidRPr="00296532" w14:paraId="6DB9515C" w14:textId="77777777" w:rsidTr="00296532">
        <w:trPr>
          <w:trHeight w:val="600"/>
        </w:trPr>
        <w:tc>
          <w:tcPr>
            <w:tcW w:w="1360" w:type="dxa"/>
            <w:tcBorders>
              <w:top w:val="nil"/>
              <w:left w:val="nil"/>
              <w:bottom w:val="nil"/>
              <w:right w:val="nil"/>
            </w:tcBorders>
            <w:shd w:val="clear" w:color="auto" w:fill="auto"/>
            <w:noWrap/>
            <w:vAlign w:val="bottom"/>
            <w:hideMark/>
          </w:tcPr>
          <w:p w14:paraId="4DFFFB46" w14:textId="77777777" w:rsidR="00296532" w:rsidRPr="00296532" w:rsidRDefault="00296532" w:rsidP="00296532">
            <w:pPr>
              <w:jc w:val="center"/>
              <w:rPr>
                <w:rFonts w:ascii="Cambria" w:eastAsia="Times New Roman" w:hAnsi="Cambria"/>
                <w:color w:val="000000"/>
                <w:sz w:val="22"/>
                <w:szCs w:val="22"/>
              </w:rPr>
            </w:pPr>
          </w:p>
        </w:tc>
        <w:tc>
          <w:tcPr>
            <w:tcW w:w="380" w:type="dxa"/>
            <w:tcBorders>
              <w:top w:val="nil"/>
              <w:left w:val="nil"/>
              <w:bottom w:val="nil"/>
              <w:right w:val="nil"/>
            </w:tcBorders>
            <w:shd w:val="clear" w:color="auto" w:fill="auto"/>
            <w:noWrap/>
            <w:vAlign w:val="bottom"/>
            <w:hideMark/>
          </w:tcPr>
          <w:p w14:paraId="7057782E" w14:textId="77777777" w:rsidR="00296532" w:rsidRPr="00296532" w:rsidRDefault="00296532" w:rsidP="00296532">
            <w:pPr>
              <w:jc w:val="center"/>
              <w:rPr>
                <w:rFonts w:ascii="Cambria" w:eastAsia="Times New Roman" w:hAnsi="Cambria"/>
                <w:color w:val="000000"/>
                <w:sz w:val="22"/>
                <w:szCs w:val="22"/>
              </w:rPr>
            </w:pPr>
          </w:p>
        </w:tc>
        <w:tc>
          <w:tcPr>
            <w:tcW w:w="1700" w:type="dxa"/>
            <w:tcBorders>
              <w:top w:val="nil"/>
              <w:left w:val="nil"/>
              <w:bottom w:val="nil"/>
              <w:right w:val="nil"/>
            </w:tcBorders>
            <w:shd w:val="clear" w:color="auto" w:fill="auto"/>
            <w:noWrap/>
            <w:vAlign w:val="bottom"/>
            <w:hideMark/>
          </w:tcPr>
          <w:p w14:paraId="66AA6F0D" w14:textId="77777777" w:rsidR="00296532" w:rsidRPr="00296532" w:rsidRDefault="00296532" w:rsidP="00296532">
            <w:pPr>
              <w:jc w:val="center"/>
              <w:rPr>
                <w:rFonts w:ascii="Cambria" w:eastAsia="Times New Roman" w:hAnsi="Cambria"/>
                <w:i/>
                <w:iCs/>
                <w:color w:val="000000"/>
                <w:sz w:val="22"/>
                <w:szCs w:val="22"/>
              </w:rPr>
            </w:pPr>
          </w:p>
        </w:tc>
        <w:tc>
          <w:tcPr>
            <w:tcW w:w="720" w:type="dxa"/>
            <w:tcBorders>
              <w:top w:val="nil"/>
              <w:left w:val="nil"/>
              <w:bottom w:val="nil"/>
              <w:right w:val="nil"/>
            </w:tcBorders>
            <w:shd w:val="clear" w:color="auto" w:fill="auto"/>
            <w:noWrap/>
            <w:vAlign w:val="bottom"/>
            <w:hideMark/>
          </w:tcPr>
          <w:p w14:paraId="337326C2" w14:textId="77777777" w:rsidR="00296532" w:rsidRPr="00296532" w:rsidRDefault="00296532" w:rsidP="00296532">
            <w:pPr>
              <w:jc w:val="center"/>
              <w:rPr>
                <w:rFonts w:ascii="Cambria" w:eastAsia="Times New Roman" w:hAnsi="Cambria"/>
                <w:i/>
                <w:iCs/>
                <w:color w:val="000000"/>
                <w:sz w:val="22"/>
                <w:szCs w:val="22"/>
              </w:rPr>
            </w:pPr>
          </w:p>
        </w:tc>
        <w:tc>
          <w:tcPr>
            <w:tcW w:w="1140" w:type="dxa"/>
            <w:tcBorders>
              <w:top w:val="nil"/>
              <w:left w:val="nil"/>
              <w:bottom w:val="nil"/>
              <w:right w:val="nil"/>
            </w:tcBorders>
            <w:shd w:val="clear" w:color="auto" w:fill="auto"/>
            <w:noWrap/>
            <w:vAlign w:val="bottom"/>
            <w:hideMark/>
          </w:tcPr>
          <w:p w14:paraId="63A29C91" w14:textId="77777777" w:rsidR="00296532" w:rsidRPr="00296532" w:rsidRDefault="00296532" w:rsidP="00296532">
            <w:pPr>
              <w:jc w:val="center"/>
              <w:rPr>
                <w:rFonts w:ascii="Cambria" w:eastAsia="Times New Roman" w:hAnsi="Cambria"/>
                <w:i/>
                <w:iCs/>
                <w:color w:val="000000"/>
                <w:sz w:val="22"/>
                <w:szCs w:val="22"/>
              </w:rPr>
            </w:pPr>
            <w:r w:rsidRPr="00296532">
              <w:rPr>
                <w:rFonts w:ascii="Cambria" w:eastAsia="Times New Roman" w:hAnsi="Cambria"/>
                <w:i/>
                <w:iCs/>
                <w:color w:val="000000"/>
                <w:sz w:val="22"/>
                <w:szCs w:val="22"/>
              </w:rPr>
              <w:t>year</w:t>
            </w:r>
          </w:p>
        </w:tc>
        <w:tc>
          <w:tcPr>
            <w:tcW w:w="1240" w:type="dxa"/>
            <w:tcBorders>
              <w:top w:val="nil"/>
              <w:left w:val="nil"/>
              <w:bottom w:val="nil"/>
              <w:right w:val="nil"/>
            </w:tcBorders>
            <w:shd w:val="clear" w:color="auto" w:fill="auto"/>
            <w:noWrap/>
            <w:vAlign w:val="bottom"/>
            <w:hideMark/>
          </w:tcPr>
          <w:p w14:paraId="705D5A70" w14:textId="77777777" w:rsidR="00296532" w:rsidRPr="00296532" w:rsidRDefault="00296532" w:rsidP="00296532">
            <w:pPr>
              <w:jc w:val="center"/>
              <w:rPr>
                <w:rFonts w:ascii="Cambria" w:eastAsia="Times New Roman" w:hAnsi="Cambria"/>
                <w:i/>
                <w:iCs/>
                <w:color w:val="000000"/>
                <w:sz w:val="22"/>
                <w:szCs w:val="22"/>
              </w:rPr>
            </w:pPr>
            <w:r w:rsidRPr="00296532">
              <w:rPr>
                <w:rFonts w:ascii="Cambria" w:eastAsia="Times New Roman" w:hAnsi="Cambria"/>
                <w:i/>
                <w:iCs/>
                <w:color w:val="000000"/>
                <w:sz w:val="22"/>
                <w:szCs w:val="22"/>
              </w:rPr>
              <w:t>year</w:t>
            </w:r>
          </w:p>
        </w:tc>
        <w:tc>
          <w:tcPr>
            <w:tcW w:w="1320" w:type="dxa"/>
            <w:tcBorders>
              <w:top w:val="nil"/>
              <w:left w:val="nil"/>
              <w:bottom w:val="nil"/>
              <w:right w:val="nil"/>
            </w:tcBorders>
            <w:shd w:val="clear" w:color="auto" w:fill="auto"/>
            <w:vAlign w:val="bottom"/>
            <w:hideMark/>
          </w:tcPr>
          <w:p w14:paraId="48636CE1" w14:textId="77777777" w:rsidR="00296532" w:rsidRPr="00296532" w:rsidRDefault="00296532" w:rsidP="00296532">
            <w:pPr>
              <w:jc w:val="center"/>
              <w:rPr>
                <w:rFonts w:ascii="Cambria" w:eastAsia="Times New Roman" w:hAnsi="Cambria"/>
                <w:i/>
                <w:iCs/>
                <w:color w:val="000000"/>
                <w:sz w:val="22"/>
                <w:szCs w:val="22"/>
              </w:rPr>
            </w:pPr>
            <w:r w:rsidRPr="00296532">
              <w:rPr>
                <w:rFonts w:ascii="Cambria" w:eastAsia="Times New Roman" w:hAnsi="Cambria"/>
                <w:i/>
                <w:iCs/>
                <w:color w:val="000000"/>
                <w:sz w:val="22"/>
                <w:szCs w:val="22"/>
              </w:rPr>
              <w:t>% grav</w:t>
            </w:r>
          </w:p>
        </w:tc>
        <w:tc>
          <w:tcPr>
            <w:tcW w:w="1320" w:type="dxa"/>
            <w:tcBorders>
              <w:top w:val="nil"/>
              <w:left w:val="nil"/>
              <w:bottom w:val="nil"/>
              <w:right w:val="nil"/>
            </w:tcBorders>
            <w:shd w:val="clear" w:color="auto" w:fill="auto"/>
            <w:vAlign w:val="bottom"/>
            <w:hideMark/>
          </w:tcPr>
          <w:p w14:paraId="2954C6B0" w14:textId="77777777" w:rsidR="00296532" w:rsidRPr="00296532" w:rsidRDefault="00296532" w:rsidP="00296532">
            <w:pPr>
              <w:jc w:val="center"/>
              <w:rPr>
                <w:rFonts w:ascii="Cambria" w:eastAsia="Times New Roman" w:hAnsi="Cambria"/>
                <w:i/>
                <w:iCs/>
                <w:color w:val="000000"/>
                <w:sz w:val="22"/>
                <w:szCs w:val="22"/>
              </w:rPr>
            </w:pPr>
            <w:r w:rsidRPr="00296532">
              <w:rPr>
                <w:rFonts w:ascii="Cambria" w:eastAsia="Times New Roman" w:hAnsi="Cambria"/>
                <w:i/>
                <w:iCs/>
                <w:color w:val="000000"/>
                <w:sz w:val="22"/>
                <w:szCs w:val="22"/>
              </w:rPr>
              <w:t>% grav</w:t>
            </w:r>
          </w:p>
        </w:tc>
        <w:tc>
          <w:tcPr>
            <w:tcW w:w="743" w:type="dxa"/>
            <w:tcBorders>
              <w:top w:val="nil"/>
              <w:left w:val="nil"/>
              <w:bottom w:val="nil"/>
              <w:right w:val="nil"/>
            </w:tcBorders>
            <w:shd w:val="clear" w:color="auto" w:fill="auto"/>
            <w:noWrap/>
            <w:vAlign w:val="bottom"/>
            <w:hideMark/>
          </w:tcPr>
          <w:p w14:paraId="34570456" w14:textId="77777777" w:rsidR="00296532" w:rsidRPr="00296532" w:rsidRDefault="00296532" w:rsidP="00296532">
            <w:pPr>
              <w:jc w:val="center"/>
              <w:rPr>
                <w:rFonts w:ascii="Cambria" w:eastAsia="Times New Roman" w:hAnsi="Cambria"/>
                <w:i/>
                <w:iCs/>
                <w:color w:val="000000"/>
                <w:sz w:val="22"/>
                <w:szCs w:val="22"/>
              </w:rPr>
            </w:pPr>
            <w:r w:rsidRPr="00296532">
              <w:rPr>
                <w:rFonts w:ascii="Cambria" w:eastAsia="Times New Roman" w:hAnsi="Cambria"/>
                <w:i/>
                <w:iCs/>
                <w:color w:val="000000"/>
                <w:sz w:val="22"/>
                <w:szCs w:val="22"/>
              </w:rPr>
              <w:t>days</w:t>
            </w:r>
          </w:p>
        </w:tc>
        <w:tc>
          <w:tcPr>
            <w:tcW w:w="772" w:type="dxa"/>
            <w:tcBorders>
              <w:top w:val="nil"/>
              <w:left w:val="nil"/>
              <w:bottom w:val="nil"/>
              <w:right w:val="nil"/>
            </w:tcBorders>
            <w:shd w:val="clear" w:color="auto" w:fill="auto"/>
            <w:noWrap/>
            <w:vAlign w:val="bottom"/>
            <w:hideMark/>
          </w:tcPr>
          <w:p w14:paraId="094E2C24" w14:textId="77777777" w:rsidR="00296532" w:rsidRPr="00296532" w:rsidRDefault="00296532" w:rsidP="00296532">
            <w:pPr>
              <w:jc w:val="center"/>
              <w:rPr>
                <w:rFonts w:ascii="Cambria" w:eastAsia="Times New Roman" w:hAnsi="Cambria"/>
                <w:i/>
                <w:iCs/>
                <w:color w:val="000000"/>
                <w:sz w:val="22"/>
                <w:szCs w:val="22"/>
              </w:rPr>
            </w:pPr>
          </w:p>
        </w:tc>
        <w:tc>
          <w:tcPr>
            <w:tcW w:w="728" w:type="dxa"/>
            <w:tcBorders>
              <w:top w:val="nil"/>
              <w:left w:val="nil"/>
              <w:bottom w:val="nil"/>
              <w:right w:val="nil"/>
            </w:tcBorders>
            <w:shd w:val="clear" w:color="auto" w:fill="auto"/>
            <w:noWrap/>
            <w:vAlign w:val="bottom"/>
            <w:hideMark/>
          </w:tcPr>
          <w:p w14:paraId="17000CD7" w14:textId="77777777" w:rsidR="00296532" w:rsidRPr="00296532" w:rsidRDefault="00296532" w:rsidP="00296532">
            <w:pPr>
              <w:jc w:val="center"/>
              <w:rPr>
                <w:rFonts w:ascii="Cambria" w:eastAsia="Times New Roman" w:hAnsi="Cambria"/>
                <w:i/>
                <w:iCs/>
                <w:color w:val="000000"/>
                <w:sz w:val="22"/>
                <w:szCs w:val="22"/>
              </w:rPr>
            </w:pPr>
          </w:p>
        </w:tc>
        <w:tc>
          <w:tcPr>
            <w:tcW w:w="725" w:type="dxa"/>
            <w:tcBorders>
              <w:top w:val="nil"/>
              <w:left w:val="nil"/>
              <w:bottom w:val="nil"/>
              <w:right w:val="nil"/>
            </w:tcBorders>
            <w:shd w:val="clear" w:color="auto" w:fill="auto"/>
            <w:noWrap/>
            <w:vAlign w:val="bottom"/>
            <w:hideMark/>
          </w:tcPr>
          <w:p w14:paraId="77F94A93" w14:textId="77777777" w:rsidR="00296532" w:rsidRPr="00296532" w:rsidRDefault="00296532" w:rsidP="00296532">
            <w:pPr>
              <w:jc w:val="center"/>
              <w:rPr>
                <w:rFonts w:ascii="Cambria" w:eastAsia="Times New Roman" w:hAnsi="Cambria"/>
                <w:i/>
                <w:iCs/>
                <w:color w:val="000000"/>
                <w:sz w:val="22"/>
                <w:szCs w:val="22"/>
              </w:rPr>
            </w:pPr>
            <w:r w:rsidRPr="00296532">
              <w:rPr>
                <w:rFonts w:ascii="Cambria" w:eastAsia="Times New Roman" w:hAnsi="Cambria"/>
                <w:i/>
                <w:iCs/>
                <w:color w:val="000000"/>
                <w:sz w:val="22"/>
                <w:szCs w:val="22"/>
              </w:rPr>
              <w:t>days</w:t>
            </w:r>
          </w:p>
        </w:tc>
        <w:tc>
          <w:tcPr>
            <w:tcW w:w="727" w:type="dxa"/>
            <w:tcBorders>
              <w:top w:val="nil"/>
              <w:left w:val="nil"/>
              <w:bottom w:val="nil"/>
              <w:right w:val="nil"/>
            </w:tcBorders>
            <w:shd w:val="clear" w:color="auto" w:fill="auto"/>
            <w:noWrap/>
            <w:vAlign w:val="bottom"/>
            <w:hideMark/>
          </w:tcPr>
          <w:p w14:paraId="31AEEBA1" w14:textId="77777777" w:rsidR="00296532" w:rsidRPr="00296532" w:rsidRDefault="00296532" w:rsidP="00296532">
            <w:pPr>
              <w:jc w:val="center"/>
              <w:rPr>
                <w:rFonts w:ascii="Cambria" w:eastAsia="Times New Roman" w:hAnsi="Cambria"/>
                <w:i/>
                <w:iCs/>
                <w:color w:val="000000"/>
                <w:sz w:val="22"/>
                <w:szCs w:val="22"/>
              </w:rPr>
            </w:pPr>
          </w:p>
        </w:tc>
        <w:tc>
          <w:tcPr>
            <w:tcW w:w="706" w:type="dxa"/>
            <w:tcBorders>
              <w:top w:val="nil"/>
              <w:left w:val="nil"/>
              <w:bottom w:val="nil"/>
              <w:right w:val="nil"/>
            </w:tcBorders>
            <w:shd w:val="clear" w:color="auto" w:fill="auto"/>
            <w:noWrap/>
            <w:vAlign w:val="bottom"/>
            <w:hideMark/>
          </w:tcPr>
          <w:p w14:paraId="1E924DA4" w14:textId="77777777" w:rsidR="00296532" w:rsidRPr="00296532" w:rsidRDefault="00296532" w:rsidP="00296532">
            <w:pPr>
              <w:jc w:val="center"/>
              <w:rPr>
                <w:rFonts w:ascii="Cambria" w:eastAsia="Times New Roman" w:hAnsi="Cambria"/>
                <w:i/>
                <w:iCs/>
                <w:color w:val="000000"/>
                <w:sz w:val="22"/>
                <w:szCs w:val="22"/>
              </w:rPr>
            </w:pPr>
          </w:p>
        </w:tc>
      </w:tr>
      <w:tr w:rsidR="00296532" w:rsidRPr="00296532" w14:paraId="5D7AEB54" w14:textId="77777777" w:rsidTr="00296532">
        <w:trPr>
          <w:trHeight w:val="300"/>
        </w:trPr>
        <w:tc>
          <w:tcPr>
            <w:tcW w:w="1360" w:type="dxa"/>
            <w:tcBorders>
              <w:top w:val="nil"/>
              <w:left w:val="nil"/>
              <w:bottom w:val="nil"/>
              <w:right w:val="nil"/>
            </w:tcBorders>
            <w:shd w:val="clear" w:color="auto" w:fill="auto"/>
            <w:noWrap/>
            <w:vAlign w:val="bottom"/>
            <w:hideMark/>
          </w:tcPr>
          <w:p w14:paraId="79732CE1" w14:textId="77777777" w:rsidR="00296532" w:rsidRPr="00296532" w:rsidRDefault="00296532" w:rsidP="00296532">
            <w:pPr>
              <w:jc w:val="center"/>
              <w:rPr>
                <w:rFonts w:ascii="Cambria" w:eastAsia="Times New Roman" w:hAnsi="Cambria"/>
                <w:color w:val="000000"/>
                <w:sz w:val="22"/>
                <w:szCs w:val="22"/>
              </w:rPr>
            </w:pPr>
          </w:p>
        </w:tc>
        <w:tc>
          <w:tcPr>
            <w:tcW w:w="380" w:type="dxa"/>
            <w:tcBorders>
              <w:top w:val="nil"/>
              <w:left w:val="nil"/>
              <w:bottom w:val="nil"/>
              <w:right w:val="nil"/>
            </w:tcBorders>
            <w:shd w:val="clear" w:color="auto" w:fill="auto"/>
            <w:noWrap/>
            <w:vAlign w:val="bottom"/>
            <w:hideMark/>
          </w:tcPr>
          <w:p w14:paraId="528DBAAF" w14:textId="77777777" w:rsidR="00296532" w:rsidRPr="00296532" w:rsidRDefault="00296532" w:rsidP="00296532">
            <w:pPr>
              <w:jc w:val="center"/>
              <w:rPr>
                <w:rFonts w:ascii="Cambria" w:eastAsia="Times New Roman" w:hAnsi="Cambria"/>
                <w:color w:val="000000"/>
                <w:sz w:val="22"/>
                <w:szCs w:val="22"/>
              </w:rPr>
            </w:pPr>
          </w:p>
        </w:tc>
        <w:tc>
          <w:tcPr>
            <w:tcW w:w="1700" w:type="dxa"/>
            <w:tcBorders>
              <w:top w:val="nil"/>
              <w:left w:val="nil"/>
              <w:bottom w:val="nil"/>
              <w:right w:val="nil"/>
            </w:tcBorders>
            <w:shd w:val="clear" w:color="auto" w:fill="auto"/>
            <w:noWrap/>
            <w:vAlign w:val="bottom"/>
            <w:hideMark/>
          </w:tcPr>
          <w:p w14:paraId="223FAAA9" w14:textId="77777777" w:rsidR="00296532" w:rsidRPr="00296532" w:rsidRDefault="00296532" w:rsidP="00296532">
            <w:pPr>
              <w:jc w:val="center"/>
              <w:rPr>
                <w:rFonts w:ascii="Cambria" w:eastAsia="Times New Roman" w:hAnsi="Cambria"/>
                <w:i/>
                <w:iCs/>
                <w:color w:val="000000"/>
                <w:sz w:val="22"/>
                <w:szCs w:val="22"/>
              </w:rPr>
            </w:pPr>
          </w:p>
        </w:tc>
        <w:tc>
          <w:tcPr>
            <w:tcW w:w="720" w:type="dxa"/>
            <w:tcBorders>
              <w:top w:val="nil"/>
              <w:left w:val="nil"/>
              <w:bottom w:val="nil"/>
              <w:right w:val="nil"/>
            </w:tcBorders>
            <w:shd w:val="clear" w:color="auto" w:fill="auto"/>
            <w:noWrap/>
            <w:vAlign w:val="bottom"/>
            <w:hideMark/>
          </w:tcPr>
          <w:p w14:paraId="7F82DC20" w14:textId="77777777" w:rsidR="00296532" w:rsidRPr="00296532" w:rsidRDefault="00296532" w:rsidP="00296532">
            <w:pPr>
              <w:jc w:val="center"/>
              <w:rPr>
                <w:rFonts w:ascii="Cambria" w:eastAsia="Times New Roman" w:hAnsi="Cambria"/>
                <w:i/>
                <w:iCs/>
                <w:color w:val="000000"/>
                <w:sz w:val="22"/>
                <w:szCs w:val="22"/>
              </w:rPr>
            </w:pPr>
          </w:p>
        </w:tc>
        <w:tc>
          <w:tcPr>
            <w:tcW w:w="1140" w:type="dxa"/>
            <w:tcBorders>
              <w:top w:val="nil"/>
              <w:left w:val="nil"/>
              <w:bottom w:val="nil"/>
              <w:right w:val="nil"/>
            </w:tcBorders>
            <w:shd w:val="clear" w:color="auto" w:fill="auto"/>
            <w:noWrap/>
            <w:vAlign w:val="bottom"/>
            <w:hideMark/>
          </w:tcPr>
          <w:p w14:paraId="5A43A372" w14:textId="77777777" w:rsidR="00296532" w:rsidRPr="00296532" w:rsidRDefault="00296532" w:rsidP="00296532">
            <w:pPr>
              <w:jc w:val="center"/>
              <w:rPr>
                <w:rFonts w:ascii="Cambria" w:eastAsia="Times New Roman" w:hAnsi="Cambria"/>
                <w:i/>
                <w:iCs/>
                <w:color w:val="000000"/>
                <w:sz w:val="22"/>
                <w:szCs w:val="22"/>
              </w:rPr>
            </w:pPr>
          </w:p>
        </w:tc>
        <w:tc>
          <w:tcPr>
            <w:tcW w:w="1240" w:type="dxa"/>
            <w:tcBorders>
              <w:top w:val="nil"/>
              <w:left w:val="nil"/>
              <w:bottom w:val="nil"/>
              <w:right w:val="nil"/>
            </w:tcBorders>
            <w:shd w:val="clear" w:color="auto" w:fill="auto"/>
            <w:noWrap/>
            <w:vAlign w:val="bottom"/>
            <w:hideMark/>
          </w:tcPr>
          <w:p w14:paraId="6FE234F0" w14:textId="77777777" w:rsidR="00296532" w:rsidRPr="00296532" w:rsidRDefault="00296532" w:rsidP="00296532">
            <w:pPr>
              <w:jc w:val="center"/>
              <w:rPr>
                <w:rFonts w:ascii="Cambria" w:eastAsia="Times New Roman" w:hAnsi="Cambria"/>
                <w:i/>
                <w:iCs/>
                <w:color w:val="000000"/>
                <w:sz w:val="22"/>
                <w:szCs w:val="22"/>
              </w:rPr>
            </w:pPr>
          </w:p>
        </w:tc>
        <w:tc>
          <w:tcPr>
            <w:tcW w:w="1320" w:type="dxa"/>
            <w:tcBorders>
              <w:top w:val="nil"/>
              <w:left w:val="nil"/>
              <w:bottom w:val="nil"/>
              <w:right w:val="nil"/>
            </w:tcBorders>
            <w:shd w:val="clear" w:color="auto" w:fill="auto"/>
            <w:vAlign w:val="bottom"/>
            <w:hideMark/>
          </w:tcPr>
          <w:p w14:paraId="5415C3F0" w14:textId="77777777" w:rsidR="00296532" w:rsidRPr="00296532" w:rsidRDefault="00296532" w:rsidP="00296532">
            <w:pPr>
              <w:jc w:val="center"/>
              <w:rPr>
                <w:rFonts w:ascii="Cambria" w:eastAsia="Times New Roman" w:hAnsi="Cambria"/>
                <w:i/>
                <w:iCs/>
                <w:color w:val="000000"/>
                <w:sz w:val="22"/>
                <w:szCs w:val="22"/>
              </w:rPr>
            </w:pPr>
          </w:p>
        </w:tc>
        <w:tc>
          <w:tcPr>
            <w:tcW w:w="1320" w:type="dxa"/>
            <w:tcBorders>
              <w:top w:val="nil"/>
              <w:left w:val="nil"/>
              <w:bottom w:val="nil"/>
              <w:right w:val="nil"/>
            </w:tcBorders>
            <w:shd w:val="clear" w:color="auto" w:fill="auto"/>
            <w:vAlign w:val="bottom"/>
            <w:hideMark/>
          </w:tcPr>
          <w:p w14:paraId="620AA5A1" w14:textId="77777777" w:rsidR="00296532" w:rsidRPr="00296532" w:rsidRDefault="00296532" w:rsidP="00296532">
            <w:pPr>
              <w:jc w:val="center"/>
              <w:rPr>
                <w:rFonts w:ascii="Cambria" w:eastAsia="Times New Roman" w:hAnsi="Cambria"/>
                <w:i/>
                <w:iCs/>
                <w:color w:val="000000"/>
                <w:sz w:val="22"/>
                <w:szCs w:val="22"/>
              </w:rPr>
            </w:pPr>
          </w:p>
        </w:tc>
        <w:tc>
          <w:tcPr>
            <w:tcW w:w="743" w:type="dxa"/>
            <w:tcBorders>
              <w:top w:val="nil"/>
              <w:left w:val="nil"/>
              <w:bottom w:val="nil"/>
              <w:right w:val="nil"/>
            </w:tcBorders>
            <w:shd w:val="clear" w:color="auto" w:fill="auto"/>
            <w:noWrap/>
            <w:vAlign w:val="bottom"/>
            <w:hideMark/>
          </w:tcPr>
          <w:p w14:paraId="4D80EA5A" w14:textId="77777777" w:rsidR="00296532" w:rsidRPr="00296532" w:rsidRDefault="00296532" w:rsidP="00296532">
            <w:pPr>
              <w:jc w:val="center"/>
              <w:rPr>
                <w:rFonts w:ascii="Cambria" w:eastAsia="Times New Roman" w:hAnsi="Cambria"/>
                <w:i/>
                <w:iCs/>
                <w:color w:val="000000"/>
                <w:sz w:val="22"/>
                <w:szCs w:val="22"/>
              </w:rPr>
            </w:pPr>
          </w:p>
        </w:tc>
        <w:tc>
          <w:tcPr>
            <w:tcW w:w="772" w:type="dxa"/>
            <w:tcBorders>
              <w:top w:val="nil"/>
              <w:left w:val="nil"/>
              <w:bottom w:val="nil"/>
              <w:right w:val="nil"/>
            </w:tcBorders>
            <w:shd w:val="clear" w:color="auto" w:fill="auto"/>
            <w:noWrap/>
            <w:vAlign w:val="bottom"/>
            <w:hideMark/>
          </w:tcPr>
          <w:p w14:paraId="65AB68DE" w14:textId="77777777" w:rsidR="00296532" w:rsidRPr="00296532" w:rsidRDefault="00296532" w:rsidP="00296532">
            <w:pPr>
              <w:jc w:val="center"/>
              <w:rPr>
                <w:rFonts w:ascii="Cambria" w:eastAsia="Times New Roman" w:hAnsi="Cambria"/>
                <w:i/>
                <w:iCs/>
                <w:color w:val="000000"/>
                <w:sz w:val="22"/>
                <w:szCs w:val="22"/>
              </w:rPr>
            </w:pPr>
          </w:p>
        </w:tc>
        <w:tc>
          <w:tcPr>
            <w:tcW w:w="728" w:type="dxa"/>
            <w:tcBorders>
              <w:top w:val="nil"/>
              <w:left w:val="nil"/>
              <w:bottom w:val="nil"/>
              <w:right w:val="nil"/>
            </w:tcBorders>
            <w:shd w:val="clear" w:color="auto" w:fill="auto"/>
            <w:noWrap/>
            <w:vAlign w:val="bottom"/>
            <w:hideMark/>
          </w:tcPr>
          <w:p w14:paraId="7BE2F53F" w14:textId="77777777" w:rsidR="00296532" w:rsidRPr="00296532" w:rsidRDefault="00296532" w:rsidP="00296532">
            <w:pPr>
              <w:jc w:val="center"/>
              <w:rPr>
                <w:rFonts w:ascii="Cambria" w:eastAsia="Times New Roman" w:hAnsi="Cambria"/>
                <w:i/>
                <w:iCs/>
                <w:color w:val="000000"/>
                <w:sz w:val="22"/>
                <w:szCs w:val="22"/>
              </w:rPr>
            </w:pPr>
          </w:p>
        </w:tc>
        <w:tc>
          <w:tcPr>
            <w:tcW w:w="725" w:type="dxa"/>
            <w:tcBorders>
              <w:top w:val="nil"/>
              <w:left w:val="nil"/>
              <w:bottom w:val="nil"/>
              <w:right w:val="nil"/>
            </w:tcBorders>
            <w:shd w:val="clear" w:color="auto" w:fill="auto"/>
            <w:noWrap/>
            <w:vAlign w:val="bottom"/>
            <w:hideMark/>
          </w:tcPr>
          <w:p w14:paraId="4CE7619B" w14:textId="77777777" w:rsidR="00296532" w:rsidRPr="00296532" w:rsidRDefault="00296532" w:rsidP="00296532">
            <w:pPr>
              <w:jc w:val="center"/>
              <w:rPr>
                <w:rFonts w:ascii="Cambria" w:eastAsia="Times New Roman" w:hAnsi="Cambria"/>
                <w:i/>
                <w:iCs/>
                <w:color w:val="000000"/>
                <w:sz w:val="22"/>
                <w:szCs w:val="22"/>
              </w:rPr>
            </w:pPr>
          </w:p>
        </w:tc>
        <w:tc>
          <w:tcPr>
            <w:tcW w:w="727" w:type="dxa"/>
            <w:tcBorders>
              <w:top w:val="nil"/>
              <w:left w:val="nil"/>
              <w:bottom w:val="nil"/>
              <w:right w:val="nil"/>
            </w:tcBorders>
            <w:shd w:val="clear" w:color="auto" w:fill="auto"/>
            <w:noWrap/>
            <w:vAlign w:val="bottom"/>
            <w:hideMark/>
          </w:tcPr>
          <w:p w14:paraId="63984A8D" w14:textId="77777777" w:rsidR="00296532" w:rsidRPr="00296532" w:rsidRDefault="00296532" w:rsidP="00296532">
            <w:pPr>
              <w:jc w:val="center"/>
              <w:rPr>
                <w:rFonts w:ascii="Cambria" w:eastAsia="Times New Roman" w:hAnsi="Cambria"/>
                <w:i/>
                <w:iCs/>
                <w:color w:val="000000"/>
                <w:sz w:val="22"/>
                <w:szCs w:val="22"/>
              </w:rPr>
            </w:pPr>
          </w:p>
        </w:tc>
        <w:tc>
          <w:tcPr>
            <w:tcW w:w="706" w:type="dxa"/>
            <w:tcBorders>
              <w:top w:val="nil"/>
              <w:left w:val="nil"/>
              <w:bottom w:val="nil"/>
              <w:right w:val="nil"/>
            </w:tcBorders>
            <w:shd w:val="clear" w:color="auto" w:fill="auto"/>
            <w:noWrap/>
            <w:vAlign w:val="bottom"/>
            <w:hideMark/>
          </w:tcPr>
          <w:p w14:paraId="6470FBDB" w14:textId="77777777" w:rsidR="00296532" w:rsidRPr="00296532" w:rsidRDefault="00296532" w:rsidP="00296532">
            <w:pPr>
              <w:jc w:val="center"/>
              <w:rPr>
                <w:rFonts w:ascii="Cambria" w:eastAsia="Times New Roman" w:hAnsi="Cambria"/>
                <w:i/>
                <w:iCs/>
                <w:color w:val="000000"/>
                <w:sz w:val="22"/>
                <w:szCs w:val="22"/>
              </w:rPr>
            </w:pPr>
          </w:p>
        </w:tc>
      </w:tr>
      <w:tr w:rsidR="00296532" w:rsidRPr="00296532" w14:paraId="2B99568F" w14:textId="77777777" w:rsidTr="00296532">
        <w:trPr>
          <w:trHeight w:val="600"/>
        </w:trPr>
        <w:tc>
          <w:tcPr>
            <w:tcW w:w="1360" w:type="dxa"/>
            <w:vMerge w:val="restart"/>
            <w:tcBorders>
              <w:top w:val="nil"/>
              <w:left w:val="nil"/>
              <w:bottom w:val="nil"/>
              <w:right w:val="nil"/>
            </w:tcBorders>
            <w:shd w:val="clear" w:color="auto" w:fill="auto"/>
            <w:noWrap/>
            <w:hideMark/>
          </w:tcPr>
          <w:p w14:paraId="4FA2EF80"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1</w:t>
            </w:r>
          </w:p>
        </w:tc>
        <w:tc>
          <w:tcPr>
            <w:tcW w:w="380" w:type="dxa"/>
            <w:tcBorders>
              <w:top w:val="nil"/>
              <w:left w:val="nil"/>
              <w:bottom w:val="nil"/>
              <w:right w:val="nil"/>
            </w:tcBorders>
            <w:shd w:val="clear" w:color="auto" w:fill="auto"/>
            <w:noWrap/>
            <w:hideMark/>
          </w:tcPr>
          <w:p w14:paraId="38CAD040"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12</w:t>
            </w:r>
          </w:p>
        </w:tc>
        <w:tc>
          <w:tcPr>
            <w:tcW w:w="1700" w:type="dxa"/>
            <w:tcBorders>
              <w:top w:val="nil"/>
              <w:left w:val="nil"/>
              <w:bottom w:val="nil"/>
              <w:right w:val="nil"/>
            </w:tcBorders>
            <w:shd w:val="clear" w:color="auto" w:fill="auto"/>
            <w:noWrap/>
            <w:hideMark/>
          </w:tcPr>
          <w:p w14:paraId="57A3FD6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control-1</w:t>
            </w:r>
          </w:p>
        </w:tc>
        <w:tc>
          <w:tcPr>
            <w:tcW w:w="720" w:type="dxa"/>
            <w:tcBorders>
              <w:top w:val="nil"/>
              <w:left w:val="nil"/>
              <w:bottom w:val="nil"/>
              <w:right w:val="nil"/>
            </w:tcBorders>
            <w:shd w:val="clear" w:color="auto" w:fill="auto"/>
            <w:noWrap/>
            <w:hideMark/>
          </w:tcPr>
          <w:p w14:paraId="493DC75D"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w:t>
            </w:r>
          </w:p>
        </w:tc>
        <w:tc>
          <w:tcPr>
            <w:tcW w:w="1140" w:type="dxa"/>
            <w:tcBorders>
              <w:top w:val="nil"/>
              <w:left w:val="nil"/>
              <w:bottom w:val="nil"/>
              <w:right w:val="nil"/>
            </w:tcBorders>
            <w:shd w:val="clear" w:color="auto" w:fill="auto"/>
            <w:noWrap/>
            <w:hideMark/>
          </w:tcPr>
          <w:p w14:paraId="62161E4A"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2011</w:t>
            </w:r>
          </w:p>
        </w:tc>
        <w:tc>
          <w:tcPr>
            <w:tcW w:w="1240" w:type="dxa"/>
            <w:tcBorders>
              <w:top w:val="nil"/>
              <w:left w:val="nil"/>
              <w:bottom w:val="nil"/>
              <w:right w:val="nil"/>
            </w:tcBorders>
            <w:shd w:val="clear" w:color="auto" w:fill="auto"/>
            <w:noWrap/>
            <w:hideMark/>
          </w:tcPr>
          <w:p w14:paraId="0594DF1E"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2011</w:t>
            </w:r>
          </w:p>
        </w:tc>
        <w:tc>
          <w:tcPr>
            <w:tcW w:w="1320" w:type="dxa"/>
            <w:tcBorders>
              <w:top w:val="nil"/>
              <w:left w:val="nil"/>
              <w:bottom w:val="nil"/>
              <w:right w:val="nil"/>
            </w:tcBorders>
            <w:shd w:val="clear" w:color="auto" w:fill="auto"/>
            <w:noWrap/>
            <w:hideMark/>
          </w:tcPr>
          <w:p w14:paraId="3B403A6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24-55 (11)</w:t>
            </w:r>
          </w:p>
        </w:tc>
        <w:tc>
          <w:tcPr>
            <w:tcW w:w="1320" w:type="dxa"/>
            <w:tcBorders>
              <w:top w:val="nil"/>
              <w:left w:val="nil"/>
              <w:bottom w:val="nil"/>
              <w:right w:val="nil"/>
            </w:tcBorders>
            <w:shd w:val="clear" w:color="auto" w:fill="auto"/>
            <w:noWrap/>
            <w:hideMark/>
          </w:tcPr>
          <w:p w14:paraId="2A0D0CE2"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24-61 (13)</w:t>
            </w:r>
          </w:p>
        </w:tc>
        <w:tc>
          <w:tcPr>
            <w:tcW w:w="743" w:type="dxa"/>
            <w:tcBorders>
              <w:top w:val="nil"/>
              <w:left w:val="nil"/>
              <w:bottom w:val="nil"/>
              <w:right w:val="nil"/>
            </w:tcBorders>
            <w:shd w:val="clear" w:color="auto" w:fill="auto"/>
            <w:noWrap/>
            <w:hideMark/>
          </w:tcPr>
          <w:p w14:paraId="51B40BEC"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4</w:t>
            </w:r>
          </w:p>
        </w:tc>
        <w:tc>
          <w:tcPr>
            <w:tcW w:w="772" w:type="dxa"/>
            <w:tcBorders>
              <w:top w:val="nil"/>
              <w:left w:val="nil"/>
              <w:bottom w:val="nil"/>
              <w:right w:val="nil"/>
            </w:tcBorders>
            <w:shd w:val="clear" w:color="auto" w:fill="auto"/>
            <w:noWrap/>
            <w:hideMark/>
          </w:tcPr>
          <w:p w14:paraId="033A4411"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no</w:t>
            </w:r>
          </w:p>
        </w:tc>
        <w:tc>
          <w:tcPr>
            <w:tcW w:w="728" w:type="dxa"/>
            <w:tcBorders>
              <w:top w:val="nil"/>
              <w:left w:val="nil"/>
              <w:bottom w:val="nil"/>
              <w:right w:val="nil"/>
            </w:tcBorders>
            <w:shd w:val="clear" w:color="auto" w:fill="auto"/>
            <w:noWrap/>
            <w:hideMark/>
          </w:tcPr>
          <w:p w14:paraId="6D51DFC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no</w:t>
            </w:r>
          </w:p>
        </w:tc>
        <w:tc>
          <w:tcPr>
            <w:tcW w:w="725" w:type="dxa"/>
            <w:tcBorders>
              <w:top w:val="nil"/>
              <w:left w:val="nil"/>
              <w:bottom w:val="nil"/>
              <w:right w:val="nil"/>
            </w:tcBorders>
            <w:shd w:val="clear" w:color="auto" w:fill="auto"/>
            <w:noWrap/>
            <w:hideMark/>
          </w:tcPr>
          <w:p w14:paraId="7903619C"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14</w:t>
            </w:r>
          </w:p>
        </w:tc>
        <w:tc>
          <w:tcPr>
            <w:tcW w:w="727" w:type="dxa"/>
            <w:tcBorders>
              <w:top w:val="nil"/>
              <w:left w:val="nil"/>
              <w:bottom w:val="nil"/>
              <w:right w:val="nil"/>
            </w:tcBorders>
            <w:shd w:val="clear" w:color="auto" w:fill="auto"/>
            <w:noWrap/>
            <w:hideMark/>
          </w:tcPr>
          <w:p w14:paraId="11C49FFA"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06" w:type="dxa"/>
            <w:tcBorders>
              <w:top w:val="nil"/>
              <w:left w:val="nil"/>
              <w:bottom w:val="nil"/>
              <w:right w:val="nil"/>
            </w:tcBorders>
            <w:shd w:val="clear" w:color="auto" w:fill="auto"/>
            <w:noWrap/>
            <w:hideMark/>
          </w:tcPr>
          <w:p w14:paraId="3F39E880"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r>
      <w:tr w:rsidR="00296532" w:rsidRPr="00296532" w14:paraId="25E07E73" w14:textId="77777777" w:rsidTr="00296532">
        <w:trPr>
          <w:trHeight w:val="600"/>
        </w:trPr>
        <w:tc>
          <w:tcPr>
            <w:tcW w:w="1360" w:type="dxa"/>
            <w:vMerge/>
            <w:tcBorders>
              <w:top w:val="nil"/>
              <w:left w:val="nil"/>
              <w:bottom w:val="nil"/>
              <w:right w:val="nil"/>
            </w:tcBorders>
            <w:vAlign w:val="center"/>
            <w:hideMark/>
          </w:tcPr>
          <w:p w14:paraId="349A808B" w14:textId="77777777" w:rsidR="00296532" w:rsidRPr="00296532" w:rsidRDefault="00296532" w:rsidP="00296532">
            <w:pPr>
              <w:rPr>
                <w:rFonts w:ascii="Cambria" w:eastAsia="Times New Roman" w:hAnsi="Cambria"/>
                <w:color w:val="000000"/>
                <w:sz w:val="22"/>
                <w:szCs w:val="22"/>
              </w:rPr>
            </w:pPr>
          </w:p>
        </w:tc>
        <w:tc>
          <w:tcPr>
            <w:tcW w:w="380" w:type="dxa"/>
            <w:tcBorders>
              <w:top w:val="nil"/>
              <w:left w:val="nil"/>
              <w:bottom w:val="nil"/>
              <w:right w:val="nil"/>
            </w:tcBorders>
            <w:shd w:val="clear" w:color="auto" w:fill="auto"/>
            <w:noWrap/>
            <w:hideMark/>
          </w:tcPr>
          <w:p w14:paraId="2642311C"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12</w:t>
            </w:r>
          </w:p>
        </w:tc>
        <w:tc>
          <w:tcPr>
            <w:tcW w:w="1700" w:type="dxa"/>
            <w:tcBorders>
              <w:top w:val="nil"/>
              <w:left w:val="nil"/>
              <w:bottom w:val="nil"/>
              <w:right w:val="nil"/>
            </w:tcBorders>
            <w:shd w:val="clear" w:color="auto" w:fill="auto"/>
            <w:hideMark/>
          </w:tcPr>
          <w:p w14:paraId="5462C621"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air-dry/rewet + storage</w:t>
            </w:r>
          </w:p>
        </w:tc>
        <w:tc>
          <w:tcPr>
            <w:tcW w:w="720" w:type="dxa"/>
            <w:tcBorders>
              <w:top w:val="nil"/>
              <w:left w:val="nil"/>
              <w:bottom w:val="nil"/>
              <w:right w:val="nil"/>
            </w:tcBorders>
            <w:shd w:val="clear" w:color="auto" w:fill="auto"/>
            <w:noWrap/>
            <w:hideMark/>
          </w:tcPr>
          <w:p w14:paraId="6C57BA59"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w:t>
            </w:r>
          </w:p>
        </w:tc>
        <w:tc>
          <w:tcPr>
            <w:tcW w:w="1140" w:type="dxa"/>
            <w:tcBorders>
              <w:top w:val="nil"/>
              <w:left w:val="nil"/>
              <w:bottom w:val="nil"/>
              <w:right w:val="nil"/>
            </w:tcBorders>
            <w:shd w:val="clear" w:color="auto" w:fill="auto"/>
            <w:noWrap/>
            <w:hideMark/>
          </w:tcPr>
          <w:p w14:paraId="7C94EAC7"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2011</w:t>
            </w:r>
          </w:p>
        </w:tc>
        <w:tc>
          <w:tcPr>
            <w:tcW w:w="1240" w:type="dxa"/>
            <w:tcBorders>
              <w:top w:val="nil"/>
              <w:left w:val="nil"/>
              <w:bottom w:val="nil"/>
              <w:right w:val="nil"/>
            </w:tcBorders>
            <w:shd w:val="clear" w:color="auto" w:fill="auto"/>
            <w:noWrap/>
            <w:hideMark/>
          </w:tcPr>
          <w:p w14:paraId="77FFDDA2"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2018</w:t>
            </w:r>
          </w:p>
        </w:tc>
        <w:tc>
          <w:tcPr>
            <w:tcW w:w="1320" w:type="dxa"/>
            <w:tcBorders>
              <w:top w:val="nil"/>
              <w:left w:val="nil"/>
              <w:bottom w:val="nil"/>
              <w:right w:val="nil"/>
            </w:tcBorders>
            <w:shd w:val="clear" w:color="auto" w:fill="auto"/>
            <w:noWrap/>
            <w:hideMark/>
          </w:tcPr>
          <w:p w14:paraId="2DE68E1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&lt;1</w:t>
            </w:r>
          </w:p>
        </w:tc>
        <w:tc>
          <w:tcPr>
            <w:tcW w:w="1320" w:type="dxa"/>
            <w:tcBorders>
              <w:top w:val="nil"/>
              <w:left w:val="nil"/>
              <w:bottom w:val="nil"/>
              <w:right w:val="nil"/>
            </w:tcBorders>
            <w:shd w:val="clear" w:color="auto" w:fill="auto"/>
            <w:noWrap/>
            <w:hideMark/>
          </w:tcPr>
          <w:p w14:paraId="00E67E33"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24-61 (13)</w:t>
            </w:r>
          </w:p>
        </w:tc>
        <w:tc>
          <w:tcPr>
            <w:tcW w:w="743" w:type="dxa"/>
            <w:tcBorders>
              <w:top w:val="nil"/>
              <w:left w:val="nil"/>
              <w:bottom w:val="nil"/>
              <w:right w:val="nil"/>
            </w:tcBorders>
            <w:shd w:val="clear" w:color="auto" w:fill="auto"/>
            <w:noWrap/>
            <w:hideMark/>
          </w:tcPr>
          <w:p w14:paraId="25841C9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4</w:t>
            </w:r>
          </w:p>
        </w:tc>
        <w:tc>
          <w:tcPr>
            <w:tcW w:w="772" w:type="dxa"/>
            <w:tcBorders>
              <w:top w:val="nil"/>
              <w:left w:val="nil"/>
              <w:bottom w:val="nil"/>
              <w:right w:val="nil"/>
            </w:tcBorders>
            <w:shd w:val="clear" w:color="auto" w:fill="auto"/>
            <w:noWrap/>
            <w:hideMark/>
          </w:tcPr>
          <w:p w14:paraId="5849407E"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28" w:type="dxa"/>
            <w:tcBorders>
              <w:top w:val="nil"/>
              <w:left w:val="nil"/>
              <w:bottom w:val="nil"/>
              <w:right w:val="nil"/>
            </w:tcBorders>
            <w:shd w:val="clear" w:color="auto" w:fill="auto"/>
            <w:noWrap/>
            <w:hideMark/>
          </w:tcPr>
          <w:p w14:paraId="0D3C083E"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25" w:type="dxa"/>
            <w:tcBorders>
              <w:top w:val="nil"/>
              <w:left w:val="nil"/>
              <w:bottom w:val="nil"/>
              <w:right w:val="nil"/>
            </w:tcBorders>
            <w:shd w:val="clear" w:color="auto" w:fill="auto"/>
            <w:noWrap/>
            <w:hideMark/>
          </w:tcPr>
          <w:p w14:paraId="5314E1E1"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5-45</w:t>
            </w:r>
          </w:p>
        </w:tc>
        <w:tc>
          <w:tcPr>
            <w:tcW w:w="727" w:type="dxa"/>
            <w:tcBorders>
              <w:top w:val="nil"/>
              <w:left w:val="nil"/>
              <w:bottom w:val="nil"/>
              <w:right w:val="nil"/>
            </w:tcBorders>
            <w:shd w:val="clear" w:color="auto" w:fill="auto"/>
            <w:noWrap/>
            <w:hideMark/>
          </w:tcPr>
          <w:p w14:paraId="632A46C8"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06" w:type="dxa"/>
            <w:tcBorders>
              <w:top w:val="nil"/>
              <w:left w:val="nil"/>
              <w:bottom w:val="nil"/>
              <w:right w:val="nil"/>
            </w:tcBorders>
            <w:shd w:val="clear" w:color="auto" w:fill="auto"/>
            <w:noWrap/>
            <w:hideMark/>
          </w:tcPr>
          <w:p w14:paraId="67EA62E3"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r>
      <w:tr w:rsidR="00296532" w:rsidRPr="00296532" w14:paraId="4C81B54F" w14:textId="77777777" w:rsidTr="00296532">
        <w:trPr>
          <w:trHeight w:val="600"/>
        </w:trPr>
        <w:tc>
          <w:tcPr>
            <w:tcW w:w="1360" w:type="dxa"/>
            <w:vMerge w:val="restart"/>
            <w:tcBorders>
              <w:top w:val="nil"/>
              <w:left w:val="nil"/>
              <w:bottom w:val="nil"/>
              <w:right w:val="nil"/>
            </w:tcBorders>
            <w:shd w:val="clear" w:color="auto" w:fill="auto"/>
            <w:noWrap/>
            <w:hideMark/>
          </w:tcPr>
          <w:p w14:paraId="305FCF68"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2</w:t>
            </w:r>
          </w:p>
        </w:tc>
        <w:tc>
          <w:tcPr>
            <w:tcW w:w="380" w:type="dxa"/>
            <w:tcBorders>
              <w:top w:val="nil"/>
              <w:left w:val="nil"/>
              <w:bottom w:val="nil"/>
              <w:right w:val="nil"/>
            </w:tcBorders>
            <w:shd w:val="clear" w:color="auto" w:fill="auto"/>
            <w:noWrap/>
            <w:hideMark/>
          </w:tcPr>
          <w:p w14:paraId="66A48326"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6</w:t>
            </w:r>
          </w:p>
        </w:tc>
        <w:tc>
          <w:tcPr>
            <w:tcW w:w="1700" w:type="dxa"/>
            <w:tcBorders>
              <w:top w:val="nil"/>
              <w:left w:val="nil"/>
              <w:bottom w:val="nil"/>
              <w:right w:val="nil"/>
            </w:tcBorders>
            <w:shd w:val="clear" w:color="auto" w:fill="auto"/>
            <w:noWrap/>
            <w:hideMark/>
          </w:tcPr>
          <w:p w14:paraId="504835C0"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control-2</w:t>
            </w:r>
          </w:p>
        </w:tc>
        <w:tc>
          <w:tcPr>
            <w:tcW w:w="720" w:type="dxa"/>
            <w:tcBorders>
              <w:top w:val="nil"/>
              <w:left w:val="nil"/>
              <w:bottom w:val="nil"/>
              <w:right w:val="nil"/>
            </w:tcBorders>
            <w:shd w:val="clear" w:color="auto" w:fill="auto"/>
            <w:noWrap/>
            <w:hideMark/>
          </w:tcPr>
          <w:p w14:paraId="7D42E4A2"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w:t>
            </w:r>
          </w:p>
        </w:tc>
        <w:tc>
          <w:tcPr>
            <w:tcW w:w="1140" w:type="dxa"/>
            <w:tcBorders>
              <w:top w:val="nil"/>
              <w:left w:val="nil"/>
              <w:bottom w:val="nil"/>
              <w:right w:val="nil"/>
            </w:tcBorders>
            <w:shd w:val="clear" w:color="auto" w:fill="auto"/>
            <w:noWrap/>
            <w:hideMark/>
          </w:tcPr>
          <w:p w14:paraId="0A4A0B8C"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2019</w:t>
            </w:r>
          </w:p>
        </w:tc>
        <w:tc>
          <w:tcPr>
            <w:tcW w:w="1240" w:type="dxa"/>
            <w:tcBorders>
              <w:top w:val="nil"/>
              <w:left w:val="nil"/>
              <w:bottom w:val="nil"/>
              <w:right w:val="nil"/>
            </w:tcBorders>
            <w:shd w:val="clear" w:color="auto" w:fill="auto"/>
            <w:noWrap/>
            <w:hideMark/>
          </w:tcPr>
          <w:p w14:paraId="55A9B487"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2019</w:t>
            </w:r>
          </w:p>
        </w:tc>
        <w:tc>
          <w:tcPr>
            <w:tcW w:w="1320" w:type="dxa"/>
            <w:tcBorders>
              <w:top w:val="nil"/>
              <w:left w:val="nil"/>
              <w:bottom w:val="nil"/>
              <w:right w:val="nil"/>
            </w:tcBorders>
            <w:shd w:val="clear" w:color="auto" w:fill="auto"/>
            <w:noWrap/>
            <w:hideMark/>
          </w:tcPr>
          <w:p w14:paraId="6A7F817F"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17-40 (10)</w:t>
            </w:r>
          </w:p>
        </w:tc>
        <w:tc>
          <w:tcPr>
            <w:tcW w:w="1320" w:type="dxa"/>
            <w:tcBorders>
              <w:top w:val="nil"/>
              <w:left w:val="nil"/>
              <w:bottom w:val="nil"/>
              <w:right w:val="nil"/>
            </w:tcBorders>
            <w:shd w:val="clear" w:color="auto" w:fill="auto"/>
            <w:noWrap/>
            <w:hideMark/>
          </w:tcPr>
          <w:p w14:paraId="3897D8E7"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22-42 (9)</w:t>
            </w:r>
          </w:p>
        </w:tc>
        <w:tc>
          <w:tcPr>
            <w:tcW w:w="743" w:type="dxa"/>
            <w:tcBorders>
              <w:top w:val="nil"/>
              <w:left w:val="nil"/>
              <w:bottom w:val="nil"/>
              <w:right w:val="nil"/>
            </w:tcBorders>
            <w:shd w:val="clear" w:color="auto" w:fill="auto"/>
            <w:noWrap/>
            <w:hideMark/>
          </w:tcPr>
          <w:p w14:paraId="3468E1BF"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4</w:t>
            </w:r>
          </w:p>
        </w:tc>
        <w:tc>
          <w:tcPr>
            <w:tcW w:w="772" w:type="dxa"/>
            <w:tcBorders>
              <w:top w:val="nil"/>
              <w:left w:val="nil"/>
              <w:bottom w:val="nil"/>
              <w:right w:val="nil"/>
            </w:tcBorders>
            <w:shd w:val="clear" w:color="auto" w:fill="auto"/>
            <w:noWrap/>
            <w:hideMark/>
          </w:tcPr>
          <w:p w14:paraId="36A92F5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28" w:type="dxa"/>
            <w:tcBorders>
              <w:top w:val="nil"/>
              <w:left w:val="nil"/>
              <w:bottom w:val="nil"/>
              <w:right w:val="nil"/>
            </w:tcBorders>
            <w:shd w:val="clear" w:color="auto" w:fill="auto"/>
            <w:noWrap/>
            <w:hideMark/>
          </w:tcPr>
          <w:p w14:paraId="1389ACA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25" w:type="dxa"/>
            <w:tcBorders>
              <w:top w:val="nil"/>
              <w:left w:val="nil"/>
              <w:bottom w:val="nil"/>
              <w:right w:val="nil"/>
            </w:tcBorders>
            <w:shd w:val="clear" w:color="auto" w:fill="auto"/>
            <w:noWrap/>
            <w:hideMark/>
          </w:tcPr>
          <w:p w14:paraId="23B0E479"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10-38</w:t>
            </w:r>
          </w:p>
        </w:tc>
        <w:tc>
          <w:tcPr>
            <w:tcW w:w="727" w:type="dxa"/>
            <w:tcBorders>
              <w:top w:val="nil"/>
              <w:left w:val="nil"/>
              <w:bottom w:val="nil"/>
              <w:right w:val="nil"/>
            </w:tcBorders>
            <w:shd w:val="clear" w:color="auto" w:fill="auto"/>
            <w:noWrap/>
            <w:hideMark/>
          </w:tcPr>
          <w:p w14:paraId="5439C814"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06" w:type="dxa"/>
            <w:tcBorders>
              <w:top w:val="nil"/>
              <w:left w:val="nil"/>
              <w:bottom w:val="nil"/>
              <w:right w:val="nil"/>
            </w:tcBorders>
            <w:shd w:val="clear" w:color="auto" w:fill="auto"/>
            <w:noWrap/>
            <w:hideMark/>
          </w:tcPr>
          <w:p w14:paraId="47BD841A"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r>
      <w:tr w:rsidR="00296532" w:rsidRPr="00296532" w14:paraId="3D6507A0" w14:textId="77777777" w:rsidTr="00296532">
        <w:trPr>
          <w:trHeight w:val="600"/>
        </w:trPr>
        <w:tc>
          <w:tcPr>
            <w:tcW w:w="1360" w:type="dxa"/>
            <w:vMerge/>
            <w:tcBorders>
              <w:top w:val="nil"/>
              <w:left w:val="nil"/>
              <w:bottom w:val="nil"/>
              <w:right w:val="nil"/>
            </w:tcBorders>
            <w:vAlign w:val="center"/>
            <w:hideMark/>
          </w:tcPr>
          <w:p w14:paraId="271565B4" w14:textId="77777777" w:rsidR="00296532" w:rsidRPr="00296532" w:rsidRDefault="00296532" w:rsidP="00296532">
            <w:pPr>
              <w:rPr>
                <w:rFonts w:ascii="Cambria" w:eastAsia="Times New Roman" w:hAnsi="Cambria"/>
                <w:color w:val="000000"/>
                <w:sz w:val="22"/>
                <w:szCs w:val="22"/>
              </w:rPr>
            </w:pPr>
          </w:p>
        </w:tc>
        <w:tc>
          <w:tcPr>
            <w:tcW w:w="380" w:type="dxa"/>
            <w:tcBorders>
              <w:top w:val="nil"/>
              <w:left w:val="nil"/>
              <w:bottom w:val="nil"/>
              <w:right w:val="nil"/>
            </w:tcBorders>
            <w:shd w:val="clear" w:color="auto" w:fill="auto"/>
            <w:noWrap/>
            <w:hideMark/>
          </w:tcPr>
          <w:p w14:paraId="7AEB613C"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6</w:t>
            </w:r>
          </w:p>
        </w:tc>
        <w:tc>
          <w:tcPr>
            <w:tcW w:w="1700" w:type="dxa"/>
            <w:tcBorders>
              <w:top w:val="nil"/>
              <w:left w:val="nil"/>
              <w:bottom w:val="nil"/>
              <w:right w:val="nil"/>
            </w:tcBorders>
            <w:shd w:val="clear" w:color="auto" w:fill="auto"/>
            <w:noWrap/>
            <w:hideMark/>
          </w:tcPr>
          <w:p w14:paraId="32FE3980"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air-dry/rewet</w:t>
            </w:r>
          </w:p>
        </w:tc>
        <w:tc>
          <w:tcPr>
            <w:tcW w:w="720" w:type="dxa"/>
            <w:tcBorders>
              <w:top w:val="nil"/>
              <w:left w:val="nil"/>
              <w:bottom w:val="nil"/>
              <w:right w:val="nil"/>
            </w:tcBorders>
            <w:shd w:val="clear" w:color="auto" w:fill="auto"/>
            <w:noWrap/>
            <w:hideMark/>
          </w:tcPr>
          <w:p w14:paraId="5DF0C35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w:t>
            </w:r>
          </w:p>
        </w:tc>
        <w:tc>
          <w:tcPr>
            <w:tcW w:w="1140" w:type="dxa"/>
            <w:tcBorders>
              <w:top w:val="nil"/>
              <w:left w:val="nil"/>
              <w:bottom w:val="nil"/>
              <w:right w:val="nil"/>
            </w:tcBorders>
            <w:shd w:val="clear" w:color="auto" w:fill="auto"/>
            <w:noWrap/>
            <w:hideMark/>
          </w:tcPr>
          <w:p w14:paraId="788279EE"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2019</w:t>
            </w:r>
          </w:p>
        </w:tc>
        <w:tc>
          <w:tcPr>
            <w:tcW w:w="1240" w:type="dxa"/>
            <w:tcBorders>
              <w:top w:val="nil"/>
              <w:left w:val="nil"/>
              <w:bottom w:val="nil"/>
              <w:right w:val="nil"/>
            </w:tcBorders>
            <w:shd w:val="clear" w:color="auto" w:fill="auto"/>
            <w:noWrap/>
            <w:hideMark/>
          </w:tcPr>
          <w:p w14:paraId="408C8870"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2019</w:t>
            </w:r>
          </w:p>
        </w:tc>
        <w:tc>
          <w:tcPr>
            <w:tcW w:w="1320" w:type="dxa"/>
            <w:tcBorders>
              <w:top w:val="nil"/>
              <w:left w:val="nil"/>
              <w:bottom w:val="nil"/>
              <w:right w:val="nil"/>
            </w:tcBorders>
            <w:shd w:val="clear" w:color="auto" w:fill="auto"/>
            <w:noWrap/>
            <w:hideMark/>
          </w:tcPr>
          <w:p w14:paraId="6A5AF698"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&lt;1</w:t>
            </w:r>
          </w:p>
        </w:tc>
        <w:tc>
          <w:tcPr>
            <w:tcW w:w="1320" w:type="dxa"/>
            <w:tcBorders>
              <w:top w:val="nil"/>
              <w:left w:val="nil"/>
              <w:bottom w:val="nil"/>
              <w:right w:val="nil"/>
            </w:tcBorders>
            <w:shd w:val="clear" w:color="auto" w:fill="auto"/>
            <w:noWrap/>
            <w:hideMark/>
          </w:tcPr>
          <w:p w14:paraId="3EB3111E"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22-42 (9)</w:t>
            </w:r>
          </w:p>
        </w:tc>
        <w:tc>
          <w:tcPr>
            <w:tcW w:w="743" w:type="dxa"/>
            <w:tcBorders>
              <w:top w:val="nil"/>
              <w:left w:val="nil"/>
              <w:bottom w:val="nil"/>
              <w:right w:val="nil"/>
            </w:tcBorders>
            <w:shd w:val="clear" w:color="auto" w:fill="auto"/>
            <w:noWrap/>
            <w:hideMark/>
          </w:tcPr>
          <w:p w14:paraId="76A474F3"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4</w:t>
            </w:r>
          </w:p>
        </w:tc>
        <w:tc>
          <w:tcPr>
            <w:tcW w:w="772" w:type="dxa"/>
            <w:tcBorders>
              <w:top w:val="nil"/>
              <w:left w:val="nil"/>
              <w:bottom w:val="nil"/>
              <w:right w:val="nil"/>
            </w:tcBorders>
            <w:shd w:val="clear" w:color="auto" w:fill="auto"/>
            <w:noWrap/>
            <w:hideMark/>
          </w:tcPr>
          <w:p w14:paraId="1E27924E"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28" w:type="dxa"/>
            <w:tcBorders>
              <w:top w:val="nil"/>
              <w:left w:val="nil"/>
              <w:bottom w:val="nil"/>
              <w:right w:val="nil"/>
            </w:tcBorders>
            <w:shd w:val="clear" w:color="auto" w:fill="auto"/>
            <w:noWrap/>
            <w:hideMark/>
          </w:tcPr>
          <w:p w14:paraId="6F246FE8"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25" w:type="dxa"/>
            <w:tcBorders>
              <w:top w:val="nil"/>
              <w:left w:val="nil"/>
              <w:bottom w:val="nil"/>
              <w:right w:val="nil"/>
            </w:tcBorders>
            <w:shd w:val="clear" w:color="auto" w:fill="auto"/>
            <w:noWrap/>
            <w:hideMark/>
          </w:tcPr>
          <w:p w14:paraId="63E6129D"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7</w:t>
            </w:r>
          </w:p>
        </w:tc>
        <w:tc>
          <w:tcPr>
            <w:tcW w:w="727" w:type="dxa"/>
            <w:tcBorders>
              <w:top w:val="nil"/>
              <w:left w:val="nil"/>
              <w:bottom w:val="nil"/>
              <w:right w:val="nil"/>
            </w:tcBorders>
            <w:shd w:val="clear" w:color="auto" w:fill="auto"/>
            <w:noWrap/>
            <w:hideMark/>
          </w:tcPr>
          <w:p w14:paraId="0C64EA47"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06" w:type="dxa"/>
            <w:tcBorders>
              <w:top w:val="nil"/>
              <w:left w:val="nil"/>
              <w:bottom w:val="nil"/>
              <w:right w:val="nil"/>
            </w:tcBorders>
            <w:shd w:val="clear" w:color="auto" w:fill="auto"/>
            <w:noWrap/>
            <w:hideMark/>
          </w:tcPr>
          <w:p w14:paraId="167C6616"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r>
      <w:tr w:rsidR="00296532" w:rsidRPr="00296532" w14:paraId="4E2F00CB" w14:textId="77777777" w:rsidTr="00296532">
        <w:trPr>
          <w:trHeight w:val="600"/>
        </w:trPr>
        <w:tc>
          <w:tcPr>
            <w:tcW w:w="1360" w:type="dxa"/>
            <w:vMerge w:val="restart"/>
            <w:tcBorders>
              <w:top w:val="nil"/>
              <w:left w:val="nil"/>
              <w:bottom w:val="nil"/>
              <w:right w:val="nil"/>
            </w:tcBorders>
            <w:shd w:val="clear" w:color="auto" w:fill="auto"/>
            <w:noWrap/>
            <w:hideMark/>
          </w:tcPr>
          <w:p w14:paraId="67E2505A" w14:textId="77777777" w:rsidR="00296532" w:rsidRPr="00296532" w:rsidRDefault="00296532" w:rsidP="00296532">
            <w:pPr>
              <w:jc w:val="center"/>
              <w:rPr>
                <w:rFonts w:ascii="Cambria" w:eastAsia="Times New Roman" w:hAnsi="Cambria"/>
                <w:color w:val="000000"/>
                <w:sz w:val="22"/>
                <w:szCs w:val="22"/>
              </w:rPr>
            </w:pPr>
            <w:r w:rsidRPr="00296532">
              <w:rPr>
                <w:rFonts w:ascii="Cambria" w:eastAsia="Times New Roman" w:hAnsi="Cambria"/>
                <w:color w:val="000000"/>
                <w:sz w:val="22"/>
                <w:szCs w:val="22"/>
              </w:rPr>
              <w:t>3</w:t>
            </w:r>
          </w:p>
        </w:tc>
        <w:tc>
          <w:tcPr>
            <w:tcW w:w="380" w:type="dxa"/>
            <w:tcBorders>
              <w:top w:val="nil"/>
              <w:left w:val="nil"/>
              <w:bottom w:val="nil"/>
              <w:right w:val="nil"/>
            </w:tcBorders>
            <w:shd w:val="clear" w:color="auto" w:fill="auto"/>
            <w:noWrap/>
            <w:hideMark/>
          </w:tcPr>
          <w:p w14:paraId="7031749E" w14:textId="5A25A555" w:rsidR="00296532" w:rsidRPr="00296532" w:rsidRDefault="00993BD6" w:rsidP="00296532">
            <w:pPr>
              <w:jc w:val="center"/>
              <w:rPr>
                <w:rFonts w:ascii="Cambria" w:eastAsia="Times New Roman" w:hAnsi="Cambria"/>
                <w:color w:val="000000"/>
                <w:sz w:val="22"/>
                <w:szCs w:val="22"/>
              </w:rPr>
            </w:pPr>
            <w:r>
              <w:rPr>
                <w:rFonts w:ascii="Cambria" w:eastAsia="Times New Roman" w:hAnsi="Cambria"/>
                <w:color w:val="000000"/>
                <w:sz w:val="22"/>
                <w:szCs w:val="22"/>
              </w:rPr>
              <w:t>28</w:t>
            </w:r>
          </w:p>
        </w:tc>
        <w:tc>
          <w:tcPr>
            <w:tcW w:w="1700" w:type="dxa"/>
            <w:tcBorders>
              <w:top w:val="nil"/>
              <w:left w:val="nil"/>
              <w:bottom w:val="nil"/>
              <w:right w:val="nil"/>
            </w:tcBorders>
            <w:shd w:val="clear" w:color="auto" w:fill="auto"/>
            <w:noWrap/>
            <w:hideMark/>
          </w:tcPr>
          <w:p w14:paraId="3453CF21"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control-3</w:t>
            </w:r>
          </w:p>
        </w:tc>
        <w:tc>
          <w:tcPr>
            <w:tcW w:w="720" w:type="dxa"/>
            <w:tcBorders>
              <w:top w:val="nil"/>
              <w:left w:val="nil"/>
              <w:bottom w:val="nil"/>
              <w:right w:val="nil"/>
            </w:tcBorders>
            <w:shd w:val="clear" w:color="auto" w:fill="auto"/>
            <w:noWrap/>
            <w:hideMark/>
          </w:tcPr>
          <w:p w14:paraId="0E3DF70A"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1-3</w:t>
            </w:r>
          </w:p>
        </w:tc>
        <w:tc>
          <w:tcPr>
            <w:tcW w:w="1140" w:type="dxa"/>
            <w:tcBorders>
              <w:top w:val="nil"/>
              <w:left w:val="nil"/>
              <w:bottom w:val="nil"/>
              <w:right w:val="nil"/>
            </w:tcBorders>
            <w:shd w:val="clear" w:color="auto" w:fill="auto"/>
            <w:hideMark/>
          </w:tcPr>
          <w:p w14:paraId="7A3AEA22"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1999-2011</w:t>
            </w:r>
          </w:p>
        </w:tc>
        <w:tc>
          <w:tcPr>
            <w:tcW w:w="1240" w:type="dxa"/>
            <w:tcBorders>
              <w:top w:val="nil"/>
              <w:left w:val="nil"/>
              <w:bottom w:val="nil"/>
              <w:right w:val="nil"/>
            </w:tcBorders>
            <w:shd w:val="clear" w:color="auto" w:fill="auto"/>
            <w:hideMark/>
          </w:tcPr>
          <w:p w14:paraId="413520B3"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1999-2011</w:t>
            </w:r>
          </w:p>
        </w:tc>
        <w:tc>
          <w:tcPr>
            <w:tcW w:w="1320" w:type="dxa"/>
            <w:tcBorders>
              <w:top w:val="nil"/>
              <w:left w:val="nil"/>
              <w:bottom w:val="nil"/>
              <w:right w:val="nil"/>
            </w:tcBorders>
            <w:shd w:val="clear" w:color="auto" w:fill="auto"/>
            <w:noWrap/>
            <w:hideMark/>
          </w:tcPr>
          <w:p w14:paraId="2E3440B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6-95 (18)</w:t>
            </w:r>
          </w:p>
        </w:tc>
        <w:tc>
          <w:tcPr>
            <w:tcW w:w="1320" w:type="dxa"/>
            <w:tcBorders>
              <w:top w:val="nil"/>
              <w:left w:val="nil"/>
              <w:bottom w:val="nil"/>
              <w:right w:val="nil"/>
            </w:tcBorders>
            <w:shd w:val="clear" w:color="auto" w:fill="auto"/>
            <w:noWrap/>
            <w:hideMark/>
          </w:tcPr>
          <w:p w14:paraId="25A40746"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18-95 (17)</w:t>
            </w:r>
          </w:p>
        </w:tc>
        <w:tc>
          <w:tcPr>
            <w:tcW w:w="743" w:type="dxa"/>
            <w:tcBorders>
              <w:top w:val="nil"/>
              <w:left w:val="nil"/>
              <w:bottom w:val="nil"/>
              <w:right w:val="nil"/>
            </w:tcBorders>
            <w:shd w:val="clear" w:color="auto" w:fill="auto"/>
            <w:noWrap/>
            <w:hideMark/>
          </w:tcPr>
          <w:p w14:paraId="20B7CAE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1-10</w:t>
            </w:r>
          </w:p>
        </w:tc>
        <w:tc>
          <w:tcPr>
            <w:tcW w:w="772" w:type="dxa"/>
            <w:tcBorders>
              <w:top w:val="nil"/>
              <w:left w:val="nil"/>
              <w:bottom w:val="nil"/>
              <w:right w:val="nil"/>
            </w:tcBorders>
            <w:shd w:val="clear" w:color="auto" w:fill="auto"/>
            <w:noWrap/>
            <w:hideMark/>
          </w:tcPr>
          <w:p w14:paraId="45EF6B16"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no</w:t>
            </w:r>
          </w:p>
        </w:tc>
        <w:tc>
          <w:tcPr>
            <w:tcW w:w="728" w:type="dxa"/>
            <w:tcBorders>
              <w:top w:val="nil"/>
              <w:left w:val="nil"/>
              <w:bottom w:val="nil"/>
              <w:right w:val="nil"/>
            </w:tcBorders>
            <w:shd w:val="clear" w:color="auto" w:fill="auto"/>
            <w:noWrap/>
            <w:hideMark/>
          </w:tcPr>
          <w:p w14:paraId="0CEC182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no</w:t>
            </w:r>
          </w:p>
        </w:tc>
        <w:tc>
          <w:tcPr>
            <w:tcW w:w="725" w:type="dxa"/>
            <w:tcBorders>
              <w:top w:val="nil"/>
              <w:left w:val="nil"/>
              <w:bottom w:val="nil"/>
              <w:right w:val="nil"/>
            </w:tcBorders>
            <w:shd w:val="clear" w:color="auto" w:fill="auto"/>
            <w:noWrap/>
            <w:hideMark/>
          </w:tcPr>
          <w:p w14:paraId="5867CFAF"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5-14</w:t>
            </w:r>
          </w:p>
        </w:tc>
        <w:tc>
          <w:tcPr>
            <w:tcW w:w="727" w:type="dxa"/>
            <w:tcBorders>
              <w:top w:val="nil"/>
              <w:left w:val="nil"/>
              <w:bottom w:val="nil"/>
              <w:right w:val="nil"/>
            </w:tcBorders>
            <w:shd w:val="clear" w:color="auto" w:fill="auto"/>
            <w:noWrap/>
            <w:hideMark/>
          </w:tcPr>
          <w:p w14:paraId="219750E8"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06" w:type="dxa"/>
            <w:tcBorders>
              <w:top w:val="nil"/>
              <w:left w:val="nil"/>
              <w:bottom w:val="nil"/>
              <w:right w:val="nil"/>
            </w:tcBorders>
            <w:shd w:val="clear" w:color="auto" w:fill="auto"/>
            <w:noWrap/>
            <w:hideMark/>
          </w:tcPr>
          <w:p w14:paraId="45079013"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no</w:t>
            </w:r>
          </w:p>
        </w:tc>
      </w:tr>
      <w:tr w:rsidR="00296532" w:rsidRPr="00296532" w14:paraId="130A1D02" w14:textId="77777777" w:rsidTr="00296532">
        <w:trPr>
          <w:trHeight w:val="600"/>
        </w:trPr>
        <w:tc>
          <w:tcPr>
            <w:tcW w:w="1360" w:type="dxa"/>
            <w:vMerge/>
            <w:tcBorders>
              <w:top w:val="nil"/>
              <w:left w:val="nil"/>
              <w:bottom w:val="nil"/>
              <w:right w:val="nil"/>
            </w:tcBorders>
            <w:vAlign w:val="center"/>
            <w:hideMark/>
          </w:tcPr>
          <w:p w14:paraId="7C3E480E" w14:textId="77777777" w:rsidR="00296532" w:rsidRPr="00296532" w:rsidRDefault="00296532" w:rsidP="00296532">
            <w:pPr>
              <w:rPr>
                <w:rFonts w:ascii="Cambria" w:eastAsia="Times New Roman" w:hAnsi="Cambria"/>
                <w:color w:val="000000"/>
                <w:sz w:val="22"/>
                <w:szCs w:val="22"/>
              </w:rPr>
            </w:pPr>
          </w:p>
        </w:tc>
        <w:tc>
          <w:tcPr>
            <w:tcW w:w="380" w:type="dxa"/>
            <w:tcBorders>
              <w:top w:val="nil"/>
              <w:left w:val="nil"/>
              <w:bottom w:val="nil"/>
              <w:right w:val="nil"/>
            </w:tcBorders>
            <w:shd w:val="clear" w:color="auto" w:fill="auto"/>
            <w:noWrap/>
            <w:hideMark/>
          </w:tcPr>
          <w:p w14:paraId="7C5F38E5" w14:textId="5D9CCF2E" w:rsidR="00296532" w:rsidRPr="00296532" w:rsidRDefault="00993BD6" w:rsidP="00296532">
            <w:pPr>
              <w:jc w:val="center"/>
              <w:rPr>
                <w:rFonts w:ascii="Cambria" w:eastAsia="Times New Roman" w:hAnsi="Cambria"/>
                <w:color w:val="000000"/>
                <w:sz w:val="22"/>
                <w:szCs w:val="22"/>
              </w:rPr>
            </w:pPr>
            <w:r>
              <w:rPr>
                <w:rFonts w:ascii="Cambria" w:eastAsia="Times New Roman" w:hAnsi="Cambria"/>
                <w:color w:val="000000"/>
                <w:sz w:val="22"/>
                <w:szCs w:val="22"/>
              </w:rPr>
              <w:t>28</w:t>
            </w:r>
          </w:p>
        </w:tc>
        <w:tc>
          <w:tcPr>
            <w:tcW w:w="1700" w:type="dxa"/>
            <w:tcBorders>
              <w:top w:val="nil"/>
              <w:left w:val="nil"/>
              <w:bottom w:val="nil"/>
              <w:right w:val="nil"/>
            </w:tcBorders>
            <w:shd w:val="clear" w:color="auto" w:fill="auto"/>
            <w:hideMark/>
          </w:tcPr>
          <w:p w14:paraId="6C16941D"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storage duration</w:t>
            </w:r>
          </w:p>
        </w:tc>
        <w:tc>
          <w:tcPr>
            <w:tcW w:w="720" w:type="dxa"/>
            <w:tcBorders>
              <w:top w:val="nil"/>
              <w:left w:val="nil"/>
              <w:bottom w:val="nil"/>
              <w:right w:val="nil"/>
            </w:tcBorders>
            <w:shd w:val="clear" w:color="auto" w:fill="auto"/>
            <w:noWrap/>
            <w:hideMark/>
          </w:tcPr>
          <w:p w14:paraId="393CFE2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1-3</w:t>
            </w:r>
          </w:p>
        </w:tc>
        <w:tc>
          <w:tcPr>
            <w:tcW w:w="1140" w:type="dxa"/>
            <w:tcBorders>
              <w:top w:val="nil"/>
              <w:left w:val="nil"/>
              <w:bottom w:val="nil"/>
              <w:right w:val="nil"/>
            </w:tcBorders>
            <w:shd w:val="clear" w:color="auto" w:fill="auto"/>
            <w:noWrap/>
            <w:hideMark/>
          </w:tcPr>
          <w:p w14:paraId="73EF852B"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2018</w:t>
            </w:r>
          </w:p>
        </w:tc>
        <w:tc>
          <w:tcPr>
            <w:tcW w:w="1240" w:type="dxa"/>
            <w:tcBorders>
              <w:top w:val="nil"/>
              <w:left w:val="nil"/>
              <w:bottom w:val="nil"/>
              <w:right w:val="nil"/>
            </w:tcBorders>
            <w:shd w:val="clear" w:color="auto" w:fill="auto"/>
            <w:hideMark/>
          </w:tcPr>
          <w:p w14:paraId="46D4C2C0"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2009, 2018</w:t>
            </w:r>
          </w:p>
        </w:tc>
        <w:tc>
          <w:tcPr>
            <w:tcW w:w="1320" w:type="dxa"/>
            <w:tcBorders>
              <w:top w:val="nil"/>
              <w:left w:val="nil"/>
              <w:bottom w:val="nil"/>
              <w:right w:val="nil"/>
            </w:tcBorders>
            <w:shd w:val="clear" w:color="auto" w:fill="auto"/>
            <w:noWrap/>
            <w:hideMark/>
          </w:tcPr>
          <w:p w14:paraId="6B400A9A"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&lt;1</w:t>
            </w:r>
          </w:p>
        </w:tc>
        <w:tc>
          <w:tcPr>
            <w:tcW w:w="1320" w:type="dxa"/>
            <w:tcBorders>
              <w:top w:val="nil"/>
              <w:left w:val="nil"/>
              <w:bottom w:val="nil"/>
              <w:right w:val="nil"/>
            </w:tcBorders>
            <w:shd w:val="clear" w:color="auto" w:fill="auto"/>
            <w:noWrap/>
            <w:hideMark/>
          </w:tcPr>
          <w:p w14:paraId="12E3A16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18-95 (17)</w:t>
            </w:r>
          </w:p>
        </w:tc>
        <w:tc>
          <w:tcPr>
            <w:tcW w:w="743" w:type="dxa"/>
            <w:tcBorders>
              <w:top w:val="nil"/>
              <w:left w:val="nil"/>
              <w:bottom w:val="nil"/>
              <w:right w:val="nil"/>
            </w:tcBorders>
            <w:shd w:val="clear" w:color="auto" w:fill="auto"/>
            <w:noWrap/>
            <w:hideMark/>
          </w:tcPr>
          <w:p w14:paraId="41B36573"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w:t>
            </w:r>
          </w:p>
        </w:tc>
        <w:tc>
          <w:tcPr>
            <w:tcW w:w="772" w:type="dxa"/>
            <w:tcBorders>
              <w:top w:val="nil"/>
              <w:left w:val="nil"/>
              <w:bottom w:val="nil"/>
              <w:right w:val="nil"/>
            </w:tcBorders>
            <w:shd w:val="clear" w:color="auto" w:fill="auto"/>
            <w:noWrap/>
            <w:hideMark/>
          </w:tcPr>
          <w:p w14:paraId="1A47CABD"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w:t>
            </w:r>
          </w:p>
        </w:tc>
        <w:tc>
          <w:tcPr>
            <w:tcW w:w="728" w:type="dxa"/>
            <w:tcBorders>
              <w:top w:val="nil"/>
              <w:left w:val="nil"/>
              <w:bottom w:val="nil"/>
              <w:right w:val="nil"/>
            </w:tcBorders>
            <w:shd w:val="clear" w:color="auto" w:fill="auto"/>
            <w:noWrap/>
            <w:hideMark/>
          </w:tcPr>
          <w:p w14:paraId="4F3985F5"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w:t>
            </w:r>
          </w:p>
        </w:tc>
        <w:tc>
          <w:tcPr>
            <w:tcW w:w="725" w:type="dxa"/>
            <w:tcBorders>
              <w:top w:val="nil"/>
              <w:left w:val="nil"/>
              <w:bottom w:val="nil"/>
              <w:right w:val="nil"/>
            </w:tcBorders>
            <w:shd w:val="clear" w:color="auto" w:fill="auto"/>
            <w:noWrap/>
            <w:hideMark/>
          </w:tcPr>
          <w:p w14:paraId="6CD4E4EA"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5-45</w:t>
            </w:r>
          </w:p>
        </w:tc>
        <w:tc>
          <w:tcPr>
            <w:tcW w:w="727" w:type="dxa"/>
            <w:tcBorders>
              <w:top w:val="nil"/>
              <w:left w:val="nil"/>
              <w:bottom w:val="nil"/>
              <w:right w:val="nil"/>
            </w:tcBorders>
            <w:shd w:val="clear" w:color="auto" w:fill="auto"/>
            <w:noWrap/>
            <w:hideMark/>
          </w:tcPr>
          <w:p w14:paraId="3E5EC7D7"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yes</w:t>
            </w:r>
          </w:p>
        </w:tc>
        <w:tc>
          <w:tcPr>
            <w:tcW w:w="706" w:type="dxa"/>
            <w:tcBorders>
              <w:top w:val="nil"/>
              <w:left w:val="nil"/>
              <w:bottom w:val="nil"/>
              <w:right w:val="nil"/>
            </w:tcBorders>
            <w:shd w:val="clear" w:color="auto" w:fill="auto"/>
            <w:noWrap/>
            <w:hideMark/>
          </w:tcPr>
          <w:p w14:paraId="55254D0F" w14:textId="77777777" w:rsidR="00296532" w:rsidRPr="00296532" w:rsidRDefault="00296532" w:rsidP="00296532">
            <w:pPr>
              <w:jc w:val="center"/>
              <w:rPr>
                <w:rFonts w:ascii="Cambria" w:eastAsia="Times New Roman" w:hAnsi="Cambria"/>
                <w:sz w:val="22"/>
                <w:szCs w:val="22"/>
              </w:rPr>
            </w:pPr>
            <w:r w:rsidRPr="00296532">
              <w:rPr>
                <w:rFonts w:ascii="Cambria" w:eastAsia="Times New Roman" w:hAnsi="Cambria"/>
                <w:sz w:val="22"/>
                <w:szCs w:val="22"/>
              </w:rPr>
              <w:t>no</w:t>
            </w:r>
          </w:p>
        </w:tc>
      </w:tr>
    </w:tbl>
    <w:p w14:paraId="12290658" w14:textId="649A2783" w:rsidR="00053A42" w:rsidRPr="00377652" w:rsidRDefault="00053A42" w:rsidP="005673F0">
      <w:pPr>
        <w:pStyle w:val="Normal1"/>
        <w:spacing w:line="360" w:lineRule="auto"/>
        <w:rPr>
          <w:rFonts w:ascii="Times New Roman" w:hAnsi="Times New Roman" w:cs="Times New Roman"/>
          <w:sz w:val="20"/>
          <w:szCs w:val="20"/>
          <w:lang w:val="en-US"/>
        </w:rPr>
        <w:sectPr w:rsidR="00053A42" w:rsidRPr="00377652" w:rsidSect="005673F0">
          <w:pgSz w:w="15840" w:h="12240" w:orient="landscape"/>
          <w:pgMar w:top="1440" w:right="1440" w:bottom="1440" w:left="1440" w:header="432" w:footer="720" w:gutter="0"/>
          <w:lnNumType w:countBy="1" w:restart="continuous"/>
          <w:cols w:space="720"/>
          <w:docGrid w:linePitch="360"/>
        </w:sectPr>
      </w:pPr>
      <w:r w:rsidRPr="00377652">
        <w:rPr>
          <w:rFonts w:ascii="Times New Roman" w:hAnsi="Times New Roman" w:cs="Times New Roman"/>
          <w:sz w:val="20"/>
          <w:szCs w:val="20"/>
          <w:lang w:val="en-US"/>
        </w:rPr>
        <w:t xml:space="preserve">*Laboratory incubation replicates. ** Min. and max. values given for control samples, with standard deviations in parentheses. Initial moisture content for treatment samples was &lt;1% following air-drying. Moisture content was adjusted to 60% of water holding capacity for all Experiment 1 and Experiment 2 samples (Methods), but as WHC was not determined for all of Experiment 3 samples the gravimetric (grav) data is provided instead. *** First enclosure period duration range is only taken from a subset of the samples where it was explicitly reported (n = 4, Hopkins et al. 2012 and Koarashi et al. 2012). The duration was reported as an estimate </w:t>
      </w:r>
      <w:r w:rsidR="00993BD6">
        <w:rPr>
          <w:rFonts w:ascii="Times New Roman" w:hAnsi="Times New Roman" w:cs="Times New Roman"/>
          <w:sz w:val="20"/>
          <w:szCs w:val="20"/>
          <w:lang w:val="en-US"/>
        </w:rPr>
        <w:t>for some samples (1 week, n = 20</w:t>
      </w:r>
      <w:r w:rsidRPr="00377652">
        <w:rPr>
          <w:rFonts w:ascii="Times New Roman" w:hAnsi="Times New Roman" w:cs="Times New Roman"/>
          <w:sz w:val="20"/>
          <w:szCs w:val="20"/>
          <w:lang w:val="en-US"/>
        </w:rPr>
        <w:t>, Cisneros et al. 2005) or not reported at all for other samples (n = 4, Gaudinski et al. 2000). ∆</w:t>
      </w:r>
      <w:r w:rsidRPr="00377652">
        <w:rPr>
          <w:rFonts w:ascii="Times New Roman" w:hAnsi="Times New Roman" w:cs="Times New Roman"/>
          <w:sz w:val="20"/>
          <w:szCs w:val="20"/>
          <w:vertAlign w:val="superscript"/>
          <w:lang w:val="en-US"/>
        </w:rPr>
        <w:t>14</w:t>
      </w:r>
      <w:r w:rsidRPr="00377652">
        <w:rPr>
          <w:rFonts w:ascii="Times New Roman" w:hAnsi="Times New Roman" w:cs="Times New Roman"/>
          <w:sz w:val="20"/>
          <w:szCs w:val="20"/>
          <w:lang w:val="en-US"/>
        </w:rPr>
        <w:t>C-CO</w:t>
      </w:r>
      <w:r w:rsidRPr="00377652">
        <w:rPr>
          <w:rFonts w:ascii="Times New Roman" w:hAnsi="Times New Roman" w:cs="Times New Roman"/>
          <w:sz w:val="20"/>
          <w:szCs w:val="20"/>
          <w:vertAlign w:val="subscript"/>
          <w:lang w:val="en-US"/>
        </w:rPr>
        <w:t>2</w:t>
      </w:r>
      <w:r w:rsidRPr="00377652">
        <w:rPr>
          <w:rFonts w:ascii="Times New Roman" w:hAnsi="Times New Roman" w:cs="Times New Roman"/>
          <w:sz w:val="20"/>
          <w:szCs w:val="20"/>
          <w:lang w:val="en-US"/>
        </w:rPr>
        <w:t xml:space="preserve"> and respiration rates from the first enclosure period were only measured for 2 of the 29 control-3 samples (Koarashi et al. 2012). As we did not find significant differences between </w:t>
      </w:r>
      <w:r w:rsidR="000412DC" w:rsidRPr="00377652">
        <w:rPr>
          <w:rFonts w:ascii="Times New Roman" w:hAnsi="Times New Roman" w:cs="Times New Roman"/>
          <w:sz w:val="20"/>
          <w:szCs w:val="20"/>
          <w:lang w:val="en-US"/>
        </w:rPr>
        <w:t>∆</w:t>
      </w:r>
      <w:r w:rsidR="000412DC" w:rsidRPr="00377652">
        <w:rPr>
          <w:rFonts w:ascii="Times New Roman" w:hAnsi="Times New Roman" w:cs="Times New Roman"/>
          <w:sz w:val="20"/>
          <w:szCs w:val="20"/>
          <w:vertAlign w:val="superscript"/>
          <w:lang w:val="en-US"/>
        </w:rPr>
        <w:t>14</w:t>
      </w:r>
      <w:r w:rsidR="000412DC" w:rsidRPr="00377652">
        <w:rPr>
          <w:rFonts w:ascii="Times New Roman" w:hAnsi="Times New Roman" w:cs="Times New Roman"/>
          <w:sz w:val="20"/>
          <w:szCs w:val="20"/>
          <w:lang w:val="en-US"/>
        </w:rPr>
        <w:t>C-CO</w:t>
      </w:r>
      <w:r w:rsidR="000412DC" w:rsidRPr="00377652">
        <w:rPr>
          <w:rFonts w:ascii="Times New Roman" w:hAnsi="Times New Roman" w:cs="Times New Roman"/>
          <w:sz w:val="20"/>
          <w:szCs w:val="20"/>
          <w:vertAlign w:val="subscript"/>
          <w:lang w:val="en-US"/>
        </w:rPr>
        <w:t>2</w:t>
      </w:r>
      <w:r w:rsidR="000412DC" w:rsidRPr="00377652">
        <w:rPr>
          <w:rFonts w:ascii="Times New Roman" w:hAnsi="Times New Roman" w:cs="Times New Roman"/>
          <w:sz w:val="20"/>
          <w:szCs w:val="20"/>
          <w:lang w:val="en-US"/>
        </w:rPr>
        <w:t xml:space="preserve"> </w:t>
      </w:r>
      <w:r w:rsidRPr="00377652">
        <w:rPr>
          <w:rFonts w:ascii="Times New Roman" w:hAnsi="Times New Roman" w:cs="Times New Roman"/>
          <w:sz w:val="20"/>
          <w:szCs w:val="20"/>
          <w:lang w:val="en-US"/>
        </w:rPr>
        <w:t>of</w:t>
      </w:r>
      <w:r w:rsidR="000412DC" w:rsidRPr="00377652">
        <w:rPr>
          <w:rFonts w:ascii="Times New Roman" w:hAnsi="Times New Roman" w:cs="Times New Roman"/>
          <w:sz w:val="20"/>
          <w:szCs w:val="20"/>
          <w:lang w:val="en-US"/>
        </w:rPr>
        <w:t xml:space="preserve"> the 1</w:t>
      </w:r>
      <w:r w:rsidR="000412DC" w:rsidRPr="00377652">
        <w:rPr>
          <w:rFonts w:ascii="Times New Roman" w:hAnsi="Times New Roman" w:cs="Times New Roman"/>
          <w:sz w:val="20"/>
          <w:szCs w:val="20"/>
          <w:vertAlign w:val="superscript"/>
          <w:lang w:val="en-US"/>
        </w:rPr>
        <w:t>st</w:t>
      </w:r>
      <w:r w:rsidR="000412DC" w:rsidRPr="00377652">
        <w:rPr>
          <w:rFonts w:ascii="Times New Roman" w:hAnsi="Times New Roman" w:cs="Times New Roman"/>
          <w:sz w:val="20"/>
          <w:szCs w:val="20"/>
          <w:lang w:val="en-US"/>
        </w:rPr>
        <w:t xml:space="preserve"> and 2</w:t>
      </w:r>
      <w:r w:rsidR="000412DC" w:rsidRPr="00377652">
        <w:rPr>
          <w:rFonts w:ascii="Times New Roman" w:hAnsi="Times New Roman" w:cs="Times New Roman"/>
          <w:sz w:val="20"/>
          <w:szCs w:val="20"/>
          <w:vertAlign w:val="superscript"/>
          <w:lang w:val="en-US"/>
        </w:rPr>
        <w:t>nd</w:t>
      </w:r>
      <w:r w:rsidRPr="00377652">
        <w:rPr>
          <w:rFonts w:ascii="Times New Roman" w:hAnsi="Times New Roman" w:cs="Times New Roman"/>
          <w:sz w:val="20"/>
          <w:szCs w:val="20"/>
          <w:lang w:val="en-US"/>
        </w:rPr>
        <w:t xml:space="preserve"> enclosure periods (Results), we decided to incubate the storage duration samples in Experiment 3 for single enclosure period in order to better</w:t>
      </w:r>
      <w:r w:rsidR="00377652">
        <w:rPr>
          <w:rFonts w:ascii="Times New Roman" w:hAnsi="Times New Roman" w:cs="Times New Roman"/>
          <w:sz w:val="20"/>
          <w:szCs w:val="20"/>
          <w:lang w:val="en-US"/>
        </w:rPr>
        <w:t xml:space="preserve"> control the total amount of </w:t>
      </w:r>
      <w:r w:rsidR="00377652" w:rsidRPr="00377652">
        <w:rPr>
          <w:rFonts w:ascii="Times New Roman" w:hAnsi="Times New Roman" w:cs="Times New Roman"/>
          <w:sz w:val="20"/>
          <w:szCs w:val="20"/>
          <w:lang w:val="en-US"/>
        </w:rPr>
        <w:t>CO</w:t>
      </w:r>
      <w:r w:rsidR="00377652" w:rsidRPr="00377652">
        <w:rPr>
          <w:rFonts w:ascii="Times New Roman" w:hAnsi="Times New Roman" w:cs="Times New Roman"/>
          <w:sz w:val="20"/>
          <w:szCs w:val="20"/>
          <w:vertAlign w:val="subscript"/>
          <w:lang w:val="en-US"/>
        </w:rPr>
        <w:t>2</w:t>
      </w:r>
      <w:r w:rsidRPr="00377652">
        <w:rPr>
          <w:rFonts w:ascii="Times New Roman" w:hAnsi="Times New Roman" w:cs="Times New Roman"/>
          <w:sz w:val="20"/>
          <w:szCs w:val="20"/>
          <w:lang w:val="en-US"/>
        </w:rPr>
        <w:t xml:space="preserve"> respired.</w:t>
      </w:r>
    </w:p>
    <w:p w14:paraId="133ED5C4" w14:textId="04915EEC" w:rsidR="00D74EA6" w:rsidRDefault="00BE685A" w:rsidP="00D74EA6">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2.6</w:t>
      </w:r>
      <w:r w:rsidR="005673F0" w:rsidRPr="00C27016">
        <w:rPr>
          <w:rFonts w:ascii="Times New Roman" w:hAnsi="Times New Roman" w:cs="Times New Roman"/>
          <w:sz w:val="24"/>
          <w:szCs w:val="24"/>
        </w:rPr>
        <w:t xml:space="preserve"> Statistical analysis</w:t>
      </w:r>
    </w:p>
    <w:p w14:paraId="5E214A3E" w14:textId="77777777" w:rsidR="00E94AB8" w:rsidRDefault="00D12F08" w:rsidP="00720AB9">
      <w:pPr>
        <w:pStyle w:val="Normal1"/>
        <w:spacing w:before="120" w:line="360" w:lineRule="auto"/>
        <w:rPr>
          <w:rFonts w:ascii="AppleSystemUIFont" w:eastAsiaTheme="minorEastAsia" w:hAnsi="AppleSystemUIFont" w:cs="AppleSystemUIFont"/>
          <w:color w:val="353535"/>
          <w:sz w:val="24"/>
          <w:szCs w:val="24"/>
        </w:rPr>
      </w:pPr>
      <w:r>
        <w:rPr>
          <w:rFonts w:ascii="Times New Roman" w:hAnsi="Times New Roman" w:cs="Times New Roman"/>
          <w:sz w:val="24"/>
          <w:szCs w:val="24"/>
        </w:rPr>
        <w:t xml:space="preserve">We compared the mean differences between treatment </w:t>
      </w:r>
      <w:r w:rsidR="005B6C16">
        <w:rPr>
          <w:rFonts w:ascii="Times New Roman" w:hAnsi="Times New Roman" w:cs="Times New Roman"/>
          <w:sz w:val="24"/>
          <w:szCs w:val="24"/>
        </w:rPr>
        <w:t xml:space="preserve">and control </w:t>
      </w:r>
      <w:r>
        <w:rPr>
          <w:rFonts w:ascii="Times New Roman" w:hAnsi="Times New Roman" w:cs="Times New Roman"/>
          <w:sz w:val="24"/>
          <w:szCs w:val="24"/>
        </w:rPr>
        <w:t xml:space="preserve">sample </w:t>
      </w:r>
      <w:r>
        <w:rPr>
          <w:rFonts w:ascii="AppleSystemUIFont" w:eastAsiaTheme="minorEastAsia" w:hAnsi="AppleSystemUIFont" w:cs="AppleSystemUIFont"/>
          <w:color w:val="353535"/>
          <w:sz w:val="24"/>
          <w:szCs w:val="24"/>
        </w:rPr>
        <w:t>∆</w:t>
      </w:r>
      <w:r>
        <w:rPr>
          <w:rFonts w:ascii="AppleSystemUIFont" w:eastAsiaTheme="minorEastAsia" w:hAnsi="AppleSystemUIFont" w:cs="AppleSystemUIFont"/>
          <w:color w:val="353535"/>
          <w:sz w:val="24"/>
          <w:szCs w:val="24"/>
          <w:vertAlign w:val="superscript"/>
        </w:rPr>
        <w:t>14</w:t>
      </w:r>
      <w:r>
        <w:rPr>
          <w:rFonts w:ascii="AppleSystemUIFont" w:eastAsiaTheme="minorEastAsia" w:hAnsi="AppleSystemUIFont" w:cs="AppleSystemUIFont"/>
          <w:color w:val="353535"/>
          <w:sz w:val="24"/>
          <w:szCs w:val="24"/>
        </w:rPr>
        <w:t>C-CO</w:t>
      </w:r>
      <w:r>
        <w:rPr>
          <w:rFonts w:ascii="AppleSystemUIFont" w:eastAsiaTheme="minorEastAsia" w:hAnsi="AppleSystemUIFont" w:cs="AppleSystemUIFont"/>
          <w:color w:val="353535"/>
          <w:sz w:val="24"/>
          <w:szCs w:val="24"/>
          <w:vertAlign w:val="subscript"/>
        </w:rPr>
        <w:t>2</w:t>
      </w:r>
      <w:r>
        <w:rPr>
          <w:rFonts w:ascii="AppleSystemUIFont" w:eastAsiaTheme="minorEastAsia" w:hAnsi="AppleSystemUIFont" w:cs="AppleSystemUIFont"/>
          <w:color w:val="353535"/>
          <w:sz w:val="24"/>
          <w:szCs w:val="24"/>
        </w:rPr>
        <w:t xml:space="preserve"> </w:t>
      </w:r>
      <w:r w:rsidR="006D60A4">
        <w:rPr>
          <w:rFonts w:ascii="Times New Roman" w:hAnsi="Times New Roman" w:cs="Times New Roman"/>
          <w:sz w:val="24"/>
          <w:szCs w:val="24"/>
        </w:rPr>
        <w:t xml:space="preserve">and </w:t>
      </w:r>
      <w:r w:rsidR="006D60A4" w:rsidRPr="00C27016">
        <w:rPr>
          <w:rFonts w:ascii="Times New Roman" w:hAnsi="Times New Roman" w:cs="Times New Roman"/>
          <w:sz w:val="24"/>
          <w:szCs w:val="24"/>
        </w:rPr>
        <w:t>δ</w:t>
      </w:r>
      <w:r w:rsidR="006D60A4" w:rsidRPr="00C27016">
        <w:rPr>
          <w:rFonts w:ascii="Times New Roman" w:hAnsi="Times New Roman" w:cs="Times New Roman"/>
          <w:sz w:val="24"/>
          <w:szCs w:val="24"/>
          <w:vertAlign w:val="superscript"/>
        </w:rPr>
        <w:t>13</w:t>
      </w:r>
      <w:r w:rsidR="006D60A4" w:rsidRPr="00C27016">
        <w:rPr>
          <w:rFonts w:ascii="Times New Roman" w:hAnsi="Times New Roman" w:cs="Times New Roman"/>
          <w:sz w:val="24"/>
          <w:szCs w:val="24"/>
        </w:rPr>
        <w:t>C</w:t>
      </w:r>
      <w:r w:rsidR="006D60A4">
        <w:rPr>
          <w:rFonts w:ascii="Times New Roman" w:hAnsi="Times New Roman" w:cs="Times New Roman"/>
          <w:sz w:val="24"/>
          <w:szCs w:val="24"/>
        </w:rPr>
        <w:t>-CO</w:t>
      </w:r>
      <w:r w:rsidR="006D60A4" w:rsidRPr="0049595E">
        <w:rPr>
          <w:rFonts w:ascii="Times New Roman" w:hAnsi="Times New Roman" w:cs="Times New Roman"/>
          <w:sz w:val="24"/>
          <w:szCs w:val="24"/>
          <w:vertAlign w:val="subscript"/>
        </w:rPr>
        <w:t>2</w:t>
      </w:r>
      <w:r w:rsidR="006D60A4">
        <w:rPr>
          <w:rFonts w:ascii="Times New Roman" w:hAnsi="Times New Roman" w:cs="Times New Roman"/>
          <w:sz w:val="24"/>
          <w:szCs w:val="24"/>
        </w:rPr>
        <w:t xml:space="preserve"> </w:t>
      </w:r>
      <w:r>
        <w:rPr>
          <w:rFonts w:ascii="AppleSystemUIFont" w:eastAsiaTheme="minorEastAsia" w:hAnsi="AppleSystemUIFont" w:cs="AppleSystemUIFont"/>
          <w:color w:val="353535"/>
          <w:sz w:val="24"/>
          <w:szCs w:val="24"/>
        </w:rPr>
        <w:t>within ecosystem types for each experiment in order to assess the significance of the treatment effects.</w:t>
      </w:r>
      <w:r w:rsidR="00D05A6C">
        <w:rPr>
          <w:rFonts w:ascii="AppleSystemUIFont" w:eastAsiaTheme="minorEastAsia" w:hAnsi="AppleSystemUIFont" w:cs="AppleSystemUIFont"/>
          <w:color w:val="353535"/>
          <w:sz w:val="24"/>
          <w:szCs w:val="24"/>
        </w:rPr>
        <w:t xml:space="preserve"> </w:t>
      </w:r>
      <w:r w:rsidR="001A1368">
        <w:rPr>
          <w:rFonts w:ascii="AppleSystemUIFont" w:eastAsiaTheme="minorEastAsia" w:hAnsi="AppleSystemUIFont" w:cs="AppleSystemUIFont"/>
          <w:color w:val="353535"/>
          <w:sz w:val="24"/>
          <w:szCs w:val="24"/>
        </w:rPr>
        <w:t xml:space="preserve">We first quantified the analytical error associated with the radiocarbon incubation method by calculating the mean of the variance measured among replicates for all samples that were replicated. </w:t>
      </w:r>
      <w:r w:rsidR="0055075E">
        <w:rPr>
          <w:rFonts w:ascii="AppleSystemUIFont" w:eastAsiaTheme="minorEastAsia" w:hAnsi="AppleSystemUIFont" w:cs="AppleSystemUIFont"/>
          <w:color w:val="353535"/>
          <w:sz w:val="24"/>
          <w:szCs w:val="24"/>
        </w:rPr>
        <w:t xml:space="preserve">We </w:t>
      </w:r>
      <w:r w:rsidR="006D60A4">
        <w:rPr>
          <w:rFonts w:ascii="AppleSystemUIFont" w:eastAsiaTheme="minorEastAsia" w:hAnsi="AppleSystemUIFont" w:cs="AppleSystemUIFont"/>
          <w:color w:val="353535"/>
          <w:sz w:val="24"/>
          <w:szCs w:val="24"/>
        </w:rPr>
        <w:t>assumed</w:t>
      </w:r>
      <w:r w:rsidR="0055075E">
        <w:rPr>
          <w:rFonts w:ascii="AppleSystemUIFont" w:eastAsiaTheme="minorEastAsia" w:hAnsi="AppleSystemUIFont" w:cs="AppleSystemUIFont"/>
          <w:color w:val="353535"/>
          <w:sz w:val="24"/>
          <w:szCs w:val="24"/>
        </w:rPr>
        <w:t xml:space="preserve"> this mean variance for </w:t>
      </w:r>
      <w:r w:rsidR="00D05A6C">
        <w:rPr>
          <w:rFonts w:ascii="AppleSystemUIFont" w:eastAsiaTheme="minorEastAsia" w:hAnsi="AppleSystemUIFont" w:cs="AppleSystemUIFont"/>
          <w:color w:val="353535"/>
          <w:sz w:val="24"/>
          <w:szCs w:val="24"/>
        </w:rPr>
        <w:t>those</w:t>
      </w:r>
      <w:r w:rsidR="0055075E">
        <w:rPr>
          <w:rFonts w:ascii="AppleSystemUIFont" w:eastAsiaTheme="minorEastAsia" w:hAnsi="AppleSystemUIFont" w:cs="AppleSystemUIFont"/>
          <w:color w:val="353535"/>
          <w:sz w:val="24"/>
          <w:szCs w:val="24"/>
        </w:rPr>
        <w:t xml:space="preserve"> sa</w:t>
      </w:r>
      <w:r w:rsidR="00D05A6C">
        <w:rPr>
          <w:rFonts w:ascii="AppleSystemUIFont" w:eastAsiaTheme="minorEastAsia" w:hAnsi="AppleSystemUIFont" w:cs="AppleSystemUIFont"/>
          <w:color w:val="353535"/>
          <w:sz w:val="24"/>
          <w:szCs w:val="24"/>
        </w:rPr>
        <w:t xml:space="preserve">mples that were not run in replicate so we could </w:t>
      </w:r>
      <w:r w:rsidR="006D60A4">
        <w:rPr>
          <w:rFonts w:ascii="AppleSystemUIFont" w:eastAsiaTheme="minorEastAsia" w:hAnsi="AppleSystemUIFont" w:cs="AppleSystemUIFont"/>
          <w:color w:val="353535"/>
          <w:sz w:val="24"/>
          <w:szCs w:val="24"/>
        </w:rPr>
        <w:t xml:space="preserve">more accurately </w:t>
      </w:r>
      <w:r w:rsidR="00D05A6C">
        <w:rPr>
          <w:rFonts w:ascii="AppleSystemUIFont" w:eastAsiaTheme="minorEastAsia" w:hAnsi="AppleSystemUIFont" w:cs="AppleSystemUIFont"/>
          <w:color w:val="353535"/>
          <w:sz w:val="24"/>
          <w:szCs w:val="24"/>
        </w:rPr>
        <w:t>calculate the error of t</w:t>
      </w:r>
      <w:r w:rsidR="001A1368">
        <w:rPr>
          <w:rFonts w:ascii="AppleSystemUIFont" w:eastAsiaTheme="minorEastAsia" w:hAnsi="AppleSystemUIFont" w:cs="AppleSystemUIFont"/>
          <w:color w:val="353535"/>
          <w:sz w:val="24"/>
          <w:szCs w:val="24"/>
        </w:rPr>
        <w:t>he difference between treatment</w:t>
      </w:r>
      <w:r w:rsidR="00701C09">
        <w:rPr>
          <w:rFonts w:ascii="AppleSystemUIFont" w:eastAsiaTheme="minorEastAsia" w:hAnsi="AppleSystemUIFont" w:cs="AppleSystemUIFont"/>
          <w:color w:val="353535"/>
          <w:sz w:val="24"/>
          <w:szCs w:val="24"/>
        </w:rPr>
        <w:t xml:space="preserve"> and control</w:t>
      </w:r>
      <w:r w:rsidR="001A1368">
        <w:rPr>
          <w:rFonts w:ascii="AppleSystemUIFont" w:eastAsiaTheme="minorEastAsia" w:hAnsi="AppleSystemUIFont" w:cs="AppleSystemUIFont"/>
          <w:color w:val="353535"/>
          <w:sz w:val="24"/>
          <w:szCs w:val="24"/>
        </w:rPr>
        <w:t xml:space="preserve"> mean</w:t>
      </w:r>
      <w:r w:rsidR="005B6C16">
        <w:rPr>
          <w:rFonts w:ascii="AppleSystemUIFont" w:eastAsiaTheme="minorEastAsia" w:hAnsi="AppleSystemUIFont" w:cs="AppleSystemUIFont"/>
          <w:color w:val="353535"/>
          <w:sz w:val="24"/>
          <w:szCs w:val="24"/>
        </w:rPr>
        <w:t>s</w:t>
      </w:r>
      <w:r w:rsidR="00701C09">
        <w:rPr>
          <w:rFonts w:ascii="AppleSystemUIFont" w:eastAsiaTheme="minorEastAsia" w:hAnsi="AppleSystemUIFont" w:cs="AppleSystemUIFont"/>
          <w:color w:val="353535"/>
          <w:sz w:val="24"/>
          <w:szCs w:val="24"/>
        </w:rPr>
        <w:t xml:space="preserve"> </w:t>
      </w:r>
      <w:r w:rsidR="00D05A6C">
        <w:rPr>
          <w:rFonts w:ascii="AppleSystemUIFont" w:eastAsiaTheme="minorEastAsia" w:hAnsi="AppleSystemUIFont" w:cs="AppleSystemUIFont"/>
          <w:color w:val="353535"/>
          <w:sz w:val="24"/>
          <w:szCs w:val="24"/>
        </w:rPr>
        <w:t>for each</w:t>
      </w:r>
      <w:r w:rsidR="001A1368">
        <w:rPr>
          <w:rFonts w:ascii="AppleSystemUIFont" w:eastAsiaTheme="minorEastAsia" w:hAnsi="AppleSystemUIFont" w:cs="AppleSystemUIFont"/>
          <w:color w:val="353535"/>
          <w:sz w:val="24"/>
          <w:szCs w:val="24"/>
        </w:rPr>
        <w:t xml:space="preserve"> sample</w:t>
      </w:r>
      <w:r w:rsidR="00701C09">
        <w:rPr>
          <w:rFonts w:ascii="AppleSystemUIFont" w:eastAsiaTheme="minorEastAsia" w:hAnsi="AppleSystemUIFont" w:cs="AppleSystemUIFont"/>
          <w:color w:val="353535"/>
          <w:sz w:val="24"/>
          <w:szCs w:val="24"/>
        </w:rPr>
        <w:t>.</w:t>
      </w:r>
      <w:r w:rsidR="00D05A6C">
        <w:rPr>
          <w:rFonts w:ascii="AppleSystemUIFont" w:eastAsiaTheme="minorEastAsia" w:hAnsi="AppleSystemUIFont" w:cs="AppleSystemUIFont"/>
          <w:color w:val="353535"/>
          <w:sz w:val="24"/>
          <w:szCs w:val="24"/>
        </w:rPr>
        <w:t xml:space="preserve"> </w:t>
      </w:r>
      <w:r w:rsidR="00701C09">
        <w:rPr>
          <w:rFonts w:ascii="AppleSystemUIFont" w:eastAsiaTheme="minorEastAsia" w:hAnsi="AppleSystemUIFont" w:cs="AppleSystemUIFont"/>
          <w:color w:val="353535"/>
          <w:sz w:val="24"/>
          <w:szCs w:val="24"/>
        </w:rPr>
        <w:t xml:space="preserve">We then determined the </w:t>
      </w:r>
      <w:r w:rsidR="00735280">
        <w:rPr>
          <w:rFonts w:ascii="AppleSystemUIFont" w:eastAsiaTheme="minorEastAsia" w:hAnsi="AppleSystemUIFont" w:cs="AppleSystemUIFont"/>
          <w:color w:val="353535"/>
          <w:sz w:val="24"/>
          <w:szCs w:val="24"/>
        </w:rPr>
        <w:t>pooled</w:t>
      </w:r>
      <w:r w:rsidR="00701C09">
        <w:rPr>
          <w:rFonts w:ascii="AppleSystemUIFont" w:eastAsiaTheme="minorEastAsia" w:hAnsi="AppleSystemUIFont" w:cs="AppleSystemUIFont"/>
          <w:color w:val="353535"/>
          <w:sz w:val="24"/>
          <w:szCs w:val="24"/>
        </w:rPr>
        <w:t xml:space="preserve"> mean </w:t>
      </w:r>
      <w:r w:rsidR="00735280">
        <w:rPr>
          <w:rFonts w:ascii="AppleSystemUIFont" w:eastAsiaTheme="minorEastAsia" w:hAnsi="AppleSystemUIFont" w:cs="AppleSystemUIFont"/>
          <w:color w:val="353535"/>
          <w:sz w:val="24"/>
          <w:szCs w:val="24"/>
        </w:rPr>
        <w:t>and variance</w:t>
      </w:r>
      <w:r w:rsidR="001017A4">
        <w:rPr>
          <w:rFonts w:ascii="AppleSystemUIFont" w:eastAsiaTheme="minorEastAsia" w:hAnsi="AppleSystemUIFont" w:cs="AppleSystemUIFont"/>
          <w:color w:val="353535"/>
          <w:sz w:val="24"/>
          <w:szCs w:val="24"/>
        </w:rPr>
        <w:t xml:space="preserve"> </w:t>
      </w:r>
      <w:r w:rsidR="00701C09">
        <w:rPr>
          <w:rFonts w:ascii="AppleSystemUIFont" w:eastAsiaTheme="minorEastAsia" w:hAnsi="AppleSystemUIFont" w:cs="AppleSystemUIFont"/>
          <w:color w:val="353535"/>
          <w:sz w:val="24"/>
          <w:szCs w:val="24"/>
        </w:rPr>
        <w:t xml:space="preserve">of </w:t>
      </w:r>
      <w:r w:rsidR="00735280">
        <w:rPr>
          <w:rFonts w:ascii="AppleSystemUIFont" w:eastAsiaTheme="minorEastAsia" w:hAnsi="AppleSystemUIFont" w:cs="AppleSystemUIFont"/>
          <w:color w:val="353535"/>
          <w:sz w:val="24"/>
          <w:szCs w:val="24"/>
        </w:rPr>
        <w:t>the treatment-control differences within ecosystem types</w:t>
      </w:r>
      <w:r w:rsidR="00E94AB8">
        <w:rPr>
          <w:rFonts w:ascii="AppleSystemUIFont" w:eastAsiaTheme="minorEastAsia" w:hAnsi="AppleSystemUIFont" w:cs="AppleSystemUIFont"/>
          <w:color w:val="353535"/>
          <w:sz w:val="24"/>
          <w:szCs w:val="24"/>
        </w:rPr>
        <w:t xml:space="preserve"> separately for Experiment 1 and Experiment 2 samples, and pooled across ecosystem type for Experiment 3. </w:t>
      </w:r>
      <w:r w:rsidR="00E94AB8">
        <w:rPr>
          <w:rFonts w:ascii="Times New Roman" w:eastAsia="Arial Unicode MS" w:hAnsi="Times New Roman" w:cs="Times New Roman"/>
          <w:sz w:val="24"/>
          <w:szCs w:val="24"/>
        </w:rPr>
        <w:t>We did not consider ecosystem type for Exeperiment 3 as the direction of trend was the same for both forest and grassland soils and additionally we only had a limited number of grassland soils (n = 3)</w:t>
      </w:r>
      <w:r w:rsidR="006D60A4">
        <w:rPr>
          <w:rFonts w:ascii="AppleSystemUIFont" w:eastAsiaTheme="minorEastAsia" w:hAnsi="AppleSystemUIFont" w:cs="AppleSystemUIFont"/>
          <w:color w:val="353535"/>
          <w:sz w:val="24"/>
          <w:szCs w:val="24"/>
        </w:rPr>
        <w:t>.</w:t>
      </w:r>
      <w:r w:rsidR="00F312CC">
        <w:rPr>
          <w:rFonts w:ascii="AppleSystemUIFont" w:eastAsiaTheme="minorEastAsia" w:hAnsi="AppleSystemUIFont" w:cs="AppleSystemUIFont"/>
          <w:color w:val="353535"/>
          <w:sz w:val="24"/>
          <w:szCs w:val="24"/>
        </w:rPr>
        <w:t xml:space="preserve"> </w:t>
      </w:r>
    </w:p>
    <w:p w14:paraId="5B0CCC61" w14:textId="3E2A1D71" w:rsidR="00D05A6C" w:rsidRPr="001017A4" w:rsidRDefault="006D60A4" w:rsidP="00720AB9">
      <w:pPr>
        <w:pStyle w:val="Normal1"/>
        <w:spacing w:before="120" w:line="360" w:lineRule="auto"/>
        <w:rPr>
          <w:rFonts w:ascii="Times New Roman" w:hAnsi="Times New Roman" w:cs="Times New Roman"/>
          <w:sz w:val="24"/>
          <w:szCs w:val="24"/>
        </w:rPr>
      </w:pPr>
      <w:r>
        <w:rPr>
          <w:rFonts w:ascii="AppleSystemUIFont" w:eastAsiaTheme="minorEastAsia" w:hAnsi="AppleSystemUIFont" w:cs="AppleSystemUIFont"/>
          <w:color w:val="353535"/>
          <w:sz w:val="24"/>
          <w:szCs w:val="24"/>
        </w:rPr>
        <w:t>The pooled mean is simply the average of the individual sample means weighted by the number of replicates. We determined the pooled variance (</w:t>
      </w:r>
      <w:r w:rsidRPr="001017A4">
        <w:rPr>
          <w:rFonts w:ascii="AppleSystemUIFont" w:eastAsiaTheme="minorEastAsia" w:hAnsi="AppleSystemUIFont" w:cs="AppleSystemUIFont"/>
          <w:b/>
          <w:color w:val="353535"/>
          <w:sz w:val="24"/>
          <w:szCs w:val="24"/>
        </w:rPr>
        <w:t>Eq. 1</w:t>
      </w:r>
      <w:r>
        <w:rPr>
          <w:rFonts w:ascii="AppleSystemUIFont" w:eastAsiaTheme="minorEastAsia" w:hAnsi="AppleSystemUIFont" w:cs="AppleSystemUIFont"/>
          <w:color w:val="353535"/>
          <w:sz w:val="24"/>
          <w:szCs w:val="24"/>
        </w:rPr>
        <w:t xml:space="preserve">) using the method of O’Neil (2014), which takes into account both sampled and unsampled variance for a finite population. We used this </w:t>
      </w:r>
      <w:r w:rsidR="00D9033E">
        <w:rPr>
          <w:rFonts w:ascii="AppleSystemUIFont" w:eastAsiaTheme="minorEastAsia" w:hAnsi="AppleSystemUIFont" w:cs="AppleSystemUIFont"/>
          <w:color w:val="353535"/>
          <w:sz w:val="24"/>
          <w:szCs w:val="24"/>
        </w:rPr>
        <w:t xml:space="preserve">variance to determine </w:t>
      </w:r>
      <w:r w:rsidR="00885A99">
        <w:rPr>
          <w:rFonts w:ascii="AppleSystemUIFont" w:eastAsiaTheme="minorEastAsia" w:hAnsi="AppleSystemUIFont" w:cs="AppleSystemUIFont"/>
          <w:color w:val="353535"/>
          <w:sz w:val="24"/>
          <w:szCs w:val="24"/>
        </w:rPr>
        <w:t xml:space="preserve">95% </w:t>
      </w:r>
      <w:r w:rsidR="00D9033E">
        <w:rPr>
          <w:rFonts w:ascii="AppleSystemUIFont" w:eastAsiaTheme="minorEastAsia" w:hAnsi="AppleSystemUIFont" w:cs="AppleSystemUIFont"/>
          <w:color w:val="353535"/>
          <w:sz w:val="24"/>
          <w:szCs w:val="24"/>
        </w:rPr>
        <w:t>confidence intervals around the pooled mean difference, which we deemed significant if the confidence interval did not overlap zero.</w:t>
      </w:r>
      <w:r w:rsidR="005B6C16">
        <w:rPr>
          <w:rFonts w:ascii="AppleSystemUIFont" w:eastAsiaTheme="minorEastAsia" w:hAnsi="AppleSystemUIFont" w:cs="AppleSystemUIFont"/>
          <w:color w:val="353535"/>
          <w:sz w:val="24"/>
          <w:szCs w:val="24"/>
        </w:rPr>
        <w:t xml:space="preserve"> </w:t>
      </w:r>
    </w:p>
    <w:p w14:paraId="1F4DC4D0" w14:textId="0584100C" w:rsidR="00D9033E" w:rsidRPr="00D9033E" w:rsidRDefault="00D9033E" w:rsidP="00720AB9">
      <w:pPr>
        <w:pStyle w:val="Normal1"/>
        <w:spacing w:before="120" w:line="360" w:lineRule="auto"/>
        <w:rPr>
          <w:rFonts w:ascii="AppleSystemUIFont" w:eastAsiaTheme="minorEastAsia" w:hAnsi="AppleSystemUIFont" w:cs="AppleSystemUIFont"/>
          <w:b/>
          <w:color w:val="353535"/>
          <w:sz w:val="24"/>
          <w:szCs w:val="24"/>
        </w:rPr>
      </w:pPr>
      <w:r w:rsidRPr="00D9033E">
        <w:rPr>
          <w:rFonts w:ascii="AppleSystemUIFont" w:eastAsiaTheme="minorEastAsia" w:hAnsi="AppleSystemUIFont" w:cs="AppleSystemUIFont"/>
          <w:b/>
          <w:color w:val="353535"/>
          <w:sz w:val="24"/>
          <w:szCs w:val="24"/>
        </w:rPr>
        <w:t>Eq. 1</w:t>
      </w:r>
    </w:p>
    <w:p w14:paraId="2DCA52E3" w14:textId="45DA9BB7" w:rsidR="006D60A4" w:rsidRPr="006D60A4" w:rsidRDefault="00165F79" w:rsidP="00720AB9">
      <w:pPr>
        <w:pStyle w:val="Normal1"/>
        <w:spacing w:before="120" w:line="360" w:lineRule="auto"/>
        <w:rPr>
          <w:rFonts w:ascii="AppleSystemUIFont" w:eastAsiaTheme="minorEastAsia" w:hAnsi="AppleSystemUIFont" w:cs="AppleSystemUIFont"/>
          <w:color w:val="353535"/>
          <w:sz w:val="24"/>
          <w:szCs w:val="24"/>
        </w:rPr>
      </w:pPr>
      <m:oMathPara>
        <m:oMath>
          <m:sSub>
            <m:sSubPr>
              <m:ctrlPr>
                <w:rPr>
                  <w:rFonts w:ascii="Cambria Math" w:eastAsiaTheme="minorEastAsia" w:hAnsi="Cambria Math" w:cs="AppleSystemUIFont"/>
                  <w:i/>
                  <w:color w:val="353535"/>
                  <w:sz w:val="24"/>
                  <w:szCs w:val="24"/>
                </w:rPr>
              </m:ctrlPr>
            </m:sSubPr>
            <m:e>
              <m:sSup>
                <m:sSupPr>
                  <m:ctrlPr>
                    <w:rPr>
                      <w:rFonts w:ascii="Cambria Math" w:eastAsiaTheme="minorEastAsia" w:hAnsi="Cambria Math" w:cs="AppleSystemUIFont"/>
                      <w:i/>
                      <w:color w:val="353535"/>
                      <w:sz w:val="24"/>
                      <w:szCs w:val="24"/>
                    </w:rPr>
                  </m:ctrlPr>
                </m:sSupPr>
                <m:e>
                  <m:r>
                    <w:rPr>
                      <w:rFonts w:ascii="Cambria Math" w:eastAsiaTheme="minorEastAsia" w:hAnsi="Cambria Math" w:cs="AppleSystemUIFont"/>
                      <w:color w:val="353535"/>
                      <w:sz w:val="24"/>
                      <w:szCs w:val="24"/>
                    </w:rPr>
                    <m:t>S</m:t>
                  </m:r>
                </m:e>
                <m:sup>
                  <m:r>
                    <w:rPr>
                      <w:rFonts w:ascii="Cambria Math" w:eastAsiaTheme="minorEastAsia" w:hAnsi="Cambria Math" w:cs="AppleSystemUIFont"/>
                      <w:color w:val="353535"/>
                      <w:sz w:val="24"/>
                      <w:szCs w:val="24"/>
                    </w:rPr>
                    <m:t>2</m:t>
                  </m:r>
                </m:sup>
              </m:sSup>
            </m:e>
            <m:sub>
              <m:r>
                <w:rPr>
                  <w:rFonts w:ascii="Cambria Math" w:eastAsiaTheme="minorEastAsia" w:hAnsi="Cambria Math" w:cs="AppleSystemUIFont"/>
                  <w:color w:val="353535"/>
                  <w:sz w:val="24"/>
                  <w:szCs w:val="24"/>
                </w:rPr>
                <m:t>N</m:t>
              </m:r>
            </m:sub>
          </m:sSub>
          <m:r>
            <w:rPr>
              <w:rFonts w:ascii="Cambria Math" w:eastAsiaTheme="minorEastAsia" w:hAnsi="Cambria Math" w:cs="AppleSystemUIFont"/>
              <w:color w:val="353535"/>
              <w:sz w:val="24"/>
              <w:szCs w:val="24"/>
            </w:rPr>
            <m:t>=</m:t>
          </m:r>
          <m:f>
            <m:fPr>
              <m:ctrlPr>
                <w:rPr>
                  <w:rFonts w:ascii="Cambria Math" w:eastAsiaTheme="minorEastAsia" w:hAnsi="Cambria Math" w:cs="AppleSystemUIFont"/>
                  <w:i/>
                  <w:color w:val="353535"/>
                  <w:sz w:val="24"/>
                  <w:szCs w:val="24"/>
                </w:rPr>
              </m:ctrlPr>
            </m:fPr>
            <m:num>
              <m:nary>
                <m:naryPr>
                  <m:chr m:val="∑"/>
                  <m:limLoc m:val="undOvr"/>
                  <m:subHide m:val="1"/>
                  <m:supHide m:val="1"/>
                  <m:ctrlPr>
                    <w:rPr>
                      <w:rFonts w:ascii="Cambria Math" w:eastAsiaTheme="minorEastAsia" w:hAnsi="Cambria Math" w:cs="AppleSystemUIFont"/>
                      <w:i/>
                      <w:color w:val="353535"/>
                      <w:sz w:val="24"/>
                      <w:szCs w:val="24"/>
                    </w:rPr>
                  </m:ctrlPr>
                </m:naryPr>
                <m:sub/>
                <m:sup/>
                <m:e>
                  <m:r>
                    <w:rPr>
                      <w:rFonts w:ascii="Cambria Math" w:eastAsiaTheme="minorEastAsia" w:hAnsi="Cambria Math" w:cs="AppleSystemUIFont"/>
                      <w:color w:val="353535"/>
                      <w:sz w:val="24"/>
                      <w:szCs w:val="24"/>
                    </w:rPr>
                    <m:t>(</m:t>
                  </m:r>
                  <m:sSub>
                    <m:sSubPr>
                      <m:ctrlPr>
                        <w:rPr>
                          <w:rFonts w:ascii="Cambria Math" w:eastAsiaTheme="minorEastAsia" w:hAnsi="Cambria Math" w:cs="AppleSystemUIFont"/>
                          <w:i/>
                          <w:color w:val="353535"/>
                          <w:sz w:val="24"/>
                          <w:szCs w:val="24"/>
                        </w:rPr>
                      </m:ctrlPr>
                    </m:sSubPr>
                    <m:e>
                      <m:r>
                        <w:rPr>
                          <w:rFonts w:ascii="Cambria Math" w:eastAsiaTheme="minorEastAsia" w:hAnsi="Cambria Math" w:cs="AppleSystemUIFont"/>
                          <w:color w:val="353535"/>
                          <w:sz w:val="24"/>
                          <w:szCs w:val="24"/>
                        </w:rPr>
                        <m:t>n</m:t>
                      </m:r>
                    </m:e>
                    <m:sub>
                      <m:r>
                        <w:rPr>
                          <w:rFonts w:ascii="Cambria Math" w:eastAsiaTheme="minorEastAsia" w:hAnsi="Cambria Math" w:cs="AppleSystemUIFont"/>
                          <w:color w:val="353535"/>
                          <w:sz w:val="24"/>
                          <w:szCs w:val="24"/>
                        </w:rPr>
                        <m:t>i</m:t>
                      </m:r>
                    </m:sub>
                  </m:sSub>
                  <m:r>
                    <w:rPr>
                      <w:rFonts w:ascii="Cambria Math" w:eastAsiaTheme="minorEastAsia" w:hAnsi="Cambria Math" w:cs="AppleSystemUIFont"/>
                      <w:color w:val="353535"/>
                      <w:sz w:val="24"/>
                      <w:szCs w:val="24"/>
                    </w:rPr>
                    <m:t>-1)</m:t>
                  </m:r>
                  <m:sSup>
                    <m:sSupPr>
                      <m:ctrlPr>
                        <w:rPr>
                          <w:rFonts w:ascii="Cambria Math" w:eastAsiaTheme="minorEastAsia" w:hAnsi="Cambria Math" w:cs="AppleSystemUIFont"/>
                          <w:i/>
                          <w:color w:val="353535"/>
                          <w:sz w:val="24"/>
                          <w:szCs w:val="24"/>
                        </w:rPr>
                      </m:ctrlPr>
                    </m:sSupPr>
                    <m:e>
                      <m:sSub>
                        <m:sSubPr>
                          <m:ctrlPr>
                            <w:rPr>
                              <w:rFonts w:ascii="Cambria Math" w:eastAsiaTheme="minorEastAsia" w:hAnsi="Cambria Math" w:cs="AppleSystemUIFont"/>
                              <w:i/>
                              <w:color w:val="353535"/>
                              <w:sz w:val="24"/>
                              <w:szCs w:val="24"/>
                            </w:rPr>
                          </m:ctrlPr>
                        </m:sSubPr>
                        <m:e>
                          <m:r>
                            <w:rPr>
                              <w:rFonts w:ascii="Cambria Math" w:eastAsiaTheme="minorEastAsia" w:hAnsi="Cambria Math" w:cs="AppleSystemUIFont"/>
                              <w:color w:val="353535"/>
                              <w:sz w:val="24"/>
                              <w:szCs w:val="24"/>
                            </w:rPr>
                            <m:t>s</m:t>
                          </m:r>
                        </m:e>
                        <m:sub>
                          <m:r>
                            <w:rPr>
                              <w:rFonts w:ascii="Cambria Math" w:eastAsiaTheme="minorEastAsia" w:hAnsi="Cambria Math" w:cs="AppleSystemUIFont"/>
                              <w:color w:val="353535"/>
                              <w:sz w:val="24"/>
                              <w:szCs w:val="24"/>
                            </w:rPr>
                            <m:t>i</m:t>
                          </m:r>
                        </m:sub>
                      </m:sSub>
                    </m:e>
                    <m:sup>
                      <m:r>
                        <w:rPr>
                          <w:rFonts w:ascii="Cambria Math" w:eastAsiaTheme="minorEastAsia" w:hAnsi="Cambria Math" w:cs="AppleSystemUIFont"/>
                          <w:color w:val="353535"/>
                          <w:sz w:val="24"/>
                          <w:szCs w:val="24"/>
                        </w:rPr>
                        <m:t>2</m:t>
                      </m:r>
                    </m:sup>
                  </m:sSup>
                </m:e>
              </m:nary>
              <m:r>
                <w:rPr>
                  <w:rFonts w:ascii="Cambria Math" w:eastAsiaTheme="minorEastAsia" w:hAnsi="Cambria Math" w:cs="AppleSystemUIFont"/>
                  <w:color w:val="353535"/>
                  <w:sz w:val="24"/>
                  <w:szCs w:val="24"/>
                </w:rPr>
                <m:t>+</m:t>
              </m:r>
              <m:nary>
                <m:naryPr>
                  <m:chr m:val="∑"/>
                  <m:limLoc m:val="undOvr"/>
                  <m:subHide m:val="1"/>
                  <m:supHide m:val="1"/>
                  <m:ctrlPr>
                    <w:rPr>
                      <w:rFonts w:ascii="Cambria Math" w:eastAsiaTheme="minorEastAsia" w:hAnsi="Cambria Math" w:cs="AppleSystemUIFont"/>
                      <w:i/>
                      <w:color w:val="353535"/>
                      <w:sz w:val="24"/>
                      <w:szCs w:val="24"/>
                    </w:rPr>
                  </m:ctrlPr>
                </m:naryPr>
                <m:sub/>
                <m:sup/>
                <m:e>
                  <m:d>
                    <m:dPr>
                      <m:begChr m:val="["/>
                      <m:endChr m:val="]"/>
                      <m:ctrlPr>
                        <w:rPr>
                          <w:rFonts w:ascii="Cambria Math" w:eastAsiaTheme="minorEastAsia" w:hAnsi="Cambria Math" w:cs="AppleSystemUIFont"/>
                          <w:i/>
                          <w:color w:val="353535"/>
                          <w:sz w:val="24"/>
                          <w:szCs w:val="24"/>
                        </w:rPr>
                      </m:ctrlPr>
                    </m:dPr>
                    <m:e>
                      <m:sSub>
                        <m:sSubPr>
                          <m:ctrlPr>
                            <w:rPr>
                              <w:rFonts w:ascii="Cambria Math" w:eastAsiaTheme="minorEastAsia" w:hAnsi="Cambria Math" w:cs="AppleSystemUIFont"/>
                              <w:i/>
                              <w:color w:val="353535"/>
                              <w:sz w:val="24"/>
                              <w:szCs w:val="24"/>
                            </w:rPr>
                          </m:ctrlPr>
                        </m:sSubPr>
                        <m:e>
                          <m:r>
                            <w:rPr>
                              <w:rFonts w:ascii="Cambria Math" w:eastAsiaTheme="minorEastAsia" w:hAnsi="Cambria Math" w:cs="AppleSystemUIFont"/>
                              <w:color w:val="353535"/>
                              <w:sz w:val="24"/>
                              <w:szCs w:val="24"/>
                            </w:rPr>
                            <m:t>n</m:t>
                          </m:r>
                        </m:e>
                        <m:sub>
                          <m:r>
                            <w:rPr>
                              <w:rFonts w:ascii="Cambria Math" w:eastAsiaTheme="minorEastAsia" w:hAnsi="Cambria Math" w:cs="AppleSystemUIFont"/>
                              <w:color w:val="353535"/>
                              <w:sz w:val="24"/>
                              <w:szCs w:val="24"/>
                            </w:rPr>
                            <m:t>i</m:t>
                          </m:r>
                        </m:sub>
                      </m:sSub>
                      <m:r>
                        <w:rPr>
                          <w:rFonts w:ascii="Cambria Math" w:eastAsiaTheme="minorEastAsia" w:hAnsi="Cambria Math" w:cs="AppleSystemUIFont"/>
                          <w:color w:val="353535"/>
                          <w:sz w:val="24"/>
                          <w:szCs w:val="24"/>
                        </w:rPr>
                        <m:t>∙</m:t>
                      </m:r>
                      <m:d>
                        <m:dPr>
                          <m:ctrlPr>
                            <w:rPr>
                              <w:rFonts w:ascii="Cambria Math" w:eastAsiaTheme="minorEastAsia" w:hAnsi="Cambria Math" w:cs="AppleSystemUIFont"/>
                              <w:i/>
                              <w:color w:val="353535"/>
                              <w:sz w:val="24"/>
                              <w:szCs w:val="24"/>
                            </w:rPr>
                          </m:ctrlPr>
                        </m:dPr>
                        <m:e>
                          <m:sSub>
                            <m:sSubPr>
                              <m:ctrlPr>
                                <w:rPr>
                                  <w:rFonts w:ascii="Cambria Math" w:eastAsiaTheme="minorEastAsia" w:hAnsi="Cambria Math" w:cs="AppleSystemUIFont"/>
                                  <w:i/>
                                  <w:color w:val="353535"/>
                                  <w:sz w:val="24"/>
                                  <w:szCs w:val="24"/>
                                </w:rPr>
                              </m:ctrlPr>
                            </m:sSubPr>
                            <m:e>
                              <m:acc>
                                <m:accPr>
                                  <m:chr m:val="̅"/>
                                  <m:ctrlPr>
                                    <w:rPr>
                                      <w:rFonts w:ascii="Cambria Math" w:eastAsiaTheme="minorEastAsia" w:hAnsi="Cambria Math" w:cs="AppleSystemUIFont"/>
                                      <w:i/>
                                      <w:color w:val="353535"/>
                                      <w:sz w:val="24"/>
                                      <w:szCs w:val="24"/>
                                    </w:rPr>
                                  </m:ctrlPr>
                                </m:accPr>
                                <m:e>
                                  <m:r>
                                    <w:rPr>
                                      <w:rFonts w:ascii="Cambria Math" w:eastAsiaTheme="minorEastAsia" w:hAnsi="Cambria Math" w:cs="AppleSystemUIFont"/>
                                      <w:color w:val="353535"/>
                                      <w:sz w:val="24"/>
                                      <w:szCs w:val="24"/>
                                    </w:rPr>
                                    <m:t>x</m:t>
                                  </m:r>
                                </m:e>
                              </m:acc>
                            </m:e>
                            <m:sub>
                              <m:r>
                                <w:rPr>
                                  <w:rFonts w:ascii="Cambria Math" w:eastAsiaTheme="minorEastAsia" w:hAnsi="Cambria Math" w:cs="AppleSystemUIFont"/>
                                  <w:color w:val="353535"/>
                                  <w:sz w:val="24"/>
                                  <w:szCs w:val="24"/>
                                </w:rPr>
                                <m:t>i</m:t>
                              </m:r>
                            </m:sub>
                          </m:sSub>
                          <m:r>
                            <w:rPr>
                              <w:rFonts w:ascii="Cambria Math" w:eastAsiaTheme="minorEastAsia" w:hAnsi="Cambria Math" w:cs="AppleSystemUIFont"/>
                              <w:color w:val="353535"/>
                              <w:sz w:val="24"/>
                              <w:szCs w:val="24"/>
                            </w:rPr>
                            <m:t>-</m:t>
                          </m:r>
                          <m:acc>
                            <m:accPr>
                              <m:chr m:val="̅"/>
                              <m:ctrlPr>
                                <w:rPr>
                                  <w:rFonts w:ascii="Cambria Math" w:eastAsiaTheme="minorEastAsia" w:hAnsi="Cambria Math" w:cs="AppleSystemUIFont"/>
                                  <w:i/>
                                  <w:color w:val="353535"/>
                                  <w:sz w:val="24"/>
                                  <w:szCs w:val="24"/>
                                </w:rPr>
                              </m:ctrlPr>
                            </m:accPr>
                            <m:e>
                              <m:r>
                                <w:rPr>
                                  <w:rFonts w:ascii="Cambria Math" w:eastAsiaTheme="minorEastAsia" w:hAnsi="Cambria Math" w:cs="AppleSystemUIFont"/>
                                  <w:color w:val="353535"/>
                                  <w:sz w:val="24"/>
                                  <w:szCs w:val="24"/>
                                </w:rPr>
                                <m:t>X</m:t>
                              </m:r>
                            </m:e>
                          </m:acc>
                        </m:e>
                      </m:d>
                      <m:r>
                        <w:rPr>
                          <w:rFonts w:ascii="Cambria Math" w:eastAsiaTheme="minorEastAsia" w:hAnsi="Cambria Math" w:cs="AppleSystemUIFont"/>
                          <w:color w:val="353535"/>
                          <w:sz w:val="24"/>
                          <w:szCs w:val="24"/>
                        </w:rPr>
                        <m:t xml:space="preserve"> </m:t>
                      </m:r>
                    </m:e>
                  </m:d>
                </m:e>
              </m:nary>
            </m:num>
            <m:den>
              <m:r>
                <w:rPr>
                  <w:rFonts w:ascii="Cambria Math" w:eastAsiaTheme="minorEastAsia" w:hAnsi="Cambria Math" w:cs="AppleSystemUIFont"/>
                  <w:color w:val="353535"/>
                  <w:sz w:val="24"/>
                  <w:szCs w:val="24"/>
                </w:rPr>
                <m:t>N-1</m:t>
              </m:r>
            </m:den>
          </m:f>
        </m:oMath>
      </m:oMathPara>
    </w:p>
    <w:p w14:paraId="7710B65D" w14:textId="5707DAC7" w:rsidR="00FC097E" w:rsidRDefault="00D9111E" w:rsidP="00720AB9">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tested our hypothesis that changes in </w:t>
      </w:r>
      <w:r w:rsidR="000D2DBF">
        <w:rPr>
          <w:rFonts w:ascii="Times New Roman" w:hAnsi="Times New Roman" w:cs="Times New Roman"/>
          <w:sz w:val="24"/>
          <w:szCs w:val="24"/>
        </w:rPr>
        <w:t>∆</w:t>
      </w:r>
      <w:r w:rsidR="000D2DBF" w:rsidRPr="0049595E">
        <w:rPr>
          <w:rFonts w:ascii="Times New Roman" w:hAnsi="Times New Roman" w:cs="Times New Roman"/>
          <w:sz w:val="24"/>
          <w:szCs w:val="24"/>
          <w:vertAlign w:val="superscript"/>
        </w:rPr>
        <w:t>14</w:t>
      </w:r>
      <w:r w:rsidR="000D2DBF">
        <w:rPr>
          <w:rFonts w:ascii="Times New Roman" w:hAnsi="Times New Roman" w:cs="Times New Roman"/>
          <w:sz w:val="24"/>
          <w:szCs w:val="24"/>
        </w:rPr>
        <w:t>C-CO</w:t>
      </w:r>
      <w:r w:rsidR="000D2DBF" w:rsidRPr="0049595E">
        <w:rPr>
          <w:rFonts w:ascii="Times New Roman" w:hAnsi="Times New Roman" w:cs="Times New Roman"/>
          <w:sz w:val="24"/>
          <w:szCs w:val="24"/>
          <w:vertAlign w:val="subscript"/>
        </w:rPr>
        <w:t>2</w:t>
      </w:r>
      <w:r w:rsidR="000D2DBF">
        <w:rPr>
          <w:rFonts w:ascii="Times New Roman" w:hAnsi="Times New Roman" w:cs="Times New Roman"/>
          <w:sz w:val="24"/>
          <w:szCs w:val="24"/>
        </w:rPr>
        <w:t xml:space="preserve"> </w:t>
      </w:r>
      <w:r>
        <w:rPr>
          <w:rFonts w:ascii="Times New Roman" w:hAnsi="Times New Roman" w:cs="Times New Roman"/>
          <w:sz w:val="24"/>
          <w:szCs w:val="24"/>
        </w:rPr>
        <w:t>due to treatment would</w:t>
      </w:r>
      <w:r w:rsidR="00FE51CE">
        <w:rPr>
          <w:rFonts w:ascii="Times New Roman" w:hAnsi="Times New Roman" w:cs="Times New Roman"/>
          <w:sz w:val="24"/>
          <w:szCs w:val="24"/>
        </w:rPr>
        <w:t xml:space="preserve"> be limited to</w:t>
      </w:r>
      <w:r>
        <w:rPr>
          <w:rFonts w:ascii="Times New Roman" w:hAnsi="Times New Roman" w:cs="Times New Roman"/>
          <w:sz w:val="24"/>
          <w:szCs w:val="24"/>
        </w:rPr>
        <w:t xml:space="preserve"> the rewetting pulse </w:t>
      </w:r>
      <w:r w:rsidR="00FE51CE">
        <w:rPr>
          <w:rFonts w:ascii="Times New Roman" w:hAnsi="Times New Roman" w:cs="Times New Roman"/>
          <w:sz w:val="24"/>
          <w:szCs w:val="24"/>
        </w:rPr>
        <w:t xml:space="preserve">alone </w:t>
      </w:r>
      <w:r>
        <w:rPr>
          <w:rFonts w:ascii="Times New Roman" w:hAnsi="Times New Roman" w:cs="Times New Roman"/>
          <w:sz w:val="24"/>
          <w:szCs w:val="24"/>
        </w:rPr>
        <w:t xml:space="preserve">by comparing the </w:t>
      </w:r>
      <w:r w:rsidR="00C84E93">
        <w:rPr>
          <w:rFonts w:ascii="Times New Roman" w:hAnsi="Times New Roman" w:cs="Times New Roman"/>
          <w:sz w:val="24"/>
          <w:szCs w:val="24"/>
        </w:rPr>
        <w:t>paired differences</w:t>
      </w:r>
      <w:r w:rsidR="00AD4814">
        <w:rPr>
          <w:rFonts w:ascii="Times New Roman" w:hAnsi="Times New Roman" w:cs="Times New Roman"/>
          <w:sz w:val="24"/>
          <w:szCs w:val="24"/>
        </w:rPr>
        <w:t xml:space="preserve"> in </w:t>
      </w:r>
      <w:r w:rsidR="00F052C8">
        <w:rPr>
          <w:rFonts w:ascii="Times New Roman" w:hAnsi="Times New Roman" w:cs="Times New Roman"/>
          <w:sz w:val="24"/>
          <w:szCs w:val="24"/>
        </w:rPr>
        <w:t>∆</w:t>
      </w:r>
      <w:r w:rsidR="00F052C8" w:rsidRPr="0049595E">
        <w:rPr>
          <w:rFonts w:ascii="Times New Roman" w:hAnsi="Times New Roman" w:cs="Times New Roman"/>
          <w:sz w:val="24"/>
          <w:szCs w:val="24"/>
          <w:vertAlign w:val="superscript"/>
        </w:rPr>
        <w:t>14</w:t>
      </w:r>
      <w:r w:rsidR="00F052C8">
        <w:rPr>
          <w:rFonts w:ascii="Times New Roman" w:hAnsi="Times New Roman" w:cs="Times New Roman"/>
          <w:sz w:val="24"/>
          <w:szCs w:val="24"/>
        </w:rPr>
        <w:t>C-CO</w:t>
      </w:r>
      <w:r w:rsidR="00F052C8" w:rsidRPr="0049595E">
        <w:rPr>
          <w:rFonts w:ascii="Times New Roman" w:hAnsi="Times New Roman" w:cs="Times New Roman"/>
          <w:sz w:val="24"/>
          <w:szCs w:val="24"/>
          <w:vertAlign w:val="subscript"/>
        </w:rPr>
        <w:t>2</w:t>
      </w:r>
      <w:r w:rsidR="00F052C8">
        <w:rPr>
          <w:rFonts w:ascii="Times New Roman" w:hAnsi="Times New Roman" w:cs="Times New Roman"/>
          <w:sz w:val="24"/>
          <w:szCs w:val="24"/>
        </w:rPr>
        <w:t xml:space="preserve"> </w:t>
      </w:r>
      <w:r w:rsidR="00AD4814">
        <w:rPr>
          <w:rFonts w:ascii="Times New Roman" w:hAnsi="Times New Roman" w:cs="Times New Roman"/>
          <w:sz w:val="24"/>
          <w:szCs w:val="24"/>
        </w:rPr>
        <w:t>between the first and second enclosure periods</w:t>
      </w:r>
      <w:r w:rsidR="007B4E94">
        <w:rPr>
          <w:rFonts w:ascii="Times New Roman" w:hAnsi="Times New Roman" w:cs="Times New Roman"/>
          <w:sz w:val="24"/>
          <w:szCs w:val="24"/>
        </w:rPr>
        <w:t>.</w:t>
      </w:r>
      <w:r w:rsidR="00AD4814">
        <w:rPr>
          <w:rFonts w:ascii="Times New Roman" w:hAnsi="Times New Roman" w:cs="Times New Roman"/>
          <w:sz w:val="24"/>
          <w:szCs w:val="24"/>
        </w:rPr>
        <w:t xml:space="preserve"> </w:t>
      </w:r>
      <w:r w:rsidR="007C13B5">
        <w:rPr>
          <w:rFonts w:ascii="Times New Roman" w:hAnsi="Times New Roman" w:cs="Times New Roman"/>
          <w:sz w:val="24"/>
          <w:szCs w:val="24"/>
        </w:rPr>
        <w:t>This was only possible</w:t>
      </w:r>
      <w:r w:rsidR="00C84E93">
        <w:rPr>
          <w:rFonts w:ascii="Times New Roman" w:hAnsi="Times New Roman" w:cs="Times New Roman"/>
          <w:sz w:val="24"/>
          <w:szCs w:val="24"/>
        </w:rPr>
        <w:t xml:space="preserve"> for those samples where </w:t>
      </w:r>
      <w:r w:rsidR="00F052C8">
        <w:rPr>
          <w:rFonts w:ascii="Times New Roman" w:hAnsi="Times New Roman" w:cs="Times New Roman"/>
          <w:sz w:val="24"/>
          <w:szCs w:val="24"/>
        </w:rPr>
        <w:t>∆</w:t>
      </w:r>
      <w:r w:rsidR="00F052C8" w:rsidRPr="0049595E">
        <w:rPr>
          <w:rFonts w:ascii="Times New Roman" w:hAnsi="Times New Roman" w:cs="Times New Roman"/>
          <w:sz w:val="24"/>
          <w:szCs w:val="24"/>
          <w:vertAlign w:val="superscript"/>
        </w:rPr>
        <w:t>14</w:t>
      </w:r>
      <w:r w:rsidR="00F052C8">
        <w:rPr>
          <w:rFonts w:ascii="Times New Roman" w:hAnsi="Times New Roman" w:cs="Times New Roman"/>
          <w:sz w:val="24"/>
          <w:szCs w:val="24"/>
        </w:rPr>
        <w:t>C-CO</w:t>
      </w:r>
      <w:r w:rsidR="00F052C8" w:rsidRPr="0049595E">
        <w:rPr>
          <w:rFonts w:ascii="Times New Roman" w:hAnsi="Times New Roman" w:cs="Times New Roman"/>
          <w:sz w:val="24"/>
          <w:szCs w:val="24"/>
          <w:vertAlign w:val="subscript"/>
        </w:rPr>
        <w:t>2</w:t>
      </w:r>
      <w:r w:rsidR="00F052C8">
        <w:rPr>
          <w:rFonts w:ascii="Times New Roman" w:hAnsi="Times New Roman" w:cs="Times New Roman"/>
          <w:sz w:val="24"/>
          <w:szCs w:val="24"/>
        </w:rPr>
        <w:t xml:space="preserve"> </w:t>
      </w:r>
      <w:r w:rsidR="00C84E93">
        <w:rPr>
          <w:rFonts w:ascii="Times New Roman" w:hAnsi="Times New Roman" w:cs="Times New Roman"/>
          <w:sz w:val="24"/>
          <w:szCs w:val="24"/>
        </w:rPr>
        <w:t>was measured in both periods</w:t>
      </w:r>
      <w:r w:rsidR="007C13B5">
        <w:rPr>
          <w:rFonts w:ascii="Times New Roman" w:hAnsi="Times New Roman" w:cs="Times New Roman"/>
          <w:sz w:val="24"/>
          <w:szCs w:val="24"/>
        </w:rPr>
        <w:t>: Experiment 1 air-dry/rewet + storage samples, and Experiment 2 samples</w:t>
      </w:r>
      <w:r w:rsidR="00C84E93">
        <w:rPr>
          <w:rFonts w:ascii="Times New Roman" w:hAnsi="Times New Roman" w:cs="Times New Roman"/>
          <w:sz w:val="24"/>
          <w:szCs w:val="24"/>
        </w:rPr>
        <w:t xml:space="preserve">. </w:t>
      </w:r>
      <w:r w:rsidR="00E7226E">
        <w:rPr>
          <w:rFonts w:ascii="Times New Roman" w:hAnsi="Times New Roman" w:cs="Times New Roman"/>
          <w:sz w:val="24"/>
          <w:szCs w:val="24"/>
        </w:rPr>
        <w:t>All samples were replicat</w:t>
      </w:r>
      <w:r w:rsidR="0019529D">
        <w:rPr>
          <w:rFonts w:ascii="Times New Roman" w:hAnsi="Times New Roman" w:cs="Times New Roman"/>
          <w:sz w:val="24"/>
          <w:szCs w:val="24"/>
        </w:rPr>
        <w:t>e</w:t>
      </w:r>
      <w:r w:rsidR="00E7226E">
        <w:rPr>
          <w:rFonts w:ascii="Times New Roman" w:hAnsi="Times New Roman" w:cs="Times New Roman"/>
          <w:sz w:val="24"/>
          <w:szCs w:val="24"/>
        </w:rPr>
        <w:t xml:space="preserve">d, so we used the measured laboratory replicate variance when calculating </w:t>
      </w:r>
      <w:r w:rsidR="0019529D">
        <w:rPr>
          <w:rFonts w:ascii="Times New Roman" w:hAnsi="Times New Roman" w:cs="Times New Roman"/>
          <w:sz w:val="24"/>
          <w:szCs w:val="24"/>
        </w:rPr>
        <w:t xml:space="preserve">the error on </w:t>
      </w:r>
      <w:r w:rsidR="00E7226E">
        <w:rPr>
          <w:rFonts w:ascii="Times New Roman" w:hAnsi="Times New Roman" w:cs="Times New Roman"/>
          <w:sz w:val="24"/>
          <w:szCs w:val="24"/>
        </w:rPr>
        <w:t xml:space="preserve">mean differences by sample. We calculated pooled means, variances, and 95% confidence intervals within each experiment, treatment, and ecosystem type using the same method described above. </w:t>
      </w:r>
      <w:r w:rsidR="00074C73">
        <w:rPr>
          <w:rFonts w:ascii="Times New Roman" w:hAnsi="Times New Roman" w:cs="Times New Roman"/>
          <w:sz w:val="24"/>
          <w:szCs w:val="24"/>
        </w:rPr>
        <w:t>Confidence intervals on the mean difference overlapped zero for all but one group, so we</w:t>
      </w:r>
      <w:r w:rsidR="00E7226E">
        <w:rPr>
          <w:rFonts w:ascii="Times New Roman" w:hAnsi="Times New Roman" w:cs="Times New Roman"/>
          <w:sz w:val="24"/>
          <w:szCs w:val="24"/>
        </w:rPr>
        <w:t xml:space="preserve"> </w:t>
      </w:r>
      <w:r w:rsidR="00074C73">
        <w:rPr>
          <w:rFonts w:ascii="Times New Roman" w:hAnsi="Times New Roman" w:cs="Times New Roman"/>
          <w:sz w:val="24"/>
          <w:szCs w:val="24"/>
        </w:rPr>
        <w:t xml:space="preserve">conducted the </w:t>
      </w:r>
      <w:r w:rsidR="00E7226E">
        <w:rPr>
          <w:rFonts w:ascii="Times New Roman" w:hAnsi="Times New Roman" w:cs="Times New Roman"/>
          <w:sz w:val="24"/>
          <w:szCs w:val="24"/>
        </w:rPr>
        <w:t>same analysis on the whole sample s</w:t>
      </w:r>
      <w:r w:rsidR="00074C73">
        <w:rPr>
          <w:rFonts w:ascii="Times New Roman" w:hAnsi="Times New Roman" w:cs="Times New Roman"/>
          <w:sz w:val="24"/>
          <w:szCs w:val="24"/>
        </w:rPr>
        <w:t>et as well</w:t>
      </w:r>
      <w:r w:rsidR="002900B4">
        <w:rPr>
          <w:rFonts w:ascii="Times New Roman" w:hAnsi="Times New Roman" w:cs="Times New Roman"/>
          <w:sz w:val="24"/>
          <w:szCs w:val="24"/>
        </w:rPr>
        <w:t>, pooling across experiment, ecosystem type, and treatment, in order to assess the overall effect</w:t>
      </w:r>
      <w:r w:rsidR="0019529D">
        <w:rPr>
          <w:rFonts w:ascii="Times New Roman" w:hAnsi="Times New Roman" w:cs="Times New Roman"/>
          <w:sz w:val="24"/>
          <w:szCs w:val="24"/>
        </w:rPr>
        <w:t xml:space="preserve"> of enclosure period on ∆</w:t>
      </w:r>
      <w:r w:rsidR="0019529D" w:rsidRPr="0049595E">
        <w:rPr>
          <w:rFonts w:ascii="Times New Roman" w:hAnsi="Times New Roman" w:cs="Times New Roman"/>
          <w:sz w:val="24"/>
          <w:szCs w:val="24"/>
          <w:vertAlign w:val="superscript"/>
        </w:rPr>
        <w:t>14</w:t>
      </w:r>
      <w:r w:rsidR="0019529D">
        <w:rPr>
          <w:rFonts w:ascii="Times New Roman" w:hAnsi="Times New Roman" w:cs="Times New Roman"/>
          <w:sz w:val="24"/>
          <w:szCs w:val="24"/>
        </w:rPr>
        <w:t>C-CO</w:t>
      </w:r>
      <w:r w:rsidR="0019529D" w:rsidRPr="0049595E">
        <w:rPr>
          <w:rFonts w:ascii="Times New Roman" w:hAnsi="Times New Roman" w:cs="Times New Roman"/>
          <w:sz w:val="24"/>
          <w:szCs w:val="24"/>
          <w:vertAlign w:val="subscript"/>
        </w:rPr>
        <w:t>2</w:t>
      </w:r>
      <w:r w:rsidR="002900B4">
        <w:rPr>
          <w:rFonts w:ascii="Times New Roman" w:hAnsi="Times New Roman" w:cs="Times New Roman"/>
          <w:sz w:val="24"/>
          <w:szCs w:val="24"/>
        </w:rPr>
        <w:t>.</w:t>
      </w:r>
    </w:p>
    <w:p w14:paraId="6AD85485" w14:textId="6360ECAB" w:rsidR="00C007AE" w:rsidRDefault="005673F0" w:rsidP="00201690">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All statistical analyses were performed in R (R Core Team 2019).</w:t>
      </w:r>
    </w:p>
    <w:p w14:paraId="1BF0909B" w14:textId="77777777" w:rsidR="00C007AE" w:rsidRPr="00C27016" w:rsidRDefault="00C007AE" w:rsidP="00C007AE">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3</w:t>
      </w:r>
      <w:r>
        <w:rPr>
          <w:rFonts w:ascii="Times New Roman" w:hAnsi="Times New Roman" w:cs="Times New Roman"/>
          <w:b/>
          <w:sz w:val="24"/>
          <w:szCs w:val="24"/>
        </w:rPr>
        <w:t>.</w:t>
      </w:r>
      <w:r w:rsidRPr="00C27016">
        <w:rPr>
          <w:rFonts w:ascii="Times New Roman" w:hAnsi="Times New Roman" w:cs="Times New Roman"/>
          <w:b/>
          <w:sz w:val="24"/>
          <w:szCs w:val="24"/>
        </w:rPr>
        <w:t xml:space="preserve"> Results</w:t>
      </w:r>
    </w:p>
    <w:p w14:paraId="76E844C0" w14:textId="77777777" w:rsidR="00C007AE" w:rsidRPr="00C27016" w:rsidRDefault="00C007AE" w:rsidP="00C007AE">
      <w:pPr>
        <w:pStyle w:val="Normal1"/>
        <w:spacing w:before="240" w:after="120" w:line="360" w:lineRule="auto"/>
        <w:ind w:left="720"/>
        <w:rPr>
          <w:rFonts w:ascii="Times New Roman" w:hAnsi="Times New Roman" w:cs="Times New Roman"/>
          <w:sz w:val="24"/>
          <w:szCs w:val="24"/>
        </w:rPr>
      </w:pPr>
      <w:r w:rsidRPr="00C27016">
        <w:rPr>
          <w:rFonts w:ascii="Times New Roman" w:hAnsi="Times New Roman" w:cs="Times New Roman"/>
          <w:sz w:val="24"/>
          <w:szCs w:val="24"/>
        </w:rPr>
        <w:t>3.1</w:t>
      </w:r>
      <w:r>
        <w:rPr>
          <w:rFonts w:ascii="Times New Roman" w:hAnsi="Times New Roman" w:cs="Times New Roman"/>
          <w:sz w:val="24"/>
          <w:szCs w:val="24"/>
        </w:rPr>
        <w:t xml:space="preserve">. </w:t>
      </w:r>
      <w:r w:rsidRPr="00C27016">
        <w:rPr>
          <w:rFonts w:ascii="Times New Roman" w:hAnsi="Times New Roman" w:cs="Times New Roman"/>
          <w:sz w:val="24"/>
          <w:szCs w:val="24"/>
        </w:rPr>
        <w:t>Respiration rates</w:t>
      </w:r>
    </w:p>
    <w:p w14:paraId="47A26DAA" w14:textId="4A728E3B" w:rsidR="00C007AE" w:rsidRDefault="00C007AE" w:rsidP="00C007AE">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The increase in respiration rates following moisture adjustment was greater for </w:t>
      </w:r>
      <w:r>
        <w:rPr>
          <w:rFonts w:ascii="Times New Roman" w:hAnsi="Times New Roman" w:cs="Times New Roman"/>
          <w:sz w:val="24"/>
          <w:szCs w:val="24"/>
        </w:rPr>
        <w:t xml:space="preserve">treatment </w:t>
      </w:r>
      <w:r w:rsidRPr="00C27016">
        <w:rPr>
          <w:rFonts w:ascii="Times New Roman" w:hAnsi="Times New Roman" w:cs="Times New Roman"/>
          <w:sz w:val="24"/>
          <w:szCs w:val="24"/>
        </w:rPr>
        <w:t xml:space="preserve">soils than </w:t>
      </w:r>
      <w:r>
        <w:rPr>
          <w:rFonts w:ascii="Times New Roman" w:hAnsi="Times New Roman" w:cs="Times New Roman"/>
          <w:sz w:val="24"/>
          <w:szCs w:val="24"/>
        </w:rPr>
        <w:t xml:space="preserve">for the control </w:t>
      </w:r>
      <w:r w:rsidRPr="00C27016">
        <w:rPr>
          <w:rFonts w:ascii="Times New Roman" w:hAnsi="Times New Roman" w:cs="Times New Roman"/>
          <w:sz w:val="24"/>
          <w:szCs w:val="24"/>
        </w:rPr>
        <w:t xml:space="preserve">soils </w:t>
      </w:r>
      <w:r>
        <w:rPr>
          <w:rFonts w:ascii="Times New Roman" w:hAnsi="Times New Roman" w:cs="Times New Roman"/>
          <w:sz w:val="24"/>
          <w:szCs w:val="24"/>
        </w:rPr>
        <w:t>in</w:t>
      </w:r>
      <w:r w:rsidRPr="00C27016">
        <w:rPr>
          <w:rFonts w:ascii="Times New Roman" w:hAnsi="Times New Roman" w:cs="Times New Roman"/>
          <w:sz w:val="24"/>
          <w:szCs w:val="24"/>
        </w:rPr>
        <w:t xml:space="preserve"> both Experiment 1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treatment) and Experiment 2 (</w:t>
      </w:r>
      <w:r>
        <w:rPr>
          <w:rFonts w:ascii="Times New Roman" w:hAnsi="Times New Roman" w:cs="Times New Roman"/>
          <w:sz w:val="24"/>
          <w:szCs w:val="24"/>
        </w:rPr>
        <w:t>air-dry/rewet</w:t>
      </w:r>
      <w:r w:rsidRPr="00C27016">
        <w:rPr>
          <w:rFonts w:ascii="Times New Roman" w:hAnsi="Times New Roman" w:cs="Times New Roman"/>
          <w:sz w:val="24"/>
          <w:szCs w:val="24"/>
        </w:rPr>
        <w:t xml:space="preserve"> treatment) when compared within ecosystem types. However, the magnitude and timing of </w:t>
      </w:r>
      <w:r w:rsidR="007646EB">
        <w:rPr>
          <w:rFonts w:ascii="Times New Roman" w:hAnsi="Times New Roman" w:cs="Times New Roman"/>
          <w:sz w:val="24"/>
          <w:szCs w:val="24"/>
        </w:rPr>
        <w:t>peak respiration rates</w:t>
      </w:r>
      <w:r w:rsidRPr="00C27016">
        <w:rPr>
          <w:rFonts w:ascii="Times New Roman" w:hAnsi="Times New Roman" w:cs="Times New Roman"/>
          <w:sz w:val="24"/>
          <w:szCs w:val="24"/>
        </w:rPr>
        <w:t xml:space="preserve"> diverged among experiments and between grassland and forest soils (Fig. 1). </w:t>
      </w:r>
    </w:p>
    <w:p w14:paraId="3D55EC99" w14:textId="50A38E3D" w:rsidR="00C007AE" w:rsidRDefault="00C007AE" w:rsidP="00C007AE">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Among the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samples in Experiment 1</w:t>
      </w:r>
      <w:r>
        <w:rPr>
          <w:rFonts w:ascii="Times New Roman" w:hAnsi="Times New Roman" w:cs="Times New Roman"/>
          <w:sz w:val="24"/>
          <w:szCs w:val="24"/>
        </w:rPr>
        <w:t xml:space="preserve"> (Fig. 1a, dashed lines)</w:t>
      </w:r>
      <w:r w:rsidRPr="00C27016">
        <w:rPr>
          <w:rFonts w:ascii="Times New Roman" w:hAnsi="Times New Roman" w:cs="Times New Roman"/>
          <w:sz w:val="24"/>
          <w:szCs w:val="24"/>
        </w:rPr>
        <w:t xml:space="preserve">, </w:t>
      </w:r>
      <w:r w:rsidR="007646EB">
        <w:rPr>
          <w:rFonts w:ascii="Times New Roman" w:hAnsi="Times New Roman" w:cs="Times New Roman"/>
          <w:sz w:val="24"/>
          <w:szCs w:val="24"/>
        </w:rPr>
        <w:t>the maximum respiration rates</w:t>
      </w:r>
      <w:r w:rsidRPr="00C27016">
        <w:rPr>
          <w:rFonts w:ascii="Times New Roman" w:hAnsi="Times New Roman" w:cs="Times New Roman"/>
          <w:sz w:val="24"/>
          <w:szCs w:val="24"/>
        </w:rPr>
        <w:t xml:space="preserve"> were more than twice as high in grassland soils than in forest soils. Grassland </w:t>
      </w:r>
      <w:r>
        <w:rPr>
          <w:rFonts w:ascii="Times New Roman" w:hAnsi="Times New Roman" w:cs="Times New Roman"/>
          <w:sz w:val="24"/>
          <w:szCs w:val="24"/>
        </w:rPr>
        <w:t>air-dry/rewet + storage</w:t>
      </w:r>
      <w:r w:rsidR="009F7A16">
        <w:rPr>
          <w:rFonts w:ascii="Times New Roman" w:hAnsi="Times New Roman" w:cs="Times New Roman"/>
          <w:sz w:val="24"/>
          <w:szCs w:val="24"/>
        </w:rPr>
        <w:t xml:space="preserve"> samples reached a maximum of 7.1</w:t>
      </w:r>
      <w:r w:rsidRPr="00C27016">
        <w:rPr>
          <w:rFonts w:ascii="Times New Roman" w:hAnsi="Times New Roman" w:cs="Times New Roman"/>
          <w:sz w:val="24"/>
          <w:szCs w:val="24"/>
        </w:rPr>
        <w:t xml:space="preserve"> mg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g soil C</w:t>
      </w:r>
      <w:r w:rsidRPr="00C27016">
        <w:rPr>
          <w:rFonts w:ascii="Times New Roman" w:hAnsi="Times New Roman" w:cs="Times New Roman"/>
          <w:sz w:val="24"/>
          <w:szCs w:val="24"/>
          <w:vertAlign w:val="superscript"/>
        </w:rPr>
        <w:t>-1</w:t>
      </w:r>
      <w:r w:rsidRPr="00C27016">
        <w:rPr>
          <w:rFonts w:ascii="Times New Roman" w:hAnsi="Times New Roman" w:cs="Times New Roman"/>
          <w:sz w:val="24"/>
          <w:szCs w:val="24"/>
        </w:rPr>
        <w:t xml:space="preserve"> d</w:t>
      </w:r>
      <w:r w:rsidRPr="00C27016">
        <w:rPr>
          <w:rFonts w:ascii="Times New Roman" w:hAnsi="Times New Roman" w:cs="Times New Roman"/>
          <w:sz w:val="24"/>
          <w:szCs w:val="24"/>
          <w:vertAlign w:val="superscript"/>
        </w:rPr>
        <w:t>-1</w:t>
      </w:r>
      <w:r w:rsidR="009F7A16">
        <w:rPr>
          <w:rFonts w:ascii="Times New Roman" w:hAnsi="Times New Roman" w:cs="Times New Roman"/>
          <w:sz w:val="24"/>
          <w:szCs w:val="24"/>
        </w:rPr>
        <w:t xml:space="preserve"> after 0.7</w:t>
      </w:r>
      <w:r>
        <w:rPr>
          <w:rFonts w:ascii="Times New Roman" w:hAnsi="Times New Roman" w:cs="Times New Roman"/>
          <w:sz w:val="24"/>
          <w:szCs w:val="24"/>
        </w:rPr>
        <w:t xml:space="preserve"> d</w:t>
      </w:r>
      <w:r w:rsidRPr="00C27016">
        <w:rPr>
          <w:rFonts w:ascii="Times New Roman" w:hAnsi="Times New Roman" w:cs="Times New Roman"/>
          <w:sz w:val="24"/>
          <w:szCs w:val="24"/>
        </w:rPr>
        <w:t xml:space="preserve"> followed by a sharp decline (Fig 1a), while mean respiration rates in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forest sites </w:t>
      </w:r>
      <w:r w:rsidR="007646EB">
        <w:rPr>
          <w:rFonts w:ascii="Times New Roman" w:hAnsi="Times New Roman" w:cs="Times New Roman"/>
          <w:sz w:val="24"/>
          <w:szCs w:val="24"/>
        </w:rPr>
        <w:t>reached a maximum of</w:t>
      </w:r>
      <w:r w:rsidRPr="00C27016">
        <w:rPr>
          <w:rFonts w:ascii="Times New Roman" w:hAnsi="Times New Roman" w:cs="Times New Roman"/>
          <w:sz w:val="24"/>
          <w:szCs w:val="24"/>
        </w:rPr>
        <w:t xml:space="preserve"> 1.5 mg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g soil C</w:t>
      </w:r>
      <w:r w:rsidRPr="00C27016">
        <w:rPr>
          <w:rFonts w:ascii="Times New Roman" w:hAnsi="Times New Roman" w:cs="Times New Roman"/>
          <w:sz w:val="24"/>
          <w:szCs w:val="24"/>
          <w:vertAlign w:val="superscript"/>
        </w:rPr>
        <w:t>-1</w:t>
      </w:r>
      <w:r w:rsidRPr="00C27016">
        <w:rPr>
          <w:rFonts w:ascii="Times New Roman" w:hAnsi="Times New Roman" w:cs="Times New Roman"/>
          <w:sz w:val="24"/>
          <w:szCs w:val="24"/>
        </w:rPr>
        <w:t xml:space="preserve"> d</w:t>
      </w:r>
      <w:r w:rsidRPr="00C27016">
        <w:rPr>
          <w:rFonts w:ascii="Times New Roman" w:hAnsi="Times New Roman" w:cs="Times New Roman"/>
          <w:sz w:val="24"/>
          <w:szCs w:val="24"/>
          <w:vertAlign w:val="superscript"/>
        </w:rPr>
        <w:t>-1</w:t>
      </w:r>
      <w:r>
        <w:rPr>
          <w:rFonts w:ascii="Times New Roman" w:hAnsi="Times New Roman" w:cs="Times New Roman"/>
          <w:sz w:val="24"/>
          <w:szCs w:val="24"/>
          <w:vertAlign w:val="superscript"/>
        </w:rPr>
        <w:t xml:space="preserve"> </w:t>
      </w:r>
      <w:r w:rsidRPr="00C27016">
        <w:rPr>
          <w:rFonts w:ascii="Times New Roman" w:hAnsi="Times New Roman" w:cs="Times New Roman"/>
          <w:sz w:val="24"/>
          <w:szCs w:val="24"/>
        </w:rPr>
        <w:t xml:space="preserve">after </w:t>
      </w:r>
      <w:r>
        <w:rPr>
          <w:rFonts w:ascii="Times New Roman" w:hAnsi="Times New Roman" w:cs="Times New Roman"/>
          <w:sz w:val="24"/>
          <w:szCs w:val="24"/>
        </w:rPr>
        <w:t>6.9 d</w:t>
      </w:r>
      <w:r w:rsidRPr="00C27016">
        <w:rPr>
          <w:rFonts w:ascii="Times New Roman" w:hAnsi="Times New Roman" w:cs="Times New Roman"/>
          <w:sz w:val="24"/>
          <w:szCs w:val="24"/>
        </w:rPr>
        <w:t xml:space="preserve">, followed by a much more gradual decline (Fig. 1a). In contrast, control-1 forest and grassland samples (solid lines, Fig. 1a) responded more weakly and more gradually than the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samples, but with similar trends with respect to</w:t>
      </w:r>
      <w:r w:rsidR="00B25AF4" w:rsidRPr="00B25AF4">
        <w:rPr>
          <w:rFonts w:ascii="Times New Roman" w:hAnsi="Times New Roman" w:cs="Times New Roman"/>
          <w:sz w:val="24"/>
          <w:szCs w:val="24"/>
        </w:rPr>
        <w:t xml:space="preserve"> </w:t>
      </w:r>
      <w:r w:rsidR="00B25AF4" w:rsidRPr="00C27016">
        <w:rPr>
          <w:rFonts w:ascii="Times New Roman" w:hAnsi="Times New Roman" w:cs="Times New Roman"/>
          <w:sz w:val="24"/>
          <w:szCs w:val="24"/>
        </w:rPr>
        <w:t>ecosystem type.</w:t>
      </w:r>
      <w:r w:rsidR="007A49F2" w:rsidRPr="007A49F2">
        <w:rPr>
          <w:rFonts w:ascii="Times New Roman" w:hAnsi="Times New Roman" w:cs="Times New Roman"/>
          <w:sz w:val="24"/>
          <w:szCs w:val="24"/>
        </w:rPr>
        <w:t xml:space="preserve"> </w:t>
      </w:r>
      <w:r w:rsidR="007A49F2" w:rsidRPr="00C27016">
        <w:rPr>
          <w:rFonts w:ascii="Times New Roman" w:hAnsi="Times New Roman" w:cs="Times New Roman"/>
          <w:sz w:val="24"/>
          <w:szCs w:val="24"/>
        </w:rPr>
        <w:t xml:space="preserve">Respiration rates were higher in control-1 grassland soils than in control-1 forest soils: </w:t>
      </w:r>
      <w:r w:rsidR="007A49F2">
        <w:rPr>
          <w:rFonts w:ascii="Times New Roman" w:hAnsi="Times New Roman" w:cs="Times New Roman"/>
          <w:sz w:val="24"/>
          <w:szCs w:val="24"/>
        </w:rPr>
        <w:t xml:space="preserve">reaching maximal rates of </w:t>
      </w:r>
      <w:r w:rsidR="007A49F2" w:rsidRPr="00C27016">
        <w:rPr>
          <w:rFonts w:ascii="Times New Roman" w:hAnsi="Times New Roman" w:cs="Times New Roman"/>
          <w:sz w:val="24"/>
          <w:szCs w:val="24"/>
        </w:rPr>
        <w:t>1.9 and 0.6 mg CO</w:t>
      </w:r>
      <w:r w:rsidR="007A49F2" w:rsidRPr="00C27016">
        <w:rPr>
          <w:rFonts w:ascii="Times New Roman" w:hAnsi="Times New Roman" w:cs="Times New Roman"/>
          <w:sz w:val="24"/>
          <w:szCs w:val="24"/>
          <w:vertAlign w:val="subscript"/>
        </w:rPr>
        <w:t>2</w:t>
      </w:r>
      <w:r w:rsidR="007A49F2" w:rsidRPr="00C27016">
        <w:rPr>
          <w:rFonts w:ascii="Times New Roman" w:hAnsi="Times New Roman" w:cs="Times New Roman"/>
          <w:sz w:val="24"/>
          <w:szCs w:val="24"/>
        </w:rPr>
        <w:t xml:space="preserve"> g soil C</w:t>
      </w:r>
      <w:r w:rsidR="007A49F2" w:rsidRPr="00C27016">
        <w:rPr>
          <w:rFonts w:ascii="Times New Roman" w:hAnsi="Times New Roman" w:cs="Times New Roman"/>
          <w:sz w:val="24"/>
          <w:szCs w:val="24"/>
          <w:vertAlign w:val="superscript"/>
        </w:rPr>
        <w:t>-1</w:t>
      </w:r>
      <w:r w:rsidR="007A49F2" w:rsidRPr="00C27016">
        <w:rPr>
          <w:rFonts w:ascii="Times New Roman" w:hAnsi="Times New Roman" w:cs="Times New Roman"/>
          <w:sz w:val="24"/>
          <w:szCs w:val="24"/>
        </w:rPr>
        <w:t xml:space="preserve"> d</w:t>
      </w:r>
      <w:r w:rsidR="007A49F2" w:rsidRPr="00C27016">
        <w:rPr>
          <w:rFonts w:ascii="Times New Roman" w:hAnsi="Times New Roman" w:cs="Times New Roman"/>
          <w:sz w:val="24"/>
          <w:szCs w:val="24"/>
          <w:vertAlign w:val="superscript"/>
        </w:rPr>
        <w:t>-1</w:t>
      </w:r>
      <w:r w:rsidR="007A49F2" w:rsidRPr="00C27016">
        <w:rPr>
          <w:rFonts w:ascii="Times New Roman" w:hAnsi="Times New Roman" w:cs="Times New Roman"/>
          <w:sz w:val="24"/>
          <w:szCs w:val="24"/>
        </w:rPr>
        <w:t xml:space="preserve"> for grassland and fore</w:t>
      </w:r>
      <w:r w:rsidR="007A49F2">
        <w:rPr>
          <w:rFonts w:ascii="Times New Roman" w:hAnsi="Times New Roman" w:cs="Times New Roman"/>
          <w:sz w:val="24"/>
          <w:szCs w:val="24"/>
        </w:rPr>
        <w:t>st soils respectively after 4.8 d</w:t>
      </w:r>
      <w:r w:rsidR="007A49F2" w:rsidRPr="00C27016">
        <w:rPr>
          <w:rFonts w:ascii="Times New Roman" w:hAnsi="Times New Roman" w:cs="Times New Roman"/>
          <w:sz w:val="24"/>
          <w:szCs w:val="24"/>
        </w:rPr>
        <w:t>.</w:t>
      </w:r>
    </w:p>
    <w:p w14:paraId="746F81F1" w14:textId="40750E2D" w:rsidR="00E94AB8" w:rsidRDefault="00E94AB8" w:rsidP="00C007AE">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We observed similar patterns in the respiration rates of Experiment 2 samples </w:t>
      </w:r>
      <w:r>
        <w:rPr>
          <w:rFonts w:ascii="Times New Roman" w:hAnsi="Times New Roman" w:cs="Times New Roman"/>
          <w:sz w:val="24"/>
          <w:szCs w:val="24"/>
        </w:rPr>
        <w:t xml:space="preserve">(Fig. 1b) </w:t>
      </w:r>
      <w:r w:rsidRPr="00C27016">
        <w:rPr>
          <w:rFonts w:ascii="Times New Roman" w:hAnsi="Times New Roman" w:cs="Times New Roman"/>
          <w:sz w:val="24"/>
          <w:szCs w:val="24"/>
        </w:rPr>
        <w:t>as in Experiment 1, with the treatment samples (</w:t>
      </w:r>
      <w:r>
        <w:rPr>
          <w:rFonts w:ascii="Times New Roman" w:hAnsi="Times New Roman" w:cs="Times New Roman"/>
          <w:sz w:val="24"/>
          <w:szCs w:val="24"/>
        </w:rPr>
        <w:t>air-dry/rewet</w:t>
      </w:r>
      <w:r w:rsidRPr="00C27016">
        <w:rPr>
          <w:rFonts w:ascii="Times New Roman" w:hAnsi="Times New Roman" w:cs="Times New Roman"/>
          <w:sz w:val="24"/>
          <w:szCs w:val="24"/>
        </w:rPr>
        <w:t>) respiring at a significantly higher rate than contro</w:t>
      </w:r>
      <w:r>
        <w:rPr>
          <w:rFonts w:ascii="Times New Roman" w:hAnsi="Times New Roman" w:cs="Times New Roman"/>
          <w:sz w:val="24"/>
          <w:szCs w:val="24"/>
        </w:rPr>
        <w:t>l-2 samples (p &lt; 0.05)</w:t>
      </w:r>
      <w:r w:rsidRPr="00C27016">
        <w:rPr>
          <w:rFonts w:ascii="Times New Roman" w:hAnsi="Times New Roman" w:cs="Times New Roman"/>
          <w:sz w:val="24"/>
          <w:szCs w:val="24"/>
        </w:rPr>
        <w:t xml:space="preserve">. However, unlike the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treatment </w:t>
      </w:r>
      <w:r>
        <w:rPr>
          <w:rFonts w:ascii="Times New Roman" w:hAnsi="Times New Roman" w:cs="Times New Roman"/>
          <w:sz w:val="24"/>
          <w:szCs w:val="24"/>
        </w:rPr>
        <w:t xml:space="preserve">samples </w:t>
      </w:r>
      <w:r w:rsidRPr="00C27016">
        <w:rPr>
          <w:rFonts w:ascii="Times New Roman" w:hAnsi="Times New Roman" w:cs="Times New Roman"/>
          <w:sz w:val="24"/>
          <w:szCs w:val="24"/>
        </w:rPr>
        <w:t xml:space="preserve">in Experiment 1, </w:t>
      </w:r>
      <w:r>
        <w:rPr>
          <w:rFonts w:ascii="Times New Roman" w:hAnsi="Times New Roman" w:cs="Times New Roman"/>
          <w:sz w:val="24"/>
          <w:szCs w:val="24"/>
        </w:rPr>
        <w:t>maximal respiration rates were similarly low for both</w:t>
      </w:r>
      <w:r w:rsidRPr="00C27016">
        <w:rPr>
          <w:rFonts w:ascii="Times New Roman" w:hAnsi="Times New Roman" w:cs="Times New Roman"/>
          <w:sz w:val="24"/>
          <w:szCs w:val="24"/>
        </w:rPr>
        <w:t xml:space="preserve"> grassland and forest </w:t>
      </w:r>
      <w:r>
        <w:rPr>
          <w:rFonts w:ascii="Times New Roman" w:hAnsi="Times New Roman" w:cs="Times New Roman"/>
          <w:sz w:val="24"/>
          <w:szCs w:val="24"/>
        </w:rPr>
        <w:t xml:space="preserve">air-dry/rewet treatment samples in Experiment 2. We obseved maximal respiration rates of </w:t>
      </w:r>
      <w:r w:rsidRPr="00C27016">
        <w:rPr>
          <w:rFonts w:ascii="Times New Roman" w:hAnsi="Times New Roman" w:cs="Times New Roman"/>
          <w:sz w:val="24"/>
          <w:szCs w:val="24"/>
        </w:rPr>
        <w:t>3.0 and 3.3 mg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g soil C</w:t>
      </w:r>
      <w:r w:rsidRPr="00C27016">
        <w:rPr>
          <w:rFonts w:ascii="Times New Roman" w:hAnsi="Times New Roman" w:cs="Times New Roman"/>
          <w:sz w:val="24"/>
          <w:szCs w:val="24"/>
          <w:vertAlign w:val="superscript"/>
        </w:rPr>
        <w:t>-1</w:t>
      </w:r>
      <w:r w:rsidRPr="00C27016">
        <w:rPr>
          <w:rFonts w:ascii="Times New Roman" w:hAnsi="Times New Roman" w:cs="Times New Roman"/>
          <w:sz w:val="24"/>
          <w:szCs w:val="24"/>
        </w:rPr>
        <w:t xml:space="preserve"> d</w:t>
      </w:r>
      <w:r w:rsidRPr="00C27016">
        <w:rPr>
          <w:rFonts w:ascii="Times New Roman" w:hAnsi="Times New Roman" w:cs="Times New Roman"/>
          <w:sz w:val="24"/>
          <w:szCs w:val="24"/>
          <w:vertAlign w:val="superscript"/>
        </w:rPr>
        <w:t>-1</w:t>
      </w:r>
      <w:r w:rsidRPr="00C27016">
        <w:rPr>
          <w:rFonts w:ascii="Times New Roman" w:hAnsi="Times New Roman" w:cs="Times New Roman"/>
          <w:sz w:val="24"/>
          <w:szCs w:val="24"/>
        </w:rPr>
        <w:t xml:space="preserve"> after 95 h for grassland and forest </w:t>
      </w:r>
      <w:r>
        <w:rPr>
          <w:rFonts w:ascii="Times New Roman" w:hAnsi="Times New Roman" w:cs="Times New Roman"/>
          <w:sz w:val="24"/>
          <w:szCs w:val="24"/>
        </w:rPr>
        <w:t>air-dry/rewet samples</w:t>
      </w:r>
      <w:r w:rsidRPr="00C27016">
        <w:rPr>
          <w:rFonts w:ascii="Times New Roman" w:hAnsi="Times New Roman" w:cs="Times New Roman"/>
          <w:sz w:val="24"/>
          <w:szCs w:val="24"/>
        </w:rPr>
        <w:t>, respectively.</w:t>
      </w:r>
    </w:p>
    <w:p w14:paraId="54592997" w14:textId="5FFCBADE" w:rsidR="00E94AB8" w:rsidRDefault="00E94AB8" w:rsidP="00C007AE">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Given the differences in incubation temperature, duration of the pre-incubation and second enclosure periods, and the wide variation in CO</w:t>
      </w:r>
      <w:r w:rsidRPr="00B25AF4">
        <w:rPr>
          <w:rFonts w:ascii="Times New Roman" w:hAnsi="Times New Roman" w:cs="Times New Roman"/>
          <w:sz w:val="24"/>
          <w:szCs w:val="24"/>
          <w:vertAlign w:val="subscript"/>
        </w:rPr>
        <w:t>2</w:t>
      </w:r>
      <w:r>
        <w:rPr>
          <w:rFonts w:ascii="Times New Roman" w:hAnsi="Times New Roman" w:cs="Times New Roman"/>
          <w:sz w:val="24"/>
          <w:szCs w:val="24"/>
        </w:rPr>
        <w:t xml:space="preserve"> measurement frequency both among control-3 samples from different studies and between paired control-3 and storage duration treatment incubations in this study, CO</w:t>
      </w:r>
      <w:r w:rsidRPr="00CF2C01">
        <w:rPr>
          <w:rFonts w:ascii="Times New Roman" w:hAnsi="Times New Roman" w:cs="Times New Roman"/>
          <w:sz w:val="24"/>
          <w:szCs w:val="24"/>
          <w:vertAlign w:val="subscript"/>
        </w:rPr>
        <w:t>2</w:t>
      </w:r>
      <w:r>
        <w:rPr>
          <w:rFonts w:ascii="Times New Roman" w:hAnsi="Times New Roman" w:cs="Times New Roman"/>
          <w:sz w:val="24"/>
          <w:szCs w:val="24"/>
        </w:rPr>
        <w:t xml:space="preserve"> flux rates cannot be meaningfully interpreted </w:t>
      </w:r>
      <w:r w:rsidRPr="00C27016">
        <w:rPr>
          <w:rFonts w:ascii="Times New Roman" w:hAnsi="Times New Roman" w:cs="Times New Roman"/>
          <w:sz w:val="24"/>
          <w:szCs w:val="24"/>
        </w:rPr>
        <w:t xml:space="preserve"> (Supplementary Fig. 1)</w:t>
      </w:r>
      <w:r>
        <w:rPr>
          <w:rFonts w:ascii="Times New Roman" w:hAnsi="Times New Roman" w:cs="Times New Roman"/>
          <w:sz w:val="24"/>
          <w:szCs w:val="24"/>
        </w:rPr>
        <w:t>.</w:t>
      </w:r>
    </w:p>
    <w:p w14:paraId="24627B42" w14:textId="7E027DFC" w:rsidR="00C007AE" w:rsidRDefault="00ED1351" w:rsidP="00C007AE">
      <w:pPr>
        <w:pStyle w:val="Normal1"/>
        <w:spacing w:before="12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3BB3AA1F" wp14:editId="384FC856">
            <wp:extent cx="5943600" cy="366710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667105"/>
                    </a:xfrm>
                    <a:prstGeom prst="rect">
                      <a:avLst/>
                    </a:prstGeom>
                    <a:noFill/>
                    <a:ln>
                      <a:noFill/>
                    </a:ln>
                  </pic:spPr>
                </pic:pic>
              </a:graphicData>
            </a:graphic>
          </wp:inline>
        </w:drawing>
      </w:r>
    </w:p>
    <w:p w14:paraId="711F4600" w14:textId="77777777" w:rsidR="00C007AE" w:rsidRPr="002313B4" w:rsidRDefault="00C007AE" w:rsidP="00C007AE">
      <w:pPr>
        <w:pStyle w:val="Normal1"/>
        <w:spacing w:after="120" w:line="240" w:lineRule="auto"/>
        <w:ind w:left="360" w:right="360"/>
        <w:rPr>
          <w:rFonts w:ascii="Times New Roman" w:hAnsi="Times New Roman" w:cs="Times New Roman"/>
          <w:b/>
          <w:sz w:val="24"/>
          <w:szCs w:val="24"/>
          <w:lang w:val="en-US"/>
        </w:rPr>
      </w:pPr>
      <w:r w:rsidRPr="002313B4">
        <w:rPr>
          <w:rFonts w:ascii="Times New Roman" w:hAnsi="Times New Roman" w:cs="Times New Roman"/>
          <w:b/>
          <w:sz w:val="24"/>
          <w:szCs w:val="24"/>
        </w:rPr>
        <w:t xml:space="preserve">Figure 1. </w:t>
      </w:r>
      <w:r w:rsidRPr="00A27CF9">
        <w:rPr>
          <w:rFonts w:ascii="Times New Roman" w:hAnsi="Times New Roman" w:cs="Times New Roman"/>
          <w:sz w:val="24"/>
          <w:szCs w:val="24"/>
          <w:lang w:val="en-US"/>
        </w:rPr>
        <w:t>Respiration rates for Experiment 1 and Experiment 2 samples</w:t>
      </w:r>
    </w:p>
    <w:p w14:paraId="57CD6296" w14:textId="571AA644" w:rsidR="00C007AE" w:rsidRPr="002313B4" w:rsidRDefault="00C007AE" w:rsidP="00C007AE">
      <w:pPr>
        <w:pStyle w:val="Normal1"/>
        <w:spacing w:line="360" w:lineRule="auto"/>
        <w:ind w:left="360" w:right="360"/>
        <w:rPr>
          <w:rFonts w:ascii="Times New Roman" w:hAnsi="Times New Roman" w:cs="Times New Roman"/>
          <w:lang w:val="en-US"/>
        </w:rPr>
      </w:pPr>
      <w:r w:rsidRPr="00844E54">
        <w:rPr>
          <w:rFonts w:ascii="Times New Roman" w:hAnsi="Times New Roman" w:cs="Times New Roman"/>
          <w:b/>
          <w:lang w:val="en-US"/>
        </w:rPr>
        <w:t>a)</w:t>
      </w:r>
      <w:r w:rsidR="00ED1351">
        <w:rPr>
          <w:rFonts w:ascii="Times New Roman" w:hAnsi="Times New Roman" w:cs="Times New Roman"/>
          <w:lang w:val="en-US"/>
        </w:rPr>
        <w:t xml:space="preserve"> Experiment 1 samples</w:t>
      </w:r>
      <w:r w:rsidRPr="00844E54">
        <w:rPr>
          <w:rFonts w:ascii="Times New Roman" w:hAnsi="Times New Roman" w:cs="Times New Roman"/>
          <w:lang w:val="en-US"/>
        </w:rPr>
        <w:t xml:space="preserve">; </w:t>
      </w:r>
      <w:r w:rsidRPr="00844E54">
        <w:rPr>
          <w:rFonts w:ascii="Times New Roman" w:hAnsi="Times New Roman" w:cs="Times New Roman"/>
          <w:b/>
          <w:lang w:val="en-US"/>
        </w:rPr>
        <w:t>b)</w:t>
      </w:r>
      <w:r w:rsidRPr="00B622FD">
        <w:rPr>
          <w:rFonts w:ascii="Times New Roman" w:hAnsi="Times New Roman" w:cs="Times New Roman"/>
          <w:sz w:val="24"/>
          <w:lang w:val="en-US"/>
        </w:rPr>
        <w:t xml:space="preserve"> </w:t>
      </w:r>
      <w:r w:rsidRPr="002313B4">
        <w:rPr>
          <w:rFonts w:ascii="Times New Roman" w:hAnsi="Times New Roman" w:cs="Times New Roman"/>
          <w:lang w:val="en-US"/>
        </w:rPr>
        <w:t xml:space="preserve">Experiment 2 </w:t>
      </w:r>
      <w:r>
        <w:rPr>
          <w:rFonts w:ascii="Times New Roman" w:hAnsi="Times New Roman" w:cs="Times New Roman"/>
          <w:lang w:val="en-US"/>
        </w:rPr>
        <w:t xml:space="preserve">samples. </w:t>
      </w:r>
      <w:r w:rsidRPr="002313B4">
        <w:rPr>
          <w:rFonts w:ascii="Times New Roman" w:hAnsi="Times New Roman" w:cs="Times New Roman"/>
          <w:lang w:val="en-US"/>
        </w:rPr>
        <w:t xml:space="preserve">Vertical gray line at day 4 demarcates the end of the </w:t>
      </w:r>
      <w:r w:rsidR="00ED1351">
        <w:rPr>
          <w:rFonts w:ascii="Times New Roman" w:hAnsi="Times New Roman" w:cs="Times New Roman"/>
          <w:lang w:val="en-US"/>
        </w:rPr>
        <w:t>first enclosure</w:t>
      </w:r>
      <w:r w:rsidRPr="002313B4">
        <w:rPr>
          <w:rFonts w:ascii="Times New Roman" w:hAnsi="Times New Roman" w:cs="Times New Roman"/>
          <w:lang w:val="en-US"/>
        </w:rPr>
        <w:t xml:space="preserve"> period. Points show measurements and lines show trends</w:t>
      </w:r>
      <w:r>
        <w:rPr>
          <w:rFonts w:ascii="Times New Roman" w:hAnsi="Times New Roman" w:cs="Times New Roman"/>
          <w:lang w:val="en-US"/>
        </w:rPr>
        <w:t xml:space="preserve"> </w:t>
      </w:r>
      <w:r w:rsidRPr="002313B4">
        <w:rPr>
          <w:rFonts w:ascii="Times New Roman" w:hAnsi="Times New Roman" w:cs="Times New Roman"/>
          <w:lang w:val="en-US"/>
        </w:rPr>
        <w:t>i</w:t>
      </w:r>
      <w:r>
        <w:rPr>
          <w:rFonts w:ascii="Times New Roman" w:hAnsi="Times New Roman" w:cs="Times New Roman"/>
          <w:lang w:val="en-US"/>
        </w:rPr>
        <w:t xml:space="preserve">n mean respiration rate. Shaded </w:t>
      </w:r>
      <w:r w:rsidRPr="002313B4">
        <w:rPr>
          <w:rFonts w:ascii="Times New Roman" w:hAnsi="Times New Roman" w:cs="Times New Roman"/>
          <w:lang w:val="en-US"/>
        </w:rPr>
        <w:t>ribbons represent one standard error</w:t>
      </w:r>
      <w:r>
        <w:rPr>
          <w:rFonts w:ascii="Times New Roman" w:hAnsi="Times New Roman" w:cs="Times New Roman"/>
          <w:lang w:val="en-US"/>
        </w:rPr>
        <w:t xml:space="preserve"> of the mean. </w:t>
      </w:r>
      <w:r w:rsidRPr="002313B4">
        <w:rPr>
          <w:rFonts w:ascii="Times New Roman" w:hAnsi="Times New Roman" w:cs="Times New Roman"/>
          <w:lang w:val="en-US"/>
        </w:rPr>
        <w:t>The final measurement</w:t>
      </w:r>
      <w:r>
        <w:rPr>
          <w:rFonts w:ascii="Times New Roman" w:hAnsi="Times New Roman" w:cs="Times New Roman"/>
          <w:lang w:val="en-US"/>
        </w:rPr>
        <w:t xml:space="preserve"> </w:t>
      </w:r>
      <w:r w:rsidRPr="002313B4">
        <w:rPr>
          <w:rFonts w:ascii="Times New Roman" w:hAnsi="Times New Roman" w:cs="Times New Roman"/>
          <w:lang w:val="en-US"/>
        </w:rPr>
        <w:t>points f</w:t>
      </w:r>
      <w:r>
        <w:rPr>
          <w:rFonts w:ascii="Times New Roman" w:hAnsi="Times New Roman" w:cs="Times New Roman"/>
          <w:lang w:val="en-US"/>
        </w:rPr>
        <w:t xml:space="preserve">or a few samples which took &gt; 18 d </w:t>
      </w:r>
      <w:r w:rsidRPr="002313B4">
        <w:rPr>
          <w:rFonts w:ascii="Times New Roman" w:hAnsi="Times New Roman" w:cs="Times New Roman"/>
          <w:lang w:val="en-US"/>
        </w:rPr>
        <w:t>to reach CO</w:t>
      </w:r>
      <w:r w:rsidRPr="007F5988">
        <w:rPr>
          <w:rFonts w:ascii="Times New Roman" w:hAnsi="Times New Roman" w:cs="Times New Roman"/>
          <w:vertAlign w:val="subscript"/>
          <w:lang w:val="en-US"/>
        </w:rPr>
        <w:t>2</w:t>
      </w:r>
      <w:r w:rsidRPr="002313B4">
        <w:rPr>
          <w:rFonts w:ascii="Times New Roman" w:hAnsi="Times New Roman" w:cs="Times New Roman"/>
          <w:lang w:val="en-US"/>
        </w:rPr>
        <w:t xml:space="preserve"> targets are excluded for display reasons;</w:t>
      </w:r>
      <w:r>
        <w:rPr>
          <w:rFonts w:ascii="Times New Roman" w:hAnsi="Times New Roman" w:cs="Times New Roman"/>
          <w:lang w:val="en-US"/>
        </w:rPr>
        <w:t xml:space="preserve"> </w:t>
      </w:r>
      <w:r w:rsidRPr="002313B4">
        <w:rPr>
          <w:rFonts w:ascii="Times New Roman" w:hAnsi="Times New Roman" w:cs="Times New Roman"/>
          <w:lang w:val="en-US"/>
        </w:rPr>
        <w:t xml:space="preserve">respiration rates for those samples remained </w:t>
      </w:r>
      <w:r>
        <w:rPr>
          <w:rFonts w:ascii="Times New Roman" w:hAnsi="Times New Roman" w:cs="Times New Roman"/>
          <w:lang w:val="en-US"/>
        </w:rPr>
        <w:t>constant</w:t>
      </w:r>
      <w:r w:rsidRPr="002313B4">
        <w:rPr>
          <w:rFonts w:ascii="Times New Roman" w:hAnsi="Times New Roman" w:cs="Times New Roman"/>
          <w:lang w:val="en-US"/>
        </w:rPr>
        <w:t>. Note that headspace CO</w:t>
      </w:r>
      <w:r w:rsidRPr="007F5988">
        <w:rPr>
          <w:rFonts w:ascii="Times New Roman" w:hAnsi="Times New Roman" w:cs="Times New Roman"/>
          <w:vertAlign w:val="subscript"/>
          <w:lang w:val="en-US"/>
        </w:rPr>
        <w:t>2</w:t>
      </w:r>
      <w:r w:rsidRPr="002313B4">
        <w:rPr>
          <w:rFonts w:ascii="Times New Roman" w:hAnsi="Times New Roman" w:cs="Times New Roman"/>
          <w:lang w:val="en-US"/>
        </w:rPr>
        <w:t xml:space="preserve"> concentrations for </w:t>
      </w:r>
      <w:r>
        <w:rPr>
          <w:rFonts w:ascii="Times New Roman" w:hAnsi="Times New Roman" w:cs="Times New Roman"/>
          <w:lang w:val="en-US"/>
        </w:rPr>
        <w:t>control-1</w:t>
      </w:r>
      <w:r w:rsidRPr="002313B4">
        <w:rPr>
          <w:rFonts w:ascii="Times New Roman" w:hAnsi="Times New Roman" w:cs="Times New Roman"/>
          <w:lang w:val="en-US"/>
        </w:rPr>
        <w:t xml:space="preserve"> </w:t>
      </w:r>
      <w:r>
        <w:rPr>
          <w:rFonts w:ascii="Times New Roman" w:hAnsi="Times New Roman" w:cs="Times New Roman"/>
          <w:lang w:val="en-US"/>
        </w:rPr>
        <w:t xml:space="preserve">samples (panel a) were only measured once </w:t>
      </w:r>
      <w:r w:rsidRPr="002313B4">
        <w:rPr>
          <w:rFonts w:ascii="Times New Roman" w:hAnsi="Times New Roman" w:cs="Times New Roman"/>
          <w:lang w:val="en-US"/>
        </w:rPr>
        <w:t xml:space="preserve">during the </w:t>
      </w:r>
      <w:r w:rsidR="00ED1351">
        <w:rPr>
          <w:rFonts w:ascii="Times New Roman" w:hAnsi="Times New Roman" w:cs="Times New Roman"/>
          <w:lang w:val="en-US"/>
        </w:rPr>
        <w:t>first enclosure</w:t>
      </w:r>
      <w:r w:rsidRPr="002313B4">
        <w:rPr>
          <w:rFonts w:ascii="Times New Roman" w:hAnsi="Times New Roman" w:cs="Times New Roman"/>
          <w:lang w:val="en-US"/>
        </w:rPr>
        <w:t xml:space="preserve"> period (day 4) in contrast to daily meas</w:t>
      </w:r>
      <w:r>
        <w:rPr>
          <w:rFonts w:ascii="Times New Roman" w:hAnsi="Times New Roman" w:cs="Times New Roman"/>
          <w:lang w:val="en-US"/>
        </w:rPr>
        <w:t>urements for all other samples</w:t>
      </w:r>
      <w:r w:rsidRPr="002313B4">
        <w:rPr>
          <w:rFonts w:ascii="Times New Roman" w:hAnsi="Times New Roman" w:cs="Times New Roman"/>
          <w:lang w:val="en-US"/>
        </w:rPr>
        <w:t>.</w:t>
      </w:r>
    </w:p>
    <w:p w14:paraId="33858CB3" w14:textId="5693F956" w:rsidR="00C007AE" w:rsidRPr="009C7043" w:rsidRDefault="00C007AE" w:rsidP="00C007AE">
      <w:pPr>
        <w:pStyle w:val="Normal1"/>
        <w:spacing w:before="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t>3.2</w:t>
      </w:r>
      <w:r>
        <w:rPr>
          <w:rFonts w:ascii="Times New Roman" w:hAnsi="Times New Roman" w:cs="Times New Roman"/>
          <w:sz w:val="24"/>
          <w:szCs w:val="24"/>
        </w:rPr>
        <w:t>.</w:t>
      </w:r>
      <w:r w:rsidRPr="00C27016">
        <w:rPr>
          <w:rFonts w:ascii="Times New Roman" w:hAnsi="Times New Roman" w:cs="Times New Roman"/>
          <w:sz w:val="24"/>
          <w:szCs w:val="24"/>
        </w:rPr>
        <w:t xml:space="preserve"> </w:t>
      </w:r>
      <w:r w:rsidR="009A4CA2">
        <w:rPr>
          <w:rFonts w:ascii="Times New Roman" w:hAnsi="Times New Roman" w:cs="Times New Roman"/>
          <w:sz w:val="24"/>
          <w:szCs w:val="24"/>
        </w:rPr>
        <w:t xml:space="preserve">Differences in first and second enclosure period </w:t>
      </w:r>
      <w:r w:rsidR="009A4CA2" w:rsidRPr="00C27016">
        <w:rPr>
          <w:rFonts w:ascii="Times New Roman" w:eastAsia="Arial Unicode MS" w:hAnsi="Times New Roman" w:cs="Times New Roman"/>
          <w:sz w:val="24"/>
          <w:szCs w:val="24"/>
        </w:rPr>
        <w:t>∆</w:t>
      </w:r>
      <w:r w:rsidR="009A4CA2" w:rsidRPr="00C27016">
        <w:rPr>
          <w:rFonts w:ascii="Times New Roman" w:hAnsi="Times New Roman" w:cs="Times New Roman"/>
          <w:sz w:val="24"/>
          <w:szCs w:val="24"/>
          <w:vertAlign w:val="superscript"/>
        </w:rPr>
        <w:t>14</w:t>
      </w:r>
      <w:r w:rsidR="009A4CA2" w:rsidRPr="00C27016">
        <w:rPr>
          <w:rFonts w:ascii="Times New Roman" w:hAnsi="Times New Roman" w:cs="Times New Roman"/>
          <w:sz w:val="24"/>
          <w:szCs w:val="24"/>
        </w:rPr>
        <w:t>C-CO</w:t>
      </w:r>
      <w:r w:rsidR="009A4CA2" w:rsidRPr="00C27016">
        <w:rPr>
          <w:rFonts w:ascii="Times New Roman" w:hAnsi="Times New Roman" w:cs="Times New Roman"/>
          <w:sz w:val="24"/>
          <w:szCs w:val="24"/>
          <w:vertAlign w:val="subscript"/>
        </w:rPr>
        <w:t>2</w:t>
      </w:r>
      <w:r w:rsidR="009C7043">
        <w:rPr>
          <w:rFonts w:ascii="Times New Roman" w:hAnsi="Times New Roman" w:cs="Times New Roman"/>
          <w:sz w:val="24"/>
          <w:szCs w:val="24"/>
        </w:rPr>
        <w:t xml:space="preserve"> and </w:t>
      </w:r>
      <w:r w:rsidR="009C7043" w:rsidRPr="00C27016">
        <w:rPr>
          <w:rFonts w:ascii="Times New Roman" w:hAnsi="Times New Roman" w:cs="Times New Roman"/>
          <w:color w:val="333333"/>
          <w:sz w:val="24"/>
          <w:szCs w:val="24"/>
          <w:highlight w:val="white"/>
        </w:rPr>
        <w:t>δ</w:t>
      </w:r>
      <w:r w:rsidR="009C7043" w:rsidRPr="00C27016">
        <w:rPr>
          <w:rFonts w:ascii="Times New Roman" w:hAnsi="Times New Roman" w:cs="Times New Roman"/>
          <w:color w:val="333333"/>
          <w:sz w:val="24"/>
          <w:szCs w:val="24"/>
          <w:highlight w:val="white"/>
          <w:vertAlign w:val="superscript"/>
        </w:rPr>
        <w:t>13</w:t>
      </w:r>
      <w:r w:rsidR="009C7043" w:rsidRPr="00C27016">
        <w:rPr>
          <w:rFonts w:ascii="Times New Roman" w:hAnsi="Times New Roman" w:cs="Times New Roman"/>
          <w:color w:val="333333"/>
          <w:sz w:val="24"/>
          <w:szCs w:val="24"/>
          <w:highlight w:val="white"/>
        </w:rPr>
        <w:t>C-CO</w:t>
      </w:r>
      <w:r w:rsidR="009C7043" w:rsidRPr="00C27016">
        <w:rPr>
          <w:rFonts w:ascii="Times New Roman" w:hAnsi="Times New Roman" w:cs="Times New Roman"/>
          <w:color w:val="333333"/>
          <w:sz w:val="24"/>
          <w:szCs w:val="24"/>
          <w:highlight w:val="white"/>
          <w:vertAlign w:val="subscript"/>
        </w:rPr>
        <w:t>2</w:t>
      </w:r>
    </w:p>
    <w:p w14:paraId="5328CFEA" w14:textId="7DBA80F9" w:rsidR="00280A3E" w:rsidRDefault="00280A3E" w:rsidP="00280A3E">
      <w:pPr>
        <w:pStyle w:val="Normal1"/>
        <w:spacing w:before="120" w:line="360" w:lineRule="auto"/>
        <w:rPr>
          <w:rFonts w:ascii="Times New Roman" w:hAnsi="Times New Roman" w:cs="Times New Roman"/>
          <w:sz w:val="24"/>
          <w:szCs w:val="24"/>
        </w:rPr>
      </w:pPr>
      <w:r>
        <w:rPr>
          <w:rFonts w:ascii="Times New Roman" w:eastAsia="Arial Unicode MS" w:hAnsi="Times New Roman" w:cs="Times New Roman"/>
          <w:sz w:val="24"/>
          <w:szCs w:val="24"/>
        </w:rPr>
        <w:t xml:space="preserve">Contrary to our hypothesis, </w:t>
      </w:r>
      <w:r w:rsidR="009A4CA2" w:rsidRPr="00C27016">
        <w:rPr>
          <w:rFonts w:ascii="Times New Roman" w:eastAsia="Arial Unicode MS" w:hAnsi="Times New Roman" w:cs="Times New Roman"/>
          <w:sz w:val="24"/>
          <w:szCs w:val="24"/>
        </w:rPr>
        <w:t>∆</w:t>
      </w:r>
      <w:r w:rsidR="009A4CA2" w:rsidRPr="00C27016">
        <w:rPr>
          <w:rFonts w:ascii="Times New Roman" w:hAnsi="Times New Roman" w:cs="Times New Roman"/>
          <w:sz w:val="24"/>
          <w:szCs w:val="24"/>
          <w:vertAlign w:val="superscript"/>
        </w:rPr>
        <w:t>14</w:t>
      </w:r>
      <w:r w:rsidR="009A4CA2" w:rsidRPr="00C27016">
        <w:rPr>
          <w:rFonts w:ascii="Times New Roman" w:hAnsi="Times New Roman" w:cs="Times New Roman"/>
          <w:sz w:val="24"/>
          <w:szCs w:val="24"/>
        </w:rPr>
        <w:t>C-CO</w:t>
      </w:r>
      <w:r w:rsidR="009A4CA2" w:rsidRPr="00C27016">
        <w:rPr>
          <w:rFonts w:ascii="Times New Roman" w:hAnsi="Times New Roman" w:cs="Times New Roman"/>
          <w:sz w:val="24"/>
          <w:szCs w:val="24"/>
          <w:vertAlign w:val="subscript"/>
        </w:rPr>
        <w:t>2</w:t>
      </w:r>
      <w:r w:rsidR="00C007AE" w:rsidRPr="00C27016">
        <w:rPr>
          <w:rFonts w:ascii="Times New Roman" w:hAnsi="Times New Roman" w:cs="Times New Roman"/>
          <w:sz w:val="24"/>
          <w:szCs w:val="24"/>
        </w:rPr>
        <w:t xml:space="preserve"> </w:t>
      </w:r>
      <w:r w:rsidR="009A4CA2">
        <w:rPr>
          <w:rFonts w:ascii="Times New Roman" w:hAnsi="Times New Roman" w:cs="Times New Roman"/>
          <w:sz w:val="24"/>
          <w:szCs w:val="24"/>
        </w:rPr>
        <w:t>measured shortly after</w:t>
      </w:r>
      <w:r>
        <w:rPr>
          <w:rFonts w:ascii="Times New Roman" w:hAnsi="Times New Roman" w:cs="Times New Roman"/>
          <w:sz w:val="24"/>
          <w:szCs w:val="24"/>
        </w:rPr>
        <w:t xml:space="preserve"> rewetting (during the first enclosure period) did not differ substantially from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sidR="009A4CA2">
        <w:rPr>
          <w:rFonts w:ascii="Times New Roman" w:hAnsi="Times New Roman" w:cs="Times New Roman"/>
          <w:sz w:val="24"/>
          <w:szCs w:val="24"/>
        </w:rPr>
        <w:t>measured</w:t>
      </w:r>
      <w:r>
        <w:rPr>
          <w:rFonts w:ascii="Times New Roman" w:hAnsi="Times New Roman" w:cs="Times New Roman"/>
          <w:sz w:val="24"/>
          <w:szCs w:val="24"/>
        </w:rPr>
        <w:t xml:space="preserve"> during the second enclosure period. </w:t>
      </w:r>
      <w:r w:rsidR="009C7043">
        <w:rPr>
          <w:rFonts w:ascii="Times New Roman" w:hAnsi="Times New Roman" w:cs="Times New Roman"/>
          <w:sz w:val="24"/>
          <w:szCs w:val="24"/>
        </w:rPr>
        <w:t>Ninety-five percent</w:t>
      </w:r>
      <w:r>
        <w:rPr>
          <w:rFonts w:ascii="Times New Roman" w:hAnsi="Times New Roman" w:cs="Times New Roman"/>
          <w:sz w:val="24"/>
          <w:szCs w:val="24"/>
        </w:rPr>
        <w:t xml:space="preserve"> confidence intervals around the mean difference in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009C7043">
        <w:rPr>
          <w:rFonts w:ascii="Times New Roman" w:hAnsi="Times New Roman" w:cs="Times New Roman"/>
          <w:sz w:val="24"/>
          <w:szCs w:val="24"/>
        </w:rPr>
        <w:t>included</w:t>
      </w:r>
      <w:r>
        <w:rPr>
          <w:rFonts w:ascii="Times New Roman" w:hAnsi="Times New Roman" w:cs="Times New Roman"/>
          <w:sz w:val="24"/>
          <w:szCs w:val="24"/>
        </w:rPr>
        <w:t xml:space="preserve"> zero for all comparisons made within experiment, trea</w:t>
      </w:r>
      <w:r w:rsidR="009A4CA2">
        <w:rPr>
          <w:rFonts w:ascii="Times New Roman" w:hAnsi="Times New Roman" w:cs="Times New Roman"/>
          <w:sz w:val="24"/>
          <w:szCs w:val="24"/>
        </w:rPr>
        <w:t xml:space="preserve">tment, and ecosystem groups, </w:t>
      </w:r>
      <w:r w:rsidR="009C7043">
        <w:rPr>
          <w:rFonts w:ascii="Times New Roman" w:hAnsi="Times New Roman" w:cs="Times New Roman"/>
          <w:sz w:val="24"/>
          <w:szCs w:val="24"/>
        </w:rPr>
        <w:t xml:space="preserve">with the </w:t>
      </w:r>
      <w:r w:rsidR="009A4CA2">
        <w:rPr>
          <w:rFonts w:ascii="Times New Roman" w:hAnsi="Times New Roman" w:cs="Times New Roman"/>
          <w:sz w:val="24"/>
          <w:szCs w:val="24"/>
        </w:rPr>
        <w:t>except</w:t>
      </w:r>
      <w:r w:rsidR="009C7043">
        <w:rPr>
          <w:rFonts w:ascii="Times New Roman" w:hAnsi="Times New Roman" w:cs="Times New Roman"/>
          <w:sz w:val="24"/>
          <w:szCs w:val="24"/>
        </w:rPr>
        <w:t>ion</w:t>
      </w:r>
      <w:r w:rsidR="009A4CA2">
        <w:rPr>
          <w:rFonts w:ascii="Times New Roman" w:hAnsi="Times New Roman" w:cs="Times New Roman"/>
          <w:sz w:val="24"/>
          <w:szCs w:val="24"/>
        </w:rPr>
        <w:t xml:space="preserve"> </w:t>
      </w:r>
      <w:r w:rsidR="009C7043">
        <w:rPr>
          <w:rFonts w:ascii="Times New Roman" w:hAnsi="Times New Roman" w:cs="Times New Roman"/>
          <w:sz w:val="24"/>
          <w:szCs w:val="24"/>
        </w:rPr>
        <w:t>of</w:t>
      </w:r>
      <w:r w:rsidR="009A4CA2">
        <w:rPr>
          <w:rFonts w:ascii="Times New Roman" w:hAnsi="Times New Roman" w:cs="Times New Roman"/>
          <w:sz w:val="24"/>
          <w:szCs w:val="24"/>
        </w:rPr>
        <w:t xml:space="preserve"> </w:t>
      </w:r>
      <w:r>
        <w:rPr>
          <w:rFonts w:ascii="Times New Roman" w:hAnsi="Times New Roman" w:cs="Times New Roman"/>
          <w:sz w:val="24"/>
          <w:szCs w:val="24"/>
        </w:rPr>
        <w:t xml:space="preserve">the grassland </w:t>
      </w:r>
      <w:r w:rsidR="009C7043">
        <w:rPr>
          <w:rFonts w:ascii="Times New Roman" w:hAnsi="Times New Roman" w:cs="Times New Roman"/>
          <w:sz w:val="24"/>
          <w:szCs w:val="24"/>
        </w:rPr>
        <w:t xml:space="preserve">control </w:t>
      </w:r>
      <w:r>
        <w:rPr>
          <w:rFonts w:ascii="Times New Roman" w:hAnsi="Times New Roman" w:cs="Times New Roman"/>
          <w:sz w:val="24"/>
          <w:szCs w:val="24"/>
        </w:rPr>
        <w:t>samples in Exp</w:t>
      </w:r>
      <w:r w:rsidR="009A4CA2">
        <w:rPr>
          <w:rFonts w:ascii="Times New Roman" w:hAnsi="Times New Roman" w:cs="Times New Roman"/>
          <w:sz w:val="24"/>
          <w:szCs w:val="24"/>
        </w:rPr>
        <w:t>eriment 2.</w:t>
      </w:r>
      <w:r w:rsidR="00C34E3B">
        <w:rPr>
          <w:rFonts w:ascii="Times New Roman" w:hAnsi="Times New Roman" w:cs="Times New Roman"/>
          <w:sz w:val="24"/>
          <w:szCs w:val="24"/>
        </w:rPr>
        <w:t xml:space="preserve"> </w:t>
      </w:r>
      <w:r w:rsidR="009A4CA2">
        <w:rPr>
          <w:rFonts w:ascii="Times New Roman" w:hAnsi="Times New Roman" w:cs="Times New Roman"/>
          <w:sz w:val="24"/>
          <w:szCs w:val="24"/>
        </w:rPr>
        <w:t>For these samples</w:t>
      </w:r>
      <w:r w:rsidR="00C34E3B">
        <w:rPr>
          <w:rFonts w:ascii="Times New Roman" w:hAnsi="Times New Roman" w:cs="Times New Roman"/>
          <w:sz w:val="24"/>
          <w:szCs w:val="24"/>
        </w:rPr>
        <w:t xml:space="preserve"> </w:t>
      </w:r>
      <w:r w:rsidR="00C34E3B" w:rsidRPr="00C27016">
        <w:rPr>
          <w:rFonts w:ascii="Times New Roman" w:eastAsia="Arial Unicode MS" w:hAnsi="Times New Roman" w:cs="Times New Roman"/>
          <w:sz w:val="24"/>
          <w:szCs w:val="24"/>
        </w:rPr>
        <w:t>∆</w:t>
      </w:r>
      <w:r w:rsidR="00C34E3B" w:rsidRPr="00C27016">
        <w:rPr>
          <w:rFonts w:ascii="Times New Roman" w:hAnsi="Times New Roman" w:cs="Times New Roman"/>
          <w:sz w:val="24"/>
          <w:szCs w:val="24"/>
          <w:vertAlign w:val="superscript"/>
        </w:rPr>
        <w:t>14</w:t>
      </w:r>
      <w:r w:rsidR="00C34E3B" w:rsidRPr="00C27016">
        <w:rPr>
          <w:rFonts w:ascii="Times New Roman" w:hAnsi="Times New Roman" w:cs="Times New Roman"/>
          <w:sz w:val="24"/>
          <w:szCs w:val="24"/>
        </w:rPr>
        <w:t>C-CO</w:t>
      </w:r>
      <w:r w:rsidR="00C34E3B" w:rsidRPr="00C27016">
        <w:rPr>
          <w:rFonts w:ascii="Times New Roman" w:hAnsi="Times New Roman" w:cs="Times New Roman"/>
          <w:sz w:val="24"/>
          <w:szCs w:val="24"/>
          <w:vertAlign w:val="subscript"/>
        </w:rPr>
        <w:t>2</w:t>
      </w:r>
      <w:r w:rsidR="00C34E3B">
        <w:rPr>
          <w:rFonts w:ascii="Times New Roman" w:hAnsi="Times New Roman" w:cs="Times New Roman"/>
          <w:sz w:val="24"/>
          <w:szCs w:val="24"/>
        </w:rPr>
        <w:t xml:space="preserve"> was significantly higher in the second enclosure period than in the first (mean difference = -10.4</w:t>
      </w:r>
      <w:r w:rsidR="00C34E3B" w:rsidRPr="00C27016">
        <w:rPr>
          <w:rFonts w:ascii="Times New Roman" w:hAnsi="Times New Roman" w:cs="Times New Roman"/>
          <w:sz w:val="24"/>
          <w:szCs w:val="24"/>
        </w:rPr>
        <w:t>‰</w:t>
      </w:r>
      <w:r w:rsidR="00C34E3B">
        <w:rPr>
          <w:rFonts w:ascii="Times New Roman" w:hAnsi="Times New Roman" w:cs="Times New Roman"/>
          <w:sz w:val="24"/>
          <w:szCs w:val="24"/>
        </w:rPr>
        <w:t>, 95% CI = [-14.8</w:t>
      </w:r>
      <w:r w:rsidR="00C34E3B" w:rsidRPr="00C27016">
        <w:rPr>
          <w:rFonts w:ascii="Times New Roman" w:hAnsi="Times New Roman" w:cs="Times New Roman"/>
          <w:sz w:val="24"/>
          <w:szCs w:val="24"/>
        </w:rPr>
        <w:t>‰</w:t>
      </w:r>
      <w:r w:rsidR="00C34E3B">
        <w:rPr>
          <w:rFonts w:ascii="Times New Roman" w:hAnsi="Times New Roman" w:cs="Times New Roman"/>
          <w:sz w:val="24"/>
          <w:szCs w:val="24"/>
        </w:rPr>
        <w:t>, -6.0</w:t>
      </w:r>
      <w:r w:rsidR="00C34E3B" w:rsidRPr="00C27016">
        <w:rPr>
          <w:rFonts w:ascii="Times New Roman" w:hAnsi="Times New Roman" w:cs="Times New Roman"/>
          <w:sz w:val="24"/>
          <w:szCs w:val="24"/>
        </w:rPr>
        <w:t>‰</w:t>
      </w:r>
      <w:r w:rsidR="00C34E3B">
        <w:rPr>
          <w:rFonts w:ascii="Times New Roman" w:hAnsi="Times New Roman" w:cs="Times New Roman"/>
          <w:sz w:val="24"/>
          <w:szCs w:val="24"/>
        </w:rPr>
        <w:t>]). However, when we combined data across experiments, ecosystem types, and treatments the difference was not signifcant (mean difference = -2.0, 95% CI = [-5.0</w:t>
      </w:r>
      <w:r w:rsidR="00C34E3B" w:rsidRPr="00C27016">
        <w:rPr>
          <w:rFonts w:ascii="Times New Roman" w:hAnsi="Times New Roman" w:cs="Times New Roman"/>
          <w:sz w:val="24"/>
          <w:szCs w:val="24"/>
        </w:rPr>
        <w:t>‰</w:t>
      </w:r>
      <w:r w:rsidR="00C34E3B">
        <w:rPr>
          <w:rFonts w:ascii="Times New Roman" w:hAnsi="Times New Roman" w:cs="Times New Roman"/>
          <w:sz w:val="24"/>
          <w:szCs w:val="24"/>
        </w:rPr>
        <w:t>, 1.0</w:t>
      </w:r>
      <w:r w:rsidR="00C34E3B" w:rsidRPr="00C27016">
        <w:rPr>
          <w:rFonts w:ascii="Times New Roman" w:hAnsi="Times New Roman" w:cs="Times New Roman"/>
          <w:sz w:val="24"/>
          <w:szCs w:val="24"/>
        </w:rPr>
        <w:t>‰</w:t>
      </w:r>
      <w:r w:rsidR="00C34E3B">
        <w:rPr>
          <w:rFonts w:ascii="Times New Roman" w:hAnsi="Times New Roman" w:cs="Times New Roman"/>
          <w:sz w:val="24"/>
          <w:szCs w:val="24"/>
        </w:rPr>
        <w:t xml:space="preserve">]). </w:t>
      </w:r>
      <w:r w:rsidR="00E35390">
        <w:rPr>
          <w:rFonts w:ascii="Times New Roman" w:hAnsi="Times New Roman" w:cs="Times New Roman"/>
          <w:sz w:val="24"/>
          <w:szCs w:val="24"/>
        </w:rPr>
        <w:t xml:space="preserve">There </w:t>
      </w:r>
      <w:r w:rsidR="009A4CA2">
        <w:rPr>
          <w:rFonts w:ascii="Times New Roman" w:hAnsi="Times New Roman" w:cs="Times New Roman"/>
          <w:sz w:val="24"/>
          <w:szCs w:val="24"/>
        </w:rPr>
        <w:t xml:space="preserve">was </w:t>
      </w:r>
      <w:r w:rsidR="00E35390">
        <w:rPr>
          <w:rFonts w:ascii="Times New Roman" w:hAnsi="Times New Roman" w:cs="Times New Roman"/>
          <w:sz w:val="24"/>
          <w:szCs w:val="24"/>
        </w:rPr>
        <w:t xml:space="preserve">one exceptional sample in </w:t>
      </w:r>
      <w:r w:rsidR="009A4CA2">
        <w:rPr>
          <w:rFonts w:ascii="Times New Roman" w:hAnsi="Times New Roman" w:cs="Times New Roman"/>
          <w:sz w:val="24"/>
          <w:szCs w:val="24"/>
        </w:rPr>
        <w:t xml:space="preserve">the </w:t>
      </w:r>
      <w:r w:rsidR="00E35390">
        <w:rPr>
          <w:rFonts w:ascii="Times New Roman" w:hAnsi="Times New Roman" w:cs="Times New Roman"/>
          <w:sz w:val="24"/>
          <w:szCs w:val="24"/>
        </w:rPr>
        <w:t xml:space="preserve">Experiment 2 forest control group for which the </w:t>
      </w:r>
      <w:r w:rsidR="00E35390" w:rsidRPr="00C27016">
        <w:rPr>
          <w:rFonts w:ascii="Times New Roman" w:eastAsia="Arial Unicode MS" w:hAnsi="Times New Roman" w:cs="Times New Roman"/>
          <w:sz w:val="24"/>
          <w:szCs w:val="24"/>
        </w:rPr>
        <w:t>∆</w:t>
      </w:r>
      <w:r w:rsidR="00E35390" w:rsidRPr="00C27016">
        <w:rPr>
          <w:rFonts w:ascii="Times New Roman" w:hAnsi="Times New Roman" w:cs="Times New Roman"/>
          <w:sz w:val="24"/>
          <w:szCs w:val="24"/>
          <w:vertAlign w:val="superscript"/>
        </w:rPr>
        <w:t>14</w:t>
      </w:r>
      <w:r w:rsidR="00E35390" w:rsidRPr="00C27016">
        <w:rPr>
          <w:rFonts w:ascii="Times New Roman" w:hAnsi="Times New Roman" w:cs="Times New Roman"/>
          <w:sz w:val="24"/>
          <w:szCs w:val="24"/>
        </w:rPr>
        <w:t>C-CO</w:t>
      </w:r>
      <w:r w:rsidR="00E35390" w:rsidRPr="00C27016">
        <w:rPr>
          <w:rFonts w:ascii="Times New Roman" w:hAnsi="Times New Roman" w:cs="Times New Roman"/>
          <w:sz w:val="24"/>
          <w:szCs w:val="24"/>
          <w:vertAlign w:val="subscript"/>
        </w:rPr>
        <w:t>2</w:t>
      </w:r>
      <w:r w:rsidR="00E35390">
        <w:rPr>
          <w:rFonts w:ascii="Times New Roman" w:hAnsi="Times New Roman" w:cs="Times New Roman"/>
          <w:sz w:val="24"/>
          <w:szCs w:val="24"/>
        </w:rPr>
        <w:t xml:space="preserve"> of the first enclosure period was strongly depleted relative to the second enclosure period (Fig. 2). While this difference was consistent in both laboratory replicates and thus </w:t>
      </w:r>
      <w:r w:rsidR="00F7012D">
        <w:rPr>
          <w:rFonts w:ascii="Times New Roman" w:hAnsi="Times New Roman" w:cs="Times New Roman"/>
          <w:sz w:val="24"/>
          <w:szCs w:val="24"/>
        </w:rPr>
        <w:t>may well represent a real phenomenon</w:t>
      </w:r>
      <w:r w:rsidR="00E35390">
        <w:rPr>
          <w:rFonts w:ascii="Times New Roman" w:hAnsi="Times New Roman" w:cs="Times New Roman"/>
          <w:sz w:val="24"/>
          <w:szCs w:val="24"/>
        </w:rPr>
        <w:t xml:space="preserve">, we excluded it from the overall analysis as it does not appear to be representative of the trend observed in the sample population as a whole. </w:t>
      </w:r>
    </w:p>
    <w:p w14:paraId="7B903F53" w14:textId="0F7AF5ED" w:rsidR="00C007AE" w:rsidRDefault="00B15763" w:rsidP="00C007AE">
      <w:pPr>
        <w:pStyle w:val="Normal1"/>
        <w:spacing w:before="120"/>
        <w:rPr>
          <w:rFonts w:ascii="Times New Roman" w:hAnsi="Times New Roman" w:cs="Times New Roman"/>
          <w:color w:val="333333"/>
          <w:sz w:val="24"/>
          <w:szCs w:val="24"/>
          <w:highlight w:val="white"/>
        </w:rPr>
      </w:pPr>
      <w:r>
        <w:rPr>
          <w:rFonts w:ascii="Times New Roman" w:hAnsi="Times New Roman" w:cs="Times New Roman"/>
          <w:noProof/>
          <w:color w:val="333333"/>
          <w:sz w:val="24"/>
          <w:szCs w:val="24"/>
          <w:lang w:val="en-US"/>
        </w:rPr>
        <w:drawing>
          <wp:inline distT="0" distB="0" distL="0" distR="0" wp14:anchorId="7A2F076A" wp14:editId="121D1DA4">
            <wp:extent cx="5486400" cy="3814004"/>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814004"/>
                    </a:xfrm>
                    <a:prstGeom prst="rect">
                      <a:avLst/>
                    </a:prstGeom>
                    <a:noFill/>
                    <a:ln>
                      <a:noFill/>
                    </a:ln>
                  </pic:spPr>
                </pic:pic>
              </a:graphicData>
            </a:graphic>
          </wp:inline>
        </w:drawing>
      </w:r>
    </w:p>
    <w:p w14:paraId="67DA5646" w14:textId="449DD80F" w:rsidR="00C007AE" w:rsidRPr="002313B4" w:rsidRDefault="00C007AE" w:rsidP="00C007AE">
      <w:pPr>
        <w:pStyle w:val="Normal1"/>
        <w:spacing w:after="120" w:line="240" w:lineRule="auto"/>
        <w:ind w:left="360" w:right="360"/>
        <w:rPr>
          <w:rFonts w:ascii="Times New Roman" w:hAnsi="Times New Roman" w:cs="Times New Roman"/>
          <w:b/>
          <w:sz w:val="24"/>
          <w:szCs w:val="24"/>
          <w:lang w:val="en-US"/>
        </w:rPr>
      </w:pPr>
      <w:r>
        <w:rPr>
          <w:rFonts w:ascii="Times New Roman" w:hAnsi="Times New Roman" w:cs="Times New Roman"/>
          <w:b/>
          <w:sz w:val="24"/>
          <w:szCs w:val="24"/>
        </w:rPr>
        <w:t>Figure 2</w:t>
      </w:r>
      <w:r w:rsidRPr="002313B4">
        <w:rPr>
          <w:rFonts w:ascii="Times New Roman" w:hAnsi="Times New Roman" w:cs="Times New Roman"/>
          <w:b/>
          <w:sz w:val="24"/>
          <w:szCs w:val="24"/>
        </w:rPr>
        <w:t xml:space="preserve">. </w:t>
      </w:r>
      <w:r w:rsidRPr="00A27CF9">
        <w:rPr>
          <w:rFonts w:ascii="Times New Roman" w:hAnsi="Times New Roman" w:cs="Times New Roman"/>
          <w:sz w:val="24"/>
          <w:szCs w:val="24"/>
          <w:lang w:val="en-US"/>
        </w:rPr>
        <w:t>∆</w:t>
      </w:r>
      <w:r w:rsidRPr="00A27CF9">
        <w:rPr>
          <w:rFonts w:ascii="Times New Roman" w:hAnsi="Times New Roman" w:cs="Times New Roman"/>
          <w:sz w:val="24"/>
          <w:szCs w:val="24"/>
          <w:vertAlign w:val="superscript"/>
          <w:lang w:val="en-US"/>
        </w:rPr>
        <w:t>14</w:t>
      </w:r>
      <w:r w:rsidRPr="00A27CF9">
        <w:rPr>
          <w:rFonts w:ascii="Times New Roman" w:hAnsi="Times New Roman" w:cs="Times New Roman"/>
          <w:sz w:val="24"/>
          <w:szCs w:val="24"/>
          <w:lang w:val="en-US"/>
        </w:rPr>
        <w:t>C-CO</w:t>
      </w:r>
      <w:r w:rsidRPr="00A27CF9">
        <w:rPr>
          <w:rFonts w:ascii="Times New Roman" w:hAnsi="Times New Roman" w:cs="Times New Roman"/>
          <w:sz w:val="24"/>
          <w:szCs w:val="24"/>
          <w:vertAlign w:val="subscript"/>
          <w:lang w:val="en-US"/>
        </w:rPr>
        <w:t>2</w:t>
      </w:r>
      <w:r w:rsidRPr="00A27CF9">
        <w:rPr>
          <w:rFonts w:ascii="Times New Roman" w:hAnsi="Times New Roman" w:cs="Times New Roman"/>
          <w:sz w:val="24"/>
          <w:szCs w:val="24"/>
          <w:lang w:val="en-US"/>
        </w:rPr>
        <w:t xml:space="preserve"> of the rewetting pulse </w:t>
      </w:r>
      <w:r w:rsidR="00EC5B52">
        <w:rPr>
          <w:rFonts w:ascii="Times New Roman" w:hAnsi="Times New Roman" w:cs="Times New Roman"/>
          <w:sz w:val="24"/>
          <w:szCs w:val="24"/>
          <w:lang w:val="en-US"/>
        </w:rPr>
        <w:t xml:space="preserve">(first enclosure period) </w:t>
      </w:r>
      <w:r>
        <w:rPr>
          <w:rFonts w:ascii="Times New Roman" w:hAnsi="Times New Roman" w:cs="Times New Roman"/>
          <w:sz w:val="24"/>
          <w:szCs w:val="24"/>
          <w:lang w:val="en-US"/>
        </w:rPr>
        <w:t>versus</w:t>
      </w:r>
      <w:r w:rsidRPr="00A27CF9">
        <w:rPr>
          <w:rFonts w:ascii="Times New Roman" w:hAnsi="Times New Roman" w:cs="Times New Roman"/>
          <w:sz w:val="24"/>
          <w:szCs w:val="24"/>
          <w:lang w:val="en-US"/>
        </w:rPr>
        <w:t xml:space="preserve"> the </w:t>
      </w:r>
      <w:r w:rsidR="00B15763">
        <w:rPr>
          <w:rFonts w:ascii="Times New Roman" w:hAnsi="Times New Roman" w:cs="Times New Roman"/>
          <w:sz w:val="24"/>
          <w:szCs w:val="24"/>
          <w:lang w:val="en-US"/>
        </w:rPr>
        <w:t>second enclosure</w:t>
      </w:r>
      <w:r w:rsidRPr="00A27CF9">
        <w:rPr>
          <w:rFonts w:ascii="Times New Roman" w:hAnsi="Times New Roman" w:cs="Times New Roman"/>
          <w:sz w:val="24"/>
          <w:szCs w:val="24"/>
          <w:lang w:val="en-US"/>
        </w:rPr>
        <w:t xml:space="preserve"> period</w:t>
      </w:r>
      <w:r w:rsidR="00EC5B52">
        <w:rPr>
          <w:rFonts w:ascii="Times New Roman" w:hAnsi="Times New Roman" w:cs="Times New Roman"/>
          <w:sz w:val="24"/>
          <w:szCs w:val="24"/>
          <w:lang w:val="en-US"/>
        </w:rPr>
        <w:t>.</w:t>
      </w:r>
    </w:p>
    <w:p w14:paraId="3E2CB6D6" w14:textId="30AC0531" w:rsidR="00C007AE" w:rsidRDefault="00C007AE" w:rsidP="00C007AE">
      <w:pPr>
        <w:pStyle w:val="Normal1"/>
        <w:spacing w:line="360" w:lineRule="auto"/>
        <w:ind w:left="360" w:right="360"/>
        <w:rPr>
          <w:rFonts w:ascii="Times New Roman" w:hAnsi="Times New Roman" w:cs="Times New Roman"/>
          <w:lang w:val="en-US"/>
        </w:rPr>
      </w:pPr>
      <w:r w:rsidRPr="002313B4">
        <w:rPr>
          <w:rFonts w:ascii="Times New Roman" w:hAnsi="Times New Roman" w:cs="Times New Roman"/>
          <w:lang w:val="en-US"/>
        </w:rPr>
        <w:t xml:space="preserve">Points are means of laboratory duplicates and error </w:t>
      </w:r>
      <w:r w:rsidR="00E35390">
        <w:rPr>
          <w:rFonts w:ascii="Times New Roman" w:hAnsi="Times New Roman" w:cs="Times New Roman"/>
          <w:lang w:val="en-US"/>
        </w:rPr>
        <w:t>bars are the min</w:t>
      </w:r>
      <w:r w:rsidR="00EC5B52">
        <w:rPr>
          <w:rFonts w:ascii="Times New Roman" w:hAnsi="Times New Roman" w:cs="Times New Roman"/>
          <w:lang w:val="en-US"/>
        </w:rPr>
        <w:t>.</w:t>
      </w:r>
      <w:r w:rsidR="00E35390">
        <w:rPr>
          <w:rFonts w:ascii="Times New Roman" w:hAnsi="Times New Roman" w:cs="Times New Roman"/>
          <w:lang w:val="en-US"/>
        </w:rPr>
        <w:t xml:space="preserve"> and max.</w:t>
      </w:r>
      <w:r w:rsidR="00EC5B52">
        <w:rPr>
          <w:rFonts w:ascii="Times New Roman" w:hAnsi="Times New Roman" w:cs="Times New Roman"/>
          <w:lang w:val="en-US"/>
        </w:rPr>
        <w:t>.</w:t>
      </w:r>
      <w:r w:rsidR="00E35390">
        <w:rPr>
          <w:rFonts w:ascii="Times New Roman" w:hAnsi="Times New Roman" w:cs="Times New Roman"/>
          <w:lang w:val="en-US"/>
        </w:rPr>
        <w:t xml:space="preserve"> Note that</w:t>
      </w:r>
      <w:r w:rsidRPr="002313B4">
        <w:rPr>
          <w:rFonts w:ascii="Times New Roman" w:hAnsi="Times New Roman" w:cs="Times New Roman"/>
          <w:lang w:val="en-US"/>
        </w:rPr>
        <w:t xml:space="preserve"> Δ</w:t>
      </w:r>
      <w:r w:rsidRPr="002E304F">
        <w:rPr>
          <w:rFonts w:ascii="Times New Roman" w:hAnsi="Times New Roman" w:cs="Times New Roman"/>
          <w:vertAlign w:val="superscript"/>
          <w:lang w:val="en-US"/>
        </w:rPr>
        <w:t>14</w:t>
      </w:r>
      <w:r w:rsidRPr="002313B4">
        <w:rPr>
          <w:rFonts w:ascii="Times New Roman" w:hAnsi="Times New Roman" w:cs="Times New Roman"/>
          <w:lang w:val="en-US"/>
        </w:rPr>
        <w:t>C</w:t>
      </w:r>
      <w:r>
        <w:rPr>
          <w:rFonts w:ascii="Times New Roman" w:hAnsi="Times New Roman" w:cs="Times New Roman"/>
          <w:lang w:val="en-US"/>
        </w:rPr>
        <w:t>-CO</w:t>
      </w:r>
      <w:r w:rsidRPr="002E304F">
        <w:rPr>
          <w:rFonts w:ascii="Times New Roman" w:hAnsi="Times New Roman" w:cs="Times New Roman"/>
          <w:vertAlign w:val="subscript"/>
          <w:lang w:val="en-US"/>
        </w:rPr>
        <w:t>2</w:t>
      </w:r>
      <w:r>
        <w:rPr>
          <w:rFonts w:ascii="Times New Roman" w:hAnsi="Times New Roman" w:cs="Times New Roman"/>
          <w:lang w:val="en-US"/>
        </w:rPr>
        <w:t xml:space="preserve"> </w:t>
      </w:r>
      <w:r w:rsidRPr="002313B4">
        <w:rPr>
          <w:rFonts w:ascii="Times New Roman" w:hAnsi="Times New Roman" w:cs="Times New Roman"/>
          <w:lang w:val="en-US"/>
        </w:rPr>
        <w:t xml:space="preserve">was not measured for </w:t>
      </w:r>
      <w:r w:rsidR="00E35390">
        <w:rPr>
          <w:rFonts w:ascii="Times New Roman" w:hAnsi="Times New Roman" w:cs="Times New Roman"/>
          <w:lang w:val="en-US"/>
        </w:rPr>
        <w:t xml:space="preserve">the first enclosure period </w:t>
      </w:r>
      <w:r w:rsidR="00B15763">
        <w:rPr>
          <w:rFonts w:ascii="Times New Roman" w:hAnsi="Times New Roman" w:cs="Times New Roman"/>
          <w:lang w:val="en-US"/>
        </w:rPr>
        <w:t xml:space="preserve">(rewetting pulse) </w:t>
      </w:r>
      <w:r w:rsidR="00E35390">
        <w:rPr>
          <w:rFonts w:ascii="Times New Roman" w:hAnsi="Times New Roman" w:cs="Times New Roman"/>
          <w:lang w:val="en-US"/>
        </w:rPr>
        <w:t xml:space="preserve">in </w:t>
      </w:r>
      <w:r w:rsidRPr="002313B4">
        <w:rPr>
          <w:rFonts w:ascii="Times New Roman" w:hAnsi="Times New Roman" w:cs="Times New Roman"/>
          <w:lang w:val="en-US"/>
        </w:rPr>
        <w:t>control-1 samples; additionally samples from three of the forest plots of</w:t>
      </w:r>
      <w:r>
        <w:rPr>
          <w:rFonts w:ascii="Times New Roman" w:hAnsi="Times New Roman" w:cs="Times New Roman"/>
          <w:lang w:val="en-US"/>
        </w:rPr>
        <w:t xml:space="preserve"> </w:t>
      </w:r>
      <w:r w:rsidRPr="002313B4">
        <w:rPr>
          <w:rFonts w:ascii="Times New Roman" w:hAnsi="Times New Roman" w:cs="Times New Roman"/>
          <w:lang w:val="en-US"/>
        </w:rPr>
        <w:t xml:space="preserve">the </w:t>
      </w:r>
      <w:r>
        <w:rPr>
          <w:rFonts w:ascii="Times New Roman" w:hAnsi="Times New Roman" w:cs="Times New Roman"/>
          <w:lang w:val="en-US"/>
        </w:rPr>
        <w:t>air-dry/rewet + storage</w:t>
      </w:r>
      <w:r w:rsidRPr="002313B4">
        <w:rPr>
          <w:rFonts w:ascii="Times New Roman" w:hAnsi="Times New Roman" w:cs="Times New Roman"/>
          <w:lang w:val="en-US"/>
        </w:rPr>
        <w:t xml:space="preserve"> samples from Experiment 1 failed to accumulate enough CO</w:t>
      </w:r>
      <w:r w:rsidRPr="00E35390">
        <w:rPr>
          <w:rFonts w:ascii="Times New Roman" w:hAnsi="Times New Roman" w:cs="Times New Roman"/>
          <w:vertAlign w:val="subscript"/>
          <w:lang w:val="en-US"/>
        </w:rPr>
        <w:t>2</w:t>
      </w:r>
      <w:r w:rsidRPr="002313B4">
        <w:rPr>
          <w:rFonts w:ascii="Times New Roman" w:hAnsi="Times New Roman" w:cs="Times New Roman"/>
          <w:lang w:val="en-US"/>
        </w:rPr>
        <w:t xml:space="preserve"> during </w:t>
      </w:r>
      <w:r w:rsidR="00B15763">
        <w:rPr>
          <w:rFonts w:ascii="Times New Roman" w:hAnsi="Times New Roman" w:cs="Times New Roman"/>
          <w:lang w:val="en-US"/>
        </w:rPr>
        <w:t>this p</w:t>
      </w:r>
      <w:r w:rsidRPr="002313B4">
        <w:rPr>
          <w:rFonts w:ascii="Times New Roman" w:hAnsi="Times New Roman" w:cs="Times New Roman"/>
          <w:lang w:val="en-US"/>
        </w:rPr>
        <w:t>eriod to measure Δ</w:t>
      </w:r>
      <w:r w:rsidRPr="00E35390">
        <w:rPr>
          <w:rFonts w:ascii="Times New Roman" w:hAnsi="Times New Roman" w:cs="Times New Roman"/>
          <w:vertAlign w:val="superscript"/>
          <w:lang w:val="en-US"/>
        </w:rPr>
        <w:t>14</w:t>
      </w:r>
      <w:r w:rsidRPr="002313B4">
        <w:rPr>
          <w:rFonts w:ascii="Times New Roman" w:hAnsi="Times New Roman" w:cs="Times New Roman"/>
          <w:lang w:val="en-US"/>
        </w:rPr>
        <w:t>C</w:t>
      </w:r>
      <w:r w:rsidR="00E35390">
        <w:rPr>
          <w:rFonts w:ascii="Times New Roman" w:hAnsi="Times New Roman" w:cs="Times New Roman"/>
          <w:lang w:val="en-US"/>
        </w:rPr>
        <w:t>-CO</w:t>
      </w:r>
      <w:r w:rsidR="00E35390" w:rsidRPr="00E35390">
        <w:rPr>
          <w:rFonts w:ascii="Times New Roman" w:hAnsi="Times New Roman" w:cs="Times New Roman"/>
          <w:vertAlign w:val="subscript"/>
          <w:lang w:val="en-US"/>
        </w:rPr>
        <w:t>2</w:t>
      </w:r>
      <w:r w:rsidRPr="002313B4">
        <w:rPr>
          <w:rFonts w:ascii="Times New Roman" w:hAnsi="Times New Roman" w:cs="Times New Roman"/>
          <w:lang w:val="en-US"/>
        </w:rPr>
        <w:t>.</w:t>
      </w:r>
    </w:p>
    <w:p w14:paraId="0FA0D438" w14:textId="414F15DB" w:rsidR="00E94AB8" w:rsidRPr="00E94AB8" w:rsidRDefault="00E94AB8" w:rsidP="00E94AB8">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note that d</w:t>
      </w:r>
      <w:r w:rsidRPr="00C27016">
        <w:rPr>
          <w:rFonts w:ascii="Times New Roman" w:hAnsi="Times New Roman" w:cs="Times New Roman"/>
          <w:sz w:val="24"/>
          <w:szCs w:val="24"/>
        </w:rPr>
        <w:t xml:space="preserve">ue to lower respiration rates during </w:t>
      </w:r>
      <w:r>
        <w:rPr>
          <w:rFonts w:ascii="Times New Roman" w:hAnsi="Times New Roman" w:cs="Times New Roman"/>
          <w:sz w:val="24"/>
          <w:szCs w:val="24"/>
        </w:rPr>
        <w:t>the first enclosure period</w:t>
      </w:r>
      <w:r w:rsidRPr="00C27016">
        <w:rPr>
          <w:rFonts w:ascii="Times New Roman" w:hAnsi="Times New Roman" w:cs="Times New Roman"/>
          <w:sz w:val="24"/>
          <w:szCs w:val="24"/>
        </w:rPr>
        <w:t xml:space="preserve"> only three of the six </w:t>
      </w:r>
      <w:r>
        <w:rPr>
          <w:rFonts w:ascii="Times New Roman" w:hAnsi="Times New Roman" w:cs="Times New Roman"/>
          <w:sz w:val="24"/>
          <w:szCs w:val="24"/>
        </w:rPr>
        <w:t>forest soils in the air-dry/rewet + storage</w:t>
      </w:r>
      <w:r w:rsidRPr="00C27016">
        <w:rPr>
          <w:rFonts w:ascii="Times New Roman" w:hAnsi="Times New Roman" w:cs="Times New Roman"/>
          <w:sz w:val="24"/>
          <w:szCs w:val="24"/>
        </w:rPr>
        <w:t xml:space="preserve"> treatment </w:t>
      </w:r>
      <w:r>
        <w:rPr>
          <w:rFonts w:ascii="Times New Roman" w:hAnsi="Times New Roman" w:cs="Times New Roman"/>
          <w:sz w:val="24"/>
          <w:szCs w:val="24"/>
        </w:rPr>
        <w:t>group from</w:t>
      </w:r>
      <w:r w:rsidRPr="00C27016">
        <w:rPr>
          <w:rFonts w:ascii="Times New Roman" w:hAnsi="Times New Roman" w:cs="Times New Roman"/>
          <w:sz w:val="24"/>
          <w:szCs w:val="24"/>
        </w:rPr>
        <w:t xml:space="preserve"> Experiment 1 (Fig. 2) generated enough 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to measure the radiocarbon content. In addition, it was not possible to compare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across enclosure periods </w:t>
      </w:r>
      <w:r w:rsidRPr="00C27016">
        <w:rPr>
          <w:rFonts w:ascii="Times New Roman" w:eastAsia="Arial Unicode MS" w:hAnsi="Times New Roman" w:cs="Times New Roman"/>
          <w:sz w:val="24"/>
          <w:szCs w:val="24"/>
        </w:rPr>
        <w:t>for the control-1 samples</w:t>
      </w:r>
      <w:r>
        <w:rPr>
          <w:rFonts w:ascii="Times New Roman" w:eastAsia="Arial Unicode MS" w:hAnsi="Times New Roman" w:cs="Times New Roman"/>
          <w:sz w:val="24"/>
          <w:szCs w:val="24"/>
        </w:rPr>
        <w:t xml:space="preserve"> as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of the first enclosure period was not measurred in 2011.</w:t>
      </w:r>
    </w:p>
    <w:p w14:paraId="546F0FCD" w14:textId="5ACDE2D8" w:rsidR="00C007AE" w:rsidRPr="00C27016" w:rsidRDefault="00AC03EB" w:rsidP="00C007AE">
      <w:pPr>
        <w:pStyle w:val="Normal1"/>
        <w:spacing w:before="120" w:line="360" w:lineRule="auto"/>
        <w:rPr>
          <w:rFonts w:ascii="Times New Roman" w:hAnsi="Times New Roman" w:cs="Times New Roman"/>
          <w:color w:val="333333"/>
          <w:sz w:val="24"/>
          <w:szCs w:val="24"/>
          <w:highlight w:val="white"/>
        </w:rPr>
      </w:pPr>
      <w:r>
        <w:rPr>
          <w:rFonts w:ascii="Times New Roman" w:hAnsi="Times New Roman" w:cs="Times New Roman"/>
          <w:color w:val="333333"/>
          <w:sz w:val="24"/>
          <w:szCs w:val="24"/>
          <w:highlight w:val="white"/>
        </w:rPr>
        <w:t xml:space="preserve">We </w:t>
      </w:r>
      <w:r w:rsidR="00C007AE" w:rsidRPr="00C27016">
        <w:rPr>
          <w:rFonts w:ascii="Times New Roman" w:hAnsi="Times New Roman" w:cs="Times New Roman"/>
          <w:color w:val="333333"/>
          <w:sz w:val="24"/>
          <w:szCs w:val="24"/>
          <w:highlight w:val="white"/>
        </w:rPr>
        <w:t>observe</w:t>
      </w:r>
      <w:r>
        <w:rPr>
          <w:rFonts w:ascii="Times New Roman" w:hAnsi="Times New Roman" w:cs="Times New Roman"/>
          <w:color w:val="333333"/>
          <w:sz w:val="24"/>
          <w:szCs w:val="24"/>
          <w:highlight w:val="white"/>
        </w:rPr>
        <w:t>d</w:t>
      </w:r>
      <w:r w:rsidR="00C007AE" w:rsidRPr="00C27016">
        <w:rPr>
          <w:rFonts w:ascii="Times New Roman" w:hAnsi="Times New Roman" w:cs="Times New Roman"/>
          <w:color w:val="333333"/>
          <w:sz w:val="24"/>
          <w:szCs w:val="24"/>
          <w:highlight w:val="white"/>
        </w:rPr>
        <w:t xml:space="preserve"> significant differences between the δ</w:t>
      </w:r>
      <w:r w:rsidR="00C007AE" w:rsidRPr="00C27016">
        <w:rPr>
          <w:rFonts w:ascii="Times New Roman" w:hAnsi="Times New Roman" w:cs="Times New Roman"/>
          <w:color w:val="333333"/>
          <w:sz w:val="24"/>
          <w:szCs w:val="24"/>
          <w:highlight w:val="white"/>
          <w:vertAlign w:val="superscript"/>
        </w:rPr>
        <w:t>13</w:t>
      </w:r>
      <w:r w:rsidR="00C007AE" w:rsidRPr="00C27016">
        <w:rPr>
          <w:rFonts w:ascii="Times New Roman" w:hAnsi="Times New Roman" w:cs="Times New Roman"/>
          <w:color w:val="333333"/>
          <w:sz w:val="24"/>
          <w:szCs w:val="24"/>
          <w:highlight w:val="white"/>
        </w:rPr>
        <w:t>C-CO</w:t>
      </w:r>
      <w:r w:rsidR="00C007AE" w:rsidRPr="00C27016">
        <w:rPr>
          <w:rFonts w:ascii="Times New Roman" w:hAnsi="Times New Roman" w:cs="Times New Roman"/>
          <w:color w:val="333333"/>
          <w:sz w:val="24"/>
          <w:szCs w:val="24"/>
          <w:highlight w:val="white"/>
          <w:vertAlign w:val="subscript"/>
        </w:rPr>
        <w:t>2</w:t>
      </w:r>
      <w:r w:rsidR="00E35390">
        <w:rPr>
          <w:rFonts w:ascii="Times New Roman" w:hAnsi="Times New Roman" w:cs="Times New Roman"/>
          <w:color w:val="333333"/>
          <w:sz w:val="24"/>
          <w:szCs w:val="24"/>
          <w:highlight w:val="white"/>
        </w:rPr>
        <w:t xml:space="preserve"> of the first enclosure period</w:t>
      </w:r>
      <w:r w:rsidR="00C007AE" w:rsidRPr="00C27016">
        <w:rPr>
          <w:rFonts w:ascii="Times New Roman" w:hAnsi="Times New Roman" w:cs="Times New Roman"/>
          <w:color w:val="333333"/>
          <w:sz w:val="24"/>
          <w:szCs w:val="24"/>
          <w:highlight w:val="white"/>
        </w:rPr>
        <w:t xml:space="preserve"> and </w:t>
      </w:r>
      <w:r>
        <w:rPr>
          <w:rFonts w:ascii="Times New Roman" w:hAnsi="Times New Roman" w:cs="Times New Roman"/>
          <w:color w:val="333333"/>
          <w:sz w:val="24"/>
          <w:szCs w:val="24"/>
          <w:highlight w:val="white"/>
        </w:rPr>
        <w:t>that of the second enclosure period for</w:t>
      </w:r>
      <w:r w:rsidR="00C007AE" w:rsidRPr="00C27016">
        <w:rPr>
          <w:rFonts w:ascii="Times New Roman" w:hAnsi="Times New Roman" w:cs="Times New Roman"/>
          <w:color w:val="333333"/>
          <w:sz w:val="24"/>
          <w:szCs w:val="24"/>
          <w:highlight w:val="white"/>
        </w:rPr>
        <w:t xml:space="preserve"> the</w:t>
      </w:r>
      <w:r w:rsidR="00FA494F">
        <w:rPr>
          <w:rFonts w:ascii="Times New Roman" w:hAnsi="Times New Roman" w:cs="Times New Roman"/>
          <w:color w:val="333333"/>
          <w:sz w:val="24"/>
          <w:szCs w:val="24"/>
          <w:highlight w:val="white"/>
        </w:rPr>
        <w:t xml:space="preserve"> forest soils in the </w:t>
      </w:r>
      <w:r w:rsidR="00C007AE">
        <w:rPr>
          <w:rFonts w:ascii="Times New Roman" w:hAnsi="Times New Roman" w:cs="Times New Roman"/>
          <w:color w:val="333333"/>
          <w:sz w:val="24"/>
          <w:szCs w:val="24"/>
          <w:highlight w:val="white"/>
        </w:rPr>
        <w:t>air-dry/rewet + storage</w:t>
      </w:r>
      <w:r w:rsidR="00C007AE" w:rsidRPr="00C27016">
        <w:rPr>
          <w:rFonts w:ascii="Times New Roman" w:hAnsi="Times New Roman" w:cs="Times New Roman"/>
          <w:color w:val="333333"/>
          <w:sz w:val="24"/>
          <w:szCs w:val="24"/>
          <w:highlight w:val="white"/>
        </w:rPr>
        <w:t xml:space="preserve"> </w:t>
      </w:r>
      <w:r w:rsidR="00FA494F">
        <w:rPr>
          <w:rFonts w:ascii="Times New Roman" w:hAnsi="Times New Roman" w:cs="Times New Roman"/>
          <w:color w:val="333333"/>
          <w:sz w:val="24"/>
          <w:szCs w:val="24"/>
          <w:highlight w:val="white"/>
        </w:rPr>
        <w:t>treatment</w:t>
      </w:r>
      <w:r w:rsidR="00C007AE" w:rsidRPr="00C27016">
        <w:rPr>
          <w:rFonts w:ascii="Times New Roman" w:hAnsi="Times New Roman" w:cs="Times New Roman"/>
          <w:color w:val="333333"/>
          <w:sz w:val="24"/>
          <w:szCs w:val="24"/>
          <w:highlight w:val="white"/>
        </w:rPr>
        <w:t xml:space="preserve"> </w:t>
      </w:r>
      <w:r w:rsidR="00FA494F">
        <w:rPr>
          <w:rFonts w:ascii="Times New Roman" w:hAnsi="Times New Roman" w:cs="Times New Roman"/>
          <w:color w:val="333333"/>
          <w:sz w:val="24"/>
          <w:szCs w:val="24"/>
          <w:highlight w:val="white"/>
        </w:rPr>
        <w:t xml:space="preserve">group </w:t>
      </w:r>
      <w:r w:rsidR="00C007AE" w:rsidRPr="00C27016">
        <w:rPr>
          <w:rFonts w:ascii="Times New Roman" w:hAnsi="Times New Roman" w:cs="Times New Roman"/>
          <w:color w:val="333333"/>
          <w:sz w:val="24"/>
          <w:szCs w:val="24"/>
          <w:highlight w:val="white"/>
        </w:rPr>
        <w:t>in Experiment 1</w:t>
      </w:r>
      <w:r w:rsidR="00FA494F">
        <w:rPr>
          <w:rFonts w:ascii="Times New Roman" w:hAnsi="Times New Roman" w:cs="Times New Roman"/>
          <w:color w:val="333333"/>
          <w:sz w:val="24"/>
          <w:szCs w:val="24"/>
          <w:highlight w:val="white"/>
        </w:rPr>
        <w:t xml:space="preserve"> (mean difference = -1.16</w:t>
      </w:r>
      <w:r w:rsidR="00FA494F" w:rsidRPr="00C27016">
        <w:rPr>
          <w:rFonts w:ascii="Times New Roman" w:hAnsi="Times New Roman" w:cs="Times New Roman"/>
          <w:sz w:val="24"/>
          <w:szCs w:val="24"/>
        </w:rPr>
        <w:t>‰</w:t>
      </w:r>
      <w:r w:rsidR="00FA494F">
        <w:rPr>
          <w:rFonts w:ascii="Times New Roman" w:hAnsi="Times New Roman" w:cs="Times New Roman"/>
          <w:color w:val="333333"/>
          <w:sz w:val="24"/>
          <w:szCs w:val="24"/>
          <w:highlight w:val="white"/>
        </w:rPr>
        <w:t>, 95% CI = [-1.69</w:t>
      </w:r>
      <w:r w:rsidR="00FA494F" w:rsidRPr="00C27016">
        <w:rPr>
          <w:rFonts w:ascii="Times New Roman" w:hAnsi="Times New Roman" w:cs="Times New Roman"/>
          <w:sz w:val="24"/>
          <w:szCs w:val="24"/>
        </w:rPr>
        <w:t>‰</w:t>
      </w:r>
      <w:r w:rsidR="00FA494F">
        <w:rPr>
          <w:rFonts w:ascii="Times New Roman" w:hAnsi="Times New Roman" w:cs="Times New Roman"/>
          <w:color w:val="333333"/>
          <w:sz w:val="24"/>
          <w:szCs w:val="24"/>
          <w:highlight w:val="white"/>
        </w:rPr>
        <w:t>, -0.63</w:t>
      </w:r>
      <w:r w:rsidR="00FA494F" w:rsidRPr="00C27016">
        <w:rPr>
          <w:rFonts w:ascii="Times New Roman" w:hAnsi="Times New Roman" w:cs="Times New Roman"/>
          <w:sz w:val="24"/>
          <w:szCs w:val="24"/>
        </w:rPr>
        <w:t>‰</w:t>
      </w:r>
      <w:r w:rsidR="00FA494F">
        <w:rPr>
          <w:rFonts w:ascii="Times New Roman" w:hAnsi="Times New Roman" w:cs="Times New Roman"/>
          <w:color w:val="333333"/>
          <w:sz w:val="24"/>
          <w:szCs w:val="24"/>
          <w:highlight w:val="white"/>
        </w:rPr>
        <w:t>]) and the grassland soils in the control group in Experiment 2 (mean difference = 0.85</w:t>
      </w:r>
      <w:r w:rsidR="00FA494F" w:rsidRPr="00C27016">
        <w:rPr>
          <w:rFonts w:ascii="Times New Roman" w:hAnsi="Times New Roman" w:cs="Times New Roman"/>
          <w:sz w:val="24"/>
          <w:szCs w:val="24"/>
        </w:rPr>
        <w:t>‰</w:t>
      </w:r>
      <w:r w:rsidR="00FA494F">
        <w:rPr>
          <w:rFonts w:ascii="Times New Roman" w:hAnsi="Times New Roman" w:cs="Times New Roman"/>
          <w:color w:val="333333"/>
          <w:sz w:val="24"/>
          <w:szCs w:val="24"/>
          <w:highlight w:val="white"/>
        </w:rPr>
        <w:t>, 95% CI = [0.64</w:t>
      </w:r>
      <w:r w:rsidR="00FA494F" w:rsidRPr="00C27016">
        <w:rPr>
          <w:rFonts w:ascii="Times New Roman" w:hAnsi="Times New Roman" w:cs="Times New Roman"/>
          <w:sz w:val="24"/>
          <w:szCs w:val="24"/>
        </w:rPr>
        <w:t>‰</w:t>
      </w:r>
      <w:r w:rsidR="00FA494F">
        <w:rPr>
          <w:rFonts w:ascii="Times New Roman" w:hAnsi="Times New Roman" w:cs="Times New Roman"/>
          <w:color w:val="333333"/>
          <w:sz w:val="24"/>
          <w:szCs w:val="24"/>
          <w:highlight w:val="white"/>
        </w:rPr>
        <w:t>, 1.07</w:t>
      </w:r>
      <w:r w:rsidR="00FA494F" w:rsidRPr="00C27016">
        <w:rPr>
          <w:rFonts w:ascii="Times New Roman" w:hAnsi="Times New Roman" w:cs="Times New Roman"/>
          <w:sz w:val="24"/>
          <w:szCs w:val="24"/>
        </w:rPr>
        <w:t>‰</w:t>
      </w:r>
      <w:r w:rsidR="00FA494F">
        <w:rPr>
          <w:rFonts w:ascii="Times New Roman" w:hAnsi="Times New Roman" w:cs="Times New Roman"/>
          <w:color w:val="333333"/>
          <w:sz w:val="24"/>
          <w:szCs w:val="24"/>
          <w:highlight w:val="white"/>
        </w:rPr>
        <w:t xml:space="preserve">]) </w:t>
      </w:r>
      <w:r w:rsidR="00C007AE">
        <w:rPr>
          <w:rFonts w:ascii="Times New Roman" w:hAnsi="Times New Roman" w:cs="Times New Roman"/>
          <w:color w:val="333333"/>
          <w:sz w:val="24"/>
          <w:szCs w:val="24"/>
          <w:highlight w:val="white"/>
        </w:rPr>
        <w:t>(Supplemental Fig. 2)</w:t>
      </w:r>
      <w:r w:rsidR="00C007AE" w:rsidRPr="00C27016">
        <w:rPr>
          <w:rFonts w:ascii="Times New Roman" w:hAnsi="Times New Roman" w:cs="Times New Roman"/>
          <w:color w:val="333333"/>
          <w:sz w:val="24"/>
          <w:szCs w:val="24"/>
          <w:highlight w:val="white"/>
        </w:rPr>
        <w:t xml:space="preserve">. </w:t>
      </w:r>
      <w:r w:rsidR="00C007AE">
        <w:rPr>
          <w:rFonts w:ascii="Times New Roman" w:eastAsia="Arial Unicode MS" w:hAnsi="Times New Roman" w:cs="Times New Roman"/>
          <w:color w:val="333333"/>
          <w:sz w:val="24"/>
          <w:szCs w:val="24"/>
          <w:highlight w:val="white"/>
        </w:rPr>
        <w:t>Note that a</w:t>
      </w:r>
      <w:r w:rsidR="00C007AE" w:rsidRPr="00C27016">
        <w:rPr>
          <w:rFonts w:ascii="Times New Roman" w:eastAsia="Arial Unicode MS" w:hAnsi="Times New Roman" w:cs="Times New Roman"/>
          <w:color w:val="333333"/>
          <w:sz w:val="24"/>
          <w:szCs w:val="24"/>
          <w:highlight w:val="white"/>
        </w:rPr>
        <w:t>s with ∆</w:t>
      </w:r>
      <w:r w:rsidR="00C007AE" w:rsidRPr="00C27016">
        <w:rPr>
          <w:rFonts w:ascii="Times New Roman" w:hAnsi="Times New Roman" w:cs="Times New Roman"/>
          <w:color w:val="333333"/>
          <w:sz w:val="24"/>
          <w:szCs w:val="24"/>
          <w:highlight w:val="white"/>
          <w:vertAlign w:val="superscript"/>
        </w:rPr>
        <w:t>14</w:t>
      </w:r>
      <w:r w:rsidR="00C007AE" w:rsidRPr="00C27016">
        <w:rPr>
          <w:rFonts w:ascii="Times New Roman" w:hAnsi="Times New Roman" w:cs="Times New Roman"/>
          <w:color w:val="333333"/>
          <w:sz w:val="24"/>
          <w:szCs w:val="24"/>
          <w:highlight w:val="white"/>
        </w:rPr>
        <w:t>C, δ</w:t>
      </w:r>
      <w:r w:rsidR="00C007AE" w:rsidRPr="00C27016">
        <w:rPr>
          <w:rFonts w:ascii="Times New Roman" w:hAnsi="Times New Roman" w:cs="Times New Roman"/>
          <w:color w:val="333333"/>
          <w:sz w:val="24"/>
          <w:szCs w:val="24"/>
          <w:highlight w:val="white"/>
          <w:vertAlign w:val="superscript"/>
        </w:rPr>
        <w:t>13</w:t>
      </w:r>
      <w:r w:rsidR="00C007AE" w:rsidRPr="00C27016">
        <w:rPr>
          <w:rFonts w:ascii="Times New Roman" w:hAnsi="Times New Roman" w:cs="Times New Roman"/>
          <w:color w:val="333333"/>
          <w:sz w:val="24"/>
          <w:szCs w:val="24"/>
          <w:highlight w:val="white"/>
        </w:rPr>
        <w:t>C-CO</w:t>
      </w:r>
      <w:r w:rsidR="00C007AE" w:rsidRPr="00C27016">
        <w:rPr>
          <w:rFonts w:ascii="Times New Roman" w:hAnsi="Times New Roman" w:cs="Times New Roman"/>
          <w:color w:val="333333"/>
          <w:sz w:val="24"/>
          <w:szCs w:val="24"/>
          <w:highlight w:val="white"/>
          <w:vertAlign w:val="subscript"/>
        </w:rPr>
        <w:t>2</w:t>
      </w:r>
      <w:r w:rsidR="00C007AE" w:rsidRPr="00C27016">
        <w:rPr>
          <w:rFonts w:ascii="Times New Roman" w:hAnsi="Times New Roman" w:cs="Times New Roman"/>
          <w:color w:val="333333"/>
          <w:sz w:val="24"/>
          <w:szCs w:val="24"/>
          <w:highlight w:val="white"/>
        </w:rPr>
        <w:t xml:space="preserve"> </w:t>
      </w:r>
      <w:r w:rsidR="00FA494F">
        <w:rPr>
          <w:rFonts w:ascii="Times New Roman" w:hAnsi="Times New Roman" w:cs="Times New Roman"/>
          <w:color w:val="333333"/>
          <w:sz w:val="24"/>
          <w:szCs w:val="24"/>
          <w:highlight w:val="white"/>
        </w:rPr>
        <w:t>was not</w:t>
      </w:r>
      <w:r w:rsidR="00C007AE">
        <w:rPr>
          <w:rFonts w:ascii="Times New Roman" w:hAnsi="Times New Roman" w:cs="Times New Roman"/>
          <w:color w:val="333333"/>
          <w:sz w:val="24"/>
          <w:szCs w:val="24"/>
          <w:highlight w:val="white"/>
        </w:rPr>
        <w:t xml:space="preserve"> measured </w:t>
      </w:r>
      <w:r w:rsidR="00FA494F">
        <w:rPr>
          <w:rFonts w:ascii="Times New Roman" w:hAnsi="Times New Roman" w:cs="Times New Roman"/>
          <w:color w:val="333333"/>
          <w:sz w:val="24"/>
          <w:szCs w:val="24"/>
          <w:highlight w:val="white"/>
        </w:rPr>
        <w:t xml:space="preserve">for the first enclosure period of </w:t>
      </w:r>
      <w:r w:rsidR="00C007AE">
        <w:rPr>
          <w:rFonts w:ascii="Times New Roman" w:hAnsi="Times New Roman" w:cs="Times New Roman"/>
          <w:color w:val="333333"/>
          <w:sz w:val="24"/>
          <w:szCs w:val="24"/>
          <w:highlight w:val="white"/>
        </w:rPr>
        <w:t>control-1</w:t>
      </w:r>
      <w:r w:rsidR="00FA494F">
        <w:rPr>
          <w:rFonts w:ascii="Times New Roman" w:hAnsi="Times New Roman" w:cs="Times New Roman"/>
          <w:color w:val="333333"/>
          <w:sz w:val="24"/>
          <w:szCs w:val="24"/>
          <w:highlight w:val="white"/>
        </w:rPr>
        <w:t xml:space="preserve"> incubations</w:t>
      </w:r>
      <w:r w:rsidR="00C007AE" w:rsidRPr="00C27016">
        <w:rPr>
          <w:rFonts w:ascii="Times New Roman" w:hAnsi="Times New Roman" w:cs="Times New Roman"/>
          <w:color w:val="333333"/>
          <w:sz w:val="24"/>
          <w:szCs w:val="24"/>
          <w:highlight w:val="white"/>
        </w:rPr>
        <w:t>.</w:t>
      </w:r>
    </w:p>
    <w:p w14:paraId="43BE0011" w14:textId="35C91A91" w:rsidR="00C007AE" w:rsidRPr="009C7043" w:rsidRDefault="00C007AE" w:rsidP="00C007AE">
      <w:pPr>
        <w:pStyle w:val="Normal1"/>
        <w:spacing w:before="240" w:after="120" w:line="360" w:lineRule="auto"/>
        <w:ind w:left="720"/>
        <w:rPr>
          <w:rFonts w:ascii="Times New Roman" w:hAnsi="Times New Roman" w:cs="Times New Roman"/>
          <w:sz w:val="24"/>
          <w:szCs w:val="24"/>
        </w:rPr>
      </w:pPr>
      <w:r w:rsidRPr="00C27016">
        <w:rPr>
          <w:rFonts w:ascii="Times New Roman" w:hAnsi="Times New Roman" w:cs="Times New Roman"/>
          <w:sz w:val="24"/>
          <w:szCs w:val="24"/>
        </w:rPr>
        <w:t>3.3</w:t>
      </w:r>
      <w:r>
        <w:rPr>
          <w:rFonts w:ascii="Times New Roman" w:hAnsi="Times New Roman" w:cs="Times New Roman"/>
          <w:sz w:val="24"/>
          <w:szCs w:val="24"/>
        </w:rPr>
        <w:t>.</w:t>
      </w:r>
      <w:r w:rsidRPr="00C27016">
        <w:rPr>
          <w:rFonts w:ascii="Times New Roman" w:hAnsi="Times New Roman" w:cs="Times New Roman"/>
          <w:sz w:val="24"/>
          <w:szCs w:val="24"/>
        </w:rPr>
        <w:t xml:space="preserve"> Overall treatment effects on </w:t>
      </w:r>
      <w:r w:rsidR="00E10481">
        <w:rPr>
          <w:rFonts w:ascii="Times New Roman" w:hAnsi="Times New Roman" w:cs="Times New Roman"/>
          <w:sz w:val="24"/>
          <w:szCs w:val="24"/>
        </w:rPr>
        <w:t>∆</w:t>
      </w:r>
      <w:r w:rsidR="00E10481" w:rsidRPr="00E10481">
        <w:rPr>
          <w:rFonts w:ascii="Times New Roman" w:hAnsi="Times New Roman" w:cs="Times New Roman"/>
          <w:sz w:val="24"/>
          <w:szCs w:val="24"/>
          <w:vertAlign w:val="superscript"/>
        </w:rPr>
        <w:t>14</w:t>
      </w:r>
      <w:r w:rsidR="00E10481">
        <w:rPr>
          <w:rFonts w:ascii="Times New Roman" w:hAnsi="Times New Roman" w:cs="Times New Roman"/>
          <w:sz w:val="24"/>
          <w:szCs w:val="24"/>
        </w:rPr>
        <w:t>C-CO</w:t>
      </w:r>
      <w:r w:rsidR="00E10481" w:rsidRPr="00E10481">
        <w:rPr>
          <w:rFonts w:ascii="Times New Roman" w:hAnsi="Times New Roman" w:cs="Times New Roman"/>
          <w:sz w:val="24"/>
          <w:szCs w:val="24"/>
          <w:vertAlign w:val="subscript"/>
        </w:rPr>
        <w:t>2</w:t>
      </w:r>
      <w:r w:rsidR="009C7043">
        <w:rPr>
          <w:rFonts w:ascii="Times New Roman" w:hAnsi="Times New Roman" w:cs="Times New Roman"/>
          <w:sz w:val="24"/>
          <w:szCs w:val="24"/>
        </w:rPr>
        <w:t xml:space="preserve"> and </w:t>
      </w:r>
      <w:r w:rsidR="009C7043" w:rsidRPr="00C27016">
        <w:rPr>
          <w:rFonts w:ascii="Times New Roman" w:hAnsi="Times New Roman" w:cs="Times New Roman"/>
          <w:color w:val="333333"/>
          <w:sz w:val="24"/>
          <w:szCs w:val="24"/>
          <w:highlight w:val="white"/>
        </w:rPr>
        <w:t>δ</w:t>
      </w:r>
      <w:r w:rsidR="009C7043" w:rsidRPr="00C27016">
        <w:rPr>
          <w:rFonts w:ascii="Times New Roman" w:hAnsi="Times New Roman" w:cs="Times New Roman"/>
          <w:color w:val="333333"/>
          <w:sz w:val="24"/>
          <w:szCs w:val="24"/>
          <w:highlight w:val="white"/>
          <w:vertAlign w:val="superscript"/>
        </w:rPr>
        <w:t>13</w:t>
      </w:r>
      <w:r w:rsidR="009C7043" w:rsidRPr="00C27016">
        <w:rPr>
          <w:rFonts w:ascii="Times New Roman" w:hAnsi="Times New Roman" w:cs="Times New Roman"/>
          <w:color w:val="333333"/>
          <w:sz w:val="24"/>
          <w:szCs w:val="24"/>
          <w:highlight w:val="white"/>
        </w:rPr>
        <w:t>C-CO</w:t>
      </w:r>
      <w:r w:rsidR="009C7043" w:rsidRPr="00C27016">
        <w:rPr>
          <w:rFonts w:ascii="Times New Roman" w:hAnsi="Times New Roman" w:cs="Times New Roman"/>
          <w:color w:val="333333"/>
          <w:sz w:val="24"/>
          <w:szCs w:val="24"/>
          <w:highlight w:val="white"/>
          <w:vertAlign w:val="subscript"/>
        </w:rPr>
        <w:t>2</w:t>
      </w:r>
    </w:p>
    <w:p w14:paraId="2F61D457" w14:textId="054B3AF0" w:rsidR="00C007AE" w:rsidRDefault="00C007AE" w:rsidP="00C007AE">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We observed consistent differences between control and treatment sample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sidR="00E10481">
        <w:rPr>
          <w:rFonts w:ascii="Times New Roman" w:hAnsi="Times New Roman" w:cs="Times New Roman"/>
          <w:sz w:val="24"/>
          <w:szCs w:val="24"/>
        </w:rPr>
        <w:t>observed in</w:t>
      </w:r>
      <w:r w:rsidRPr="00C27016">
        <w:rPr>
          <w:rFonts w:ascii="Times New Roman" w:hAnsi="Times New Roman" w:cs="Times New Roman"/>
          <w:sz w:val="24"/>
          <w:szCs w:val="24"/>
        </w:rPr>
        <w:t xml:space="preserve"> the </w:t>
      </w:r>
      <w:r w:rsidR="00E10481">
        <w:rPr>
          <w:rFonts w:ascii="Times New Roman" w:hAnsi="Times New Roman" w:cs="Times New Roman"/>
          <w:sz w:val="24"/>
          <w:szCs w:val="24"/>
        </w:rPr>
        <w:t>second enclosure</w:t>
      </w:r>
      <w:r>
        <w:rPr>
          <w:rFonts w:ascii="Times New Roman" w:hAnsi="Times New Roman" w:cs="Times New Roman"/>
          <w:sz w:val="24"/>
          <w:szCs w:val="24"/>
        </w:rPr>
        <w:t xml:space="preserve"> period</w:t>
      </w:r>
      <w:r w:rsidR="00E10481">
        <w:rPr>
          <w:rFonts w:ascii="Times New Roman" w:hAnsi="Times New Roman" w:cs="Times New Roman"/>
          <w:sz w:val="24"/>
          <w:szCs w:val="24"/>
        </w:rPr>
        <w:t xml:space="preserve"> </w:t>
      </w:r>
      <w:r w:rsidR="009A4CA2">
        <w:rPr>
          <w:rFonts w:ascii="Times New Roman" w:hAnsi="Times New Roman" w:cs="Times New Roman"/>
          <w:sz w:val="24"/>
          <w:szCs w:val="24"/>
        </w:rPr>
        <w:t>in all three experiments</w:t>
      </w:r>
      <w:r w:rsidR="003A16EB">
        <w:rPr>
          <w:rFonts w:ascii="Times New Roman" w:hAnsi="Times New Roman" w:cs="Times New Roman"/>
          <w:sz w:val="24"/>
          <w:szCs w:val="24"/>
        </w:rPr>
        <w:t xml:space="preserve"> (Table 3)</w:t>
      </w:r>
      <w:r w:rsidR="009A4CA2">
        <w:rPr>
          <w:rFonts w:ascii="Times New Roman" w:hAnsi="Times New Roman" w:cs="Times New Roman"/>
          <w:sz w:val="24"/>
          <w:szCs w:val="24"/>
        </w:rPr>
        <w:t xml:space="preserve">. </w:t>
      </w:r>
      <w:r>
        <w:rPr>
          <w:rFonts w:ascii="Times New Roman" w:hAnsi="Times New Roman" w:cs="Times New Roman"/>
          <w:sz w:val="24"/>
          <w:szCs w:val="24"/>
        </w:rPr>
        <w:t>This was</w:t>
      </w:r>
      <w:r w:rsidRPr="00C27016">
        <w:rPr>
          <w:rFonts w:ascii="Times New Roman" w:hAnsi="Times New Roman" w:cs="Times New Roman"/>
          <w:sz w:val="24"/>
          <w:szCs w:val="24"/>
        </w:rPr>
        <w:t xml:space="preserve"> in contrast to our expe</w:t>
      </w:r>
      <w:r w:rsidR="009A4CA2">
        <w:rPr>
          <w:rFonts w:ascii="Times New Roman" w:hAnsi="Times New Roman" w:cs="Times New Roman"/>
          <w:sz w:val="24"/>
          <w:szCs w:val="24"/>
        </w:rPr>
        <w:t xml:space="preserve">ctation that </w:t>
      </w:r>
      <w:r w:rsidRPr="00C27016">
        <w:rPr>
          <w:rFonts w:ascii="Times New Roman" w:hAnsi="Times New Roman" w:cs="Times New Roman"/>
          <w:sz w:val="24"/>
          <w:szCs w:val="24"/>
        </w:rPr>
        <w:t>treatment</w:t>
      </w:r>
      <w:r w:rsidR="009A4CA2">
        <w:rPr>
          <w:rFonts w:ascii="Times New Roman" w:hAnsi="Times New Roman" w:cs="Times New Roman"/>
          <w:sz w:val="24"/>
          <w:szCs w:val="24"/>
        </w:rPr>
        <w:t xml:space="preserve"> effects </w:t>
      </w:r>
      <w:r w:rsidRPr="00C27016">
        <w:rPr>
          <w:rFonts w:ascii="Times New Roman" w:hAnsi="Times New Roman" w:cs="Times New Roman"/>
          <w:sz w:val="24"/>
          <w:szCs w:val="24"/>
        </w:rPr>
        <w:t xml:space="preserve">would </w:t>
      </w:r>
      <w:r w:rsidR="009A4CA2">
        <w:rPr>
          <w:rFonts w:ascii="Times New Roman" w:hAnsi="Times New Roman" w:cs="Times New Roman"/>
          <w:sz w:val="24"/>
          <w:szCs w:val="24"/>
        </w:rPr>
        <w:t>be</w:t>
      </w:r>
      <w:r w:rsidRPr="00C27016">
        <w:rPr>
          <w:rFonts w:ascii="Times New Roman" w:hAnsi="Times New Roman" w:cs="Times New Roman"/>
          <w:sz w:val="24"/>
          <w:szCs w:val="24"/>
        </w:rPr>
        <w:t xml:space="preserve"> </w:t>
      </w:r>
      <w:r w:rsidR="009A4CA2">
        <w:rPr>
          <w:rFonts w:ascii="Times New Roman" w:hAnsi="Times New Roman" w:cs="Times New Roman"/>
          <w:sz w:val="24"/>
          <w:szCs w:val="24"/>
        </w:rPr>
        <w:t xml:space="preserve">limited to the </w:t>
      </w:r>
      <w:r w:rsidR="00F7012D">
        <w:rPr>
          <w:rFonts w:ascii="Times New Roman" w:hAnsi="Times New Roman" w:cs="Times New Roman"/>
          <w:sz w:val="24"/>
          <w:szCs w:val="24"/>
        </w:rPr>
        <w:t>first enclosure period</w:t>
      </w:r>
      <w:r w:rsidR="009A4CA2">
        <w:rPr>
          <w:rFonts w:ascii="Times New Roman" w:hAnsi="Times New Roman" w:cs="Times New Roman"/>
          <w:sz w:val="24"/>
          <w:szCs w:val="24"/>
        </w:rPr>
        <w:t>.</w:t>
      </w:r>
      <w:r w:rsidRPr="00C27016">
        <w:rPr>
          <w:rFonts w:ascii="Times New Roman" w:hAnsi="Times New Roman" w:cs="Times New Roman"/>
          <w:sz w:val="24"/>
          <w:szCs w:val="24"/>
        </w:rPr>
        <w:t xml:space="preserve"> </w:t>
      </w:r>
      <w:r w:rsidRPr="00C27016">
        <w:rPr>
          <w:rFonts w:ascii="Times New Roman" w:eastAsia="Arial Unicode MS" w:hAnsi="Times New Roman" w:cs="Times New Roman"/>
          <w:sz w:val="24"/>
          <w:szCs w:val="24"/>
        </w:rPr>
        <w:t xml:space="preserve">Treatment sample incubations, including both the </w:t>
      </w:r>
      <w:r>
        <w:rPr>
          <w:rFonts w:ascii="Times New Roman" w:eastAsia="Arial Unicode MS" w:hAnsi="Times New Roman" w:cs="Times New Roman"/>
          <w:sz w:val="24"/>
          <w:szCs w:val="24"/>
        </w:rPr>
        <w:t>air-dry/rewet + storage treatment in Experiments 1 and 3</w:t>
      </w:r>
      <w:r w:rsidRPr="00C27016">
        <w:rPr>
          <w:rFonts w:ascii="Times New Roman" w:eastAsia="Arial Unicode MS" w:hAnsi="Times New Roman" w:cs="Times New Roman"/>
          <w:sz w:val="24"/>
          <w:szCs w:val="24"/>
        </w:rPr>
        <w:t xml:space="preserve">, and the </w:t>
      </w:r>
      <w:r>
        <w:rPr>
          <w:rFonts w:ascii="Times New Roman" w:eastAsia="Arial Unicode MS" w:hAnsi="Times New Roman" w:cs="Times New Roman"/>
          <w:sz w:val="24"/>
          <w:szCs w:val="24"/>
        </w:rPr>
        <w:t>air-dry/rewet</w:t>
      </w:r>
      <w:r w:rsidRPr="00C27016">
        <w:rPr>
          <w:rFonts w:ascii="Times New Roman" w:eastAsia="Arial Unicode MS" w:hAnsi="Times New Roman" w:cs="Times New Roman"/>
          <w:sz w:val="24"/>
          <w:szCs w:val="24"/>
        </w:rPr>
        <w:t xml:space="preserve"> treatment </w:t>
      </w:r>
      <w:r>
        <w:rPr>
          <w:rFonts w:ascii="Times New Roman" w:eastAsia="Arial Unicode MS" w:hAnsi="Times New Roman" w:cs="Times New Roman"/>
          <w:sz w:val="24"/>
          <w:szCs w:val="24"/>
        </w:rPr>
        <w:t>in Experiment 2</w:t>
      </w:r>
      <w:r w:rsidRPr="00C27016">
        <w:rPr>
          <w:rFonts w:ascii="Times New Roman" w:eastAsia="Arial Unicode MS" w:hAnsi="Times New Roman" w:cs="Times New Roman"/>
          <w:sz w:val="24"/>
          <w:szCs w:val="24"/>
        </w:rPr>
        <w:t xml:space="preserve">, typically resulted in differences between 20‰ and 40‰ relative to control sample incubations, </w:t>
      </w:r>
      <w:r>
        <w:rPr>
          <w:rFonts w:ascii="Times New Roman" w:eastAsia="Arial Unicode MS" w:hAnsi="Times New Roman" w:cs="Times New Roman"/>
          <w:sz w:val="24"/>
          <w:szCs w:val="24"/>
        </w:rPr>
        <w:t>although</w:t>
      </w:r>
      <w:r w:rsidRPr="00C27016">
        <w:rPr>
          <w:rFonts w:ascii="Times New Roman" w:eastAsia="Arial Unicode MS" w:hAnsi="Times New Roman" w:cs="Times New Roman"/>
          <w:sz w:val="24"/>
          <w:szCs w:val="24"/>
        </w:rPr>
        <w:t xml:space="preserve"> the majority </w:t>
      </w:r>
      <w:r>
        <w:rPr>
          <w:rFonts w:ascii="Times New Roman" w:eastAsia="Arial Unicode MS" w:hAnsi="Times New Roman" w:cs="Times New Roman"/>
          <w:sz w:val="24"/>
          <w:szCs w:val="24"/>
        </w:rPr>
        <w:t>of the differences were within ±20‰. The</w:t>
      </w:r>
      <w:r w:rsidRPr="00C27016">
        <w:rPr>
          <w:rFonts w:ascii="Times New Roman" w:eastAsia="Arial Unicode MS" w:hAnsi="Times New Roman" w:cs="Times New Roman"/>
          <w:sz w:val="24"/>
          <w:szCs w:val="24"/>
        </w:rPr>
        <w:t xml:space="preserve"> 20‰ to 40‰ </w:t>
      </w:r>
      <w:r>
        <w:rPr>
          <w:rFonts w:ascii="Times New Roman" w:eastAsia="Arial Unicode MS" w:hAnsi="Times New Roman" w:cs="Times New Roman"/>
          <w:sz w:val="24"/>
          <w:szCs w:val="24"/>
        </w:rPr>
        <w:t xml:space="preserve">range </w:t>
      </w:r>
      <w:r w:rsidRPr="00C27016">
        <w:rPr>
          <w:rFonts w:ascii="Times New Roman" w:eastAsia="Arial Unicode MS" w:hAnsi="Times New Roman" w:cs="Times New Roman"/>
          <w:sz w:val="24"/>
          <w:szCs w:val="24"/>
        </w:rPr>
        <w:t>is shown for context (Fig. 3, dashed and dotted lines, respectively): these differences correspond to the change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the atmosphere over four and eight years, respectively, during the period of 2000 to 2020</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{"citationItems":[{"id":"ITEM-1","itemData":{"DOI":"10.5194/gmd-10-4405-2017","ISSN":"19919603","abstract":"The isotopic composition of carbon (14°C and 13°C) in atmospheric CO2 and in oceanic and terrestrial carbon reservoirs is influenced by anthropogenic emissions and by natural carbon exchanges, which can respond to and drive changes in climate. Simulations of 14C and 13C in the ocean and terrestrial components of Earth system models (ESMs) present opportunities for model evaluation and for investigation of carbon cycling, including anthropogenic CO2 emissions and uptake. The use of carbon isotopes in novel evaluation of the ESMs' component ocean and terrestrial biosphere models and in new analyses of historical changes may improve predictions of future changes in the carbon cycle and climate system. We compile existing data to produce records of 14C and 13C in atmospheric CO2 for the historical period 1850-2015. The primary motivation for this compilation is to provide the atmospheric boundary condition for historical simulations in the Coupled Model Intercomparison Project 6 (CMIP6) for models simulating carbon isotopes in the ocean or terrestrial biosphere. The data may also be useful for other carbon cycle modelling activities.","author":[{"dropping-particle":"","family":"Graven","given":"Heather","non-dropping-particle":"","parse-names":false,"suffix":""},{"dropping-particle":"","family":"Allison","given":"Colin E.","non-dropping-particle":"","parse-names":false,"suffix":""},{"dropping-particle":"","family":"Etheridge","given":"David M.","non-dropping-particle":"","parse-names":false,"suffix":""},{"dropping-particle":"","family":"Hammer","given":"Samuel","non-dropping-particle":"","parse-names":false,"suffix":""},{"dropping-particle":"","family":"Keeling","given":"Ralph F.","non-dropping-particle":"","parse-names":false,"suffix":""},{"dropping-particle":"","family":"Levin","given":"Ingeborg","non-dropping-particle":"","parse-names":false,"suffix":""},{"dropping-particle":"","family":"Meijer","given":"Harro A.J.","non-dropping-particle":"","parse-names":false,"suffix":""},{"dropping-particle":"","family":"Rubino","given":"Mauro","non-dropping-particle":"","parse-names":false,"suffix":""},{"dropping-particle":"","family":"Tans","given":"Pieter P.","non-dropping-particle":"","parse-names":false,"suffix":""},{"dropping-particle":"","family":"Trudinger","given":"Cathy M.","non-dropping-particle":"","parse-names":false,"suffix":""},{"dropping-particle":"","family":"Vaughn","given":"Bruce H.","non-dropping-particle":"","parse-names":false,"suffix":""},{"dropping-particle":"","family":"White","given":"James W.C.","non-dropping-particle":"","parse-names":false,"suffix":""}],"container-title":"Geoscientific Model Development","id":"ITEM-1","issue":"12","issued":{"date-parts":[["2017"]]},"page":"4405-4417","title":"Compiled records of carbon isotopes in atmospheric CO2 for historical simulations in CMIP6","type":"article-journal","volume":"10"},"uris":["http://www.mendeley.com/documents/?uuid=d4c15247-9614-4f08-86ff-43d5a33510b6","http://www.mendeley.com/documents/?uuid=6aa96373-b2f7-4b37-9665-fd36c44833ed"]}],"mendeley":{"formattedCitation":"(Graven et al., 2017)","plainTextFormattedCitation":"(Graven et al., 2017)","previouslyFormattedCitation":"(Graven et al., 2017)"},"properties":{"noteIndex":0},"schema":"https://github.com/citation-style-language/schema/raw/master/csl-citation.json"}</w:instrText>
      </w:r>
      <w:r>
        <w:rPr>
          <w:rFonts w:ascii="Times New Roman" w:hAnsi="Times New Roman" w:cs="Times New Roman"/>
          <w:sz w:val="24"/>
          <w:szCs w:val="24"/>
        </w:rPr>
        <w:fldChar w:fldCharType="separate"/>
      </w:r>
      <w:r w:rsidRPr="002201FC">
        <w:rPr>
          <w:rFonts w:ascii="Times New Roman" w:hAnsi="Times New Roman" w:cs="Times New Roman"/>
          <w:noProof/>
          <w:sz w:val="24"/>
          <w:szCs w:val="24"/>
        </w:rPr>
        <w:t>(Graven et al., 2017)</w:t>
      </w:r>
      <w:r>
        <w:rPr>
          <w:rFonts w:ascii="Times New Roman" w:hAnsi="Times New Roman" w:cs="Times New Roman"/>
          <w:sz w:val="24"/>
          <w:szCs w:val="24"/>
        </w:rPr>
        <w:fldChar w:fldCharType="end"/>
      </w:r>
      <w:r w:rsidRPr="00C27016">
        <w:rPr>
          <w:rFonts w:ascii="Times New Roman" w:hAnsi="Times New Roman" w:cs="Times New Roman"/>
          <w:sz w:val="24"/>
          <w:szCs w:val="24"/>
        </w:rPr>
        <w:t>.</w:t>
      </w:r>
      <w:r w:rsidR="00F7012D">
        <w:rPr>
          <w:rFonts w:ascii="Times New Roman" w:hAnsi="Times New Roman" w:cs="Times New Roman"/>
          <w:sz w:val="24"/>
          <w:szCs w:val="24"/>
        </w:rPr>
        <w:t xml:space="preserve"> </w:t>
      </w:r>
      <w:r w:rsidRPr="00C27016">
        <w:rPr>
          <w:rFonts w:ascii="Times New Roman" w:hAnsi="Times New Roman" w:cs="Times New Roman"/>
          <w:sz w:val="24"/>
          <w:szCs w:val="24"/>
        </w:rPr>
        <w:t xml:space="preserve">The samples from Oak Ridge are an exception in that the </w:t>
      </w:r>
      <w:r>
        <w:rPr>
          <w:rFonts w:ascii="Times New Roman" w:hAnsi="Times New Roman" w:cs="Times New Roman"/>
          <w:sz w:val="24"/>
          <w:szCs w:val="24"/>
        </w:rPr>
        <w:t>majority of the air-dry/rewet + storage</w:t>
      </w:r>
      <w:r w:rsidRPr="00C27016">
        <w:rPr>
          <w:rFonts w:ascii="Times New Roman" w:hAnsi="Times New Roman" w:cs="Times New Roman"/>
          <w:sz w:val="24"/>
          <w:szCs w:val="24"/>
        </w:rPr>
        <w:t xml:space="preserve"> treatment </w:t>
      </w:r>
      <w:r>
        <w:rPr>
          <w:rFonts w:ascii="Times New Roman" w:hAnsi="Times New Roman" w:cs="Times New Roman"/>
          <w:sz w:val="24"/>
          <w:szCs w:val="24"/>
        </w:rPr>
        <w:t xml:space="preserve">samples </w:t>
      </w:r>
      <w:r w:rsidRPr="00C27016">
        <w:rPr>
          <w:rFonts w:ascii="Times New Roman" w:hAnsi="Times New Roman" w:cs="Times New Roman"/>
          <w:sz w:val="24"/>
          <w:szCs w:val="24"/>
        </w:rPr>
        <w:t xml:space="preserve">and corresponding control-3 samples </w:t>
      </w:r>
      <w:r>
        <w:rPr>
          <w:rFonts w:ascii="Times New Roman" w:hAnsi="Times New Roman" w:cs="Times New Roman"/>
          <w:sz w:val="24"/>
          <w:szCs w:val="24"/>
        </w:rPr>
        <w:t>differ by ≥40‰</w:t>
      </w:r>
      <w:r w:rsidR="003E5DDB">
        <w:rPr>
          <w:rFonts w:ascii="Times New Roman" w:hAnsi="Times New Roman" w:cs="Times New Roman"/>
          <w:sz w:val="24"/>
          <w:szCs w:val="24"/>
        </w:rPr>
        <w:t xml:space="preserve"> (Table 3)</w:t>
      </w:r>
      <w:r w:rsidRPr="00C27016">
        <w:rPr>
          <w:rFonts w:ascii="Times New Roman" w:hAnsi="Times New Roman" w:cs="Times New Roman"/>
          <w:sz w:val="24"/>
          <w:szCs w:val="24"/>
        </w:rPr>
        <w:t xml:space="preserve">. </w:t>
      </w:r>
    </w:p>
    <w:p w14:paraId="571BE80B" w14:textId="0CC22BB9" w:rsidR="00C007AE" w:rsidRDefault="00F7012D" w:rsidP="00E94AB8">
      <w:pPr>
        <w:pStyle w:val="Normal1"/>
        <w:spacing w:before="120" w:line="360" w:lineRule="auto"/>
        <w:rPr>
          <w:rFonts w:ascii="Times New Roman" w:hAnsi="Times New Roman" w:cs="Times New Roman"/>
          <w:sz w:val="24"/>
          <w:szCs w:val="24"/>
        </w:rPr>
      </w:pPr>
      <w:r>
        <w:rPr>
          <w:rFonts w:ascii="Times New Roman" w:eastAsia="Arial Unicode MS" w:hAnsi="Times New Roman" w:cs="Times New Roman"/>
          <w:sz w:val="24"/>
          <w:szCs w:val="24"/>
        </w:rPr>
        <w:t>We observed opposite trends</w:t>
      </w:r>
      <w:r w:rsidR="00A54CCA">
        <w:rPr>
          <w:rFonts w:ascii="Times New Roman" w:eastAsia="Arial Unicode MS" w:hAnsi="Times New Roman" w:cs="Times New Roman"/>
          <w:sz w:val="24"/>
          <w:szCs w:val="24"/>
        </w:rPr>
        <w:t xml:space="preserve"> in </w:t>
      </w:r>
      <w:r w:rsidR="0009170A">
        <w:rPr>
          <w:rFonts w:ascii="Times New Roman" w:eastAsia="Arial Unicode MS" w:hAnsi="Times New Roman" w:cs="Times New Roman"/>
          <w:sz w:val="24"/>
          <w:szCs w:val="24"/>
        </w:rPr>
        <w:t>the treatment ∆</w:t>
      </w:r>
      <w:r w:rsidR="0009170A" w:rsidRPr="00A54CCA">
        <w:rPr>
          <w:rFonts w:ascii="Times New Roman" w:eastAsia="Arial Unicode MS" w:hAnsi="Times New Roman" w:cs="Times New Roman"/>
          <w:sz w:val="24"/>
          <w:szCs w:val="24"/>
          <w:vertAlign w:val="superscript"/>
        </w:rPr>
        <w:t>14</w:t>
      </w:r>
      <w:r w:rsidR="0009170A">
        <w:rPr>
          <w:rFonts w:ascii="Times New Roman" w:eastAsia="Arial Unicode MS" w:hAnsi="Times New Roman" w:cs="Times New Roman"/>
          <w:sz w:val="24"/>
          <w:szCs w:val="24"/>
        </w:rPr>
        <w:t>C-CO</w:t>
      </w:r>
      <w:r w:rsidR="0009170A" w:rsidRPr="00A54CCA">
        <w:rPr>
          <w:rFonts w:ascii="Times New Roman" w:eastAsia="Arial Unicode MS" w:hAnsi="Times New Roman" w:cs="Times New Roman"/>
          <w:sz w:val="24"/>
          <w:szCs w:val="24"/>
          <w:vertAlign w:val="subscript"/>
        </w:rPr>
        <w:t>2</w:t>
      </w:r>
      <w:r w:rsidR="0009170A">
        <w:rPr>
          <w:rFonts w:ascii="Times New Roman" w:eastAsia="Arial Unicode MS" w:hAnsi="Times New Roman" w:cs="Times New Roman"/>
          <w:sz w:val="24"/>
          <w:szCs w:val="24"/>
          <w:vertAlign w:val="subscript"/>
        </w:rPr>
        <w:t xml:space="preserve"> </w:t>
      </w:r>
      <w:r w:rsidR="0009170A">
        <w:rPr>
          <w:rFonts w:ascii="Times New Roman" w:eastAsia="Arial Unicode MS" w:hAnsi="Times New Roman" w:cs="Times New Roman"/>
          <w:sz w:val="24"/>
          <w:szCs w:val="24"/>
        </w:rPr>
        <w:t xml:space="preserve">response for </w:t>
      </w:r>
      <w:r w:rsidR="00A54CCA">
        <w:rPr>
          <w:rFonts w:ascii="Times New Roman" w:eastAsia="Arial Unicode MS" w:hAnsi="Times New Roman" w:cs="Times New Roman"/>
          <w:sz w:val="24"/>
          <w:szCs w:val="24"/>
        </w:rPr>
        <w:t xml:space="preserve">forest and grassland soil </w:t>
      </w:r>
      <w:r>
        <w:rPr>
          <w:rFonts w:ascii="Times New Roman" w:eastAsia="Arial Unicode MS" w:hAnsi="Times New Roman" w:cs="Times New Roman"/>
          <w:sz w:val="24"/>
          <w:szCs w:val="24"/>
        </w:rPr>
        <w:t>in Experiment 1, with the air-dry/rewet + storage treatment leading to depletion for forests, but enrichment for grsslands</w:t>
      </w:r>
      <w:r w:rsidR="003A16EB">
        <w:rPr>
          <w:rFonts w:ascii="Times New Roman" w:eastAsia="Arial Unicode MS" w:hAnsi="Times New Roman" w:cs="Times New Roman"/>
          <w:sz w:val="24"/>
          <w:szCs w:val="24"/>
        </w:rPr>
        <w:t xml:space="preserve"> (Table 3)</w:t>
      </w:r>
      <w:r>
        <w:rPr>
          <w:rFonts w:ascii="Times New Roman" w:eastAsia="Arial Unicode MS" w:hAnsi="Times New Roman" w:cs="Times New Roman"/>
          <w:sz w:val="24"/>
          <w:szCs w:val="24"/>
        </w:rPr>
        <w:t xml:space="preserve">. </w:t>
      </w:r>
      <w:r w:rsidR="00A54CCA">
        <w:rPr>
          <w:rFonts w:ascii="Times New Roman" w:eastAsia="Arial Unicode MS" w:hAnsi="Times New Roman" w:cs="Times New Roman"/>
          <w:sz w:val="24"/>
          <w:szCs w:val="24"/>
        </w:rPr>
        <w:t xml:space="preserve">In contrast, both forest and grassland soils in Experiment 2 responded to the air-dry/rewet treatment with enrichment in </w:t>
      </w:r>
      <w:r w:rsidR="00A54CCA" w:rsidRPr="00C27016">
        <w:rPr>
          <w:rFonts w:ascii="Times New Roman" w:eastAsia="Arial Unicode MS" w:hAnsi="Times New Roman" w:cs="Times New Roman"/>
          <w:sz w:val="24"/>
          <w:szCs w:val="24"/>
        </w:rPr>
        <w:t>∆</w:t>
      </w:r>
      <w:r w:rsidR="00A54CCA" w:rsidRPr="00C27016">
        <w:rPr>
          <w:rFonts w:ascii="Times New Roman" w:hAnsi="Times New Roman" w:cs="Times New Roman"/>
          <w:sz w:val="24"/>
          <w:szCs w:val="24"/>
          <w:vertAlign w:val="superscript"/>
        </w:rPr>
        <w:t>14</w:t>
      </w:r>
      <w:r w:rsidR="00A54CCA" w:rsidRPr="00C27016">
        <w:rPr>
          <w:rFonts w:ascii="Times New Roman" w:hAnsi="Times New Roman" w:cs="Times New Roman"/>
          <w:sz w:val="24"/>
          <w:szCs w:val="24"/>
        </w:rPr>
        <w:t>C-CO</w:t>
      </w:r>
      <w:r w:rsidR="00A54CCA" w:rsidRPr="00C27016">
        <w:rPr>
          <w:rFonts w:ascii="Times New Roman" w:hAnsi="Times New Roman" w:cs="Times New Roman"/>
          <w:sz w:val="24"/>
          <w:szCs w:val="24"/>
          <w:vertAlign w:val="subscript"/>
        </w:rPr>
        <w:t>2</w:t>
      </w:r>
      <w:r w:rsidR="0009170A">
        <w:rPr>
          <w:rFonts w:ascii="Times New Roman" w:eastAsia="Arial Unicode MS" w:hAnsi="Times New Roman" w:cs="Times New Roman"/>
          <w:sz w:val="24"/>
          <w:szCs w:val="24"/>
        </w:rPr>
        <w:t xml:space="preserve">, while the Experiment 3 treatment sample </w:t>
      </w:r>
      <w:r w:rsidR="0009170A" w:rsidRPr="00C27016">
        <w:rPr>
          <w:rFonts w:ascii="Times New Roman" w:eastAsia="Arial Unicode MS" w:hAnsi="Times New Roman" w:cs="Times New Roman"/>
          <w:sz w:val="24"/>
          <w:szCs w:val="24"/>
        </w:rPr>
        <w:t>∆</w:t>
      </w:r>
      <w:r w:rsidR="0009170A" w:rsidRPr="00C27016">
        <w:rPr>
          <w:rFonts w:ascii="Times New Roman" w:hAnsi="Times New Roman" w:cs="Times New Roman"/>
          <w:sz w:val="24"/>
          <w:szCs w:val="24"/>
          <w:vertAlign w:val="superscript"/>
        </w:rPr>
        <w:t>14</w:t>
      </w:r>
      <w:r w:rsidR="0009170A" w:rsidRPr="00C27016">
        <w:rPr>
          <w:rFonts w:ascii="Times New Roman" w:hAnsi="Times New Roman" w:cs="Times New Roman"/>
          <w:sz w:val="24"/>
          <w:szCs w:val="24"/>
        </w:rPr>
        <w:t>C-CO</w:t>
      </w:r>
      <w:r w:rsidR="0009170A" w:rsidRPr="00C27016">
        <w:rPr>
          <w:rFonts w:ascii="Times New Roman" w:hAnsi="Times New Roman" w:cs="Times New Roman"/>
          <w:sz w:val="24"/>
          <w:szCs w:val="24"/>
          <w:vertAlign w:val="subscript"/>
        </w:rPr>
        <w:t>2</w:t>
      </w:r>
      <w:r w:rsidR="00A54CCA">
        <w:rPr>
          <w:rFonts w:ascii="Times New Roman" w:eastAsia="Arial Unicode MS" w:hAnsi="Times New Roman" w:cs="Times New Roman"/>
          <w:sz w:val="24"/>
          <w:szCs w:val="24"/>
        </w:rPr>
        <w:t xml:space="preserve"> </w:t>
      </w:r>
      <w:r w:rsidR="0009170A">
        <w:rPr>
          <w:rFonts w:ascii="Times New Roman" w:eastAsia="Arial Unicode MS" w:hAnsi="Times New Roman" w:cs="Times New Roman"/>
          <w:sz w:val="24"/>
          <w:szCs w:val="24"/>
        </w:rPr>
        <w:t xml:space="preserve">tended to be depleted relative to the controls for both </w:t>
      </w:r>
      <w:r w:rsidR="00A54CCA">
        <w:rPr>
          <w:rFonts w:ascii="Times New Roman" w:eastAsia="Arial Unicode MS" w:hAnsi="Times New Roman" w:cs="Times New Roman"/>
          <w:sz w:val="24"/>
          <w:szCs w:val="24"/>
        </w:rPr>
        <w:t>forest and grassland soil</w:t>
      </w:r>
      <w:r w:rsidR="0009170A">
        <w:rPr>
          <w:rFonts w:ascii="Times New Roman" w:eastAsia="Arial Unicode MS" w:hAnsi="Times New Roman" w:cs="Times New Roman"/>
          <w:sz w:val="24"/>
          <w:szCs w:val="24"/>
        </w:rPr>
        <w:t>s.</w:t>
      </w:r>
    </w:p>
    <w:p w14:paraId="64A1D10D" w14:textId="2EA408AA" w:rsidR="00C007AE" w:rsidRDefault="00044869" w:rsidP="00C007AE">
      <w:pPr>
        <w:pStyle w:val="Normal1"/>
        <w:spacing w:before="12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0149917F" wp14:editId="0697B684">
            <wp:extent cx="5486400" cy="392083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920831"/>
                    </a:xfrm>
                    <a:prstGeom prst="rect">
                      <a:avLst/>
                    </a:prstGeom>
                    <a:noFill/>
                    <a:ln>
                      <a:noFill/>
                    </a:ln>
                  </pic:spPr>
                </pic:pic>
              </a:graphicData>
            </a:graphic>
          </wp:inline>
        </w:drawing>
      </w:r>
    </w:p>
    <w:p w14:paraId="2EDDBE82" w14:textId="77777777" w:rsidR="00C007AE" w:rsidRPr="00B51E3A" w:rsidRDefault="00C007AE" w:rsidP="00C007AE">
      <w:pPr>
        <w:pStyle w:val="Normal1"/>
        <w:spacing w:after="120" w:line="240" w:lineRule="auto"/>
        <w:ind w:left="360" w:right="360"/>
        <w:rPr>
          <w:rFonts w:ascii="Times New Roman" w:hAnsi="Times New Roman" w:cs="Times New Roman"/>
          <w:sz w:val="24"/>
          <w:szCs w:val="24"/>
          <w:lang w:val="en-US"/>
        </w:rPr>
      </w:pPr>
      <w:r>
        <w:rPr>
          <w:rFonts w:ascii="Times New Roman" w:hAnsi="Times New Roman" w:cs="Times New Roman"/>
          <w:b/>
          <w:sz w:val="24"/>
          <w:szCs w:val="24"/>
        </w:rPr>
        <w:t>Figure 3</w:t>
      </w:r>
      <w:r w:rsidRPr="002313B4">
        <w:rPr>
          <w:rFonts w:ascii="Times New Roman" w:hAnsi="Times New Roman" w:cs="Times New Roman"/>
          <w:b/>
          <w:sz w:val="24"/>
          <w:szCs w:val="24"/>
        </w:rPr>
        <w:t xml:space="preserve">. </w:t>
      </w:r>
      <w:r w:rsidRPr="00B51E3A">
        <w:rPr>
          <w:rFonts w:ascii="Times New Roman" w:hAnsi="Times New Roman" w:cs="Times New Roman"/>
          <w:sz w:val="24"/>
          <w:szCs w:val="24"/>
          <w:lang w:val="en-US"/>
        </w:rPr>
        <w:t>Overall treatment effect on Δ</w:t>
      </w:r>
      <w:r w:rsidRPr="00B51E3A">
        <w:rPr>
          <w:rFonts w:ascii="Times New Roman" w:hAnsi="Times New Roman" w:cs="Times New Roman"/>
          <w:sz w:val="24"/>
          <w:szCs w:val="24"/>
          <w:vertAlign w:val="superscript"/>
          <w:lang w:val="en-US"/>
        </w:rPr>
        <w:t>14</w:t>
      </w:r>
      <w:r w:rsidRPr="00B51E3A">
        <w:rPr>
          <w:rFonts w:ascii="Times New Roman" w:hAnsi="Times New Roman" w:cs="Times New Roman"/>
          <w:sz w:val="24"/>
          <w:szCs w:val="24"/>
          <w:lang w:val="en-US"/>
        </w:rPr>
        <w:t>C-CO</w:t>
      </w:r>
      <w:r w:rsidRPr="00B51E3A">
        <w:rPr>
          <w:rFonts w:ascii="Times New Roman" w:hAnsi="Times New Roman" w:cs="Times New Roman"/>
          <w:sz w:val="24"/>
          <w:szCs w:val="24"/>
          <w:vertAlign w:val="subscript"/>
          <w:lang w:val="en-US"/>
        </w:rPr>
        <w:t>2</w:t>
      </w:r>
    </w:p>
    <w:p w14:paraId="0BE25274" w14:textId="6317C43F" w:rsidR="00C007AE" w:rsidRDefault="00C007AE" w:rsidP="00C007AE">
      <w:pPr>
        <w:pStyle w:val="Normal1"/>
        <w:spacing w:line="360" w:lineRule="auto"/>
        <w:ind w:left="360" w:right="360"/>
        <w:rPr>
          <w:rFonts w:ascii="Times New Roman" w:hAnsi="Times New Roman" w:cs="Times New Roman"/>
          <w:lang w:val="en-US"/>
        </w:rPr>
      </w:pPr>
      <w:r w:rsidRPr="0070049A">
        <w:rPr>
          <w:rFonts w:ascii="Times New Roman" w:hAnsi="Times New Roman" w:cs="Times New Roman"/>
          <w:lang w:val="en-US"/>
        </w:rPr>
        <w:t xml:space="preserve">Points show data from </w:t>
      </w:r>
      <w:r>
        <w:rPr>
          <w:rFonts w:ascii="Times New Roman" w:hAnsi="Times New Roman" w:cs="Times New Roman"/>
          <w:lang w:val="en-US"/>
        </w:rPr>
        <w:t xml:space="preserve">all three experiments and </w:t>
      </w:r>
      <w:r w:rsidRPr="0070049A">
        <w:rPr>
          <w:rFonts w:ascii="Times New Roman" w:hAnsi="Times New Roman" w:cs="Times New Roman"/>
          <w:lang w:val="en-US"/>
        </w:rPr>
        <w:t>are the mean of laboratory replicates (for replicated</w:t>
      </w:r>
      <w:r>
        <w:rPr>
          <w:rFonts w:ascii="Times New Roman" w:hAnsi="Times New Roman" w:cs="Times New Roman"/>
          <w:lang w:val="en-US"/>
        </w:rPr>
        <w:t xml:space="preserve"> </w:t>
      </w:r>
      <w:r w:rsidRPr="0070049A">
        <w:rPr>
          <w:rFonts w:ascii="Times New Roman" w:hAnsi="Times New Roman" w:cs="Times New Roman"/>
          <w:lang w:val="en-US"/>
        </w:rPr>
        <w:t>sam</w:t>
      </w:r>
      <w:r>
        <w:rPr>
          <w:rFonts w:ascii="Times New Roman" w:hAnsi="Times New Roman" w:cs="Times New Roman"/>
          <w:lang w:val="en-US"/>
        </w:rPr>
        <w:t xml:space="preserve">ples); error </w:t>
      </w:r>
      <w:r w:rsidRPr="0070049A">
        <w:rPr>
          <w:rFonts w:ascii="Times New Roman" w:hAnsi="Times New Roman" w:cs="Times New Roman"/>
          <w:lang w:val="en-US"/>
        </w:rPr>
        <w:t xml:space="preserve">bars are </w:t>
      </w:r>
      <w:r w:rsidR="0061057C">
        <w:rPr>
          <w:rFonts w:ascii="Times New Roman" w:hAnsi="Times New Roman" w:cs="Times New Roman"/>
          <w:lang w:val="en-US"/>
        </w:rPr>
        <w:t>standard deviation of replicates</w:t>
      </w:r>
      <w:r w:rsidRPr="0070049A">
        <w:rPr>
          <w:rFonts w:ascii="Times New Roman" w:hAnsi="Times New Roman" w:cs="Times New Roman"/>
          <w:lang w:val="en-US"/>
        </w:rPr>
        <w:t>. Solid line is 1:1. For context, the dashed and dotted</w:t>
      </w:r>
      <w:r>
        <w:rPr>
          <w:rFonts w:ascii="Times New Roman" w:hAnsi="Times New Roman" w:cs="Times New Roman"/>
          <w:lang w:val="en-US"/>
        </w:rPr>
        <w:t xml:space="preserve"> lines show </w:t>
      </w:r>
      <w:r w:rsidRPr="0070049A">
        <w:rPr>
          <w:rFonts w:ascii="Times New Roman" w:hAnsi="Times New Roman" w:cs="Times New Roman"/>
          <w:lang w:val="en-US"/>
        </w:rPr>
        <w:t>differences of ±20‰ and ±40‰, equivalent to the decline in Δ</w:t>
      </w:r>
      <w:r w:rsidRPr="0070049A">
        <w:rPr>
          <w:rFonts w:ascii="Times New Roman" w:hAnsi="Times New Roman" w:cs="Times New Roman"/>
          <w:vertAlign w:val="superscript"/>
          <w:lang w:val="en-US"/>
        </w:rPr>
        <w:t>14</w:t>
      </w:r>
      <w:r w:rsidRPr="0070049A">
        <w:rPr>
          <w:rFonts w:ascii="Times New Roman" w:hAnsi="Times New Roman" w:cs="Times New Roman"/>
          <w:lang w:val="en-US"/>
        </w:rPr>
        <w:t>C in atmospheric</w:t>
      </w:r>
      <w:r>
        <w:rPr>
          <w:rFonts w:ascii="Times New Roman" w:hAnsi="Times New Roman" w:cs="Times New Roman"/>
          <w:lang w:val="en-US"/>
        </w:rPr>
        <w:t xml:space="preserve"> </w:t>
      </w:r>
      <w:r w:rsidRPr="0070049A">
        <w:rPr>
          <w:rFonts w:ascii="Times New Roman" w:hAnsi="Times New Roman" w:cs="Times New Roman"/>
          <w:lang w:val="en-US"/>
        </w:rPr>
        <w:t>CO</w:t>
      </w:r>
      <w:r w:rsidRPr="0070049A">
        <w:rPr>
          <w:rFonts w:ascii="Times New Roman" w:hAnsi="Times New Roman" w:cs="Times New Roman"/>
          <w:vertAlign w:val="subscript"/>
          <w:lang w:val="en-US"/>
        </w:rPr>
        <w:t>2</w:t>
      </w:r>
      <w:r w:rsidRPr="0070049A">
        <w:rPr>
          <w:rFonts w:ascii="Times New Roman" w:hAnsi="Times New Roman" w:cs="Times New Roman"/>
          <w:lang w:val="en-US"/>
        </w:rPr>
        <w:t xml:space="preserve"> over 4 and 8 y respectively, during the period of 2000 to 2020</w:t>
      </w:r>
      <w:r>
        <w:rPr>
          <w:rFonts w:ascii="Times New Roman" w:hAnsi="Times New Roman" w:cs="Times New Roman"/>
          <w:lang w:val="en-US"/>
        </w:rPr>
        <w:t xml:space="preserve"> </w:t>
      </w:r>
      <w:r>
        <w:rPr>
          <w:rFonts w:ascii="Times New Roman" w:hAnsi="Times New Roman" w:cs="Times New Roman"/>
          <w:lang w:val="en-US"/>
        </w:rPr>
        <w:fldChar w:fldCharType="begin" w:fldLock="1"/>
      </w:r>
      <w:r>
        <w:rPr>
          <w:rFonts w:ascii="Times New Roman" w:hAnsi="Times New Roman" w:cs="Times New Roman"/>
          <w:lang w:val="en-US"/>
        </w:rPr>
        <w:instrText>ADDIN CSL_CITATION {"citationItems":[{"id":"ITEM-1","itemData":{"DOI":"10.5194/gmd-10-4405-2017","ISSN":"19919603","abstract":"The isotopic composition of carbon (14°C and 13°C) in atmospheric CO2 and in oceanic and terrestrial carbon reservoirs is influenced by anthropogenic emissions and by natural carbon exchanges, which can respond to and drive changes in climate. Simulations of 14C and 13C in the ocean and terrestrial components of Earth system models (ESMs) present opportunities for model evaluation and for investigation of carbon cycling, including anthropogenic CO2 emissions and uptake. The use of carbon isotopes in novel evaluation of the ESMs' component ocean and terrestrial biosphere models and in new analyses of historical changes may improve predictions of future changes in the carbon cycle and climate system. We compile existing data to produce records of 14C and 13C in atmospheric CO2 for the historical period 1850-2015. The primary motivation for this compilation is to provide the atmospheric boundary condition for historical simulations in the Coupled Model Intercomparison Project 6 (CMIP6) for models simulating carbon isotopes in the ocean or terrestrial biosphere. The data may also be useful for other carbon cycle modelling activities.","author":[{"dropping-particle":"","family":"Graven","given":"Heather","non-dropping-particle":"","parse-names":false,"suffix":""},{"dropping-particle":"","family":"Allison","given":"Colin E.","non-dropping-particle":"","parse-names":false,"suffix":""},{"dropping-particle":"","family":"Etheridge","given":"David M.","non-dropping-particle":"","parse-names":false,"suffix":""},{"dropping-particle":"","family":"Hammer","given":"Samuel","non-dropping-particle":"","parse-names":false,"suffix":""},{"dropping-particle":"","family":"Keeling","given":"Ralph F.","non-dropping-particle":"","parse-names":false,"suffix":""},{"dropping-particle":"","family":"Levin","given":"Ingeborg","non-dropping-particle":"","parse-names":false,"suffix":""},{"dropping-particle":"","family":"Meijer","given":"Harro A.J.","non-dropping-particle":"","parse-names":false,"suffix":""},{"dropping-particle":"","family":"Rubino","given":"Mauro","non-dropping-particle":"","parse-names":false,"suffix":""},{"dropping-particle":"","family":"Tans","given":"Pieter P.","non-dropping-particle":"","parse-names":false,"suffix":""},{"dropping-particle":"","family":"Trudinger","given":"Cathy M.","non-dropping-particle":"","parse-names":false,"suffix":""},{"dropping-particle":"","family":"Vaughn","given":"Bruce H.","non-dropping-particle":"","parse-names":false,"suffix":""},{"dropping-particle":"","family":"White","given":"James W.C.","non-dropping-particle":"","parse-names":false,"suffix":""}],"container-title":"Geoscientific Model Development","id":"ITEM-1","issue":"12","issued":{"date-parts":[["2017"]]},"page":"4405-4417","title":"Compiled records of carbon isotopes in atmospheric CO2 for historical simulations in CMIP6","type":"article-journal","volume":"10"},"uris":["http://www.mendeley.com/documents/?uuid=6aa96373-b2f7-4b37-9665-fd36c44833ed","http://www.mendeley.com/documents/?uuid=d4c15247-9614-4f08-86ff-43d5a33510b6"]}],"mendeley":{"formattedCitation":"(Graven et al., 2017)","plainTextFormattedCitation":"(Graven et al., 2017)","previouslyFormattedCitation":"(Graven et al., 2017)"},"properties":{"noteIndex":0},"schema":"https://github.com/citation-style-language/schema/raw/master/csl-citation.json"}</w:instrText>
      </w:r>
      <w:r>
        <w:rPr>
          <w:rFonts w:ascii="Times New Roman" w:hAnsi="Times New Roman" w:cs="Times New Roman"/>
          <w:lang w:val="en-US"/>
        </w:rPr>
        <w:fldChar w:fldCharType="separate"/>
      </w:r>
      <w:r w:rsidRPr="0070049A">
        <w:rPr>
          <w:rFonts w:ascii="Times New Roman" w:hAnsi="Times New Roman" w:cs="Times New Roman"/>
          <w:noProof/>
          <w:lang w:val="en-US"/>
        </w:rPr>
        <w:t>(Graven et al., 2017)</w:t>
      </w:r>
      <w:r>
        <w:rPr>
          <w:rFonts w:ascii="Times New Roman" w:hAnsi="Times New Roman" w:cs="Times New Roman"/>
          <w:lang w:val="en-US"/>
        </w:rPr>
        <w:fldChar w:fldCharType="end"/>
      </w:r>
      <w:r w:rsidRPr="0070049A">
        <w:rPr>
          <w:rFonts w:ascii="Times New Roman" w:hAnsi="Times New Roman" w:cs="Times New Roman"/>
          <w:lang w:val="en-US"/>
        </w:rPr>
        <w:t>.</w:t>
      </w:r>
      <w:r w:rsidR="003A16EB">
        <w:rPr>
          <w:rFonts w:ascii="Times New Roman" w:hAnsi="Times New Roman" w:cs="Times New Roman"/>
          <w:lang w:val="en-US"/>
        </w:rPr>
        <w:t xml:space="preserve"> The samples from both Central Germany sites (Hainich-Dün and Schorfheide-Chorin) behaved similarly in Experiment one, so </w:t>
      </w:r>
      <w:r w:rsidR="0088771F">
        <w:rPr>
          <w:rFonts w:ascii="Times New Roman" w:hAnsi="Times New Roman" w:cs="Times New Roman"/>
          <w:lang w:val="en-US"/>
        </w:rPr>
        <w:t xml:space="preserve">samples analyzed in the same experiment are </w:t>
      </w:r>
      <w:r w:rsidR="003A16EB">
        <w:rPr>
          <w:rFonts w:ascii="Times New Roman" w:hAnsi="Times New Roman" w:cs="Times New Roman"/>
          <w:lang w:val="en-US"/>
        </w:rPr>
        <w:t>are coded with the same colors</w:t>
      </w:r>
      <w:r w:rsidR="0088771F">
        <w:rPr>
          <w:rFonts w:ascii="Times New Roman" w:hAnsi="Times New Roman" w:cs="Times New Roman"/>
          <w:lang w:val="en-US"/>
        </w:rPr>
        <w:t xml:space="preserve"> </w:t>
      </w:r>
      <w:r w:rsidR="003A16EB">
        <w:rPr>
          <w:rFonts w:ascii="Times New Roman" w:hAnsi="Times New Roman" w:cs="Times New Roman"/>
          <w:lang w:val="en-US"/>
        </w:rPr>
        <w:t>in the above figure.</w:t>
      </w:r>
    </w:p>
    <w:p w14:paraId="04D708CD" w14:textId="489FCBB9" w:rsidR="00C007AE" w:rsidRPr="00D3396F" w:rsidRDefault="00C007AE" w:rsidP="00C007AE">
      <w:pPr>
        <w:pStyle w:val="Normal1"/>
        <w:spacing w:before="120" w:line="360" w:lineRule="auto"/>
        <w:rPr>
          <w:rFonts w:ascii="Times New Roman" w:hAnsi="Times New Roman" w:cs="Times New Roman"/>
          <w:color w:val="333333"/>
          <w:sz w:val="24"/>
          <w:szCs w:val="24"/>
        </w:rPr>
      </w:pPr>
      <w:r w:rsidRPr="00C27016">
        <w:rPr>
          <w:rFonts w:ascii="Times New Roman" w:hAnsi="Times New Roman" w:cs="Times New Roman"/>
          <w:sz w:val="24"/>
          <w:szCs w:val="24"/>
        </w:rPr>
        <w:t xml:space="preserve">Treatment samples in Experiment 1 and Experiment 2 consistently showed significant </w:t>
      </w:r>
      <w:r w:rsidR="00D3396F">
        <w:rPr>
          <w:rFonts w:ascii="Times New Roman" w:hAnsi="Times New Roman" w:cs="Times New Roman"/>
          <w:sz w:val="24"/>
          <w:szCs w:val="24"/>
        </w:rPr>
        <w:t xml:space="preserve">differences (alpha =  0.05) </w:t>
      </w:r>
      <w:r w:rsidRPr="00C27016">
        <w:rPr>
          <w:rFonts w:ascii="Times New Roman" w:hAnsi="Times New Roman" w:cs="Times New Roman"/>
          <w:sz w:val="24"/>
          <w:szCs w:val="24"/>
        </w:rPr>
        <w:t xml:space="preserve">in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sidRPr="00C27016">
        <w:rPr>
          <w:rFonts w:ascii="Times New Roman" w:hAnsi="Times New Roman" w:cs="Times New Roman"/>
          <w:color w:val="333333"/>
          <w:sz w:val="24"/>
          <w:szCs w:val="24"/>
          <w:highlight w:val="white"/>
        </w:rPr>
        <w:t xml:space="preserve"> </w:t>
      </w:r>
      <w:r w:rsidRPr="00C27016">
        <w:rPr>
          <w:rFonts w:ascii="Times New Roman" w:hAnsi="Times New Roman" w:cs="Times New Roman"/>
          <w:sz w:val="24"/>
          <w:szCs w:val="24"/>
        </w:rPr>
        <w:t xml:space="preserve">relative to the controls for both forest and grassland soils (Supplementary Fig. 3). </w:t>
      </w:r>
      <w:r w:rsidR="00984FFA">
        <w:rPr>
          <w:rFonts w:ascii="Times New Roman" w:hAnsi="Times New Roman" w:cs="Times New Roman"/>
          <w:sz w:val="24"/>
          <w:szCs w:val="24"/>
        </w:rPr>
        <w:t>D</w:t>
      </w:r>
      <w:r w:rsidRPr="00C27016">
        <w:rPr>
          <w:rFonts w:ascii="Times New Roman" w:hAnsi="Times New Roman" w:cs="Times New Roman"/>
          <w:sz w:val="24"/>
          <w:szCs w:val="24"/>
        </w:rPr>
        <w:t>ifference</w:t>
      </w:r>
      <w:r w:rsidR="00984FFA">
        <w:rPr>
          <w:rFonts w:ascii="Times New Roman" w:hAnsi="Times New Roman" w:cs="Times New Roman"/>
          <w:sz w:val="24"/>
          <w:szCs w:val="24"/>
        </w:rPr>
        <w:t>s</w:t>
      </w:r>
      <w:r w:rsidRPr="00C27016">
        <w:rPr>
          <w:rFonts w:ascii="Times New Roman" w:hAnsi="Times New Roman" w:cs="Times New Roman"/>
          <w:sz w:val="24"/>
          <w:szCs w:val="24"/>
        </w:rPr>
        <w:t xml:space="preserve"> in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sidRPr="00C27016">
        <w:rPr>
          <w:rFonts w:ascii="Times New Roman" w:hAnsi="Times New Roman" w:cs="Times New Roman"/>
          <w:color w:val="333333"/>
          <w:sz w:val="24"/>
          <w:szCs w:val="24"/>
          <w:highlight w:val="white"/>
        </w:rPr>
        <w:t xml:space="preserve"> </w:t>
      </w:r>
      <w:r w:rsidR="00984FFA">
        <w:rPr>
          <w:rFonts w:ascii="Times New Roman" w:hAnsi="Times New Roman" w:cs="Times New Roman"/>
          <w:sz w:val="24"/>
          <w:szCs w:val="24"/>
        </w:rPr>
        <w:t>were slightly larger in forest soils than grassland soils across experiments</w:t>
      </w:r>
      <w:r w:rsidRPr="00C27016">
        <w:rPr>
          <w:rFonts w:ascii="Times New Roman" w:hAnsi="Times New Roman" w:cs="Times New Roman"/>
          <w:color w:val="333333"/>
          <w:sz w:val="24"/>
          <w:szCs w:val="24"/>
          <w:highlight w:val="white"/>
        </w:rPr>
        <w:t xml:space="preserve"> (Table 3).</w:t>
      </w:r>
      <w:r w:rsidR="00D3396F">
        <w:rPr>
          <w:rFonts w:ascii="Times New Roman" w:hAnsi="Times New Roman" w:cs="Times New Roman"/>
          <w:color w:val="333333"/>
          <w:sz w:val="24"/>
          <w:szCs w:val="24"/>
        </w:rPr>
        <w:t xml:space="preserve"> Comparisons of </w:t>
      </w:r>
      <w:r w:rsidR="00D3396F" w:rsidRPr="00C27016">
        <w:rPr>
          <w:rFonts w:ascii="Times New Roman" w:hAnsi="Times New Roman" w:cs="Times New Roman"/>
          <w:color w:val="333333"/>
          <w:sz w:val="24"/>
          <w:szCs w:val="24"/>
          <w:highlight w:val="white"/>
        </w:rPr>
        <w:t>δ</w:t>
      </w:r>
      <w:r w:rsidR="00D3396F" w:rsidRPr="00C27016">
        <w:rPr>
          <w:rFonts w:ascii="Times New Roman" w:hAnsi="Times New Roman" w:cs="Times New Roman"/>
          <w:color w:val="333333"/>
          <w:sz w:val="24"/>
          <w:szCs w:val="24"/>
          <w:highlight w:val="white"/>
          <w:vertAlign w:val="superscript"/>
        </w:rPr>
        <w:t>13</w:t>
      </w:r>
      <w:r w:rsidR="00D3396F" w:rsidRPr="00C27016">
        <w:rPr>
          <w:rFonts w:ascii="Times New Roman" w:hAnsi="Times New Roman" w:cs="Times New Roman"/>
          <w:color w:val="333333"/>
          <w:sz w:val="24"/>
          <w:szCs w:val="24"/>
          <w:highlight w:val="white"/>
        </w:rPr>
        <w:t>C-CO</w:t>
      </w:r>
      <w:r w:rsidR="00D3396F" w:rsidRPr="00C27016">
        <w:rPr>
          <w:rFonts w:ascii="Times New Roman" w:hAnsi="Times New Roman" w:cs="Times New Roman"/>
          <w:color w:val="333333"/>
          <w:sz w:val="24"/>
          <w:szCs w:val="24"/>
          <w:highlight w:val="white"/>
          <w:vertAlign w:val="subscript"/>
        </w:rPr>
        <w:t>2</w:t>
      </w:r>
      <w:r w:rsidR="00D3396F">
        <w:rPr>
          <w:rFonts w:ascii="Times New Roman" w:hAnsi="Times New Roman" w:cs="Times New Roman"/>
          <w:color w:val="333333"/>
          <w:sz w:val="24"/>
          <w:szCs w:val="24"/>
        </w:rPr>
        <w:t xml:space="preserve"> were not made for Experiment 3 samples owing to a lack of data for the control-3 samples.</w:t>
      </w:r>
    </w:p>
    <w:p w14:paraId="4879439D" w14:textId="77777777" w:rsidR="00C007AE" w:rsidRPr="00C27016" w:rsidRDefault="00C007AE" w:rsidP="00C007AE">
      <w:pPr>
        <w:pStyle w:val="Normal1"/>
        <w:spacing w:before="120"/>
        <w:ind w:firstLine="720"/>
        <w:rPr>
          <w:rFonts w:ascii="Times New Roman" w:hAnsi="Times New Roman" w:cs="Times New Roman"/>
          <w:sz w:val="24"/>
          <w:szCs w:val="24"/>
          <w:vertAlign w:val="subscript"/>
        </w:rPr>
      </w:pPr>
      <w:r w:rsidRPr="00DD56A7">
        <w:rPr>
          <w:rFonts w:ascii="Times New Roman" w:eastAsia="Arial Unicode MS" w:hAnsi="Times New Roman" w:cs="Times New Roman"/>
          <w:sz w:val="24"/>
          <w:szCs w:val="24"/>
        </w:rPr>
        <w:t>3.4. Storage duration effect on ∆</w:t>
      </w:r>
      <w:r w:rsidRPr="00DD56A7">
        <w:rPr>
          <w:rFonts w:ascii="Times New Roman" w:hAnsi="Times New Roman" w:cs="Times New Roman"/>
          <w:sz w:val="24"/>
          <w:szCs w:val="24"/>
          <w:vertAlign w:val="superscript"/>
        </w:rPr>
        <w:t>14</w:t>
      </w:r>
      <w:r w:rsidRPr="00DD56A7">
        <w:rPr>
          <w:rFonts w:ascii="Times New Roman" w:hAnsi="Times New Roman" w:cs="Times New Roman"/>
          <w:sz w:val="24"/>
          <w:szCs w:val="24"/>
        </w:rPr>
        <w:t>C-CO</w:t>
      </w:r>
      <w:r w:rsidRPr="00DD56A7">
        <w:rPr>
          <w:rFonts w:ascii="Times New Roman" w:hAnsi="Times New Roman" w:cs="Times New Roman"/>
          <w:sz w:val="24"/>
          <w:szCs w:val="24"/>
          <w:vertAlign w:val="subscript"/>
        </w:rPr>
        <w:t>2</w:t>
      </w:r>
    </w:p>
    <w:p w14:paraId="6F23BF24" w14:textId="5ABF007B" w:rsidR="00C007AE" w:rsidRDefault="00C007AE" w:rsidP="00C007AE">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 xml:space="preserve">We used data from both Experiment 1 and Experiment 3 to </w:t>
      </w:r>
      <w:r w:rsidR="00C63EA9">
        <w:rPr>
          <w:rFonts w:ascii="Times New Roman" w:eastAsia="Arial Unicode MS" w:hAnsi="Times New Roman" w:cs="Times New Roman"/>
          <w:sz w:val="24"/>
          <w:szCs w:val="24"/>
        </w:rPr>
        <w:t>assess</w:t>
      </w:r>
      <w:r w:rsidRPr="00C27016">
        <w:rPr>
          <w:rFonts w:ascii="Times New Roman" w:eastAsia="Arial Unicode MS" w:hAnsi="Times New Roman" w:cs="Times New Roman"/>
          <w:sz w:val="24"/>
          <w:szCs w:val="24"/>
        </w:rPr>
        <w:t xml:space="preserve"> the effect of storage duration. </w:t>
      </w:r>
      <w:r w:rsidR="00832F3A">
        <w:rPr>
          <w:rFonts w:ascii="Times New Roman" w:eastAsia="Arial Unicode MS" w:hAnsi="Times New Roman" w:cs="Times New Roman"/>
          <w:sz w:val="24"/>
          <w:szCs w:val="24"/>
        </w:rPr>
        <w:t>The longest duration of storage was 14 y, while the shortest was 5 y.</w:t>
      </w:r>
      <w:r w:rsidR="00832F3A">
        <w:rPr>
          <w:rFonts w:ascii="Times New Roman" w:hAnsi="Times New Roman" w:cs="Times New Roman"/>
          <w:sz w:val="24"/>
          <w:szCs w:val="24"/>
        </w:rPr>
        <w:t xml:space="preserve"> Over this range of time w</w:t>
      </w:r>
      <w:r w:rsidR="00832F3A">
        <w:rPr>
          <w:rFonts w:ascii="Times New Roman" w:eastAsia="Arial Unicode MS" w:hAnsi="Times New Roman" w:cs="Times New Roman"/>
          <w:sz w:val="24"/>
          <w:szCs w:val="24"/>
        </w:rPr>
        <w:t>e</w:t>
      </w:r>
      <w:r w:rsidR="00C63EA9">
        <w:rPr>
          <w:rFonts w:ascii="Times New Roman" w:eastAsia="Arial Unicode MS" w:hAnsi="Times New Roman" w:cs="Times New Roman"/>
          <w:sz w:val="24"/>
          <w:szCs w:val="24"/>
        </w:rPr>
        <w:t xml:space="preserve"> did not observe a trend in the difference between control and treatment </w:t>
      </w:r>
      <w:r w:rsidR="00C63EA9" w:rsidRPr="00C27016">
        <w:rPr>
          <w:rFonts w:ascii="Times New Roman" w:eastAsia="Arial Unicode MS" w:hAnsi="Times New Roman" w:cs="Times New Roman"/>
          <w:sz w:val="24"/>
          <w:szCs w:val="24"/>
        </w:rPr>
        <w:t>∆</w:t>
      </w:r>
      <w:r w:rsidR="00C63EA9" w:rsidRPr="00C27016">
        <w:rPr>
          <w:rFonts w:ascii="Times New Roman" w:hAnsi="Times New Roman" w:cs="Times New Roman"/>
          <w:sz w:val="24"/>
          <w:szCs w:val="24"/>
          <w:vertAlign w:val="superscript"/>
        </w:rPr>
        <w:t>14</w:t>
      </w:r>
      <w:r w:rsidR="00C63EA9" w:rsidRPr="00C27016">
        <w:rPr>
          <w:rFonts w:ascii="Times New Roman" w:hAnsi="Times New Roman" w:cs="Times New Roman"/>
          <w:sz w:val="24"/>
          <w:szCs w:val="24"/>
        </w:rPr>
        <w:t>C-CO</w:t>
      </w:r>
      <w:r w:rsidR="00C63EA9" w:rsidRPr="00C27016">
        <w:rPr>
          <w:rFonts w:ascii="Times New Roman" w:hAnsi="Times New Roman" w:cs="Times New Roman"/>
          <w:sz w:val="24"/>
          <w:szCs w:val="24"/>
          <w:vertAlign w:val="subscript"/>
        </w:rPr>
        <w:t>2</w:t>
      </w:r>
      <w:r w:rsidR="00C63EA9">
        <w:rPr>
          <w:rFonts w:ascii="Times New Roman" w:eastAsia="Arial Unicode MS" w:hAnsi="Times New Roman" w:cs="Times New Roman"/>
          <w:sz w:val="24"/>
          <w:szCs w:val="24"/>
        </w:rPr>
        <w:t xml:space="preserve"> with increasing duration of storage </w:t>
      </w:r>
      <w:r w:rsidR="00C63EA9" w:rsidRPr="00C27016">
        <w:rPr>
          <w:rFonts w:ascii="Times New Roman" w:eastAsia="Arial Unicode MS" w:hAnsi="Times New Roman" w:cs="Times New Roman"/>
          <w:sz w:val="24"/>
          <w:szCs w:val="24"/>
        </w:rPr>
        <w:t>(Fig. 4</w:t>
      </w:r>
      <w:r w:rsidR="00C63EA9">
        <w:rPr>
          <w:rFonts w:ascii="Times New Roman" w:eastAsia="Arial Unicode MS" w:hAnsi="Times New Roman" w:cs="Times New Roman"/>
          <w:sz w:val="24"/>
          <w:szCs w:val="24"/>
        </w:rPr>
        <w:t>).</w:t>
      </w:r>
      <w:r w:rsidRPr="00C27016">
        <w:rPr>
          <w:rFonts w:ascii="Times New Roman" w:eastAsia="Arial Unicode MS" w:hAnsi="Times New Roman" w:cs="Times New Roman"/>
          <w:sz w:val="24"/>
          <w:szCs w:val="24"/>
        </w:rPr>
        <w:t xml:space="preserve"> </w:t>
      </w:r>
    </w:p>
    <w:p w14:paraId="4968B181" w14:textId="7F5C0674" w:rsidR="00C007AE" w:rsidRDefault="0017453A" w:rsidP="00C007AE">
      <w:pPr>
        <w:pStyle w:val="Normal1"/>
        <w:spacing w:before="120"/>
        <w:rPr>
          <w:rFonts w:ascii="Times New Roman" w:hAnsi="Times New Roman" w:cs="Times New Roman"/>
          <w:lang w:val="en-US"/>
        </w:rPr>
      </w:pPr>
      <w:r>
        <w:rPr>
          <w:rFonts w:ascii="Times New Roman" w:hAnsi="Times New Roman" w:cs="Times New Roman"/>
          <w:noProof/>
          <w:lang w:val="en-US"/>
        </w:rPr>
        <w:drawing>
          <wp:inline distT="0" distB="0" distL="0" distR="0" wp14:anchorId="3C17CBEF" wp14:editId="2CB3CFBC">
            <wp:extent cx="5486400" cy="3494239"/>
            <wp:effectExtent l="0" t="0" r="0" b="114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3494239"/>
                    </a:xfrm>
                    <a:prstGeom prst="rect">
                      <a:avLst/>
                    </a:prstGeom>
                    <a:noFill/>
                    <a:ln>
                      <a:noFill/>
                    </a:ln>
                  </pic:spPr>
                </pic:pic>
              </a:graphicData>
            </a:graphic>
          </wp:inline>
        </w:drawing>
      </w:r>
    </w:p>
    <w:p w14:paraId="506E6B38" w14:textId="77777777" w:rsidR="00C007AE" w:rsidRPr="002313B4" w:rsidRDefault="00C007AE" w:rsidP="00C007AE">
      <w:pPr>
        <w:pStyle w:val="Normal1"/>
        <w:spacing w:after="120" w:line="240" w:lineRule="auto"/>
        <w:ind w:left="360" w:right="360"/>
        <w:rPr>
          <w:rFonts w:ascii="Times New Roman" w:hAnsi="Times New Roman" w:cs="Times New Roman"/>
          <w:b/>
          <w:sz w:val="24"/>
          <w:szCs w:val="24"/>
          <w:lang w:val="en-US"/>
        </w:rPr>
      </w:pPr>
      <w:r>
        <w:rPr>
          <w:rFonts w:ascii="Times New Roman" w:hAnsi="Times New Roman" w:cs="Times New Roman"/>
          <w:b/>
          <w:sz w:val="24"/>
          <w:szCs w:val="24"/>
        </w:rPr>
        <w:t>Figure 4</w:t>
      </w:r>
      <w:r w:rsidRPr="002313B4">
        <w:rPr>
          <w:rFonts w:ascii="Times New Roman" w:hAnsi="Times New Roman" w:cs="Times New Roman"/>
          <w:b/>
          <w:sz w:val="24"/>
          <w:szCs w:val="24"/>
        </w:rPr>
        <w:t xml:space="preserve">. </w:t>
      </w:r>
      <w:r>
        <w:rPr>
          <w:rFonts w:ascii="Times New Roman" w:hAnsi="Times New Roman" w:cs="Times New Roman"/>
          <w:sz w:val="24"/>
          <w:szCs w:val="24"/>
        </w:rPr>
        <w:t>Treatment e</w:t>
      </w:r>
      <w:r w:rsidRPr="00B51E3A">
        <w:rPr>
          <w:rFonts w:ascii="Times New Roman" w:hAnsi="Times New Roman" w:cs="Times New Roman"/>
          <w:sz w:val="24"/>
          <w:szCs w:val="24"/>
        </w:rPr>
        <w:t xml:space="preserve">ffect on </w:t>
      </w:r>
      <w:r w:rsidRPr="00B51E3A">
        <w:rPr>
          <w:rFonts w:ascii="Times New Roman" w:hAnsi="Times New Roman" w:cs="Times New Roman"/>
          <w:sz w:val="24"/>
          <w:szCs w:val="24"/>
          <w:lang w:val="en-US"/>
        </w:rPr>
        <w:t>Δ</w:t>
      </w:r>
      <w:r w:rsidRPr="00B51E3A">
        <w:rPr>
          <w:rFonts w:ascii="Times New Roman" w:hAnsi="Times New Roman" w:cs="Times New Roman"/>
          <w:sz w:val="24"/>
          <w:szCs w:val="24"/>
          <w:vertAlign w:val="superscript"/>
          <w:lang w:val="en-US"/>
        </w:rPr>
        <w:t>14</w:t>
      </w:r>
      <w:r w:rsidRPr="00B51E3A">
        <w:rPr>
          <w:rFonts w:ascii="Times New Roman" w:hAnsi="Times New Roman" w:cs="Times New Roman"/>
          <w:sz w:val="24"/>
          <w:szCs w:val="24"/>
          <w:lang w:val="en-US"/>
        </w:rPr>
        <w:t>C-CO</w:t>
      </w:r>
      <w:r w:rsidRPr="00B51E3A">
        <w:rPr>
          <w:rFonts w:ascii="Times New Roman" w:hAnsi="Times New Roman" w:cs="Times New Roman"/>
          <w:sz w:val="24"/>
          <w:szCs w:val="24"/>
          <w:vertAlign w:val="subscript"/>
          <w:lang w:val="en-US"/>
        </w:rPr>
        <w:t xml:space="preserve">2 </w:t>
      </w:r>
      <w:r>
        <w:rPr>
          <w:rFonts w:ascii="Times New Roman" w:hAnsi="Times New Roman" w:cs="Times New Roman"/>
          <w:sz w:val="24"/>
          <w:szCs w:val="24"/>
        </w:rPr>
        <w:t>in relation to s</w:t>
      </w:r>
      <w:r w:rsidRPr="00B51E3A">
        <w:rPr>
          <w:rFonts w:ascii="Times New Roman" w:hAnsi="Times New Roman" w:cs="Times New Roman"/>
          <w:sz w:val="24"/>
          <w:szCs w:val="24"/>
        </w:rPr>
        <w:t xml:space="preserve">torage </w:t>
      </w:r>
      <w:r>
        <w:rPr>
          <w:rFonts w:ascii="Times New Roman" w:hAnsi="Times New Roman" w:cs="Times New Roman"/>
          <w:sz w:val="24"/>
          <w:szCs w:val="24"/>
        </w:rPr>
        <w:t>d</w:t>
      </w:r>
      <w:r w:rsidRPr="00B51E3A">
        <w:rPr>
          <w:rFonts w:ascii="Times New Roman" w:hAnsi="Times New Roman" w:cs="Times New Roman"/>
          <w:sz w:val="24"/>
          <w:szCs w:val="24"/>
        </w:rPr>
        <w:t>uration</w:t>
      </w:r>
      <w:r w:rsidRPr="0070049A">
        <w:rPr>
          <w:rFonts w:ascii="Times New Roman" w:hAnsi="Times New Roman" w:cs="Times New Roman"/>
          <w:b/>
          <w:sz w:val="24"/>
          <w:szCs w:val="24"/>
          <w:lang w:val="en-US"/>
        </w:rPr>
        <w:t xml:space="preserve"> </w:t>
      </w:r>
    </w:p>
    <w:p w14:paraId="37141684" w14:textId="3105936D" w:rsidR="00C007AE" w:rsidRPr="0070049A" w:rsidRDefault="00C007AE" w:rsidP="00C007AE">
      <w:pPr>
        <w:pStyle w:val="Normal1"/>
        <w:spacing w:line="360" w:lineRule="auto"/>
        <w:ind w:left="360" w:right="360"/>
        <w:rPr>
          <w:rFonts w:ascii="Times New Roman" w:hAnsi="Times New Roman" w:cs="Times New Roman"/>
          <w:lang w:val="en-US"/>
        </w:rPr>
      </w:pPr>
      <w:r w:rsidRPr="0070049A">
        <w:rPr>
          <w:rFonts w:ascii="Times New Roman" w:hAnsi="Times New Roman" w:cs="Times New Roman"/>
          <w:lang w:val="en-US"/>
        </w:rPr>
        <w:t xml:space="preserve">Points show data from </w:t>
      </w:r>
      <w:r w:rsidR="002B3CFB">
        <w:rPr>
          <w:rFonts w:ascii="Times New Roman" w:hAnsi="Times New Roman" w:cs="Times New Roman"/>
          <w:lang w:val="en-US"/>
        </w:rPr>
        <w:t xml:space="preserve">experiments 1 and 3. </w:t>
      </w:r>
      <w:r>
        <w:rPr>
          <w:rFonts w:ascii="Times New Roman" w:hAnsi="Times New Roman" w:cs="Times New Roman"/>
          <w:lang w:val="en-US"/>
        </w:rPr>
        <w:t xml:space="preserve">Data are averaged by </w:t>
      </w:r>
      <w:r w:rsidR="002B3CFB">
        <w:rPr>
          <w:rFonts w:ascii="Times New Roman" w:hAnsi="Times New Roman" w:cs="Times New Roman"/>
          <w:lang w:val="en-US"/>
        </w:rPr>
        <w:t>site</w:t>
      </w:r>
      <w:r>
        <w:rPr>
          <w:rFonts w:ascii="Times New Roman" w:hAnsi="Times New Roman" w:cs="Times New Roman"/>
          <w:lang w:val="en-US"/>
        </w:rPr>
        <w:t xml:space="preserve"> (some </w:t>
      </w:r>
      <w:r w:rsidR="002B3CFB">
        <w:rPr>
          <w:rFonts w:ascii="Times New Roman" w:hAnsi="Times New Roman" w:cs="Times New Roman"/>
          <w:lang w:val="en-US"/>
        </w:rPr>
        <w:t>regions</w:t>
      </w:r>
      <w:r>
        <w:rPr>
          <w:rFonts w:ascii="Times New Roman" w:hAnsi="Times New Roman" w:cs="Times New Roman"/>
          <w:lang w:val="en-US"/>
        </w:rPr>
        <w:t xml:space="preserve"> had multiple sites</w:t>
      </w:r>
      <w:r w:rsidR="002B3CFB">
        <w:rPr>
          <w:rFonts w:ascii="Times New Roman" w:hAnsi="Times New Roman" w:cs="Times New Roman"/>
          <w:lang w:val="en-US"/>
        </w:rPr>
        <w:t>, Table 3</w:t>
      </w:r>
      <w:r>
        <w:rPr>
          <w:rFonts w:ascii="Times New Roman" w:hAnsi="Times New Roman" w:cs="Times New Roman"/>
          <w:lang w:val="en-US"/>
        </w:rPr>
        <w:t xml:space="preserve">) and error </w:t>
      </w:r>
      <w:r w:rsidRPr="0070049A">
        <w:rPr>
          <w:rFonts w:ascii="Times New Roman" w:hAnsi="Times New Roman" w:cs="Times New Roman"/>
          <w:lang w:val="en-US"/>
        </w:rPr>
        <w:t xml:space="preserve">bars </w:t>
      </w:r>
      <w:r>
        <w:rPr>
          <w:rFonts w:ascii="Times New Roman" w:hAnsi="Times New Roman" w:cs="Times New Roman"/>
          <w:lang w:val="en-US"/>
        </w:rPr>
        <w:t>show</w:t>
      </w:r>
      <w:r w:rsidRPr="0070049A">
        <w:rPr>
          <w:rFonts w:ascii="Times New Roman" w:hAnsi="Times New Roman" w:cs="Times New Roman"/>
          <w:lang w:val="en-US"/>
        </w:rPr>
        <w:t xml:space="preserve"> </w:t>
      </w:r>
      <w:r w:rsidR="0053650B">
        <w:rPr>
          <w:rFonts w:ascii="Times New Roman" w:hAnsi="Times New Roman" w:cs="Times New Roman"/>
          <w:lang w:val="en-US"/>
        </w:rPr>
        <w:t xml:space="preserve">the standard deviation for the </w:t>
      </w:r>
      <w:r w:rsidR="002B3CFB">
        <w:rPr>
          <w:rFonts w:ascii="Times New Roman" w:hAnsi="Times New Roman" w:cs="Times New Roman"/>
          <w:lang w:val="en-US"/>
        </w:rPr>
        <w:t>site</w:t>
      </w:r>
      <w:r w:rsidR="0053650B">
        <w:rPr>
          <w:rFonts w:ascii="Times New Roman" w:hAnsi="Times New Roman" w:cs="Times New Roman"/>
          <w:lang w:val="en-US"/>
        </w:rPr>
        <w:t xml:space="preserve"> mean</w:t>
      </w:r>
      <w:r w:rsidRPr="0070049A">
        <w:rPr>
          <w:rFonts w:ascii="Times New Roman" w:hAnsi="Times New Roman" w:cs="Times New Roman"/>
          <w:lang w:val="en-US"/>
        </w:rPr>
        <w:t xml:space="preserve">. </w:t>
      </w:r>
      <w:r w:rsidR="002B3CFB">
        <w:rPr>
          <w:rFonts w:ascii="Times New Roman" w:hAnsi="Times New Roman" w:cs="Times New Roman"/>
          <w:lang w:val="en-US"/>
        </w:rPr>
        <w:t xml:space="preserve">Note that Central Germany samples from Experiments 1 and 3 are averaged together here. </w:t>
      </w:r>
      <w:r w:rsidRPr="0070049A">
        <w:rPr>
          <w:rFonts w:ascii="Times New Roman" w:hAnsi="Times New Roman" w:cs="Times New Roman"/>
          <w:lang w:val="en-US"/>
        </w:rPr>
        <w:t>For context, the dashed and dotted</w:t>
      </w:r>
      <w:r>
        <w:rPr>
          <w:rFonts w:ascii="Times New Roman" w:hAnsi="Times New Roman" w:cs="Times New Roman"/>
          <w:lang w:val="en-US"/>
        </w:rPr>
        <w:t xml:space="preserve"> lines show </w:t>
      </w:r>
      <w:r w:rsidRPr="0070049A">
        <w:rPr>
          <w:rFonts w:ascii="Times New Roman" w:hAnsi="Times New Roman" w:cs="Times New Roman"/>
          <w:lang w:val="en-US"/>
        </w:rPr>
        <w:t>differences of ±20‰ and ±40‰, equivalent to the decline in Δ</w:t>
      </w:r>
      <w:r w:rsidRPr="0070049A">
        <w:rPr>
          <w:rFonts w:ascii="Times New Roman" w:hAnsi="Times New Roman" w:cs="Times New Roman"/>
          <w:vertAlign w:val="superscript"/>
          <w:lang w:val="en-US"/>
        </w:rPr>
        <w:t>14</w:t>
      </w:r>
      <w:r w:rsidRPr="0070049A">
        <w:rPr>
          <w:rFonts w:ascii="Times New Roman" w:hAnsi="Times New Roman" w:cs="Times New Roman"/>
          <w:lang w:val="en-US"/>
        </w:rPr>
        <w:t>C in atmospheric</w:t>
      </w:r>
      <w:r>
        <w:rPr>
          <w:rFonts w:ascii="Times New Roman" w:hAnsi="Times New Roman" w:cs="Times New Roman"/>
          <w:lang w:val="en-US"/>
        </w:rPr>
        <w:t xml:space="preserve"> </w:t>
      </w:r>
      <w:r w:rsidRPr="0070049A">
        <w:rPr>
          <w:rFonts w:ascii="Times New Roman" w:hAnsi="Times New Roman" w:cs="Times New Roman"/>
          <w:lang w:val="en-US"/>
        </w:rPr>
        <w:t>CO</w:t>
      </w:r>
      <w:r w:rsidRPr="0070049A">
        <w:rPr>
          <w:rFonts w:ascii="Times New Roman" w:hAnsi="Times New Roman" w:cs="Times New Roman"/>
          <w:vertAlign w:val="subscript"/>
          <w:lang w:val="en-US"/>
        </w:rPr>
        <w:t>2</w:t>
      </w:r>
      <w:r w:rsidRPr="0070049A">
        <w:rPr>
          <w:rFonts w:ascii="Times New Roman" w:hAnsi="Times New Roman" w:cs="Times New Roman"/>
          <w:lang w:val="en-US"/>
        </w:rPr>
        <w:t xml:space="preserve"> over 4 and 8 y respectively, during the period of 2000 to 2020</w:t>
      </w:r>
      <w:r>
        <w:rPr>
          <w:rFonts w:ascii="Times New Roman" w:hAnsi="Times New Roman" w:cs="Times New Roman"/>
          <w:lang w:val="en-US"/>
        </w:rPr>
        <w:t xml:space="preserve"> </w:t>
      </w:r>
      <w:r>
        <w:rPr>
          <w:rFonts w:ascii="Times New Roman" w:hAnsi="Times New Roman" w:cs="Times New Roman"/>
          <w:lang w:val="en-US"/>
        </w:rPr>
        <w:fldChar w:fldCharType="begin" w:fldLock="1"/>
      </w:r>
      <w:r>
        <w:rPr>
          <w:rFonts w:ascii="Times New Roman" w:hAnsi="Times New Roman" w:cs="Times New Roman"/>
          <w:lang w:val="en-US"/>
        </w:rPr>
        <w:instrText>ADDIN CSL_CITATION {"citationItems":[{"id":"ITEM-1","itemData":{"DOI":"10.5194/gmd-10-4405-2017","ISSN":"19919603","abstract":"The isotopic composition of carbon (14°C and 13°C) in atmospheric CO2 and in oceanic and terrestrial carbon reservoirs is influenced by anthropogenic emissions and by natural carbon exchanges, which can respond to and drive changes in climate. Simulations of 14C and 13C in the ocean and terrestrial components of Earth system models (ESMs) present opportunities for model evaluation and for investigation of carbon cycling, including anthropogenic CO2 emissions and uptake. The use of carbon isotopes in novel evaluation of the ESMs' component ocean and terrestrial biosphere models and in new analyses of historical changes may improve predictions of future changes in the carbon cycle and climate system. We compile existing data to produce records of 14C and 13C in atmospheric CO2 for the historical period 1850-2015. The primary motivation for this compilation is to provide the atmospheric boundary condition for historical simulations in the Coupled Model Intercomparison Project 6 (CMIP6) for models simulating carbon isotopes in the ocean or terrestrial biosphere. The data may also be useful for other carbon cycle modelling activities.","author":[{"dropping-particle":"","family":"Graven","given":"Heather","non-dropping-particle":"","parse-names":false,"suffix":""},{"dropping-particle":"","family":"Allison","given":"Colin E.","non-dropping-particle":"","parse-names":false,"suffix":""},{"dropping-particle":"","family":"Etheridge","given":"David M.","non-dropping-particle":"","parse-names":false,"suffix":""},{"dropping-particle":"","family":"Hammer","given":"Samuel","non-dropping-particle":"","parse-names":false,"suffix":""},{"dropping-particle":"","family":"Keeling","given":"Ralph F.","non-dropping-particle":"","parse-names":false,"suffix":""},{"dropping-particle":"","family":"Levin","given":"Ingeborg","non-dropping-particle":"","parse-names":false,"suffix":""},{"dropping-particle":"","family":"Meijer","given":"Harro A.J.","non-dropping-particle":"","parse-names":false,"suffix":""},{"dropping-particle":"","family":"Rubino","given":"Mauro","non-dropping-particle":"","parse-names":false,"suffix":""},{"dropping-particle":"","family":"Tans","given":"Pieter P.","non-dropping-particle":"","parse-names":false,"suffix":""},{"dropping-particle":"","family":"Trudinger","given":"Cathy M.","non-dropping-particle":"","parse-names":false,"suffix":""},{"dropping-particle":"","family":"Vaughn","given":"Bruce H.","non-dropping-particle":"","parse-names":false,"suffix":""},{"dropping-particle":"","family":"White","given":"James W.C.","non-dropping-particle":"","parse-names":false,"suffix":""}],"container-title":"Geoscientific Model Development","id":"ITEM-1","issue":"12","issued":{"date-parts":[["2017"]]},"page":"4405-4417","title":"Compiled records of carbon isotopes in atmospheric CO2 for historical simulations in CMIP6","type":"article-journal","volume":"10"},"uris":["http://www.mendeley.com/documents/?uuid=6aa96373-b2f7-4b37-9665-fd36c44833ed","http://www.mendeley.com/documents/?uuid=d4c15247-9614-4f08-86ff-43d5a33510b6"]}],"mendeley":{"formattedCitation":"(Graven et al., 2017)","plainTextFormattedCitation":"(Graven et al., 2017)","previouslyFormattedCitation":"(Graven et al., 2017)"},"properties":{"noteIndex":0},"schema":"https://github.com/citation-style-language/schema/raw/master/csl-citation.json"}</w:instrText>
      </w:r>
      <w:r>
        <w:rPr>
          <w:rFonts w:ascii="Times New Roman" w:hAnsi="Times New Roman" w:cs="Times New Roman"/>
          <w:lang w:val="en-US"/>
        </w:rPr>
        <w:fldChar w:fldCharType="separate"/>
      </w:r>
      <w:r w:rsidRPr="0070049A">
        <w:rPr>
          <w:rFonts w:ascii="Times New Roman" w:hAnsi="Times New Roman" w:cs="Times New Roman"/>
          <w:noProof/>
          <w:lang w:val="en-US"/>
        </w:rPr>
        <w:t>(Graven et al., 2017)</w:t>
      </w:r>
      <w:r>
        <w:rPr>
          <w:rFonts w:ascii="Times New Roman" w:hAnsi="Times New Roman" w:cs="Times New Roman"/>
          <w:lang w:val="en-US"/>
        </w:rPr>
        <w:fldChar w:fldCharType="end"/>
      </w:r>
      <w:r w:rsidRPr="0070049A">
        <w:rPr>
          <w:rFonts w:ascii="Times New Roman" w:hAnsi="Times New Roman" w:cs="Times New Roman"/>
          <w:lang w:val="en-US"/>
        </w:rPr>
        <w:t>.</w:t>
      </w:r>
    </w:p>
    <w:p w14:paraId="18B09142" w14:textId="77777777" w:rsidR="00C007AE" w:rsidRPr="00C27016" w:rsidRDefault="00C007AE" w:rsidP="00C007AE">
      <w:pPr>
        <w:pStyle w:val="Normal1"/>
        <w:spacing w:before="240" w:after="120" w:line="360" w:lineRule="auto"/>
        <w:ind w:firstLine="720"/>
        <w:rPr>
          <w:rFonts w:ascii="Times New Roman" w:hAnsi="Times New Roman" w:cs="Times New Roman"/>
          <w:sz w:val="24"/>
          <w:szCs w:val="24"/>
        </w:rPr>
      </w:pPr>
      <w:r w:rsidRPr="00C27016">
        <w:rPr>
          <w:rFonts w:ascii="Times New Roman" w:eastAsia="Arial Unicode MS" w:hAnsi="Times New Roman" w:cs="Times New Roman"/>
          <w:sz w:val="24"/>
          <w:szCs w:val="24"/>
        </w:rPr>
        <w:t>3.5</w:t>
      </w:r>
      <w:r>
        <w:rPr>
          <w:rFonts w:ascii="Times New Roman" w:eastAsia="Arial Unicode MS" w:hAnsi="Times New Roman" w:cs="Times New Roman"/>
          <w:sz w:val="24"/>
          <w:szCs w:val="24"/>
        </w:rPr>
        <w:t>.</w:t>
      </w:r>
      <w:r w:rsidRPr="00C27016">
        <w:rPr>
          <w:rFonts w:ascii="Times New Roman" w:eastAsia="Arial Unicode MS" w:hAnsi="Times New Roman" w:cs="Times New Roman"/>
          <w:sz w:val="24"/>
          <w:szCs w:val="24"/>
        </w:rPr>
        <w:t xml:space="preserve"> Time series analysis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(Experiments 1 and 2)</w:t>
      </w:r>
    </w:p>
    <w:p w14:paraId="3C93A379" w14:textId="52D20A7A" w:rsidR="00C007AE" w:rsidRPr="00C27016" w:rsidRDefault="00C007AE" w:rsidP="00C007AE">
      <w:pPr>
        <w:pStyle w:val="Normal1"/>
        <w:spacing w:before="120" w:line="360" w:lineRule="auto"/>
        <w:jc w:val="both"/>
        <w:rPr>
          <w:rFonts w:ascii="Times New Roman" w:hAnsi="Times New Roman" w:cs="Times New Roman"/>
          <w:sz w:val="24"/>
          <w:szCs w:val="24"/>
        </w:rPr>
      </w:pPr>
      <w:r w:rsidRPr="00C27016">
        <w:rPr>
          <w:rFonts w:ascii="Times New Roman" w:eastAsia="Arial Unicode MS" w:hAnsi="Times New Roman" w:cs="Times New Roman"/>
          <w:sz w:val="24"/>
          <w:szCs w:val="24"/>
        </w:rPr>
        <w:t xml:space="preserve">A subset of the </w:t>
      </w:r>
      <w:r w:rsidR="00141E5F">
        <w:rPr>
          <w:rFonts w:ascii="Times New Roman" w:eastAsia="Arial Unicode MS" w:hAnsi="Times New Roman" w:cs="Times New Roman"/>
          <w:sz w:val="24"/>
          <w:szCs w:val="24"/>
        </w:rPr>
        <w:t>sites</w:t>
      </w:r>
      <w:r w:rsidRPr="00C27016">
        <w:rPr>
          <w:rFonts w:ascii="Times New Roman" w:eastAsia="Arial Unicode MS" w:hAnsi="Times New Roman" w:cs="Times New Roman"/>
          <w:sz w:val="24"/>
          <w:szCs w:val="24"/>
        </w:rPr>
        <w:t xml:space="preserve"> sampled for Experiment 1 in 2011 were resampled for Experiment 2 in 2019, allowing us to assess both the change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Pr>
          <w:rFonts w:ascii="Times New Roman" w:hAnsi="Times New Roman" w:cs="Times New Roman"/>
          <w:sz w:val="24"/>
          <w:szCs w:val="24"/>
        </w:rPr>
        <w:t>-CO</w:t>
      </w:r>
      <w:r w:rsidRPr="005549B3">
        <w:rPr>
          <w:rFonts w:ascii="Times New Roman" w:hAnsi="Times New Roman" w:cs="Times New Roman"/>
          <w:sz w:val="24"/>
          <w:szCs w:val="24"/>
          <w:vertAlign w:val="subscript"/>
        </w:rPr>
        <w:t>2</w:t>
      </w:r>
      <w:r>
        <w:rPr>
          <w:rFonts w:ascii="Times New Roman" w:hAnsi="Times New Roman" w:cs="Times New Roman"/>
          <w:sz w:val="24"/>
          <w:szCs w:val="24"/>
        </w:rPr>
        <w:t xml:space="preserve"> of respiration</w:t>
      </w:r>
      <w:r w:rsidRPr="00C27016">
        <w:rPr>
          <w:rFonts w:ascii="Times New Roman" w:hAnsi="Times New Roman" w:cs="Times New Roman"/>
          <w:sz w:val="24"/>
          <w:szCs w:val="24"/>
        </w:rPr>
        <w:t xml:space="preserve"> over time in control-1 versus control-2 samples, as well as the potential impact of air-drying and rewetting on any observed changes.</w:t>
      </w:r>
      <w:r w:rsidR="0016178A">
        <w:rPr>
          <w:rFonts w:ascii="Times New Roman" w:hAnsi="Times New Roman" w:cs="Times New Roman"/>
          <w:sz w:val="24"/>
          <w:szCs w:val="24"/>
        </w:rPr>
        <w:t xml:space="preserve"> </w:t>
      </w:r>
      <w:r w:rsidRPr="00C27016">
        <w:rPr>
          <w:rFonts w:ascii="Times New Roman" w:eastAsia="Arial Unicode MS" w:hAnsi="Times New Roman" w:cs="Times New Roman"/>
          <w:sz w:val="24"/>
          <w:szCs w:val="24"/>
        </w:rPr>
        <w:t>The absolute value of the mean difference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between control and treatment samples was greater in grassland samples than in forest samples for both Experiment 1 and Experiment 2</w:t>
      </w:r>
      <w:r>
        <w:rPr>
          <w:rFonts w:ascii="Times New Roman" w:eastAsia="Arial Unicode MS" w:hAnsi="Times New Roman" w:cs="Times New Roman"/>
          <w:sz w:val="24"/>
          <w:szCs w:val="24"/>
        </w:rPr>
        <w:t xml:space="preserve"> (</w:t>
      </w:r>
      <w:r w:rsidR="00141E5F">
        <w:rPr>
          <w:rFonts w:ascii="Times New Roman" w:eastAsia="Arial Unicode MS" w:hAnsi="Times New Roman" w:cs="Times New Roman"/>
          <w:sz w:val="24"/>
          <w:szCs w:val="24"/>
        </w:rPr>
        <w:t>Table 3</w:t>
      </w:r>
      <w:r>
        <w:rPr>
          <w:rFonts w:ascii="Times New Roman" w:eastAsia="Arial Unicode MS" w:hAnsi="Times New Roman" w:cs="Times New Roman"/>
          <w:sz w:val="24"/>
          <w:szCs w:val="24"/>
        </w:rPr>
        <w:t>)</w:t>
      </w:r>
      <w:r w:rsidRPr="00C27016">
        <w:rPr>
          <w:rFonts w:ascii="Times New Roman" w:eastAsia="Arial Unicode MS" w:hAnsi="Times New Roman" w:cs="Times New Roman"/>
          <w:sz w:val="24"/>
          <w:szCs w:val="24"/>
        </w:rPr>
        <w:t>.</w:t>
      </w:r>
      <w:r w:rsidR="00141E5F">
        <w:rPr>
          <w:rFonts w:ascii="Times New Roman" w:eastAsia="Arial Unicode MS" w:hAnsi="Times New Roman" w:cs="Times New Roman"/>
          <w:sz w:val="24"/>
          <w:szCs w:val="24"/>
        </w:rPr>
        <w:t xml:space="preserve"> </w:t>
      </w:r>
      <w:r w:rsidR="0016178A">
        <w:rPr>
          <w:rFonts w:ascii="Times New Roman" w:hAnsi="Times New Roman" w:cs="Times New Roman"/>
          <w:sz w:val="24"/>
          <w:szCs w:val="24"/>
        </w:rPr>
        <w:t xml:space="preserve">We observed enrichment in grassland soil </w:t>
      </w:r>
      <w:r w:rsidR="002B3CFB" w:rsidRPr="00C27016">
        <w:rPr>
          <w:rFonts w:ascii="Times New Roman" w:eastAsia="Arial Unicode MS" w:hAnsi="Times New Roman" w:cs="Times New Roman"/>
          <w:sz w:val="24"/>
          <w:szCs w:val="24"/>
        </w:rPr>
        <w:t>∆</w:t>
      </w:r>
      <w:r w:rsidR="002B3CFB" w:rsidRPr="00C27016">
        <w:rPr>
          <w:rFonts w:ascii="Times New Roman" w:hAnsi="Times New Roman" w:cs="Times New Roman"/>
          <w:sz w:val="24"/>
          <w:szCs w:val="24"/>
          <w:vertAlign w:val="superscript"/>
        </w:rPr>
        <w:t>14</w:t>
      </w:r>
      <w:r w:rsidR="002B3CFB" w:rsidRPr="00C27016">
        <w:rPr>
          <w:rFonts w:ascii="Times New Roman" w:hAnsi="Times New Roman" w:cs="Times New Roman"/>
          <w:sz w:val="24"/>
          <w:szCs w:val="24"/>
        </w:rPr>
        <w:t>C-CO</w:t>
      </w:r>
      <w:r w:rsidR="002B3CFB" w:rsidRPr="00C27016">
        <w:rPr>
          <w:rFonts w:ascii="Times New Roman" w:hAnsi="Times New Roman" w:cs="Times New Roman"/>
          <w:sz w:val="24"/>
          <w:szCs w:val="24"/>
          <w:vertAlign w:val="subscript"/>
        </w:rPr>
        <w:t xml:space="preserve">2 </w:t>
      </w:r>
      <w:r w:rsidR="0016178A">
        <w:rPr>
          <w:rFonts w:ascii="Times New Roman" w:hAnsi="Times New Roman" w:cs="Times New Roman"/>
          <w:sz w:val="24"/>
          <w:szCs w:val="24"/>
        </w:rPr>
        <w:t>in response to</w:t>
      </w:r>
      <w:r w:rsidR="00895CC5">
        <w:rPr>
          <w:rFonts w:ascii="Times New Roman" w:hAnsi="Times New Roman" w:cs="Times New Roman"/>
          <w:sz w:val="24"/>
          <w:szCs w:val="24"/>
        </w:rPr>
        <w:t xml:space="preserve"> the</w:t>
      </w:r>
      <w:r w:rsidR="0016178A">
        <w:rPr>
          <w:rFonts w:ascii="Times New Roman" w:hAnsi="Times New Roman" w:cs="Times New Roman"/>
          <w:sz w:val="24"/>
          <w:szCs w:val="24"/>
        </w:rPr>
        <w:t xml:space="preserve"> air-dryin</w:t>
      </w:r>
      <w:r w:rsidR="001E07CE">
        <w:rPr>
          <w:rFonts w:ascii="Times New Roman" w:hAnsi="Times New Roman" w:cs="Times New Roman"/>
          <w:sz w:val="24"/>
          <w:szCs w:val="24"/>
        </w:rPr>
        <w:t>g</w:t>
      </w:r>
      <w:r w:rsidR="0016178A">
        <w:rPr>
          <w:rFonts w:ascii="Times New Roman" w:hAnsi="Times New Roman" w:cs="Times New Roman"/>
          <w:sz w:val="24"/>
          <w:szCs w:val="24"/>
        </w:rPr>
        <w:t xml:space="preserve">/rewetting + storage </w:t>
      </w:r>
      <w:r w:rsidR="00895CC5">
        <w:rPr>
          <w:rFonts w:ascii="Times New Roman" w:hAnsi="Times New Roman" w:cs="Times New Roman"/>
          <w:sz w:val="24"/>
          <w:szCs w:val="24"/>
        </w:rPr>
        <w:t xml:space="preserve">treatment </w:t>
      </w:r>
      <w:r w:rsidR="0016178A">
        <w:rPr>
          <w:rFonts w:ascii="Times New Roman" w:hAnsi="Times New Roman" w:cs="Times New Roman"/>
          <w:sz w:val="24"/>
          <w:szCs w:val="24"/>
        </w:rPr>
        <w:t xml:space="preserve">in Experiment 1 and </w:t>
      </w:r>
      <w:r w:rsidR="00895CC5">
        <w:rPr>
          <w:rFonts w:ascii="Times New Roman" w:hAnsi="Times New Roman" w:cs="Times New Roman"/>
          <w:sz w:val="24"/>
          <w:szCs w:val="24"/>
        </w:rPr>
        <w:t xml:space="preserve">the </w:t>
      </w:r>
      <w:r w:rsidR="0016178A">
        <w:rPr>
          <w:rFonts w:ascii="Times New Roman" w:hAnsi="Times New Roman" w:cs="Times New Roman"/>
          <w:sz w:val="24"/>
          <w:szCs w:val="24"/>
        </w:rPr>
        <w:t xml:space="preserve">air-drying/rewetting </w:t>
      </w:r>
      <w:r w:rsidR="00895CC5">
        <w:rPr>
          <w:rFonts w:ascii="Times New Roman" w:hAnsi="Times New Roman" w:cs="Times New Roman"/>
          <w:sz w:val="24"/>
          <w:szCs w:val="24"/>
        </w:rPr>
        <w:t>treatment</w:t>
      </w:r>
      <w:r w:rsidR="0016178A">
        <w:rPr>
          <w:rFonts w:ascii="Times New Roman" w:hAnsi="Times New Roman" w:cs="Times New Roman"/>
          <w:sz w:val="24"/>
          <w:szCs w:val="24"/>
        </w:rPr>
        <w:t xml:space="preserve"> in Experiment 2. In contrast, the forest soils </w:t>
      </w:r>
      <w:r w:rsidR="001E07CE">
        <w:rPr>
          <w:rFonts w:ascii="Times New Roman" w:hAnsi="Times New Roman" w:cs="Times New Roman"/>
          <w:sz w:val="24"/>
          <w:szCs w:val="24"/>
        </w:rPr>
        <w:t xml:space="preserve">collected in 2011 </w:t>
      </w:r>
      <w:r w:rsidR="0016178A">
        <w:rPr>
          <w:rFonts w:ascii="Times New Roman" w:hAnsi="Times New Roman" w:cs="Times New Roman"/>
          <w:sz w:val="24"/>
          <w:szCs w:val="24"/>
        </w:rPr>
        <w:t xml:space="preserve">exhibited depletion in </w:t>
      </w:r>
      <w:r w:rsidR="0016178A" w:rsidRPr="00C27016">
        <w:rPr>
          <w:rFonts w:ascii="Times New Roman" w:eastAsia="Arial Unicode MS" w:hAnsi="Times New Roman" w:cs="Times New Roman"/>
          <w:sz w:val="24"/>
          <w:szCs w:val="24"/>
        </w:rPr>
        <w:t>∆</w:t>
      </w:r>
      <w:r w:rsidR="0016178A" w:rsidRPr="00C27016">
        <w:rPr>
          <w:rFonts w:ascii="Times New Roman" w:hAnsi="Times New Roman" w:cs="Times New Roman"/>
          <w:sz w:val="24"/>
          <w:szCs w:val="24"/>
          <w:vertAlign w:val="superscript"/>
        </w:rPr>
        <w:t>14</w:t>
      </w:r>
      <w:r w:rsidR="0016178A" w:rsidRPr="00C27016">
        <w:rPr>
          <w:rFonts w:ascii="Times New Roman" w:hAnsi="Times New Roman" w:cs="Times New Roman"/>
          <w:sz w:val="24"/>
          <w:szCs w:val="24"/>
        </w:rPr>
        <w:t>C-CO</w:t>
      </w:r>
      <w:r w:rsidR="0016178A" w:rsidRPr="00C27016">
        <w:rPr>
          <w:rFonts w:ascii="Times New Roman" w:hAnsi="Times New Roman" w:cs="Times New Roman"/>
          <w:sz w:val="24"/>
          <w:szCs w:val="24"/>
          <w:vertAlign w:val="subscript"/>
        </w:rPr>
        <w:t xml:space="preserve">2 </w:t>
      </w:r>
      <w:r w:rsidR="0016178A">
        <w:rPr>
          <w:rFonts w:ascii="Times New Roman" w:hAnsi="Times New Roman" w:cs="Times New Roman"/>
          <w:sz w:val="24"/>
          <w:szCs w:val="24"/>
        </w:rPr>
        <w:t xml:space="preserve">following </w:t>
      </w:r>
      <w:r w:rsidR="001E07CE">
        <w:rPr>
          <w:rFonts w:ascii="Times New Roman" w:hAnsi="Times New Roman" w:cs="Times New Roman"/>
          <w:sz w:val="24"/>
          <w:szCs w:val="24"/>
        </w:rPr>
        <w:t xml:space="preserve">treatment in Experiment 1, but enrichement in Experiment 2. </w:t>
      </w:r>
    </w:p>
    <w:p w14:paraId="39CE3AD8" w14:textId="12B2F988" w:rsidR="00C007AE" w:rsidRPr="00C27016" w:rsidRDefault="00E74E09" w:rsidP="00C007AE">
      <w:pPr>
        <w:pStyle w:val="Normal1"/>
        <w:spacing w:before="120"/>
        <w:jc w:val="center"/>
        <w:rPr>
          <w:rFonts w:ascii="Times New Roman" w:hAnsi="Times New Roman" w:cs="Times New Roman"/>
          <w:color w:val="333333"/>
          <w:sz w:val="24"/>
          <w:szCs w:val="24"/>
          <w:highlight w:val="white"/>
        </w:rPr>
      </w:pPr>
      <w:r>
        <w:rPr>
          <w:rFonts w:ascii="Times New Roman" w:hAnsi="Times New Roman" w:cs="Times New Roman"/>
          <w:noProof/>
          <w:color w:val="333333"/>
          <w:sz w:val="24"/>
          <w:szCs w:val="24"/>
          <w:lang w:val="en-US"/>
        </w:rPr>
        <w:drawing>
          <wp:inline distT="0" distB="0" distL="0" distR="0" wp14:anchorId="4954E6BC" wp14:editId="0D9426B7">
            <wp:extent cx="5486400" cy="3408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3408605"/>
                    </a:xfrm>
                    <a:prstGeom prst="rect">
                      <a:avLst/>
                    </a:prstGeom>
                    <a:noFill/>
                    <a:ln>
                      <a:noFill/>
                    </a:ln>
                  </pic:spPr>
                </pic:pic>
              </a:graphicData>
            </a:graphic>
          </wp:inline>
        </w:drawing>
      </w:r>
    </w:p>
    <w:p w14:paraId="37B44417" w14:textId="77777777" w:rsidR="00C007AE" w:rsidRPr="002313B4" w:rsidRDefault="00C007AE" w:rsidP="00C007AE">
      <w:pPr>
        <w:pStyle w:val="Normal1"/>
        <w:spacing w:after="120" w:line="240" w:lineRule="auto"/>
        <w:ind w:left="360" w:right="360"/>
        <w:rPr>
          <w:rFonts w:ascii="Times New Roman" w:hAnsi="Times New Roman" w:cs="Times New Roman"/>
          <w:b/>
          <w:sz w:val="24"/>
          <w:szCs w:val="24"/>
          <w:lang w:val="en-US"/>
        </w:rPr>
      </w:pPr>
      <w:r>
        <w:rPr>
          <w:rFonts w:ascii="Times New Roman" w:hAnsi="Times New Roman" w:cs="Times New Roman"/>
          <w:b/>
          <w:sz w:val="24"/>
          <w:szCs w:val="24"/>
        </w:rPr>
        <w:t>Figure 5</w:t>
      </w:r>
      <w:r w:rsidRPr="002313B4">
        <w:rPr>
          <w:rFonts w:ascii="Times New Roman" w:hAnsi="Times New Roman" w:cs="Times New Roman"/>
          <w:b/>
          <w:sz w:val="24"/>
          <w:szCs w:val="24"/>
        </w:rPr>
        <w:t xml:space="preserve">. </w:t>
      </w:r>
      <w:r w:rsidRPr="00374A34">
        <w:rPr>
          <w:rFonts w:ascii="Times New Roman" w:hAnsi="Times New Roman" w:cs="Times New Roman"/>
          <w:b/>
          <w:sz w:val="24"/>
          <w:szCs w:val="24"/>
          <w:lang w:val="en-US"/>
        </w:rPr>
        <w:t>Time series of control and treatment Δ</w:t>
      </w:r>
      <w:r w:rsidRPr="00374A34">
        <w:rPr>
          <w:rFonts w:ascii="Times New Roman" w:hAnsi="Times New Roman" w:cs="Times New Roman"/>
          <w:b/>
          <w:sz w:val="24"/>
          <w:szCs w:val="24"/>
          <w:vertAlign w:val="superscript"/>
          <w:lang w:val="en-US"/>
        </w:rPr>
        <w:t>14</w:t>
      </w:r>
      <w:r w:rsidRPr="00374A34">
        <w:rPr>
          <w:rFonts w:ascii="Times New Roman" w:hAnsi="Times New Roman" w:cs="Times New Roman"/>
          <w:b/>
          <w:sz w:val="24"/>
          <w:szCs w:val="24"/>
          <w:lang w:val="en-US"/>
        </w:rPr>
        <w:t>C-CO</w:t>
      </w:r>
      <w:r w:rsidRPr="00374A34">
        <w:rPr>
          <w:rFonts w:ascii="Times New Roman" w:hAnsi="Times New Roman" w:cs="Times New Roman"/>
          <w:b/>
          <w:sz w:val="24"/>
          <w:szCs w:val="24"/>
          <w:vertAlign w:val="subscript"/>
          <w:lang w:val="en-US"/>
        </w:rPr>
        <w:t>2</w:t>
      </w:r>
      <w:r w:rsidRPr="00374A34">
        <w:rPr>
          <w:rFonts w:ascii="Times New Roman" w:hAnsi="Times New Roman" w:cs="Times New Roman"/>
          <w:b/>
          <w:sz w:val="24"/>
          <w:szCs w:val="24"/>
          <w:lang w:val="en-US"/>
        </w:rPr>
        <w:t xml:space="preserve"> (Experiments 1 and 2)</w:t>
      </w:r>
    </w:p>
    <w:p w14:paraId="19A4F51C" w14:textId="3DC35AF3" w:rsidR="00C007AE" w:rsidRDefault="00C007AE" w:rsidP="00C007AE">
      <w:pPr>
        <w:pStyle w:val="Normal1"/>
        <w:spacing w:line="360" w:lineRule="auto"/>
        <w:ind w:left="360" w:right="360"/>
        <w:rPr>
          <w:rFonts w:ascii="Times New Roman" w:hAnsi="Times New Roman" w:cs="Times New Roman"/>
          <w:lang w:val="en-US"/>
        </w:rPr>
      </w:pPr>
      <w:r>
        <w:rPr>
          <w:rFonts w:ascii="Times New Roman" w:hAnsi="Times New Roman" w:cs="Times New Roman"/>
          <w:lang w:val="en-US"/>
        </w:rPr>
        <w:t>Points</w:t>
      </w:r>
      <w:r w:rsidRPr="00374A34">
        <w:rPr>
          <w:rFonts w:ascii="Times New Roman" w:hAnsi="Times New Roman" w:cs="Times New Roman"/>
          <w:lang w:val="en-US"/>
        </w:rPr>
        <w:t xml:space="preserve"> show </w:t>
      </w:r>
      <w:r>
        <w:rPr>
          <w:rFonts w:ascii="Times New Roman" w:hAnsi="Times New Roman" w:cs="Times New Roman"/>
          <w:lang w:val="en-US"/>
        </w:rPr>
        <w:t xml:space="preserve">mean </w:t>
      </w:r>
      <w:r w:rsidRPr="00374A34">
        <w:rPr>
          <w:rFonts w:ascii="Times New Roman" w:hAnsi="Times New Roman" w:cs="Times New Roman"/>
          <w:lang w:val="en-US"/>
        </w:rPr>
        <w:t>Δ</w:t>
      </w:r>
      <w:r w:rsidRPr="00374A34">
        <w:rPr>
          <w:rFonts w:ascii="Times New Roman" w:hAnsi="Times New Roman" w:cs="Times New Roman"/>
          <w:vertAlign w:val="superscript"/>
          <w:lang w:val="en-US"/>
        </w:rPr>
        <w:t>14</w:t>
      </w:r>
      <w:r w:rsidRPr="00374A34">
        <w:rPr>
          <w:rFonts w:ascii="Times New Roman" w:hAnsi="Times New Roman" w:cs="Times New Roman"/>
          <w:lang w:val="en-US"/>
        </w:rPr>
        <w:t>C-CO</w:t>
      </w:r>
      <w:r w:rsidRPr="00374A34">
        <w:rPr>
          <w:rFonts w:ascii="Times New Roman" w:hAnsi="Times New Roman" w:cs="Times New Roman"/>
          <w:vertAlign w:val="subscript"/>
          <w:lang w:val="en-US"/>
        </w:rPr>
        <w:t>2</w:t>
      </w:r>
      <w:r>
        <w:rPr>
          <w:rFonts w:ascii="Times New Roman" w:hAnsi="Times New Roman" w:cs="Times New Roman"/>
          <w:lang w:val="en-US"/>
        </w:rPr>
        <w:t xml:space="preserve"> within ecosystem and treatment groups; </w:t>
      </w:r>
      <w:r w:rsidR="00B15763">
        <w:rPr>
          <w:rFonts w:ascii="Times New Roman" w:hAnsi="Times New Roman" w:cs="Times New Roman"/>
          <w:lang w:val="en-US"/>
        </w:rPr>
        <w:t>error bars show the</w:t>
      </w:r>
      <w:r w:rsidRPr="00374A34">
        <w:rPr>
          <w:rFonts w:ascii="Times New Roman" w:hAnsi="Times New Roman" w:cs="Times New Roman"/>
          <w:lang w:val="en-US"/>
        </w:rPr>
        <w:t xml:space="preserve"> </w:t>
      </w:r>
      <w:r w:rsidR="00B15763">
        <w:rPr>
          <w:rFonts w:ascii="Times New Roman" w:hAnsi="Times New Roman" w:cs="Times New Roman"/>
          <w:lang w:val="en-US"/>
        </w:rPr>
        <w:t>pooled standard deviation</w:t>
      </w:r>
      <w:r>
        <w:rPr>
          <w:rFonts w:ascii="Times New Roman" w:hAnsi="Times New Roman" w:cs="Times New Roman"/>
          <w:lang w:val="en-US"/>
        </w:rPr>
        <w:t>.</w:t>
      </w:r>
      <w:r w:rsidRPr="00374A34">
        <w:rPr>
          <w:rFonts w:ascii="Times New Roman" w:hAnsi="Times New Roman" w:cs="Times New Roman"/>
          <w:lang w:val="en-US"/>
        </w:rPr>
        <w:t xml:space="preserve"> </w:t>
      </w:r>
      <w:r w:rsidRPr="002A637C">
        <w:rPr>
          <w:rFonts w:ascii="Times New Roman" w:hAnsi="Times New Roman" w:cs="Times New Roman"/>
          <w:lang w:val="en-US"/>
        </w:rPr>
        <w:t>Atmospheric ∆</w:t>
      </w:r>
      <w:r w:rsidRPr="002A637C">
        <w:rPr>
          <w:rFonts w:ascii="Times New Roman" w:hAnsi="Times New Roman" w:cs="Times New Roman"/>
          <w:vertAlign w:val="superscript"/>
          <w:lang w:val="en-US"/>
        </w:rPr>
        <w:t>14</w:t>
      </w:r>
      <w:r w:rsidRPr="002A637C">
        <w:rPr>
          <w:rFonts w:ascii="Times New Roman" w:hAnsi="Times New Roman" w:cs="Times New Roman"/>
          <w:lang w:val="en-US"/>
        </w:rPr>
        <w:t>C-CO</w:t>
      </w:r>
      <w:r w:rsidRPr="002A637C">
        <w:rPr>
          <w:rFonts w:ascii="Times New Roman" w:hAnsi="Times New Roman" w:cs="Times New Roman"/>
          <w:vertAlign w:val="subscript"/>
          <w:lang w:val="en-US"/>
        </w:rPr>
        <w:t>2</w:t>
      </w:r>
      <w:r w:rsidRPr="002A637C">
        <w:rPr>
          <w:rFonts w:ascii="Times New Roman" w:hAnsi="Times New Roman" w:cs="Times New Roman"/>
          <w:lang w:val="en-US"/>
        </w:rPr>
        <w:t xml:space="preserve"> data</w:t>
      </w:r>
      <w:r>
        <w:rPr>
          <w:rFonts w:ascii="Times New Roman" w:hAnsi="Times New Roman" w:cs="Times New Roman"/>
          <w:lang w:val="en-US"/>
        </w:rPr>
        <w:t xml:space="preserve"> (</w:t>
      </w:r>
      <w:r w:rsidR="00B15763">
        <w:rPr>
          <w:rFonts w:ascii="Times New Roman" w:hAnsi="Times New Roman" w:cs="Times New Roman"/>
          <w:lang w:val="en-US"/>
        </w:rPr>
        <w:t>black</w:t>
      </w:r>
      <w:r>
        <w:rPr>
          <w:rFonts w:ascii="Times New Roman" w:hAnsi="Times New Roman" w:cs="Times New Roman"/>
          <w:lang w:val="en-US"/>
        </w:rPr>
        <w:t xml:space="preserve"> line)</w:t>
      </w:r>
      <w:r w:rsidRPr="002A637C">
        <w:rPr>
          <w:rFonts w:ascii="Times New Roman" w:hAnsi="Times New Roman" w:cs="Times New Roman"/>
          <w:lang w:val="en-US"/>
        </w:rPr>
        <w:t xml:space="preserve"> are from Graven et al. (2017) up to the year 2015, while data points from 2015 to 2019 are extrapolated (Sierra, 2018). All atmospheric radiocarbon data </w:t>
      </w:r>
      <w:r w:rsidRPr="00D63E99">
        <w:rPr>
          <w:rFonts w:ascii="Times New Roman" w:hAnsi="Times New Roman" w:cs="Times New Roman"/>
          <w:lang w:val="en-US"/>
        </w:rPr>
        <w:t>are</w:t>
      </w:r>
      <w:r w:rsidRPr="002A637C">
        <w:rPr>
          <w:rFonts w:ascii="Times New Roman" w:hAnsi="Times New Roman" w:cs="Times New Roman"/>
          <w:lang w:val="en-US"/>
        </w:rPr>
        <w:t xml:space="preserve"> for the northern hemisphere (zone 2).</w:t>
      </w:r>
    </w:p>
    <w:p w14:paraId="39D62EF2" w14:textId="73B078B6" w:rsidR="00E74E09" w:rsidRPr="00E74E09" w:rsidRDefault="00E74E09" w:rsidP="00764C6D">
      <w:pPr>
        <w:pStyle w:val="Normal1"/>
        <w:spacing w:before="120" w:line="360" w:lineRule="auto"/>
        <w:jc w:val="both"/>
        <w:rPr>
          <w:rFonts w:ascii="Times New Roman" w:hAnsi="Times New Roman" w:cs="Times New Roman"/>
          <w:sz w:val="24"/>
          <w:szCs w:val="24"/>
        </w:rPr>
      </w:pPr>
      <w:r w:rsidRPr="0016178A">
        <w:rPr>
          <w:rFonts w:ascii="Times New Roman" w:hAnsi="Times New Roman" w:cs="Times New Roman"/>
          <w:sz w:val="24"/>
          <w:szCs w:val="24"/>
        </w:rPr>
        <w:t xml:space="preserve">Mean </w:t>
      </w:r>
      <w:r w:rsidR="00895CC5">
        <w:rPr>
          <w:rFonts w:ascii="Times New Roman" w:hAnsi="Times New Roman" w:cs="Times New Roman"/>
          <w:sz w:val="24"/>
          <w:szCs w:val="24"/>
        </w:rPr>
        <w:t>∆</w:t>
      </w:r>
      <w:r w:rsidRPr="0016178A">
        <w:rPr>
          <w:rFonts w:ascii="Times New Roman" w:hAnsi="Times New Roman" w:cs="Times New Roman"/>
          <w:sz w:val="24"/>
          <w:szCs w:val="24"/>
        </w:rPr>
        <w:t>Δ</w:t>
      </w:r>
      <w:r w:rsidRPr="0016178A">
        <w:rPr>
          <w:rFonts w:ascii="Times New Roman" w:hAnsi="Times New Roman" w:cs="Times New Roman"/>
          <w:sz w:val="24"/>
          <w:szCs w:val="24"/>
          <w:vertAlign w:val="superscript"/>
        </w:rPr>
        <w:t>14</w:t>
      </w:r>
      <w:r w:rsidRPr="0016178A">
        <w:rPr>
          <w:rFonts w:ascii="Times New Roman" w:hAnsi="Times New Roman" w:cs="Times New Roman"/>
          <w:sz w:val="24"/>
          <w:szCs w:val="24"/>
        </w:rPr>
        <w:t>C-CO</w:t>
      </w:r>
      <w:r w:rsidRPr="0016178A">
        <w:rPr>
          <w:rFonts w:ascii="Times New Roman" w:hAnsi="Times New Roman" w:cs="Times New Roman"/>
          <w:sz w:val="24"/>
          <w:szCs w:val="24"/>
          <w:vertAlign w:val="subscript"/>
        </w:rPr>
        <w:t>2</w:t>
      </w:r>
      <w:r w:rsidRPr="0016178A">
        <w:rPr>
          <w:rFonts w:ascii="Times New Roman" w:eastAsia="Arial Unicode MS" w:hAnsi="Times New Roman" w:cs="Times New Roman"/>
          <w:sz w:val="24"/>
          <w:szCs w:val="24"/>
        </w:rPr>
        <w:t xml:space="preserve"> was </w:t>
      </w:r>
      <w:r w:rsidR="00895CC5">
        <w:rPr>
          <w:rFonts w:ascii="Times New Roman" w:eastAsia="Arial Unicode MS" w:hAnsi="Times New Roman" w:cs="Times New Roman"/>
          <w:sz w:val="24"/>
          <w:szCs w:val="24"/>
        </w:rPr>
        <w:t xml:space="preserve">positive, i.e. sample </w:t>
      </w:r>
      <w:r w:rsidR="00895CC5" w:rsidRPr="0016178A">
        <w:rPr>
          <w:rFonts w:ascii="Times New Roman" w:hAnsi="Times New Roman" w:cs="Times New Roman"/>
          <w:sz w:val="24"/>
          <w:szCs w:val="24"/>
        </w:rPr>
        <w:t>Δ</w:t>
      </w:r>
      <w:r w:rsidR="00895CC5" w:rsidRPr="0016178A">
        <w:rPr>
          <w:rFonts w:ascii="Times New Roman" w:hAnsi="Times New Roman" w:cs="Times New Roman"/>
          <w:sz w:val="24"/>
          <w:szCs w:val="24"/>
          <w:vertAlign w:val="superscript"/>
        </w:rPr>
        <w:t>14</w:t>
      </w:r>
      <w:r w:rsidR="00895CC5" w:rsidRPr="0016178A">
        <w:rPr>
          <w:rFonts w:ascii="Times New Roman" w:hAnsi="Times New Roman" w:cs="Times New Roman"/>
          <w:sz w:val="24"/>
          <w:szCs w:val="24"/>
        </w:rPr>
        <w:t>C-CO</w:t>
      </w:r>
      <w:r w:rsidR="00895CC5" w:rsidRPr="0016178A">
        <w:rPr>
          <w:rFonts w:ascii="Times New Roman" w:hAnsi="Times New Roman" w:cs="Times New Roman"/>
          <w:sz w:val="24"/>
          <w:szCs w:val="24"/>
          <w:vertAlign w:val="subscript"/>
        </w:rPr>
        <w:t>2</w:t>
      </w:r>
      <w:r w:rsidR="00895CC5" w:rsidRPr="0016178A">
        <w:rPr>
          <w:rFonts w:ascii="Times New Roman" w:eastAsia="Arial Unicode MS" w:hAnsi="Times New Roman" w:cs="Times New Roman"/>
          <w:sz w:val="24"/>
          <w:szCs w:val="24"/>
        </w:rPr>
        <w:t xml:space="preserve"> </w:t>
      </w:r>
      <w:r w:rsidR="00895CC5">
        <w:rPr>
          <w:rFonts w:ascii="Times New Roman" w:eastAsia="Arial Unicode MS" w:hAnsi="Times New Roman" w:cs="Times New Roman"/>
          <w:sz w:val="24"/>
          <w:szCs w:val="24"/>
        </w:rPr>
        <w:t>was enriched</w:t>
      </w:r>
      <w:r w:rsidRPr="0016178A">
        <w:rPr>
          <w:rFonts w:ascii="Times New Roman" w:eastAsia="Arial Unicode MS" w:hAnsi="Times New Roman" w:cs="Times New Roman"/>
          <w:sz w:val="24"/>
          <w:szCs w:val="24"/>
        </w:rPr>
        <w:t xml:space="preserve"> </w:t>
      </w:r>
      <w:r w:rsidRPr="0016178A">
        <w:rPr>
          <w:rFonts w:ascii="Times New Roman" w:hAnsi="Times New Roman" w:cs="Times New Roman"/>
          <w:sz w:val="24"/>
          <w:szCs w:val="24"/>
        </w:rPr>
        <w:t>relative to the atmosphere</w:t>
      </w:r>
      <w:r w:rsidR="00895CC5">
        <w:rPr>
          <w:rFonts w:ascii="Times New Roman" w:hAnsi="Times New Roman" w:cs="Times New Roman"/>
          <w:sz w:val="24"/>
          <w:szCs w:val="24"/>
        </w:rPr>
        <w:t>,</w:t>
      </w:r>
      <w:r w:rsidRPr="0016178A">
        <w:rPr>
          <w:rFonts w:ascii="Times New Roman" w:hAnsi="Times New Roman" w:cs="Times New Roman"/>
          <w:sz w:val="24"/>
          <w:szCs w:val="24"/>
        </w:rPr>
        <w:t xml:space="preserve"> </w:t>
      </w:r>
      <w:r w:rsidR="001E07CE">
        <w:rPr>
          <w:rFonts w:ascii="Times New Roman" w:eastAsia="Arial Unicode MS" w:hAnsi="Times New Roman" w:cs="Times New Roman"/>
          <w:sz w:val="24"/>
          <w:szCs w:val="24"/>
        </w:rPr>
        <w:t xml:space="preserve">across ecosystem types for both </w:t>
      </w:r>
      <w:r w:rsidRPr="0016178A">
        <w:rPr>
          <w:rFonts w:ascii="Times New Roman" w:eastAsia="Arial Unicode MS" w:hAnsi="Times New Roman" w:cs="Times New Roman"/>
          <w:sz w:val="24"/>
          <w:szCs w:val="24"/>
        </w:rPr>
        <w:t>treatment and control</w:t>
      </w:r>
      <w:r w:rsidRPr="00C27016">
        <w:rPr>
          <w:rFonts w:ascii="Times New Roman" w:eastAsia="Arial Unicode MS" w:hAnsi="Times New Roman" w:cs="Times New Roman"/>
          <w:sz w:val="24"/>
          <w:szCs w:val="24"/>
        </w:rPr>
        <w:t xml:space="preserve"> samples collected in 2011 (Experiment 1) and </w:t>
      </w:r>
      <w:r>
        <w:rPr>
          <w:rFonts w:ascii="Times New Roman" w:eastAsia="Arial Unicode MS" w:hAnsi="Times New Roman" w:cs="Times New Roman"/>
          <w:sz w:val="24"/>
          <w:szCs w:val="24"/>
        </w:rPr>
        <w:t xml:space="preserve">in </w:t>
      </w:r>
      <w:r w:rsidRPr="00C27016">
        <w:rPr>
          <w:rFonts w:ascii="Times New Roman" w:eastAsia="Arial Unicode MS" w:hAnsi="Times New Roman" w:cs="Times New Roman"/>
          <w:sz w:val="24"/>
          <w:szCs w:val="24"/>
        </w:rPr>
        <w:t>2019 (Experiment 2) (Fig. 5</w:t>
      </w:r>
      <w:r w:rsidR="00141E5F">
        <w:rPr>
          <w:rFonts w:ascii="Times New Roman" w:eastAsia="Arial Unicode MS" w:hAnsi="Times New Roman" w:cs="Times New Roman"/>
          <w:sz w:val="24"/>
          <w:szCs w:val="24"/>
        </w:rPr>
        <w:t>, Table 3</w:t>
      </w:r>
      <w:r w:rsidRPr="00C27016">
        <w:rPr>
          <w:rFonts w:ascii="Times New Roman" w:eastAsia="Arial Unicode MS" w:hAnsi="Times New Roman" w:cs="Times New Roman"/>
          <w:sz w:val="24"/>
          <w:szCs w:val="24"/>
        </w:rPr>
        <w:t xml:space="preserve">). However, </w:t>
      </w:r>
      <w:r w:rsidR="001E07CE">
        <w:rPr>
          <w:rFonts w:ascii="Times New Roman" w:eastAsia="Arial Unicode MS" w:hAnsi="Times New Roman" w:cs="Times New Roman"/>
          <w:sz w:val="24"/>
          <w:szCs w:val="24"/>
        </w:rPr>
        <w:t xml:space="preserve">we observed that </w:t>
      </w:r>
      <w:r w:rsidR="001E07CE">
        <w:rPr>
          <w:rFonts w:ascii="Times New Roman" w:hAnsi="Times New Roman" w:cs="Times New Roman"/>
          <w:sz w:val="24"/>
          <w:szCs w:val="24"/>
        </w:rPr>
        <w:t>grassland</w:t>
      </w:r>
      <w:r w:rsidRPr="00C27016">
        <w:rPr>
          <w:rFonts w:ascii="Times New Roman" w:hAnsi="Times New Roman" w:cs="Times New Roman"/>
          <w:sz w:val="24"/>
          <w:szCs w:val="24"/>
        </w:rPr>
        <w:t xml:space="preserve"> </w:t>
      </w:r>
      <w:r w:rsidR="001E07CE">
        <w:rPr>
          <w:rFonts w:ascii="Times New Roman" w:hAnsi="Times New Roman" w:cs="Times New Roman"/>
          <w:sz w:val="24"/>
          <w:szCs w:val="24"/>
        </w:rPr>
        <w:t xml:space="preserve">soil </w:t>
      </w:r>
      <w:r w:rsidR="00895CC5">
        <w:rPr>
          <w:rFonts w:ascii="Times New Roman" w:hAnsi="Times New Roman" w:cs="Times New Roman"/>
          <w:sz w:val="24"/>
          <w:szCs w:val="24"/>
        </w:rPr>
        <w:t>∆</w:t>
      </w:r>
      <w:r w:rsidR="001E07CE" w:rsidRPr="0016178A">
        <w:rPr>
          <w:rFonts w:ascii="Times New Roman" w:hAnsi="Times New Roman" w:cs="Times New Roman"/>
          <w:sz w:val="24"/>
          <w:szCs w:val="24"/>
        </w:rPr>
        <w:t>Δ</w:t>
      </w:r>
      <w:r w:rsidR="001E07CE" w:rsidRPr="0016178A">
        <w:rPr>
          <w:rFonts w:ascii="Times New Roman" w:hAnsi="Times New Roman" w:cs="Times New Roman"/>
          <w:sz w:val="24"/>
          <w:szCs w:val="24"/>
          <w:vertAlign w:val="superscript"/>
        </w:rPr>
        <w:t>14</w:t>
      </w:r>
      <w:r w:rsidR="001E07CE" w:rsidRPr="0016178A">
        <w:rPr>
          <w:rFonts w:ascii="Times New Roman" w:hAnsi="Times New Roman" w:cs="Times New Roman"/>
          <w:sz w:val="24"/>
          <w:szCs w:val="24"/>
        </w:rPr>
        <w:t>C-CO</w:t>
      </w:r>
      <w:r w:rsidR="001E07CE" w:rsidRPr="0016178A">
        <w:rPr>
          <w:rFonts w:ascii="Times New Roman" w:hAnsi="Times New Roman" w:cs="Times New Roman"/>
          <w:sz w:val="24"/>
          <w:szCs w:val="24"/>
          <w:vertAlign w:val="subscript"/>
        </w:rPr>
        <w:t>2</w:t>
      </w:r>
      <w:r w:rsidR="001E07CE" w:rsidRPr="0016178A">
        <w:rPr>
          <w:rFonts w:ascii="Times New Roman" w:eastAsia="Arial Unicode MS" w:hAnsi="Times New Roman" w:cs="Times New Roman"/>
          <w:sz w:val="24"/>
          <w:szCs w:val="24"/>
        </w:rPr>
        <w:t xml:space="preserve"> </w:t>
      </w:r>
      <w:r w:rsidR="00895CC5">
        <w:rPr>
          <w:rFonts w:ascii="Times New Roman" w:eastAsia="Arial Unicode MS" w:hAnsi="Times New Roman" w:cs="Times New Roman"/>
          <w:sz w:val="24"/>
          <w:szCs w:val="24"/>
        </w:rPr>
        <w:t>smaller</w:t>
      </w:r>
      <w:r w:rsidR="001E07CE">
        <w:rPr>
          <w:rFonts w:ascii="Times New Roman" w:eastAsia="Arial Unicode MS" w:hAnsi="Times New Roman" w:cs="Times New Roman"/>
          <w:sz w:val="24"/>
          <w:szCs w:val="24"/>
        </w:rPr>
        <w:t xml:space="preserve"> than forest </w:t>
      </w:r>
      <w:r w:rsidR="00895CC5">
        <w:rPr>
          <w:rFonts w:ascii="Times New Roman" w:eastAsia="Arial Unicode MS" w:hAnsi="Times New Roman" w:cs="Times New Roman"/>
          <w:sz w:val="24"/>
          <w:szCs w:val="24"/>
        </w:rPr>
        <w:t>soil ∆</w:t>
      </w:r>
      <w:r w:rsidR="00895CC5" w:rsidRPr="0016178A">
        <w:rPr>
          <w:rFonts w:ascii="Times New Roman" w:hAnsi="Times New Roman" w:cs="Times New Roman"/>
          <w:sz w:val="24"/>
          <w:szCs w:val="24"/>
        </w:rPr>
        <w:t>Δ</w:t>
      </w:r>
      <w:r w:rsidR="00895CC5" w:rsidRPr="0016178A">
        <w:rPr>
          <w:rFonts w:ascii="Times New Roman" w:hAnsi="Times New Roman" w:cs="Times New Roman"/>
          <w:sz w:val="24"/>
          <w:szCs w:val="24"/>
          <w:vertAlign w:val="superscript"/>
        </w:rPr>
        <w:t>14</w:t>
      </w:r>
      <w:r w:rsidR="00895CC5" w:rsidRPr="0016178A">
        <w:rPr>
          <w:rFonts w:ascii="Times New Roman" w:hAnsi="Times New Roman" w:cs="Times New Roman"/>
          <w:sz w:val="24"/>
          <w:szCs w:val="24"/>
        </w:rPr>
        <w:t>C-CO</w:t>
      </w:r>
      <w:r w:rsidR="00895CC5" w:rsidRPr="0016178A">
        <w:rPr>
          <w:rFonts w:ascii="Times New Roman" w:hAnsi="Times New Roman" w:cs="Times New Roman"/>
          <w:sz w:val="24"/>
          <w:szCs w:val="24"/>
          <w:vertAlign w:val="subscript"/>
        </w:rPr>
        <w:t>2</w:t>
      </w:r>
      <w:r w:rsidR="001E07CE">
        <w:rPr>
          <w:rFonts w:ascii="Times New Roman" w:eastAsia="Arial Unicode MS" w:hAnsi="Times New Roman" w:cs="Times New Roman"/>
          <w:sz w:val="24"/>
          <w:szCs w:val="24"/>
        </w:rPr>
        <w:t xml:space="preserve"> </w:t>
      </w:r>
      <w:r w:rsidR="001E07CE">
        <w:rPr>
          <w:rFonts w:ascii="Times New Roman" w:hAnsi="Times New Roman" w:cs="Times New Roman"/>
          <w:sz w:val="24"/>
          <w:szCs w:val="24"/>
        </w:rPr>
        <w:t>at both time points (Table 3).</w:t>
      </w:r>
      <w:r w:rsidR="00D264E3">
        <w:rPr>
          <w:rFonts w:ascii="Times New Roman" w:hAnsi="Times New Roman" w:cs="Times New Roman"/>
          <w:sz w:val="24"/>
          <w:szCs w:val="24"/>
        </w:rPr>
        <w:t xml:space="preserve"> Comparing </w:t>
      </w:r>
      <w:r w:rsidR="00D264E3" w:rsidRPr="00C27016">
        <w:rPr>
          <w:rFonts w:ascii="Times New Roman" w:eastAsia="Arial Unicode MS" w:hAnsi="Times New Roman" w:cs="Times New Roman"/>
          <w:sz w:val="24"/>
          <w:szCs w:val="24"/>
        </w:rPr>
        <w:t>∆∆</w:t>
      </w:r>
      <w:r w:rsidR="00D264E3" w:rsidRPr="00C27016">
        <w:rPr>
          <w:rFonts w:ascii="Times New Roman" w:hAnsi="Times New Roman" w:cs="Times New Roman"/>
          <w:sz w:val="24"/>
          <w:szCs w:val="24"/>
          <w:vertAlign w:val="superscript"/>
        </w:rPr>
        <w:t>14</w:t>
      </w:r>
      <w:r w:rsidR="00D264E3" w:rsidRPr="00C27016">
        <w:rPr>
          <w:rFonts w:ascii="Times New Roman" w:hAnsi="Times New Roman" w:cs="Times New Roman"/>
          <w:sz w:val="24"/>
          <w:szCs w:val="24"/>
        </w:rPr>
        <w:t>C</w:t>
      </w:r>
      <w:r w:rsidR="00D264E3">
        <w:rPr>
          <w:rFonts w:ascii="Times New Roman" w:hAnsi="Times New Roman" w:cs="Times New Roman"/>
          <w:sz w:val="24"/>
          <w:szCs w:val="24"/>
        </w:rPr>
        <w:t>-CO</w:t>
      </w:r>
      <w:r w:rsidR="00D264E3" w:rsidRPr="00CE19AB">
        <w:rPr>
          <w:rFonts w:ascii="Times New Roman" w:hAnsi="Times New Roman" w:cs="Times New Roman"/>
          <w:sz w:val="24"/>
          <w:szCs w:val="24"/>
          <w:vertAlign w:val="subscript"/>
        </w:rPr>
        <w:t>2</w:t>
      </w:r>
      <w:r w:rsidR="00D264E3">
        <w:rPr>
          <w:rFonts w:ascii="Times New Roman" w:hAnsi="Times New Roman" w:cs="Times New Roman"/>
          <w:sz w:val="24"/>
          <w:szCs w:val="24"/>
        </w:rPr>
        <w:t xml:space="preserve"> between control and treatment samples </w:t>
      </w:r>
      <w:r w:rsidR="00895CC5">
        <w:rPr>
          <w:rFonts w:ascii="Times New Roman" w:hAnsi="Times New Roman" w:cs="Times New Roman"/>
          <w:sz w:val="24"/>
          <w:szCs w:val="24"/>
        </w:rPr>
        <w:t xml:space="preserve">within ecosystem types, </w:t>
      </w:r>
      <w:r w:rsidR="00D264E3">
        <w:rPr>
          <w:rFonts w:ascii="Times New Roman" w:hAnsi="Times New Roman" w:cs="Times New Roman"/>
          <w:sz w:val="24"/>
          <w:szCs w:val="24"/>
        </w:rPr>
        <w:t xml:space="preserve">we observed </w:t>
      </w:r>
      <w:r w:rsidR="00764C6D">
        <w:rPr>
          <w:rFonts w:ascii="Times New Roman" w:hAnsi="Times New Roman" w:cs="Times New Roman"/>
          <w:sz w:val="24"/>
          <w:szCs w:val="24"/>
        </w:rPr>
        <w:t>lower</w:t>
      </w:r>
      <w:r w:rsidR="00D264E3">
        <w:rPr>
          <w:rFonts w:ascii="Times New Roman" w:hAnsi="Times New Roman" w:cs="Times New Roman"/>
          <w:sz w:val="24"/>
          <w:szCs w:val="24"/>
        </w:rPr>
        <w:t xml:space="preserve"> values</w:t>
      </w:r>
      <w:r w:rsidR="00764C6D">
        <w:rPr>
          <w:rFonts w:ascii="Times New Roman" w:hAnsi="Times New Roman" w:cs="Times New Roman"/>
          <w:sz w:val="24"/>
          <w:szCs w:val="24"/>
        </w:rPr>
        <w:t xml:space="preserve"> </w:t>
      </w:r>
      <w:r w:rsidR="00D264E3">
        <w:rPr>
          <w:rFonts w:ascii="Times New Roman" w:hAnsi="Times New Roman" w:cs="Times New Roman"/>
          <w:sz w:val="24"/>
          <w:szCs w:val="24"/>
        </w:rPr>
        <w:t xml:space="preserve">in </w:t>
      </w:r>
      <w:r w:rsidR="00287CAA">
        <w:rPr>
          <w:rFonts w:ascii="Times New Roman" w:hAnsi="Times New Roman" w:cs="Times New Roman"/>
          <w:sz w:val="24"/>
          <w:szCs w:val="24"/>
        </w:rPr>
        <w:t xml:space="preserve">grassland </w:t>
      </w:r>
      <w:r w:rsidR="00D264E3">
        <w:rPr>
          <w:rFonts w:ascii="Times New Roman" w:hAnsi="Times New Roman" w:cs="Times New Roman"/>
          <w:sz w:val="24"/>
          <w:szCs w:val="24"/>
        </w:rPr>
        <w:t xml:space="preserve">control samples </w:t>
      </w:r>
      <w:r w:rsidR="00764C6D">
        <w:rPr>
          <w:rFonts w:ascii="Times New Roman" w:hAnsi="Times New Roman" w:cs="Times New Roman"/>
          <w:sz w:val="24"/>
          <w:szCs w:val="24"/>
        </w:rPr>
        <w:t xml:space="preserve">than </w:t>
      </w:r>
      <w:r w:rsidR="00D264E3">
        <w:rPr>
          <w:rFonts w:ascii="Times New Roman" w:hAnsi="Times New Roman" w:cs="Times New Roman"/>
          <w:sz w:val="24"/>
          <w:szCs w:val="24"/>
        </w:rPr>
        <w:t xml:space="preserve">in </w:t>
      </w:r>
      <w:r w:rsidR="00287CAA">
        <w:rPr>
          <w:rFonts w:ascii="Times New Roman" w:hAnsi="Times New Roman" w:cs="Times New Roman"/>
          <w:sz w:val="24"/>
          <w:szCs w:val="24"/>
        </w:rPr>
        <w:t xml:space="preserve">grassland </w:t>
      </w:r>
      <w:r w:rsidR="00764C6D">
        <w:rPr>
          <w:rFonts w:ascii="Times New Roman" w:hAnsi="Times New Roman" w:cs="Times New Roman"/>
          <w:sz w:val="24"/>
          <w:szCs w:val="24"/>
        </w:rPr>
        <w:t>treatment sample</w:t>
      </w:r>
      <w:r w:rsidR="00D264E3">
        <w:rPr>
          <w:rFonts w:ascii="Times New Roman" w:hAnsi="Times New Roman" w:cs="Times New Roman"/>
          <w:sz w:val="24"/>
          <w:szCs w:val="24"/>
        </w:rPr>
        <w:t>s</w:t>
      </w:r>
      <w:r w:rsidR="00764C6D">
        <w:rPr>
          <w:rFonts w:ascii="Times New Roman" w:hAnsi="Times New Roman" w:cs="Times New Roman"/>
          <w:sz w:val="24"/>
          <w:szCs w:val="24"/>
        </w:rPr>
        <w:t xml:space="preserve"> at both time points</w:t>
      </w:r>
      <w:r w:rsidR="00287CAA">
        <w:rPr>
          <w:rFonts w:ascii="Times New Roman" w:hAnsi="Times New Roman" w:cs="Times New Roman"/>
          <w:sz w:val="24"/>
          <w:szCs w:val="24"/>
        </w:rPr>
        <w:t xml:space="preserve">. We also observed lower </w:t>
      </w:r>
      <w:r w:rsidR="00287CAA" w:rsidRPr="00C27016">
        <w:rPr>
          <w:rFonts w:ascii="Times New Roman" w:eastAsia="Arial Unicode MS" w:hAnsi="Times New Roman" w:cs="Times New Roman"/>
          <w:sz w:val="24"/>
          <w:szCs w:val="24"/>
        </w:rPr>
        <w:t>∆∆</w:t>
      </w:r>
      <w:r w:rsidR="00287CAA" w:rsidRPr="00C27016">
        <w:rPr>
          <w:rFonts w:ascii="Times New Roman" w:hAnsi="Times New Roman" w:cs="Times New Roman"/>
          <w:sz w:val="24"/>
          <w:szCs w:val="24"/>
          <w:vertAlign w:val="superscript"/>
        </w:rPr>
        <w:t>14</w:t>
      </w:r>
      <w:r w:rsidR="00287CAA" w:rsidRPr="00C27016">
        <w:rPr>
          <w:rFonts w:ascii="Times New Roman" w:hAnsi="Times New Roman" w:cs="Times New Roman"/>
          <w:sz w:val="24"/>
          <w:szCs w:val="24"/>
        </w:rPr>
        <w:t>C</w:t>
      </w:r>
      <w:r w:rsidR="00287CAA">
        <w:rPr>
          <w:rFonts w:ascii="Times New Roman" w:hAnsi="Times New Roman" w:cs="Times New Roman"/>
          <w:sz w:val="24"/>
          <w:szCs w:val="24"/>
        </w:rPr>
        <w:t>-CO</w:t>
      </w:r>
      <w:r w:rsidR="00287CAA" w:rsidRPr="00CE19AB">
        <w:rPr>
          <w:rFonts w:ascii="Times New Roman" w:hAnsi="Times New Roman" w:cs="Times New Roman"/>
          <w:sz w:val="24"/>
          <w:szCs w:val="24"/>
          <w:vertAlign w:val="subscript"/>
        </w:rPr>
        <w:t>2</w:t>
      </w:r>
      <w:r w:rsidR="00287CAA">
        <w:rPr>
          <w:rFonts w:ascii="Times New Roman" w:hAnsi="Times New Roman" w:cs="Times New Roman"/>
          <w:sz w:val="24"/>
          <w:szCs w:val="24"/>
        </w:rPr>
        <w:t xml:space="preserve"> values in forest </w:t>
      </w:r>
      <w:r w:rsidR="00D264E3">
        <w:rPr>
          <w:rFonts w:ascii="Times New Roman" w:hAnsi="Times New Roman" w:cs="Times New Roman"/>
          <w:sz w:val="24"/>
          <w:szCs w:val="24"/>
        </w:rPr>
        <w:t>control sample</w:t>
      </w:r>
      <w:r w:rsidR="00287CAA">
        <w:rPr>
          <w:rFonts w:ascii="Times New Roman" w:hAnsi="Times New Roman" w:cs="Times New Roman"/>
          <w:sz w:val="24"/>
          <w:szCs w:val="24"/>
        </w:rPr>
        <w:t>s</w:t>
      </w:r>
      <w:r w:rsidR="00D264E3">
        <w:rPr>
          <w:rFonts w:ascii="Times New Roman" w:hAnsi="Times New Roman" w:cs="Times New Roman"/>
          <w:sz w:val="24"/>
          <w:szCs w:val="24"/>
        </w:rPr>
        <w:t xml:space="preserve"> than</w:t>
      </w:r>
      <w:r w:rsidR="00287CAA">
        <w:rPr>
          <w:rFonts w:ascii="Times New Roman" w:hAnsi="Times New Roman" w:cs="Times New Roman"/>
          <w:sz w:val="24"/>
          <w:szCs w:val="24"/>
        </w:rPr>
        <w:t xml:space="preserve"> in</w:t>
      </w:r>
      <w:r w:rsidR="00D264E3">
        <w:rPr>
          <w:rFonts w:ascii="Times New Roman" w:hAnsi="Times New Roman" w:cs="Times New Roman"/>
          <w:sz w:val="24"/>
          <w:szCs w:val="24"/>
        </w:rPr>
        <w:t xml:space="preserve"> </w:t>
      </w:r>
      <w:r w:rsidR="00287CAA">
        <w:rPr>
          <w:rFonts w:ascii="Times New Roman" w:hAnsi="Times New Roman" w:cs="Times New Roman"/>
          <w:sz w:val="24"/>
          <w:szCs w:val="24"/>
        </w:rPr>
        <w:t xml:space="preserve">forest </w:t>
      </w:r>
      <w:r w:rsidR="00D264E3">
        <w:rPr>
          <w:rFonts w:ascii="Times New Roman" w:hAnsi="Times New Roman" w:cs="Times New Roman"/>
          <w:sz w:val="24"/>
          <w:szCs w:val="24"/>
        </w:rPr>
        <w:t>treament sample</w:t>
      </w:r>
      <w:r w:rsidR="00287CAA">
        <w:rPr>
          <w:rFonts w:ascii="Times New Roman" w:hAnsi="Times New Roman" w:cs="Times New Roman"/>
          <w:sz w:val="24"/>
          <w:szCs w:val="24"/>
        </w:rPr>
        <w:t>s</w:t>
      </w:r>
      <w:r w:rsidR="00D264E3">
        <w:rPr>
          <w:rFonts w:ascii="Times New Roman" w:hAnsi="Times New Roman" w:cs="Times New Roman"/>
          <w:sz w:val="24"/>
          <w:szCs w:val="24"/>
        </w:rPr>
        <w:t xml:space="preserve"> </w:t>
      </w:r>
      <w:r w:rsidR="00287CAA">
        <w:rPr>
          <w:rFonts w:ascii="Times New Roman" w:hAnsi="Times New Roman" w:cs="Times New Roman"/>
          <w:sz w:val="24"/>
          <w:szCs w:val="24"/>
        </w:rPr>
        <w:t>for the soils collected in 2019</w:t>
      </w:r>
      <w:r w:rsidR="00764C6D">
        <w:rPr>
          <w:rFonts w:ascii="Times New Roman" w:hAnsi="Times New Roman" w:cs="Times New Roman"/>
          <w:sz w:val="24"/>
          <w:szCs w:val="24"/>
        </w:rPr>
        <w:t>, but for the forest soils collected in 2011</w:t>
      </w:r>
      <w:r w:rsidR="00287CAA">
        <w:rPr>
          <w:rFonts w:ascii="Times New Roman" w:hAnsi="Times New Roman" w:cs="Times New Roman"/>
          <w:sz w:val="24"/>
          <w:szCs w:val="24"/>
        </w:rPr>
        <w:t xml:space="preserve"> treatment sample </w:t>
      </w:r>
      <w:r w:rsidR="00287CAA" w:rsidRPr="00C27016">
        <w:rPr>
          <w:rFonts w:ascii="Times New Roman" w:eastAsia="Arial Unicode MS" w:hAnsi="Times New Roman" w:cs="Times New Roman"/>
          <w:sz w:val="24"/>
          <w:szCs w:val="24"/>
        </w:rPr>
        <w:t>∆∆</w:t>
      </w:r>
      <w:r w:rsidR="00287CAA" w:rsidRPr="00C27016">
        <w:rPr>
          <w:rFonts w:ascii="Times New Roman" w:hAnsi="Times New Roman" w:cs="Times New Roman"/>
          <w:sz w:val="24"/>
          <w:szCs w:val="24"/>
          <w:vertAlign w:val="superscript"/>
        </w:rPr>
        <w:t>14</w:t>
      </w:r>
      <w:r w:rsidR="00287CAA" w:rsidRPr="00C27016">
        <w:rPr>
          <w:rFonts w:ascii="Times New Roman" w:hAnsi="Times New Roman" w:cs="Times New Roman"/>
          <w:sz w:val="24"/>
          <w:szCs w:val="24"/>
        </w:rPr>
        <w:t>C</w:t>
      </w:r>
      <w:r w:rsidR="00287CAA">
        <w:rPr>
          <w:rFonts w:ascii="Times New Roman" w:hAnsi="Times New Roman" w:cs="Times New Roman"/>
          <w:sz w:val="24"/>
          <w:szCs w:val="24"/>
        </w:rPr>
        <w:t>-CO</w:t>
      </w:r>
      <w:r w:rsidR="00287CAA" w:rsidRPr="00CE19AB">
        <w:rPr>
          <w:rFonts w:ascii="Times New Roman" w:hAnsi="Times New Roman" w:cs="Times New Roman"/>
          <w:sz w:val="24"/>
          <w:szCs w:val="24"/>
          <w:vertAlign w:val="subscript"/>
        </w:rPr>
        <w:t>2</w:t>
      </w:r>
      <w:r w:rsidR="00287CAA">
        <w:rPr>
          <w:rFonts w:ascii="Times New Roman" w:hAnsi="Times New Roman" w:cs="Times New Roman"/>
          <w:sz w:val="24"/>
          <w:szCs w:val="24"/>
        </w:rPr>
        <w:t xml:space="preserve"> was lower than in the control samples</w:t>
      </w:r>
      <w:r w:rsidR="00764C6D">
        <w:rPr>
          <w:rFonts w:ascii="Times New Roman" w:hAnsi="Times New Roman" w:cs="Times New Roman"/>
          <w:sz w:val="24"/>
          <w:szCs w:val="24"/>
        </w:rPr>
        <w:t xml:space="preserve">. </w:t>
      </w:r>
      <w:r w:rsidR="00287CAA">
        <w:rPr>
          <w:rFonts w:ascii="Times New Roman" w:eastAsia="Arial Unicode MS" w:hAnsi="Times New Roman" w:cs="Times New Roman"/>
          <w:sz w:val="24"/>
          <w:szCs w:val="24"/>
        </w:rPr>
        <w:t xml:space="preserve">Between 2011 and 2019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C</w:t>
      </w:r>
      <w:r>
        <w:rPr>
          <w:rFonts w:ascii="Times New Roman" w:eastAsia="Arial Unicode MS" w:hAnsi="Times New Roman" w:cs="Times New Roman"/>
          <w:sz w:val="24"/>
          <w:szCs w:val="24"/>
        </w:rPr>
        <w:t>-CO</w:t>
      </w:r>
      <w:r w:rsidRPr="00CE19AB">
        <w:rPr>
          <w:rFonts w:ascii="Times New Roman" w:eastAsia="Arial Unicode MS" w:hAnsi="Times New Roman" w:cs="Times New Roman"/>
          <w:sz w:val="24"/>
          <w:szCs w:val="24"/>
          <w:vertAlign w:val="subscript"/>
        </w:rPr>
        <w:t>2</w:t>
      </w:r>
      <w:r w:rsidRPr="00C27016">
        <w:rPr>
          <w:rFonts w:ascii="Times New Roman" w:eastAsia="Arial Unicode MS" w:hAnsi="Times New Roman" w:cs="Times New Roman"/>
          <w:sz w:val="24"/>
          <w:szCs w:val="24"/>
        </w:rPr>
        <w:t xml:space="preserve"> </w:t>
      </w:r>
      <w:r w:rsidR="00D264E3">
        <w:rPr>
          <w:rFonts w:ascii="Times New Roman" w:eastAsia="Arial Unicode MS" w:hAnsi="Times New Roman" w:cs="Times New Roman"/>
          <w:sz w:val="24"/>
          <w:szCs w:val="24"/>
        </w:rPr>
        <w:t>increased in</w:t>
      </w:r>
      <w:r w:rsidR="00287CAA" w:rsidRPr="00287CAA">
        <w:rPr>
          <w:rFonts w:ascii="Times New Roman" w:eastAsia="Arial Unicode MS" w:hAnsi="Times New Roman" w:cs="Times New Roman"/>
          <w:sz w:val="24"/>
          <w:szCs w:val="24"/>
        </w:rPr>
        <w:t xml:space="preserve"> </w:t>
      </w:r>
      <w:r w:rsidR="00287CAA">
        <w:rPr>
          <w:rFonts w:ascii="Times New Roman" w:eastAsia="Arial Unicode MS" w:hAnsi="Times New Roman" w:cs="Times New Roman"/>
          <w:sz w:val="24"/>
          <w:szCs w:val="24"/>
        </w:rPr>
        <w:t>both control and treatment</w:t>
      </w:r>
      <w:r w:rsidR="00D264E3">
        <w:rPr>
          <w:rFonts w:ascii="Times New Roman" w:eastAsia="Arial Unicode MS" w:hAnsi="Times New Roman" w:cs="Times New Roman"/>
          <w:sz w:val="24"/>
          <w:szCs w:val="24"/>
        </w:rPr>
        <w:t xml:space="preserve"> </w:t>
      </w:r>
      <w:r w:rsidR="00764C6D">
        <w:rPr>
          <w:rFonts w:ascii="Times New Roman" w:eastAsia="Arial Unicode MS" w:hAnsi="Times New Roman" w:cs="Times New Roman"/>
          <w:sz w:val="24"/>
          <w:szCs w:val="24"/>
        </w:rPr>
        <w:t xml:space="preserve">grassland </w:t>
      </w:r>
      <w:r w:rsidRPr="00C27016">
        <w:rPr>
          <w:rFonts w:ascii="Times New Roman" w:eastAsia="Arial Unicode MS" w:hAnsi="Times New Roman" w:cs="Times New Roman"/>
          <w:sz w:val="24"/>
          <w:szCs w:val="24"/>
        </w:rPr>
        <w:t>samples</w:t>
      </w:r>
      <w:r w:rsidR="00287CAA">
        <w:rPr>
          <w:rFonts w:ascii="Times New Roman" w:eastAsia="Arial Unicode MS" w:hAnsi="Times New Roman" w:cs="Times New Roman"/>
          <w:sz w:val="24"/>
          <w:szCs w:val="24"/>
        </w:rPr>
        <w:t xml:space="preserve"> and in forest treatment soils,</w:t>
      </w:r>
      <w:r w:rsidR="00D264E3">
        <w:rPr>
          <w:rFonts w:ascii="Times New Roman" w:eastAsia="Arial Unicode MS" w:hAnsi="Times New Roman" w:cs="Times New Roman"/>
          <w:sz w:val="24"/>
          <w:szCs w:val="24"/>
        </w:rPr>
        <w:t xml:space="preserve"> </w:t>
      </w:r>
      <w:r w:rsidR="00287CAA">
        <w:rPr>
          <w:rFonts w:ascii="Times New Roman" w:eastAsia="Arial Unicode MS" w:hAnsi="Times New Roman" w:cs="Times New Roman"/>
          <w:sz w:val="24"/>
          <w:szCs w:val="24"/>
        </w:rPr>
        <w:t>while</w:t>
      </w:r>
      <w:r w:rsidR="00D264E3">
        <w:rPr>
          <w:rFonts w:ascii="Times New Roman" w:eastAsia="Arial Unicode MS" w:hAnsi="Times New Roman" w:cs="Times New Roman"/>
          <w:sz w:val="24"/>
          <w:szCs w:val="24"/>
        </w:rPr>
        <w:t xml:space="preserve"> </w:t>
      </w:r>
      <w:r w:rsidR="00D264E3" w:rsidRPr="00C27016">
        <w:rPr>
          <w:rFonts w:ascii="Times New Roman" w:eastAsia="Arial Unicode MS" w:hAnsi="Times New Roman" w:cs="Times New Roman"/>
          <w:sz w:val="24"/>
          <w:szCs w:val="24"/>
        </w:rPr>
        <w:t>∆∆</w:t>
      </w:r>
      <w:r w:rsidR="00D264E3" w:rsidRPr="00C27016">
        <w:rPr>
          <w:rFonts w:ascii="Times New Roman" w:hAnsi="Times New Roman" w:cs="Times New Roman"/>
          <w:sz w:val="24"/>
          <w:szCs w:val="24"/>
          <w:vertAlign w:val="superscript"/>
        </w:rPr>
        <w:t>14</w:t>
      </w:r>
      <w:r w:rsidR="00D264E3" w:rsidRPr="00C27016">
        <w:rPr>
          <w:rFonts w:ascii="Times New Roman" w:eastAsia="Arial Unicode MS" w:hAnsi="Times New Roman" w:cs="Times New Roman"/>
          <w:sz w:val="24"/>
          <w:szCs w:val="24"/>
        </w:rPr>
        <w:t>C</w:t>
      </w:r>
      <w:r w:rsidR="00D264E3">
        <w:rPr>
          <w:rFonts w:ascii="Times New Roman" w:eastAsia="Arial Unicode MS" w:hAnsi="Times New Roman" w:cs="Times New Roman"/>
          <w:sz w:val="24"/>
          <w:szCs w:val="24"/>
        </w:rPr>
        <w:t>-CO</w:t>
      </w:r>
      <w:r w:rsidR="00D264E3" w:rsidRPr="00CE19AB">
        <w:rPr>
          <w:rFonts w:ascii="Times New Roman" w:eastAsia="Arial Unicode MS" w:hAnsi="Times New Roman" w:cs="Times New Roman"/>
          <w:sz w:val="24"/>
          <w:szCs w:val="24"/>
          <w:vertAlign w:val="subscript"/>
        </w:rPr>
        <w:t>2</w:t>
      </w:r>
      <w:r w:rsidR="00D264E3" w:rsidRPr="00C27016">
        <w:rPr>
          <w:rFonts w:ascii="Times New Roman" w:eastAsia="Arial Unicode MS" w:hAnsi="Times New Roman" w:cs="Times New Roman"/>
          <w:sz w:val="24"/>
          <w:szCs w:val="24"/>
        </w:rPr>
        <w:t xml:space="preserve"> </w:t>
      </w:r>
      <w:r w:rsidR="00D264E3">
        <w:rPr>
          <w:rFonts w:ascii="Times New Roman" w:eastAsia="Arial Unicode MS" w:hAnsi="Times New Roman" w:cs="Times New Roman"/>
          <w:sz w:val="24"/>
          <w:szCs w:val="24"/>
        </w:rPr>
        <w:t>for forest control soils remained nearly constant</w:t>
      </w:r>
      <w:r w:rsidR="00287CAA">
        <w:rPr>
          <w:rFonts w:ascii="Times New Roman" w:eastAsia="Arial Unicode MS" w:hAnsi="Times New Roman" w:cs="Times New Roman"/>
          <w:sz w:val="24"/>
          <w:szCs w:val="24"/>
        </w:rPr>
        <w:t xml:space="preserve"> over this time period</w:t>
      </w:r>
      <w:r w:rsidR="00D264E3">
        <w:rPr>
          <w:rFonts w:ascii="Times New Roman" w:eastAsia="Arial Unicode MS" w:hAnsi="Times New Roman" w:cs="Times New Roman"/>
          <w:sz w:val="24"/>
          <w:szCs w:val="24"/>
        </w:rPr>
        <w:t xml:space="preserve">. </w:t>
      </w:r>
    </w:p>
    <w:p w14:paraId="545C8DB2" w14:textId="0AF936A2" w:rsidR="009A4CA2" w:rsidRDefault="00C007AE" w:rsidP="00DD56A7">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4</w:t>
      </w:r>
      <w:r>
        <w:rPr>
          <w:rFonts w:ascii="Times New Roman" w:hAnsi="Times New Roman" w:cs="Times New Roman"/>
          <w:b/>
          <w:sz w:val="24"/>
          <w:szCs w:val="24"/>
        </w:rPr>
        <w:t>.</w:t>
      </w:r>
      <w:r w:rsidRPr="00C27016">
        <w:rPr>
          <w:rFonts w:ascii="Times New Roman" w:hAnsi="Times New Roman" w:cs="Times New Roman"/>
          <w:b/>
          <w:sz w:val="24"/>
          <w:szCs w:val="24"/>
        </w:rPr>
        <w:t xml:space="preserve"> Discussion</w:t>
      </w:r>
    </w:p>
    <w:p w14:paraId="1AC59D10" w14:textId="77777777" w:rsidR="000A3253" w:rsidRDefault="000A3253" w:rsidP="000A3253">
      <w:pPr>
        <w:pStyle w:val="Normal1"/>
        <w:spacing w:before="240" w:after="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t>4.1</w:t>
      </w:r>
      <w:r>
        <w:rPr>
          <w:rFonts w:ascii="Times New Roman" w:hAnsi="Times New Roman" w:cs="Times New Roman"/>
          <w:sz w:val="24"/>
          <w:szCs w:val="24"/>
        </w:rPr>
        <w:t>.</w:t>
      </w:r>
      <w:r w:rsidRPr="00C27016">
        <w:rPr>
          <w:rFonts w:ascii="Times New Roman" w:hAnsi="Times New Roman" w:cs="Times New Roman"/>
          <w:sz w:val="24"/>
          <w:szCs w:val="24"/>
        </w:rPr>
        <w:t xml:space="preserve"> Implications for constraining soil carbon models</w:t>
      </w:r>
    </w:p>
    <w:p w14:paraId="66692610" w14:textId="25469937" w:rsidR="003A7F72" w:rsidRDefault="000A3253" w:rsidP="0007788A">
      <w:pPr>
        <w:pStyle w:val="Normal1"/>
        <w:spacing w:before="240" w:after="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The results from all three experiments in this study show that measuring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in incubations of air-dried and archived soils is a promising technique for</w:t>
      </w:r>
      <w:r>
        <w:rPr>
          <w:rFonts w:ascii="Times New Roman" w:eastAsia="Arial Unicode MS" w:hAnsi="Times New Roman" w:cs="Times New Roman"/>
          <w:sz w:val="24"/>
          <w:szCs w:val="24"/>
        </w:rPr>
        <w:t xml:space="preserve"> constructing time series of respired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eastAsia="Arial Unicode MS" w:hAnsi="Times New Roman" w:cs="Times New Roman"/>
          <w:sz w:val="24"/>
          <w:szCs w:val="24"/>
        </w:rPr>
        <w:t xml:space="preserve"> and constraining soil carbon models.</w:t>
      </w:r>
      <w:r w:rsidRPr="00C27016">
        <w:rPr>
          <w:rFonts w:ascii="Times New Roman" w:eastAsia="Arial Unicode MS" w:hAnsi="Times New Roman" w:cs="Times New Roman"/>
          <w:sz w:val="24"/>
          <w:szCs w:val="24"/>
        </w:rPr>
        <w:t xml:space="preserve"> </w:t>
      </w:r>
      <w:r w:rsidR="002C67C5">
        <w:rPr>
          <w:rFonts w:ascii="Times New Roman" w:eastAsia="Arial Unicode MS" w:hAnsi="Times New Roman" w:cs="Times New Roman"/>
          <w:sz w:val="24"/>
          <w:szCs w:val="24"/>
        </w:rPr>
        <w:t xml:space="preserve">We observed that </w:t>
      </w:r>
      <w:r w:rsidR="002C67C5" w:rsidRPr="00C27016">
        <w:rPr>
          <w:rFonts w:ascii="Times New Roman" w:eastAsia="Arial Unicode MS" w:hAnsi="Times New Roman" w:cs="Times New Roman"/>
          <w:sz w:val="24"/>
          <w:szCs w:val="24"/>
        </w:rPr>
        <w:t>air-drying</w:t>
      </w:r>
      <w:r w:rsidR="002C67C5">
        <w:rPr>
          <w:rFonts w:ascii="Times New Roman" w:eastAsia="Arial Unicode MS" w:hAnsi="Times New Roman" w:cs="Times New Roman"/>
          <w:sz w:val="24"/>
          <w:szCs w:val="24"/>
        </w:rPr>
        <w:t xml:space="preserve"> and rewetting shifted observed</w:t>
      </w:r>
      <w:r w:rsidRPr="00C27016">
        <w:rPr>
          <w:rFonts w:ascii="Times New Roman" w:eastAsia="Arial Unicode MS" w:hAnsi="Times New Roman" w:cs="Times New Roman"/>
          <w:sz w:val="24"/>
          <w:szCs w:val="24"/>
        </w:rPr>
        <w:t xml:space="preserv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A27CF9">
        <w:rPr>
          <w:rFonts w:ascii="Times New Roman" w:hAnsi="Times New Roman" w:cs="Times New Roman"/>
          <w:sz w:val="24"/>
          <w:szCs w:val="24"/>
        </w:rPr>
        <w:t xml:space="preserve"> </w:t>
      </w:r>
      <w:r w:rsidRPr="00C27016">
        <w:rPr>
          <w:rFonts w:ascii="Times New Roman" w:hAnsi="Times New Roman" w:cs="Times New Roman"/>
          <w:sz w:val="24"/>
          <w:szCs w:val="24"/>
        </w:rPr>
        <w:t>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relative to control incubations of soils that had never been air-dried</w:t>
      </w:r>
      <w:r w:rsidR="002C67C5">
        <w:rPr>
          <w:rFonts w:ascii="Times New Roman" w:eastAsia="Arial Unicode MS" w:hAnsi="Times New Roman" w:cs="Times New Roman"/>
          <w:sz w:val="24"/>
          <w:szCs w:val="24"/>
        </w:rPr>
        <w:t>, but these</w:t>
      </w:r>
      <w:r w:rsidRPr="00C27016">
        <w:rPr>
          <w:rFonts w:ascii="Times New Roman" w:eastAsia="Arial Unicode MS" w:hAnsi="Times New Roman" w:cs="Times New Roman"/>
          <w:sz w:val="24"/>
          <w:szCs w:val="24"/>
        </w:rPr>
        <w:t xml:space="preserve"> differences were relatively small</w:t>
      </w:r>
      <w:r w:rsidR="00650CCF">
        <w:rPr>
          <w:rFonts w:ascii="Times New Roman" w:eastAsia="Arial Unicode MS" w:hAnsi="Times New Roman" w:cs="Times New Roman"/>
          <w:sz w:val="24"/>
          <w:szCs w:val="24"/>
        </w:rPr>
        <w:t>: on the order of 10 to 25 per mille</w:t>
      </w:r>
      <w:r w:rsidR="003A7F72">
        <w:rPr>
          <w:rFonts w:ascii="Times New Roman" w:eastAsia="Arial Unicode MS" w:hAnsi="Times New Roman" w:cs="Times New Roman"/>
          <w:sz w:val="24"/>
          <w:szCs w:val="24"/>
        </w:rPr>
        <w:t>, if we exclude the samples from the Oak Ridge labeling experiment (</w:t>
      </w:r>
      <w:r w:rsidRPr="00C27016">
        <w:rPr>
          <w:rFonts w:ascii="Times New Roman" w:eastAsia="Arial Unicode MS" w:hAnsi="Times New Roman" w:cs="Times New Roman"/>
          <w:sz w:val="24"/>
          <w:szCs w:val="24"/>
        </w:rPr>
        <w:t>Table 3).</w:t>
      </w:r>
      <w:r w:rsidR="00BE5F7D">
        <w:rPr>
          <w:rFonts w:ascii="Times New Roman" w:eastAsia="Arial Unicode MS" w:hAnsi="Times New Roman" w:cs="Times New Roman"/>
          <w:sz w:val="24"/>
          <w:szCs w:val="24"/>
        </w:rPr>
        <w:t xml:space="preserve"> </w:t>
      </w:r>
      <w:r w:rsidR="003A7F72">
        <w:rPr>
          <w:rFonts w:ascii="Times New Roman" w:eastAsia="Arial Unicode MS" w:hAnsi="Times New Roman" w:cs="Times New Roman"/>
          <w:sz w:val="24"/>
          <w:szCs w:val="24"/>
        </w:rPr>
        <w:t xml:space="preserve">However, 95% confidence intervals around the mean differences between control and treatment </w:t>
      </w:r>
      <w:r w:rsidR="003A7F72" w:rsidRPr="00C27016">
        <w:rPr>
          <w:rFonts w:ascii="Times New Roman" w:eastAsia="Arial Unicode MS" w:hAnsi="Times New Roman" w:cs="Times New Roman"/>
          <w:sz w:val="24"/>
          <w:szCs w:val="24"/>
        </w:rPr>
        <w:t>∆</w:t>
      </w:r>
      <w:r w:rsidR="003A7F72" w:rsidRPr="00C27016">
        <w:rPr>
          <w:rFonts w:ascii="Times New Roman" w:hAnsi="Times New Roman" w:cs="Times New Roman"/>
          <w:sz w:val="24"/>
          <w:szCs w:val="24"/>
          <w:vertAlign w:val="superscript"/>
        </w:rPr>
        <w:t>14</w:t>
      </w:r>
      <w:r w:rsidR="003A7F72" w:rsidRPr="00C27016">
        <w:rPr>
          <w:rFonts w:ascii="Times New Roman" w:hAnsi="Times New Roman" w:cs="Times New Roman"/>
          <w:sz w:val="24"/>
          <w:szCs w:val="24"/>
        </w:rPr>
        <w:t>C-</w:t>
      </w:r>
      <w:r w:rsidR="003A7F72" w:rsidRPr="00A27CF9">
        <w:rPr>
          <w:rFonts w:ascii="Times New Roman" w:hAnsi="Times New Roman" w:cs="Times New Roman"/>
          <w:sz w:val="24"/>
          <w:szCs w:val="24"/>
        </w:rPr>
        <w:t xml:space="preserve"> </w:t>
      </w:r>
      <w:r w:rsidR="003A7F72" w:rsidRPr="00C27016">
        <w:rPr>
          <w:rFonts w:ascii="Times New Roman" w:hAnsi="Times New Roman" w:cs="Times New Roman"/>
          <w:sz w:val="24"/>
          <w:szCs w:val="24"/>
        </w:rPr>
        <w:t>CO</w:t>
      </w:r>
      <w:r w:rsidR="003A7F72" w:rsidRPr="00C27016">
        <w:rPr>
          <w:rFonts w:ascii="Times New Roman" w:hAnsi="Times New Roman" w:cs="Times New Roman"/>
          <w:sz w:val="24"/>
          <w:szCs w:val="24"/>
          <w:vertAlign w:val="subscript"/>
        </w:rPr>
        <w:t>2</w:t>
      </w:r>
      <w:r w:rsidR="003A7F72" w:rsidRPr="00C27016">
        <w:rPr>
          <w:rFonts w:ascii="Times New Roman" w:eastAsia="Arial Unicode MS" w:hAnsi="Times New Roman" w:cs="Times New Roman"/>
          <w:sz w:val="24"/>
          <w:szCs w:val="24"/>
        </w:rPr>
        <w:t xml:space="preserve"> </w:t>
      </w:r>
      <w:r w:rsidR="003A7F72">
        <w:rPr>
          <w:rFonts w:ascii="Times New Roman" w:eastAsia="Arial Unicode MS" w:hAnsi="Times New Roman" w:cs="Times New Roman"/>
          <w:sz w:val="24"/>
          <w:szCs w:val="24"/>
        </w:rPr>
        <w:t xml:space="preserve">did not include zero </w:t>
      </w:r>
      <w:r w:rsidR="004C4EC3">
        <w:rPr>
          <w:rFonts w:ascii="Times New Roman" w:eastAsia="Arial Unicode MS" w:hAnsi="Times New Roman" w:cs="Times New Roman"/>
          <w:sz w:val="24"/>
          <w:szCs w:val="24"/>
        </w:rPr>
        <w:t xml:space="preserve">for any of the three experiments </w:t>
      </w:r>
      <w:r w:rsidR="003A7F72">
        <w:rPr>
          <w:rFonts w:ascii="Times New Roman" w:eastAsia="Arial Unicode MS" w:hAnsi="Times New Roman" w:cs="Times New Roman"/>
          <w:sz w:val="24"/>
          <w:szCs w:val="24"/>
        </w:rPr>
        <w:t>(Table 3), suggesting that the process of drying and rewetting does lead to utilization of substrates with distinct ∆</w:t>
      </w:r>
      <w:r w:rsidR="003A7F72" w:rsidRPr="005B38D5">
        <w:rPr>
          <w:rFonts w:ascii="Times New Roman" w:eastAsia="Arial Unicode MS" w:hAnsi="Times New Roman" w:cs="Times New Roman"/>
          <w:sz w:val="24"/>
          <w:szCs w:val="24"/>
          <w:vertAlign w:val="superscript"/>
        </w:rPr>
        <w:t>14</w:t>
      </w:r>
      <w:r w:rsidR="003A7F72">
        <w:rPr>
          <w:rFonts w:ascii="Times New Roman" w:eastAsia="Arial Unicode MS" w:hAnsi="Times New Roman" w:cs="Times New Roman"/>
          <w:sz w:val="24"/>
          <w:szCs w:val="24"/>
        </w:rPr>
        <w:t>C signatures.</w:t>
      </w:r>
    </w:p>
    <w:p w14:paraId="09F8278B" w14:textId="22B3F36C" w:rsidR="00650CCF" w:rsidRPr="003A7F72" w:rsidRDefault="003A7F72" w:rsidP="0007788A">
      <w:pPr>
        <w:pStyle w:val="Normal1"/>
        <w:spacing w:before="240" w:after="120" w:line="360" w:lineRule="auto"/>
        <w:rPr>
          <w:rFonts w:ascii="Times New Roman" w:hAnsi="Times New Roman" w:cs="Times New Roman"/>
          <w:sz w:val="24"/>
          <w:szCs w:val="24"/>
        </w:rPr>
      </w:pPr>
      <w:r>
        <w:rPr>
          <w:rFonts w:ascii="Times New Roman" w:eastAsia="Arial Unicode MS" w:hAnsi="Times New Roman" w:cs="Times New Roman"/>
          <w:sz w:val="24"/>
          <w:szCs w:val="24"/>
        </w:rPr>
        <w:t>A</w:t>
      </w:r>
      <w:r w:rsidR="00650CCF" w:rsidRPr="00C27016">
        <w:rPr>
          <w:rFonts w:ascii="Times New Roman" w:eastAsia="Arial Unicode MS" w:hAnsi="Times New Roman" w:cs="Times New Roman"/>
          <w:sz w:val="24"/>
          <w:szCs w:val="24"/>
        </w:rPr>
        <w:t>tmospheric ∆</w:t>
      </w:r>
      <w:r w:rsidR="00650CCF" w:rsidRPr="00C27016">
        <w:rPr>
          <w:rFonts w:ascii="Times New Roman" w:hAnsi="Times New Roman" w:cs="Times New Roman"/>
          <w:sz w:val="24"/>
          <w:szCs w:val="24"/>
          <w:vertAlign w:val="superscript"/>
        </w:rPr>
        <w:t>14</w:t>
      </w:r>
      <w:r w:rsidR="00650CCF" w:rsidRPr="00C27016">
        <w:rPr>
          <w:rFonts w:ascii="Times New Roman" w:hAnsi="Times New Roman" w:cs="Times New Roman"/>
          <w:sz w:val="24"/>
          <w:szCs w:val="24"/>
        </w:rPr>
        <w:t>C has declined at about 5 per mille per year over the past two decades</w:t>
      </w:r>
      <w:r w:rsidR="00650CCF">
        <w:rPr>
          <w:rFonts w:ascii="Times New Roman" w:hAnsi="Times New Roman" w:cs="Times New Roman"/>
          <w:sz w:val="24"/>
          <w:szCs w:val="24"/>
        </w:rPr>
        <w:t xml:space="preserve"> (Fig. 6)</w:t>
      </w:r>
      <w:r w:rsidR="00650CCF" w:rsidRPr="00C27016">
        <w:rPr>
          <w:rFonts w:ascii="Times New Roman" w:hAnsi="Times New Roman" w:cs="Times New Roman"/>
          <w:sz w:val="24"/>
          <w:szCs w:val="24"/>
        </w:rPr>
        <w:t xml:space="preserve"> </w:t>
      </w:r>
      <w:r w:rsidR="00650CCF" w:rsidRPr="00C27016">
        <w:rPr>
          <w:rFonts w:ascii="Times New Roman" w:hAnsi="Times New Roman" w:cs="Times New Roman"/>
          <w:sz w:val="24"/>
          <w:szCs w:val="24"/>
        </w:rPr>
        <w:fldChar w:fldCharType="begin" w:fldLock="1"/>
      </w:r>
      <w:r w:rsidR="00650CCF">
        <w:rPr>
          <w:rFonts w:ascii="Times New Roman" w:hAnsi="Times New Roman" w:cs="Times New Roman"/>
          <w:sz w:val="24"/>
          <w:szCs w:val="24"/>
        </w:rPr>
        <w:instrText>ADDIN CSL_CITATION {"citationItems":[{"id":"ITEM-1","itemData":{"DOI":"10.5194/gmd-10-4405-2017","ISSN":"19919603","abstract":"The isotopic composition of carbon (14°C and 13°C) in atmospheric CO2 and in oceanic and terrestrial carbon reservoirs is influenced by anthropogenic emissions and by natural carbon exchanges, which can respond to and drive changes in climate. Simulations of 14C and 13C in the ocean and terrestrial components of Earth system models (ESMs) present opportunities for model evaluation and for investigation of carbon cycling, including anthropogenic CO2 emissions and uptake. The use of carbon isotopes in novel evaluation of the ESMs' component ocean and terrestrial biosphere models and in new analyses of historical changes may improve predictions of future changes in the carbon cycle and climate system. We compile existing data to produce records of 14C and 13C in atmospheric CO2 for the historical period 1850-2015. The primary motivation for this compilation is to provide the atmospheric boundary condition for historical simulations in the Coupled Model Intercomparison Project 6 (CMIP6) for models simulating carbon isotopes in the ocean or terrestrial biosphere. The data may also be useful for other carbon cycle modelling activities.","author":[{"dropping-particle":"","family":"Graven","given":"Heather","non-dropping-particle":"","parse-names":false,"suffix":""},{"dropping-particle":"","family":"Allison","given":"Colin E.","non-dropping-particle":"","parse-names":false,"suffix":""},{"dropping-particle":"","family":"Etheridge","given":"David M.","non-dropping-particle":"","parse-names":false,"suffix":""},{"dropping-particle":"","family":"Hammer","given":"Samuel","non-dropping-particle":"","parse-names":false,"suffix":""},{"dropping-particle":"","family":"Keeling","given":"Ralph F.","non-dropping-particle":"","parse-names":false,"suffix":""},{"dropping-particle":"","family":"Levin","given":"Ingeborg","non-dropping-particle":"","parse-names":false,"suffix":""},{"dropping-particle":"","family":"Meijer","given":"Harro A.J.","non-dropping-particle":"","parse-names":false,"suffix":""},{"dropping-particle":"","family":"Rubino","given":"Mauro","non-dropping-particle":"","parse-names":false,"suffix":""},{"dropping-particle":"","family":"Tans","given":"Pieter P.","non-dropping-particle":"","parse-names":false,"suffix":""},{"dropping-particle":"","family":"Trudinger","given":"Cathy M.","non-dropping-particle":"","parse-names":false,"suffix":""},{"dropping-particle":"","family":"Vaughn","given":"Bruce H.","non-dropping-particle":"","parse-names":false,"suffix":""},{"dropping-particle":"","family":"White","given":"James W.C.","non-dropping-particle":"","parse-names":false,"suffix":""}],"container-title":"Geoscientific Model Development","id":"ITEM-1","issue":"12","issued":{"date-parts":[["2017"]]},"page":"4405-4417","title":"Compiled records of carbon isotopes in atmospheric CO2 for historical simulations in CMIP6","type":"article-journal","volume":"10"},"uris":["http://www.mendeley.com/documents/?uuid=6aa96373-b2f7-4b37-9665-fd36c44833ed","http://www.mendeley.com/documents/?uuid=d4c15247-9614-4f08-86ff-43d5a33510b6"]}],"mendeley":{"formattedCitation":"(Graven et al., 2017)","plainTextFormattedCitation":"(Graven et al., 2017)","previouslyFormattedCitation":"(Graven et al., 2017)"},"properties":{"noteIndex":0},"schema":"https://github.com/citation-style-language/schema/raw/master/csl-citation.json"}</w:instrText>
      </w:r>
      <w:r w:rsidR="00650CCF" w:rsidRPr="00C27016">
        <w:rPr>
          <w:rFonts w:ascii="Times New Roman" w:hAnsi="Times New Roman" w:cs="Times New Roman"/>
          <w:sz w:val="24"/>
          <w:szCs w:val="24"/>
        </w:rPr>
        <w:fldChar w:fldCharType="separate"/>
      </w:r>
      <w:r w:rsidR="00650CCF" w:rsidRPr="001217C4">
        <w:rPr>
          <w:rFonts w:ascii="Times New Roman" w:hAnsi="Times New Roman" w:cs="Times New Roman"/>
          <w:noProof/>
          <w:sz w:val="24"/>
          <w:szCs w:val="24"/>
        </w:rPr>
        <w:t>(Graven et al., 2017)</w:t>
      </w:r>
      <w:r w:rsidR="00650CCF" w:rsidRPr="00C27016">
        <w:rPr>
          <w:rFonts w:ascii="Times New Roman" w:hAnsi="Times New Roman" w:cs="Times New Roman"/>
          <w:sz w:val="24"/>
          <w:szCs w:val="24"/>
        </w:rPr>
        <w:fldChar w:fldCharType="end"/>
      </w:r>
      <w:r w:rsidR="00650CCF">
        <w:rPr>
          <w:rFonts w:ascii="Times New Roman" w:hAnsi="Times New Roman" w:cs="Times New Roman"/>
          <w:sz w:val="24"/>
          <w:szCs w:val="24"/>
        </w:rPr>
        <w:t xml:space="preserve">, </w:t>
      </w:r>
      <w:r w:rsidR="004C4EC3">
        <w:rPr>
          <w:rFonts w:ascii="Times New Roman" w:hAnsi="Times New Roman" w:cs="Times New Roman"/>
          <w:sz w:val="24"/>
          <w:szCs w:val="24"/>
        </w:rPr>
        <w:t>meaning</w:t>
      </w:r>
      <w:r w:rsidR="00650CCF">
        <w:rPr>
          <w:rFonts w:ascii="Times New Roman" w:hAnsi="Times New Roman" w:cs="Times New Roman"/>
          <w:sz w:val="24"/>
          <w:szCs w:val="24"/>
        </w:rPr>
        <w:t xml:space="preserve"> that the differences we observed following the air-drying and rewetting treatments </w:t>
      </w:r>
      <w:r w:rsidR="003E254F">
        <w:rPr>
          <w:rFonts w:ascii="Times New Roman" w:hAnsi="Times New Roman" w:cs="Times New Roman"/>
          <w:sz w:val="24"/>
          <w:szCs w:val="24"/>
        </w:rPr>
        <w:t xml:space="preserve">are equivalent to the difference expected between photosynthate fixed </w:t>
      </w:r>
      <w:r>
        <w:rPr>
          <w:rFonts w:ascii="Times New Roman" w:hAnsi="Times New Roman" w:cs="Times New Roman"/>
          <w:sz w:val="24"/>
          <w:szCs w:val="24"/>
        </w:rPr>
        <w:t xml:space="preserve">between two and five years apart. </w:t>
      </w:r>
      <w:r w:rsidR="004C4EC3">
        <w:rPr>
          <w:rFonts w:ascii="Times New Roman" w:hAnsi="Times New Roman" w:cs="Times New Roman"/>
          <w:sz w:val="24"/>
          <w:szCs w:val="24"/>
        </w:rPr>
        <w:t xml:space="preserve">Soil is an open reservoir: </w:t>
      </w:r>
      <w:r w:rsidR="003E254F">
        <w:rPr>
          <w:rFonts w:ascii="Times New Roman" w:hAnsi="Times New Roman" w:cs="Times New Roman"/>
          <w:sz w:val="24"/>
          <w:szCs w:val="24"/>
        </w:rPr>
        <w:t xml:space="preserve">recently fixed carbon entering the soil is mixed with carbon in soil organic matter that has persisted in the soil for many years. This makes identification of the different substrates fueling respiration in control versus treatment incubations difficult, and is beyond the scope of this study. However, analysis of the relative magnitude of the </w:t>
      </w:r>
      <w:r>
        <w:rPr>
          <w:rFonts w:ascii="Times New Roman" w:hAnsi="Times New Roman" w:cs="Times New Roman"/>
          <w:sz w:val="24"/>
          <w:szCs w:val="24"/>
        </w:rPr>
        <w:t xml:space="preserve">treatment effect on </w:t>
      </w:r>
      <w:r w:rsidR="003E254F">
        <w:rPr>
          <w:rFonts w:ascii="Times New Roman" w:hAnsi="Times New Roman" w:cs="Times New Roman"/>
          <w:sz w:val="24"/>
          <w:szCs w:val="24"/>
        </w:rPr>
        <w:t xml:space="preserve">forest </w:t>
      </w:r>
      <w:r>
        <w:rPr>
          <w:rFonts w:ascii="Times New Roman" w:hAnsi="Times New Roman" w:cs="Times New Roman"/>
          <w:sz w:val="24"/>
          <w:szCs w:val="24"/>
        </w:rPr>
        <w:t>versus</w:t>
      </w:r>
      <w:r w:rsidR="003E254F">
        <w:rPr>
          <w:rFonts w:ascii="Times New Roman" w:hAnsi="Times New Roman" w:cs="Times New Roman"/>
          <w:sz w:val="24"/>
          <w:szCs w:val="24"/>
        </w:rPr>
        <w:t xml:space="preserve"> grassland soils, </w:t>
      </w:r>
      <w:r>
        <w:rPr>
          <w:rFonts w:ascii="Times New Roman" w:hAnsi="Times New Roman" w:cs="Times New Roman"/>
          <w:sz w:val="24"/>
          <w:szCs w:val="24"/>
        </w:rPr>
        <w:t>∆∆</w:t>
      </w:r>
      <w:r w:rsidRPr="003A7F72">
        <w:rPr>
          <w:rFonts w:ascii="Times New Roman" w:hAnsi="Times New Roman" w:cs="Times New Roman"/>
          <w:sz w:val="24"/>
          <w:szCs w:val="24"/>
          <w:vertAlign w:val="superscript"/>
        </w:rPr>
        <w:t>14</w:t>
      </w:r>
      <w:r>
        <w:rPr>
          <w:rFonts w:ascii="Times New Roman" w:hAnsi="Times New Roman" w:cs="Times New Roman"/>
          <w:sz w:val="24"/>
          <w:szCs w:val="24"/>
        </w:rPr>
        <w:t>C-CO</w:t>
      </w:r>
      <w:r w:rsidRPr="003A7F72">
        <w:rPr>
          <w:rFonts w:ascii="Times New Roman" w:hAnsi="Times New Roman" w:cs="Times New Roman"/>
          <w:sz w:val="24"/>
          <w:szCs w:val="24"/>
          <w:vertAlign w:val="subscript"/>
        </w:rPr>
        <w:t>2</w:t>
      </w:r>
      <w:r>
        <w:rPr>
          <w:rFonts w:ascii="Times New Roman" w:hAnsi="Times New Roman" w:cs="Times New Roman"/>
          <w:sz w:val="24"/>
          <w:szCs w:val="24"/>
        </w:rPr>
        <w:t xml:space="preserve"> (the difference between the radiocarbon signature of respired CO</w:t>
      </w:r>
      <w:r w:rsidRPr="003A7F72">
        <w:rPr>
          <w:rFonts w:ascii="Times New Roman" w:hAnsi="Times New Roman" w:cs="Times New Roman"/>
          <w:sz w:val="24"/>
          <w:szCs w:val="24"/>
          <w:vertAlign w:val="subscript"/>
        </w:rPr>
        <w:t>2</w:t>
      </w:r>
      <w:r>
        <w:rPr>
          <w:rFonts w:ascii="Times New Roman" w:hAnsi="Times New Roman" w:cs="Times New Roman"/>
          <w:sz w:val="24"/>
          <w:szCs w:val="24"/>
        </w:rPr>
        <w:t xml:space="preserve"> and that of the atmosphere in the year of sample collection), and whether treatment led to enrichment or depletion of  ∆</w:t>
      </w:r>
      <w:r w:rsidRPr="003A7F72">
        <w:rPr>
          <w:rFonts w:ascii="Times New Roman" w:hAnsi="Times New Roman" w:cs="Times New Roman"/>
          <w:sz w:val="24"/>
          <w:szCs w:val="24"/>
          <w:vertAlign w:val="superscript"/>
        </w:rPr>
        <w:t>14</w:t>
      </w:r>
      <w:r>
        <w:rPr>
          <w:rFonts w:ascii="Times New Roman" w:hAnsi="Times New Roman" w:cs="Times New Roman"/>
          <w:sz w:val="24"/>
          <w:szCs w:val="24"/>
        </w:rPr>
        <w:t>C-CO</w:t>
      </w:r>
      <w:r w:rsidRPr="003A7F72">
        <w:rPr>
          <w:rFonts w:ascii="Times New Roman" w:hAnsi="Times New Roman" w:cs="Times New Roman"/>
          <w:sz w:val="24"/>
          <w:szCs w:val="24"/>
          <w:vertAlign w:val="subscript"/>
        </w:rPr>
        <w:t>2</w:t>
      </w:r>
      <w:r>
        <w:rPr>
          <w:rFonts w:ascii="Times New Roman" w:hAnsi="Times New Roman" w:cs="Times New Roman"/>
          <w:sz w:val="24"/>
          <w:szCs w:val="24"/>
        </w:rPr>
        <w:t xml:space="preserve"> can be used to infer qualitative differences in the mean age of the respired carbon among treatments and ecosystem types.</w:t>
      </w:r>
    </w:p>
    <w:p w14:paraId="3A866C1E" w14:textId="5633440A" w:rsidR="000A3253" w:rsidRPr="00C27016" w:rsidRDefault="000A3253"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ab/>
        <w:t>4.2</w:t>
      </w:r>
      <w:r w:rsidR="00812C46">
        <w:rPr>
          <w:rFonts w:ascii="Times New Roman" w:hAnsi="Times New Roman" w:cs="Times New Roman"/>
          <w:sz w:val="24"/>
          <w:szCs w:val="24"/>
        </w:rPr>
        <w:t xml:space="preserve"> </w:t>
      </w:r>
      <w:r w:rsidR="0080158A">
        <w:rPr>
          <w:rFonts w:ascii="Times New Roman" w:hAnsi="Times New Roman" w:cs="Times New Roman"/>
          <w:sz w:val="24"/>
          <w:szCs w:val="24"/>
        </w:rPr>
        <w:t>Interpretation of treatment effects on the age of respired CO</w:t>
      </w:r>
      <w:r w:rsidR="0080158A" w:rsidRPr="0080158A">
        <w:rPr>
          <w:rFonts w:ascii="Times New Roman" w:hAnsi="Times New Roman" w:cs="Times New Roman"/>
          <w:sz w:val="24"/>
          <w:szCs w:val="24"/>
          <w:vertAlign w:val="subscript"/>
        </w:rPr>
        <w:t>2</w:t>
      </w:r>
      <w:r w:rsidR="0080158A">
        <w:rPr>
          <w:rFonts w:ascii="Times New Roman" w:hAnsi="Times New Roman" w:cs="Times New Roman"/>
          <w:sz w:val="24"/>
          <w:szCs w:val="24"/>
        </w:rPr>
        <w:t xml:space="preserve"> </w:t>
      </w:r>
      <w:r w:rsidR="00812C46">
        <w:rPr>
          <w:rFonts w:ascii="Times New Roman" w:hAnsi="Times New Roman" w:cs="Times New Roman"/>
          <w:sz w:val="24"/>
          <w:szCs w:val="24"/>
        </w:rPr>
        <w:t xml:space="preserve"> </w:t>
      </w:r>
    </w:p>
    <w:p w14:paraId="0C3E3882" w14:textId="47A14D52" w:rsidR="00484ABF" w:rsidRDefault="000A3253" w:rsidP="000A3253">
      <w:pPr>
        <w:pStyle w:val="Normal1"/>
        <w:spacing w:before="240" w:after="120" w:line="360" w:lineRule="auto"/>
        <w:rPr>
          <w:rFonts w:ascii="Times New Roman" w:hAnsi="Times New Roman" w:cs="Times New Roman"/>
          <w:sz w:val="24"/>
          <w:szCs w:val="24"/>
        </w:rPr>
        <w:sectPr w:rsidR="00484ABF" w:rsidSect="00287CAA">
          <w:pgSz w:w="12240" w:h="15840"/>
          <w:pgMar w:top="1440" w:right="1440" w:bottom="1440" w:left="1440" w:header="432" w:footer="720" w:gutter="0"/>
          <w:lnNumType w:countBy="1" w:restart="continuous"/>
          <w:cols w:space="720"/>
          <w:docGrid w:linePitch="360"/>
        </w:sectPr>
      </w:pPr>
      <w:r w:rsidRPr="00C27016">
        <w:rPr>
          <w:rFonts w:ascii="Times New Roman" w:hAnsi="Times New Roman" w:cs="Times New Roman"/>
          <w:sz w:val="24"/>
          <w:szCs w:val="24"/>
        </w:rPr>
        <w:t xml:space="preserve">Data from samples collected at the same location (Hainich-Dün) at two different time points (for Experiment 1 in 2011 and Experiment 2 in 2019) illustrate both the potential of the archive </w:t>
      </w:r>
    </w:p>
    <w:p w14:paraId="07477FA4" w14:textId="37532C49" w:rsidR="00296532" w:rsidRDefault="00296532" w:rsidP="00E028EA">
      <w:pPr>
        <w:pStyle w:val="Normal1"/>
        <w:spacing w:line="240" w:lineRule="auto"/>
        <w:rPr>
          <w:rFonts w:ascii="Times New Roman" w:hAnsi="Times New Roman" w:cs="Times New Roman"/>
          <w:b/>
          <w:sz w:val="24"/>
          <w:szCs w:val="24"/>
        </w:rPr>
      </w:pPr>
      <w:r w:rsidRPr="00296532">
        <w:rPr>
          <w:rFonts w:ascii="Times New Roman" w:hAnsi="Times New Roman" w:cs="Times New Roman"/>
          <w:b/>
          <w:sz w:val="24"/>
          <w:szCs w:val="24"/>
        </w:rPr>
        <w:t>Table 3</w:t>
      </w:r>
      <w:r>
        <w:rPr>
          <w:rFonts w:ascii="Times New Roman" w:hAnsi="Times New Roman" w:cs="Times New Roman"/>
          <w:b/>
          <w:sz w:val="24"/>
          <w:szCs w:val="24"/>
        </w:rPr>
        <w:t>.</w:t>
      </w:r>
    </w:p>
    <w:p w14:paraId="5DDE619A" w14:textId="3618241E" w:rsidR="00296532" w:rsidRDefault="00296532" w:rsidP="00E028EA">
      <w:pPr>
        <w:pStyle w:val="Normal1"/>
        <w:spacing w:after="120" w:line="240" w:lineRule="auto"/>
        <w:rPr>
          <w:rFonts w:ascii="Times New Roman" w:hAnsi="Times New Roman" w:cs="Times New Roman"/>
          <w:i/>
          <w:color w:val="000000"/>
          <w:sz w:val="24"/>
          <w:szCs w:val="24"/>
        </w:rPr>
      </w:pPr>
      <w:r w:rsidRPr="00E028EA">
        <w:rPr>
          <w:rFonts w:ascii="Times New Roman" w:hAnsi="Times New Roman" w:cs="Times New Roman"/>
          <w:i/>
          <w:color w:val="000000"/>
          <w:sz w:val="24"/>
          <w:szCs w:val="24"/>
        </w:rPr>
        <w:t>∆</w:t>
      </w:r>
      <w:r w:rsidRPr="00E028EA">
        <w:rPr>
          <w:rFonts w:ascii="Times New Roman" w:hAnsi="Times New Roman" w:cs="Times New Roman"/>
          <w:i/>
          <w:color w:val="000000"/>
          <w:sz w:val="24"/>
          <w:szCs w:val="24"/>
          <w:vertAlign w:val="superscript"/>
        </w:rPr>
        <w:t>14</w:t>
      </w:r>
      <w:r w:rsidRPr="00E028EA">
        <w:rPr>
          <w:rFonts w:ascii="Times New Roman" w:hAnsi="Times New Roman" w:cs="Times New Roman"/>
          <w:i/>
          <w:color w:val="000000"/>
          <w:sz w:val="24"/>
          <w:szCs w:val="24"/>
        </w:rPr>
        <w:t>C and δ</w:t>
      </w:r>
      <w:r w:rsidRPr="00E028EA">
        <w:rPr>
          <w:rFonts w:ascii="Times New Roman" w:hAnsi="Times New Roman" w:cs="Times New Roman"/>
          <w:i/>
          <w:color w:val="000000"/>
          <w:sz w:val="24"/>
          <w:szCs w:val="24"/>
          <w:vertAlign w:val="superscript"/>
        </w:rPr>
        <w:t>13</w:t>
      </w:r>
      <w:r w:rsidRPr="00E028EA">
        <w:rPr>
          <w:rFonts w:ascii="Times New Roman" w:hAnsi="Times New Roman" w:cs="Times New Roman"/>
          <w:i/>
          <w:color w:val="000000"/>
          <w:sz w:val="24"/>
          <w:szCs w:val="24"/>
        </w:rPr>
        <w:t>C of respired CO</w:t>
      </w:r>
      <w:r w:rsidRPr="00E028EA">
        <w:rPr>
          <w:rFonts w:ascii="Times New Roman" w:hAnsi="Times New Roman" w:cs="Times New Roman"/>
          <w:i/>
          <w:color w:val="000000"/>
          <w:sz w:val="24"/>
          <w:szCs w:val="24"/>
          <w:vertAlign w:val="subscript"/>
        </w:rPr>
        <w:t>2</w:t>
      </w:r>
      <w:r w:rsidRPr="00E028EA">
        <w:rPr>
          <w:rFonts w:ascii="Times New Roman" w:hAnsi="Times New Roman" w:cs="Times New Roman"/>
          <w:i/>
          <w:color w:val="000000"/>
          <w:sz w:val="24"/>
          <w:szCs w:val="24"/>
        </w:rPr>
        <w:t xml:space="preserve"> in the 2</w:t>
      </w:r>
      <w:r w:rsidRPr="00E028EA">
        <w:rPr>
          <w:rFonts w:ascii="Times New Roman" w:hAnsi="Times New Roman" w:cs="Times New Roman"/>
          <w:i/>
          <w:color w:val="000000"/>
          <w:sz w:val="24"/>
          <w:szCs w:val="24"/>
          <w:vertAlign w:val="superscript"/>
        </w:rPr>
        <w:t>nd</w:t>
      </w:r>
      <w:r w:rsidRPr="00E028EA">
        <w:rPr>
          <w:rFonts w:ascii="Times New Roman" w:hAnsi="Times New Roman" w:cs="Times New Roman"/>
          <w:i/>
          <w:color w:val="000000"/>
          <w:sz w:val="24"/>
          <w:szCs w:val="24"/>
        </w:rPr>
        <w:t xml:space="preserve"> enclosure period*</w:t>
      </w:r>
    </w:p>
    <w:tbl>
      <w:tblPr>
        <w:tblW w:w="13792" w:type="dxa"/>
        <w:tblInd w:w="93" w:type="dxa"/>
        <w:tblLayout w:type="fixed"/>
        <w:tblLook w:val="04A0" w:firstRow="1" w:lastRow="0" w:firstColumn="1" w:lastColumn="0" w:noHBand="0" w:noVBand="1"/>
      </w:tblPr>
      <w:tblGrid>
        <w:gridCol w:w="1507"/>
        <w:gridCol w:w="1222"/>
        <w:gridCol w:w="2506"/>
        <w:gridCol w:w="460"/>
        <w:gridCol w:w="733"/>
        <w:gridCol w:w="937"/>
        <w:gridCol w:w="715"/>
        <w:gridCol w:w="748"/>
        <w:gridCol w:w="715"/>
        <w:gridCol w:w="733"/>
        <w:gridCol w:w="1435"/>
        <w:gridCol w:w="733"/>
        <w:gridCol w:w="1348"/>
      </w:tblGrid>
      <w:tr w:rsidR="00E028EA" w:rsidRPr="00E028EA" w14:paraId="02573B90" w14:textId="77777777" w:rsidTr="00E028EA">
        <w:trPr>
          <w:trHeight w:val="300"/>
        </w:trPr>
        <w:tc>
          <w:tcPr>
            <w:tcW w:w="1507" w:type="dxa"/>
            <w:tcBorders>
              <w:top w:val="nil"/>
              <w:left w:val="nil"/>
              <w:bottom w:val="nil"/>
              <w:right w:val="nil"/>
            </w:tcBorders>
            <w:shd w:val="clear" w:color="auto" w:fill="auto"/>
            <w:noWrap/>
            <w:vAlign w:val="bottom"/>
            <w:hideMark/>
          </w:tcPr>
          <w:p w14:paraId="1A11689F" w14:textId="77777777" w:rsidR="00E028EA" w:rsidRPr="00E028EA" w:rsidRDefault="00E028EA" w:rsidP="00E028EA">
            <w:pPr>
              <w:jc w:val="center"/>
              <w:rPr>
                <w:rFonts w:ascii="Cambria" w:eastAsia="Times New Roman" w:hAnsi="Cambria"/>
                <w:color w:val="000000"/>
                <w:sz w:val="22"/>
                <w:szCs w:val="22"/>
              </w:rPr>
            </w:pPr>
          </w:p>
        </w:tc>
        <w:tc>
          <w:tcPr>
            <w:tcW w:w="1222" w:type="dxa"/>
            <w:tcBorders>
              <w:top w:val="nil"/>
              <w:left w:val="nil"/>
              <w:bottom w:val="nil"/>
              <w:right w:val="nil"/>
            </w:tcBorders>
            <w:shd w:val="clear" w:color="auto" w:fill="auto"/>
            <w:noWrap/>
            <w:vAlign w:val="bottom"/>
            <w:hideMark/>
          </w:tcPr>
          <w:p w14:paraId="28E75F5A" w14:textId="77777777" w:rsidR="00E028EA" w:rsidRPr="00E028EA" w:rsidRDefault="00E028EA" w:rsidP="00E028EA">
            <w:pPr>
              <w:jc w:val="center"/>
              <w:rPr>
                <w:rFonts w:ascii="Cambria" w:eastAsia="Times New Roman" w:hAnsi="Cambria"/>
                <w:color w:val="000000"/>
                <w:sz w:val="22"/>
                <w:szCs w:val="22"/>
              </w:rPr>
            </w:pPr>
          </w:p>
        </w:tc>
        <w:tc>
          <w:tcPr>
            <w:tcW w:w="2506" w:type="dxa"/>
            <w:tcBorders>
              <w:top w:val="nil"/>
              <w:left w:val="nil"/>
              <w:bottom w:val="nil"/>
              <w:right w:val="nil"/>
            </w:tcBorders>
            <w:shd w:val="clear" w:color="auto" w:fill="auto"/>
            <w:noWrap/>
            <w:vAlign w:val="bottom"/>
            <w:hideMark/>
          </w:tcPr>
          <w:p w14:paraId="4F41B887" w14:textId="77777777" w:rsidR="00E028EA" w:rsidRPr="00E028EA" w:rsidRDefault="00E028EA" w:rsidP="00E028EA">
            <w:pPr>
              <w:jc w:val="center"/>
              <w:rPr>
                <w:rFonts w:ascii="Cambria" w:eastAsia="Times New Roman" w:hAnsi="Cambria"/>
                <w:color w:val="000000"/>
                <w:sz w:val="22"/>
                <w:szCs w:val="22"/>
              </w:rPr>
            </w:pPr>
          </w:p>
        </w:tc>
        <w:tc>
          <w:tcPr>
            <w:tcW w:w="460" w:type="dxa"/>
            <w:tcBorders>
              <w:top w:val="nil"/>
              <w:left w:val="nil"/>
              <w:bottom w:val="nil"/>
              <w:right w:val="nil"/>
            </w:tcBorders>
            <w:shd w:val="clear" w:color="auto" w:fill="auto"/>
            <w:noWrap/>
            <w:vAlign w:val="bottom"/>
            <w:hideMark/>
          </w:tcPr>
          <w:p w14:paraId="2750F769" w14:textId="77777777" w:rsidR="00E028EA" w:rsidRPr="00E028EA" w:rsidRDefault="00E028EA" w:rsidP="00E028EA">
            <w:pPr>
              <w:jc w:val="center"/>
              <w:rPr>
                <w:rFonts w:ascii="Cambria" w:eastAsia="Times New Roman" w:hAnsi="Cambria"/>
                <w:color w:val="000000"/>
                <w:sz w:val="22"/>
                <w:szCs w:val="22"/>
              </w:rPr>
            </w:pPr>
          </w:p>
        </w:tc>
        <w:tc>
          <w:tcPr>
            <w:tcW w:w="3848" w:type="dxa"/>
            <w:gridSpan w:val="5"/>
            <w:tcBorders>
              <w:top w:val="nil"/>
              <w:left w:val="nil"/>
              <w:bottom w:val="nil"/>
              <w:right w:val="nil"/>
            </w:tcBorders>
            <w:shd w:val="clear" w:color="auto" w:fill="auto"/>
            <w:noWrap/>
            <w:vAlign w:val="bottom"/>
            <w:hideMark/>
          </w:tcPr>
          <w:p w14:paraId="68304990" w14:textId="77777777" w:rsidR="00E028EA" w:rsidRPr="00E028EA" w:rsidRDefault="00E028EA" w:rsidP="00E028EA">
            <w:pPr>
              <w:jc w:val="center"/>
              <w:rPr>
                <w:rFonts w:ascii="Cambria" w:eastAsia="Times New Roman" w:hAnsi="Cambria"/>
                <w:color w:val="000000"/>
                <w:sz w:val="22"/>
                <w:szCs w:val="22"/>
              </w:rPr>
            </w:pPr>
          </w:p>
        </w:tc>
        <w:tc>
          <w:tcPr>
            <w:tcW w:w="4249" w:type="dxa"/>
            <w:gridSpan w:val="4"/>
            <w:tcBorders>
              <w:top w:val="nil"/>
              <w:left w:val="nil"/>
              <w:bottom w:val="single" w:sz="4" w:space="0" w:color="auto"/>
              <w:right w:val="nil"/>
            </w:tcBorders>
            <w:shd w:val="clear" w:color="auto" w:fill="auto"/>
            <w:noWrap/>
            <w:vAlign w:val="bottom"/>
            <w:hideMark/>
          </w:tcPr>
          <w:p w14:paraId="1F83120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Difference (treatment - control)</w:t>
            </w:r>
          </w:p>
        </w:tc>
      </w:tr>
      <w:tr w:rsidR="00E028EA" w:rsidRPr="00E028EA" w14:paraId="06DA7887" w14:textId="77777777" w:rsidTr="00E028EA">
        <w:trPr>
          <w:trHeight w:val="300"/>
        </w:trPr>
        <w:tc>
          <w:tcPr>
            <w:tcW w:w="1507" w:type="dxa"/>
            <w:tcBorders>
              <w:top w:val="nil"/>
              <w:left w:val="nil"/>
              <w:bottom w:val="nil"/>
              <w:right w:val="nil"/>
            </w:tcBorders>
            <w:shd w:val="clear" w:color="auto" w:fill="auto"/>
            <w:noWrap/>
            <w:vAlign w:val="bottom"/>
            <w:hideMark/>
          </w:tcPr>
          <w:p w14:paraId="6794AC72" w14:textId="77777777" w:rsidR="00E028EA" w:rsidRPr="00E028EA" w:rsidRDefault="00E028EA" w:rsidP="00E028EA">
            <w:pPr>
              <w:jc w:val="center"/>
              <w:rPr>
                <w:rFonts w:ascii="Cambria" w:eastAsia="Times New Roman" w:hAnsi="Cambria"/>
                <w:color w:val="000000"/>
                <w:sz w:val="22"/>
                <w:szCs w:val="22"/>
              </w:rPr>
            </w:pPr>
          </w:p>
        </w:tc>
        <w:tc>
          <w:tcPr>
            <w:tcW w:w="1222" w:type="dxa"/>
            <w:tcBorders>
              <w:top w:val="nil"/>
              <w:left w:val="nil"/>
              <w:bottom w:val="nil"/>
              <w:right w:val="nil"/>
            </w:tcBorders>
            <w:shd w:val="clear" w:color="auto" w:fill="auto"/>
            <w:noWrap/>
            <w:vAlign w:val="bottom"/>
            <w:hideMark/>
          </w:tcPr>
          <w:p w14:paraId="4DA886E7" w14:textId="77777777" w:rsidR="00E028EA" w:rsidRPr="00E028EA" w:rsidRDefault="00E028EA" w:rsidP="00E028EA">
            <w:pPr>
              <w:jc w:val="center"/>
              <w:rPr>
                <w:rFonts w:ascii="Cambria" w:eastAsia="Times New Roman" w:hAnsi="Cambria"/>
                <w:color w:val="000000"/>
                <w:sz w:val="22"/>
                <w:szCs w:val="22"/>
              </w:rPr>
            </w:pPr>
          </w:p>
        </w:tc>
        <w:tc>
          <w:tcPr>
            <w:tcW w:w="2506" w:type="dxa"/>
            <w:tcBorders>
              <w:top w:val="nil"/>
              <w:left w:val="nil"/>
              <w:bottom w:val="nil"/>
              <w:right w:val="nil"/>
            </w:tcBorders>
            <w:shd w:val="clear" w:color="auto" w:fill="auto"/>
            <w:noWrap/>
            <w:vAlign w:val="bottom"/>
            <w:hideMark/>
          </w:tcPr>
          <w:p w14:paraId="554C3591" w14:textId="77777777" w:rsidR="00E028EA" w:rsidRPr="00E028EA" w:rsidRDefault="00E028EA" w:rsidP="00E028EA">
            <w:pPr>
              <w:jc w:val="center"/>
              <w:rPr>
                <w:rFonts w:ascii="Cambria" w:eastAsia="Times New Roman" w:hAnsi="Cambria"/>
                <w:color w:val="000000"/>
                <w:sz w:val="22"/>
                <w:szCs w:val="22"/>
              </w:rPr>
            </w:pPr>
          </w:p>
        </w:tc>
        <w:tc>
          <w:tcPr>
            <w:tcW w:w="460" w:type="dxa"/>
            <w:tcBorders>
              <w:top w:val="nil"/>
              <w:left w:val="nil"/>
              <w:bottom w:val="nil"/>
              <w:right w:val="nil"/>
            </w:tcBorders>
            <w:shd w:val="clear" w:color="auto" w:fill="auto"/>
            <w:noWrap/>
            <w:vAlign w:val="bottom"/>
            <w:hideMark/>
          </w:tcPr>
          <w:p w14:paraId="67AFD9DC" w14:textId="77777777" w:rsidR="00E028EA" w:rsidRPr="00E028EA" w:rsidRDefault="00E028EA" w:rsidP="00E028EA">
            <w:pPr>
              <w:jc w:val="center"/>
              <w:rPr>
                <w:rFonts w:ascii="Cambria" w:eastAsia="Times New Roman" w:hAnsi="Cambria"/>
                <w:color w:val="000000"/>
                <w:sz w:val="22"/>
                <w:szCs w:val="22"/>
              </w:rPr>
            </w:pPr>
          </w:p>
        </w:tc>
        <w:tc>
          <w:tcPr>
            <w:tcW w:w="2385" w:type="dxa"/>
            <w:gridSpan w:val="3"/>
            <w:tcBorders>
              <w:top w:val="nil"/>
              <w:left w:val="nil"/>
              <w:bottom w:val="single" w:sz="4" w:space="0" w:color="auto"/>
              <w:right w:val="nil"/>
            </w:tcBorders>
            <w:shd w:val="clear" w:color="auto" w:fill="auto"/>
            <w:noWrap/>
            <w:vAlign w:val="center"/>
            <w:hideMark/>
          </w:tcPr>
          <w:p w14:paraId="6045B31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 xml:space="preserve"> ∆</w:t>
            </w:r>
            <w:r w:rsidRPr="00E028EA">
              <w:rPr>
                <w:rFonts w:ascii="Cambria" w:eastAsia="Times New Roman" w:hAnsi="Cambria"/>
                <w:color w:val="000000"/>
                <w:sz w:val="22"/>
                <w:szCs w:val="22"/>
                <w:vertAlign w:val="superscript"/>
              </w:rPr>
              <w:t>14</w:t>
            </w:r>
            <w:r w:rsidRPr="00E028EA">
              <w:rPr>
                <w:rFonts w:ascii="Cambria" w:eastAsia="Times New Roman" w:hAnsi="Cambria"/>
                <w:color w:val="000000"/>
                <w:sz w:val="22"/>
                <w:szCs w:val="22"/>
              </w:rPr>
              <w:t>C-CO</w:t>
            </w:r>
            <w:r w:rsidRPr="00E028EA">
              <w:rPr>
                <w:rFonts w:ascii="Cambria" w:eastAsia="Times New Roman" w:hAnsi="Cambria"/>
                <w:color w:val="000000"/>
                <w:sz w:val="22"/>
                <w:szCs w:val="22"/>
                <w:vertAlign w:val="subscript"/>
              </w:rPr>
              <w:t>2</w:t>
            </w:r>
          </w:p>
        </w:tc>
        <w:tc>
          <w:tcPr>
            <w:tcW w:w="1463" w:type="dxa"/>
            <w:gridSpan w:val="2"/>
            <w:tcBorders>
              <w:top w:val="nil"/>
              <w:left w:val="nil"/>
              <w:bottom w:val="single" w:sz="4" w:space="0" w:color="auto"/>
              <w:right w:val="nil"/>
            </w:tcBorders>
            <w:shd w:val="clear" w:color="auto" w:fill="auto"/>
            <w:noWrap/>
            <w:vAlign w:val="center"/>
            <w:hideMark/>
          </w:tcPr>
          <w:p w14:paraId="6CF5A32C" w14:textId="77777777" w:rsidR="00E028EA" w:rsidRPr="00E028EA" w:rsidRDefault="00E028EA" w:rsidP="00E028EA">
            <w:pPr>
              <w:jc w:val="center"/>
              <w:rPr>
                <w:rFonts w:ascii="Cambria" w:eastAsia="Times New Roman" w:hAnsi="Cambria"/>
                <w:color w:val="333333"/>
                <w:sz w:val="22"/>
                <w:szCs w:val="22"/>
              </w:rPr>
            </w:pPr>
            <w:r w:rsidRPr="00E028EA">
              <w:rPr>
                <w:rFonts w:ascii="Cambria" w:eastAsia="Times New Roman" w:hAnsi="Cambria"/>
                <w:color w:val="333333"/>
                <w:sz w:val="22"/>
                <w:szCs w:val="22"/>
              </w:rPr>
              <w:t>δ</w:t>
            </w:r>
            <w:r w:rsidRPr="00E028EA">
              <w:rPr>
                <w:rFonts w:ascii="Cambria" w:eastAsia="Times New Roman" w:hAnsi="Cambria"/>
                <w:color w:val="333333"/>
                <w:sz w:val="22"/>
                <w:szCs w:val="22"/>
                <w:vertAlign w:val="superscript"/>
              </w:rPr>
              <w:t>13</w:t>
            </w:r>
            <w:r w:rsidRPr="00E028EA">
              <w:rPr>
                <w:rFonts w:ascii="Cambria" w:eastAsia="Times New Roman" w:hAnsi="Cambria"/>
                <w:color w:val="333333"/>
                <w:sz w:val="22"/>
                <w:szCs w:val="22"/>
              </w:rPr>
              <w:t>C-CO</w:t>
            </w:r>
            <w:r w:rsidRPr="00E028EA">
              <w:rPr>
                <w:rFonts w:ascii="Cambria" w:eastAsia="Times New Roman" w:hAnsi="Cambria"/>
                <w:color w:val="333333"/>
                <w:sz w:val="22"/>
                <w:szCs w:val="22"/>
                <w:vertAlign w:val="subscript"/>
              </w:rPr>
              <w:t>2</w:t>
            </w:r>
          </w:p>
        </w:tc>
        <w:tc>
          <w:tcPr>
            <w:tcW w:w="2168" w:type="dxa"/>
            <w:gridSpan w:val="2"/>
            <w:tcBorders>
              <w:top w:val="nil"/>
              <w:left w:val="nil"/>
              <w:bottom w:val="single" w:sz="4" w:space="0" w:color="auto"/>
              <w:right w:val="nil"/>
            </w:tcBorders>
            <w:shd w:val="clear" w:color="auto" w:fill="auto"/>
            <w:noWrap/>
            <w:vAlign w:val="center"/>
            <w:hideMark/>
          </w:tcPr>
          <w:p w14:paraId="2681B2F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r w:rsidRPr="00E028EA">
              <w:rPr>
                <w:rFonts w:ascii="Cambria" w:eastAsia="Times New Roman" w:hAnsi="Cambria"/>
                <w:color w:val="000000"/>
                <w:sz w:val="22"/>
                <w:szCs w:val="22"/>
                <w:vertAlign w:val="superscript"/>
              </w:rPr>
              <w:t>14</w:t>
            </w:r>
            <w:r w:rsidRPr="00E028EA">
              <w:rPr>
                <w:rFonts w:ascii="Cambria" w:eastAsia="Times New Roman" w:hAnsi="Cambria"/>
                <w:color w:val="000000"/>
                <w:sz w:val="22"/>
                <w:szCs w:val="22"/>
              </w:rPr>
              <w:t>C-CO</w:t>
            </w:r>
            <w:r w:rsidRPr="00E028EA">
              <w:rPr>
                <w:rFonts w:ascii="Cambria" w:eastAsia="Times New Roman" w:hAnsi="Cambria"/>
                <w:color w:val="000000"/>
                <w:sz w:val="22"/>
                <w:szCs w:val="22"/>
                <w:vertAlign w:val="subscript"/>
              </w:rPr>
              <w:t>2</w:t>
            </w:r>
          </w:p>
        </w:tc>
        <w:tc>
          <w:tcPr>
            <w:tcW w:w="2081" w:type="dxa"/>
            <w:gridSpan w:val="2"/>
            <w:tcBorders>
              <w:top w:val="nil"/>
              <w:left w:val="nil"/>
              <w:bottom w:val="single" w:sz="4" w:space="0" w:color="auto"/>
              <w:right w:val="nil"/>
            </w:tcBorders>
            <w:shd w:val="clear" w:color="auto" w:fill="auto"/>
            <w:noWrap/>
            <w:vAlign w:val="center"/>
            <w:hideMark/>
          </w:tcPr>
          <w:p w14:paraId="58BA8704" w14:textId="77777777" w:rsidR="00E028EA" w:rsidRPr="00E028EA" w:rsidRDefault="00E028EA" w:rsidP="00E028EA">
            <w:pPr>
              <w:jc w:val="center"/>
              <w:rPr>
                <w:rFonts w:ascii="Cambria" w:eastAsia="Times New Roman" w:hAnsi="Cambria"/>
                <w:color w:val="333333"/>
                <w:sz w:val="22"/>
                <w:szCs w:val="22"/>
              </w:rPr>
            </w:pPr>
            <w:r w:rsidRPr="00E028EA">
              <w:rPr>
                <w:rFonts w:ascii="Cambria" w:eastAsia="Times New Roman" w:hAnsi="Cambria"/>
                <w:color w:val="333333"/>
                <w:sz w:val="22"/>
                <w:szCs w:val="22"/>
              </w:rPr>
              <w:t>δ</w:t>
            </w:r>
            <w:r w:rsidRPr="00E028EA">
              <w:rPr>
                <w:rFonts w:ascii="Cambria" w:eastAsia="Times New Roman" w:hAnsi="Cambria"/>
                <w:color w:val="333333"/>
                <w:sz w:val="22"/>
                <w:szCs w:val="22"/>
                <w:vertAlign w:val="superscript"/>
              </w:rPr>
              <w:t>13</w:t>
            </w:r>
            <w:r w:rsidRPr="00E028EA">
              <w:rPr>
                <w:rFonts w:ascii="Cambria" w:eastAsia="Times New Roman" w:hAnsi="Cambria"/>
                <w:color w:val="333333"/>
                <w:sz w:val="22"/>
                <w:szCs w:val="22"/>
              </w:rPr>
              <w:t>C-CO</w:t>
            </w:r>
            <w:r w:rsidRPr="00E028EA">
              <w:rPr>
                <w:rFonts w:ascii="Cambria" w:eastAsia="Times New Roman" w:hAnsi="Cambria"/>
                <w:color w:val="333333"/>
                <w:sz w:val="22"/>
                <w:szCs w:val="22"/>
                <w:vertAlign w:val="subscript"/>
              </w:rPr>
              <w:t>2</w:t>
            </w:r>
          </w:p>
        </w:tc>
      </w:tr>
      <w:tr w:rsidR="00E028EA" w:rsidRPr="00E028EA" w14:paraId="39A1B0A9" w14:textId="77777777" w:rsidTr="00E028EA">
        <w:trPr>
          <w:trHeight w:val="600"/>
        </w:trPr>
        <w:tc>
          <w:tcPr>
            <w:tcW w:w="1507" w:type="dxa"/>
            <w:tcBorders>
              <w:top w:val="nil"/>
              <w:left w:val="nil"/>
              <w:bottom w:val="single" w:sz="4" w:space="0" w:color="auto"/>
              <w:right w:val="nil"/>
            </w:tcBorders>
            <w:shd w:val="clear" w:color="auto" w:fill="auto"/>
            <w:noWrap/>
            <w:vAlign w:val="bottom"/>
            <w:hideMark/>
          </w:tcPr>
          <w:p w14:paraId="064E7EE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Experiment**</w:t>
            </w:r>
          </w:p>
        </w:tc>
        <w:tc>
          <w:tcPr>
            <w:tcW w:w="1222" w:type="dxa"/>
            <w:tcBorders>
              <w:top w:val="nil"/>
              <w:left w:val="nil"/>
              <w:bottom w:val="single" w:sz="4" w:space="0" w:color="auto"/>
              <w:right w:val="nil"/>
            </w:tcBorders>
            <w:shd w:val="clear" w:color="auto" w:fill="auto"/>
            <w:noWrap/>
            <w:vAlign w:val="bottom"/>
            <w:hideMark/>
          </w:tcPr>
          <w:p w14:paraId="0C663B2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Ecosystem</w:t>
            </w:r>
          </w:p>
        </w:tc>
        <w:tc>
          <w:tcPr>
            <w:tcW w:w="2506" w:type="dxa"/>
            <w:tcBorders>
              <w:top w:val="nil"/>
              <w:left w:val="nil"/>
              <w:bottom w:val="single" w:sz="4" w:space="0" w:color="auto"/>
              <w:right w:val="nil"/>
            </w:tcBorders>
            <w:shd w:val="clear" w:color="auto" w:fill="auto"/>
            <w:noWrap/>
            <w:vAlign w:val="bottom"/>
            <w:hideMark/>
          </w:tcPr>
          <w:p w14:paraId="48F92B7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Treatment</w:t>
            </w:r>
          </w:p>
        </w:tc>
        <w:tc>
          <w:tcPr>
            <w:tcW w:w="460" w:type="dxa"/>
            <w:tcBorders>
              <w:top w:val="nil"/>
              <w:left w:val="nil"/>
              <w:bottom w:val="single" w:sz="4" w:space="0" w:color="auto"/>
              <w:right w:val="nil"/>
            </w:tcBorders>
            <w:shd w:val="clear" w:color="auto" w:fill="auto"/>
            <w:noWrap/>
            <w:vAlign w:val="bottom"/>
            <w:hideMark/>
          </w:tcPr>
          <w:p w14:paraId="1A04CF8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n</w:t>
            </w:r>
          </w:p>
        </w:tc>
        <w:tc>
          <w:tcPr>
            <w:tcW w:w="733" w:type="dxa"/>
            <w:tcBorders>
              <w:top w:val="nil"/>
              <w:left w:val="nil"/>
              <w:bottom w:val="single" w:sz="4" w:space="0" w:color="auto"/>
              <w:right w:val="nil"/>
            </w:tcBorders>
            <w:shd w:val="clear" w:color="auto" w:fill="auto"/>
            <w:noWrap/>
            <w:vAlign w:val="bottom"/>
            <w:hideMark/>
          </w:tcPr>
          <w:p w14:paraId="4599D4A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937" w:type="dxa"/>
            <w:tcBorders>
              <w:top w:val="nil"/>
              <w:left w:val="nil"/>
              <w:bottom w:val="single" w:sz="4" w:space="0" w:color="auto"/>
              <w:right w:val="nil"/>
            </w:tcBorders>
            <w:shd w:val="clear" w:color="auto" w:fill="auto"/>
            <w:noWrap/>
            <w:vAlign w:val="bottom"/>
            <w:hideMark/>
          </w:tcPr>
          <w:p w14:paraId="397F81A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Mean ∆∆</w:t>
            </w:r>
          </w:p>
        </w:tc>
        <w:tc>
          <w:tcPr>
            <w:tcW w:w="715" w:type="dxa"/>
            <w:tcBorders>
              <w:top w:val="nil"/>
              <w:left w:val="nil"/>
              <w:bottom w:val="single" w:sz="4" w:space="0" w:color="auto"/>
              <w:right w:val="nil"/>
            </w:tcBorders>
            <w:shd w:val="clear" w:color="auto" w:fill="auto"/>
            <w:noWrap/>
            <w:vAlign w:val="bottom"/>
            <w:hideMark/>
          </w:tcPr>
          <w:p w14:paraId="6B9EAB7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sd***</w:t>
            </w:r>
          </w:p>
        </w:tc>
        <w:tc>
          <w:tcPr>
            <w:tcW w:w="748" w:type="dxa"/>
            <w:tcBorders>
              <w:top w:val="nil"/>
              <w:left w:val="nil"/>
              <w:bottom w:val="single" w:sz="4" w:space="0" w:color="auto"/>
              <w:right w:val="nil"/>
            </w:tcBorders>
            <w:shd w:val="clear" w:color="auto" w:fill="auto"/>
            <w:noWrap/>
            <w:vAlign w:val="bottom"/>
            <w:hideMark/>
          </w:tcPr>
          <w:p w14:paraId="41255B2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715" w:type="dxa"/>
            <w:tcBorders>
              <w:top w:val="nil"/>
              <w:left w:val="nil"/>
              <w:bottom w:val="single" w:sz="4" w:space="0" w:color="auto"/>
              <w:right w:val="nil"/>
            </w:tcBorders>
            <w:shd w:val="clear" w:color="auto" w:fill="auto"/>
            <w:noWrap/>
            <w:vAlign w:val="bottom"/>
            <w:hideMark/>
          </w:tcPr>
          <w:p w14:paraId="512706D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sd***</w:t>
            </w:r>
          </w:p>
        </w:tc>
        <w:tc>
          <w:tcPr>
            <w:tcW w:w="733" w:type="dxa"/>
            <w:tcBorders>
              <w:top w:val="nil"/>
              <w:left w:val="nil"/>
              <w:bottom w:val="single" w:sz="4" w:space="0" w:color="auto"/>
              <w:right w:val="nil"/>
            </w:tcBorders>
            <w:shd w:val="clear" w:color="auto" w:fill="auto"/>
            <w:noWrap/>
            <w:vAlign w:val="bottom"/>
            <w:hideMark/>
          </w:tcPr>
          <w:p w14:paraId="613E42D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1435" w:type="dxa"/>
            <w:tcBorders>
              <w:top w:val="nil"/>
              <w:left w:val="nil"/>
              <w:bottom w:val="single" w:sz="4" w:space="0" w:color="auto"/>
              <w:right w:val="nil"/>
            </w:tcBorders>
            <w:shd w:val="clear" w:color="auto" w:fill="auto"/>
            <w:noWrap/>
            <w:vAlign w:val="bottom"/>
            <w:hideMark/>
          </w:tcPr>
          <w:p w14:paraId="2C98138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CI95***</w:t>
            </w:r>
          </w:p>
        </w:tc>
        <w:tc>
          <w:tcPr>
            <w:tcW w:w="733" w:type="dxa"/>
            <w:tcBorders>
              <w:top w:val="nil"/>
              <w:left w:val="nil"/>
              <w:bottom w:val="single" w:sz="4" w:space="0" w:color="auto"/>
              <w:right w:val="nil"/>
            </w:tcBorders>
            <w:shd w:val="clear" w:color="auto" w:fill="auto"/>
            <w:noWrap/>
            <w:vAlign w:val="bottom"/>
            <w:hideMark/>
          </w:tcPr>
          <w:p w14:paraId="61328D9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1348" w:type="dxa"/>
            <w:tcBorders>
              <w:top w:val="nil"/>
              <w:left w:val="nil"/>
              <w:bottom w:val="single" w:sz="4" w:space="0" w:color="auto"/>
              <w:right w:val="nil"/>
            </w:tcBorders>
            <w:shd w:val="clear" w:color="auto" w:fill="auto"/>
            <w:noWrap/>
            <w:vAlign w:val="bottom"/>
            <w:hideMark/>
          </w:tcPr>
          <w:p w14:paraId="6B6FC33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CI95***</w:t>
            </w:r>
          </w:p>
        </w:tc>
      </w:tr>
      <w:tr w:rsidR="00E028EA" w:rsidRPr="00E028EA" w14:paraId="552D5025" w14:textId="77777777" w:rsidTr="00E028EA">
        <w:trPr>
          <w:trHeight w:val="300"/>
        </w:trPr>
        <w:tc>
          <w:tcPr>
            <w:tcW w:w="1507" w:type="dxa"/>
            <w:tcBorders>
              <w:top w:val="nil"/>
              <w:left w:val="nil"/>
              <w:bottom w:val="nil"/>
              <w:right w:val="nil"/>
            </w:tcBorders>
            <w:shd w:val="clear" w:color="auto" w:fill="auto"/>
            <w:noWrap/>
            <w:vAlign w:val="bottom"/>
            <w:hideMark/>
          </w:tcPr>
          <w:p w14:paraId="0B03118C" w14:textId="77777777" w:rsidR="00E028EA" w:rsidRPr="00E028EA" w:rsidRDefault="00E028EA" w:rsidP="00E028EA">
            <w:pPr>
              <w:jc w:val="center"/>
              <w:rPr>
                <w:rFonts w:ascii="Cambria" w:eastAsia="Times New Roman" w:hAnsi="Cambria"/>
                <w:color w:val="000000"/>
                <w:sz w:val="22"/>
                <w:szCs w:val="22"/>
              </w:rPr>
            </w:pPr>
          </w:p>
        </w:tc>
        <w:tc>
          <w:tcPr>
            <w:tcW w:w="1222" w:type="dxa"/>
            <w:tcBorders>
              <w:top w:val="nil"/>
              <w:left w:val="nil"/>
              <w:bottom w:val="nil"/>
              <w:right w:val="nil"/>
            </w:tcBorders>
            <w:shd w:val="clear" w:color="auto" w:fill="auto"/>
            <w:noWrap/>
            <w:vAlign w:val="bottom"/>
            <w:hideMark/>
          </w:tcPr>
          <w:p w14:paraId="0FC4ECA6" w14:textId="77777777" w:rsidR="00E028EA" w:rsidRPr="00E028EA" w:rsidRDefault="00E028EA" w:rsidP="00E028EA">
            <w:pPr>
              <w:jc w:val="center"/>
              <w:rPr>
                <w:rFonts w:ascii="Cambria" w:eastAsia="Times New Roman" w:hAnsi="Cambria"/>
                <w:color w:val="000000"/>
                <w:sz w:val="22"/>
                <w:szCs w:val="22"/>
              </w:rPr>
            </w:pPr>
          </w:p>
        </w:tc>
        <w:tc>
          <w:tcPr>
            <w:tcW w:w="2506" w:type="dxa"/>
            <w:tcBorders>
              <w:top w:val="nil"/>
              <w:left w:val="nil"/>
              <w:bottom w:val="nil"/>
              <w:right w:val="nil"/>
            </w:tcBorders>
            <w:shd w:val="clear" w:color="auto" w:fill="auto"/>
            <w:noWrap/>
            <w:vAlign w:val="bottom"/>
            <w:hideMark/>
          </w:tcPr>
          <w:p w14:paraId="10B7460B" w14:textId="77777777" w:rsidR="00E028EA" w:rsidRPr="00E028EA" w:rsidRDefault="00E028EA" w:rsidP="00E028EA">
            <w:pPr>
              <w:jc w:val="center"/>
              <w:rPr>
                <w:rFonts w:ascii="Cambria" w:eastAsia="Times New Roman" w:hAnsi="Cambria"/>
                <w:color w:val="000000"/>
                <w:sz w:val="22"/>
                <w:szCs w:val="22"/>
              </w:rPr>
            </w:pPr>
          </w:p>
        </w:tc>
        <w:tc>
          <w:tcPr>
            <w:tcW w:w="460" w:type="dxa"/>
            <w:tcBorders>
              <w:top w:val="nil"/>
              <w:left w:val="nil"/>
              <w:bottom w:val="nil"/>
              <w:right w:val="nil"/>
            </w:tcBorders>
            <w:shd w:val="clear" w:color="auto" w:fill="auto"/>
            <w:noWrap/>
            <w:vAlign w:val="bottom"/>
            <w:hideMark/>
          </w:tcPr>
          <w:p w14:paraId="6206CE24" w14:textId="77777777" w:rsidR="00E028EA" w:rsidRPr="00E028EA" w:rsidRDefault="00E028EA" w:rsidP="00E028EA">
            <w:pPr>
              <w:jc w:val="center"/>
              <w:rPr>
                <w:rFonts w:ascii="Cambria" w:eastAsia="Times New Roman" w:hAnsi="Cambria"/>
                <w:color w:val="000000"/>
                <w:sz w:val="22"/>
                <w:szCs w:val="22"/>
              </w:rPr>
            </w:pPr>
          </w:p>
        </w:tc>
        <w:tc>
          <w:tcPr>
            <w:tcW w:w="8097" w:type="dxa"/>
            <w:gridSpan w:val="9"/>
            <w:tcBorders>
              <w:top w:val="single" w:sz="4" w:space="0" w:color="auto"/>
              <w:left w:val="nil"/>
              <w:bottom w:val="nil"/>
              <w:right w:val="nil"/>
            </w:tcBorders>
            <w:shd w:val="clear" w:color="auto" w:fill="auto"/>
            <w:noWrap/>
            <w:vAlign w:val="bottom"/>
            <w:hideMark/>
          </w:tcPr>
          <w:p w14:paraId="3A1F131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r w:rsidR="00E028EA" w:rsidRPr="00E028EA" w14:paraId="65A09769" w14:textId="77777777" w:rsidTr="00E028EA">
        <w:trPr>
          <w:trHeight w:val="300"/>
        </w:trPr>
        <w:tc>
          <w:tcPr>
            <w:tcW w:w="1507" w:type="dxa"/>
            <w:tcBorders>
              <w:top w:val="nil"/>
              <w:left w:val="nil"/>
              <w:bottom w:val="nil"/>
              <w:right w:val="nil"/>
            </w:tcBorders>
            <w:shd w:val="clear" w:color="auto" w:fill="auto"/>
            <w:hideMark/>
          </w:tcPr>
          <w:p w14:paraId="46688B0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33A9B75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10EABEB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air-dry/rewet + storage</w:t>
            </w:r>
          </w:p>
        </w:tc>
        <w:tc>
          <w:tcPr>
            <w:tcW w:w="460" w:type="dxa"/>
            <w:tcBorders>
              <w:top w:val="nil"/>
              <w:left w:val="nil"/>
              <w:bottom w:val="nil"/>
              <w:right w:val="nil"/>
            </w:tcBorders>
            <w:shd w:val="clear" w:color="auto" w:fill="auto"/>
            <w:hideMark/>
          </w:tcPr>
          <w:p w14:paraId="18A2A0D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31FFFF7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82.2</w:t>
            </w:r>
          </w:p>
        </w:tc>
        <w:tc>
          <w:tcPr>
            <w:tcW w:w="937" w:type="dxa"/>
            <w:tcBorders>
              <w:top w:val="nil"/>
              <w:left w:val="nil"/>
              <w:bottom w:val="nil"/>
              <w:right w:val="nil"/>
            </w:tcBorders>
            <w:shd w:val="clear" w:color="auto" w:fill="auto"/>
            <w:hideMark/>
          </w:tcPr>
          <w:p w14:paraId="44F9338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44.9</w:t>
            </w:r>
          </w:p>
        </w:tc>
        <w:tc>
          <w:tcPr>
            <w:tcW w:w="715" w:type="dxa"/>
            <w:tcBorders>
              <w:top w:val="nil"/>
              <w:left w:val="nil"/>
              <w:bottom w:val="nil"/>
              <w:right w:val="nil"/>
            </w:tcBorders>
            <w:shd w:val="clear" w:color="auto" w:fill="auto"/>
            <w:hideMark/>
          </w:tcPr>
          <w:p w14:paraId="273AA91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8.8</w:t>
            </w:r>
          </w:p>
        </w:tc>
        <w:tc>
          <w:tcPr>
            <w:tcW w:w="748" w:type="dxa"/>
            <w:tcBorders>
              <w:top w:val="nil"/>
              <w:left w:val="nil"/>
              <w:bottom w:val="nil"/>
              <w:right w:val="nil"/>
            </w:tcBorders>
            <w:shd w:val="clear" w:color="auto" w:fill="auto"/>
            <w:hideMark/>
          </w:tcPr>
          <w:p w14:paraId="1074E80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-24.2</w:t>
            </w:r>
          </w:p>
        </w:tc>
        <w:tc>
          <w:tcPr>
            <w:tcW w:w="715" w:type="dxa"/>
            <w:tcBorders>
              <w:top w:val="nil"/>
              <w:left w:val="nil"/>
              <w:bottom w:val="nil"/>
              <w:right w:val="nil"/>
            </w:tcBorders>
            <w:shd w:val="clear" w:color="auto" w:fill="auto"/>
            <w:hideMark/>
          </w:tcPr>
          <w:p w14:paraId="6FF5981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1.1</w:t>
            </w:r>
          </w:p>
        </w:tc>
        <w:tc>
          <w:tcPr>
            <w:tcW w:w="733" w:type="dxa"/>
            <w:tcBorders>
              <w:top w:val="nil"/>
              <w:left w:val="nil"/>
              <w:bottom w:val="nil"/>
              <w:right w:val="nil"/>
            </w:tcBorders>
            <w:shd w:val="clear" w:color="auto" w:fill="auto"/>
            <w:hideMark/>
          </w:tcPr>
          <w:p w14:paraId="3BD7FAB4"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67B99126" w14:textId="77777777" w:rsidR="00E028EA" w:rsidRPr="00E028EA" w:rsidRDefault="00E028EA" w:rsidP="00E028EA">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55023CC4" w14:textId="77777777" w:rsidR="00E028EA" w:rsidRPr="00E028EA" w:rsidRDefault="00E028EA" w:rsidP="00E028EA">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51E1FC80" w14:textId="77777777" w:rsidR="00E028EA" w:rsidRPr="00E028EA" w:rsidRDefault="00E028EA" w:rsidP="00E028EA">
            <w:pPr>
              <w:jc w:val="center"/>
              <w:rPr>
                <w:rFonts w:ascii="Cambria" w:eastAsia="Times New Roman" w:hAnsi="Cambria"/>
                <w:color w:val="000000"/>
                <w:sz w:val="22"/>
                <w:szCs w:val="22"/>
              </w:rPr>
            </w:pPr>
          </w:p>
        </w:tc>
      </w:tr>
      <w:tr w:rsidR="00E028EA" w:rsidRPr="00E028EA" w14:paraId="3ECE304E" w14:textId="77777777" w:rsidTr="00E028EA">
        <w:trPr>
          <w:trHeight w:val="300"/>
        </w:trPr>
        <w:tc>
          <w:tcPr>
            <w:tcW w:w="1507" w:type="dxa"/>
            <w:tcBorders>
              <w:top w:val="nil"/>
              <w:left w:val="nil"/>
              <w:bottom w:val="nil"/>
              <w:right w:val="nil"/>
            </w:tcBorders>
            <w:shd w:val="clear" w:color="auto" w:fill="auto"/>
            <w:hideMark/>
          </w:tcPr>
          <w:p w14:paraId="5CDD79F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379D35B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2521F19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control-1</w:t>
            </w:r>
          </w:p>
        </w:tc>
        <w:tc>
          <w:tcPr>
            <w:tcW w:w="460" w:type="dxa"/>
            <w:tcBorders>
              <w:top w:val="nil"/>
              <w:left w:val="nil"/>
              <w:bottom w:val="nil"/>
              <w:right w:val="nil"/>
            </w:tcBorders>
            <w:shd w:val="clear" w:color="auto" w:fill="auto"/>
            <w:hideMark/>
          </w:tcPr>
          <w:p w14:paraId="223EE8D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6277E4B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93.8</w:t>
            </w:r>
          </w:p>
        </w:tc>
        <w:tc>
          <w:tcPr>
            <w:tcW w:w="937" w:type="dxa"/>
            <w:tcBorders>
              <w:top w:val="nil"/>
              <w:left w:val="nil"/>
              <w:bottom w:val="nil"/>
              <w:right w:val="nil"/>
            </w:tcBorders>
            <w:shd w:val="clear" w:color="auto" w:fill="auto"/>
            <w:hideMark/>
          </w:tcPr>
          <w:p w14:paraId="2C8DFB1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56.5</w:t>
            </w:r>
          </w:p>
        </w:tc>
        <w:tc>
          <w:tcPr>
            <w:tcW w:w="715" w:type="dxa"/>
            <w:tcBorders>
              <w:top w:val="nil"/>
              <w:left w:val="nil"/>
              <w:bottom w:val="nil"/>
              <w:right w:val="nil"/>
            </w:tcBorders>
            <w:shd w:val="clear" w:color="auto" w:fill="auto"/>
            <w:hideMark/>
          </w:tcPr>
          <w:p w14:paraId="5DE5E36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7.7</w:t>
            </w:r>
          </w:p>
        </w:tc>
        <w:tc>
          <w:tcPr>
            <w:tcW w:w="748" w:type="dxa"/>
            <w:tcBorders>
              <w:top w:val="nil"/>
              <w:left w:val="nil"/>
              <w:bottom w:val="nil"/>
              <w:right w:val="nil"/>
            </w:tcBorders>
            <w:shd w:val="clear" w:color="auto" w:fill="auto"/>
            <w:hideMark/>
          </w:tcPr>
          <w:p w14:paraId="575144D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-26.8</w:t>
            </w:r>
          </w:p>
        </w:tc>
        <w:tc>
          <w:tcPr>
            <w:tcW w:w="715" w:type="dxa"/>
            <w:tcBorders>
              <w:top w:val="nil"/>
              <w:left w:val="nil"/>
              <w:bottom w:val="nil"/>
              <w:right w:val="nil"/>
            </w:tcBorders>
            <w:shd w:val="clear" w:color="auto" w:fill="auto"/>
            <w:hideMark/>
          </w:tcPr>
          <w:p w14:paraId="63CB2AA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0.2</w:t>
            </w:r>
          </w:p>
        </w:tc>
        <w:tc>
          <w:tcPr>
            <w:tcW w:w="733" w:type="dxa"/>
            <w:tcBorders>
              <w:top w:val="nil"/>
              <w:left w:val="nil"/>
              <w:bottom w:val="nil"/>
              <w:right w:val="nil"/>
            </w:tcBorders>
            <w:shd w:val="clear" w:color="auto" w:fill="auto"/>
            <w:hideMark/>
          </w:tcPr>
          <w:p w14:paraId="042FF8C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-11.6</w:t>
            </w:r>
          </w:p>
        </w:tc>
        <w:tc>
          <w:tcPr>
            <w:tcW w:w="1435" w:type="dxa"/>
            <w:tcBorders>
              <w:top w:val="nil"/>
              <w:left w:val="nil"/>
              <w:bottom w:val="nil"/>
              <w:right w:val="nil"/>
            </w:tcBorders>
            <w:shd w:val="clear" w:color="auto" w:fill="auto"/>
            <w:hideMark/>
          </w:tcPr>
          <w:p w14:paraId="3F678EE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[-15.7, -7.5]</w:t>
            </w:r>
          </w:p>
        </w:tc>
        <w:tc>
          <w:tcPr>
            <w:tcW w:w="733" w:type="dxa"/>
            <w:tcBorders>
              <w:top w:val="nil"/>
              <w:left w:val="nil"/>
              <w:bottom w:val="nil"/>
              <w:right w:val="nil"/>
            </w:tcBorders>
            <w:shd w:val="clear" w:color="auto" w:fill="auto"/>
            <w:hideMark/>
          </w:tcPr>
          <w:p w14:paraId="02E339D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2.38</w:t>
            </w:r>
          </w:p>
        </w:tc>
        <w:tc>
          <w:tcPr>
            <w:tcW w:w="1348" w:type="dxa"/>
            <w:tcBorders>
              <w:top w:val="nil"/>
              <w:left w:val="nil"/>
              <w:bottom w:val="nil"/>
              <w:right w:val="nil"/>
            </w:tcBorders>
            <w:shd w:val="clear" w:color="auto" w:fill="auto"/>
            <w:hideMark/>
          </w:tcPr>
          <w:p w14:paraId="622EF73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[1.83, 2.92]</w:t>
            </w:r>
          </w:p>
        </w:tc>
      </w:tr>
      <w:tr w:rsidR="00E028EA" w:rsidRPr="00E028EA" w14:paraId="4E7AF8A3" w14:textId="77777777" w:rsidTr="00E028EA">
        <w:trPr>
          <w:trHeight w:val="300"/>
        </w:trPr>
        <w:tc>
          <w:tcPr>
            <w:tcW w:w="1507" w:type="dxa"/>
            <w:tcBorders>
              <w:top w:val="nil"/>
              <w:left w:val="nil"/>
              <w:bottom w:val="nil"/>
              <w:right w:val="nil"/>
            </w:tcBorders>
            <w:shd w:val="clear" w:color="auto" w:fill="auto"/>
            <w:hideMark/>
          </w:tcPr>
          <w:p w14:paraId="071FE37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6D66693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grassland</w:t>
            </w:r>
          </w:p>
        </w:tc>
        <w:tc>
          <w:tcPr>
            <w:tcW w:w="2506" w:type="dxa"/>
            <w:tcBorders>
              <w:top w:val="nil"/>
              <w:left w:val="nil"/>
              <w:bottom w:val="nil"/>
              <w:right w:val="nil"/>
            </w:tcBorders>
            <w:shd w:val="clear" w:color="auto" w:fill="auto"/>
            <w:hideMark/>
          </w:tcPr>
          <w:p w14:paraId="0CDEDE5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air-dry/rewet + storage</w:t>
            </w:r>
          </w:p>
        </w:tc>
        <w:tc>
          <w:tcPr>
            <w:tcW w:w="460" w:type="dxa"/>
            <w:tcBorders>
              <w:top w:val="nil"/>
              <w:left w:val="nil"/>
              <w:bottom w:val="nil"/>
              <w:right w:val="nil"/>
            </w:tcBorders>
            <w:shd w:val="clear" w:color="auto" w:fill="auto"/>
            <w:hideMark/>
          </w:tcPr>
          <w:p w14:paraId="5D04593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0ADE7F6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77.8</w:t>
            </w:r>
          </w:p>
        </w:tc>
        <w:tc>
          <w:tcPr>
            <w:tcW w:w="937" w:type="dxa"/>
            <w:tcBorders>
              <w:top w:val="nil"/>
              <w:left w:val="nil"/>
              <w:bottom w:val="nil"/>
              <w:right w:val="nil"/>
            </w:tcBorders>
            <w:shd w:val="clear" w:color="auto" w:fill="auto"/>
            <w:hideMark/>
          </w:tcPr>
          <w:p w14:paraId="14C93FC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40.5</w:t>
            </w:r>
          </w:p>
        </w:tc>
        <w:tc>
          <w:tcPr>
            <w:tcW w:w="715" w:type="dxa"/>
            <w:tcBorders>
              <w:top w:val="nil"/>
              <w:left w:val="nil"/>
              <w:bottom w:val="nil"/>
              <w:right w:val="nil"/>
            </w:tcBorders>
            <w:shd w:val="clear" w:color="auto" w:fill="auto"/>
            <w:hideMark/>
          </w:tcPr>
          <w:p w14:paraId="07A1384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11.4</w:t>
            </w:r>
          </w:p>
        </w:tc>
        <w:tc>
          <w:tcPr>
            <w:tcW w:w="748" w:type="dxa"/>
            <w:tcBorders>
              <w:top w:val="nil"/>
              <w:left w:val="nil"/>
              <w:bottom w:val="nil"/>
              <w:right w:val="nil"/>
            </w:tcBorders>
            <w:shd w:val="clear" w:color="auto" w:fill="auto"/>
            <w:hideMark/>
          </w:tcPr>
          <w:p w14:paraId="4EF7992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-27.2</w:t>
            </w:r>
          </w:p>
        </w:tc>
        <w:tc>
          <w:tcPr>
            <w:tcW w:w="715" w:type="dxa"/>
            <w:tcBorders>
              <w:top w:val="nil"/>
              <w:left w:val="nil"/>
              <w:bottom w:val="nil"/>
              <w:right w:val="nil"/>
            </w:tcBorders>
            <w:shd w:val="clear" w:color="auto" w:fill="auto"/>
            <w:hideMark/>
          </w:tcPr>
          <w:p w14:paraId="0BBA9BC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0.5</w:t>
            </w:r>
          </w:p>
        </w:tc>
        <w:tc>
          <w:tcPr>
            <w:tcW w:w="733" w:type="dxa"/>
            <w:tcBorders>
              <w:top w:val="nil"/>
              <w:left w:val="nil"/>
              <w:bottom w:val="nil"/>
              <w:right w:val="nil"/>
            </w:tcBorders>
            <w:shd w:val="clear" w:color="auto" w:fill="auto"/>
            <w:hideMark/>
          </w:tcPr>
          <w:p w14:paraId="10F7B0E9"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094A9F48" w14:textId="77777777" w:rsidR="00E028EA" w:rsidRPr="00E028EA" w:rsidRDefault="00E028EA" w:rsidP="00E028EA">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0ECD4F52" w14:textId="77777777" w:rsidR="00E028EA" w:rsidRPr="00E028EA" w:rsidRDefault="00E028EA" w:rsidP="00E028EA">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7568BF2C" w14:textId="77777777" w:rsidR="00E028EA" w:rsidRPr="00E028EA" w:rsidRDefault="00E028EA" w:rsidP="00E028EA">
            <w:pPr>
              <w:jc w:val="center"/>
              <w:rPr>
                <w:rFonts w:ascii="Cambria" w:eastAsia="Times New Roman" w:hAnsi="Cambria"/>
                <w:color w:val="000000"/>
                <w:sz w:val="22"/>
                <w:szCs w:val="22"/>
              </w:rPr>
            </w:pPr>
          </w:p>
        </w:tc>
      </w:tr>
      <w:tr w:rsidR="00E028EA" w:rsidRPr="00E028EA" w14:paraId="50746984" w14:textId="77777777" w:rsidTr="00E028EA">
        <w:trPr>
          <w:trHeight w:val="300"/>
        </w:trPr>
        <w:tc>
          <w:tcPr>
            <w:tcW w:w="1507" w:type="dxa"/>
            <w:tcBorders>
              <w:top w:val="nil"/>
              <w:left w:val="nil"/>
              <w:bottom w:val="nil"/>
              <w:right w:val="nil"/>
            </w:tcBorders>
            <w:shd w:val="clear" w:color="auto" w:fill="auto"/>
            <w:hideMark/>
          </w:tcPr>
          <w:p w14:paraId="5EA1769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734F052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grassland</w:t>
            </w:r>
          </w:p>
        </w:tc>
        <w:tc>
          <w:tcPr>
            <w:tcW w:w="2506" w:type="dxa"/>
            <w:tcBorders>
              <w:top w:val="nil"/>
              <w:left w:val="nil"/>
              <w:bottom w:val="nil"/>
              <w:right w:val="nil"/>
            </w:tcBorders>
            <w:shd w:val="clear" w:color="auto" w:fill="auto"/>
            <w:hideMark/>
          </w:tcPr>
          <w:p w14:paraId="3985668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control-1</w:t>
            </w:r>
          </w:p>
        </w:tc>
        <w:tc>
          <w:tcPr>
            <w:tcW w:w="460" w:type="dxa"/>
            <w:tcBorders>
              <w:top w:val="nil"/>
              <w:left w:val="nil"/>
              <w:bottom w:val="nil"/>
              <w:right w:val="nil"/>
            </w:tcBorders>
            <w:shd w:val="clear" w:color="auto" w:fill="auto"/>
            <w:hideMark/>
          </w:tcPr>
          <w:p w14:paraId="4DBB669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295C94D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54.5</w:t>
            </w:r>
          </w:p>
        </w:tc>
        <w:tc>
          <w:tcPr>
            <w:tcW w:w="937" w:type="dxa"/>
            <w:tcBorders>
              <w:top w:val="nil"/>
              <w:left w:val="nil"/>
              <w:bottom w:val="nil"/>
              <w:right w:val="nil"/>
            </w:tcBorders>
            <w:shd w:val="clear" w:color="auto" w:fill="auto"/>
            <w:hideMark/>
          </w:tcPr>
          <w:p w14:paraId="5FC7B77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17.2</w:t>
            </w:r>
          </w:p>
        </w:tc>
        <w:tc>
          <w:tcPr>
            <w:tcW w:w="715" w:type="dxa"/>
            <w:tcBorders>
              <w:top w:val="nil"/>
              <w:left w:val="nil"/>
              <w:bottom w:val="nil"/>
              <w:right w:val="nil"/>
            </w:tcBorders>
            <w:shd w:val="clear" w:color="auto" w:fill="auto"/>
            <w:hideMark/>
          </w:tcPr>
          <w:p w14:paraId="0BD6B15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16.8</w:t>
            </w:r>
          </w:p>
        </w:tc>
        <w:tc>
          <w:tcPr>
            <w:tcW w:w="748" w:type="dxa"/>
            <w:tcBorders>
              <w:top w:val="nil"/>
              <w:left w:val="nil"/>
              <w:bottom w:val="nil"/>
              <w:right w:val="nil"/>
            </w:tcBorders>
            <w:shd w:val="clear" w:color="auto" w:fill="auto"/>
            <w:hideMark/>
          </w:tcPr>
          <w:p w14:paraId="465D3CC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-27.7</w:t>
            </w:r>
          </w:p>
        </w:tc>
        <w:tc>
          <w:tcPr>
            <w:tcW w:w="715" w:type="dxa"/>
            <w:tcBorders>
              <w:top w:val="nil"/>
              <w:left w:val="nil"/>
              <w:bottom w:val="nil"/>
              <w:right w:val="nil"/>
            </w:tcBorders>
            <w:shd w:val="clear" w:color="auto" w:fill="auto"/>
            <w:hideMark/>
          </w:tcPr>
          <w:p w14:paraId="01F17BA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0.4</w:t>
            </w:r>
          </w:p>
        </w:tc>
        <w:tc>
          <w:tcPr>
            <w:tcW w:w="733" w:type="dxa"/>
            <w:tcBorders>
              <w:top w:val="nil"/>
              <w:left w:val="nil"/>
              <w:bottom w:val="nil"/>
              <w:right w:val="nil"/>
            </w:tcBorders>
            <w:shd w:val="clear" w:color="auto" w:fill="auto"/>
            <w:hideMark/>
          </w:tcPr>
          <w:p w14:paraId="28219BF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23.3</w:t>
            </w:r>
          </w:p>
        </w:tc>
        <w:tc>
          <w:tcPr>
            <w:tcW w:w="1435" w:type="dxa"/>
            <w:tcBorders>
              <w:top w:val="nil"/>
              <w:left w:val="nil"/>
              <w:bottom w:val="nil"/>
              <w:right w:val="nil"/>
            </w:tcBorders>
            <w:shd w:val="clear" w:color="auto" w:fill="auto"/>
            <w:hideMark/>
          </w:tcPr>
          <w:p w14:paraId="2C686A6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[16.7, 29.9]</w:t>
            </w:r>
          </w:p>
        </w:tc>
        <w:tc>
          <w:tcPr>
            <w:tcW w:w="733" w:type="dxa"/>
            <w:tcBorders>
              <w:top w:val="nil"/>
              <w:left w:val="nil"/>
              <w:bottom w:val="nil"/>
              <w:right w:val="nil"/>
            </w:tcBorders>
            <w:shd w:val="clear" w:color="auto" w:fill="auto"/>
            <w:hideMark/>
          </w:tcPr>
          <w:p w14:paraId="3CC7F4C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0.51</w:t>
            </w:r>
          </w:p>
        </w:tc>
        <w:tc>
          <w:tcPr>
            <w:tcW w:w="1348" w:type="dxa"/>
            <w:tcBorders>
              <w:top w:val="nil"/>
              <w:left w:val="nil"/>
              <w:bottom w:val="nil"/>
              <w:right w:val="nil"/>
            </w:tcBorders>
            <w:shd w:val="clear" w:color="auto" w:fill="auto"/>
            <w:hideMark/>
          </w:tcPr>
          <w:p w14:paraId="5E07131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[0.18, 0.83]</w:t>
            </w:r>
          </w:p>
        </w:tc>
      </w:tr>
      <w:tr w:rsidR="00E028EA" w:rsidRPr="00E028EA" w14:paraId="68436F1B" w14:textId="77777777" w:rsidTr="00E028EA">
        <w:trPr>
          <w:trHeight w:val="300"/>
        </w:trPr>
        <w:tc>
          <w:tcPr>
            <w:tcW w:w="1507" w:type="dxa"/>
            <w:tcBorders>
              <w:top w:val="nil"/>
              <w:left w:val="nil"/>
              <w:bottom w:val="nil"/>
              <w:right w:val="nil"/>
            </w:tcBorders>
            <w:shd w:val="clear" w:color="auto" w:fill="auto"/>
            <w:hideMark/>
          </w:tcPr>
          <w:p w14:paraId="1D00D91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44948BD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11C66E96" w14:textId="69BE91A0"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air-dry/rewet</w:t>
            </w:r>
          </w:p>
        </w:tc>
        <w:tc>
          <w:tcPr>
            <w:tcW w:w="460" w:type="dxa"/>
            <w:tcBorders>
              <w:top w:val="nil"/>
              <w:left w:val="nil"/>
              <w:bottom w:val="nil"/>
              <w:right w:val="nil"/>
            </w:tcBorders>
            <w:shd w:val="clear" w:color="auto" w:fill="auto"/>
            <w:hideMark/>
          </w:tcPr>
          <w:p w14:paraId="048D270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361F8D7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51.8</w:t>
            </w:r>
          </w:p>
        </w:tc>
        <w:tc>
          <w:tcPr>
            <w:tcW w:w="937" w:type="dxa"/>
            <w:tcBorders>
              <w:top w:val="nil"/>
              <w:left w:val="nil"/>
              <w:bottom w:val="nil"/>
              <w:right w:val="nil"/>
            </w:tcBorders>
            <w:shd w:val="clear" w:color="auto" w:fill="auto"/>
            <w:hideMark/>
          </w:tcPr>
          <w:p w14:paraId="7382D81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62.9</w:t>
            </w:r>
          </w:p>
        </w:tc>
        <w:tc>
          <w:tcPr>
            <w:tcW w:w="715" w:type="dxa"/>
            <w:tcBorders>
              <w:top w:val="nil"/>
              <w:left w:val="nil"/>
              <w:bottom w:val="nil"/>
              <w:right w:val="nil"/>
            </w:tcBorders>
            <w:shd w:val="clear" w:color="auto" w:fill="auto"/>
            <w:hideMark/>
          </w:tcPr>
          <w:p w14:paraId="7DA987C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24.9</w:t>
            </w:r>
          </w:p>
        </w:tc>
        <w:tc>
          <w:tcPr>
            <w:tcW w:w="748" w:type="dxa"/>
            <w:tcBorders>
              <w:top w:val="nil"/>
              <w:left w:val="nil"/>
              <w:bottom w:val="nil"/>
              <w:right w:val="nil"/>
            </w:tcBorders>
            <w:shd w:val="clear" w:color="auto" w:fill="auto"/>
            <w:hideMark/>
          </w:tcPr>
          <w:p w14:paraId="6BC9F25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-24.5</w:t>
            </w:r>
          </w:p>
        </w:tc>
        <w:tc>
          <w:tcPr>
            <w:tcW w:w="715" w:type="dxa"/>
            <w:tcBorders>
              <w:top w:val="nil"/>
              <w:left w:val="nil"/>
              <w:bottom w:val="nil"/>
              <w:right w:val="nil"/>
            </w:tcBorders>
            <w:shd w:val="clear" w:color="auto" w:fill="auto"/>
            <w:hideMark/>
          </w:tcPr>
          <w:p w14:paraId="3D63F8B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1.4</w:t>
            </w:r>
          </w:p>
        </w:tc>
        <w:tc>
          <w:tcPr>
            <w:tcW w:w="733" w:type="dxa"/>
            <w:tcBorders>
              <w:top w:val="nil"/>
              <w:left w:val="nil"/>
              <w:bottom w:val="nil"/>
              <w:right w:val="nil"/>
            </w:tcBorders>
            <w:shd w:val="clear" w:color="auto" w:fill="auto"/>
            <w:hideMark/>
          </w:tcPr>
          <w:p w14:paraId="3F491BA2"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72B5F48F" w14:textId="77777777" w:rsidR="00E028EA" w:rsidRPr="00E028EA" w:rsidRDefault="00E028EA" w:rsidP="00E028EA">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49740291" w14:textId="77777777" w:rsidR="00E028EA" w:rsidRPr="00E028EA" w:rsidRDefault="00E028EA" w:rsidP="00E028EA">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02934ED2" w14:textId="77777777" w:rsidR="00E028EA" w:rsidRPr="00E028EA" w:rsidRDefault="00E028EA" w:rsidP="00E028EA">
            <w:pPr>
              <w:jc w:val="center"/>
              <w:rPr>
                <w:rFonts w:ascii="Cambria" w:eastAsia="Times New Roman" w:hAnsi="Cambria"/>
                <w:color w:val="000000"/>
                <w:sz w:val="22"/>
                <w:szCs w:val="22"/>
              </w:rPr>
            </w:pPr>
          </w:p>
        </w:tc>
      </w:tr>
      <w:tr w:rsidR="00E028EA" w:rsidRPr="00E028EA" w14:paraId="287D79A0" w14:textId="77777777" w:rsidTr="00E028EA">
        <w:trPr>
          <w:trHeight w:val="300"/>
        </w:trPr>
        <w:tc>
          <w:tcPr>
            <w:tcW w:w="1507" w:type="dxa"/>
            <w:tcBorders>
              <w:top w:val="nil"/>
              <w:left w:val="nil"/>
              <w:bottom w:val="nil"/>
              <w:right w:val="nil"/>
            </w:tcBorders>
            <w:shd w:val="clear" w:color="auto" w:fill="auto"/>
            <w:hideMark/>
          </w:tcPr>
          <w:p w14:paraId="7E0A4E1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6C623BF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0FA45A5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control-2</w:t>
            </w:r>
          </w:p>
        </w:tc>
        <w:tc>
          <w:tcPr>
            <w:tcW w:w="460" w:type="dxa"/>
            <w:tcBorders>
              <w:top w:val="nil"/>
              <w:left w:val="nil"/>
              <w:bottom w:val="nil"/>
              <w:right w:val="nil"/>
            </w:tcBorders>
            <w:shd w:val="clear" w:color="auto" w:fill="auto"/>
            <w:hideMark/>
          </w:tcPr>
          <w:p w14:paraId="2F297D3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65B56BC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39.1</w:t>
            </w:r>
          </w:p>
        </w:tc>
        <w:tc>
          <w:tcPr>
            <w:tcW w:w="937" w:type="dxa"/>
            <w:tcBorders>
              <w:top w:val="nil"/>
              <w:left w:val="nil"/>
              <w:bottom w:val="nil"/>
              <w:right w:val="nil"/>
            </w:tcBorders>
            <w:shd w:val="clear" w:color="auto" w:fill="auto"/>
            <w:hideMark/>
          </w:tcPr>
          <w:p w14:paraId="7BF40E4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50.2</w:t>
            </w:r>
          </w:p>
        </w:tc>
        <w:tc>
          <w:tcPr>
            <w:tcW w:w="715" w:type="dxa"/>
            <w:tcBorders>
              <w:top w:val="nil"/>
              <w:left w:val="nil"/>
              <w:bottom w:val="nil"/>
              <w:right w:val="nil"/>
            </w:tcBorders>
            <w:shd w:val="clear" w:color="auto" w:fill="auto"/>
            <w:hideMark/>
          </w:tcPr>
          <w:p w14:paraId="5CD5807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17.9</w:t>
            </w:r>
          </w:p>
        </w:tc>
        <w:tc>
          <w:tcPr>
            <w:tcW w:w="748" w:type="dxa"/>
            <w:tcBorders>
              <w:top w:val="nil"/>
              <w:left w:val="nil"/>
              <w:bottom w:val="nil"/>
              <w:right w:val="nil"/>
            </w:tcBorders>
            <w:shd w:val="clear" w:color="auto" w:fill="auto"/>
            <w:hideMark/>
          </w:tcPr>
          <w:p w14:paraId="05AEC6B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-26.1</w:t>
            </w:r>
          </w:p>
        </w:tc>
        <w:tc>
          <w:tcPr>
            <w:tcW w:w="715" w:type="dxa"/>
            <w:tcBorders>
              <w:top w:val="nil"/>
              <w:left w:val="nil"/>
              <w:bottom w:val="nil"/>
              <w:right w:val="nil"/>
            </w:tcBorders>
            <w:shd w:val="clear" w:color="auto" w:fill="auto"/>
            <w:hideMark/>
          </w:tcPr>
          <w:p w14:paraId="1D0A917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0.8</w:t>
            </w:r>
          </w:p>
        </w:tc>
        <w:tc>
          <w:tcPr>
            <w:tcW w:w="733" w:type="dxa"/>
            <w:tcBorders>
              <w:top w:val="nil"/>
              <w:left w:val="nil"/>
              <w:bottom w:val="nil"/>
              <w:right w:val="nil"/>
            </w:tcBorders>
            <w:shd w:val="clear" w:color="auto" w:fill="auto"/>
            <w:hideMark/>
          </w:tcPr>
          <w:p w14:paraId="397AFEB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12.7</w:t>
            </w:r>
          </w:p>
        </w:tc>
        <w:tc>
          <w:tcPr>
            <w:tcW w:w="1435" w:type="dxa"/>
            <w:tcBorders>
              <w:top w:val="nil"/>
              <w:left w:val="nil"/>
              <w:bottom w:val="nil"/>
              <w:right w:val="nil"/>
            </w:tcBorders>
            <w:shd w:val="clear" w:color="auto" w:fill="auto"/>
            <w:hideMark/>
          </w:tcPr>
          <w:p w14:paraId="3E8A515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[4.2, 21.2]</w:t>
            </w:r>
          </w:p>
        </w:tc>
        <w:tc>
          <w:tcPr>
            <w:tcW w:w="733" w:type="dxa"/>
            <w:tcBorders>
              <w:top w:val="nil"/>
              <w:left w:val="nil"/>
              <w:bottom w:val="nil"/>
              <w:right w:val="nil"/>
            </w:tcBorders>
            <w:shd w:val="clear" w:color="auto" w:fill="auto"/>
            <w:hideMark/>
          </w:tcPr>
          <w:p w14:paraId="5B5FBD3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1.56</w:t>
            </w:r>
          </w:p>
        </w:tc>
        <w:tc>
          <w:tcPr>
            <w:tcW w:w="1348" w:type="dxa"/>
            <w:tcBorders>
              <w:top w:val="nil"/>
              <w:left w:val="nil"/>
              <w:bottom w:val="nil"/>
              <w:right w:val="nil"/>
            </w:tcBorders>
            <w:shd w:val="clear" w:color="auto" w:fill="auto"/>
            <w:hideMark/>
          </w:tcPr>
          <w:p w14:paraId="02EBBB4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[0.41, 2.72]</w:t>
            </w:r>
          </w:p>
        </w:tc>
      </w:tr>
      <w:tr w:rsidR="00E028EA" w:rsidRPr="00E028EA" w14:paraId="56A029C4" w14:textId="77777777" w:rsidTr="00E028EA">
        <w:trPr>
          <w:trHeight w:val="300"/>
        </w:trPr>
        <w:tc>
          <w:tcPr>
            <w:tcW w:w="1507" w:type="dxa"/>
            <w:tcBorders>
              <w:top w:val="nil"/>
              <w:left w:val="nil"/>
              <w:bottom w:val="nil"/>
              <w:right w:val="nil"/>
            </w:tcBorders>
            <w:shd w:val="clear" w:color="auto" w:fill="auto"/>
            <w:hideMark/>
          </w:tcPr>
          <w:p w14:paraId="70AFC43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22087C8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grassland</w:t>
            </w:r>
          </w:p>
        </w:tc>
        <w:tc>
          <w:tcPr>
            <w:tcW w:w="2506" w:type="dxa"/>
            <w:tcBorders>
              <w:top w:val="nil"/>
              <w:left w:val="nil"/>
              <w:bottom w:val="nil"/>
              <w:right w:val="nil"/>
            </w:tcBorders>
            <w:shd w:val="clear" w:color="auto" w:fill="auto"/>
            <w:hideMark/>
          </w:tcPr>
          <w:p w14:paraId="3A9F1B25" w14:textId="3DF0CCB5"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air-dry/rewet</w:t>
            </w:r>
          </w:p>
        </w:tc>
        <w:tc>
          <w:tcPr>
            <w:tcW w:w="460" w:type="dxa"/>
            <w:tcBorders>
              <w:top w:val="nil"/>
              <w:left w:val="nil"/>
              <w:bottom w:val="nil"/>
              <w:right w:val="nil"/>
            </w:tcBorders>
            <w:shd w:val="clear" w:color="auto" w:fill="auto"/>
            <w:hideMark/>
          </w:tcPr>
          <w:p w14:paraId="04E11FD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4B8EC32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39.8</w:t>
            </w:r>
          </w:p>
        </w:tc>
        <w:tc>
          <w:tcPr>
            <w:tcW w:w="937" w:type="dxa"/>
            <w:tcBorders>
              <w:top w:val="nil"/>
              <w:left w:val="nil"/>
              <w:bottom w:val="nil"/>
              <w:right w:val="nil"/>
            </w:tcBorders>
            <w:shd w:val="clear" w:color="auto" w:fill="auto"/>
            <w:hideMark/>
          </w:tcPr>
          <w:p w14:paraId="3EE0D54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50.9</w:t>
            </w:r>
          </w:p>
        </w:tc>
        <w:tc>
          <w:tcPr>
            <w:tcW w:w="715" w:type="dxa"/>
            <w:tcBorders>
              <w:top w:val="nil"/>
              <w:left w:val="nil"/>
              <w:bottom w:val="nil"/>
              <w:right w:val="nil"/>
            </w:tcBorders>
            <w:shd w:val="clear" w:color="auto" w:fill="auto"/>
            <w:hideMark/>
          </w:tcPr>
          <w:p w14:paraId="5261F9A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19.9</w:t>
            </w:r>
          </w:p>
        </w:tc>
        <w:tc>
          <w:tcPr>
            <w:tcW w:w="748" w:type="dxa"/>
            <w:tcBorders>
              <w:top w:val="nil"/>
              <w:left w:val="nil"/>
              <w:bottom w:val="nil"/>
              <w:right w:val="nil"/>
            </w:tcBorders>
            <w:shd w:val="clear" w:color="auto" w:fill="auto"/>
            <w:hideMark/>
          </w:tcPr>
          <w:p w14:paraId="13B349B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-27.5</w:t>
            </w:r>
          </w:p>
        </w:tc>
        <w:tc>
          <w:tcPr>
            <w:tcW w:w="715" w:type="dxa"/>
            <w:tcBorders>
              <w:top w:val="nil"/>
              <w:left w:val="nil"/>
              <w:bottom w:val="nil"/>
              <w:right w:val="nil"/>
            </w:tcBorders>
            <w:shd w:val="clear" w:color="auto" w:fill="auto"/>
            <w:hideMark/>
          </w:tcPr>
          <w:p w14:paraId="6020E23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0.4</w:t>
            </w:r>
          </w:p>
        </w:tc>
        <w:tc>
          <w:tcPr>
            <w:tcW w:w="733" w:type="dxa"/>
            <w:tcBorders>
              <w:top w:val="nil"/>
              <w:left w:val="nil"/>
              <w:bottom w:val="nil"/>
              <w:right w:val="nil"/>
            </w:tcBorders>
            <w:shd w:val="clear" w:color="auto" w:fill="auto"/>
            <w:hideMark/>
          </w:tcPr>
          <w:p w14:paraId="6892B91C"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5FD4474E" w14:textId="77777777" w:rsidR="00E028EA" w:rsidRPr="00E028EA" w:rsidRDefault="00E028EA" w:rsidP="00E028EA">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6DC056E5" w14:textId="77777777" w:rsidR="00E028EA" w:rsidRPr="00E028EA" w:rsidRDefault="00E028EA" w:rsidP="00E028EA">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06D28E0C" w14:textId="77777777" w:rsidR="00E028EA" w:rsidRPr="00E028EA" w:rsidRDefault="00E028EA" w:rsidP="00E028EA">
            <w:pPr>
              <w:jc w:val="center"/>
              <w:rPr>
                <w:rFonts w:ascii="Cambria" w:eastAsia="Times New Roman" w:hAnsi="Cambria"/>
                <w:color w:val="000000"/>
                <w:sz w:val="22"/>
                <w:szCs w:val="22"/>
              </w:rPr>
            </w:pPr>
          </w:p>
        </w:tc>
      </w:tr>
      <w:tr w:rsidR="00E028EA" w:rsidRPr="00E028EA" w14:paraId="64D45D74" w14:textId="77777777" w:rsidTr="00E028EA">
        <w:trPr>
          <w:trHeight w:val="300"/>
        </w:trPr>
        <w:tc>
          <w:tcPr>
            <w:tcW w:w="1507" w:type="dxa"/>
            <w:tcBorders>
              <w:top w:val="nil"/>
              <w:left w:val="nil"/>
              <w:bottom w:val="nil"/>
              <w:right w:val="nil"/>
            </w:tcBorders>
            <w:shd w:val="clear" w:color="auto" w:fill="auto"/>
            <w:hideMark/>
          </w:tcPr>
          <w:p w14:paraId="596F220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1778B6D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grassland</w:t>
            </w:r>
          </w:p>
        </w:tc>
        <w:tc>
          <w:tcPr>
            <w:tcW w:w="2506" w:type="dxa"/>
            <w:tcBorders>
              <w:top w:val="nil"/>
              <w:left w:val="nil"/>
              <w:bottom w:val="nil"/>
              <w:right w:val="nil"/>
            </w:tcBorders>
            <w:shd w:val="clear" w:color="auto" w:fill="auto"/>
            <w:hideMark/>
          </w:tcPr>
          <w:p w14:paraId="0D0A2EB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control-2</w:t>
            </w:r>
          </w:p>
        </w:tc>
        <w:tc>
          <w:tcPr>
            <w:tcW w:w="460" w:type="dxa"/>
            <w:tcBorders>
              <w:top w:val="nil"/>
              <w:left w:val="nil"/>
              <w:bottom w:val="nil"/>
              <w:right w:val="nil"/>
            </w:tcBorders>
            <w:shd w:val="clear" w:color="auto" w:fill="auto"/>
            <w:hideMark/>
          </w:tcPr>
          <w:p w14:paraId="5AAF048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074ED93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20.2</w:t>
            </w:r>
          </w:p>
        </w:tc>
        <w:tc>
          <w:tcPr>
            <w:tcW w:w="937" w:type="dxa"/>
            <w:tcBorders>
              <w:top w:val="nil"/>
              <w:left w:val="nil"/>
              <w:bottom w:val="nil"/>
              <w:right w:val="nil"/>
            </w:tcBorders>
            <w:shd w:val="clear" w:color="auto" w:fill="auto"/>
            <w:hideMark/>
          </w:tcPr>
          <w:p w14:paraId="76F0B33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31.4</w:t>
            </w:r>
          </w:p>
        </w:tc>
        <w:tc>
          <w:tcPr>
            <w:tcW w:w="715" w:type="dxa"/>
            <w:tcBorders>
              <w:top w:val="nil"/>
              <w:left w:val="nil"/>
              <w:bottom w:val="nil"/>
              <w:right w:val="nil"/>
            </w:tcBorders>
            <w:shd w:val="clear" w:color="auto" w:fill="auto"/>
            <w:hideMark/>
          </w:tcPr>
          <w:p w14:paraId="0B18AF8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9.6</w:t>
            </w:r>
          </w:p>
        </w:tc>
        <w:tc>
          <w:tcPr>
            <w:tcW w:w="748" w:type="dxa"/>
            <w:tcBorders>
              <w:top w:val="nil"/>
              <w:left w:val="nil"/>
              <w:bottom w:val="nil"/>
              <w:right w:val="nil"/>
            </w:tcBorders>
            <w:shd w:val="clear" w:color="auto" w:fill="auto"/>
            <w:hideMark/>
          </w:tcPr>
          <w:p w14:paraId="4D11D66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-28.6</w:t>
            </w:r>
          </w:p>
        </w:tc>
        <w:tc>
          <w:tcPr>
            <w:tcW w:w="715" w:type="dxa"/>
            <w:tcBorders>
              <w:top w:val="nil"/>
              <w:left w:val="nil"/>
              <w:bottom w:val="nil"/>
              <w:right w:val="nil"/>
            </w:tcBorders>
            <w:shd w:val="clear" w:color="auto" w:fill="auto"/>
            <w:hideMark/>
          </w:tcPr>
          <w:p w14:paraId="405A445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0.3</w:t>
            </w:r>
          </w:p>
        </w:tc>
        <w:tc>
          <w:tcPr>
            <w:tcW w:w="733" w:type="dxa"/>
            <w:tcBorders>
              <w:top w:val="nil"/>
              <w:left w:val="nil"/>
              <w:bottom w:val="nil"/>
              <w:right w:val="nil"/>
            </w:tcBorders>
            <w:shd w:val="clear" w:color="auto" w:fill="auto"/>
            <w:hideMark/>
          </w:tcPr>
          <w:p w14:paraId="61FDB10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19.6</w:t>
            </w:r>
          </w:p>
        </w:tc>
        <w:tc>
          <w:tcPr>
            <w:tcW w:w="1435" w:type="dxa"/>
            <w:tcBorders>
              <w:top w:val="nil"/>
              <w:left w:val="nil"/>
              <w:bottom w:val="nil"/>
              <w:right w:val="nil"/>
            </w:tcBorders>
            <w:shd w:val="clear" w:color="auto" w:fill="auto"/>
            <w:hideMark/>
          </w:tcPr>
          <w:p w14:paraId="5C7D1C1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[9.3, 29.9]</w:t>
            </w:r>
          </w:p>
        </w:tc>
        <w:tc>
          <w:tcPr>
            <w:tcW w:w="733" w:type="dxa"/>
            <w:tcBorders>
              <w:top w:val="nil"/>
              <w:left w:val="nil"/>
              <w:bottom w:val="nil"/>
              <w:right w:val="nil"/>
            </w:tcBorders>
            <w:shd w:val="clear" w:color="auto" w:fill="auto"/>
            <w:hideMark/>
          </w:tcPr>
          <w:p w14:paraId="46AB107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1.11</w:t>
            </w:r>
          </w:p>
        </w:tc>
        <w:tc>
          <w:tcPr>
            <w:tcW w:w="1348" w:type="dxa"/>
            <w:tcBorders>
              <w:top w:val="nil"/>
              <w:left w:val="nil"/>
              <w:bottom w:val="nil"/>
              <w:right w:val="nil"/>
            </w:tcBorders>
            <w:shd w:val="clear" w:color="auto" w:fill="auto"/>
            <w:hideMark/>
          </w:tcPr>
          <w:p w14:paraId="2BA49AD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[ 0.57, 1.66]</w:t>
            </w:r>
          </w:p>
        </w:tc>
      </w:tr>
      <w:tr w:rsidR="00E028EA" w:rsidRPr="00E028EA" w14:paraId="6200DADF" w14:textId="77777777" w:rsidTr="00E028EA">
        <w:trPr>
          <w:trHeight w:val="300"/>
        </w:trPr>
        <w:tc>
          <w:tcPr>
            <w:tcW w:w="1507" w:type="dxa"/>
            <w:tcBorders>
              <w:top w:val="nil"/>
              <w:left w:val="nil"/>
              <w:bottom w:val="nil"/>
              <w:right w:val="nil"/>
            </w:tcBorders>
            <w:shd w:val="clear" w:color="auto" w:fill="auto"/>
            <w:hideMark/>
          </w:tcPr>
          <w:p w14:paraId="42120BF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496136D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31813CC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storage duration</w:t>
            </w:r>
          </w:p>
        </w:tc>
        <w:tc>
          <w:tcPr>
            <w:tcW w:w="460" w:type="dxa"/>
            <w:tcBorders>
              <w:top w:val="nil"/>
              <w:left w:val="nil"/>
              <w:bottom w:val="nil"/>
              <w:right w:val="nil"/>
            </w:tcBorders>
            <w:shd w:val="clear" w:color="auto" w:fill="auto"/>
            <w:hideMark/>
          </w:tcPr>
          <w:p w14:paraId="46058F5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9</w:t>
            </w:r>
          </w:p>
        </w:tc>
        <w:tc>
          <w:tcPr>
            <w:tcW w:w="733" w:type="dxa"/>
            <w:tcBorders>
              <w:top w:val="nil"/>
              <w:left w:val="nil"/>
              <w:bottom w:val="nil"/>
              <w:right w:val="nil"/>
            </w:tcBorders>
            <w:shd w:val="clear" w:color="auto" w:fill="auto"/>
            <w:hideMark/>
          </w:tcPr>
          <w:p w14:paraId="5E5999E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2E7333A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1492432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4A25DCD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2996297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00C21374"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3070EC5C" w14:textId="77777777" w:rsidR="00E028EA" w:rsidRPr="00E028EA" w:rsidRDefault="00E028EA" w:rsidP="00E028EA">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77284722" w14:textId="77777777" w:rsidR="00E028EA" w:rsidRPr="00E028EA" w:rsidRDefault="00E028EA" w:rsidP="00E028EA">
            <w:pP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5F3DD428" w14:textId="77777777" w:rsidR="00E028EA" w:rsidRPr="00E028EA" w:rsidRDefault="00E028EA" w:rsidP="00E028EA">
            <w:pPr>
              <w:rPr>
                <w:rFonts w:ascii="Cambria" w:eastAsia="Times New Roman" w:hAnsi="Cambria"/>
                <w:color w:val="000000"/>
                <w:sz w:val="22"/>
                <w:szCs w:val="22"/>
              </w:rPr>
            </w:pPr>
          </w:p>
        </w:tc>
      </w:tr>
      <w:tr w:rsidR="00E028EA" w:rsidRPr="00E028EA" w14:paraId="3BFD4052" w14:textId="77777777" w:rsidTr="00E028EA">
        <w:trPr>
          <w:trHeight w:val="300"/>
        </w:trPr>
        <w:tc>
          <w:tcPr>
            <w:tcW w:w="1507" w:type="dxa"/>
            <w:tcBorders>
              <w:top w:val="nil"/>
              <w:left w:val="nil"/>
              <w:bottom w:val="nil"/>
              <w:right w:val="nil"/>
            </w:tcBorders>
            <w:shd w:val="clear" w:color="auto" w:fill="auto"/>
            <w:hideMark/>
          </w:tcPr>
          <w:p w14:paraId="55D97CC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139470A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40B27D6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control-3</w:t>
            </w:r>
          </w:p>
        </w:tc>
        <w:tc>
          <w:tcPr>
            <w:tcW w:w="460" w:type="dxa"/>
            <w:tcBorders>
              <w:top w:val="nil"/>
              <w:left w:val="nil"/>
              <w:bottom w:val="nil"/>
              <w:right w:val="nil"/>
            </w:tcBorders>
            <w:shd w:val="clear" w:color="auto" w:fill="auto"/>
            <w:hideMark/>
          </w:tcPr>
          <w:p w14:paraId="1A819DE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9</w:t>
            </w:r>
          </w:p>
        </w:tc>
        <w:tc>
          <w:tcPr>
            <w:tcW w:w="733" w:type="dxa"/>
            <w:tcBorders>
              <w:top w:val="nil"/>
              <w:left w:val="nil"/>
              <w:bottom w:val="nil"/>
              <w:right w:val="nil"/>
            </w:tcBorders>
            <w:shd w:val="clear" w:color="auto" w:fill="auto"/>
            <w:hideMark/>
          </w:tcPr>
          <w:p w14:paraId="799282D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04B1BA7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314A0FD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014D701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12D1C77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14DD36E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-24.2</w:t>
            </w:r>
          </w:p>
        </w:tc>
        <w:tc>
          <w:tcPr>
            <w:tcW w:w="1435" w:type="dxa"/>
            <w:tcBorders>
              <w:top w:val="nil"/>
              <w:left w:val="nil"/>
              <w:bottom w:val="nil"/>
              <w:right w:val="nil"/>
            </w:tcBorders>
            <w:shd w:val="clear" w:color="auto" w:fill="auto"/>
            <w:hideMark/>
          </w:tcPr>
          <w:p w14:paraId="058F529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[-37.4, -11.0]</w:t>
            </w:r>
          </w:p>
        </w:tc>
        <w:tc>
          <w:tcPr>
            <w:tcW w:w="733" w:type="dxa"/>
            <w:tcBorders>
              <w:top w:val="nil"/>
              <w:left w:val="nil"/>
              <w:bottom w:val="nil"/>
              <w:right w:val="nil"/>
            </w:tcBorders>
            <w:shd w:val="clear" w:color="auto" w:fill="auto"/>
            <w:hideMark/>
          </w:tcPr>
          <w:p w14:paraId="6660E5F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1348" w:type="dxa"/>
            <w:tcBorders>
              <w:top w:val="nil"/>
              <w:left w:val="nil"/>
              <w:bottom w:val="nil"/>
              <w:right w:val="nil"/>
            </w:tcBorders>
            <w:shd w:val="clear" w:color="auto" w:fill="auto"/>
            <w:hideMark/>
          </w:tcPr>
          <w:p w14:paraId="2E638BF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r w:rsidR="00E028EA" w:rsidRPr="00E028EA" w14:paraId="3B01BF38" w14:textId="77777777" w:rsidTr="00E028EA">
        <w:trPr>
          <w:trHeight w:val="300"/>
        </w:trPr>
        <w:tc>
          <w:tcPr>
            <w:tcW w:w="1507" w:type="dxa"/>
            <w:tcBorders>
              <w:top w:val="nil"/>
              <w:left w:val="nil"/>
              <w:bottom w:val="nil"/>
              <w:right w:val="nil"/>
            </w:tcBorders>
            <w:shd w:val="clear" w:color="auto" w:fill="auto"/>
            <w:hideMark/>
          </w:tcPr>
          <w:p w14:paraId="7D996F7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025614B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grassland</w:t>
            </w:r>
          </w:p>
        </w:tc>
        <w:tc>
          <w:tcPr>
            <w:tcW w:w="2506" w:type="dxa"/>
            <w:tcBorders>
              <w:top w:val="nil"/>
              <w:left w:val="nil"/>
              <w:bottom w:val="nil"/>
              <w:right w:val="nil"/>
            </w:tcBorders>
            <w:shd w:val="clear" w:color="auto" w:fill="auto"/>
            <w:hideMark/>
          </w:tcPr>
          <w:p w14:paraId="3B65FE0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storage duration</w:t>
            </w:r>
          </w:p>
        </w:tc>
        <w:tc>
          <w:tcPr>
            <w:tcW w:w="460" w:type="dxa"/>
            <w:tcBorders>
              <w:top w:val="nil"/>
              <w:left w:val="nil"/>
              <w:bottom w:val="nil"/>
              <w:right w:val="nil"/>
            </w:tcBorders>
            <w:shd w:val="clear" w:color="auto" w:fill="auto"/>
            <w:hideMark/>
          </w:tcPr>
          <w:p w14:paraId="52CE75C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55896F7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1485309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54A527C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5EF4F0B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75C35F0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632101AE"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044A5957" w14:textId="77777777" w:rsidR="00E028EA" w:rsidRPr="00E028EA" w:rsidRDefault="00E028EA" w:rsidP="00E028EA">
            <w:pPr>
              <w:rPr>
                <w:rFonts w:ascii="Calibri" w:eastAsia="Times New Roman" w:hAnsi="Calibri"/>
                <w:color w:val="000000"/>
                <w:sz w:val="22"/>
                <w:szCs w:val="22"/>
              </w:rPr>
            </w:pPr>
          </w:p>
        </w:tc>
        <w:tc>
          <w:tcPr>
            <w:tcW w:w="733" w:type="dxa"/>
            <w:tcBorders>
              <w:top w:val="nil"/>
              <w:left w:val="nil"/>
              <w:bottom w:val="nil"/>
              <w:right w:val="nil"/>
            </w:tcBorders>
            <w:shd w:val="clear" w:color="auto" w:fill="auto"/>
            <w:hideMark/>
          </w:tcPr>
          <w:p w14:paraId="33520C03" w14:textId="77777777" w:rsidR="00E028EA" w:rsidRPr="00E028EA" w:rsidRDefault="00E028EA" w:rsidP="00E028EA">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6DA3ABC6" w14:textId="77777777" w:rsidR="00E028EA" w:rsidRPr="00E028EA" w:rsidRDefault="00E028EA" w:rsidP="00E028EA">
            <w:pPr>
              <w:jc w:val="center"/>
              <w:rPr>
                <w:rFonts w:ascii="Cambria" w:eastAsia="Times New Roman" w:hAnsi="Cambria"/>
                <w:color w:val="000000"/>
                <w:sz w:val="22"/>
                <w:szCs w:val="22"/>
              </w:rPr>
            </w:pPr>
          </w:p>
        </w:tc>
      </w:tr>
      <w:tr w:rsidR="00E028EA" w:rsidRPr="00E028EA" w14:paraId="7A383902" w14:textId="77777777" w:rsidTr="00E028EA">
        <w:trPr>
          <w:trHeight w:val="300"/>
        </w:trPr>
        <w:tc>
          <w:tcPr>
            <w:tcW w:w="1507" w:type="dxa"/>
            <w:tcBorders>
              <w:top w:val="nil"/>
              <w:left w:val="nil"/>
              <w:bottom w:val="nil"/>
              <w:right w:val="nil"/>
            </w:tcBorders>
            <w:shd w:val="clear" w:color="auto" w:fill="auto"/>
            <w:hideMark/>
          </w:tcPr>
          <w:p w14:paraId="4D119D9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37D75FF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grassland</w:t>
            </w:r>
          </w:p>
        </w:tc>
        <w:tc>
          <w:tcPr>
            <w:tcW w:w="2506" w:type="dxa"/>
            <w:tcBorders>
              <w:top w:val="nil"/>
              <w:left w:val="nil"/>
              <w:bottom w:val="nil"/>
              <w:right w:val="nil"/>
            </w:tcBorders>
            <w:shd w:val="clear" w:color="auto" w:fill="auto"/>
            <w:hideMark/>
          </w:tcPr>
          <w:p w14:paraId="5C88F30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control-3</w:t>
            </w:r>
          </w:p>
        </w:tc>
        <w:tc>
          <w:tcPr>
            <w:tcW w:w="460" w:type="dxa"/>
            <w:tcBorders>
              <w:top w:val="nil"/>
              <w:left w:val="nil"/>
              <w:bottom w:val="nil"/>
              <w:right w:val="nil"/>
            </w:tcBorders>
            <w:shd w:val="clear" w:color="auto" w:fill="auto"/>
            <w:hideMark/>
          </w:tcPr>
          <w:p w14:paraId="0CE00FC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0ACA6D5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12D2260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2308EE6C"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28AF7AF4"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6F0CB4AF"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557C99C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-29.3</w:t>
            </w:r>
          </w:p>
        </w:tc>
        <w:tc>
          <w:tcPr>
            <w:tcW w:w="1435" w:type="dxa"/>
            <w:tcBorders>
              <w:top w:val="nil"/>
              <w:left w:val="nil"/>
              <w:bottom w:val="nil"/>
              <w:right w:val="nil"/>
            </w:tcBorders>
            <w:shd w:val="clear" w:color="auto" w:fill="auto"/>
            <w:hideMark/>
          </w:tcPr>
          <w:p w14:paraId="282553F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[-58.4, -0.2]</w:t>
            </w:r>
          </w:p>
        </w:tc>
        <w:tc>
          <w:tcPr>
            <w:tcW w:w="733" w:type="dxa"/>
            <w:tcBorders>
              <w:top w:val="nil"/>
              <w:left w:val="nil"/>
              <w:bottom w:val="nil"/>
              <w:right w:val="nil"/>
            </w:tcBorders>
            <w:shd w:val="clear" w:color="auto" w:fill="auto"/>
            <w:hideMark/>
          </w:tcPr>
          <w:p w14:paraId="3B132CA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1348" w:type="dxa"/>
            <w:tcBorders>
              <w:top w:val="nil"/>
              <w:left w:val="nil"/>
              <w:bottom w:val="nil"/>
              <w:right w:val="nil"/>
            </w:tcBorders>
            <w:shd w:val="clear" w:color="auto" w:fill="auto"/>
            <w:hideMark/>
          </w:tcPr>
          <w:p w14:paraId="69A5018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r w:rsidR="00E028EA" w:rsidRPr="00E028EA" w14:paraId="2295B388" w14:textId="77777777" w:rsidTr="00E028EA">
        <w:trPr>
          <w:trHeight w:val="300"/>
        </w:trPr>
        <w:tc>
          <w:tcPr>
            <w:tcW w:w="1507" w:type="dxa"/>
            <w:tcBorders>
              <w:top w:val="nil"/>
              <w:left w:val="nil"/>
              <w:bottom w:val="nil"/>
              <w:right w:val="nil"/>
            </w:tcBorders>
            <w:shd w:val="clear" w:color="auto" w:fill="auto"/>
            <w:hideMark/>
          </w:tcPr>
          <w:p w14:paraId="59EFFEE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3b</w:t>
            </w:r>
          </w:p>
        </w:tc>
        <w:tc>
          <w:tcPr>
            <w:tcW w:w="1222" w:type="dxa"/>
            <w:tcBorders>
              <w:top w:val="nil"/>
              <w:left w:val="nil"/>
              <w:bottom w:val="nil"/>
              <w:right w:val="nil"/>
            </w:tcBorders>
            <w:shd w:val="clear" w:color="auto" w:fill="auto"/>
            <w:hideMark/>
          </w:tcPr>
          <w:p w14:paraId="6713DE61"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00471AF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storage duration</w:t>
            </w:r>
          </w:p>
        </w:tc>
        <w:tc>
          <w:tcPr>
            <w:tcW w:w="460" w:type="dxa"/>
            <w:tcBorders>
              <w:top w:val="nil"/>
              <w:left w:val="nil"/>
              <w:bottom w:val="nil"/>
              <w:right w:val="nil"/>
            </w:tcBorders>
            <w:shd w:val="clear" w:color="auto" w:fill="auto"/>
            <w:hideMark/>
          </w:tcPr>
          <w:p w14:paraId="42E3170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17</w:t>
            </w:r>
          </w:p>
        </w:tc>
        <w:tc>
          <w:tcPr>
            <w:tcW w:w="733" w:type="dxa"/>
            <w:tcBorders>
              <w:top w:val="nil"/>
              <w:left w:val="nil"/>
              <w:bottom w:val="nil"/>
              <w:right w:val="nil"/>
            </w:tcBorders>
            <w:shd w:val="clear" w:color="auto" w:fill="auto"/>
            <w:hideMark/>
          </w:tcPr>
          <w:p w14:paraId="1CF74D7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5662F7D6"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2DCABC6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55A9EE2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7322B70B"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15D50F85" w14:textId="77777777" w:rsidR="00E028EA" w:rsidRPr="00E028EA" w:rsidRDefault="00E028EA" w:rsidP="00E028EA">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29C111CC" w14:textId="77777777" w:rsidR="00E028EA" w:rsidRPr="00E028EA" w:rsidRDefault="00E028EA" w:rsidP="00E028EA">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6ED48697" w14:textId="77777777" w:rsidR="00E028EA" w:rsidRPr="00E028EA" w:rsidRDefault="00E028EA" w:rsidP="00E028EA">
            <w:pP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6A3C33A2" w14:textId="77777777" w:rsidR="00E028EA" w:rsidRPr="00E028EA" w:rsidRDefault="00E028EA" w:rsidP="00E028EA">
            <w:pPr>
              <w:rPr>
                <w:rFonts w:ascii="Cambria" w:eastAsia="Times New Roman" w:hAnsi="Cambria"/>
                <w:color w:val="000000"/>
                <w:sz w:val="22"/>
                <w:szCs w:val="22"/>
              </w:rPr>
            </w:pPr>
          </w:p>
        </w:tc>
      </w:tr>
      <w:tr w:rsidR="00E028EA" w:rsidRPr="00E028EA" w14:paraId="7281755E" w14:textId="77777777" w:rsidTr="00E028EA">
        <w:trPr>
          <w:trHeight w:val="300"/>
        </w:trPr>
        <w:tc>
          <w:tcPr>
            <w:tcW w:w="1507" w:type="dxa"/>
            <w:tcBorders>
              <w:top w:val="nil"/>
              <w:left w:val="nil"/>
              <w:bottom w:val="nil"/>
              <w:right w:val="nil"/>
            </w:tcBorders>
            <w:shd w:val="clear" w:color="auto" w:fill="auto"/>
            <w:hideMark/>
          </w:tcPr>
          <w:p w14:paraId="64152E8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3b</w:t>
            </w:r>
          </w:p>
        </w:tc>
        <w:tc>
          <w:tcPr>
            <w:tcW w:w="1222" w:type="dxa"/>
            <w:tcBorders>
              <w:top w:val="nil"/>
              <w:left w:val="nil"/>
              <w:bottom w:val="nil"/>
              <w:right w:val="nil"/>
            </w:tcBorders>
            <w:shd w:val="clear" w:color="auto" w:fill="auto"/>
            <w:hideMark/>
          </w:tcPr>
          <w:p w14:paraId="1BA73E93"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forest</w:t>
            </w:r>
          </w:p>
        </w:tc>
        <w:tc>
          <w:tcPr>
            <w:tcW w:w="2506" w:type="dxa"/>
            <w:tcBorders>
              <w:top w:val="nil"/>
              <w:left w:val="nil"/>
              <w:bottom w:val="nil"/>
              <w:right w:val="nil"/>
            </w:tcBorders>
            <w:shd w:val="clear" w:color="auto" w:fill="auto"/>
            <w:hideMark/>
          </w:tcPr>
          <w:p w14:paraId="7A184A17"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control-3</w:t>
            </w:r>
          </w:p>
        </w:tc>
        <w:tc>
          <w:tcPr>
            <w:tcW w:w="460" w:type="dxa"/>
            <w:tcBorders>
              <w:top w:val="nil"/>
              <w:left w:val="nil"/>
              <w:bottom w:val="nil"/>
              <w:right w:val="nil"/>
            </w:tcBorders>
            <w:shd w:val="clear" w:color="auto" w:fill="auto"/>
            <w:hideMark/>
          </w:tcPr>
          <w:p w14:paraId="10DF5982"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17</w:t>
            </w:r>
          </w:p>
        </w:tc>
        <w:tc>
          <w:tcPr>
            <w:tcW w:w="733" w:type="dxa"/>
            <w:tcBorders>
              <w:top w:val="nil"/>
              <w:left w:val="nil"/>
              <w:bottom w:val="nil"/>
              <w:right w:val="nil"/>
            </w:tcBorders>
            <w:shd w:val="clear" w:color="auto" w:fill="auto"/>
            <w:hideMark/>
          </w:tcPr>
          <w:p w14:paraId="63797B29"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4676B0CE"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5269B1AA"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3BD1B70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77665895"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2C61475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-44.0</w:t>
            </w:r>
          </w:p>
        </w:tc>
        <w:tc>
          <w:tcPr>
            <w:tcW w:w="1435" w:type="dxa"/>
            <w:tcBorders>
              <w:top w:val="nil"/>
              <w:left w:val="nil"/>
              <w:bottom w:val="nil"/>
              <w:right w:val="nil"/>
            </w:tcBorders>
            <w:shd w:val="clear" w:color="auto" w:fill="auto"/>
            <w:hideMark/>
          </w:tcPr>
          <w:p w14:paraId="2AF99338"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[-52.0, -35.9]</w:t>
            </w:r>
          </w:p>
        </w:tc>
        <w:tc>
          <w:tcPr>
            <w:tcW w:w="733" w:type="dxa"/>
            <w:tcBorders>
              <w:top w:val="nil"/>
              <w:left w:val="nil"/>
              <w:bottom w:val="nil"/>
              <w:right w:val="nil"/>
            </w:tcBorders>
            <w:shd w:val="clear" w:color="auto" w:fill="auto"/>
            <w:hideMark/>
          </w:tcPr>
          <w:p w14:paraId="439185F0"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1348" w:type="dxa"/>
            <w:tcBorders>
              <w:top w:val="nil"/>
              <w:left w:val="nil"/>
              <w:bottom w:val="nil"/>
              <w:right w:val="nil"/>
            </w:tcBorders>
            <w:shd w:val="clear" w:color="auto" w:fill="auto"/>
            <w:hideMark/>
          </w:tcPr>
          <w:p w14:paraId="40CC23AD" w14:textId="77777777" w:rsidR="00E028EA" w:rsidRPr="00E028EA" w:rsidRDefault="00E028EA" w:rsidP="00E028EA">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bl>
    <w:p w14:paraId="355B46E2" w14:textId="3AEB20D5" w:rsidR="00484ABF" w:rsidRDefault="00E028EA" w:rsidP="00E028EA">
      <w:pPr>
        <w:pStyle w:val="Normal1"/>
        <w:spacing w:after="120" w:line="240" w:lineRule="auto"/>
        <w:rPr>
          <w:rFonts w:ascii="Times New Roman" w:hAnsi="Times New Roman" w:cs="Times New Roman"/>
          <w:sz w:val="24"/>
          <w:szCs w:val="24"/>
        </w:rPr>
        <w:sectPr w:rsidR="00484ABF" w:rsidSect="00484ABF">
          <w:pgSz w:w="15840" w:h="12240" w:orient="landscape"/>
          <w:pgMar w:top="1440" w:right="1440" w:bottom="1440" w:left="1440" w:header="432" w:footer="720" w:gutter="0"/>
          <w:lnNumType w:countBy="1" w:restart="continuous"/>
          <w:cols w:space="720"/>
          <w:docGrid w:linePitch="360"/>
        </w:sectPr>
      </w:pPr>
      <w:r w:rsidRPr="00E028EA">
        <w:rPr>
          <w:rFonts w:ascii="Times New Roman" w:hAnsi="Times New Roman" w:cs="Times New Roman"/>
          <w:sz w:val="20"/>
          <w:szCs w:val="20"/>
          <w:lang w:val="en-US"/>
        </w:rPr>
        <w:t>* Experiment 3 storage duration treatment samples were only incubated for a single enclosure period and so data were measured following this period.</w:t>
      </w:r>
      <w:r>
        <w:rPr>
          <w:rFonts w:ascii="Times New Roman" w:hAnsi="Times New Roman" w:cs="Times New Roman"/>
          <w:sz w:val="20"/>
          <w:szCs w:val="20"/>
          <w:lang w:val="en-US"/>
        </w:rPr>
        <w:t xml:space="preserve"> **</w:t>
      </w:r>
      <w:r w:rsidRPr="00E028EA">
        <w:rPr>
          <w:rFonts w:ascii="Times New Roman" w:hAnsi="Times New Roman" w:cs="Times New Roman"/>
          <w:sz w:val="20"/>
          <w:szCs w:val="20"/>
          <w:lang w:val="en-US"/>
        </w:rPr>
        <w:t>Results from Experiment 3 reported separately for the enriched samples from Oak Ridge (3b) and the non-enriched samples (3a). Mean control and treatment ∆</w:t>
      </w:r>
      <w:r w:rsidRPr="00E028EA">
        <w:rPr>
          <w:rFonts w:ascii="Times New Roman" w:hAnsi="Times New Roman" w:cs="Times New Roman"/>
          <w:sz w:val="20"/>
          <w:szCs w:val="20"/>
          <w:vertAlign w:val="superscript"/>
          <w:lang w:val="en-US"/>
        </w:rPr>
        <w:t>14</w:t>
      </w:r>
      <w:r w:rsidRPr="00E028EA">
        <w:rPr>
          <w:rFonts w:ascii="Times New Roman" w:hAnsi="Times New Roman" w:cs="Times New Roman"/>
          <w:sz w:val="20"/>
          <w:szCs w:val="20"/>
          <w:lang w:val="en-US"/>
        </w:rPr>
        <w:t>C-CO</w:t>
      </w:r>
      <w:r w:rsidRPr="00E028EA">
        <w:rPr>
          <w:rFonts w:ascii="Times New Roman" w:hAnsi="Times New Roman" w:cs="Times New Roman"/>
          <w:sz w:val="20"/>
          <w:szCs w:val="20"/>
          <w:vertAlign w:val="subscript"/>
          <w:lang w:val="en-US"/>
        </w:rPr>
        <w:t>2</w:t>
      </w:r>
      <w:r w:rsidRPr="00E028EA">
        <w:rPr>
          <w:rFonts w:ascii="Times New Roman" w:hAnsi="Times New Roman" w:cs="Times New Roman"/>
          <w:sz w:val="20"/>
          <w:szCs w:val="20"/>
          <w:lang w:val="en-US"/>
        </w:rPr>
        <w:t xml:space="preserve"> are only reported for Experiments 1 and 2 where the aggregated data are representative of one site at one point in time.</w:t>
      </w:r>
      <w:r>
        <w:rPr>
          <w:rFonts w:ascii="Times New Roman" w:hAnsi="Times New Roman" w:cs="Times New Roman"/>
          <w:sz w:val="20"/>
          <w:szCs w:val="20"/>
          <w:lang w:val="en-US"/>
        </w:rPr>
        <w:t xml:space="preserve"> </w:t>
      </w:r>
      <w:r w:rsidRPr="00E028EA">
        <w:rPr>
          <w:rFonts w:ascii="Times New Roman" w:hAnsi="Times New Roman" w:cs="Times New Roman"/>
          <w:sz w:val="20"/>
          <w:szCs w:val="20"/>
          <w:lang w:val="en-US"/>
        </w:rPr>
        <w:t>*** Calculated using pooled variance (Methods).</w:t>
      </w:r>
    </w:p>
    <w:p w14:paraId="36DCFCAB" w14:textId="0CC33E45" w:rsidR="00DB6555" w:rsidRDefault="00141E5F" w:rsidP="000A3253">
      <w:pPr>
        <w:pStyle w:val="Normal1"/>
        <w:spacing w:before="240" w:after="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incubation </w:t>
      </w:r>
      <w:r>
        <w:rPr>
          <w:rFonts w:ascii="Times New Roman" w:hAnsi="Times New Roman" w:cs="Times New Roman"/>
          <w:sz w:val="24"/>
          <w:szCs w:val="24"/>
        </w:rPr>
        <w:t>approach</w:t>
      </w:r>
      <w:r w:rsidRPr="00C27016">
        <w:rPr>
          <w:rFonts w:ascii="Times New Roman" w:hAnsi="Times New Roman" w:cs="Times New Roman"/>
          <w:sz w:val="24"/>
          <w:szCs w:val="24"/>
        </w:rPr>
        <w:t xml:space="preserve"> and the challenges inherent in interpreting radiocarbon data. </w:t>
      </w:r>
      <w:r w:rsidR="000E3F9B">
        <w:rPr>
          <w:rFonts w:ascii="Times New Roman" w:hAnsi="Times New Roman" w:cs="Times New Roman"/>
          <w:sz w:val="24"/>
          <w:szCs w:val="24"/>
        </w:rPr>
        <w:t>Consider that we</w:t>
      </w:r>
      <w:r>
        <w:rPr>
          <w:rFonts w:ascii="Times New Roman" w:hAnsi="Times New Roman" w:cs="Times New Roman"/>
          <w:sz w:val="24"/>
          <w:szCs w:val="24"/>
        </w:rPr>
        <w:t xml:space="preserve"> observed enrichment following treatment in the forest soils collected in 2019 (Experiment 2</w:t>
      </w:r>
      <w:r w:rsidR="000E3F9B">
        <w:rPr>
          <w:rFonts w:ascii="Times New Roman" w:hAnsi="Times New Roman" w:cs="Times New Roman"/>
          <w:sz w:val="24"/>
          <w:szCs w:val="24"/>
        </w:rPr>
        <w:t xml:space="preserve">) and the </w:t>
      </w:r>
      <w:r w:rsidR="003A7F72">
        <w:rPr>
          <w:rFonts w:ascii="Times New Roman" w:hAnsi="Times New Roman" w:cs="Times New Roman"/>
          <w:sz w:val="24"/>
          <w:szCs w:val="24"/>
        </w:rPr>
        <w:t>grassland soils collected in both 2011 (Experim</w:t>
      </w:r>
      <w:r w:rsidR="000E3F9B">
        <w:rPr>
          <w:rFonts w:ascii="Times New Roman" w:hAnsi="Times New Roman" w:cs="Times New Roman"/>
          <w:sz w:val="24"/>
          <w:szCs w:val="24"/>
        </w:rPr>
        <w:t xml:space="preserve">ent 1) and 2019 (Experiment 2), but </w:t>
      </w:r>
      <w:r w:rsidR="00DB6555">
        <w:rPr>
          <w:rFonts w:ascii="Times New Roman" w:hAnsi="Times New Roman" w:cs="Times New Roman"/>
          <w:sz w:val="24"/>
          <w:szCs w:val="24"/>
        </w:rPr>
        <w:t xml:space="preserve">depletion </w:t>
      </w:r>
      <w:r w:rsidR="000E3F9B">
        <w:rPr>
          <w:rFonts w:ascii="Times New Roman" w:hAnsi="Times New Roman" w:cs="Times New Roman"/>
          <w:sz w:val="24"/>
          <w:szCs w:val="24"/>
        </w:rPr>
        <w:t>in forest soils collected in 2011 (Experiment 1)</w:t>
      </w:r>
      <w:r w:rsidR="00DB6555">
        <w:rPr>
          <w:rFonts w:ascii="Times New Roman" w:hAnsi="Times New Roman" w:cs="Times New Roman"/>
          <w:sz w:val="24"/>
          <w:szCs w:val="24"/>
        </w:rPr>
        <w:t xml:space="preserve">. </w:t>
      </w:r>
      <w:r w:rsidR="000E3F9B">
        <w:rPr>
          <w:rFonts w:ascii="Times New Roman" w:hAnsi="Times New Roman" w:cs="Times New Roman"/>
          <w:sz w:val="24"/>
          <w:szCs w:val="24"/>
        </w:rPr>
        <w:t>However, w</w:t>
      </w:r>
      <w:r w:rsidR="00DB6555">
        <w:rPr>
          <w:rFonts w:ascii="Times New Roman" w:hAnsi="Times New Roman" w:cs="Times New Roman"/>
          <w:sz w:val="24"/>
          <w:szCs w:val="24"/>
        </w:rPr>
        <w:t xml:space="preserve">e do not believe that the difference in trend between forest control and treatment samples in Experiment 1 and Experiment 2 is due to the </w:t>
      </w:r>
      <w:r w:rsidR="000E3F9B">
        <w:rPr>
          <w:rFonts w:ascii="Times New Roman" w:hAnsi="Times New Roman" w:cs="Times New Roman"/>
          <w:sz w:val="24"/>
          <w:szCs w:val="24"/>
        </w:rPr>
        <w:t xml:space="preserve">fact that the treatment in Experiment 1 included the effect of </w:t>
      </w:r>
      <w:r w:rsidR="00DB6555">
        <w:rPr>
          <w:rFonts w:ascii="Times New Roman" w:hAnsi="Times New Roman" w:cs="Times New Roman"/>
          <w:sz w:val="24"/>
          <w:szCs w:val="24"/>
        </w:rPr>
        <w:t>storage</w:t>
      </w:r>
      <w:r w:rsidR="000E3F9B">
        <w:rPr>
          <w:rFonts w:ascii="Times New Roman" w:hAnsi="Times New Roman" w:cs="Times New Roman"/>
          <w:sz w:val="24"/>
          <w:szCs w:val="24"/>
        </w:rPr>
        <w:t>, while the treatment in Experiment 2 looked at the effect of air-drying and rewetting alone. If the difference in trend</w:t>
      </w:r>
      <w:r w:rsidR="00DB6555">
        <w:rPr>
          <w:rFonts w:ascii="Times New Roman" w:hAnsi="Times New Roman" w:cs="Times New Roman"/>
          <w:sz w:val="24"/>
          <w:szCs w:val="24"/>
        </w:rPr>
        <w:t xml:space="preserve"> were due to storage, this would indicate that storage affects forest and</w:t>
      </w:r>
      <w:r w:rsidR="000E3F9B">
        <w:rPr>
          <w:rFonts w:ascii="Times New Roman" w:hAnsi="Times New Roman" w:cs="Times New Roman"/>
          <w:sz w:val="24"/>
          <w:szCs w:val="24"/>
        </w:rPr>
        <w:t xml:space="preserve"> grassland samples differently. W</w:t>
      </w:r>
      <w:r w:rsidR="00DB6555">
        <w:rPr>
          <w:rFonts w:ascii="Times New Roman" w:hAnsi="Times New Roman" w:cs="Times New Roman"/>
          <w:sz w:val="24"/>
          <w:szCs w:val="24"/>
        </w:rPr>
        <w:t xml:space="preserve">hile </w:t>
      </w:r>
      <w:r w:rsidR="000E3F9B">
        <w:rPr>
          <w:rFonts w:ascii="Times New Roman" w:hAnsi="Times New Roman" w:cs="Times New Roman"/>
          <w:sz w:val="24"/>
          <w:szCs w:val="24"/>
        </w:rPr>
        <w:t xml:space="preserve">this is </w:t>
      </w:r>
      <w:r w:rsidR="00DB6555">
        <w:rPr>
          <w:rFonts w:ascii="Times New Roman" w:hAnsi="Times New Roman" w:cs="Times New Roman"/>
          <w:sz w:val="24"/>
          <w:szCs w:val="24"/>
        </w:rPr>
        <w:t xml:space="preserve">possible, </w:t>
      </w:r>
      <w:r w:rsidR="000E3F9B">
        <w:rPr>
          <w:rFonts w:ascii="Times New Roman" w:hAnsi="Times New Roman" w:cs="Times New Roman"/>
          <w:sz w:val="24"/>
          <w:szCs w:val="24"/>
        </w:rPr>
        <w:t xml:space="preserve">it is </w:t>
      </w:r>
      <w:r w:rsidR="00DB6555">
        <w:rPr>
          <w:rFonts w:ascii="Times New Roman" w:hAnsi="Times New Roman" w:cs="Times New Roman"/>
          <w:sz w:val="24"/>
          <w:szCs w:val="24"/>
        </w:rPr>
        <w:t xml:space="preserve">the simplest explanation. </w:t>
      </w:r>
    </w:p>
    <w:p w14:paraId="158A8716" w14:textId="5968E68F" w:rsidR="00DB6555" w:rsidRDefault="00DB6555"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 xml:space="preserve">We developed a simple hypothetical model to illustrate a potential scenario that we believe provides a simpler explanation for the reversal in the treatment effect trend. </w:t>
      </w:r>
      <w:r w:rsidR="004916A8">
        <w:rPr>
          <w:rFonts w:ascii="Times New Roman" w:hAnsi="Times New Roman" w:cs="Times New Roman"/>
          <w:sz w:val="24"/>
          <w:szCs w:val="24"/>
        </w:rPr>
        <w:t>Modeling</w:t>
      </w:r>
      <w:r w:rsidR="000A3253" w:rsidRPr="00C27016">
        <w:rPr>
          <w:rFonts w:ascii="Times New Roman" w:hAnsi="Times New Roman" w:cs="Times New Roman"/>
          <w:sz w:val="24"/>
          <w:szCs w:val="24"/>
        </w:rPr>
        <w:t xml:space="preserve"> </w:t>
      </w:r>
      <w:r w:rsidR="004916A8">
        <w:rPr>
          <w:rFonts w:ascii="Times New Roman" w:hAnsi="Times New Roman" w:cs="Times New Roman"/>
          <w:sz w:val="24"/>
          <w:szCs w:val="24"/>
        </w:rPr>
        <w:t>soil radiocarbon with a single</w:t>
      </w:r>
      <w:r w:rsidR="000A3253" w:rsidRPr="00C27016">
        <w:rPr>
          <w:rFonts w:ascii="Times New Roman" w:hAnsi="Times New Roman" w:cs="Times New Roman"/>
          <w:sz w:val="24"/>
          <w:szCs w:val="24"/>
        </w:rPr>
        <w:t xml:space="preserve"> pool </w:t>
      </w:r>
      <w:r w:rsidR="004916A8">
        <w:rPr>
          <w:rFonts w:ascii="Times New Roman" w:hAnsi="Times New Roman" w:cs="Times New Roman"/>
          <w:sz w:val="24"/>
          <w:szCs w:val="24"/>
        </w:rPr>
        <w:t>for a given soil layer</w:t>
      </w:r>
      <w:r w:rsidR="000A3253" w:rsidRPr="00C27016">
        <w:rPr>
          <w:rFonts w:ascii="Times New Roman" w:hAnsi="Times New Roman" w:cs="Times New Roman"/>
          <w:sz w:val="24"/>
          <w:szCs w:val="24"/>
        </w:rPr>
        <w:t xml:space="preserve"> has been found repeatedly to be inadequate for explaining soil carbon dynamics </w:t>
      </w:r>
      <w:r w:rsidR="000A3253" w:rsidRPr="00C27016">
        <w:rPr>
          <w:rFonts w:ascii="Times New Roman" w:hAnsi="Times New Roman" w:cs="Times New Roman"/>
          <w:sz w:val="24"/>
          <w:szCs w:val="24"/>
        </w:rPr>
        <w:fldChar w:fldCharType="begin" w:fldLock="1"/>
      </w:r>
      <w:r w:rsidR="000A3253">
        <w:rPr>
          <w:rFonts w:ascii="Times New Roman" w:hAnsi="Times New Roman" w:cs="Times New Roman"/>
          <w:sz w:val="24"/>
          <w:szCs w:val="24"/>
        </w:rPr>
        <w:instrText>ADDIN CSL_CITATION {"citationItems":[{"id":"ITEM-1","itemData":{"DOI":"10.1016/j.geoderma.2014.09.025","ISBN":"0016-7061","ISSN":"00167061","abstract":"Radiocarbon measurements are frequently used to model the turnover of soil organic carbon (OC) fractions. The assumption of homogeneous turnover in these fractions is typically stated, but consequences of its violation have not been tested. We used samples of a repeated soil inventory of a German beech forest from the litter layer to 50cm depth in 2004 and 2009 to determine the suitability of short-term repeated radiocarbon inventories for estimating the turnover times of OC in soil fractions. Samples from 0-5 and 10-20cm soil depth were density separated into a free light fraction (fLF), an occluded light fraction (oLF), and a heavy, mineral-associated fraction (HF). Samples were analysed for radiocarbon (δ14C), OC, and total nitrogen (TN) contents.Similar portions of OC were stored in the HF, but contributions of fLF and oLF varied between study years, probably due to interannual variations or methodological constraints. Following declining atmospheric CO2-14C, also δ14C values at 0-5cm depth declined significantly between 2004 and 2009. Exchange of old for new OC was largest in the fLF and smallest in the HF, which confirms slow turnover of OC associated with minerals. Model results revealed that turnover time estimates based on single-pool models were not in agreement with observed changes in any of the fractions, suggesting all of them to be mixtures, to varying degrees, of fast and slow cycling pools. While single-pool models suggest average turnover times of 115years for HF-OC at 0-5cm depth, thus being a stable fraction, fitting a two-pool model to the two-point measurements of radiocarbon suggested the presence of a fast cycling pool of 15-25years of turnover time. It was however only possible to constrain the portion of this fast pool as being between 50 and 85% of total HF-OC. Increasing δ14C in bulk soil and density fractions between study years at 10-20cm depth suggest that OC enters deeper soil layers with a longer time lag than topsoil layers, e.g., by slow transport, and 5years was not enough to induce significant changes.Even 40. years after the bomb peak, radiocarbon time series are still suitable to detect OC fractions of decadal turnover and hint at time lags and translocation processes. Nevertheless, they do not allow for fixing the portions of fast and slow cycling OC in two-pool models and their turnover times.","author":[{"dropping-particle":"","family":"Schrumpf","given":"M.","non-dropping-particle":"","parse-names":false,"suffix":""},{"dropping-particle":"","family":"Kaiser","given":"K.","non-dropping-particle":"","parse-names":false,"suffix":""}],"container-title":"Geoderma","id":"ITEM-1","issued":{"date-parts":[["2015"]]},"page":"168-178","publisher":"Elsevier B.V.","title":"Large differences in estimates of soil organic carbon turnover in density fractions by using single and repeated radiocarbon inventories","type":"article-journal","volume":"239-240"},"uris":["http://www.mendeley.com/documents/?uuid=d4d247a1-931a-4ce6-8628-cdb82ff7e0fc","http://www.mendeley.com/documents/?uuid=26feb118-8165-4a5c-8918-a311c352d2cb"]},{"id":"ITEM-2","itemData":{"DOI":"10.1023/A:1006301010014","ISBN":"0168-2563","ISSN":"1573-515X","PMID":"64","abstract":"Temperate forests of North America are thought to be significant sinks of atmospheric CO2. We developed a below-ground carbon (C) budget for well-drained soils in Harvard Forest Massachusetts, an ecosystem that is storing C. Measurements of carbon and radiocarbon (C-14) inventory were used to determine the turnover time and maximum rate of CO2 production from heterotrophic respiration of three fractions of soil organic matter (SOM): recognizable litter fragments (L), humified low density material (H), and high density or mineral-associated organic matter (M). Turnover times in all fractions increased with soil depth and were 2-5 years for recognizable leaf litter, 5-10 years for root litter, 40-100+ years for low density humified material and &gt; 100 years for carbon associated with minerals. These turnover times represent the time carbon resides in the plant + soil system, and may underestimate actual decomposition rates if carbon resides for several years in living root, plant or woody material. Soil respiration was partitioned into two components using C-14: recent photosynthate which is metabolized by roots and microorganisms within a year of initial fixation (Recent-C), and C that is respired during microbial decomposition of SOM that resides in the soil for several years or longer (Reservoir-C). For the whole soil, we calculate that decomposition of Reservoir-C contributes approximately 41% of the total annual soil respiration. Of this 41%, recognizable leaf or root detritus accounts for 80% of the flux, and 20% is from the more humified fractions that dominate the soil carbon stocks. Measurements of CO2 and (CO2)-C-14 in the soil atmosphere and in total soil respiration were combined with surface CO2 fluxes and a soil gas diffusion model to determine the flux and isotopic signature of C produced as a function of soil depth. 63% of soil respiration takes place in the top 15 cm of the soil (O + A + Ap horizons). The average residence time of Reservoir-C in the plant + soil system is 8 +/- 1 years and the average age of carbon in total soil respiration (Recent-C + Reservoir-C) is 4 +/- 1 years. The O and A horizons have accumulated 4.4 kgC m(-2) above the plow layer since abandonment by settlers in the late-1800's. C pools contributing the most to soil respiration have short enough turnover times that they are likely in steady state. However, most C is stored as humified organic matter within both the O and A horizons and has turnover times from 40 to…","author":[{"dropping-particle":"","family":"Gaudinski","given":"Julia B.","non-dropping-particle":"","parse-names":false,"suffix":""},{"dropping-particle":"","family":"Trumbore","given":"Susan E.","non-dropping-particle":"","parse-names":false,"suffix":""},{"dropping-particle":"","family":"Davidson","given":"Eric A.","non-dropping-particle":"","parse-names":false,"suffix":""},{"dropping-particle":"","family":"Zheng","given":"Shuhui","non-dropping-particle":"","parse-names":false,"suffix":""}],"container-title":"Biogeochemistry","id":"ITEM-2","issued":{"date-parts":[["2000"]]},"page":"33-69","title":"Soil carbon cycling in a temperate forest: radiocarbon-based estimates of residence times, sequestration rates and partitioning of fluxes","type":"article-journal","volume":"51"},"uris":["http://www.mendeley.com/documents/?uuid=d4bafb09-754c-4b5c-a8fb-3d3b3172dbff","http://www.mendeley.com/documents/?uuid=773c572f-e43f-4b1b-8ffd-4edf555b742f"]},{"id":"ITEM-3","itemData":{"DOI":"10.1007/s10533-011-9675-y","author":[{"dropping-particle":"","family":"Baisden","given":"W T","non-dropping-particle":"","parse-names":false,"suffix":""},{"dropping-particle":"","family":"Parfitt","given":"Roger L","non-dropping-particle":"","parse-names":false,"suffix":""},{"dropping-particle":"","family":"Ross","given":"Craig","non-dropping-particle":"","parse-names":false,"suffix":""},{"dropping-particle":"","family":"Schipper","given":"Louis A","non-dropping-particle":"","parse-names":false,"suffix":""},{"dropping-particle":"","family":"Canessa","given":"Silvia","non-dropping-particle":"","parse-names":false,"suffix":""}],"container-title":"Biogeochemistry","id":"ITEM-3","issued":{"date-parts":[["2013"]]},"page":"129-137","title":"Evaluating 50 years of time-series soil radiocarbon data : towards routine calculation of robust C residence times","type":"article-journal","volume":"112"},"uris":["http://www.mendeley.com/documents/?uuid=5c018094-4d14-4473-bc92-6f0f0cc25b57","http://www.mendeley.com/documents/?uuid=bd5cc42e-c382-4e3f-985c-b69eb0ac3b95"]}],"mendeley":{"formattedCitation":"(Baisden et al., 2013; Gaudinski et al., 2000; Schrumpf &amp; Kaiser, 2015)","plainTextFormattedCitation":"(Baisden et al., 2013; Gaudinski et al., 2000; Schrumpf &amp; Kaiser, 2015)","previouslyFormattedCitation":"(Baisden et al., 2013; Gaudinski et al., 2000; Schrumpf &amp; Kaiser, 2015)"},"properties":{"noteIndex":0},"schema":"https://github.com/citation-style-language/schema/raw/master/csl-citation.json"}</w:instrText>
      </w:r>
      <w:r w:rsidR="000A3253" w:rsidRPr="00C27016">
        <w:rPr>
          <w:rFonts w:ascii="Times New Roman" w:hAnsi="Times New Roman" w:cs="Times New Roman"/>
          <w:sz w:val="24"/>
          <w:szCs w:val="24"/>
        </w:rPr>
        <w:fldChar w:fldCharType="separate"/>
      </w:r>
      <w:r w:rsidR="000A3253" w:rsidRPr="005238BD">
        <w:rPr>
          <w:rFonts w:ascii="Times New Roman" w:hAnsi="Times New Roman" w:cs="Times New Roman"/>
          <w:noProof/>
          <w:sz w:val="24"/>
          <w:szCs w:val="24"/>
        </w:rPr>
        <w:t>(Baisden et al., 2013; Gaudinski et al., 2000; Schrumpf &amp; Kaiser, 2015)</w:t>
      </w:r>
      <w:r w:rsidR="000A3253" w:rsidRPr="00C27016">
        <w:rPr>
          <w:rFonts w:ascii="Times New Roman" w:hAnsi="Times New Roman" w:cs="Times New Roman"/>
          <w:sz w:val="24"/>
          <w:szCs w:val="24"/>
        </w:rPr>
        <w:fldChar w:fldCharType="end"/>
      </w:r>
      <w:r w:rsidR="000A3253" w:rsidRPr="00C27016">
        <w:rPr>
          <w:rFonts w:ascii="Times New Roman" w:hAnsi="Times New Roman" w:cs="Times New Roman"/>
          <w:sz w:val="24"/>
          <w:szCs w:val="24"/>
        </w:rPr>
        <w:t xml:space="preserve">. </w:t>
      </w:r>
      <w:r w:rsidR="000A3253">
        <w:rPr>
          <w:rFonts w:ascii="Times New Roman" w:hAnsi="Times New Roman" w:cs="Times New Roman"/>
          <w:sz w:val="24"/>
          <w:szCs w:val="24"/>
        </w:rPr>
        <w:t>In most cases a</w:t>
      </w:r>
      <w:r w:rsidR="000A3253" w:rsidRPr="00C27016">
        <w:rPr>
          <w:rFonts w:ascii="Times New Roman" w:hAnsi="Times New Roman" w:cs="Times New Roman"/>
          <w:sz w:val="24"/>
          <w:szCs w:val="24"/>
        </w:rPr>
        <w:t xml:space="preserve"> slightly more complex system with two pools and no transfer of carbon between the two pools (a two-pool parallel model)</w:t>
      </w:r>
      <w:r w:rsidR="000A3253" w:rsidRPr="0081089E">
        <w:rPr>
          <w:rFonts w:ascii="Times New Roman" w:hAnsi="Times New Roman" w:cs="Times New Roman"/>
          <w:sz w:val="24"/>
          <w:szCs w:val="24"/>
        </w:rPr>
        <w:t xml:space="preserve"> </w:t>
      </w:r>
      <w:r w:rsidR="000A3253">
        <w:rPr>
          <w:rFonts w:ascii="Times New Roman" w:hAnsi="Times New Roman" w:cs="Times New Roman"/>
          <w:sz w:val="24"/>
          <w:szCs w:val="24"/>
        </w:rPr>
        <w:t>is the simplest applicable model for fitting ∆</w:t>
      </w:r>
      <w:r w:rsidR="000A3253" w:rsidRPr="00CC23D6">
        <w:rPr>
          <w:rFonts w:ascii="Times New Roman" w:hAnsi="Times New Roman" w:cs="Times New Roman"/>
          <w:sz w:val="24"/>
          <w:szCs w:val="24"/>
          <w:vertAlign w:val="superscript"/>
        </w:rPr>
        <w:t>14</w:t>
      </w:r>
      <w:r w:rsidR="000A3253">
        <w:rPr>
          <w:rFonts w:ascii="Times New Roman" w:hAnsi="Times New Roman" w:cs="Times New Roman"/>
          <w:sz w:val="24"/>
          <w:szCs w:val="24"/>
        </w:rPr>
        <w:t>C-CO</w:t>
      </w:r>
      <w:r w:rsidR="000A3253" w:rsidRPr="00CC23D6">
        <w:rPr>
          <w:rFonts w:ascii="Times New Roman" w:hAnsi="Times New Roman" w:cs="Times New Roman"/>
          <w:sz w:val="24"/>
          <w:szCs w:val="24"/>
          <w:vertAlign w:val="subscript"/>
        </w:rPr>
        <w:t>2</w:t>
      </w:r>
      <w:r w:rsidR="000A3253">
        <w:rPr>
          <w:rFonts w:ascii="Times New Roman" w:hAnsi="Times New Roman" w:cs="Times New Roman"/>
          <w:sz w:val="24"/>
          <w:szCs w:val="24"/>
        </w:rPr>
        <w:t xml:space="preserve"> data observed over time </w:t>
      </w:r>
      <w:r w:rsidR="000A3253" w:rsidRPr="00C27016">
        <w:rPr>
          <w:rFonts w:ascii="Times New Roman" w:hAnsi="Times New Roman" w:cs="Times New Roman"/>
          <w:sz w:val="24"/>
          <w:szCs w:val="24"/>
        </w:rPr>
        <w:fldChar w:fldCharType="begin" w:fldLock="1"/>
      </w:r>
      <w:r w:rsidR="000A3253">
        <w:rPr>
          <w:rFonts w:ascii="Times New Roman" w:hAnsi="Times New Roman" w:cs="Times New Roman"/>
          <w:sz w:val="24"/>
          <w:szCs w:val="24"/>
        </w:rPr>
        <w:instrText>ADDIN CSL_CITATION {"citationItems":[{"id":"ITEM-1","itemData":{"DOI":"10.5194/gmd-7-1919-2014","ISBN":"0171-8630","ISSN":"19919603","PMID":"22947028","abstract":"Radiocarbon is an important tracer of the global carbon cycle that helps to understand carbon dynamics in soils. It is useful to estimate rates of organic matter cycling as well as the mean residence or transit time of carbon in soils. We included a set of functions to model the fate of radiocarbon in soil organic matter within the SoilR package for the R environment for computing. Here we present the main system equations and functions to calculate the transfer and release of radiocarbon from different soil organic matter pools. Similarly, we present functions to calculate the mean transit time for different pools and the entire soil system. This new version of SoilR also includes a group of data sets describing the amount of radiocarbon in the atmosphere over time, data necessary to estimate the incorporation of radiocarbon in soils. Also, we present examples on how to obtain parameters of pool-based models from radiocarbon data using inverse parameter estimation. This implementation is general enough so it can also be used to trace the incorporation of radiocarbon in other natural systems that can be represented as linear dynamical systems.","author":[{"dropping-particle":"","family":"Sierra","given":"C.A.","non-dropping-particle":"","parse-names":false,"suffix":""},{"dropping-particle":"","family":"Müller","given":"M.","non-dropping-particle":"","parse-names":false,"suffix":""},{"dropping-particle":"","family":"Trumbore","given":"S.E.","non-dropping-particle":"","parse-names":false,"suffix":""}],"container-title":"Geoscientific Model Development","id":"ITEM-1","issue":"5","issued":{"date-parts":[["2014"]]},"page":"1919-1931","title":"Modeling radiocarbon dynamics in soils: SoilR version 1.1","type":"article-journal","volume":"7"},"uris":["http://www.mendeley.com/documents/?uuid=93520d0d-6dd8-4225-be52-a4f1f1a30cf0","http://www.mendeley.com/documents/?uuid=b37d2622-a12e-455a-b09a-5138a98ad0be"]}],"mendeley":{"formattedCitation":"(Sierra et al., 2014)","plainTextFormattedCitation":"(Sierra et al., 2014)","previouslyFormattedCitation":"(Sierra et al., 2014)"},"properties":{"noteIndex":0},"schema":"https://github.com/citation-style-language/schema/raw/master/csl-citation.json"}</w:instrText>
      </w:r>
      <w:r w:rsidR="000A3253" w:rsidRPr="00C27016">
        <w:rPr>
          <w:rFonts w:ascii="Times New Roman" w:hAnsi="Times New Roman" w:cs="Times New Roman"/>
          <w:sz w:val="24"/>
          <w:szCs w:val="24"/>
        </w:rPr>
        <w:fldChar w:fldCharType="separate"/>
      </w:r>
      <w:r w:rsidR="000A3253" w:rsidRPr="005238BD">
        <w:rPr>
          <w:rFonts w:ascii="Times New Roman" w:hAnsi="Times New Roman" w:cs="Times New Roman"/>
          <w:noProof/>
          <w:sz w:val="24"/>
          <w:szCs w:val="24"/>
        </w:rPr>
        <w:t>(Sierra et al., 2014)</w:t>
      </w:r>
      <w:r w:rsidR="000A3253" w:rsidRPr="00C27016">
        <w:rPr>
          <w:rFonts w:ascii="Times New Roman" w:hAnsi="Times New Roman" w:cs="Times New Roman"/>
          <w:sz w:val="24"/>
          <w:szCs w:val="24"/>
        </w:rPr>
        <w:fldChar w:fldCharType="end"/>
      </w:r>
      <w:r w:rsidR="007B735C">
        <w:rPr>
          <w:rFonts w:ascii="Times New Roman" w:hAnsi="Times New Roman" w:cs="Times New Roman"/>
          <w:sz w:val="24"/>
          <w:szCs w:val="24"/>
        </w:rPr>
        <w:t>.</w:t>
      </w:r>
    </w:p>
    <w:p w14:paraId="51EE8B7C" w14:textId="06D14965" w:rsidR="000A3253" w:rsidRDefault="007B735C"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We implemented a two-pool parallel model structure and parameterized the c</w:t>
      </w:r>
      <w:r w:rsidR="000A3253" w:rsidRPr="00CC23D6">
        <w:rPr>
          <w:rFonts w:ascii="Times New Roman" w:hAnsi="Times New Roman" w:cs="Times New Roman"/>
          <w:sz w:val="24"/>
          <w:szCs w:val="24"/>
        </w:rPr>
        <w:t xml:space="preserve">arbon stocks and pool sizes </w:t>
      </w:r>
      <w:r>
        <w:rPr>
          <w:rFonts w:ascii="Times New Roman" w:hAnsi="Times New Roman" w:cs="Times New Roman"/>
          <w:sz w:val="24"/>
          <w:szCs w:val="24"/>
        </w:rPr>
        <w:t xml:space="preserve">using </w:t>
      </w:r>
      <w:r w:rsidR="00525C69">
        <w:rPr>
          <w:rFonts w:ascii="Times New Roman" w:hAnsi="Times New Roman" w:cs="Times New Roman"/>
          <w:sz w:val="24"/>
          <w:szCs w:val="24"/>
        </w:rPr>
        <w:t>density</w:t>
      </w:r>
      <w:r w:rsidR="000A3253" w:rsidRPr="00CC23D6">
        <w:rPr>
          <w:rFonts w:ascii="Times New Roman" w:hAnsi="Times New Roman" w:cs="Times New Roman"/>
          <w:sz w:val="24"/>
          <w:szCs w:val="24"/>
        </w:rPr>
        <w:t xml:space="preserve"> fraction data </w:t>
      </w:r>
      <w:r w:rsidR="00DB6555">
        <w:rPr>
          <w:rFonts w:ascii="Times New Roman" w:hAnsi="Times New Roman" w:cs="Times New Roman"/>
          <w:sz w:val="24"/>
          <w:szCs w:val="24"/>
        </w:rPr>
        <w:t xml:space="preserve">collected from </w:t>
      </w:r>
      <w:r w:rsidR="008809DC">
        <w:rPr>
          <w:rFonts w:ascii="Times New Roman" w:hAnsi="Times New Roman" w:cs="Times New Roman"/>
          <w:sz w:val="24"/>
          <w:szCs w:val="24"/>
        </w:rPr>
        <w:t>forest sites in the</w:t>
      </w:r>
      <w:r w:rsidR="00DB6555">
        <w:rPr>
          <w:rFonts w:ascii="Times New Roman" w:hAnsi="Times New Roman" w:cs="Times New Roman"/>
          <w:sz w:val="24"/>
          <w:szCs w:val="24"/>
        </w:rPr>
        <w:t xml:space="preserve"> Hainich-Dün</w:t>
      </w:r>
      <w:r w:rsidR="000A3253">
        <w:rPr>
          <w:rFonts w:ascii="Times New Roman" w:hAnsi="Times New Roman" w:cs="Times New Roman"/>
          <w:sz w:val="24"/>
          <w:szCs w:val="24"/>
        </w:rPr>
        <w:t xml:space="preserve"> </w:t>
      </w:r>
      <w:r w:rsidR="008809DC">
        <w:rPr>
          <w:rFonts w:ascii="Times New Roman" w:hAnsi="Times New Roman" w:cs="Times New Roman"/>
          <w:sz w:val="24"/>
          <w:szCs w:val="24"/>
        </w:rPr>
        <w:t xml:space="preserve">region </w:t>
      </w:r>
      <w:r w:rsidR="00DB6555">
        <w:rPr>
          <w:rFonts w:ascii="Times New Roman" w:hAnsi="Times New Roman" w:cs="Times New Roman"/>
          <w:sz w:val="24"/>
          <w:szCs w:val="24"/>
        </w:rPr>
        <w:t xml:space="preserve">by </w:t>
      </w:r>
      <w:r w:rsidR="000A3253">
        <w:rPr>
          <w:rFonts w:ascii="Times New Roman" w:hAnsi="Times New Roman" w:cs="Times New Roman"/>
          <w:sz w:val="24"/>
          <w:szCs w:val="24"/>
        </w:rPr>
        <w:t xml:space="preserve">Schrumpf et al. </w:t>
      </w:r>
      <w:r w:rsidR="00DB6555">
        <w:rPr>
          <w:rFonts w:ascii="Times New Roman" w:hAnsi="Times New Roman" w:cs="Times New Roman"/>
          <w:sz w:val="24"/>
          <w:szCs w:val="24"/>
        </w:rPr>
        <w:t>(</w:t>
      </w:r>
      <w:r w:rsidR="000A3253">
        <w:rPr>
          <w:rFonts w:ascii="Times New Roman" w:hAnsi="Times New Roman" w:cs="Times New Roman"/>
          <w:sz w:val="24"/>
          <w:szCs w:val="24"/>
        </w:rPr>
        <w:t>2013)</w:t>
      </w:r>
      <w:r>
        <w:rPr>
          <w:rFonts w:ascii="Times New Roman" w:hAnsi="Times New Roman" w:cs="Times New Roman"/>
          <w:sz w:val="24"/>
          <w:szCs w:val="24"/>
        </w:rPr>
        <w:t xml:space="preserve"> for a previous study</w:t>
      </w:r>
      <w:r w:rsidR="000A3253">
        <w:rPr>
          <w:rFonts w:ascii="Times New Roman" w:hAnsi="Times New Roman" w:cs="Times New Roman"/>
          <w:sz w:val="24"/>
          <w:szCs w:val="24"/>
        </w:rPr>
        <w:t>. Using single-pool steady-state models</w:t>
      </w:r>
      <w:r w:rsidR="004916A8">
        <w:rPr>
          <w:rFonts w:ascii="Times New Roman" w:hAnsi="Times New Roman" w:cs="Times New Roman"/>
          <w:sz w:val="24"/>
          <w:szCs w:val="24"/>
        </w:rPr>
        <w:t xml:space="preserve"> fit separately to each density fraction</w:t>
      </w:r>
      <w:r w:rsidR="00B601D4">
        <w:rPr>
          <w:rFonts w:ascii="Times New Roman" w:hAnsi="Times New Roman" w:cs="Times New Roman"/>
          <w:sz w:val="24"/>
          <w:szCs w:val="24"/>
        </w:rPr>
        <w:t>, Schrumpf et al. (2015</w:t>
      </w:r>
      <w:r w:rsidR="000A3253">
        <w:rPr>
          <w:rFonts w:ascii="Times New Roman" w:hAnsi="Times New Roman" w:cs="Times New Roman"/>
          <w:sz w:val="24"/>
          <w:szCs w:val="24"/>
        </w:rPr>
        <w:t>) estimated a mean decomposition rate of between 3 and 5 years for the free light fraction, 90 years for the occluded light fraction, and 115 years for the heavy fraction of the 0-5 cm depth layer. We increased the intrinsic decomposition rate (</w:t>
      </w:r>
      <w:r w:rsidR="000A3253" w:rsidRPr="00774E95">
        <w:rPr>
          <w:rFonts w:ascii="Times New Roman" w:hAnsi="Times New Roman" w:cs="Times New Roman"/>
          <w:i/>
          <w:sz w:val="24"/>
          <w:szCs w:val="24"/>
        </w:rPr>
        <w:t>k</w:t>
      </w:r>
      <w:r w:rsidR="000A3253">
        <w:rPr>
          <w:rFonts w:ascii="Times New Roman" w:hAnsi="Times New Roman" w:cs="Times New Roman"/>
          <w:sz w:val="24"/>
          <w:szCs w:val="24"/>
        </w:rPr>
        <w:t>) of the fast cycling pool in our two-pool model system to 1/6 yr</w:t>
      </w:r>
      <w:r w:rsidR="000A3253" w:rsidRPr="00774E95">
        <w:rPr>
          <w:rFonts w:ascii="Times New Roman" w:hAnsi="Times New Roman" w:cs="Times New Roman"/>
          <w:sz w:val="24"/>
          <w:szCs w:val="24"/>
          <w:vertAlign w:val="superscript"/>
        </w:rPr>
        <w:t>-1</w:t>
      </w:r>
      <w:r w:rsidR="000A3253">
        <w:rPr>
          <w:rFonts w:ascii="Times New Roman" w:hAnsi="Times New Roman" w:cs="Times New Roman"/>
          <w:sz w:val="24"/>
          <w:szCs w:val="24"/>
        </w:rPr>
        <w:t xml:space="preserve"> to account for the increased contribution of fine roots relative to leaf litter in the 0-10 cm depth layer, and set the decomposition rate for the slow cycling pool to 100 years to account for the contribution of both occluded and heavy fraction carbon</w:t>
      </w:r>
      <w:r>
        <w:rPr>
          <w:rFonts w:ascii="Times New Roman" w:hAnsi="Times New Roman" w:cs="Times New Roman"/>
          <w:sz w:val="24"/>
          <w:szCs w:val="24"/>
        </w:rPr>
        <w:t xml:space="preserve"> (Fig. 6)</w:t>
      </w:r>
      <w:r w:rsidR="000A3253">
        <w:rPr>
          <w:rFonts w:ascii="Times New Roman" w:hAnsi="Times New Roman" w:cs="Times New Roman"/>
          <w:sz w:val="24"/>
          <w:szCs w:val="24"/>
        </w:rPr>
        <w:t>.</w:t>
      </w:r>
    </w:p>
    <w:p w14:paraId="4769E844" w14:textId="630C7C8A" w:rsidR="000A3253" w:rsidRDefault="000A3253"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 xml:space="preserve">Two possible outcomes of the air-drying and rewetting treatment effect on respired </w:t>
      </w:r>
      <w:r w:rsidRPr="001A039B">
        <w:rPr>
          <w:rFonts w:ascii="Times New Roman" w:hAnsi="Times New Roman" w:cs="Times New Roman"/>
          <w:sz w:val="24"/>
          <w:szCs w:val="24"/>
          <w:vertAlign w:val="superscript"/>
        </w:rPr>
        <w:t>14</w:t>
      </w:r>
      <w:r>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Pr>
          <w:rFonts w:ascii="Times New Roman" w:hAnsi="Times New Roman" w:cs="Times New Roman"/>
          <w:sz w:val="24"/>
          <w:szCs w:val="24"/>
        </w:rPr>
        <w:t xml:space="preserve"> are shown in Fig. 6b. The f</w:t>
      </w:r>
      <w:r w:rsidRPr="00CC23D6">
        <w:rPr>
          <w:rFonts w:ascii="Times New Roman" w:hAnsi="Times New Roman" w:cs="Times New Roman"/>
          <w:sz w:val="24"/>
          <w:szCs w:val="24"/>
        </w:rPr>
        <w:t>illed circles</w:t>
      </w:r>
      <w:r>
        <w:rPr>
          <w:rFonts w:ascii="Times New Roman" w:hAnsi="Times New Roman" w:cs="Times New Roman"/>
          <w:sz w:val="24"/>
          <w:szCs w:val="24"/>
        </w:rPr>
        <w:t xml:space="preserve"> show hypothetical observations</w:t>
      </w:r>
      <w:r w:rsidRPr="00CC23D6">
        <w:rPr>
          <w:rFonts w:ascii="Times New Roman" w:hAnsi="Times New Roman" w:cs="Times New Roman"/>
          <w:sz w:val="24"/>
          <w:szCs w:val="24"/>
        </w:rPr>
        <w:t xml:space="preserve"> of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sidRPr="00CC23D6">
        <w:rPr>
          <w:rFonts w:ascii="Times New Roman" w:hAnsi="Times New Roman" w:cs="Times New Roman"/>
          <w:sz w:val="24"/>
          <w:szCs w:val="24"/>
        </w:rPr>
        <w:t xml:space="preserve"> </w:t>
      </w:r>
      <w:r>
        <w:rPr>
          <w:rFonts w:ascii="Times New Roman" w:hAnsi="Times New Roman" w:cs="Times New Roman"/>
          <w:sz w:val="24"/>
          <w:szCs w:val="24"/>
        </w:rPr>
        <w:t xml:space="preserve">respired </w:t>
      </w:r>
      <w:r w:rsidRPr="00CC23D6">
        <w:rPr>
          <w:rFonts w:ascii="Times New Roman" w:hAnsi="Times New Roman" w:cs="Times New Roman"/>
          <w:sz w:val="24"/>
          <w:szCs w:val="24"/>
        </w:rPr>
        <w:t xml:space="preserve">from control incubations, while the open symbols </w:t>
      </w:r>
      <w:r>
        <w:rPr>
          <w:rFonts w:ascii="Times New Roman" w:hAnsi="Times New Roman" w:cs="Times New Roman"/>
          <w:sz w:val="24"/>
          <w:szCs w:val="24"/>
        </w:rPr>
        <w:t>show respiration from</w:t>
      </w:r>
      <w:r w:rsidRPr="00CC23D6">
        <w:rPr>
          <w:rFonts w:ascii="Times New Roman" w:hAnsi="Times New Roman" w:cs="Times New Roman"/>
          <w:sz w:val="24"/>
          <w:szCs w:val="24"/>
        </w:rPr>
        <w:t xml:space="preserve"> </w:t>
      </w:r>
      <w:r>
        <w:rPr>
          <w:rFonts w:ascii="Times New Roman" w:hAnsi="Times New Roman" w:cs="Times New Roman"/>
          <w:sz w:val="24"/>
          <w:szCs w:val="24"/>
        </w:rPr>
        <w:t>treatment incubations</w:t>
      </w:r>
      <w:r w:rsidRPr="00CC23D6">
        <w:rPr>
          <w:rFonts w:ascii="Times New Roman" w:hAnsi="Times New Roman" w:cs="Times New Roman"/>
          <w:sz w:val="24"/>
          <w:szCs w:val="24"/>
        </w:rPr>
        <w:t xml:space="preserve">. In the first scenario (open squares), an increased contribution from the slow pool </w:t>
      </w:r>
      <w:r>
        <w:rPr>
          <w:rFonts w:ascii="Times New Roman" w:hAnsi="Times New Roman" w:cs="Times New Roman"/>
          <w:sz w:val="24"/>
          <w:szCs w:val="24"/>
        </w:rPr>
        <w:t xml:space="preserve">following air-drying and rewetting </w:t>
      </w:r>
      <w:r w:rsidRPr="00CC23D6">
        <w:rPr>
          <w:rFonts w:ascii="Times New Roman" w:hAnsi="Times New Roman" w:cs="Times New Roman"/>
          <w:sz w:val="24"/>
          <w:szCs w:val="24"/>
        </w:rPr>
        <w:t>shifts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sidRPr="00CC23D6">
        <w:rPr>
          <w:rFonts w:ascii="Times New Roman" w:hAnsi="Times New Roman" w:cs="Times New Roman"/>
          <w:sz w:val="24"/>
          <w:szCs w:val="24"/>
        </w:rPr>
        <w:t xml:space="preserve"> toward the slow pool curve (</w:t>
      </w:r>
      <w:r w:rsidR="0080158A">
        <w:rPr>
          <w:rFonts w:ascii="Times New Roman" w:hAnsi="Times New Roman" w:cs="Times New Roman"/>
          <w:sz w:val="24"/>
          <w:szCs w:val="24"/>
        </w:rPr>
        <w:t>dashed gold line</w:t>
      </w:r>
      <w:r w:rsidRPr="00CC23D6">
        <w:rPr>
          <w:rFonts w:ascii="Times New Roman" w:hAnsi="Times New Roman" w:cs="Times New Roman"/>
          <w:sz w:val="24"/>
          <w:szCs w:val="24"/>
        </w:rPr>
        <w:t>), while in the second scenario (open circles), an increased contribution from the fast pool shifts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sidRPr="00CC23D6">
        <w:rPr>
          <w:rFonts w:ascii="Times New Roman" w:hAnsi="Times New Roman" w:cs="Times New Roman"/>
          <w:sz w:val="24"/>
          <w:szCs w:val="24"/>
        </w:rPr>
        <w:t xml:space="preserve"> toward the fast pool curve (</w:t>
      </w:r>
      <w:r w:rsidR="0080158A">
        <w:rPr>
          <w:rFonts w:ascii="Times New Roman" w:hAnsi="Times New Roman" w:cs="Times New Roman"/>
          <w:sz w:val="24"/>
          <w:szCs w:val="24"/>
        </w:rPr>
        <w:t>dotted gold line</w:t>
      </w:r>
      <w:r w:rsidRPr="00CC23D6">
        <w:rPr>
          <w:rFonts w:ascii="Times New Roman" w:hAnsi="Times New Roman" w:cs="Times New Roman"/>
          <w:sz w:val="24"/>
          <w:szCs w:val="24"/>
        </w:rPr>
        <w:t>). Due to the crossing of the slow and fast pool curves in 2009, an increased contribution of the slow pool to respiration following treatment leads to relative depletion of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sidRPr="00CC23D6">
        <w:rPr>
          <w:rFonts w:ascii="Times New Roman" w:hAnsi="Times New Roman" w:cs="Times New Roman"/>
          <w:sz w:val="24"/>
          <w:szCs w:val="24"/>
        </w:rPr>
        <w:t xml:space="preserve"> in 1991, but relative enrichment of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Pr>
          <w:rFonts w:ascii="Times New Roman" w:hAnsi="Times New Roman" w:cs="Times New Roman"/>
          <w:sz w:val="24"/>
          <w:szCs w:val="24"/>
        </w:rPr>
        <w:t xml:space="preserve"> in 2019, while the opposite is true for the increased fast pool contribution scenario.</w:t>
      </w:r>
      <w:r w:rsidRPr="00CC23D6">
        <w:rPr>
          <w:rFonts w:ascii="Times New Roman" w:hAnsi="Times New Roman" w:cs="Times New Roman"/>
          <w:sz w:val="24"/>
          <w:szCs w:val="24"/>
        </w:rPr>
        <w:t xml:space="preserve"> </w:t>
      </w:r>
    </w:p>
    <w:p w14:paraId="450058D6" w14:textId="77777777" w:rsidR="000A3253" w:rsidRDefault="000A3253" w:rsidP="000A3253">
      <w:pPr>
        <w:pStyle w:val="Normal1"/>
        <w:spacing w:before="240" w:after="120"/>
        <w:rPr>
          <w:rFonts w:ascii="Times New Roman" w:hAnsi="Times New Roman" w:cs="Times New Roman"/>
          <w:sz w:val="24"/>
          <w:szCs w:val="24"/>
        </w:rPr>
      </w:pPr>
    </w:p>
    <w:p w14:paraId="395CE54E" w14:textId="77777777" w:rsidR="000A3253" w:rsidRDefault="000A3253" w:rsidP="000A3253">
      <w:pPr>
        <w:pStyle w:val="Normal1"/>
        <w:spacing w:after="120" w:line="240" w:lineRule="auto"/>
        <w:ind w:right="360"/>
        <w:rPr>
          <w:rFonts w:ascii="Times New Roman" w:hAnsi="Times New Roman" w:cs="Times New Roman"/>
          <w:b/>
          <w:sz w:val="24"/>
          <w:szCs w:val="24"/>
        </w:rPr>
      </w:pPr>
      <w:r>
        <w:rPr>
          <w:rFonts w:ascii="Times New Roman" w:hAnsi="Times New Roman" w:cs="Times New Roman"/>
          <w:b/>
          <w:noProof/>
          <w:sz w:val="24"/>
          <w:szCs w:val="24"/>
          <w:lang w:val="en-US"/>
        </w:rPr>
        <w:drawing>
          <wp:inline distT="0" distB="0" distL="0" distR="0" wp14:anchorId="20E5AC79" wp14:editId="26166D3C">
            <wp:extent cx="5778500" cy="3035300"/>
            <wp:effectExtent l="0" t="0" r="1270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ual-model-fig1-2_2020-10-13.pdf"/>
                    <pic:cNvPicPr/>
                  </pic:nvPicPr>
                  <pic:blipFill>
                    <a:blip r:embed="rId19">
                      <a:extLst>
                        <a:ext uri="{28A0092B-C50C-407E-A947-70E740481C1C}">
                          <a14:useLocalDpi xmlns:a14="http://schemas.microsoft.com/office/drawing/2010/main" val="0"/>
                        </a:ext>
                      </a:extLst>
                    </a:blip>
                    <a:stretch>
                      <a:fillRect/>
                    </a:stretch>
                  </pic:blipFill>
                  <pic:spPr>
                    <a:xfrm>
                      <a:off x="0" y="0"/>
                      <a:ext cx="5778500" cy="3035300"/>
                    </a:xfrm>
                    <a:prstGeom prst="rect">
                      <a:avLst/>
                    </a:prstGeom>
                  </pic:spPr>
                </pic:pic>
              </a:graphicData>
            </a:graphic>
          </wp:inline>
        </w:drawing>
      </w:r>
    </w:p>
    <w:p w14:paraId="3BD5B9D4" w14:textId="4CEB577D" w:rsidR="000A3253" w:rsidRPr="00DD2D02" w:rsidRDefault="000A3253" w:rsidP="000A3253">
      <w:pPr>
        <w:pStyle w:val="Normal1"/>
        <w:spacing w:after="120" w:line="360" w:lineRule="auto"/>
        <w:ind w:left="360" w:right="360"/>
        <w:rPr>
          <w:rFonts w:ascii="Times New Roman" w:hAnsi="Times New Roman" w:cs="Times New Roman"/>
          <w:szCs w:val="24"/>
          <w:lang w:val="en-US"/>
        </w:rPr>
      </w:pPr>
      <w:commentRangeStart w:id="1"/>
      <w:r w:rsidRPr="00DD2D02">
        <w:rPr>
          <w:rFonts w:ascii="Times New Roman" w:hAnsi="Times New Roman" w:cs="Times New Roman"/>
          <w:b/>
          <w:sz w:val="24"/>
          <w:szCs w:val="24"/>
        </w:rPr>
        <w:t>Figure 6</w:t>
      </w:r>
      <w:r w:rsidRPr="00DD2D02">
        <w:rPr>
          <w:rFonts w:ascii="Times New Roman" w:hAnsi="Times New Roman" w:cs="Times New Roman"/>
          <w:sz w:val="24"/>
          <w:szCs w:val="24"/>
        </w:rPr>
        <w:t xml:space="preserve">. </w:t>
      </w:r>
      <w:commentRangeEnd w:id="1"/>
      <w:r w:rsidR="00D52EBE">
        <w:rPr>
          <w:rStyle w:val="CommentReference"/>
        </w:rPr>
        <w:commentReference w:id="1"/>
      </w:r>
      <w:r w:rsidRPr="00DD2D02">
        <w:rPr>
          <w:rFonts w:ascii="Times New Roman" w:hAnsi="Times New Roman" w:cs="Times New Roman"/>
          <w:b/>
          <w:sz w:val="24"/>
          <w:szCs w:val="24"/>
        </w:rPr>
        <w:t>a)</w:t>
      </w:r>
      <w:r w:rsidRPr="00DD2D02">
        <w:rPr>
          <w:rFonts w:ascii="Times New Roman" w:hAnsi="Times New Roman" w:cs="Times New Roman"/>
          <w:sz w:val="24"/>
          <w:szCs w:val="24"/>
          <w:vertAlign w:val="superscript"/>
        </w:rPr>
        <w:t xml:space="preserve"> </w:t>
      </w:r>
      <w:r w:rsidRPr="00DD2D02">
        <w:rPr>
          <w:rFonts w:ascii="Times New Roman" w:hAnsi="Times New Roman" w:cs="Times New Roman"/>
          <w:szCs w:val="24"/>
        </w:rPr>
        <w:t>Modeled trajectories of ∆</w:t>
      </w:r>
      <w:r w:rsidRPr="00DD2D02">
        <w:rPr>
          <w:rFonts w:ascii="Times New Roman" w:hAnsi="Times New Roman" w:cs="Times New Roman"/>
          <w:szCs w:val="24"/>
          <w:vertAlign w:val="superscript"/>
        </w:rPr>
        <w:t>14</w:t>
      </w:r>
      <w:r w:rsidRPr="00DD2D02">
        <w:rPr>
          <w:rFonts w:ascii="Times New Roman" w:hAnsi="Times New Roman" w:cs="Times New Roman"/>
          <w:szCs w:val="24"/>
        </w:rPr>
        <w:t xml:space="preserve">C over time </w:t>
      </w:r>
      <w:r w:rsidRPr="00DD2D02">
        <w:rPr>
          <w:rFonts w:ascii="Times New Roman" w:hAnsi="Times New Roman" w:cs="Times New Roman"/>
          <w:szCs w:val="24"/>
          <w:lang w:val="en-US"/>
        </w:rPr>
        <w:t>for a hypothetical two-pool parallel soil carbon model in relation to atmospheric ∆</w:t>
      </w:r>
      <w:r w:rsidRPr="00DD2D02">
        <w:rPr>
          <w:rFonts w:ascii="Times New Roman" w:hAnsi="Times New Roman" w:cs="Times New Roman"/>
          <w:szCs w:val="24"/>
          <w:vertAlign w:val="superscript"/>
          <w:lang w:val="en-US"/>
        </w:rPr>
        <w:t>14</w:t>
      </w:r>
      <w:r w:rsidRPr="00DD2D02">
        <w:rPr>
          <w:rFonts w:ascii="Times New Roman" w:hAnsi="Times New Roman" w:cs="Times New Roman"/>
          <w:szCs w:val="24"/>
          <w:lang w:val="en-US"/>
        </w:rPr>
        <w:t>C-CO</w:t>
      </w:r>
      <w:r w:rsidRPr="00DD2D02">
        <w:rPr>
          <w:rFonts w:ascii="Times New Roman" w:hAnsi="Times New Roman" w:cs="Times New Roman"/>
          <w:szCs w:val="24"/>
          <w:vertAlign w:val="subscript"/>
          <w:lang w:val="en-US"/>
        </w:rPr>
        <w:t>2</w:t>
      </w:r>
      <w:r w:rsidRPr="00DD2D02">
        <w:rPr>
          <w:rFonts w:ascii="Times New Roman" w:hAnsi="Times New Roman" w:cs="Times New Roman"/>
          <w:szCs w:val="24"/>
          <w:lang w:val="en-US"/>
        </w:rPr>
        <w:t xml:space="preserve">, </w:t>
      </w:r>
      <w:r w:rsidRPr="00DD2D02">
        <w:rPr>
          <w:rFonts w:ascii="Times New Roman" w:hAnsi="Times New Roman" w:cs="Times New Roman"/>
          <w:b/>
          <w:sz w:val="24"/>
          <w:szCs w:val="24"/>
          <w:lang w:val="en-US"/>
        </w:rPr>
        <w:t>b)</w:t>
      </w:r>
      <w:r w:rsidRPr="00DD2D02">
        <w:rPr>
          <w:rFonts w:ascii="Times New Roman" w:hAnsi="Times New Roman" w:cs="Times New Roman"/>
          <w:sz w:val="24"/>
          <w:szCs w:val="24"/>
          <w:lang w:val="en-US"/>
        </w:rPr>
        <w:t xml:space="preserve"> </w:t>
      </w:r>
      <w:r w:rsidRPr="00DD2D02">
        <w:rPr>
          <w:rFonts w:ascii="Times New Roman" w:hAnsi="Times New Roman" w:cs="Times New Roman"/>
          <w:i/>
          <w:szCs w:val="24"/>
          <w:lang w:val="en-US"/>
        </w:rPr>
        <w:t>(inset)</w:t>
      </w:r>
      <w:r w:rsidRPr="00DD2D02">
        <w:rPr>
          <w:rFonts w:ascii="Times New Roman" w:hAnsi="Times New Roman" w:cs="Times New Roman"/>
          <w:szCs w:val="24"/>
          <w:lang w:val="en-US"/>
        </w:rPr>
        <w:t xml:space="preserve"> </w:t>
      </w:r>
      <w:r>
        <w:rPr>
          <w:rFonts w:ascii="Times New Roman" w:hAnsi="Times New Roman" w:cs="Times New Roman"/>
          <w:szCs w:val="24"/>
          <w:lang w:val="en-US"/>
        </w:rPr>
        <w:t xml:space="preserve">Depiction of two competing scenarios in which </w:t>
      </w:r>
      <w:r w:rsidRPr="00DD2D02">
        <w:rPr>
          <w:rFonts w:ascii="Times New Roman" w:hAnsi="Times New Roman" w:cs="Times New Roman"/>
          <w:szCs w:val="24"/>
          <w:lang w:val="en-US"/>
        </w:rPr>
        <w:t>air-drying and rewetting</w:t>
      </w:r>
      <w:r>
        <w:rPr>
          <w:rFonts w:ascii="Times New Roman" w:hAnsi="Times New Roman" w:cs="Times New Roman"/>
          <w:szCs w:val="24"/>
          <w:lang w:val="en-US"/>
        </w:rPr>
        <w:t xml:space="preserve"> shifts</w:t>
      </w:r>
      <w:r w:rsidRPr="00DD2D02">
        <w:rPr>
          <w:rFonts w:ascii="Times New Roman" w:hAnsi="Times New Roman" w:cs="Times New Roman"/>
          <w:szCs w:val="24"/>
          <w:lang w:val="en-US"/>
        </w:rPr>
        <w:t xml:space="preserve"> ∆</w:t>
      </w:r>
      <w:r w:rsidRPr="00DD2D02">
        <w:rPr>
          <w:rFonts w:ascii="Times New Roman" w:hAnsi="Times New Roman" w:cs="Times New Roman"/>
          <w:szCs w:val="24"/>
          <w:vertAlign w:val="superscript"/>
          <w:lang w:val="en-US"/>
        </w:rPr>
        <w:t>14</w:t>
      </w:r>
      <w:r w:rsidRPr="00DD2D02">
        <w:rPr>
          <w:rFonts w:ascii="Times New Roman" w:hAnsi="Times New Roman" w:cs="Times New Roman"/>
          <w:szCs w:val="24"/>
          <w:lang w:val="en-US"/>
        </w:rPr>
        <w:t>C of respired CO</w:t>
      </w:r>
      <w:r w:rsidRPr="00DD2D02">
        <w:rPr>
          <w:rFonts w:ascii="Times New Roman" w:hAnsi="Times New Roman" w:cs="Times New Roman"/>
          <w:szCs w:val="24"/>
          <w:vertAlign w:val="subscript"/>
          <w:lang w:val="en-US"/>
        </w:rPr>
        <w:t>2</w:t>
      </w:r>
      <w:r>
        <w:rPr>
          <w:rFonts w:ascii="Times New Roman" w:hAnsi="Times New Roman" w:cs="Times New Roman"/>
          <w:szCs w:val="24"/>
          <w:lang w:val="en-US"/>
        </w:rPr>
        <w:t xml:space="preserve"> toward either the fast or slow soil carbon pool curve.</w:t>
      </w:r>
      <w:r w:rsidRPr="00DD2D02">
        <w:rPr>
          <w:rFonts w:ascii="Times New Roman" w:hAnsi="Times New Roman" w:cs="Times New Roman"/>
          <w:szCs w:val="24"/>
          <w:lang w:val="en-US"/>
        </w:rPr>
        <w:t xml:space="preserve"> </w:t>
      </w:r>
      <w:r w:rsidRPr="00DD2D02">
        <w:rPr>
          <w:rFonts w:ascii="Times New Roman" w:hAnsi="Times New Roman" w:cs="Times New Roman"/>
          <w:szCs w:val="24"/>
        </w:rPr>
        <w:t>Atmospheric ∆</w:t>
      </w:r>
      <w:r w:rsidRPr="00DD2D02">
        <w:rPr>
          <w:rFonts w:ascii="Times New Roman" w:hAnsi="Times New Roman" w:cs="Times New Roman"/>
          <w:szCs w:val="24"/>
          <w:vertAlign w:val="superscript"/>
        </w:rPr>
        <w:t>14</w:t>
      </w:r>
      <w:r w:rsidRPr="00DD2D02">
        <w:rPr>
          <w:rFonts w:ascii="Times New Roman" w:hAnsi="Times New Roman" w:cs="Times New Roman"/>
          <w:szCs w:val="24"/>
        </w:rPr>
        <w:t>C-CO</w:t>
      </w:r>
      <w:r w:rsidRPr="00DD2D02">
        <w:rPr>
          <w:rFonts w:ascii="Times New Roman" w:hAnsi="Times New Roman" w:cs="Times New Roman"/>
          <w:szCs w:val="24"/>
          <w:vertAlign w:val="subscript"/>
        </w:rPr>
        <w:t>2</w:t>
      </w:r>
      <w:r w:rsidRPr="00DD2D02">
        <w:rPr>
          <w:rFonts w:ascii="Times New Roman" w:hAnsi="Times New Roman" w:cs="Times New Roman"/>
          <w:szCs w:val="24"/>
        </w:rPr>
        <w:t xml:space="preserve"> data are from Graven et al. (2017) up to the year 2015, while data points from 2015 to 2019 are extrapolated (Sierra, 2018</w:t>
      </w:r>
      <w:r w:rsidR="00141E5F">
        <w:rPr>
          <w:rFonts w:ascii="Times New Roman" w:hAnsi="Times New Roman" w:cs="Times New Roman"/>
          <w:szCs w:val="24"/>
        </w:rPr>
        <w:t>b</w:t>
      </w:r>
      <w:r w:rsidRPr="00DD2D02">
        <w:rPr>
          <w:rFonts w:ascii="Times New Roman" w:hAnsi="Times New Roman" w:cs="Times New Roman"/>
          <w:szCs w:val="24"/>
        </w:rPr>
        <w:t>). All atmospheric radiocarbon data is for the northern hemisphere (zone 2).</w:t>
      </w:r>
    </w:p>
    <w:p w14:paraId="1146C15A" w14:textId="77777777" w:rsidR="000A3253" w:rsidRDefault="000A3253" w:rsidP="000A3253">
      <w:pPr>
        <w:pStyle w:val="Normal1"/>
        <w:spacing w:before="240" w:after="120" w:line="360" w:lineRule="auto"/>
        <w:rPr>
          <w:rFonts w:ascii="Times New Roman" w:hAnsi="Times New Roman" w:cs="Times New Roman"/>
          <w:sz w:val="24"/>
          <w:szCs w:val="24"/>
        </w:rPr>
      </w:pPr>
      <w:r>
        <w:rPr>
          <w:rFonts w:ascii="Times New Roman" w:eastAsia="Arial Unicode MS" w:hAnsi="Times New Roman" w:cs="Times New Roman"/>
          <w:sz w:val="24"/>
          <w:szCs w:val="24"/>
        </w:rPr>
        <w:t>The relative position and shape of the modeled ∆</w:t>
      </w:r>
      <w:r w:rsidRPr="00121EF0">
        <w:rPr>
          <w:rFonts w:ascii="Times New Roman" w:eastAsia="Arial Unicode MS" w:hAnsi="Times New Roman" w:cs="Times New Roman"/>
          <w:sz w:val="24"/>
          <w:szCs w:val="24"/>
          <w:vertAlign w:val="superscript"/>
        </w:rPr>
        <w:t>14</w:t>
      </w:r>
      <w:r>
        <w:rPr>
          <w:rFonts w:ascii="Times New Roman" w:eastAsia="Arial Unicode MS" w:hAnsi="Times New Roman" w:cs="Times New Roman"/>
          <w:sz w:val="24"/>
          <w:szCs w:val="24"/>
        </w:rPr>
        <w:t xml:space="preserve">C curves in Fig. 6a are determined by both </w:t>
      </w:r>
      <w:r w:rsidRPr="00121EF0">
        <w:rPr>
          <w:rFonts w:ascii="Times New Roman" w:eastAsia="Arial Unicode MS" w:hAnsi="Times New Roman" w:cs="Times New Roman"/>
          <w:i/>
          <w:sz w:val="24"/>
          <w:szCs w:val="24"/>
        </w:rPr>
        <w:t>k</w:t>
      </w:r>
      <w:r>
        <w:rPr>
          <w:rFonts w:ascii="Times New Roman" w:eastAsia="Arial Unicode MS" w:hAnsi="Times New Roman" w:cs="Times New Roman"/>
          <w:sz w:val="24"/>
          <w:szCs w:val="24"/>
        </w:rPr>
        <w:t xml:space="preserve"> and the partitioning of inputs into the two model pools. </w:t>
      </w:r>
      <w:r>
        <w:rPr>
          <w:rFonts w:ascii="Times New Roman" w:hAnsi="Times New Roman" w:cs="Times New Roman"/>
          <w:sz w:val="24"/>
          <w:szCs w:val="24"/>
        </w:rPr>
        <w:t>T</w:t>
      </w:r>
      <w:r w:rsidRPr="00C27016">
        <w:rPr>
          <w:rFonts w:ascii="Times New Roman" w:hAnsi="Times New Roman" w:cs="Times New Roman"/>
          <w:sz w:val="24"/>
          <w:szCs w:val="24"/>
        </w:rPr>
        <w:t>he fast cycling carbon pool in Fig. 6</w:t>
      </w:r>
      <w:r>
        <w:rPr>
          <w:rFonts w:ascii="Times New Roman" w:hAnsi="Times New Roman" w:cs="Times New Roman"/>
          <w:sz w:val="24"/>
          <w:szCs w:val="24"/>
        </w:rPr>
        <w:t>a</w:t>
      </w:r>
      <w:r w:rsidRPr="00C27016">
        <w:rPr>
          <w:rFonts w:ascii="Times New Roman" w:eastAsia="Arial Unicode MS" w:hAnsi="Times New Roman" w:cs="Times New Roman"/>
          <w:sz w:val="24"/>
          <w:szCs w:val="24"/>
        </w:rPr>
        <w:t xml:space="preserve"> becomes enriched</w:t>
      </w:r>
      <w:r>
        <w:rPr>
          <w:rFonts w:ascii="Times New Roman" w:eastAsia="Arial Unicode MS" w:hAnsi="Times New Roman" w:cs="Times New Roman"/>
          <w:sz w:val="24"/>
          <w:szCs w:val="24"/>
        </w:rPr>
        <w:t xml:space="preserve"> in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Pr>
          <w:rFonts w:ascii="Times New Roman" w:hAnsi="Times New Roman" w:cs="Times New Roman"/>
          <w:sz w:val="24"/>
          <w:szCs w:val="24"/>
        </w:rPr>
        <w:t>C</w:t>
      </w:r>
      <w:r w:rsidRPr="00C27016">
        <w:rPr>
          <w:rFonts w:ascii="Times New Roman" w:eastAsia="Arial Unicode MS" w:hAnsi="Times New Roman" w:cs="Times New Roman"/>
          <w:sz w:val="24"/>
          <w:szCs w:val="24"/>
        </w:rPr>
        <w:t xml:space="preserve"> relative to the atmosphere in the mid-1970s, but as the carbon in this pool</w:t>
      </w:r>
      <w:r>
        <w:rPr>
          <w:rFonts w:ascii="Times New Roman" w:eastAsia="Arial Unicode MS" w:hAnsi="Times New Roman" w:cs="Times New Roman"/>
          <w:sz w:val="24"/>
          <w:szCs w:val="24"/>
        </w:rPr>
        <w:t xml:space="preserve"> turns over relatively quickly,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 xml:space="preserve">C then follows the decline in the atmosphere with a slight offset. </w:t>
      </w:r>
      <w:r>
        <w:rPr>
          <w:rFonts w:ascii="Times New Roman" w:eastAsia="Arial Unicode MS" w:hAnsi="Times New Roman" w:cs="Times New Roman"/>
          <w:sz w:val="24"/>
          <w:szCs w:val="24"/>
        </w:rPr>
        <w:t xml:space="preserve">In contrast,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of the slowly cycling pool does not cross the atmospheric curve (gray line, Fig. 6) until just after the year 2000, and then </w:t>
      </w:r>
      <w:r>
        <w:rPr>
          <w:rFonts w:ascii="Times New Roman" w:hAnsi="Times New Roman" w:cs="Times New Roman"/>
          <w:sz w:val="24"/>
          <w:szCs w:val="24"/>
        </w:rPr>
        <w:t>remains</w:t>
      </w:r>
      <w:r w:rsidRPr="00C27016">
        <w:rPr>
          <w:rFonts w:ascii="Times New Roman" w:hAnsi="Times New Roman" w:cs="Times New Roman"/>
          <w:sz w:val="24"/>
          <w:szCs w:val="24"/>
        </w:rPr>
        <w:t xml:space="preserve"> relatively enriched, buoyed by the presence of bomb carbon incorporated over the past several decades. Finally, </w:t>
      </w:r>
      <w:r>
        <w:rPr>
          <w:rFonts w:ascii="Times New Roman" w:hAnsi="Times New Roman" w:cs="Times New Roman"/>
          <w:sz w:val="24"/>
          <w:szCs w:val="24"/>
        </w:rPr>
        <w:t xml:space="preserve">as </w:t>
      </w:r>
      <w:r w:rsidRPr="00C27016">
        <w:rPr>
          <w:rFonts w:ascii="Times New Roman" w:hAnsi="Times New Roman" w:cs="Times New Roman"/>
          <w:sz w:val="24"/>
          <w:szCs w:val="24"/>
        </w:rPr>
        <w:t>the fast cycling soil carbon</w:t>
      </w:r>
      <w:r w:rsidRPr="00E930AA">
        <w:rPr>
          <w:rFonts w:ascii="Times New Roman" w:hAnsi="Times New Roman" w:cs="Times New Roman"/>
          <w:sz w:val="24"/>
          <w:szCs w:val="24"/>
        </w:rPr>
        <w:t xml:space="preserve"> </w:t>
      </w:r>
      <w:r w:rsidRPr="00C27016">
        <w:rPr>
          <w:rFonts w:ascii="Times New Roman" w:hAnsi="Times New Roman" w:cs="Times New Roman"/>
          <w:sz w:val="24"/>
          <w:szCs w:val="24"/>
        </w:rPr>
        <w:t xml:space="preserve">pool dominates the respiration flux, </w:t>
      </w:r>
      <w:r>
        <w:rPr>
          <w:rFonts w:ascii="Times New Roman" w:hAnsi="Times New Roman" w:cs="Times New Roman"/>
          <w:sz w:val="24"/>
          <w:szCs w:val="24"/>
        </w:rPr>
        <w:t xml:space="preserve">the shape of the respiration curve is similar to the fast pool curve but slightly dampened by the </w:t>
      </w:r>
      <w:r w:rsidRPr="00C27016">
        <w:rPr>
          <w:rFonts w:ascii="Times New Roman" w:hAnsi="Times New Roman" w:cs="Times New Roman"/>
          <w:sz w:val="24"/>
          <w:szCs w:val="24"/>
        </w:rPr>
        <w:t>contribution</w:t>
      </w:r>
      <w:r>
        <w:rPr>
          <w:rFonts w:ascii="Times New Roman" w:hAnsi="Times New Roman" w:cs="Times New Roman"/>
          <w:sz w:val="24"/>
          <w:szCs w:val="24"/>
        </w:rPr>
        <w:t xml:space="preserve"> of</w:t>
      </w:r>
      <w:r w:rsidRPr="00C27016">
        <w:rPr>
          <w:rFonts w:ascii="Times New Roman" w:hAnsi="Times New Roman" w:cs="Times New Roman"/>
          <w:sz w:val="24"/>
          <w:szCs w:val="24"/>
        </w:rPr>
        <w:t xml:space="preserve"> the slow cycling pool.</w:t>
      </w:r>
    </w:p>
    <w:p w14:paraId="2406F3C2" w14:textId="738ECE8D" w:rsidR="00643373" w:rsidRDefault="00DB6555"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Another line of evidence suggesting that t</w:t>
      </w:r>
      <w:r w:rsidR="000A3253" w:rsidRPr="00C27016">
        <w:rPr>
          <w:rFonts w:ascii="Times New Roman" w:hAnsi="Times New Roman" w:cs="Times New Roman"/>
          <w:sz w:val="24"/>
          <w:szCs w:val="24"/>
        </w:rPr>
        <w:t>he reversal of</w:t>
      </w:r>
      <w:r w:rsidR="000A3253" w:rsidRPr="00E930AA">
        <w:rPr>
          <w:rFonts w:ascii="Times New Roman" w:hAnsi="Times New Roman" w:cs="Times New Roman"/>
          <w:sz w:val="24"/>
          <w:szCs w:val="24"/>
        </w:rPr>
        <w:t xml:space="preserve"> </w:t>
      </w:r>
      <w:r w:rsidR="000A3253" w:rsidRPr="00C27016">
        <w:rPr>
          <w:rFonts w:ascii="Times New Roman" w:hAnsi="Times New Roman" w:cs="Times New Roman"/>
          <w:sz w:val="24"/>
          <w:szCs w:val="24"/>
        </w:rPr>
        <w:t xml:space="preserve">the </w:t>
      </w:r>
      <w:r w:rsidR="000A3253">
        <w:rPr>
          <w:rFonts w:ascii="Times New Roman" w:hAnsi="Times New Roman" w:cs="Times New Roman"/>
          <w:sz w:val="24"/>
          <w:szCs w:val="24"/>
        </w:rPr>
        <w:t>air-dry/rewet + storage</w:t>
      </w:r>
      <w:r w:rsidR="000A3253" w:rsidRPr="00C27016">
        <w:rPr>
          <w:rFonts w:ascii="Times New Roman" w:hAnsi="Times New Roman" w:cs="Times New Roman"/>
          <w:sz w:val="24"/>
          <w:szCs w:val="24"/>
        </w:rPr>
        <w:t xml:space="preserve"> treatment effect between 2011 and 2019 in the Central German forest soils</w:t>
      </w:r>
      <w:r w:rsidR="000A3253">
        <w:rPr>
          <w:rFonts w:ascii="Times New Roman" w:hAnsi="Times New Roman" w:cs="Times New Roman"/>
          <w:sz w:val="24"/>
          <w:szCs w:val="24"/>
        </w:rPr>
        <w:t xml:space="preserve"> observed in this study (Fig. 5 and Table 3) </w:t>
      </w:r>
      <w:r>
        <w:rPr>
          <w:rFonts w:ascii="Times New Roman" w:hAnsi="Times New Roman" w:cs="Times New Roman"/>
          <w:sz w:val="24"/>
          <w:szCs w:val="24"/>
        </w:rPr>
        <w:t>is not due to the effect of storage comes fro</w:t>
      </w:r>
      <w:r w:rsidR="00643373">
        <w:rPr>
          <w:rFonts w:ascii="Times New Roman" w:hAnsi="Times New Roman" w:cs="Times New Roman"/>
          <w:sz w:val="24"/>
          <w:szCs w:val="24"/>
        </w:rPr>
        <w:t>m</w:t>
      </w:r>
      <w:r w:rsidR="000A3253">
        <w:rPr>
          <w:rFonts w:ascii="Times New Roman" w:hAnsi="Times New Roman" w:cs="Times New Roman"/>
          <w:sz w:val="24"/>
          <w:szCs w:val="24"/>
        </w:rPr>
        <w:t xml:space="preserve"> the results of Experiment 3</w:t>
      </w:r>
      <w:r>
        <w:rPr>
          <w:rFonts w:ascii="Times New Roman" w:hAnsi="Times New Roman" w:cs="Times New Roman"/>
          <w:sz w:val="24"/>
          <w:szCs w:val="24"/>
        </w:rPr>
        <w:t>. Experiment 3</w:t>
      </w:r>
      <w:r w:rsidR="000A3253">
        <w:rPr>
          <w:rFonts w:ascii="Times New Roman" w:hAnsi="Times New Roman" w:cs="Times New Roman"/>
          <w:sz w:val="24"/>
          <w:szCs w:val="24"/>
        </w:rPr>
        <w:t xml:space="preserve"> show</w:t>
      </w:r>
      <w:r>
        <w:rPr>
          <w:rFonts w:ascii="Times New Roman" w:hAnsi="Times New Roman" w:cs="Times New Roman"/>
          <w:sz w:val="24"/>
          <w:szCs w:val="24"/>
        </w:rPr>
        <w:t>ed that storage duration does not have a strong effect</w:t>
      </w:r>
      <w:r w:rsidR="000A3253">
        <w:rPr>
          <w:rFonts w:ascii="Times New Roman" w:hAnsi="Times New Roman" w:cs="Times New Roman"/>
          <w:sz w:val="24"/>
          <w:szCs w:val="24"/>
        </w:rPr>
        <w:t xml:space="preserve"> on ∆</w:t>
      </w:r>
      <w:r w:rsidR="000A3253" w:rsidRPr="003D1D66">
        <w:rPr>
          <w:rFonts w:ascii="Times New Roman" w:hAnsi="Times New Roman" w:cs="Times New Roman"/>
          <w:sz w:val="24"/>
          <w:szCs w:val="24"/>
          <w:vertAlign w:val="superscript"/>
        </w:rPr>
        <w:t>14</w:t>
      </w:r>
      <w:r w:rsidR="000A3253">
        <w:rPr>
          <w:rFonts w:ascii="Times New Roman" w:hAnsi="Times New Roman" w:cs="Times New Roman"/>
          <w:sz w:val="24"/>
          <w:szCs w:val="24"/>
        </w:rPr>
        <w:t>C-CO</w:t>
      </w:r>
      <w:r w:rsidR="000A3253" w:rsidRPr="003D1D66">
        <w:rPr>
          <w:rFonts w:ascii="Times New Roman" w:hAnsi="Times New Roman" w:cs="Times New Roman"/>
          <w:sz w:val="24"/>
          <w:szCs w:val="24"/>
          <w:vertAlign w:val="subscript"/>
        </w:rPr>
        <w:t>2</w:t>
      </w:r>
      <w:r w:rsidR="00643373">
        <w:rPr>
          <w:rFonts w:ascii="Times New Roman" w:hAnsi="Times New Roman" w:cs="Times New Roman"/>
          <w:sz w:val="24"/>
          <w:szCs w:val="24"/>
        </w:rPr>
        <w:t xml:space="preserve"> , at least within a period of 5 to 14 y.</w:t>
      </w:r>
      <w:r w:rsidR="000A3253">
        <w:rPr>
          <w:rFonts w:ascii="Times New Roman" w:hAnsi="Times New Roman" w:cs="Times New Roman"/>
          <w:sz w:val="24"/>
          <w:szCs w:val="24"/>
        </w:rPr>
        <w:t xml:space="preserve"> </w:t>
      </w:r>
      <w:r w:rsidR="00643373">
        <w:rPr>
          <w:rFonts w:ascii="Times New Roman" w:hAnsi="Times New Roman" w:cs="Times New Roman"/>
          <w:sz w:val="24"/>
          <w:szCs w:val="24"/>
        </w:rPr>
        <w:t>below that of a fast cycling pool only slightly lagged from the atmospheric ∆</w:t>
      </w:r>
      <w:r w:rsidR="00643373" w:rsidRPr="00643373">
        <w:rPr>
          <w:rFonts w:ascii="Times New Roman" w:hAnsi="Times New Roman" w:cs="Times New Roman"/>
          <w:sz w:val="24"/>
          <w:szCs w:val="24"/>
          <w:vertAlign w:val="superscript"/>
        </w:rPr>
        <w:t>14</w:t>
      </w:r>
      <w:r w:rsidR="00643373">
        <w:rPr>
          <w:rFonts w:ascii="Times New Roman" w:hAnsi="Times New Roman" w:cs="Times New Roman"/>
          <w:sz w:val="24"/>
          <w:szCs w:val="24"/>
        </w:rPr>
        <w:t>C curve.</w:t>
      </w:r>
      <w:r w:rsidR="00BA4D9F" w:rsidRPr="00BA4D9F">
        <w:rPr>
          <w:rFonts w:ascii="Times New Roman" w:hAnsi="Times New Roman" w:cs="Times New Roman"/>
          <w:sz w:val="24"/>
          <w:szCs w:val="24"/>
        </w:rPr>
        <w:t xml:space="preserve"> </w:t>
      </w:r>
      <w:r w:rsidR="00BA4D9F">
        <w:rPr>
          <w:rFonts w:ascii="Times New Roman" w:hAnsi="Times New Roman" w:cs="Times New Roman"/>
          <w:sz w:val="24"/>
          <w:szCs w:val="24"/>
        </w:rPr>
        <w:t>Additionally, the forest soils in Experiment 3 also showed the same pattern of depletion following treatment. This result is also in line with increased contribution to respiration from a slowly cycling soil carbon pool with ∆</w:t>
      </w:r>
      <w:r w:rsidR="00BA4D9F" w:rsidRPr="00643373">
        <w:rPr>
          <w:rFonts w:ascii="Times New Roman" w:hAnsi="Times New Roman" w:cs="Times New Roman"/>
          <w:sz w:val="24"/>
          <w:szCs w:val="24"/>
          <w:vertAlign w:val="superscript"/>
        </w:rPr>
        <w:t>14</w:t>
      </w:r>
      <w:r w:rsidR="00BA4D9F">
        <w:rPr>
          <w:rFonts w:ascii="Times New Roman" w:hAnsi="Times New Roman" w:cs="Times New Roman"/>
          <w:sz w:val="24"/>
          <w:szCs w:val="24"/>
        </w:rPr>
        <w:t>C</w:t>
      </w:r>
    </w:p>
    <w:p w14:paraId="62744A2C" w14:textId="18D38035" w:rsidR="000A3253" w:rsidRDefault="00BA4D9F"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We suggest that t</w:t>
      </w:r>
      <w:r w:rsidR="000A3253">
        <w:rPr>
          <w:rFonts w:ascii="Times New Roman" w:hAnsi="Times New Roman" w:cs="Times New Roman"/>
          <w:sz w:val="24"/>
          <w:szCs w:val="24"/>
        </w:rPr>
        <w:t>he increased slow pool contribution scenario depicted in Fig. 6b provides an alternati</w:t>
      </w:r>
      <w:r>
        <w:rPr>
          <w:rFonts w:ascii="Times New Roman" w:hAnsi="Times New Roman" w:cs="Times New Roman"/>
          <w:sz w:val="24"/>
          <w:szCs w:val="24"/>
        </w:rPr>
        <w:t>ve explanation for the reversal, and explains the effect of air-drying and rewetting on the ∆</w:t>
      </w:r>
      <w:r w:rsidRPr="008A419F">
        <w:rPr>
          <w:rFonts w:ascii="Times New Roman" w:hAnsi="Times New Roman" w:cs="Times New Roman"/>
          <w:sz w:val="24"/>
          <w:szCs w:val="24"/>
          <w:vertAlign w:val="superscript"/>
        </w:rPr>
        <w:t>14</w:t>
      </w:r>
      <w:r>
        <w:rPr>
          <w:rFonts w:ascii="Times New Roman" w:hAnsi="Times New Roman" w:cs="Times New Roman"/>
          <w:sz w:val="24"/>
          <w:szCs w:val="24"/>
        </w:rPr>
        <w:t>C of respired CO</w:t>
      </w:r>
      <w:r w:rsidRPr="008A419F">
        <w:rPr>
          <w:rFonts w:ascii="Times New Roman" w:hAnsi="Times New Roman" w:cs="Times New Roman"/>
          <w:sz w:val="24"/>
          <w:szCs w:val="24"/>
          <w:vertAlign w:val="subscript"/>
        </w:rPr>
        <w:t>2</w:t>
      </w:r>
      <w:r>
        <w:rPr>
          <w:rFonts w:ascii="Times New Roman" w:hAnsi="Times New Roman" w:cs="Times New Roman"/>
          <w:sz w:val="24"/>
          <w:szCs w:val="24"/>
        </w:rPr>
        <w:t xml:space="preserve"> in incubations of air-dried soils. For this scenario to apply in the context of this study,</w:t>
      </w:r>
      <w:r w:rsidR="000A3253">
        <w:rPr>
          <w:rFonts w:ascii="Times New Roman" w:hAnsi="Times New Roman" w:cs="Times New Roman"/>
          <w:sz w:val="24"/>
          <w:szCs w:val="24"/>
        </w:rPr>
        <w:t xml:space="preserve"> the </w:t>
      </w:r>
      <w:r>
        <w:rPr>
          <w:rFonts w:ascii="Times New Roman" w:hAnsi="Times New Roman" w:cs="Times New Roman"/>
          <w:sz w:val="24"/>
          <w:szCs w:val="24"/>
        </w:rPr>
        <w:t xml:space="preserve">mean </w:t>
      </w:r>
      <w:r w:rsidR="000A3253">
        <w:rPr>
          <w:rFonts w:ascii="Times New Roman" w:hAnsi="Times New Roman" w:cs="Times New Roman"/>
          <w:sz w:val="24"/>
          <w:szCs w:val="24"/>
        </w:rPr>
        <w:t xml:space="preserve">relative </w:t>
      </w:r>
      <w:r>
        <w:rPr>
          <w:rFonts w:ascii="Times New Roman" w:hAnsi="Times New Roman" w:cs="Times New Roman"/>
          <w:sz w:val="24"/>
          <w:szCs w:val="24"/>
        </w:rPr>
        <w:t>∆</w:t>
      </w:r>
      <w:r w:rsidR="000A3253" w:rsidRPr="00CC7839">
        <w:rPr>
          <w:rFonts w:ascii="Times New Roman" w:hAnsi="Times New Roman" w:cs="Times New Roman"/>
          <w:sz w:val="24"/>
          <w:szCs w:val="24"/>
          <w:vertAlign w:val="superscript"/>
        </w:rPr>
        <w:t>14</w:t>
      </w:r>
      <w:r w:rsidR="000A3253">
        <w:rPr>
          <w:rFonts w:ascii="Times New Roman" w:hAnsi="Times New Roman" w:cs="Times New Roman"/>
          <w:sz w:val="24"/>
          <w:szCs w:val="24"/>
        </w:rPr>
        <w:t xml:space="preserve">C enrichment of the fast and slow cycling carbon pools at the Hainich-Dün forest sites must have switched between 2011 and 2019 as they did between 1991 and 2019 in the conceptual model (i.e. the crossing of the slow and fast model pool curves, Fig. 6). </w:t>
      </w:r>
      <w:r>
        <w:rPr>
          <w:rFonts w:ascii="Times New Roman" w:hAnsi="Times New Roman" w:cs="Times New Roman"/>
          <w:sz w:val="24"/>
          <w:szCs w:val="24"/>
        </w:rPr>
        <w:t>Given that we paratmeterized the model using data collected from this site, this seems plausible.</w:t>
      </w:r>
    </w:p>
    <w:p w14:paraId="224E67D5" w14:textId="4B2F743C" w:rsidR="000A3253" w:rsidRDefault="000A3253"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 xml:space="preserve">In contrast to the forest soils, the grassland samples analyzed </w:t>
      </w:r>
      <w:r w:rsidRPr="00C27016">
        <w:rPr>
          <w:rFonts w:ascii="Times New Roman" w:hAnsi="Times New Roman" w:cs="Times New Roman"/>
          <w:sz w:val="24"/>
          <w:szCs w:val="24"/>
        </w:rPr>
        <w:t xml:space="preserve">from the </w:t>
      </w:r>
      <w:r>
        <w:rPr>
          <w:rFonts w:ascii="Times New Roman" w:hAnsi="Times New Roman" w:cs="Times New Roman"/>
          <w:sz w:val="24"/>
          <w:szCs w:val="24"/>
        </w:rPr>
        <w:t xml:space="preserve">same region show enrichment of a similar magnitude in response to both the air-dry/rewet + storage treatment in 2011 and the air-dry/rewet treatment in 2019, providing more evidence that storage </w:t>
      </w:r>
      <w:r w:rsidR="008D5CBD">
        <w:rPr>
          <w:rFonts w:ascii="Times New Roman" w:hAnsi="Times New Roman" w:cs="Times New Roman"/>
          <w:sz w:val="24"/>
          <w:szCs w:val="24"/>
        </w:rPr>
        <w:t>does not affect</w:t>
      </w:r>
      <w:r>
        <w:rPr>
          <w:rFonts w:ascii="Times New Roman" w:hAnsi="Times New Roman" w:cs="Times New Roman"/>
          <w:sz w:val="24"/>
          <w:szCs w:val="24"/>
        </w:rPr>
        <w:t xml:space="preserve"> the reversal observed in the forest soils. If we apply the conceptual model in Fig. 6 to the results from the grassland soils, the data suggest that either carbon is being mobilized from a slowly cycling carbon pool that had already become more enriched than the faster cycling pool prior to 2011, or that the air-drying and rewetting treatment is mobilizing faster cycling carbon in grassland soils</w:t>
      </w:r>
      <w:r w:rsidR="00AE5514">
        <w:rPr>
          <w:rFonts w:ascii="Times New Roman" w:hAnsi="Times New Roman" w:cs="Times New Roman"/>
          <w:sz w:val="24"/>
          <w:szCs w:val="24"/>
        </w:rPr>
        <w:t xml:space="preserve"> but not forest soils</w:t>
      </w:r>
      <w:r>
        <w:rPr>
          <w:rFonts w:ascii="Times New Roman" w:hAnsi="Times New Roman" w:cs="Times New Roman"/>
          <w:sz w:val="24"/>
          <w:szCs w:val="24"/>
        </w:rPr>
        <w:t>. The more parsimonius explanation is that the air-drying and rewetting treatment</w:t>
      </w:r>
      <w:r w:rsidRPr="00C27016">
        <w:rPr>
          <w:rFonts w:ascii="Times New Roman" w:hAnsi="Times New Roman" w:cs="Times New Roman"/>
          <w:sz w:val="24"/>
          <w:szCs w:val="24"/>
        </w:rPr>
        <w:t xml:space="preserve"> is </w:t>
      </w:r>
      <w:r>
        <w:rPr>
          <w:rFonts w:ascii="Times New Roman" w:hAnsi="Times New Roman" w:cs="Times New Roman"/>
          <w:sz w:val="24"/>
          <w:szCs w:val="24"/>
        </w:rPr>
        <w:t>mobilizing additional carbon from a more slowly cycling pool in both forest and grassland soils</w:t>
      </w:r>
      <w:r w:rsidRPr="00C27016">
        <w:rPr>
          <w:rFonts w:ascii="Times New Roman" w:hAnsi="Times New Roman" w:cs="Times New Roman"/>
          <w:sz w:val="24"/>
          <w:szCs w:val="24"/>
        </w:rPr>
        <w:t xml:space="preserve">, but with different effects </w:t>
      </w:r>
      <w:r>
        <w:rPr>
          <w:rFonts w:ascii="Times New Roman" w:hAnsi="Times New Roman" w:cs="Times New Roman"/>
          <w:sz w:val="24"/>
          <w:szCs w:val="24"/>
        </w:rPr>
        <w:t>on ∆</w:t>
      </w:r>
      <w:r w:rsidRPr="00850AE6">
        <w:rPr>
          <w:rFonts w:ascii="Times New Roman" w:hAnsi="Times New Roman" w:cs="Times New Roman"/>
          <w:sz w:val="24"/>
          <w:szCs w:val="24"/>
          <w:vertAlign w:val="superscript"/>
        </w:rPr>
        <w:t>14</w:t>
      </w:r>
      <w:r>
        <w:rPr>
          <w:rFonts w:ascii="Times New Roman" w:hAnsi="Times New Roman" w:cs="Times New Roman"/>
          <w:sz w:val="24"/>
          <w:szCs w:val="24"/>
        </w:rPr>
        <w:t>C-CO</w:t>
      </w:r>
      <w:r w:rsidRPr="00850AE6">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C27016">
        <w:rPr>
          <w:rFonts w:ascii="Times New Roman" w:hAnsi="Times New Roman" w:cs="Times New Roman"/>
          <w:sz w:val="24"/>
          <w:szCs w:val="24"/>
        </w:rPr>
        <w:t>due to differences in relative cycling rates of carbon in forest versus grassland ecosystems.</w:t>
      </w:r>
    </w:p>
    <w:p w14:paraId="34F214CC" w14:textId="77777777" w:rsidR="000A3253" w:rsidRPr="00C27016" w:rsidRDefault="000A3253"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ab/>
        <w:t>4.3. Potential role of pre-aged C inputs in forest versus grassland soils</w:t>
      </w:r>
    </w:p>
    <w:p w14:paraId="46149559" w14:textId="39389E08" w:rsidR="000A3253" w:rsidRDefault="000A3253" w:rsidP="000A3253">
      <w:pPr>
        <w:pStyle w:val="Normal1"/>
        <w:spacing w:before="240" w:after="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 xml:space="preserve">A key difference in carbon cycling between forest and grassland ecosystems is the potential for carbon storage in woody tissues after it is fixed from the atmosphere </w:t>
      </w:r>
      <w:r w:rsidRPr="00C27016">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ADDIN CSL_CITATION {"citationItems":[{"id":"ITEM-1","itemData":{"DOI":"10.1023/A:1006301010014","ISBN":"0168-2563","ISSN":"1573-515X","PMID":"64","abstract":"Temperate forests of North America are thought to be significant sinks of atmospheric CO2. We developed a below-ground carbon (C) budget for well-drained soils in Harvard Forest Massachusetts, an ecosystem that is storing C. Measurements of carbon and radiocarbon (C-14) inventory were used to determine the turnover time and maximum rate of CO2 production from heterotrophic respiration of three fractions of soil organic matter (SOM): recognizable litter fragments (L), humified low density material (H), and high density or mineral-associated organic matter (M). Turnover times in all fractions increased with soil depth and were 2-5 years for recognizable leaf litter, 5-10 years for root litter, 40-100+ years for low density humified material and &gt; 100 years for carbon associated with minerals. These turnover times represent the time carbon resides in the plant + soil system, and may underestimate actual decomposition rates if carbon resides for several years in living root, plant or woody material. Soil respiration was partitioned into two components using C-14: recent photosynthate which is metabolized by roots and microorganisms within a year of initial fixation (Recent-C), and C that is respired during microbial decomposition of SOM that resides in the soil for several years or longer (Reservoir-C). For the whole soil, we calculate that decomposition of Reservoir-C contributes approximately 41% of the total annual soil respiration. Of this 41%, recognizable leaf or root detritus accounts for 80% of the flux, and 20% is from the more humified fractions that dominate the soil carbon stocks. Measurements of CO2 and (CO2)-C-14 in the soil atmosphere and in total soil respiration were combined with surface CO2 fluxes and a soil gas diffusion model to determine the flux and isotopic signature of C produced as a function of soil depth. 63% of soil respiration takes place in the top 15 cm of the soil (O + A + Ap horizons). The average residence time of Reservoir-C in the plant + soil system is 8 +/- 1 years and the average age of carbon in total soil respiration (Recent-C + Reservoir-C) is 4 +/- 1 years. The O and A horizons have accumulated 4.4 kgC m(-2) above the plow layer since abandonment by settlers in the late-1800's. C pools contributing the most to soil respiration have short enough turnover times that they are likely in steady state. However, most C is stored as humified organic matter within both the O and A horizons and has turnover times from 40 to…","author":[{"dropping-particle":"","family":"Gaudinski","given":"Julia B.","non-dropping-particle":"","parse-names":false,"suffix":""},{"dropping-particle":"","family":"Trumbore","given":"Susan E.","non-dropping-particle":"","parse-names":false,"suffix":""},{"dropping-particle":"","family":"Davidson","given":"Eric A.","non-dropping-particle":"","parse-names":false,"suffix":""},{"dropping-particle":"","family":"Zheng","given":"Shuhui","non-dropping-particle":"","parse-names":false,"suffix":""}],"container-title":"Biogeochemistry","id":"ITEM-1","issued":{"date-parts":[["2000"]]},"page":"33-69","title":"Soil carbon cycling in a temperate forest: radiocarbon-based estimates of residence times, sequestration rates and partitioning of fluxes","type":"article-journal","volume":"51"},"uris":["http://www.mendeley.com/documents/?uuid=773c572f-e43f-4b1b-8ffd-4edf555b742f","http://www.mendeley.com/documents/?uuid=d4bafb09-754c-4b5c-a8fb-3d3b3172dbff"]}],"mendeley":{"formattedCitation":"(Gaudinski et al., 2000)","plainTextFormattedCitation":"(Gaudinski et al., 2000)","previouslyFormattedCitation":"(Gaudinski et al., 2000)"},"properties":{"noteIndex":0},"schema":"https://github.com/citation-style-language/schema/raw/master/csl-citation.json"}</w:instrText>
      </w:r>
      <w:r w:rsidRPr="00C27016">
        <w:rPr>
          <w:rFonts w:ascii="Times New Roman" w:eastAsia="Arial Unicode MS" w:hAnsi="Times New Roman" w:cs="Times New Roman"/>
          <w:sz w:val="24"/>
          <w:szCs w:val="24"/>
        </w:rPr>
        <w:fldChar w:fldCharType="separate"/>
      </w:r>
      <w:r w:rsidRPr="00C27016">
        <w:rPr>
          <w:rFonts w:ascii="Times New Roman" w:eastAsia="Arial Unicode MS" w:hAnsi="Times New Roman" w:cs="Times New Roman"/>
          <w:noProof/>
          <w:sz w:val="24"/>
          <w:szCs w:val="24"/>
        </w:rPr>
        <w:t>(Gaudinski et al., 2000)</w:t>
      </w:r>
      <w:r w:rsidRPr="00C27016">
        <w:rPr>
          <w:rFonts w:ascii="Times New Roman" w:eastAsia="Arial Unicode MS" w:hAnsi="Times New Roman" w:cs="Times New Roman"/>
          <w:sz w:val="24"/>
          <w:szCs w:val="24"/>
        </w:rPr>
        <w:fldChar w:fldCharType="end"/>
      </w:r>
      <w:r w:rsidRPr="00C27016">
        <w:rPr>
          <w:rFonts w:ascii="Times New Roman" w:eastAsia="Arial Unicode MS" w:hAnsi="Times New Roman" w:cs="Times New Roman"/>
          <w:sz w:val="24"/>
          <w:szCs w:val="24"/>
        </w:rPr>
        <w:t xml:space="preserve">. Carbon entering the soil in forest ecosystems may be “pre-aged” compared to inputs in grassland ecosystems. Earlier work in some of the same </w:t>
      </w:r>
      <w:r w:rsidR="0039723B">
        <w:rPr>
          <w:rFonts w:ascii="Times New Roman" w:eastAsia="Arial Unicode MS" w:hAnsi="Times New Roman" w:cs="Times New Roman"/>
          <w:sz w:val="24"/>
          <w:szCs w:val="24"/>
        </w:rPr>
        <w:t xml:space="preserve">Central German </w:t>
      </w:r>
      <w:r w:rsidRPr="00C27016">
        <w:rPr>
          <w:rFonts w:ascii="Times New Roman" w:eastAsia="Arial Unicode MS" w:hAnsi="Times New Roman" w:cs="Times New Roman"/>
          <w:sz w:val="24"/>
          <w:szCs w:val="24"/>
        </w:rPr>
        <w:t xml:space="preserve">forest and grassland ecosystems analyzed in this study (the Hainich-Dün and Schorfheide-Chorin regions) provides support for the pre-ageing of carbon in forest ecosystems: Solly et al. </w:t>
      </w:r>
      <w:r w:rsidRPr="00C27016">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ADDIN CSL_CITATION {"citationItems":[{"id":"ITEM-1","itemData":{"DOI":"10.5194/bg-10-4833-2013","ISSN":"17264170","abstract":"Fine roots are the most dynamic portion of a plant's root system and a major source of soil organic matter. By altering plant species diversity and composition, soil conditions and nutrient availability, and consequently belowground allocation and dynamics of root carbon (C) inputs, land-use and management changes may influence organic C storage in terrestrial ecosystems. In three German regions, we measured fine root radiocarbon (14C) content to estimate the mean time since C in root tissues was fixed from the atmosphere in 54 grassland and forest plots with different management and soil conditions. Although root biomass was on average greater in grasslands 5.1 ± 0.8 g (mean ± SE, Combining double low line 27) than in forests 3.1 ± 0.5 g (n Combining double low line 27) (p/0.05), the mean age of C in fine roots in forests averaged 11.3 ± 1.8 yr and was older and more variable compared to grasslands 1.7 ± 0.4 yr (ip &lt; 0.001). We further found that management affects the mean age of fine root C in temperate grasslands mediated by changes in plant species diversity and composition. Fine root mean C age is positively correlated with plant diversity (Combining double low line 0.65) and with the number of perennial species ( Combining double low line 0.77). Fine root mean C age in grasslands was also affected by study region with averages of 0.7 ± 0.1 yr ( Combining double low line 9) on mostly organic soils in northern Germany and of 1.8 ± 0.3 yr (n Combining double low line 9) and 2.6 ± 0.3 (n/Combining double low line 9) in central and southern Germany (ip/i0.05). This was probably due to differences in soil nutrient contents and soil moisture conditions between study regions, which affected plant species diversity and the presence of perennial species. Our results indicate more long-lived roots or internal redistribution of C in perennial species and suggest linkages between fine root C age and management in grasslands. These findings improve our ability to predict and model belowground C fluxes across broader spatial scales. © 2012 Author(s).","author":[{"dropping-particle":"","family":"Solly","given":"E.","non-dropping-particle":"","parse-names":false,"suffix":""},{"dropping-particle":"","family":"Schöning","given":"I.","non-dropping-particle":"","parse-names":false,"suffix":""},{"dropping-particle":"","family":"Boch","given":"S.","non-dropping-particle":"","parse-names":false,"suffix":""},{"dropping-particle":"","family":"Müller","given":"J.","non-dropping-particle":"","parse-names":false,"suffix":""},{"dropping-particle":"","family":"Socher","given":"S. A.","non-dropping-particle":"","parse-names":false,"suffix":""},{"dropping-particle":"","family":"Trumbore","given":"S. E.","non-dropping-particle":"","parse-names":false,"suffix":""},{"dropping-particle":"","family":"Schrumpf","given":"M.","non-dropping-particle":"","parse-names":false,"suffix":""}],"container-title":"Biogeosciences","id":"ITEM-1","issue":"7","issued":{"date-parts":[["2013"]]},"page":"4833-4843","title":"Mean age of carbon in fine roots from temperate forests and grasslands with different management","type":"article-journal","volume":"10"},"uris":["http://www.mendeley.com/documents/?uuid=d5728cd7-b31a-4ded-ad89-184a3d038660","http://www.mendeley.com/documents/?uuid=eaea192c-4ac3-46ac-b6ce-1c9faf6587c9"]}],"mendeley":{"formattedCitation":"(Solly et al., 2013)","manualFormatting":"(2013)","plainTextFormattedCitation":"(Solly et al., 2013)","previouslyFormattedCitation":"(Solly et al., 2013)"},"properties":{"noteIndex":0},"schema":"https://github.com/citation-style-language/schema/raw/master/csl-citation.json"}</w:instrText>
      </w:r>
      <w:r w:rsidRPr="00C27016">
        <w:rPr>
          <w:rFonts w:ascii="Times New Roman" w:eastAsia="Arial Unicode MS" w:hAnsi="Times New Roman" w:cs="Times New Roman"/>
          <w:sz w:val="24"/>
          <w:szCs w:val="24"/>
        </w:rPr>
        <w:fldChar w:fldCharType="separate"/>
      </w:r>
      <w:r w:rsidRPr="00C27016">
        <w:rPr>
          <w:rFonts w:ascii="Times New Roman" w:eastAsia="Arial Unicode MS" w:hAnsi="Times New Roman" w:cs="Times New Roman"/>
          <w:noProof/>
          <w:sz w:val="24"/>
          <w:szCs w:val="24"/>
        </w:rPr>
        <w:t>(2013)</w:t>
      </w:r>
      <w:r w:rsidRPr="00C27016">
        <w:rPr>
          <w:rFonts w:ascii="Times New Roman" w:eastAsia="Arial Unicode MS" w:hAnsi="Times New Roman" w:cs="Times New Roman"/>
          <w:sz w:val="24"/>
          <w:szCs w:val="24"/>
        </w:rPr>
        <w:fldChar w:fldCharType="end"/>
      </w:r>
      <w:r w:rsidRPr="00C27016">
        <w:rPr>
          <w:rFonts w:ascii="Times New Roman" w:eastAsia="Arial Unicode MS" w:hAnsi="Times New Roman" w:cs="Times New Roman"/>
          <w:sz w:val="24"/>
          <w:szCs w:val="24"/>
        </w:rPr>
        <w:t xml:space="preserve"> found the mean age of the carbon in fine roots in</w:t>
      </w:r>
      <w:r w:rsidRPr="004D6009">
        <w:rPr>
          <w:rFonts w:ascii="Times New Roman" w:eastAsia="Arial Unicode MS" w:hAnsi="Times New Roman" w:cs="Times New Roman"/>
          <w:sz w:val="24"/>
          <w:szCs w:val="24"/>
        </w:rPr>
        <w:t xml:space="preserve"> </w:t>
      </w:r>
      <w:r w:rsidRPr="00C27016">
        <w:rPr>
          <w:rFonts w:ascii="Times New Roman" w:eastAsia="Arial Unicode MS" w:hAnsi="Times New Roman" w:cs="Times New Roman"/>
          <w:sz w:val="24"/>
          <w:szCs w:val="24"/>
        </w:rPr>
        <w:t>the forest ecosystems to be approximately 10 y, in comparison to 1 to 2 y for fine roots in the</w:t>
      </w:r>
      <w:r w:rsidRPr="00915EB6">
        <w:rPr>
          <w:rFonts w:ascii="Times New Roman" w:eastAsia="Arial Unicode MS" w:hAnsi="Times New Roman" w:cs="Times New Roman"/>
          <w:sz w:val="24"/>
          <w:szCs w:val="24"/>
        </w:rPr>
        <w:t xml:space="preserve"> </w:t>
      </w:r>
      <w:r w:rsidRPr="00C27016">
        <w:rPr>
          <w:rFonts w:ascii="Times New Roman" w:eastAsia="Arial Unicode MS" w:hAnsi="Times New Roman" w:cs="Times New Roman"/>
          <w:sz w:val="24"/>
          <w:szCs w:val="24"/>
        </w:rPr>
        <w:t>grassland ecosystems. This pre-aging, or lag effect, for fine root inputs may explain the greater ∆∆</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C values seen for the respiration from forest ecosystems as compared to the grassland ecosystems in this study (Table 3). Additionally, a greater lag in forest systems would also mean that the crossing point for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curves of the slow and fast cycling soil carbon pools (e.g. the blue and magenta lines in Fig. 6), would be later in time relative to grassland soils. Again, if the</w:t>
      </w:r>
      <w:r w:rsidRPr="00915EB6">
        <w:rPr>
          <w:rFonts w:ascii="Times New Roman" w:hAnsi="Times New Roman" w:cs="Times New Roman"/>
          <w:sz w:val="24"/>
          <w:szCs w:val="24"/>
        </w:rPr>
        <w:t xml:space="preserve"> </w:t>
      </w:r>
      <w:r w:rsidRPr="00C27016">
        <w:rPr>
          <w:rFonts w:ascii="Times New Roman" w:hAnsi="Times New Roman" w:cs="Times New Roman"/>
          <w:sz w:val="24"/>
          <w:szCs w:val="24"/>
        </w:rPr>
        <w:t>fast and slow soil carbon pool curves crossed between 2011 and 2019 for the forest soils, but had already crossed by 2011 in the grassland soils, this would explain the differences in the treatment responses observed in this study between the two ecosystem types.</w:t>
      </w:r>
      <w:r w:rsidR="004916A8">
        <w:rPr>
          <w:rFonts w:ascii="Times New Roman" w:hAnsi="Times New Roman" w:cs="Times New Roman"/>
          <w:sz w:val="24"/>
          <w:szCs w:val="24"/>
        </w:rPr>
        <w:t xml:space="preserve"> This could be tested by comparing the ∆</w:t>
      </w:r>
      <w:r w:rsidR="004916A8" w:rsidRPr="00451048">
        <w:rPr>
          <w:rFonts w:ascii="Times New Roman" w:hAnsi="Times New Roman" w:cs="Times New Roman"/>
          <w:sz w:val="24"/>
          <w:szCs w:val="24"/>
          <w:vertAlign w:val="superscript"/>
        </w:rPr>
        <w:t>14</w:t>
      </w:r>
      <w:r w:rsidR="004916A8">
        <w:rPr>
          <w:rFonts w:ascii="Times New Roman" w:hAnsi="Times New Roman" w:cs="Times New Roman"/>
          <w:sz w:val="24"/>
          <w:szCs w:val="24"/>
        </w:rPr>
        <w:t xml:space="preserve">C of empirically defined “fast” and “slow” carbon pools over this time period relative to observed </w:t>
      </w:r>
      <w:r w:rsidR="00451048">
        <w:rPr>
          <w:rFonts w:ascii="Times New Roman" w:hAnsi="Times New Roman" w:cs="Times New Roman"/>
          <w:sz w:val="24"/>
          <w:szCs w:val="24"/>
        </w:rPr>
        <w:t>∆</w:t>
      </w:r>
      <w:r w:rsidR="004916A8" w:rsidRPr="00451048">
        <w:rPr>
          <w:rFonts w:ascii="Times New Roman" w:hAnsi="Times New Roman" w:cs="Times New Roman"/>
          <w:sz w:val="24"/>
          <w:szCs w:val="24"/>
          <w:vertAlign w:val="superscript"/>
        </w:rPr>
        <w:t>14</w:t>
      </w:r>
      <w:r w:rsidR="004916A8">
        <w:rPr>
          <w:rFonts w:ascii="Times New Roman" w:hAnsi="Times New Roman" w:cs="Times New Roman"/>
          <w:sz w:val="24"/>
          <w:szCs w:val="24"/>
        </w:rPr>
        <w:t>C-CO</w:t>
      </w:r>
      <w:r w:rsidR="004916A8" w:rsidRPr="00451048">
        <w:rPr>
          <w:rFonts w:ascii="Times New Roman" w:hAnsi="Times New Roman" w:cs="Times New Roman"/>
          <w:sz w:val="24"/>
          <w:szCs w:val="24"/>
          <w:vertAlign w:val="subscript"/>
        </w:rPr>
        <w:t>2</w:t>
      </w:r>
      <w:r w:rsidR="004916A8">
        <w:rPr>
          <w:rFonts w:ascii="Times New Roman" w:hAnsi="Times New Roman" w:cs="Times New Roman"/>
          <w:sz w:val="24"/>
          <w:szCs w:val="24"/>
        </w:rPr>
        <w:t>, e.g. free light particulate organic matter and min</w:t>
      </w:r>
      <w:r w:rsidR="00451048">
        <w:rPr>
          <w:rFonts w:ascii="Times New Roman" w:hAnsi="Times New Roman" w:cs="Times New Roman"/>
          <w:sz w:val="24"/>
          <w:szCs w:val="24"/>
        </w:rPr>
        <w:t>eral associated organic matter. However, this is beyond the scope of this study.</w:t>
      </w:r>
    </w:p>
    <w:p w14:paraId="34804B5D" w14:textId="052F41F4" w:rsidR="000A3253" w:rsidRPr="00C27016" w:rsidRDefault="00EB571D" w:rsidP="000A3253">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ab/>
        <w:t>4.4.</w:t>
      </w:r>
      <w:r w:rsidR="000A3253">
        <w:rPr>
          <w:rFonts w:ascii="Times New Roman" w:hAnsi="Times New Roman" w:cs="Times New Roman"/>
          <w:sz w:val="24"/>
          <w:szCs w:val="24"/>
        </w:rPr>
        <w:t xml:space="preserve"> ∆</w:t>
      </w:r>
      <w:r w:rsidR="000A3253" w:rsidRPr="00EB65FB">
        <w:rPr>
          <w:rFonts w:ascii="Times New Roman" w:hAnsi="Times New Roman" w:cs="Times New Roman"/>
          <w:sz w:val="24"/>
          <w:szCs w:val="24"/>
          <w:vertAlign w:val="superscript"/>
        </w:rPr>
        <w:t>14</w:t>
      </w:r>
      <w:r w:rsidR="000A3253">
        <w:rPr>
          <w:rFonts w:ascii="Times New Roman" w:hAnsi="Times New Roman" w:cs="Times New Roman"/>
          <w:sz w:val="24"/>
          <w:szCs w:val="24"/>
        </w:rPr>
        <w:t>C-CO</w:t>
      </w:r>
      <w:r w:rsidR="000A3253" w:rsidRPr="00EB65FB">
        <w:rPr>
          <w:rFonts w:ascii="Times New Roman" w:hAnsi="Times New Roman" w:cs="Times New Roman"/>
          <w:sz w:val="24"/>
          <w:szCs w:val="24"/>
          <w:vertAlign w:val="subscript"/>
        </w:rPr>
        <w:t>2</w:t>
      </w:r>
      <w:r w:rsidR="000A3253">
        <w:rPr>
          <w:rFonts w:ascii="Times New Roman" w:hAnsi="Times New Roman" w:cs="Times New Roman"/>
          <w:sz w:val="24"/>
          <w:szCs w:val="24"/>
        </w:rPr>
        <w:t xml:space="preserve"> of the rewetting pulse versus </w:t>
      </w:r>
      <w:r w:rsidR="00524589">
        <w:rPr>
          <w:rFonts w:ascii="Times New Roman" w:hAnsi="Times New Roman" w:cs="Times New Roman"/>
          <w:sz w:val="24"/>
          <w:szCs w:val="24"/>
        </w:rPr>
        <w:t>the second enclosure period</w:t>
      </w:r>
    </w:p>
    <w:p w14:paraId="40A2CE12" w14:textId="1BFD7E89" w:rsidR="00524589" w:rsidRDefault="00EB571D" w:rsidP="00524589">
      <w:pPr>
        <w:pStyle w:val="Normal1"/>
        <w:spacing w:before="240" w:after="120" w:line="360" w:lineRule="auto"/>
        <w:rPr>
          <w:rFonts w:ascii="Times New Roman" w:hAnsi="Times New Roman" w:cs="Times New Roman"/>
          <w:sz w:val="24"/>
          <w:szCs w:val="24"/>
        </w:rPr>
      </w:pPr>
      <w:r>
        <w:rPr>
          <w:rFonts w:ascii="Times New Roman" w:eastAsia="Arial Unicode MS" w:hAnsi="Times New Roman" w:cs="Times New Roman"/>
          <w:sz w:val="24"/>
          <w:szCs w:val="24"/>
        </w:rPr>
        <w:t xml:space="preserve">We </w:t>
      </w:r>
      <w:r w:rsidR="000A3253" w:rsidRPr="00C27016">
        <w:rPr>
          <w:rFonts w:ascii="Times New Roman" w:eastAsia="Arial Unicode MS" w:hAnsi="Times New Roman" w:cs="Times New Roman"/>
          <w:sz w:val="24"/>
          <w:szCs w:val="24"/>
        </w:rPr>
        <w:t>h</w:t>
      </w:r>
      <w:r>
        <w:rPr>
          <w:rFonts w:ascii="Times New Roman" w:eastAsia="Arial Unicode MS" w:hAnsi="Times New Roman" w:cs="Times New Roman"/>
          <w:sz w:val="24"/>
          <w:szCs w:val="24"/>
        </w:rPr>
        <w:t xml:space="preserve">ypothesized that </w:t>
      </w:r>
      <w:r w:rsidR="000A3253" w:rsidRPr="00C27016">
        <w:rPr>
          <w:rFonts w:ascii="Times New Roman" w:hAnsi="Times New Roman" w:cs="Times New Roman"/>
          <w:sz w:val="24"/>
          <w:szCs w:val="24"/>
        </w:rPr>
        <w:t>the CO</w:t>
      </w:r>
      <w:r w:rsidR="000A3253" w:rsidRPr="00C27016">
        <w:rPr>
          <w:rFonts w:ascii="Times New Roman" w:hAnsi="Times New Roman" w:cs="Times New Roman"/>
          <w:sz w:val="24"/>
          <w:szCs w:val="24"/>
          <w:vertAlign w:val="subscript"/>
        </w:rPr>
        <w:t>2</w:t>
      </w:r>
      <w:r w:rsidR="000A3253" w:rsidRPr="00C27016">
        <w:rPr>
          <w:rFonts w:ascii="Times New Roman" w:hAnsi="Times New Roman" w:cs="Times New Roman"/>
          <w:sz w:val="24"/>
          <w:szCs w:val="24"/>
        </w:rPr>
        <w:t xml:space="preserve"> released immediately</w:t>
      </w:r>
      <w:r>
        <w:rPr>
          <w:rFonts w:ascii="Times New Roman" w:hAnsi="Times New Roman" w:cs="Times New Roman"/>
          <w:sz w:val="24"/>
          <w:szCs w:val="24"/>
        </w:rPr>
        <w:t xml:space="preserve"> following moisture adjustment, i.e. the rewetting pulse, would </w:t>
      </w:r>
      <w:r w:rsidR="000A3253" w:rsidRPr="00C27016">
        <w:rPr>
          <w:rFonts w:ascii="Times New Roman" w:hAnsi="Times New Roman" w:cs="Times New Roman"/>
          <w:sz w:val="24"/>
          <w:szCs w:val="24"/>
        </w:rPr>
        <w:t>be older than the CO</w:t>
      </w:r>
      <w:r w:rsidR="000A3253" w:rsidRPr="00C27016">
        <w:rPr>
          <w:rFonts w:ascii="Times New Roman" w:hAnsi="Times New Roman" w:cs="Times New Roman"/>
          <w:sz w:val="24"/>
          <w:szCs w:val="24"/>
          <w:vertAlign w:val="subscript"/>
        </w:rPr>
        <w:t>2</w:t>
      </w:r>
      <w:r w:rsidR="000A3253" w:rsidRPr="00C27016">
        <w:rPr>
          <w:rFonts w:ascii="Times New Roman" w:eastAsia="Arial Unicode MS" w:hAnsi="Times New Roman" w:cs="Times New Roman"/>
          <w:sz w:val="24"/>
          <w:szCs w:val="24"/>
        </w:rPr>
        <w:t xml:space="preserve"> released during</w:t>
      </w:r>
      <w:r>
        <w:rPr>
          <w:rFonts w:ascii="Times New Roman" w:eastAsia="Arial Unicode MS" w:hAnsi="Times New Roman" w:cs="Times New Roman"/>
          <w:sz w:val="24"/>
          <w:szCs w:val="24"/>
        </w:rPr>
        <w:t xml:space="preserve"> the second enclosure period</w:t>
      </w:r>
      <w:r w:rsidR="000A3253" w:rsidRPr="00C27016">
        <w:rPr>
          <w:rFonts w:ascii="Times New Roman" w:eastAsia="Arial Unicode MS" w:hAnsi="Times New Roman" w:cs="Times New Roman"/>
          <w:sz w:val="24"/>
          <w:szCs w:val="24"/>
        </w:rPr>
        <w:t>. However, in contrast to our expectations, we did not find a significant difference in ∆</w:t>
      </w:r>
      <w:r w:rsidR="000A3253" w:rsidRPr="00C27016">
        <w:rPr>
          <w:rFonts w:ascii="Times New Roman" w:hAnsi="Times New Roman" w:cs="Times New Roman"/>
          <w:sz w:val="24"/>
          <w:szCs w:val="24"/>
          <w:vertAlign w:val="superscript"/>
        </w:rPr>
        <w:t>14</w:t>
      </w:r>
      <w:r w:rsidR="000A3253" w:rsidRPr="00C27016">
        <w:rPr>
          <w:rFonts w:ascii="Times New Roman" w:hAnsi="Times New Roman" w:cs="Times New Roman"/>
          <w:sz w:val="24"/>
          <w:szCs w:val="24"/>
        </w:rPr>
        <w:t>C-CO</w:t>
      </w:r>
      <w:r w:rsidR="000A3253" w:rsidRPr="00C27016">
        <w:rPr>
          <w:rFonts w:ascii="Times New Roman" w:hAnsi="Times New Roman" w:cs="Times New Roman"/>
          <w:sz w:val="24"/>
          <w:szCs w:val="24"/>
          <w:vertAlign w:val="subscript"/>
        </w:rPr>
        <w:t>2</w:t>
      </w:r>
      <w:r w:rsidR="000A3253" w:rsidRPr="00C27016">
        <w:rPr>
          <w:rFonts w:ascii="Times New Roman" w:eastAsia="Arial Unicode MS" w:hAnsi="Times New Roman" w:cs="Times New Roman"/>
          <w:sz w:val="24"/>
          <w:szCs w:val="24"/>
        </w:rPr>
        <w:t xml:space="preserve"> between these two respiration periods. This finding was true for all of the samples in which we measured ∆</w:t>
      </w:r>
      <w:r w:rsidR="000A3253" w:rsidRPr="00C27016">
        <w:rPr>
          <w:rFonts w:ascii="Times New Roman" w:hAnsi="Times New Roman" w:cs="Times New Roman"/>
          <w:sz w:val="24"/>
          <w:szCs w:val="24"/>
          <w:vertAlign w:val="superscript"/>
        </w:rPr>
        <w:t>14</w:t>
      </w:r>
      <w:r w:rsidR="000A3253" w:rsidRPr="00C27016">
        <w:rPr>
          <w:rFonts w:ascii="Times New Roman" w:hAnsi="Times New Roman" w:cs="Times New Roman"/>
          <w:sz w:val="24"/>
          <w:szCs w:val="24"/>
        </w:rPr>
        <w:t>C-CO</w:t>
      </w:r>
      <w:r w:rsidR="000A3253" w:rsidRPr="00C27016">
        <w:rPr>
          <w:rFonts w:ascii="Times New Roman" w:hAnsi="Times New Roman" w:cs="Times New Roman"/>
          <w:sz w:val="24"/>
          <w:szCs w:val="24"/>
          <w:vertAlign w:val="subscript"/>
        </w:rPr>
        <w:t>2</w:t>
      </w:r>
      <w:r w:rsidR="000A3253" w:rsidRPr="00C27016">
        <w:rPr>
          <w:rFonts w:ascii="Times New Roman" w:hAnsi="Times New Roman" w:cs="Times New Roman"/>
          <w:sz w:val="24"/>
          <w:szCs w:val="24"/>
        </w:rPr>
        <w:t xml:space="preserve"> in both the </w:t>
      </w:r>
      <w:r w:rsidR="00886F23">
        <w:rPr>
          <w:rFonts w:ascii="Times New Roman" w:hAnsi="Times New Roman" w:cs="Times New Roman"/>
          <w:sz w:val="24"/>
          <w:szCs w:val="24"/>
        </w:rPr>
        <w:t>rewetting pulse period</w:t>
      </w:r>
      <w:r w:rsidR="000A3253" w:rsidRPr="00C27016">
        <w:rPr>
          <w:rFonts w:ascii="Times New Roman" w:hAnsi="Times New Roman" w:cs="Times New Roman"/>
          <w:sz w:val="24"/>
          <w:szCs w:val="24"/>
        </w:rPr>
        <w:t xml:space="preserve"> and </w:t>
      </w:r>
      <w:r w:rsidR="00886F23">
        <w:rPr>
          <w:rFonts w:ascii="Times New Roman" w:hAnsi="Times New Roman" w:cs="Times New Roman"/>
          <w:sz w:val="24"/>
          <w:szCs w:val="24"/>
        </w:rPr>
        <w:t>a second enclosure</w:t>
      </w:r>
      <w:r w:rsidR="000A3253" w:rsidRPr="00C27016">
        <w:rPr>
          <w:rFonts w:ascii="Times New Roman" w:hAnsi="Times New Roman" w:cs="Times New Roman"/>
          <w:sz w:val="24"/>
          <w:szCs w:val="24"/>
        </w:rPr>
        <w:t xml:space="preserve"> period (Fig. 3). These results suggest that the change in substrate availability initiated by air-drying and rewetting may not be limited to the rewetting pulse, and may persist throughout the incubation.</w:t>
      </w:r>
      <w:r w:rsidR="00524589">
        <w:rPr>
          <w:rFonts w:ascii="Times New Roman" w:hAnsi="Times New Roman" w:cs="Times New Roman"/>
          <w:sz w:val="24"/>
          <w:szCs w:val="24"/>
        </w:rPr>
        <w:t xml:space="preserve"> </w:t>
      </w:r>
    </w:p>
    <w:p w14:paraId="7051FBD1" w14:textId="5B378773" w:rsidR="00524589" w:rsidRDefault="00524589" w:rsidP="0080158A">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There is a large body of literature that provides evidence for different chemistry of the substrates fueling the rewetting pulse compared to that of the substrates fueling basal respiration (</w:t>
      </w:r>
      <w:r w:rsidR="00455432">
        <w:rPr>
          <w:rFonts w:ascii="Times New Roman" w:hAnsi="Times New Roman" w:cs="Times New Roman"/>
          <w:sz w:val="24"/>
          <w:szCs w:val="24"/>
        </w:rPr>
        <w:t xml:space="preserve">Franzluebbers et al., 2000; </w:t>
      </w:r>
      <w:r w:rsidR="00D530F8">
        <w:rPr>
          <w:rFonts w:ascii="Times New Roman" w:hAnsi="Times New Roman" w:cs="Times New Roman"/>
          <w:sz w:val="24"/>
          <w:szCs w:val="24"/>
        </w:rPr>
        <w:t>Wu and Brooks, 2005; Xiang et al., 2008; Williams and</w:t>
      </w:r>
      <w:r w:rsidR="0039723B">
        <w:rPr>
          <w:rFonts w:ascii="Times New Roman" w:hAnsi="Times New Roman" w:cs="Times New Roman"/>
          <w:sz w:val="24"/>
          <w:szCs w:val="24"/>
        </w:rPr>
        <w:t xml:space="preserve"> Xia, 2009</w:t>
      </w:r>
      <w:r>
        <w:rPr>
          <w:rFonts w:ascii="Times New Roman" w:hAnsi="Times New Roman" w:cs="Times New Roman"/>
          <w:sz w:val="24"/>
          <w:szCs w:val="24"/>
        </w:rPr>
        <w:t>). However, as other recent work has shown, persistence of soil organic matter is not soley due to chemis</w:t>
      </w:r>
      <w:r w:rsidR="0080158A">
        <w:rPr>
          <w:rFonts w:ascii="Times New Roman" w:hAnsi="Times New Roman" w:cs="Times New Roman"/>
          <w:sz w:val="24"/>
          <w:szCs w:val="24"/>
        </w:rPr>
        <w:t>try (</w:t>
      </w:r>
      <w:r w:rsidR="00455432">
        <w:rPr>
          <w:rFonts w:ascii="Times New Roman" w:hAnsi="Times New Roman" w:cs="Times New Roman"/>
          <w:sz w:val="24"/>
          <w:szCs w:val="24"/>
        </w:rPr>
        <w:t>Lützow et al., 2006; Marschner et al. 2008; Schmidt et al.; 2011; Dungait et al., 2012</w:t>
      </w:r>
      <w:r w:rsidR="0080158A">
        <w:rPr>
          <w:rFonts w:ascii="Times New Roman" w:hAnsi="Times New Roman" w:cs="Times New Roman"/>
          <w:sz w:val="24"/>
          <w:szCs w:val="24"/>
        </w:rPr>
        <w:t>). The</w:t>
      </w:r>
      <w:r>
        <w:rPr>
          <w:rFonts w:ascii="Times New Roman" w:hAnsi="Times New Roman" w:cs="Times New Roman"/>
          <w:sz w:val="24"/>
          <w:szCs w:val="24"/>
        </w:rPr>
        <w:t xml:space="preserve"> similarity in ∆</w:t>
      </w:r>
      <w:r w:rsidRPr="00455432">
        <w:rPr>
          <w:rFonts w:ascii="Times New Roman" w:hAnsi="Times New Roman" w:cs="Times New Roman"/>
          <w:sz w:val="24"/>
          <w:szCs w:val="24"/>
          <w:vertAlign w:val="superscript"/>
        </w:rPr>
        <w:t>14</w:t>
      </w:r>
      <w:r>
        <w:rPr>
          <w:rFonts w:ascii="Times New Roman" w:hAnsi="Times New Roman" w:cs="Times New Roman"/>
          <w:sz w:val="24"/>
          <w:szCs w:val="24"/>
        </w:rPr>
        <w:t>C across substrates utilized in the rewetting pulse a</w:t>
      </w:r>
      <w:r w:rsidR="0080158A">
        <w:rPr>
          <w:rFonts w:ascii="Times New Roman" w:hAnsi="Times New Roman" w:cs="Times New Roman"/>
          <w:sz w:val="24"/>
          <w:szCs w:val="24"/>
        </w:rPr>
        <w:t>nd the second enclosure period that likely diverge in chemistry</w:t>
      </w:r>
      <w:r>
        <w:rPr>
          <w:rFonts w:ascii="Times New Roman" w:hAnsi="Times New Roman" w:cs="Times New Roman"/>
          <w:sz w:val="24"/>
          <w:szCs w:val="24"/>
        </w:rPr>
        <w:t xml:space="preserve"> is </w:t>
      </w:r>
      <w:r w:rsidR="0080158A">
        <w:rPr>
          <w:rFonts w:ascii="Times New Roman" w:hAnsi="Times New Roman" w:cs="Times New Roman"/>
          <w:sz w:val="24"/>
          <w:szCs w:val="24"/>
        </w:rPr>
        <w:t xml:space="preserve">therefore </w:t>
      </w:r>
      <w:r>
        <w:rPr>
          <w:rFonts w:ascii="Times New Roman" w:hAnsi="Times New Roman" w:cs="Times New Roman"/>
          <w:sz w:val="24"/>
          <w:szCs w:val="24"/>
        </w:rPr>
        <w:t>in line with the modern paradigm (Lehmann and Kleber, 2015</w:t>
      </w:r>
      <w:r w:rsidR="00455432">
        <w:rPr>
          <w:rFonts w:ascii="Times New Roman" w:hAnsi="Times New Roman" w:cs="Times New Roman"/>
          <w:sz w:val="24"/>
          <w:szCs w:val="24"/>
        </w:rPr>
        <w:t>; Lehmann et al. 2020</w:t>
      </w:r>
      <w:r>
        <w:rPr>
          <w:rFonts w:ascii="Times New Roman" w:hAnsi="Times New Roman" w:cs="Times New Roman"/>
          <w:sz w:val="24"/>
          <w:szCs w:val="24"/>
        </w:rPr>
        <w:t>).</w:t>
      </w:r>
      <w:r w:rsidR="0080158A">
        <w:rPr>
          <w:rFonts w:ascii="Times New Roman" w:hAnsi="Times New Roman" w:cs="Times New Roman"/>
          <w:sz w:val="24"/>
          <w:szCs w:val="24"/>
        </w:rPr>
        <w:t xml:space="preserve"> Alternatively, m</w:t>
      </w:r>
      <w:r>
        <w:rPr>
          <w:rFonts w:ascii="Times New Roman" w:hAnsi="Times New Roman" w:cs="Times New Roman"/>
          <w:sz w:val="24"/>
          <w:szCs w:val="24"/>
        </w:rPr>
        <w:t>icrobial recycling over the relatively short duration of the incubations in this study (mean = 9 d)</w:t>
      </w:r>
      <w:r w:rsidR="0080158A">
        <w:rPr>
          <w:rFonts w:ascii="Times New Roman" w:hAnsi="Times New Roman" w:cs="Times New Roman"/>
          <w:sz w:val="24"/>
          <w:szCs w:val="24"/>
        </w:rPr>
        <w:t xml:space="preserve"> could also explain the lack of change in ∆</w:t>
      </w:r>
      <w:r w:rsidR="0080158A" w:rsidRPr="00524589">
        <w:rPr>
          <w:rFonts w:ascii="Times New Roman" w:hAnsi="Times New Roman" w:cs="Times New Roman"/>
          <w:sz w:val="24"/>
          <w:szCs w:val="24"/>
          <w:vertAlign w:val="superscript"/>
        </w:rPr>
        <w:t>14</w:t>
      </w:r>
      <w:r w:rsidR="0080158A">
        <w:rPr>
          <w:rFonts w:ascii="Times New Roman" w:hAnsi="Times New Roman" w:cs="Times New Roman"/>
          <w:sz w:val="24"/>
          <w:szCs w:val="24"/>
        </w:rPr>
        <w:t>C-CO</w:t>
      </w:r>
      <w:r w:rsidR="0080158A" w:rsidRPr="00524589">
        <w:rPr>
          <w:rFonts w:ascii="Times New Roman" w:hAnsi="Times New Roman" w:cs="Times New Roman"/>
          <w:sz w:val="24"/>
          <w:szCs w:val="24"/>
          <w:vertAlign w:val="subscript"/>
        </w:rPr>
        <w:t>2</w:t>
      </w:r>
      <w:r w:rsidR="0080158A">
        <w:rPr>
          <w:rFonts w:ascii="Times New Roman" w:hAnsi="Times New Roman" w:cs="Times New Roman"/>
          <w:sz w:val="24"/>
          <w:szCs w:val="24"/>
        </w:rPr>
        <w:t xml:space="preserve"> between enclosure periods</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For context, </w:t>
      </w:r>
      <w:r>
        <w:rPr>
          <w:rFonts w:ascii="Times New Roman" w:hAnsi="Times New Roman" w:cs="Times New Roman"/>
          <w:sz w:val="24"/>
          <w:szCs w:val="24"/>
        </w:rPr>
        <w:t xml:space="preserve">we note that </w:t>
      </w:r>
      <w:r w:rsidRPr="00C27016">
        <w:rPr>
          <w:rFonts w:ascii="Times New Roman" w:hAnsi="Times New Roman" w:cs="Times New Roman"/>
          <w:sz w:val="24"/>
          <w:szCs w:val="24"/>
        </w:rPr>
        <w:t>the mean amount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respired in the incubations in this study was 0.8 percent of the init</w:t>
      </w:r>
      <w:r>
        <w:rPr>
          <w:rFonts w:ascii="Times New Roman" w:hAnsi="Times New Roman" w:cs="Times New Roman"/>
          <w:sz w:val="24"/>
          <w:szCs w:val="24"/>
        </w:rPr>
        <w:t>ial</w:t>
      </w:r>
      <w:r w:rsidR="0080158A">
        <w:rPr>
          <w:rFonts w:ascii="Times New Roman" w:hAnsi="Times New Roman" w:cs="Times New Roman"/>
          <w:sz w:val="24"/>
          <w:szCs w:val="24"/>
        </w:rPr>
        <w:t xml:space="preserve"> total soil organic carbon. This </w:t>
      </w:r>
      <w:r>
        <w:rPr>
          <w:rFonts w:ascii="Times New Roman" w:hAnsi="Times New Roman" w:cs="Times New Roman"/>
          <w:sz w:val="24"/>
          <w:szCs w:val="24"/>
        </w:rPr>
        <w:t xml:space="preserve">microbial recycling hypothesis is also supported by the shifts in </w:t>
      </w:r>
      <w:r w:rsidR="0080158A" w:rsidRPr="00C27016">
        <w:rPr>
          <w:rFonts w:ascii="Times New Roman" w:hAnsi="Times New Roman" w:cs="Times New Roman"/>
          <w:sz w:val="24"/>
          <w:szCs w:val="24"/>
        </w:rPr>
        <w:t>δ</w:t>
      </w:r>
      <w:r w:rsidRPr="0080158A">
        <w:rPr>
          <w:rFonts w:ascii="Times New Roman" w:hAnsi="Times New Roman" w:cs="Times New Roman"/>
          <w:sz w:val="24"/>
          <w:szCs w:val="24"/>
          <w:vertAlign w:val="superscript"/>
        </w:rPr>
        <w:t>13</w:t>
      </w:r>
      <w:r>
        <w:rPr>
          <w:rFonts w:ascii="Times New Roman" w:hAnsi="Times New Roman" w:cs="Times New Roman"/>
          <w:sz w:val="24"/>
          <w:szCs w:val="24"/>
        </w:rPr>
        <w:t xml:space="preserve">C observed between the rewetting pulse and the second enclosure period, which we did find to be significant. </w:t>
      </w:r>
    </w:p>
    <w:p w14:paraId="49B1CDA3" w14:textId="5E0E54B6" w:rsidR="000A3253" w:rsidRPr="00C27016" w:rsidRDefault="00A85A39" w:rsidP="000A3253">
      <w:pPr>
        <w:pStyle w:val="Normal1"/>
        <w:spacing w:before="240" w:after="120" w:line="360" w:lineRule="auto"/>
        <w:ind w:firstLine="720"/>
        <w:rPr>
          <w:rFonts w:ascii="Times New Roman" w:hAnsi="Times New Roman" w:cs="Times New Roman"/>
          <w:sz w:val="24"/>
          <w:szCs w:val="24"/>
        </w:rPr>
      </w:pPr>
      <w:r>
        <w:rPr>
          <w:rFonts w:ascii="Times New Roman" w:eastAsia="Arial Unicode MS" w:hAnsi="Times New Roman" w:cs="Times New Roman"/>
          <w:sz w:val="24"/>
          <w:szCs w:val="24"/>
        </w:rPr>
        <w:t>4.5.</w:t>
      </w:r>
      <w:r w:rsidR="000A3253">
        <w:rPr>
          <w:rFonts w:ascii="Times New Roman" w:eastAsia="Arial Unicode MS" w:hAnsi="Times New Roman" w:cs="Times New Roman"/>
          <w:sz w:val="24"/>
          <w:szCs w:val="24"/>
        </w:rPr>
        <w:t xml:space="preserve"> Implication of </w:t>
      </w:r>
      <w:r w:rsidR="000A3253" w:rsidRPr="00C27016">
        <w:rPr>
          <w:rFonts w:ascii="Times New Roman" w:hAnsi="Times New Roman" w:cs="Times New Roman"/>
          <w:sz w:val="24"/>
          <w:szCs w:val="24"/>
        </w:rPr>
        <w:t>δ</w:t>
      </w:r>
      <w:r w:rsidR="000A3253" w:rsidRPr="00C27016">
        <w:rPr>
          <w:rFonts w:ascii="Times New Roman" w:hAnsi="Times New Roman" w:cs="Times New Roman"/>
          <w:sz w:val="24"/>
          <w:szCs w:val="24"/>
          <w:vertAlign w:val="superscript"/>
        </w:rPr>
        <w:t>13</w:t>
      </w:r>
      <w:r w:rsidR="000A3253" w:rsidRPr="00C27016">
        <w:rPr>
          <w:rFonts w:ascii="Times New Roman" w:hAnsi="Times New Roman" w:cs="Times New Roman"/>
          <w:sz w:val="24"/>
          <w:szCs w:val="24"/>
        </w:rPr>
        <w:t>C</w:t>
      </w:r>
      <w:r w:rsidR="000A3253">
        <w:rPr>
          <w:rFonts w:ascii="Times New Roman" w:hAnsi="Times New Roman" w:cs="Times New Roman"/>
          <w:sz w:val="24"/>
          <w:szCs w:val="24"/>
        </w:rPr>
        <w:t>-CO</w:t>
      </w:r>
      <w:r w:rsidR="000A3253" w:rsidRPr="00E80703">
        <w:rPr>
          <w:rFonts w:ascii="Times New Roman" w:hAnsi="Times New Roman" w:cs="Times New Roman"/>
          <w:sz w:val="24"/>
          <w:szCs w:val="24"/>
          <w:vertAlign w:val="subscript"/>
        </w:rPr>
        <w:t>2</w:t>
      </w:r>
      <w:r w:rsidR="000A3253">
        <w:rPr>
          <w:rFonts w:ascii="Times New Roman" w:hAnsi="Times New Roman" w:cs="Times New Roman"/>
          <w:sz w:val="24"/>
          <w:szCs w:val="24"/>
        </w:rPr>
        <w:t xml:space="preserve"> shifts following drying and rewetting</w:t>
      </w:r>
    </w:p>
    <w:p w14:paraId="4E388B92" w14:textId="129CAD88" w:rsidR="004B3AE1" w:rsidRPr="00C27016" w:rsidRDefault="004B3AE1" w:rsidP="004B3AE1">
      <w:pPr>
        <w:pStyle w:val="Normal1"/>
        <w:spacing w:before="240" w:after="120" w:line="360" w:lineRule="auto"/>
        <w:rPr>
          <w:rFonts w:ascii="Times New Roman" w:eastAsia="Arial Unicode MS" w:hAnsi="Times New Roman" w:cs="Times New Roman"/>
          <w:sz w:val="24"/>
          <w:szCs w:val="24"/>
        </w:rPr>
      </w:pPr>
      <w:r>
        <w:rPr>
          <w:rFonts w:ascii="Times New Roman" w:hAnsi="Times New Roman" w:cs="Times New Roman"/>
          <w:sz w:val="24"/>
          <w:szCs w:val="24"/>
        </w:rPr>
        <w:t>T</w:t>
      </w:r>
      <w:r w:rsidR="000A3253" w:rsidRPr="00C27016">
        <w:rPr>
          <w:rFonts w:ascii="Times New Roman" w:hAnsi="Times New Roman" w:cs="Times New Roman"/>
          <w:sz w:val="24"/>
          <w:szCs w:val="24"/>
        </w:rPr>
        <w:t>he consistent enrichment in δ</w:t>
      </w:r>
      <w:r w:rsidR="000A3253" w:rsidRPr="00C27016">
        <w:rPr>
          <w:rFonts w:ascii="Times New Roman" w:hAnsi="Times New Roman" w:cs="Times New Roman"/>
          <w:sz w:val="24"/>
          <w:szCs w:val="24"/>
          <w:vertAlign w:val="superscript"/>
        </w:rPr>
        <w:t>13</w:t>
      </w:r>
      <w:r w:rsidR="000A3253" w:rsidRPr="00C27016">
        <w:rPr>
          <w:rFonts w:ascii="Times New Roman" w:hAnsi="Times New Roman" w:cs="Times New Roman"/>
          <w:sz w:val="24"/>
          <w:szCs w:val="24"/>
        </w:rPr>
        <w:t>C-CO</w:t>
      </w:r>
      <w:r w:rsidR="000A3253" w:rsidRPr="00C27016">
        <w:rPr>
          <w:rFonts w:ascii="Times New Roman" w:hAnsi="Times New Roman" w:cs="Times New Roman"/>
          <w:sz w:val="24"/>
          <w:szCs w:val="24"/>
          <w:vertAlign w:val="subscript"/>
        </w:rPr>
        <w:t>2</w:t>
      </w:r>
      <w:r w:rsidR="000A3253" w:rsidRPr="00C27016">
        <w:rPr>
          <w:rFonts w:ascii="Times New Roman" w:eastAsia="Arial Unicode MS" w:hAnsi="Times New Roman" w:cs="Times New Roman"/>
          <w:sz w:val="24"/>
          <w:szCs w:val="24"/>
        </w:rPr>
        <w:t xml:space="preserve"> seen following both the </w:t>
      </w:r>
      <w:r w:rsidR="000A3253">
        <w:rPr>
          <w:rFonts w:ascii="Times New Roman" w:eastAsia="Arial Unicode MS" w:hAnsi="Times New Roman" w:cs="Times New Roman"/>
          <w:sz w:val="24"/>
          <w:szCs w:val="24"/>
        </w:rPr>
        <w:t>air-dry/rewet +</w:t>
      </w:r>
      <w:r w:rsidR="000A3253" w:rsidRPr="003B69F5">
        <w:rPr>
          <w:rFonts w:ascii="Times New Roman" w:eastAsia="Arial Unicode MS" w:hAnsi="Times New Roman" w:cs="Times New Roman"/>
          <w:sz w:val="24"/>
          <w:szCs w:val="24"/>
        </w:rPr>
        <w:t xml:space="preserve"> </w:t>
      </w:r>
      <w:r w:rsidR="000A3253">
        <w:rPr>
          <w:rFonts w:ascii="Times New Roman" w:eastAsia="Arial Unicode MS" w:hAnsi="Times New Roman" w:cs="Times New Roman"/>
          <w:sz w:val="24"/>
          <w:szCs w:val="24"/>
        </w:rPr>
        <w:t>storage</w:t>
      </w:r>
      <w:r w:rsidR="000A3253" w:rsidRPr="00C27016">
        <w:rPr>
          <w:rFonts w:ascii="Times New Roman" w:eastAsia="Arial Unicode MS" w:hAnsi="Times New Roman" w:cs="Times New Roman"/>
          <w:sz w:val="24"/>
          <w:szCs w:val="24"/>
        </w:rPr>
        <w:t xml:space="preserve"> treatment and the </w:t>
      </w:r>
      <w:r w:rsidR="000A3253">
        <w:rPr>
          <w:rFonts w:ascii="Times New Roman" w:eastAsia="Arial Unicode MS" w:hAnsi="Times New Roman" w:cs="Times New Roman"/>
          <w:sz w:val="24"/>
          <w:szCs w:val="24"/>
        </w:rPr>
        <w:t>air-dry/rewet</w:t>
      </w:r>
      <w:r w:rsidR="000A3253" w:rsidRPr="00C27016">
        <w:rPr>
          <w:rFonts w:ascii="Times New Roman" w:eastAsia="Arial Unicode MS" w:hAnsi="Times New Roman" w:cs="Times New Roman"/>
          <w:sz w:val="24"/>
          <w:szCs w:val="24"/>
        </w:rPr>
        <w:t xml:space="preserve"> treatment</w:t>
      </w:r>
      <w:r w:rsidR="000A3253">
        <w:rPr>
          <w:rFonts w:ascii="Times New Roman" w:eastAsia="Arial Unicode MS" w:hAnsi="Times New Roman" w:cs="Times New Roman"/>
          <w:sz w:val="24"/>
          <w:szCs w:val="24"/>
        </w:rPr>
        <w:t xml:space="preserve"> (Table 3, Supplemental Fig. 3)</w:t>
      </w:r>
      <w:r>
        <w:rPr>
          <w:rFonts w:ascii="Times New Roman" w:eastAsia="Arial Unicode MS" w:hAnsi="Times New Roman" w:cs="Times New Roman"/>
          <w:sz w:val="24"/>
          <w:szCs w:val="24"/>
        </w:rPr>
        <w:t xml:space="preserve"> </w:t>
      </w:r>
      <w:r w:rsidR="000A3253" w:rsidRPr="00C27016">
        <w:rPr>
          <w:rFonts w:ascii="Times New Roman" w:eastAsia="Arial Unicode MS" w:hAnsi="Times New Roman" w:cs="Times New Roman"/>
          <w:sz w:val="24"/>
          <w:szCs w:val="24"/>
        </w:rPr>
        <w:t>could</w:t>
      </w:r>
      <w:r>
        <w:rPr>
          <w:rFonts w:ascii="Times New Roman" w:eastAsia="Arial Unicode MS" w:hAnsi="Times New Roman" w:cs="Times New Roman"/>
          <w:sz w:val="24"/>
          <w:szCs w:val="24"/>
        </w:rPr>
        <w:t xml:space="preserve"> be due to many possible scenarios</w:t>
      </w:r>
      <w:r w:rsidR="00411F44">
        <w:rPr>
          <w:rFonts w:ascii="Times New Roman" w:eastAsia="Arial Unicode MS" w:hAnsi="Times New Roman" w:cs="Times New Roman"/>
          <w:sz w:val="24"/>
          <w:szCs w:val="24"/>
        </w:rPr>
        <w:t>, not just microbial recycling</w:t>
      </w:r>
      <w:r>
        <w:rPr>
          <w:rFonts w:ascii="Times New Roman" w:eastAsia="Arial Unicode MS" w:hAnsi="Times New Roman" w:cs="Times New Roman"/>
          <w:sz w:val="24"/>
          <w:szCs w:val="24"/>
        </w:rPr>
        <w:t xml:space="preserve">. </w:t>
      </w:r>
      <w:r w:rsidR="00411F44">
        <w:rPr>
          <w:rFonts w:ascii="Times New Roman" w:hAnsi="Times New Roman" w:cs="Times New Roman"/>
          <w:sz w:val="24"/>
          <w:szCs w:val="24"/>
        </w:rPr>
        <w:t>Microbial recycling</w:t>
      </w:r>
      <w:r w:rsidRPr="004B3AE1">
        <w:rPr>
          <w:rFonts w:ascii="Times New Roman" w:hAnsi="Times New Roman" w:cs="Times New Roman"/>
          <w:sz w:val="24"/>
          <w:szCs w:val="24"/>
        </w:rPr>
        <w:t xml:space="preserve"> has </w:t>
      </w:r>
      <w:r w:rsidRPr="00C27016">
        <w:rPr>
          <w:rFonts w:ascii="Times New Roman" w:hAnsi="Times New Roman" w:cs="Times New Roman"/>
          <w:sz w:val="24"/>
          <w:szCs w:val="24"/>
        </w:rPr>
        <w:t>been shown to lead to enrichment in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{"citationItems":[{"id":"ITEM-1","itemData":{"DOI":"10.1016/j.gca.2004.09.003","ISSN":"00167037","abstract":"A depth- and particle size-specific analysis of soil organic carbon (SOC) and its isotopic composition was undertaken to investigate the effects of soil texture (or particle size) on the depth profile of stable carbon isotopic composition of SOC (δ13 CSOC) in two tropical soils. Depth-specific samples from two soil profiles of markedly different texture (coarse grained and fine grained) were separated into particle size classes and analyzed for the (mass/mass) concentration of SOC (C) and δ13 CSOC. Within 1 m of the soil surface, δ13 CSOC in the coarse-textured soil increases by 1.3 to 1.6‰, while δ13CSOC from the fine-textured soil increase by as much as 3.8 to 5.5‰. This increasing depth trend in the coarse-textured soil is approximately linear with respect to normalized C, while the increase in the fine-textured soil follows a logarithmic function with respect to normalized C. A model of Rayleigh distillation describing isotope fractionation during decomposition of soil organic matter (SOM) accounts for the depth profile of δ13CSOC in the fine-textured soil, but does not account for the depth profile observed in the coarse-textured soil despite their similar climate, vegetation, and topographic position. These results suggest that kinetic fractionation during humification of SOM leads to preferential accumulation of 13C in association with fine mineral particles, or aggregates of fine mineral particles in fine-textured soils. In contrast, the coarse-textured soil shows very little applicability of the Rayleigh distillation model. Rather, the depth profile of δ13CSOC in the coarse-textured soil can be accounted for by mixing of soil carbon with different isotopic ratios. Copyright © 2005 Elsevier Ltd.","author":[{"dropping-particle":"","family":"Wynn","given":"Jonathan G.","non-dropping-particle":"","parse-names":false,"suffix":""},{"dropping-particle":"","family":"Bird","given":"Michael I.","non-dropping-particle":"","parse-names":false,"suffix":""},{"dropping-particle":"","family":"Wong","given":"Vanessa N.L.","non-dropping-particle":"","parse-names":false,"suffix":""}],"container-title":"Geochimica et Cosmochimica Acta","id":"ITEM-1","issue":"8","issued":{"date-parts":[["2005"]]},"page":"1961-1973","title":"Rayleigh distillation and the depth profile of 13C/ 12C ratios of soil organic carbon from soils of disparate texture in Iron Range National Park, Far North Queensland, Australia","type":"article-journal","volume":"69"},"uris":["http://www.mendeley.com/documents/?uuid=4710dbb3-e1d5-47d7-bdaa-262a068b91a3","http://www.mendeley.com/documents/?uuid=d7ef6db7-fb73-45c0-a0ef-231a2f654393"]}],"mendeley":{"formattedCitation":"(Wynn et al., 2005)","plainTextFormattedCitation":"(Wynn et al., 2005)","previouslyFormattedCitation":"(Wynn et al., 2005)"},"properties":{"noteIndex":0},"schema":"https://github.com/citation-style-language/schema/raw/master/csl-citation.json"}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(Wynn et al., 2005)</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xml:space="preserve">, and </w:t>
      </w:r>
      <w:r w:rsidR="00411F44">
        <w:rPr>
          <w:rFonts w:ascii="Times New Roman" w:hAnsi="Times New Roman" w:cs="Times New Roman"/>
          <w:sz w:val="24"/>
          <w:szCs w:val="24"/>
        </w:rPr>
        <w:t>has also b</w:t>
      </w:r>
      <w:r w:rsidRPr="00C27016">
        <w:rPr>
          <w:rFonts w:ascii="Times New Roman" w:hAnsi="Times New Roman" w:cs="Times New Roman"/>
          <w:sz w:val="24"/>
          <w:szCs w:val="24"/>
        </w:rPr>
        <w:t>een shown to be enhanced</w:t>
      </w:r>
      <w:r w:rsidRPr="003B69F5">
        <w:rPr>
          <w:rFonts w:ascii="Times New Roman" w:hAnsi="Times New Roman" w:cs="Times New Roman"/>
          <w:sz w:val="24"/>
          <w:szCs w:val="24"/>
        </w:rPr>
        <w:t xml:space="preserve"> </w:t>
      </w:r>
      <w:r w:rsidRPr="00C27016">
        <w:rPr>
          <w:rFonts w:ascii="Times New Roman" w:hAnsi="Times New Roman" w:cs="Times New Roman"/>
          <w:sz w:val="24"/>
          <w:szCs w:val="24"/>
        </w:rPr>
        <w:t xml:space="preserve">following air-drying and rewetting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{"citationItems":[{"id":"ITEM-1","itemData":{"DOI":"10.1016/j.soilbio.2018.10.001","ISSN":"00380717","abstract":"Phosphorus (P) is a key nutrient but still we have a limited knowledge on the controls of mobilization and fluxes of P in forest soils. Our study explored the linkages between P mobilization in organic horizons and mineral soils and the P status of soils, as affected by two consecutive drying and rewetting (D/W) cycles. We sampled litter layers (Oi), mixed Oe-Oa horizons, and A horizons in three beech forests along a P availability gradient in Germany. Carbon mineralization and release of dissolved organic matter (DOC, DOP) and dissolved inorganic P (DIP) were studied in microcosms exposed to an initial harsh drying (40 °C for 72 h) and a moderate dry spell (1 month at 20 °C). In Oi horizons, net P mineralization decreased with decreasing P status despite a similar C mineralization at all sites. This supports the general concept that the stoichiometric difference between substrate and microbial biomass primarily drives P release from decomposing organic matter. Counterintuitively, P mobilization per unit soil P increased towards P-poor sites in the mineral soil, likely due to decreasing contents of reactive secondary minerals and the consequently smaller P sorption. Drying and rewetting caused stronger mobilization of DIP and DOP (+108% on average) than of DOC (+51%). The parallel decline in specific UV absorptivity of DOM suggests that lysis of microbial cells drove the drought-induced P release. The D/W effects on P mobilization were particularly strong in P-poor soils, where greater portions of P are bound to microbial biomass, which are prone to become released upon rewetting. Since mobilized P can potentially be leached from soils, our findings indicate, that drought-induced P mobilization fosters the progressive P depletion of already P-poor soils. The possible P leaching losses from mineral soils seem rather be driven by soil mineralogy than by P status.","author":[{"dropping-particle":"","family":"Brödlin","given":"Dominik","non-dropping-particle":"","parse-names":false,"suffix":""},{"dropping-particle":"","family":"Kaiser","given":"Klaus","non-dropping-particle":"","parse-names":false,"suffix":""},{"dropping-particle":"","family":"Kessler","given":"Arnim","non-dropping-particle":"","parse-names":false,"suffix":""},{"dropping-particle":"","family":"Hagedorn","given":"Frank","non-dropping-particle":"","parse-names":false,"suffix":""}],"container-title":"Soil Biology and Biochemistry","id":"ITEM-1","issue":"May 2018","issued":{"date-parts":[["2019"]]},"page":"22-34","publisher":"Elsevier","title":"Drying and rewetting foster phosphorus depletion of forest soils","type":"article-journal","volume":"128"},"uris":["http://www.mendeley.com/documents/?uuid=b9212547-b119-47e4-b77b-f6414c6dac88","http://www.mendeley.com/documents/?uuid=02df2046-054c-4190-94ad-aee6a4f0d477"]},{"id":"ITEM-2","itemData":{"DOI":"10.1007/s10533-020-00645-y","ISBN":"0123456789","ISSN":"1573515X","abstract":"Wetting of dry soil triggers a pulse of microbial respiration that has been attributed to two broad mechanisms: (1) recycling of microbial cellular carbon (C), and (2) consumption of extracellular organic C made available to microbes by wetting. We evaluated these two mechanisms by measuring cumulative CO2 release, changes in the size and chemical composition of microbial biomass, and water-extractable organic carbon (WEOC) concentrations following artificial wetting of soil sampled from two depths at each of seven sites across California spanning a range of geologic parent materials. In samples collected from surface soil (0–10 cm depth), we found that cumulative CO2 release after wetting in the laboratory was most strongly correlated with microbial biomass. In these samples, the relative abundance of trehalose—a putative microbial osmolyte—decreased from 25% (SD = 12) to 16% (SD = 7) of the chloroform-labile fraction of the microbial biomass after wetting. This suggested a role for osmolyte consumption in generating the respiration pulse. In subsoil (40–50 cm depth, or sampled at contact with rock), however, the cumulative CO2 release after wetting was unrelated to microbial biomass and more strongly related to WEOC. The concentrations of selected microbial biomass constituents (e.g. trehalose and amino acids) in WEOC were negligible (&lt; 1%), suggesting that cell lysis was not important in generating WEOC in this study. The amount of WEOC relative to total organic C was greatest in subsoil, and negatively related to ammonium oxalate-extractable Fe (Pearson’s R = 0.42, p &lt; 0.01), suggesting a role for soil mineralogical properties in controlling WEOC release. Together, these findings suggest that microbial cellular C and extracellular C jointly contribute to the respiration pulse, and that their relative contribution depends on depth.","author":[{"dropping-particle":"","family":"Slessarev","given":"Eric W.","non-dropping-particle":"","parse-names":false,"suffix":""},{"dropping-particle":"","family":"Lin","given":"Yang","non-dropping-particle":"","parse-names":false,"suffix":""},{"dropping-particle":"","family":"Jiménez","given":"Beatrix Y.","non-dropping-particle":"","parse-names":false,"suffix":""},{"dropping-particle":"","family":"Homyak","given":"Peter M.","non-dropping-particle":"","parse-names":false,"suffix":""},{"dropping-particle":"","family":"Chadwick","given":"Oliver A.","non-dropping-particle":"","parse-names":false,"suffix":""},{"dropping-particle":"","family":"D’Antonio","given":"Carla M.","non-dropping-particle":"","parse-names":false,"suffix":""},{"dropping-particle":"","family":"Schimel","given":"Joshua P.","non-dropping-particle":"","parse-names":false,"suffix":""}],"container-title":"Biogeochemistry","id":"ITEM-2","issue":"3","issued":{"date-parts":[["2020"]]},"page":"307-324","title":"Cellular and extracellular C contributions to respiration after wetting dry soil","type":"article-journal","volume":"147"},"uris":["http://www.mendeley.com/documents/?uuid=cbfd053f-fe46-413a-9211-0090cf162ce3","http://www.mendeley.com/documents/?uuid=1ad23cf0-b5ac-4956-bf6e-7cf1d6c54047"]}],"mendeley":{"formattedCitation":"(Brödlin et al., 2019; Slessarev et al., 2020)","plainTextFormattedCitation":"(Brödlin et al., 2019; Slessarev et al., 2020)","previouslyFormattedCitation":"(Brödlin et al., 2019; Slessarev et al., 2020)"},"properties":{"noteIndex":0},"schema":"https://github.com/citation-style-language/schema/raw/master/csl-citation.json"}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(Brödlin et al., 2019; Slessarev et al., 2020)</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sidR="00411F44">
        <w:rPr>
          <w:rFonts w:ascii="Times New Roman" w:hAnsi="Times New Roman" w:cs="Times New Roman"/>
          <w:sz w:val="24"/>
          <w:szCs w:val="24"/>
        </w:rPr>
        <w:t xml:space="preserve"> Another scenario</w:t>
      </w:r>
      <w:r>
        <w:rPr>
          <w:rFonts w:ascii="Times New Roman" w:hAnsi="Times New Roman" w:cs="Times New Roman"/>
          <w:sz w:val="24"/>
          <w:szCs w:val="24"/>
        </w:rPr>
        <w:t xml:space="preserve"> </w:t>
      </w:r>
      <w:r>
        <w:rPr>
          <w:rFonts w:ascii="Times New Roman" w:eastAsia="Arial Unicode MS" w:hAnsi="Times New Roman" w:cs="Times New Roman"/>
          <w:sz w:val="24"/>
          <w:szCs w:val="24"/>
        </w:rPr>
        <w:t>is</w:t>
      </w:r>
      <w:r w:rsidR="000A3253" w:rsidRPr="00C27016">
        <w:rPr>
          <w:rFonts w:ascii="Times New Roman" w:eastAsia="Arial Unicode MS" w:hAnsi="Times New Roman" w:cs="Times New Roman"/>
          <w:sz w:val="24"/>
          <w:szCs w:val="24"/>
        </w:rPr>
        <w:t xml:space="preserve"> that the fuel for the rewetting pulse is microbial in origin, but derived from microbes that have been dormant for decades. Such a scenario would explain the concommitant shift in ∆</w:t>
      </w:r>
      <w:r w:rsidR="000A3253" w:rsidRPr="00C27016">
        <w:rPr>
          <w:rFonts w:ascii="Times New Roman" w:hAnsi="Times New Roman" w:cs="Times New Roman"/>
          <w:sz w:val="24"/>
          <w:szCs w:val="24"/>
          <w:vertAlign w:val="superscript"/>
        </w:rPr>
        <w:t>14</w:t>
      </w:r>
      <w:r w:rsidR="000A3253" w:rsidRPr="00C27016">
        <w:rPr>
          <w:rFonts w:ascii="Times New Roman" w:hAnsi="Times New Roman" w:cs="Times New Roman"/>
          <w:sz w:val="24"/>
          <w:szCs w:val="24"/>
        </w:rPr>
        <w:t>C</w:t>
      </w:r>
      <w:r w:rsidR="000A3253">
        <w:rPr>
          <w:rFonts w:ascii="Times New Roman" w:hAnsi="Times New Roman" w:cs="Times New Roman"/>
          <w:sz w:val="24"/>
          <w:szCs w:val="24"/>
        </w:rPr>
        <w:t>-CO</w:t>
      </w:r>
      <w:r w:rsidR="000A3253" w:rsidRPr="00AB7876">
        <w:rPr>
          <w:rFonts w:ascii="Times New Roman" w:hAnsi="Times New Roman" w:cs="Times New Roman"/>
          <w:sz w:val="24"/>
          <w:szCs w:val="24"/>
          <w:vertAlign w:val="subscript"/>
        </w:rPr>
        <w:t>2</w:t>
      </w:r>
      <w:r w:rsidR="000A3253" w:rsidRPr="00C27016">
        <w:rPr>
          <w:rFonts w:ascii="Times New Roman" w:hAnsi="Times New Roman" w:cs="Times New Roman"/>
          <w:sz w:val="24"/>
          <w:szCs w:val="24"/>
        </w:rPr>
        <w:t>, but to our knowledge such a response has not been previously documented. While we cannot rule out this interpretation, such an argument is complicated by the fact that older soil organic matter also tends to be enriched in δ</w:t>
      </w:r>
      <w:r w:rsidR="000A3253" w:rsidRPr="00C27016">
        <w:rPr>
          <w:rFonts w:ascii="Times New Roman" w:hAnsi="Times New Roman" w:cs="Times New Roman"/>
          <w:sz w:val="24"/>
          <w:szCs w:val="24"/>
          <w:vertAlign w:val="superscript"/>
        </w:rPr>
        <w:t>13</w:t>
      </w:r>
      <w:r w:rsidR="000A3253" w:rsidRPr="00C27016">
        <w:rPr>
          <w:rFonts w:ascii="Times New Roman" w:hAnsi="Times New Roman" w:cs="Times New Roman"/>
          <w:sz w:val="24"/>
          <w:szCs w:val="24"/>
        </w:rPr>
        <w:t>C</w:t>
      </w:r>
      <w:r>
        <w:rPr>
          <w:rFonts w:ascii="Times New Roman" w:hAnsi="Times New Roman" w:cs="Times New Roman"/>
          <w:sz w:val="24"/>
          <w:szCs w:val="24"/>
        </w:rPr>
        <w:t xml:space="preserve"> due to the ongoing process of decomposition</w:t>
      </w:r>
      <w:r w:rsidR="000A3253" w:rsidRPr="00C27016">
        <w:rPr>
          <w:rFonts w:ascii="Times New Roman" w:hAnsi="Times New Roman" w:cs="Times New Roman"/>
          <w:sz w:val="24"/>
          <w:szCs w:val="24"/>
        </w:rPr>
        <w:t>, and thus mobilization of older, extracellular C would be in line</w:t>
      </w:r>
      <w:r w:rsidR="000A3253" w:rsidRPr="003B69F5">
        <w:rPr>
          <w:rFonts w:ascii="Times New Roman" w:hAnsi="Times New Roman" w:cs="Times New Roman"/>
          <w:sz w:val="24"/>
          <w:szCs w:val="24"/>
        </w:rPr>
        <w:t xml:space="preserve"> </w:t>
      </w:r>
      <w:r w:rsidR="000A3253" w:rsidRPr="00C27016">
        <w:rPr>
          <w:rFonts w:ascii="Times New Roman" w:hAnsi="Times New Roman" w:cs="Times New Roman"/>
          <w:sz w:val="24"/>
          <w:szCs w:val="24"/>
        </w:rPr>
        <w:t>with the observed shift in δ</w:t>
      </w:r>
      <w:r w:rsidR="000A3253" w:rsidRPr="00C27016">
        <w:rPr>
          <w:rFonts w:ascii="Times New Roman" w:hAnsi="Times New Roman" w:cs="Times New Roman"/>
          <w:sz w:val="24"/>
          <w:szCs w:val="24"/>
          <w:vertAlign w:val="superscript"/>
        </w:rPr>
        <w:t>13</w:t>
      </w:r>
      <w:r w:rsidR="000A3253" w:rsidRPr="00C27016">
        <w:rPr>
          <w:rFonts w:ascii="Times New Roman" w:hAnsi="Times New Roman" w:cs="Times New Roman"/>
          <w:sz w:val="24"/>
          <w:szCs w:val="24"/>
        </w:rPr>
        <w:t>C-CO</w:t>
      </w:r>
      <w:r w:rsidR="000A3253" w:rsidRPr="00C27016">
        <w:rPr>
          <w:rFonts w:ascii="Times New Roman" w:hAnsi="Times New Roman" w:cs="Times New Roman"/>
          <w:sz w:val="24"/>
          <w:szCs w:val="24"/>
          <w:vertAlign w:val="subscript"/>
        </w:rPr>
        <w:t>2</w:t>
      </w:r>
      <w:r w:rsidR="000A3253" w:rsidRPr="00C27016">
        <w:rPr>
          <w:rFonts w:ascii="Times New Roman" w:hAnsi="Times New Roman" w:cs="Times New Roman"/>
          <w:sz w:val="24"/>
          <w:szCs w:val="24"/>
        </w:rPr>
        <w:t xml:space="preserve"> seen in both the </w:t>
      </w:r>
      <w:r w:rsidR="000A3253">
        <w:rPr>
          <w:rFonts w:ascii="Times New Roman" w:hAnsi="Times New Roman" w:cs="Times New Roman"/>
          <w:sz w:val="24"/>
          <w:szCs w:val="24"/>
        </w:rPr>
        <w:t>air-dry/rewet</w:t>
      </w:r>
      <w:r w:rsidR="000A3253" w:rsidRPr="00C27016">
        <w:rPr>
          <w:rFonts w:ascii="Times New Roman" w:hAnsi="Times New Roman" w:cs="Times New Roman"/>
          <w:sz w:val="24"/>
          <w:szCs w:val="24"/>
        </w:rPr>
        <w:t xml:space="preserve"> and the </w:t>
      </w:r>
      <w:r w:rsidR="000A3253">
        <w:rPr>
          <w:rFonts w:ascii="Times New Roman" w:hAnsi="Times New Roman" w:cs="Times New Roman"/>
          <w:sz w:val="24"/>
          <w:szCs w:val="24"/>
        </w:rPr>
        <w:t>air-dry/rewet + storage</w:t>
      </w:r>
      <w:r w:rsidR="000A3253" w:rsidRPr="00C27016">
        <w:rPr>
          <w:rFonts w:ascii="Times New Roman" w:hAnsi="Times New Roman" w:cs="Times New Roman"/>
          <w:sz w:val="24"/>
          <w:szCs w:val="24"/>
        </w:rPr>
        <w:t xml:space="preserve"> samples </w:t>
      </w:r>
      <w:r w:rsidR="000A3253" w:rsidRPr="00C27016">
        <w:rPr>
          <w:rFonts w:ascii="Times New Roman" w:hAnsi="Times New Roman" w:cs="Times New Roman"/>
          <w:sz w:val="24"/>
          <w:szCs w:val="24"/>
        </w:rPr>
        <w:fldChar w:fldCharType="begin" w:fldLock="1"/>
      </w:r>
      <w:r w:rsidR="000A3253">
        <w:rPr>
          <w:rFonts w:ascii="Times New Roman" w:hAnsi="Times New Roman" w:cs="Times New Roman"/>
          <w:sz w:val="24"/>
          <w:szCs w:val="24"/>
        </w:rPr>
        <w:instrText>ADDIN CSL_CITATION {"citationItems":[{"id":"ITEM-1","itemData":{"DOI":"10.1016/j.gca.2004.09.003","ISSN":"00167037","abstract":"A depth- and particle size-specific analysis of soil organic carbon (SOC) and its isotopic composition was undertaken to investigate the effects of soil texture (or particle size) on the depth profile of stable carbon isotopic composition of SOC (δ13 CSOC) in two tropical soils. Depth-specific samples from two soil profiles of markedly different texture (coarse grained and fine grained) were separated into particle size classes and analyzed for the (mass/mass) concentration of SOC (C) and δ13 CSOC. Within 1 m of the soil surface, δ13 CSOC in the coarse-textured soil increases by 1.3 to 1.6‰, while δ13CSOC from the fine-textured soil increase by as much as 3.8 to 5.5‰. This increasing depth trend in the coarse-textured soil is approximately linear with respect to normalized C, while the increase in the fine-textured soil follows a logarithmic function with respect to normalized C. A model of Rayleigh distillation describing isotope fractionation during decomposition of soil organic matter (SOM) accounts for the depth profile of δ13CSOC in the fine-textured soil, but does not account for the depth profile observed in the coarse-textured soil despite their similar climate, vegetation, and topographic position. These results suggest that kinetic fractionation during humification of SOM leads to preferential accumulation of 13C in association with fine mineral particles, or aggregates of fine mineral particles in fine-textured soils. In contrast, the coarse-textured soil shows very little applicability of the Rayleigh distillation model. Rather, the depth profile of δ13CSOC in the coarse-textured soil can be accounted for by mixing of soil carbon with different isotopic ratios. Copyright © 2005 Elsevier Ltd.","author":[{"dropping-particle":"","family":"Wynn","given":"Jonathan G.","non-dropping-particle":"","parse-names":false,"suffix":""},{"dropping-particle":"","family":"Bird","given":"Michael I.","non-dropping-particle":"","parse-names":false,"suffix":""},{"dropping-particle":"","family":"Wong","given":"Vanessa N.L.","non-dropping-particle":"","parse-names":false,"suffix":""}],"container-title":"Geochimica et Cosmochimica Acta","id":"ITEM-1","issue":"8","issued":{"date-parts":[["2005"]]},"page":"1961-1973","title":"Rayleigh distillation and the depth profile of 13C/ 12C ratios of soil organic carbon from soils of disparate texture in Iron Range National Park, Far North Queensland, Australia","type":"article-journal","volume":"69"},"uris":["http://www.mendeley.com/documents/?uuid=d7ef6db7-fb73-45c0-a0ef-231a2f654393","http://www.mendeley.com/documents/?uuid=4710dbb3-e1d5-47d7-bdaa-262a068b91a3"]}],"mendeley":{"formattedCitation":"(Wynn et al., 2005)","plainTextFormattedCitation":"(Wynn et al., 2005)","previouslyFormattedCitation":"(Wynn et al., 2005)"},"properties":{"noteIndex":0},"schema":"https://github.com/citation-style-language/schema/raw/master/csl-citation.json"}</w:instrText>
      </w:r>
      <w:r w:rsidR="000A3253" w:rsidRPr="00C27016">
        <w:rPr>
          <w:rFonts w:ascii="Times New Roman" w:hAnsi="Times New Roman" w:cs="Times New Roman"/>
          <w:sz w:val="24"/>
          <w:szCs w:val="24"/>
        </w:rPr>
        <w:fldChar w:fldCharType="separate"/>
      </w:r>
      <w:r w:rsidR="000A3253" w:rsidRPr="005238BD">
        <w:rPr>
          <w:rFonts w:ascii="Times New Roman" w:hAnsi="Times New Roman" w:cs="Times New Roman"/>
          <w:noProof/>
          <w:sz w:val="24"/>
          <w:szCs w:val="24"/>
        </w:rPr>
        <w:t>(Wynn et al., 2005)</w:t>
      </w:r>
      <w:r w:rsidR="000A3253" w:rsidRPr="00C27016">
        <w:rPr>
          <w:rFonts w:ascii="Times New Roman" w:hAnsi="Times New Roman" w:cs="Times New Roman"/>
          <w:sz w:val="24"/>
          <w:szCs w:val="24"/>
        </w:rPr>
        <w:fldChar w:fldCharType="end"/>
      </w:r>
      <w:r w:rsidR="000A3253" w:rsidRPr="00C27016">
        <w:rPr>
          <w:rFonts w:ascii="Times New Roman" w:hAnsi="Times New Roman" w:cs="Times New Roman"/>
          <w:sz w:val="24"/>
          <w:szCs w:val="24"/>
        </w:rPr>
        <w:t xml:space="preserve">. </w:t>
      </w:r>
      <w:r>
        <w:rPr>
          <w:rFonts w:ascii="Times New Roman" w:hAnsi="Times New Roman" w:cs="Times New Roman"/>
          <w:sz w:val="24"/>
          <w:szCs w:val="24"/>
        </w:rPr>
        <w:t>As noted previously, the ∆</w:t>
      </w:r>
      <w:r w:rsidRPr="00B904CA">
        <w:rPr>
          <w:rFonts w:ascii="Times New Roman" w:hAnsi="Times New Roman" w:cs="Times New Roman"/>
          <w:sz w:val="24"/>
          <w:szCs w:val="24"/>
          <w:vertAlign w:val="superscript"/>
        </w:rPr>
        <w:t>14</w:t>
      </w:r>
      <w:r>
        <w:rPr>
          <w:rFonts w:ascii="Times New Roman" w:hAnsi="Times New Roman" w:cs="Times New Roman"/>
          <w:sz w:val="24"/>
          <w:szCs w:val="24"/>
        </w:rPr>
        <w:t xml:space="preserve">C unit accounts for mass-dependent fractionation effects, thus this phenomenon does not affect the radiocarbon results as reported. </w:t>
      </w:r>
    </w:p>
    <w:p w14:paraId="452ACA05" w14:textId="1A3CA7F8" w:rsidR="000A3253" w:rsidRDefault="004B3AE1" w:rsidP="000A3253">
      <w:pPr>
        <w:pStyle w:val="Normal1"/>
        <w:spacing w:before="240" w:after="120" w:line="360" w:lineRule="auto"/>
        <w:rPr>
          <w:rFonts w:ascii="Times New Roman" w:hAnsi="Times New Roman" w:cs="Times New Roman"/>
          <w:sz w:val="24"/>
          <w:szCs w:val="24"/>
        </w:rPr>
      </w:pPr>
      <w:r w:rsidRPr="00C27016">
        <w:rPr>
          <w:rFonts w:ascii="Times New Roman" w:hAnsi="Times New Roman" w:cs="Times New Roman"/>
          <w:sz w:val="24"/>
          <w:szCs w:val="24"/>
        </w:rPr>
        <w:t>We observed greater enrichment of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in forest soils than in grassland soils, which could indicate greater microbial recycling in forest soils or potentially more mobilization of mineral-associated</w:t>
      </w:r>
      <w:r w:rsidR="004F7482">
        <w:rPr>
          <w:rFonts w:ascii="Times New Roman" w:hAnsi="Times New Roman" w:cs="Times New Roman"/>
          <w:sz w:val="24"/>
          <w:szCs w:val="24"/>
        </w:rPr>
        <w:t xml:space="preserve"> organic</w:t>
      </w:r>
      <w:r w:rsidRPr="00C27016">
        <w:rPr>
          <w:rFonts w:ascii="Times New Roman" w:hAnsi="Times New Roman" w:cs="Times New Roman"/>
          <w:sz w:val="24"/>
          <w:szCs w:val="24"/>
        </w:rPr>
        <w:t xml:space="preserve"> </w:t>
      </w:r>
      <w:r w:rsidR="004F7482">
        <w:rPr>
          <w:rFonts w:ascii="Times New Roman" w:hAnsi="Times New Roman" w:cs="Times New Roman"/>
          <w:sz w:val="24"/>
          <w:szCs w:val="24"/>
        </w:rPr>
        <w:t>matter</w:t>
      </w:r>
      <w:r w:rsidRPr="00C27016">
        <w:rPr>
          <w:rFonts w:ascii="Times New Roman" w:hAnsi="Times New Roman" w:cs="Times New Roman"/>
          <w:sz w:val="24"/>
          <w:szCs w:val="24"/>
        </w:rPr>
        <w:t xml:space="preserve"> in forest soils than in grassland soils following treatment. Mineral-associated </w:t>
      </w:r>
      <w:r w:rsidR="004F7482">
        <w:rPr>
          <w:rFonts w:ascii="Times New Roman" w:hAnsi="Times New Roman" w:cs="Times New Roman"/>
          <w:sz w:val="24"/>
          <w:szCs w:val="24"/>
        </w:rPr>
        <w:t>organic matter</w:t>
      </w:r>
      <w:r w:rsidRPr="00C27016">
        <w:rPr>
          <w:rFonts w:ascii="Times New Roman" w:hAnsi="Times New Roman" w:cs="Times New Roman"/>
          <w:sz w:val="24"/>
          <w:szCs w:val="24"/>
        </w:rPr>
        <w:t xml:space="preserve"> has been shown to be more enriched in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as well as older on average than bulk soil organic matter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{"citationItems":[{"id":"ITEM-1","itemData":{"DOI":"10.5194/bg-10-1675-2013","ISBN":"1726-4170","ISSN":"17264189","PMID":"25990618","abstract":"Conceptual models suggest that stability of organic carbon (OC) in soil depends on the source of plant litter, occlusion within aggregates, incorporation in organomineral complexes, and location within the soil profile. Density fractionation is a useful tool to study the relevance of OC stabilization in aggregates and in association with minerals, but it has rarely been applied to full soil profiles. We aim to determine factors shaping the depth profiles of physically unprotected and mineral associated OC and test their relevance for OC stability across a range of European soils that vary in vegetation, soil types, parent material, and land use. At each of the 12 study sites, 10 soil cores were sampled to 60 cm depth and subjected to density separation. Bulk soil samples and density fractions (free light fractions - fLF, occluded light fractions - oLF, heavy fractions - HF) were analysed for OC, total nitrogen (TN), delta C-13, and Delta C-14. Bulk samples were also incubated to determine CO2 evolution per g OC in the samples (specific mineralization rates) as an indicator for OC stability. Depth profiles of OC in the light fraction (LF-OC) matched those of roots for undisturbed grassland and forest sites, suggesting that roots are shaping the depth distribution of LF-OC. Organic C in the HF declined less with soil depth than LF-OC and roots, especially at grassland sites. The decrease in Delta C-14 (increase in age) of HF-OC with soil depth was related to soil pH as well as to dissolved OC fluxes. This indicates that dissolved OC translocation contributes to the formation of subsoil HF-OC and shapes the Delta C-14 profiles. The LF at three sites were rather depleted in C-14, indicating the presence of fossil material such as coal and lignite, probably inherited from the parent material. At the other sites, modern Delta C-14 signatures and positive correlations between specific mineralization rates and fLF-OC indicate the fLF is a potentially available energy and nutrient source for subsurface microorganisms throughout the profile. Declining specific mineralization rates with soil depth confirm greater stability of OC in subsoils across sites. The overall importance of OC stabilization by binding to minerals was demonstrated by declining specific mineralization rates with increasing contributions of HF-OC to bulk soil OC, and the low Delta C-14 values of HF-OC. The stability of HF-OC was greater in subsoils than in topsoils; nevertheless, a portion of H…","author":[{"dropping-particle":"","family":"Schrumpf","given":"M.","non-dropping-particle":"","parse-names":false,"suffix":""},{"dropping-particle":"","family":"Kaiser","given":"K.","non-dropping-particle":"","parse-names":false,"suffix":""},{"dropping-particle":"","family":"Guggenberger","given":"G.","non-dropping-particle":"","parse-names":false,"suffix":""},{"dropping-particle":"","family":"Persson","given":"T.","non-dropping-particle":"","parse-names":false,"suffix":""},{"dropping-particle":"","family":"Kögel-Knabner","given":"I.","non-dropping-particle":"","parse-names":false,"suffix":""},{"dropping-particle":"","family":"Schulze","given":"E. D.","non-dropping-particle":"","parse-names":false,"suffix":""}],"container-title":"Biogeosciences","id":"ITEM-1","issue":"3","issued":{"date-parts":[["2013"]]},"page":"1675-1691","title":"Storage and stability of organic carbon in soils as related to depth, occlusion within aggregates, and attachment to minerals","type":"article-journal","volume":"10"},"uris":["http://www.mendeley.com/documents/?uuid=ce09ea65-96ae-4b50-af22-2f8defc8b7e4","http://www.mendeley.com/documents/?uuid=eb975b29-8614-45c0-b6a0-0937f58478fe"]}],"mendeley":{"formattedCitation":"(Schrumpf et al., 2013)","plainTextFormattedCitation":"(Schrumpf et al., 2013)","previouslyFormattedCitation":"(Schrumpf et al., 2013)"},"properties":{"noteIndex":0},"schema":"https://github.com/citation-style-language/schema/raw/master/csl-citation.json"}</w:instrText>
      </w:r>
      <w:r w:rsidRPr="00C27016">
        <w:rPr>
          <w:rFonts w:ascii="Times New Roman" w:hAnsi="Times New Roman" w:cs="Times New Roman"/>
          <w:sz w:val="24"/>
          <w:szCs w:val="24"/>
        </w:rPr>
        <w:fldChar w:fldCharType="separate"/>
      </w:r>
      <w:r w:rsidRPr="006C2651">
        <w:rPr>
          <w:rFonts w:ascii="Times New Roman" w:hAnsi="Times New Roman" w:cs="Times New Roman"/>
          <w:noProof/>
          <w:sz w:val="24"/>
          <w:szCs w:val="24"/>
        </w:rPr>
        <w:t>(Schrumpf et al., 2013)</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xml:space="preserve">, a combination of observations that suggest more mineral-associated </w:t>
      </w:r>
      <w:r w:rsidR="004F7482">
        <w:rPr>
          <w:rFonts w:ascii="Times New Roman" w:hAnsi="Times New Roman" w:cs="Times New Roman"/>
          <w:sz w:val="24"/>
          <w:szCs w:val="24"/>
        </w:rPr>
        <w:t>organic carbon</w:t>
      </w:r>
      <w:r w:rsidRPr="00C27016">
        <w:rPr>
          <w:rFonts w:ascii="Times New Roman" w:hAnsi="Times New Roman" w:cs="Times New Roman"/>
          <w:sz w:val="24"/>
          <w:szCs w:val="24"/>
        </w:rPr>
        <w:t xml:space="preserve"> may have been released upon rewetting in the forest soils than in the grassland soils. However, the similarity in the direction of the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response across forest and grassland soils (Supplemental Fig. 3) suggests that a similar mechanism is at work in both ecosystems.</w:t>
      </w:r>
    </w:p>
    <w:p w14:paraId="3C9E9FF7" w14:textId="1E17A803" w:rsidR="004B3AE1" w:rsidRPr="0011371B" w:rsidRDefault="00A85A39" w:rsidP="00411F44">
      <w:pPr>
        <w:pStyle w:val="Normal1"/>
        <w:spacing w:before="240" w:after="120" w:line="360" w:lineRule="auto"/>
        <w:ind w:firstLine="720"/>
        <w:rPr>
          <w:rFonts w:ascii="Times New Roman" w:eastAsia="Arial Unicode MS" w:hAnsi="Times New Roman" w:cs="Times New Roman"/>
          <w:sz w:val="24"/>
          <w:szCs w:val="24"/>
        </w:rPr>
      </w:pPr>
      <w:r>
        <w:rPr>
          <w:rFonts w:ascii="Times New Roman" w:eastAsia="Arial Unicode MS" w:hAnsi="Times New Roman" w:cs="Times New Roman"/>
          <w:sz w:val="24"/>
          <w:szCs w:val="24"/>
        </w:rPr>
        <w:t>4.6</w:t>
      </w:r>
      <w:r w:rsidR="004B3AE1">
        <w:rPr>
          <w:rFonts w:ascii="Times New Roman" w:eastAsia="Arial Unicode MS" w:hAnsi="Times New Roman" w:cs="Times New Roman"/>
          <w:sz w:val="24"/>
          <w:szCs w:val="24"/>
        </w:rPr>
        <w:t xml:space="preserve">. </w:t>
      </w:r>
      <w:r w:rsidR="0011371B">
        <w:rPr>
          <w:rFonts w:ascii="Times New Roman" w:eastAsia="Arial Unicode MS" w:hAnsi="Times New Roman" w:cs="Times New Roman"/>
          <w:sz w:val="24"/>
          <w:szCs w:val="24"/>
        </w:rPr>
        <w:t>Quantifying the</w:t>
      </w:r>
      <w:r w:rsidR="00411F44">
        <w:rPr>
          <w:rFonts w:ascii="Times New Roman" w:eastAsia="Arial Unicode MS" w:hAnsi="Times New Roman" w:cs="Times New Roman"/>
          <w:sz w:val="24"/>
          <w:szCs w:val="24"/>
        </w:rPr>
        <w:t xml:space="preserve"> treatment effect on ∆</w:t>
      </w:r>
      <w:r w:rsidR="00411F44" w:rsidRPr="00E80703">
        <w:rPr>
          <w:rFonts w:ascii="Times New Roman" w:eastAsia="Arial Unicode MS" w:hAnsi="Times New Roman" w:cs="Times New Roman"/>
          <w:sz w:val="24"/>
          <w:szCs w:val="24"/>
          <w:vertAlign w:val="superscript"/>
        </w:rPr>
        <w:t>14</w:t>
      </w:r>
      <w:r w:rsidR="00411F44">
        <w:rPr>
          <w:rFonts w:ascii="Times New Roman" w:eastAsia="Arial Unicode MS" w:hAnsi="Times New Roman" w:cs="Times New Roman"/>
          <w:sz w:val="24"/>
          <w:szCs w:val="24"/>
        </w:rPr>
        <w:t>C-CO</w:t>
      </w:r>
      <w:r w:rsidR="00411F44" w:rsidRPr="00E80703">
        <w:rPr>
          <w:rFonts w:ascii="Times New Roman" w:eastAsia="Arial Unicode MS" w:hAnsi="Times New Roman" w:cs="Times New Roman"/>
          <w:sz w:val="24"/>
          <w:szCs w:val="24"/>
          <w:vertAlign w:val="subscript"/>
        </w:rPr>
        <w:t>2</w:t>
      </w:r>
    </w:p>
    <w:p w14:paraId="4716E487" w14:textId="7AA74E40" w:rsidR="00F73987" w:rsidRDefault="004B3AE1" w:rsidP="000A3253">
      <w:pPr>
        <w:pStyle w:val="Normal1"/>
        <w:spacing w:before="240" w:after="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Nearly all of the forest soils analyzed in this study exhibited depletion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following air-drying</w:t>
      </w:r>
      <w:r w:rsidR="009B778D">
        <w:rPr>
          <w:rFonts w:ascii="Times New Roman" w:eastAsia="Arial Unicode MS" w:hAnsi="Times New Roman" w:cs="Times New Roman"/>
          <w:sz w:val="24"/>
          <w:szCs w:val="24"/>
        </w:rPr>
        <w:t>/rewet</w:t>
      </w:r>
      <w:r w:rsidRPr="00C27016">
        <w:rPr>
          <w:rFonts w:ascii="Times New Roman" w:eastAsia="Arial Unicode MS" w:hAnsi="Times New Roman" w:cs="Times New Roman"/>
          <w:sz w:val="24"/>
          <w:szCs w:val="24"/>
        </w:rPr>
        <w:t xml:space="preserve"> + storage</w:t>
      </w:r>
      <w:r w:rsidR="009B778D">
        <w:rPr>
          <w:rFonts w:ascii="Times New Roman" w:eastAsia="Arial Unicode MS" w:hAnsi="Times New Roman" w:cs="Times New Roman"/>
          <w:sz w:val="24"/>
          <w:szCs w:val="24"/>
        </w:rPr>
        <w:t xml:space="preserve"> treatment</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Fig. 3, </w:t>
      </w:r>
      <w:r w:rsidRPr="00C27016">
        <w:rPr>
          <w:rFonts w:ascii="Times New Roman" w:eastAsia="Arial Unicode MS" w:hAnsi="Times New Roman" w:cs="Times New Roman"/>
          <w:sz w:val="24"/>
          <w:szCs w:val="24"/>
        </w:rPr>
        <w:t xml:space="preserve">Fig. </w:t>
      </w:r>
      <w:r>
        <w:rPr>
          <w:rFonts w:ascii="Times New Roman" w:eastAsia="Arial Unicode MS" w:hAnsi="Times New Roman" w:cs="Times New Roman"/>
          <w:sz w:val="24"/>
          <w:szCs w:val="24"/>
        </w:rPr>
        <w:t>4</w:t>
      </w:r>
      <w:r w:rsidRPr="00C27016">
        <w:rPr>
          <w:rFonts w:ascii="Times New Roman" w:eastAsia="Arial Unicode MS" w:hAnsi="Times New Roman" w:cs="Times New Roman"/>
          <w:sz w:val="24"/>
          <w:szCs w:val="24"/>
        </w:rPr>
        <w:t xml:space="preserve">). </w:t>
      </w:r>
      <w:r w:rsidR="00411F44">
        <w:rPr>
          <w:rFonts w:ascii="Times New Roman" w:eastAsia="Arial Unicode MS" w:hAnsi="Times New Roman" w:cs="Times New Roman"/>
          <w:sz w:val="24"/>
          <w:szCs w:val="24"/>
        </w:rPr>
        <w:t>However, t</w:t>
      </w:r>
      <w:r w:rsidRPr="00C27016">
        <w:rPr>
          <w:rFonts w:ascii="Times New Roman" w:eastAsia="Arial Unicode MS" w:hAnsi="Times New Roman" w:cs="Times New Roman"/>
          <w:sz w:val="24"/>
          <w:szCs w:val="24"/>
        </w:rPr>
        <w:t xml:space="preserve">he depletion in the forest soils was greatest in the samples from Oak Ridge (magenta triangles, Fig. </w:t>
      </w:r>
      <w:r>
        <w:rPr>
          <w:rFonts w:ascii="Times New Roman" w:eastAsia="Arial Unicode MS" w:hAnsi="Times New Roman" w:cs="Times New Roman"/>
          <w:sz w:val="24"/>
          <w:szCs w:val="24"/>
        </w:rPr>
        <w:t>3)</w:t>
      </w:r>
      <w:r w:rsidRPr="00C27016">
        <w:rPr>
          <w:rFonts w:ascii="Times New Roman" w:eastAsia="Arial Unicode MS" w:hAnsi="Times New Roman" w:cs="Times New Roman"/>
          <w:sz w:val="24"/>
          <w:szCs w:val="24"/>
        </w:rPr>
        <w:t>, which had been substantially enriched in ∆</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 xml:space="preserve">C above background levels through artificial means. </w:t>
      </w:r>
      <w:r w:rsidR="00D4316D" w:rsidRPr="00D4316D">
        <w:rPr>
          <w:rFonts w:ascii="Times New Roman" w:eastAsia="Arial Unicode MS" w:hAnsi="Times New Roman" w:cs="Times New Roman"/>
          <w:sz w:val="24"/>
          <w:szCs w:val="24"/>
          <w:lang w:val="en-US"/>
        </w:rPr>
        <w:t xml:space="preserve">This localized </w:t>
      </w:r>
      <w:r w:rsidR="00D4316D" w:rsidRPr="00D4316D">
        <w:rPr>
          <w:rFonts w:ascii="Times New Roman" w:eastAsia="Arial Unicode MS" w:hAnsi="Times New Roman" w:cs="Times New Roman"/>
          <w:sz w:val="24"/>
          <w:szCs w:val="24"/>
          <w:vertAlign w:val="superscript"/>
          <w:lang w:val="en-US"/>
        </w:rPr>
        <w:t>14</w:t>
      </w:r>
      <w:r w:rsidR="00D4316D" w:rsidRPr="00D4316D">
        <w:rPr>
          <w:rFonts w:ascii="Times New Roman" w:eastAsia="Arial Unicode MS" w:hAnsi="Times New Roman" w:cs="Times New Roman"/>
          <w:sz w:val="24"/>
          <w:szCs w:val="24"/>
          <w:lang w:val="en-US"/>
        </w:rPr>
        <w:t xml:space="preserve">C plume was released from a nearby incinerator four years prior to sample collection, and resulted in </w:t>
      </w:r>
      <w:r w:rsidR="00D4316D" w:rsidRPr="00D4316D">
        <w:rPr>
          <w:rFonts w:ascii="Times New Roman" w:eastAsia="Arial Unicode MS" w:hAnsi="Times New Roman" w:cs="Times New Roman"/>
          <w:sz w:val="24"/>
          <w:szCs w:val="24"/>
          <w:vertAlign w:val="superscript"/>
          <w:lang w:val="en-US"/>
        </w:rPr>
        <w:t>14</w:t>
      </w:r>
      <w:r w:rsidR="00D4316D" w:rsidRPr="00D4316D">
        <w:rPr>
          <w:rFonts w:ascii="Times New Roman" w:eastAsia="Arial Unicode MS" w:hAnsi="Times New Roman" w:cs="Times New Roman"/>
          <w:sz w:val="24"/>
          <w:szCs w:val="24"/>
          <w:lang w:val="en-US"/>
        </w:rPr>
        <w:t xml:space="preserve">C enrichment of both surface litter and root inputs that persisted until the time of sample collection </w:t>
      </w:r>
      <w:r w:rsidR="00D4316D" w:rsidRPr="00D4316D">
        <w:rPr>
          <w:rFonts w:ascii="Times New Roman" w:eastAsia="Arial Unicode MS" w:hAnsi="Times New Roman" w:cs="Times New Roman"/>
          <w:sz w:val="24"/>
          <w:szCs w:val="24"/>
          <w:lang w:val="en-US"/>
        </w:rPr>
        <w:fldChar w:fldCharType="begin" w:fldLock="1"/>
      </w:r>
      <w:r w:rsidR="00D4316D" w:rsidRPr="00D4316D">
        <w:rPr>
          <w:rFonts w:ascii="Times New Roman" w:eastAsia="Arial Unicode MS" w:hAnsi="Times New Roman" w:cs="Times New Roman"/>
          <w:sz w:val="24"/>
          <w:szCs w:val="24"/>
          <w:lang w:val="en-US"/>
        </w:rPr>
        <w:instrText>ADDIN CSL_CITATION {"citationItems":[{"id":"ITEM-1","itemData":{"DOI":"10.1111/j.1365-2486.2005.001061.x","ISSN":"13541013","abstract":"Soil respiration is derived from heterotrophic (decomposition of soil organic matter) and autotrophic (root/rhizosphere respiration) sources, but there is considerable uncertainty about what factors control variations in their relative contributions in space and time. We took advantage of a unique whole-ecosystem radiocarbon label in a temperate forest to partition soil respiration into three sources: (1) recently photosynthesized carbon (C), which dominates root and rhizosphere respiration; (2) leaf litter decomposition and (3) decomposition of root litter and soil organic matter &gt; 1-2 years old. Heterotrophic sources and specifically leaf litter decomposition were large contributors to total soil respiration during the growing season. Relative contributions from leaf litter decomposition ranged from a low of similar to 1 3% of total soil respiration (6 3 mg C m(-2) h(-1)) when leaf litter was extremely dry, to a high of 42 16% (96 38 mg C m(-2) h(-1)). Total soil respiration fluxes varied with the strength of the leaf litter decomposition source, indicating that moisture-dependent changes in litter decomposition drive variability in total soil respiration fluxes. In the surface mineral soil layer, decomposition of C fixed in the original labeling event (3-5 years earlier) dominated the isotopic signature of heterotrophic respiration accounted for 16 10% to 64 22% of total soil respiration, with highest relative contributions coinciding with low overall soil respiration fluxes. In contrast to leaf litter decomposition, root respiration fluxes did not exhibit marked temporal variation ranging from 34 14 to 40 16 mg C m(-2) h(-1) at different times in the growing season with a single exception (88 35 mg C m(-2) h(-1)). Radiocarbon signatures of root respired CO2 changed markedly between early and late spring (March vs. May), suggesting a switch from stored nonstructural carbohydrate sources to more recent photosynthetic products.","author":[{"dropping-particle":"","family":"Cisneros-Dozal","given":"Luz Maria","non-dropping-particle":"","parse-names":false,"suffix":""},{"dropping-particle":"","family":"Trumbore","given":"Susan","non-dropping-particle":"","parse-names":false,"suffix":""},{"dropping-particle":"","family":"Hanson","given":"Paul J.","non-dropping-particle":"","parse-names":false,"suffix":""}],"container-title":"Global Change Biology","id":"ITEM-1","issue":"2","issued":{"date-parts":[["2006"]]},"page":"194-204","title":"Partitioning sources of soil-respired CO2 and their seasonal variation using a unique radiocarbon tracer","type":"article-journal","volume":"12"},"uris":["http://www.mendeley.com/documents/?uuid=82f1ae50-41b6-4b26-8a06-55396f123dfe","http://www.mendeley.com/documents/?uuid=8b6b91cd-d33c-44c9-b45c-d72b0ff944b0"]}],"mendeley":{"formattedCitation":"(Cisneros-Dozal et al., 2006)","plainTextFormattedCitation":"(Cisneros-Dozal et al., 2006)","previouslyFormattedCitation":"(Cisneros-Dozal et al., 2006)"},"properties":{"noteIndex":0},"schema":"https://github.com/citation-style-language/schema/raw/master/csl-citation.json"}</w:instrText>
      </w:r>
      <w:r w:rsidR="00D4316D" w:rsidRPr="00D4316D">
        <w:rPr>
          <w:rFonts w:ascii="Times New Roman" w:eastAsia="Arial Unicode MS" w:hAnsi="Times New Roman" w:cs="Times New Roman"/>
          <w:sz w:val="24"/>
          <w:szCs w:val="24"/>
          <w:lang w:val="en-US"/>
        </w:rPr>
        <w:fldChar w:fldCharType="separate"/>
      </w:r>
      <w:r w:rsidR="00D4316D" w:rsidRPr="00D4316D">
        <w:rPr>
          <w:rFonts w:ascii="Times New Roman" w:eastAsia="Arial Unicode MS" w:hAnsi="Times New Roman" w:cs="Times New Roman"/>
          <w:sz w:val="24"/>
          <w:szCs w:val="24"/>
          <w:lang w:val="en-US"/>
        </w:rPr>
        <w:t>(Cisneros-Dozal et al., 2006)</w:t>
      </w:r>
      <w:r w:rsidR="00D4316D" w:rsidRPr="00D4316D">
        <w:rPr>
          <w:rFonts w:ascii="Times New Roman" w:eastAsia="Arial Unicode MS" w:hAnsi="Times New Roman" w:cs="Times New Roman"/>
          <w:sz w:val="24"/>
          <w:szCs w:val="24"/>
        </w:rPr>
        <w:fldChar w:fldCharType="end"/>
      </w:r>
      <w:r w:rsidR="00D4316D" w:rsidRPr="00D4316D">
        <w:rPr>
          <w:rFonts w:ascii="Times New Roman" w:eastAsia="Arial Unicode MS" w:hAnsi="Times New Roman" w:cs="Times New Roman"/>
          <w:sz w:val="24"/>
          <w:szCs w:val="24"/>
          <w:lang w:val="en-US"/>
        </w:rPr>
        <w:t xml:space="preserve">. </w:t>
      </w:r>
      <w:r w:rsidRPr="00C27016">
        <w:rPr>
          <w:rFonts w:ascii="Times New Roman" w:eastAsia="Arial Unicode MS" w:hAnsi="Times New Roman" w:cs="Times New Roman"/>
          <w:sz w:val="24"/>
          <w:szCs w:val="24"/>
        </w:rPr>
        <w:t>These samples were included precisely because the highly enriched label was concentrated in the most recently fixed carbon, and therefore should be a sensitive indicator of mobili</w:t>
      </w:r>
      <w:r w:rsidR="00D4316D">
        <w:rPr>
          <w:rFonts w:ascii="Times New Roman" w:eastAsia="Arial Unicode MS" w:hAnsi="Times New Roman" w:cs="Times New Roman"/>
          <w:sz w:val="24"/>
          <w:szCs w:val="24"/>
        </w:rPr>
        <w:t>zation of older (&gt; 4</w:t>
      </w:r>
      <w:r w:rsidRPr="00C27016">
        <w:rPr>
          <w:rFonts w:ascii="Times New Roman" w:eastAsia="Arial Unicode MS" w:hAnsi="Times New Roman" w:cs="Times New Roman"/>
          <w:sz w:val="24"/>
          <w:szCs w:val="24"/>
        </w:rPr>
        <w:t xml:space="preserve"> y) versus younger soil carbon.</w:t>
      </w:r>
    </w:p>
    <w:p w14:paraId="145C1E21" w14:textId="38412CEA" w:rsidR="004B3AE1" w:rsidRDefault="0011371B" w:rsidP="000A3253">
      <w:pPr>
        <w:pStyle w:val="Normal1"/>
        <w:spacing w:before="240" w:after="120" w:line="360" w:lineRule="auto"/>
        <w:rPr>
          <w:rFonts w:ascii="Times New Roman" w:hAnsi="Times New Roman" w:cs="Times New Roman"/>
          <w:sz w:val="24"/>
          <w:szCs w:val="24"/>
        </w:rPr>
      </w:pPr>
      <w:r>
        <w:rPr>
          <w:rFonts w:ascii="Times New Roman" w:eastAsia="Arial Unicode MS" w:hAnsi="Times New Roman" w:cs="Times New Roman"/>
          <w:sz w:val="24"/>
          <w:szCs w:val="24"/>
        </w:rPr>
        <w:t>O</w:t>
      </w:r>
      <w:r w:rsidR="00411F44">
        <w:rPr>
          <w:rFonts w:ascii="Times New Roman" w:eastAsia="Arial Unicode MS" w:hAnsi="Times New Roman" w:cs="Times New Roman"/>
          <w:sz w:val="24"/>
          <w:szCs w:val="24"/>
        </w:rPr>
        <w:t xml:space="preserve">ne explanation for </w:t>
      </w:r>
      <w:r w:rsidR="004B3AE1" w:rsidRPr="00C27016">
        <w:rPr>
          <w:rFonts w:ascii="Times New Roman" w:eastAsia="Arial Unicode MS" w:hAnsi="Times New Roman" w:cs="Times New Roman"/>
          <w:sz w:val="24"/>
          <w:szCs w:val="24"/>
        </w:rPr>
        <w:t xml:space="preserve">the </w:t>
      </w:r>
      <w:r w:rsidR="00411F44">
        <w:rPr>
          <w:rFonts w:ascii="Times New Roman" w:eastAsia="Arial Unicode MS" w:hAnsi="Times New Roman" w:cs="Times New Roman"/>
          <w:sz w:val="24"/>
          <w:szCs w:val="24"/>
        </w:rPr>
        <w:t xml:space="preserve">greater shift observed for the </w:t>
      </w:r>
      <w:r w:rsidR="004B3AE1" w:rsidRPr="00C27016">
        <w:rPr>
          <w:rFonts w:ascii="Times New Roman" w:eastAsia="Arial Unicode MS" w:hAnsi="Times New Roman" w:cs="Times New Roman"/>
          <w:sz w:val="24"/>
          <w:szCs w:val="24"/>
        </w:rPr>
        <w:t xml:space="preserve">Oak Ridge </w:t>
      </w:r>
      <w:r>
        <w:rPr>
          <w:rFonts w:ascii="Times New Roman" w:eastAsia="Arial Unicode MS" w:hAnsi="Times New Roman" w:cs="Times New Roman"/>
          <w:sz w:val="24"/>
          <w:szCs w:val="24"/>
        </w:rPr>
        <w:t>soils</w:t>
      </w:r>
      <w:r w:rsidR="004B3AE1"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as compared to the non-labeled forest soils </w:t>
      </w:r>
      <w:r w:rsidR="00411F44">
        <w:rPr>
          <w:rFonts w:ascii="Times New Roman" w:eastAsia="Arial Unicode MS" w:hAnsi="Times New Roman" w:cs="Times New Roman"/>
          <w:sz w:val="24"/>
          <w:szCs w:val="24"/>
        </w:rPr>
        <w:t xml:space="preserve">is </w:t>
      </w:r>
      <w:r>
        <w:rPr>
          <w:rFonts w:ascii="Times New Roman" w:eastAsia="Arial Unicode MS" w:hAnsi="Times New Roman" w:cs="Times New Roman"/>
          <w:sz w:val="24"/>
          <w:szCs w:val="24"/>
        </w:rPr>
        <w:t>that for these</w:t>
      </w:r>
      <w:r w:rsidR="009B778D">
        <w:rPr>
          <w:rFonts w:ascii="Times New Roman" w:eastAsia="Arial Unicode MS" w:hAnsi="Times New Roman" w:cs="Times New Roman"/>
          <w:sz w:val="24"/>
          <w:szCs w:val="24"/>
        </w:rPr>
        <w:t xml:space="preserve"> labeled</w:t>
      </w:r>
      <w:r>
        <w:rPr>
          <w:rFonts w:ascii="Times New Roman" w:eastAsia="Arial Unicode MS" w:hAnsi="Times New Roman" w:cs="Times New Roman"/>
          <w:sz w:val="24"/>
          <w:szCs w:val="24"/>
        </w:rPr>
        <w:t xml:space="preserve"> soils there is a </w:t>
      </w:r>
      <w:r w:rsidR="00411F44">
        <w:rPr>
          <w:rFonts w:ascii="Times New Roman" w:hAnsi="Times New Roman" w:cs="Times New Roman"/>
          <w:sz w:val="24"/>
          <w:szCs w:val="24"/>
        </w:rPr>
        <w:t>greater difference between the</w:t>
      </w:r>
      <w:r w:rsidR="004B3AE1" w:rsidRPr="00C27016">
        <w:rPr>
          <w:rFonts w:ascii="Times New Roman" w:hAnsi="Times New Roman" w:cs="Times New Roman"/>
          <w:sz w:val="24"/>
          <w:szCs w:val="24"/>
        </w:rPr>
        <w:t xml:space="preserve"> carbon </w:t>
      </w:r>
      <w:r w:rsidR="00411F44">
        <w:rPr>
          <w:rFonts w:ascii="Times New Roman" w:hAnsi="Times New Roman" w:cs="Times New Roman"/>
          <w:sz w:val="24"/>
          <w:szCs w:val="24"/>
        </w:rPr>
        <w:t>fixed in the past two decades as compared to the labeled carbon introduced to the so</w:t>
      </w:r>
      <w:r w:rsidR="00776711">
        <w:rPr>
          <w:rFonts w:ascii="Times New Roman" w:hAnsi="Times New Roman" w:cs="Times New Roman"/>
          <w:sz w:val="24"/>
          <w:szCs w:val="24"/>
        </w:rPr>
        <w:t xml:space="preserve">il in the past four years </w:t>
      </w:r>
      <w:r>
        <w:rPr>
          <w:rFonts w:ascii="Times New Roman" w:hAnsi="Times New Roman" w:cs="Times New Roman"/>
          <w:sz w:val="24"/>
          <w:szCs w:val="24"/>
        </w:rPr>
        <w:t>than the difference between ∆</w:t>
      </w:r>
      <w:r w:rsidRPr="0011371B">
        <w:rPr>
          <w:rFonts w:ascii="Times New Roman" w:hAnsi="Times New Roman" w:cs="Times New Roman"/>
          <w:sz w:val="24"/>
          <w:szCs w:val="24"/>
          <w:vertAlign w:val="superscript"/>
        </w:rPr>
        <w:t>14</w:t>
      </w:r>
      <w:r>
        <w:rPr>
          <w:rFonts w:ascii="Times New Roman" w:hAnsi="Times New Roman" w:cs="Times New Roman"/>
          <w:sz w:val="24"/>
          <w:szCs w:val="24"/>
        </w:rPr>
        <w:t>C of the atmosphere two decades previously and the ∆</w:t>
      </w:r>
      <w:r w:rsidRPr="0011371B">
        <w:rPr>
          <w:rFonts w:ascii="Times New Roman" w:hAnsi="Times New Roman" w:cs="Times New Roman"/>
          <w:sz w:val="24"/>
          <w:szCs w:val="24"/>
          <w:vertAlign w:val="superscript"/>
        </w:rPr>
        <w:t>14</w:t>
      </w:r>
      <w:r>
        <w:rPr>
          <w:rFonts w:ascii="Times New Roman" w:hAnsi="Times New Roman" w:cs="Times New Roman"/>
          <w:sz w:val="24"/>
          <w:szCs w:val="24"/>
        </w:rPr>
        <w:t>C of atmospheric C fixed in the past decade for the non-labeled forest soils. This could indicate that C mobilized by air-drying and rewetting comes primarily from CO</w:t>
      </w:r>
      <w:r w:rsidRPr="0011371B">
        <w:rPr>
          <w:rFonts w:ascii="Times New Roman" w:hAnsi="Times New Roman" w:cs="Times New Roman"/>
          <w:sz w:val="24"/>
          <w:szCs w:val="24"/>
          <w:vertAlign w:val="subscript"/>
        </w:rPr>
        <w:t>2</w:t>
      </w:r>
      <w:r>
        <w:rPr>
          <w:rFonts w:ascii="Times New Roman" w:hAnsi="Times New Roman" w:cs="Times New Roman"/>
          <w:sz w:val="24"/>
          <w:szCs w:val="24"/>
        </w:rPr>
        <w:t xml:space="preserve"> fixed from the atmosphere one to two decades previously</w:t>
      </w:r>
      <w:r w:rsidR="003206AA">
        <w:rPr>
          <w:rFonts w:ascii="Times New Roman" w:hAnsi="Times New Roman" w:cs="Times New Roman"/>
          <w:sz w:val="24"/>
          <w:szCs w:val="24"/>
        </w:rPr>
        <w:t xml:space="preserve"> in forest soils</w:t>
      </w:r>
      <w:r>
        <w:rPr>
          <w:rFonts w:ascii="Times New Roman" w:hAnsi="Times New Roman" w:cs="Times New Roman"/>
          <w:sz w:val="24"/>
          <w:szCs w:val="24"/>
        </w:rPr>
        <w:t>. Alternatively, the greater difference observed in t</w:t>
      </w:r>
      <w:r w:rsidR="003206AA">
        <w:rPr>
          <w:rFonts w:ascii="Times New Roman" w:hAnsi="Times New Roman" w:cs="Times New Roman"/>
          <w:sz w:val="24"/>
          <w:szCs w:val="24"/>
        </w:rPr>
        <w:t xml:space="preserve">he Oak Ridge samples may suggest that the </w:t>
      </w:r>
      <w:r>
        <w:rPr>
          <w:rFonts w:ascii="Times New Roman" w:hAnsi="Times New Roman" w:cs="Times New Roman"/>
          <w:sz w:val="24"/>
          <w:szCs w:val="24"/>
        </w:rPr>
        <w:t>most recently fixed carbon</w:t>
      </w:r>
      <w:r w:rsidR="003206AA">
        <w:rPr>
          <w:rFonts w:ascii="Times New Roman" w:hAnsi="Times New Roman" w:cs="Times New Roman"/>
          <w:sz w:val="24"/>
          <w:szCs w:val="24"/>
        </w:rPr>
        <w:t xml:space="preserve"> in archived soils is lost</w:t>
      </w:r>
      <w:r>
        <w:rPr>
          <w:rFonts w:ascii="Times New Roman" w:hAnsi="Times New Roman" w:cs="Times New Roman"/>
          <w:sz w:val="24"/>
          <w:szCs w:val="24"/>
        </w:rPr>
        <w:t xml:space="preserve"> over the storage period.</w:t>
      </w:r>
      <w:r w:rsidR="003206AA">
        <w:rPr>
          <w:rFonts w:ascii="Times New Roman" w:hAnsi="Times New Roman" w:cs="Times New Roman"/>
          <w:sz w:val="24"/>
          <w:szCs w:val="24"/>
        </w:rPr>
        <w:t xml:space="preserve"> However, given that storage of air-dried samples has not been linked to substantial loss of soil C in previous studies, this seems unlikely.</w:t>
      </w:r>
    </w:p>
    <w:p w14:paraId="18004B97" w14:textId="0F51FF4C" w:rsidR="003206AA" w:rsidRDefault="003206AA" w:rsidP="000A3253">
      <w:pPr>
        <w:pStyle w:val="Normal1"/>
        <w:spacing w:before="240" w:after="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In contrast to the forest sites, almost all of the soils from grassland sites exhibited enrichment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following air-drying + storage (Fig. 3). However, our interpretation is that these data are consistent with the same general mechanism as in forests: air-drying and rewetting of grassland soils increases the contribution of more slowly cycling carbon to respiration. There are two compelling explanations for why this increased contribution from the slow pool leads to enrichment in grasslands in our dataset, rather than depletion as in the majority of the forest soils we analyzed. First, the oldest grassland samples analyzed were not collected until 2011, on average several years later than the f</w:t>
      </w:r>
      <w:r>
        <w:rPr>
          <w:rFonts w:ascii="Times New Roman" w:hAnsi="Times New Roman" w:cs="Times New Roman"/>
          <w:sz w:val="24"/>
          <w:szCs w:val="24"/>
        </w:rPr>
        <w:t>orest soils. S</w:t>
      </w:r>
      <w:r w:rsidRPr="00C27016">
        <w:rPr>
          <w:rFonts w:ascii="Times New Roman" w:hAnsi="Times New Roman" w:cs="Times New Roman"/>
          <w:sz w:val="24"/>
          <w:szCs w:val="24"/>
        </w:rPr>
        <w:t>econd, as discussed previously, the crossing point of the fastest cycling soil carbon pool and the more slowly cycling pools should occur earlier in grassland soils due to a smaller vegetative lag effect. The grassland soils that were observed in both 2011 (Experiment 1) and 2019 (Experiment 2) showed enrichment following air-drying and rewetting</w:t>
      </w:r>
      <w:r>
        <w:rPr>
          <w:rFonts w:ascii="Times New Roman" w:hAnsi="Times New Roman" w:cs="Times New Roman"/>
          <w:sz w:val="24"/>
          <w:szCs w:val="24"/>
        </w:rPr>
        <w:t xml:space="preserve"> (Fig. 5)</w:t>
      </w:r>
      <w:r w:rsidRPr="00C27016">
        <w:rPr>
          <w:rFonts w:ascii="Times New Roman" w:hAnsi="Times New Roman" w:cs="Times New Roman"/>
          <w:sz w:val="24"/>
          <w:szCs w:val="24"/>
        </w:rPr>
        <w:t>, suggesting that the crossing point of the slow and fast cycling carbon curves occurred prior to 2011 in these soils.</w:t>
      </w:r>
    </w:p>
    <w:p w14:paraId="1D6760A1" w14:textId="77777777" w:rsidR="00A85A39" w:rsidRDefault="003206AA" w:rsidP="00362DCA">
      <w:pPr>
        <w:pStyle w:val="Normal1"/>
        <w:spacing w:before="240" w:after="120" w:line="360" w:lineRule="auto"/>
        <w:rPr>
          <w:rFonts w:ascii="Times New Roman" w:hAnsi="Times New Roman" w:cs="Times New Roman"/>
          <w:b/>
          <w:sz w:val="24"/>
          <w:szCs w:val="24"/>
        </w:rPr>
      </w:pPr>
      <w:r w:rsidRPr="00C27016">
        <w:rPr>
          <w:rFonts w:ascii="Times New Roman" w:eastAsia="Arial Unicode MS" w:hAnsi="Times New Roman" w:cs="Times New Roman"/>
          <w:sz w:val="24"/>
          <w:szCs w:val="24"/>
        </w:rPr>
        <w:t xml:space="preserve">While we cannot say with certainty </w:t>
      </w:r>
      <w:r>
        <w:rPr>
          <w:rFonts w:ascii="Times New Roman" w:eastAsia="Arial Unicode MS" w:hAnsi="Times New Roman" w:cs="Times New Roman"/>
          <w:sz w:val="24"/>
          <w:szCs w:val="24"/>
        </w:rPr>
        <w:t>what mechanism</w:t>
      </w:r>
      <w:r w:rsidRPr="00C27016">
        <w:rPr>
          <w:rFonts w:ascii="Times New Roman" w:eastAsia="Arial Unicode MS" w:hAnsi="Times New Roman" w:cs="Times New Roman"/>
          <w:sz w:val="24"/>
          <w:szCs w:val="24"/>
        </w:rPr>
        <w:t xml:space="preserve"> is driving the response observed, the mobilization of a larger pool of soil C following rewetting of grassland soils is supported by the significantly greater increase in respiration rates that we observed in grassland soils as compared to forest soils. Howev</w:t>
      </w:r>
      <w:r>
        <w:rPr>
          <w:rFonts w:ascii="Times New Roman" w:eastAsia="Arial Unicode MS" w:hAnsi="Times New Roman" w:cs="Times New Roman"/>
          <w:sz w:val="24"/>
          <w:szCs w:val="24"/>
        </w:rPr>
        <w:t xml:space="preserve">er, </w:t>
      </w:r>
      <w:r w:rsidRPr="00C27016">
        <w:rPr>
          <w:rFonts w:ascii="Times New Roman" w:hAnsi="Times New Roman" w:cs="Times New Roman"/>
          <w:sz w:val="24"/>
          <w:szCs w:val="24"/>
        </w:rPr>
        <w:t xml:space="preserve">it is clear that </w:t>
      </w:r>
      <w:r>
        <w:rPr>
          <w:rFonts w:ascii="Times New Roman" w:hAnsi="Times New Roman" w:cs="Times New Roman"/>
          <w:sz w:val="24"/>
          <w:szCs w:val="24"/>
        </w:rPr>
        <w:t xml:space="preserve">overall </w:t>
      </w:r>
      <w:r w:rsidRPr="00C27016">
        <w:rPr>
          <w:rFonts w:ascii="Times New Roman" w:hAnsi="Times New Roman" w:cs="Times New Roman"/>
          <w:sz w:val="24"/>
          <w:szCs w:val="24"/>
        </w:rPr>
        <w:t>treatment differences are not driven solely by the amount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w:t>
      </w:r>
      <w:r>
        <w:rPr>
          <w:rFonts w:ascii="Times New Roman" w:hAnsi="Times New Roman" w:cs="Times New Roman"/>
          <w:sz w:val="24"/>
          <w:szCs w:val="24"/>
        </w:rPr>
        <w:t xml:space="preserve">d, but rather by changes in the carbon </w:t>
      </w:r>
      <w:r w:rsidRPr="00C27016">
        <w:rPr>
          <w:rFonts w:ascii="Times New Roman" w:hAnsi="Times New Roman" w:cs="Times New Roman"/>
          <w:sz w:val="24"/>
          <w:szCs w:val="24"/>
        </w:rPr>
        <w:t>pools fueling respiration</w:t>
      </w:r>
      <w:r>
        <w:rPr>
          <w:rFonts w:ascii="Times New Roman" w:hAnsi="Times New Roman" w:cs="Times New Roman"/>
          <w:sz w:val="24"/>
          <w:szCs w:val="24"/>
        </w:rPr>
        <w:t>. This general response holds across both</w:t>
      </w:r>
      <w:r w:rsidRPr="003206AA">
        <w:rPr>
          <w:rFonts w:ascii="Times New Roman" w:hAnsi="Times New Roman" w:cs="Times New Roman"/>
          <w:sz w:val="24"/>
          <w:szCs w:val="24"/>
        </w:rPr>
        <w:t xml:space="preserve"> </w:t>
      </w:r>
      <w:r>
        <w:rPr>
          <w:rFonts w:ascii="Times New Roman" w:hAnsi="Times New Roman" w:cs="Times New Roman"/>
          <w:sz w:val="24"/>
          <w:szCs w:val="24"/>
        </w:rPr>
        <w:t xml:space="preserve">forest and grasslands soils, and is </w:t>
      </w:r>
      <w:r>
        <w:rPr>
          <w:rFonts w:ascii="Times New Roman" w:eastAsia="Arial Unicode MS" w:hAnsi="Times New Roman" w:cs="Times New Roman"/>
          <w:sz w:val="24"/>
          <w:szCs w:val="24"/>
        </w:rPr>
        <w:t xml:space="preserve">supported by </w:t>
      </w:r>
      <w:r w:rsidR="003947C9">
        <w:rPr>
          <w:rFonts w:ascii="Times New Roman" w:eastAsia="Arial Unicode MS" w:hAnsi="Times New Roman" w:cs="Times New Roman"/>
          <w:sz w:val="24"/>
          <w:szCs w:val="24"/>
        </w:rPr>
        <w:t xml:space="preserve">1) </w:t>
      </w:r>
      <w:r>
        <w:rPr>
          <w:rFonts w:ascii="Times New Roman" w:eastAsia="Arial Unicode MS" w:hAnsi="Times New Roman" w:cs="Times New Roman"/>
          <w:sz w:val="24"/>
          <w:szCs w:val="24"/>
        </w:rPr>
        <w:t>we did not observe a significant difference</w:t>
      </w:r>
      <w:r w:rsidRPr="00C27016">
        <w:rPr>
          <w:rFonts w:ascii="Times New Roman" w:eastAsia="Arial Unicode MS" w:hAnsi="Times New Roman" w:cs="Times New Roman"/>
          <w:sz w:val="24"/>
          <w:szCs w:val="24"/>
        </w:rPr>
        <w:t xml:space="preserve"> between </w:t>
      </w:r>
      <w:r w:rsidR="003947C9">
        <w:rPr>
          <w:rFonts w:ascii="Times New Roman" w:eastAsia="Arial Unicode MS" w:hAnsi="Times New Roman" w:cs="Times New Roman"/>
          <w:sz w:val="24"/>
          <w:szCs w:val="24"/>
        </w:rPr>
        <w:t xml:space="preserve">the rewetting pulse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and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3947C9">
        <w:rPr>
          <w:rFonts w:ascii="Times New Roman" w:hAnsi="Times New Roman" w:cs="Times New Roman"/>
          <w:sz w:val="24"/>
          <w:szCs w:val="24"/>
        </w:rPr>
        <w:t>CO</w:t>
      </w:r>
      <w:r w:rsidR="003947C9" w:rsidRPr="003947C9">
        <w:rPr>
          <w:rFonts w:ascii="Times New Roman" w:hAnsi="Times New Roman" w:cs="Times New Roman"/>
          <w:sz w:val="24"/>
          <w:szCs w:val="24"/>
          <w:vertAlign w:val="subscript"/>
        </w:rPr>
        <w:t>2</w:t>
      </w:r>
      <w:r w:rsidR="003947C9">
        <w:rPr>
          <w:rFonts w:ascii="Times New Roman" w:hAnsi="Times New Roman" w:cs="Times New Roman"/>
          <w:sz w:val="24"/>
          <w:szCs w:val="24"/>
        </w:rPr>
        <w:t xml:space="preserve"> release in the second enclosure period </w:t>
      </w:r>
      <w:r w:rsidRPr="003947C9">
        <w:rPr>
          <w:rFonts w:ascii="Times New Roman" w:hAnsi="Times New Roman" w:cs="Times New Roman"/>
          <w:sz w:val="24"/>
          <w:szCs w:val="24"/>
        </w:rPr>
        <w:t>within</w:t>
      </w:r>
      <w:r>
        <w:rPr>
          <w:rFonts w:ascii="Times New Roman" w:hAnsi="Times New Roman" w:cs="Times New Roman"/>
          <w:sz w:val="24"/>
          <w:szCs w:val="24"/>
        </w:rPr>
        <w:t xml:space="preserve"> incubations,</w:t>
      </w:r>
      <w:r w:rsidR="003947C9">
        <w:rPr>
          <w:rFonts w:ascii="Times New Roman" w:hAnsi="Times New Roman" w:cs="Times New Roman"/>
          <w:sz w:val="24"/>
          <w:szCs w:val="24"/>
        </w:rPr>
        <w:t xml:space="preserve"> 2)</w:t>
      </w:r>
      <w:r>
        <w:rPr>
          <w:rFonts w:ascii="Times New Roman" w:hAnsi="Times New Roman" w:cs="Times New Roman"/>
          <w:sz w:val="24"/>
          <w:szCs w:val="24"/>
        </w:rPr>
        <w:t xml:space="preserve"> nor did we observe a</w:t>
      </w:r>
      <w:r w:rsidRPr="00C27016">
        <w:rPr>
          <w:rFonts w:ascii="Times New Roman" w:hAnsi="Times New Roman" w:cs="Times New Roman"/>
          <w:sz w:val="24"/>
          <w:szCs w:val="24"/>
        </w:rPr>
        <w:t xml:space="preserve"> significant relationship between the amount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released and</w:t>
      </w:r>
      <w:r>
        <w:rPr>
          <w:rFonts w:ascii="Times New Roman" w:hAnsi="Times New Roman" w:cs="Times New Roman"/>
          <w:sz w:val="24"/>
          <w:szCs w:val="24"/>
        </w:rPr>
        <w:t xml:space="preserve"> the</w:t>
      </w:r>
      <w:r w:rsidRPr="00C27016">
        <w:rPr>
          <w:rFonts w:ascii="Times New Roman" w:hAnsi="Times New Roman" w:cs="Times New Roman"/>
          <w:sz w:val="24"/>
          <w:szCs w:val="24"/>
        </w:rPr>
        <w:t xml:space="preserve"> difference </w:t>
      </w:r>
      <w:r>
        <w:rPr>
          <w:rFonts w:ascii="Times New Roman" w:hAnsi="Times New Roman" w:cs="Times New Roman"/>
          <w:sz w:val="24"/>
          <w:szCs w:val="24"/>
        </w:rPr>
        <w:t xml:space="preserve">observed </w:t>
      </w:r>
      <w:r w:rsidRPr="00C27016">
        <w:rPr>
          <w:rFonts w:ascii="Times New Roman" w:hAnsi="Times New Roman" w:cs="Times New Roman"/>
          <w:sz w:val="24"/>
          <w:szCs w:val="24"/>
        </w:rPr>
        <w:t>between control and treatment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w:t>
      </w:r>
      <w:r w:rsidR="00A85A39" w:rsidRPr="00A85A39">
        <w:rPr>
          <w:rFonts w:ascii="Times New Roman" w:hAnsi="Times New Roman" w:cs="Times New Roman"/>
          <w:b/>
          <w:sz w:val="24"/>
          <w:szCs w:val="24"/>
        </w:rPr>
        <w:t xml:space="preserve"> </w:t>
      </w:r>
    </w:p>
    <w:p w14:paraId="3778A96B" w14:textId="21F2B5EA" w:rsidR="00A85A39" w:rsidRPr="00C27016" w:rsidRDefault="00A85A39" w:rsidP="00A85A39">
      <w:pPr>
        <w:pStyle w:val="Normal1"/>
        <w:spacing w:before="240" w:after="120" w:line="360" w:lineRule="auto"/>
        <w:ind w:firstLine="720"/>
        <w:rPr>
          <w:rFonts w:ascii="Times New Roman" w:hAnsi="Times New Roman" w:cs="Times New Roman"/>
          <w:b/>
          <w:sz w:val="24"/>
          <w:szCs w:val="24"/>
        </w:rPr>
      </w:pPr>
      <w:r w:rsidRPr="00C27016">
        <w:rPr>
          <w:rFonts w:ascii="Times New Roman" w:hAnsi="Times New Roman" w:cs="Times New Roman"/>
          <w:b/>
          <w:sz w:val="24"/>
          <w:szCs w:val="24"/>
        </w:rPr>
        <w:t>5</w:t>
      </w:r>
      <w:r>
        <w:rPr>
          <w:rFonts w:ascii="Times New Roman" w:hAnsi="Times New Roman" w:cs="Times New Roman"/>
          <w:b/>
          <w:sz w:val="24"/>
          <w:szCs w:val="24"/>
        </w:rPr>
        <w:t>.</w:t>
      </w:r>
      <w:r w:rsidRPr="00C27016">
        <w:rPr>
          <w:rFonts w:ascii="Times New Roman" w:hAnsi="Times New Roman" w:cs="Times New Roman"/>
          <w:b/>
          <w:sz w:val="24"/>
          <w:szCs w:val="24"/>
        </w:rPr>
        <w:t xml:space="preserve"> Conclusion</w:t>
      </w:r>
    </w:p>
    <w:p w14:paraId="0D4760B2" w14:textId="1278B500" w:rsidR="00484ABF" w:rsidRDefault="00A85A39" w:rsidP="000A3253">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Air-drying and rewetting of soils leads to significant differences in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in laboratory incubations when compared to incubations of the same soils without air-drying. The magnitude of these differences do not appear to be affected by the durat</w:t>
      </w:r>
      <w:r>
        <w:rPr>
          <w:rFonts w:ascii="Times New Roman" w:hAnsi="Times New Roman" w:cs="Times New Roman"/>
          <w:sz w:val="24"/>
          <w:szCs w:val="24"/>
        </w:rPr>
        <w:t>ion of storage and are within 25</w:t>
      </w:r>
      <w:r w:rsidRPr="00C27016">
        <w:rPr>
          <w:rFonts w:ascii="Times New Roman" w:hAnsi="Times New Roman" w:cs="Times New Roman"/>
          <w:sz w:val="24"/>
          <w:szCs w:val="24"/>
        </w:rPr>
        <w:t>‰ for the majority of forest soils and 40‰ for the more limited number of grassland samples studied</w:t>
      </w:r>
      <w:r>
        <w:rPr>
          <w:rFonts w:ascii="Times New Roman" w:hAnsi="Times New Roman" w:cs="Times New Roman"/>
          <w:sz w:val="24"/>
          <w:szCs w:val="24"/>
        </w:rPr>
        <w:t>. Mean differences between control and treatment incubations for Experiment 1 and Experiment 2 samples, for which the samples were analyzed in the same laboratory, were only 12.1</w:t>
      </w:r>
      <w:r w:rsidRPr="00C27016">
        <w:rPr>
          <w:rFonts w:ascii="Times New Roman" w:hAnsi="Times New Roman" w:cs="Times New Roman"/>
          <w:sz w:val="24"/>
          <w:szCs w:val="24"/>
        </w:rPr>
        <w:t>‰</w:t>
      </w:r>
      <w:r>
        <w:rPr>
          <w:rFonts w:ascii="Times New Roman" w:hAnsi="Times New Roman" w:cs="Times New Roman"/>
          <w:sz w:val="24"/>
          <w:szCs w:val="24"/>
        </w:rPr>
        <w:t xml:space="preserve"> and 20.4</w:t>
      </w:r>
      <w:r w:rsidRPr="00C27016">
        <w:rPr>
          <w:rFonts w:ascii="Times New Roman" w:hAnsi="Times New Roman" w:cs="Times New Roman"/>
          <w:sz w:val="24"/>
          <w:szCs w:val="24"/>
        </w:rPr>
        <w:t>‰</w:t>
      </w:r>
      <w:r>
        <w:rPr>
          <w:rFonts w:ascii="Times New Roman" w:hAnsi="Times New Roman" w:cs="Times New Roman"/>
          <w:sz w:val="24"/>
          <w:szCs w:val="24"/>
        </w:rPr>
        <w:t>, for forest and grasslands respectively</w:t>
      </w:r>
      <w:r w:rsidRPr="00C27016">
        <w:rPr>
          <w:rFonts w:ascii="Times New Roman" w:hAnsi="Times New Roman" w:cs="Times New Roman"/>
          <w:sz w:val="24"/>
          <w:szCs w:val="24"/>
        </w:rPr>
        <w:t>.</w:t>
      </w:r>
      <w:r>
        <w:rPr>
          <w:rFonts w:ascii="Times New Roman" w:hAnsi="Times New Roman" w:cs="Times New Roman"/>
          <w:sz w:val="24"/>
          <w:szCs w:val="24"/>
        </w:rPr>
        <w:t xml:space="preserve"> Our results suggest that w</w:t>
      </w:r>
      <w:r w:rsidRPr="00C27016">
        <w:rPr>
          <w:rFonts w:ascii="Times New Roman" w:hAnsi="Times New Roman" w:cs="Times New Roman"/>
          <w:sz w:val="24"/>
          <w:szCs w:val="24"/>
        </w:rPr>
        <w:t xml:space="preserve">hen </w:t>
      </w:r>
      <w:r>
        <w:rPr>
          <w:rFonts w:ascii="Times New Roman" w:hAnsi="Times New Roman" w:cs="Times New Roman"/>
          <w:sz w:val="24"/>
          <w:szCs w:val="24"/>
        </w:rPr>
        <w:t>analyzing</w:t>
      </w:r>
      <w:r w:rsidRPr="00C27016">
        <w:rPr>
          <w:rFonts w:ascii="Times New Roman" w:hAnsi="Times New Roman" w:cs="Times New Roman"/>
          <w:sz w:val="24"/>
          <w:szCs w:val="24"/>
        </w:rPr>
        <w:t xml:space="preserve"> </w:t>
      </w:r>
      <w:r>
        <w:rPr>
          <w:rFonts w:ascii="Times New Roman" w:hAnsi="Times New Roman" w:cs="Times New Roman"/>
          <w:sz w:val="24"/>
          <w:szCs w:val="24"/>
        </w:rPr>
        <w:t>∆</w:t>
      </w:r>
      <w:r w:rsidRPr="00034684">
        <w:rPr>
          <w:rFonts w:ascii="Times New Roman" w:hAnsi="Times New Roman" w:cs="Times New Roman"/>
          <w:sz w:val="24"/>
          <w:szCs w:val="24"/>
          <w:vertAlign w:val="superscript"/>
        </w:rPr>
        <w:t>14</w:t>
      </w:r>
      <w:r>
        <w:rPr>
          <w:rFonts w:ascii="Times New Roman" w:hAnsi="Times New Roman" w:cs="Times New Roman"/>
          <w:sz w:val="24"/>
          <w:szCs w:val="24"/>
        </w:rPr>
        <w:t>C-CO</w:t>
      </w:r>
      <w:r w:rsidRPr="00034684">
        <w:rPr>
          <w:rFonts w:ascii="Times New Roman" w:hAnsi="Times New Roman" w:cs="Times New Roman"/>
          <w:sz w:val="24"/>
          <w:szCs w:val="24"/>
          <w:vertAlign w:val="subscript"/>
        </w:rPr>
        <w:t>2</w:t>
      </w:r>
      <w:r>
        <w:rPr>
          <w:rFonts w:ascii="Times New Roman" w:hAnsi="Times New Roman" w:cs="Times New Roman"/>
          <w:sz w:val="24"/>
          <w:szCs w:val="24"/>
        </w:rPr>
        <w:t xml:space="preserve"> of recently collected soils along with </w:t>
      </w:r>
      <w:r w:rsidRPr="00C27016">
        <w:rPr>
          <w:rFonts w:ascii="Times New Roman" w:hAnsi="Times New Roman" w:cs="Times New Roman"/>
          <w:sz w:val="24"/>
          <w:szCs w:val="24"/>
        </w:rPr>
        <w:t xml:space="preserve">those from an archive, </w:t>
      </w:r>
      <w:r>
        <w:rPr>
          <w:rFonts w:ascii="Times New Roman" w:hAnsi="Times New Roman" w:cs="Times New Roman"/>
          <w:sz w:val="24"/>
          <w:szCs w:val="24"/>
        </w:rPr>
        <w:t>both s</w:t>
      </w:r>
      <w:r w:rsidRPr="00C27016">
        <w:rPr>
          <w:rFonts w:ascii="Times New Roman" w:hAnsi="Times New Roman" w:cs="Times New Roman"/>
          <w:sz w:val="24"/>
          <w:szCs w:val="24"/>
        </w:rPr>
        <w:t>amples</w:t>
      </w:r>
      <w:r>
        <w:rPr>
          <w:rFonts w:ascii="Times New Roman" w:hAnsi="Times New Roman" w:cs="Times New Roman"/>
          <w:sz w:val="24"/>
          <w:szCs w:val="24"/>
        </w:rPr>
        <w:t xml:space="preserve"> should</w:t>
      </w:r>
      <w:r w:rsidRPr="00C27016">
        <w:rPr>
          <w:rFonts w:ascii="Times New Roman" w:hAnsi="Times New Roman" w:cs="Times New Roman"/>
          <w:sz w:val="24"/>
          <w:szCs w:val="24"/>
        </w:rPr>
        <w:t xml:space="preserve"> undergo the same air-drying and rewetting procedure </w:t>
      </w:r>
      <w:r>
        <w:rPr>
          <w:rFonts w:ascii="Times New Roman" w:hAnsi="Times New Roman" w:cs="Times New Roman"/>
          <w:sz w:val="24"/>
          <w:szCs w:val="24"/>
        </w:rPr>
        <w:t>to minimze bias and</w:t>
      </w:r>
      <w:r w:rsidRPr="00C27016">
        <w:rPr>
          <w:rFonts w:ascii="Times New Roman" w:hAnsi="Times New Roman" w:cs="Times New Roman"/>
          <w:sz w:val="24"/>
          <w:szCs w:val="24"/>
        </w:rPr>
        <w:t xml:space="preserve"> make the results </w:t>
      </w:r>
      <w:r>
        <w:rPr>
          <w:rFonts w:ascii="Times New Roman" w:hAnsi="Times New Roman" w:cs="Times New Roman"/>
          <w:sz w:val="24"/>
          <w:szCs w:val="24"/>
        </w:rPr>
        <w:t xml:space="preserve">more </w:t>
      </w:r>
      <w:r w:rsidR="00484ABF">
        <w:rPr>
          <w:rFonts w:ascii="Times New Roman" w:hAnsi="Times New Roman" w:cs="Times New Roman"/>
          <w:sz w:val="24"/>
          <w:szCs w:val="24"/>
        </w:rPr>
        <w:t>comparable.</w:t>
      </w:r>
    </w:p>
    <w:p w14:paraId="5626ED60" w14:textId="065553B3" w:rsidR="000A3253" w:rsidRPr="004C221B" w:rsidRDefault="000A3253" w:rsidP="000A3253">
      <w:pPr>
        <w:pStyle w:val="Normal1"/>
        <w:spacing w:before="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Determining the exact mechanism driving the differences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is beyond the scope of this study, but our results </w:t>
      </w:r>
      <w:r w:rsidR="003947C9">
        <w:rPr>
          <w:rFonts w:ascii="Times New Roman" w:hAnsi="Times New Roman" w:cs="Times New Roman"/>
          <w:sz w:val="24"/>
          <w:szCs w:val="24"/>
        </w:rPr>
        <w:t>suggest</w:t>
      </w:r>
      <w:r w:rsidRPr="00C27016">
        <w:rPr>
          <w:rFonts w:ascii="Times New Roman" w:hAnsi="Times New Roman" w:cs="Times New Roman"/>
          <w:sz w:val="24"/>
          <w:szCs w:val="24"/>
        </w:rPr>
        <w:t xml:space="preserve"> that the pulse of 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released upon rewetting air-dried soils is fueled predominantly by older carbon, </w:t>
      </w:r>
      <w:r w:rsidR="003947C9">
        <w:rPr>
          <w:rFonts w:ascii="Times New Roman" w:hAnsi="Times New Roman" w:cs="Times New Roman"/>
          <w:sz w:val="24"/>
          <w:szCs w:val="24"/>
        </w:rPr>
        <w:t>specifically through the mobilization of substrate from soil organic matter pools dominated by carbon fixed between two and three decades previously. F</w:t>
      </w:r>
      <w:r w:rsidRPr="00C27016">
        <w:rPr>
          <w:rFonts w:ascii="Times New Roman" w:eastAsia="Arial Unicode MS" w:hAnsi="Times New Roman" w:cs="Times New Roman"/>
          <w:sz w:val="24"/>
          <w:szCs w:val="24"/>
        </w:rPr>
        <w:t>urthermore, this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persists </w:t>
      </w:r>
      <w:r w:rsidR="003947C9">
        <w:rPr>
          <w:rFonts w:ascii="Times New Roman" w:eastAsia="Arial Unicode MS" w:hAnsi="Times New Roman" w:cs="Times New Roman"/>
          <w:sz w:val="24"/>
          <w:szCs w:val="24"/>
        </w:rPr>
        <w:t>beyond the rewetting pulse, suggesting that simply excluding the rewetting pulse CO</w:t>
      </w:r>
      <w:r w:rsidR="003947C9" w:rsidRPr="003947C9">
        <w:rPr>
          <w:rFonts w:ascii="Times New Roman" w:eastAsia="Arial Unicode MS" w:hAnsi="Times New Roman" w:cs="Times New Roman"/>
          <w:sz w:val="24"/>
          <w:szCs w:val="24"/>
          <w:vertAlign w:val="subscript"/>
        </w:rPr>
        <w:t>2</w:t>
      </w:r>
      <w:r w:rsidR="003947C9">
        <w:rPr>
          <w:rFonts w:ascii="Times New Roman" w:eastAsia="Arial Unicode MS" w:hAnsi="Times New Roman" w:cs="Times New Roman"/>
          <w:sz w:val="24"/>
          <w:szCs w:val="24"/>
        </w:rPr>
        <w:t xml:space="preserve"> when measuring ∆</w:t>
      </w:r>
      <w:r w:rsidR="003947C9" w:rsidRPr="003947C9">
        <w:rPr>
          <w:rFonts w:ascii="Times New Roman" w:eastAsia="Arial Unicode MS" w:hAnsi="Times New Roman" w:cs="Times New Roman"/>
          <w:sz w:val="24"/>
          <w:szCs w:val="24"/>
          <w:vertAlign w:val="superscript"/>
        </w:rPr>
        <w:t>14</w:t>
      </w:r>
      <w:r w:rsidR="003947C9">
        <w:rPr>
          <w:rFonts w:ascii="Times New Roman" w:eastAsia="Arial Unicode MS" w:hAnsi="Times New Roman" w:cs="Times New Roman"/>
          <w:sz w:val="24"/>
          <w:szCs w:val="24"/>
        </w:rPr>
        <w:t>C-CO</w:t>
      </w:r>
      <w:r w:rsidR="003947C9" w:rsidRPr="003947C9">
        <w:rPr>
          <w:rFonts w:ascii="Times New Roman" w:eastAsia="Arial Unicode MS" w:hAnsi="Times New Roman" w:cs="Times New Roman"/>
          <w:sz w:val="24"/>
          <w:szCs w:val="24"/>
          <w:vertAlign w:val="subscript"/>
        </w:rPr>
        <w:t>2</w:t>
      </w:r>
      <w:r w:rsidR="003947C9">
        <w:rPr>
          <w:rFonts w:ascii="Times New Roman" w:eastAsia="Arial Unicode MS" w:hAnsi="Times New Roman" w:cs="Times New Roman"/>
          <w:sz w:val="24"/>
          <w:szCs w:val="24"/>
        </w:rPr>
        <w:t xml:space="preserve"> does not eliminate the bias introduced by air-drying and rewetting</w:t>
      </w:r>
      <w:r w:rsidRPr="00C27016">
        <w:rPr>
          <w:rFonts w:ascii="Times New Roman" w:eastAsia="Arial Unicode MS" w:hAnsi="Times New Roman" w:cs="Times New Roman"/>
          <w:sz w:val="24"/>
          <w:szCs w:val="24"/>
        </w:rPr>
        <w:t>. The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is greater for grassland than for forest soils, </w:t>
      </w:r>
      <w:r w:rsidR="003947C9">
        <w:rPr>
          <w:rFonts w:ascii="Times New Roman" w:eastAsia="Arial Unicode MS" w:hAnsi="Times New Roman" w:cs="Times New Roman"/>
          <w:sz w:val="24"/>
          <w:szCs w:val="24"/>
        </w:rPr>
        <w:t>indicating</w:t>
      </w:r>
      <w:r w:rsidRPr="00C27016">
        <w:rPr>
          <w:rFonts w:ascii="Times New Roman" w:eastAsia="Arial Unicode MS" w:hAnsi="Times New Roman" w:cs="Times New Roman"/>
          <w:sz w:val="24"/>
          <w:szCs w:val="24"/>
        </w:rPr>
        <w:t xml:space="preserve"> that the pool of carbon that is mobilized by this process is either more susceptible or larger in grassland ecosystems than in forests. </w:t>
      </w:r>
      <w:r w:rsidR="00A85A39">
        <w:rPr>
          <w:rFonts w:ascii="Times New Roman" w:eastAsia="Arial Unicode MS" w:hAnsi="Times New Roman" w:cs="Times New Roman"/>
          <w:sz w:val="24"/>
          <w:szCs w:val="24"/>
        </w:rPr>
        <w:t xml:space="preserve">However, we advise caution in extending these results to soils from very different climates or with very different mineral assemblages, as such soils may respond differently to air-drying and rewetting. </w:t>
      </w:r>
      <w:r w:rsidRPr="00C27016">
        <w:rPr>
          <w:rFonts w:ascii="Times New Roman" w:eastAsia="Arial Unicode MS" w:hAnsi="Times New Roman" w:cs="Times New Roman"/>
          <w:sz w:val="24"/>
          <w:szCs w:val="24"/>
        </w:rPr>
        <w:t>Overall, the results of this study suggest that measuring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in laboratory incubations of archived soils is a promising technique for improving quantitative interpretation of soil C dynamics</w:t>
      </w:r>
      <w:r w:rsidR="003947C9">
        <w:rPr>
          <w:rFonts w:ascii="Times New Roman" w:hAnsi="Times New Roman" w:cs="Times New Roman"/>
          <w:sz w:val="24"/>
          <w:szCs w:val="24"/>
        </w:rPr>
        <w:t>, provided that the minor bias introduced by air-drying and rewetting is accounted for,</w:t>
      </w:r>
      <w:r w:rsidRPr="00C27016">
        <w:rPr>
          <w:rFonts w:ascii="Times New Roman" w:hAnsi="Times New Roman" w:cs="Times New Roman"/>
          <w:sz w:val="24"/>
          <w:szCs w:val="24"/>
        </w:rPr>
        <w:t xml:space="preserve"> and can provide a strong constraint for soil C models in the future</w:t>
      </w:r>
      <w:r w:rsidR="003947C9">
        <w:rPr>
          <w:rFonts w:ascii="Times New Roman" w:hAnsi="Times New Roman" w:cs="Times New Roman"/>
          <w:sz w:val="24"/>
          <w:szCs w:val="24"/>
        </w:rPr>
        <w:t>.</w:t>
      </w:r>
      <w:r w:rsidRPr="00C27016">
        <w:rPr>
          <w:rFonts w:ascii="Times New Roman" w:hAnsi="Times New Roman" w:cs="Times New Roman"/>
          <w:sz w:val="24"/>
          <w:szCs w:val="24"/>
        </w:rPr>
        <w:t xml:space="preserve"> </w:t>
      </w:r>
    </w:p>
    <w:p w14:paraId="2E6D580A" w14:textId="77777777" w:rsidR="000A3253" w:rsidRPr="00C27016" w:rsidRDefault="000A3253" w:rsidP="000A3253">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Acknowledgments, Samples, and Data</w:t>
      </w:r>
    </w:p>
    <w:p w14:paraId="33D73B25" w14:textId="77777777" w:rsidR="000A3253" w:rsidRPr="00C27016" w:rsidRDefault="000A3253" w:rsidP="000A3253">
      <w:pPr>
        <w:pStyle w:val="Normal1"/>
        <w:spacing w:before="120" w:line="360" w:lineRule="auto"/>
        <w:rPr>
          <w:rFonts w:ascii="Times New Roman" w:hAnsi="Times New Roman" w:cs="Times New Roman"/>
          <w:sz w:val="24"/>
          <w:szCs w:val="24"/>
        </w:rPr>
      </w:pPr>
      <w:r w:rsidRPr="00B82F35">
        <w:rPr>
          <w:rFonts w:ascii="Times New Roman" w:hAnsi="Times New Roman" w:cs="Times New Roman"/>
          <w:sz w:val="24"/>
          <w:szCs w:val="24"/>
        </w:rPr>
        <w:t>Code and data have been archived on Zenodo as a github release</w:t>
      </w:r>
      <w:r>
        <w:rPr>
          <w:rFonts w:ascii="Times New Roman" w:hAnsi="Times New Roman" w:cs="Times New Roman"/>
          <w:sz w:val="24"/>
          <w:szCs w:val="24"/>
        </w:rPr>
        <w:t xml:space="preserve"> (v1.0) with the DOI </w:t>
      </w:r>
      <w:r w:rsidRPr="006E64A5">
        <w:rPr>
          <w:rFonts w:ascii="Times New Roman" w:hAnsi="Times New Roman" w:cs="Times New Roman"/>
          <w:sz w:val="24"/>
          <w:szCs w:val="24"/>
        </w:rPr>
        <w:t>10.5281/zenodo.4106666</w:t>
      </w:r>
      <w:r w:rsidRPr="00B82F35">
        <w:rPr>
          <w:rFonts w:ascii="Times New Roman" w:hAnsi="Times New Roman" w:cs="Times New Roman"/>
          <w:sz w:val="24"/>
          <w:szCs w:val="24"/>
        </w:rPr>
        <w:t xml:space="preserve">. </w:t>
      </w:r>
      <w:r>
        <w:rPr>
          <w:rFonts w:ascii="Times New Roman" w:hAnsi="Times New Roman" w:cs="Times New Roman"/>
          <w:sz w:val="24"/>
          <w:szCs w:val="24"/>
        </w:rPr>
        <w:t>The</w:t>
      </w:r>
      <w:r w:rsidRPr="00B82F35">
        <w:rPr>
          <w:rFonts w:ascii="Times New Roman" w:hAnsi="Times New Roman" w:cs="Times New Roman"/>
          <w:sz w:val="24"/>
          <w:szCs w:val="24"/>
        </w:rPr>
        <w:t xml:space="preserve"> file ‘</w:t>
      </w:r>
      <w:r w:rsidRPr="00B82F35">
        <w:rPr>
          <w:rFonts w:ascii="Times New Roman" w:eastAsia="Times New Roman" w:hAnsi="Times New Roman" w:cs="Times New Roman"/>
          <w:sz w:val="24"/>
          <w:szCs w:val="24"/>
        </w:rPr>
        <w:t xml:space="preserve">arc-inc_data-wrangling_2020-07-30.Rmd’ </w:t>
      </w:r>
      <w:r>
        <w:rPr>
          <w:rFonts w:ascii="Times New Roman" w:eastAsia="Times New Roman" w:hAnsi="Times New Roman" w:cs="Times New Roman"/>
          <w:sz w:val="24"/>
          <w:szCs w:val="24"/>
        </w:rPr>
        <w:t>within the zip file of the repository release contains</w:t>
      </w:r>
      <w:r w:rsidRPr="00B82F35">
        <w:rPr>
          <w:rFonts w:ascii="Times New Roman" w:eastAsia="Times New Roman" w:hAnsi="Times New Roman" w:cs="Times New Roman"/>
          <w:sz w:val="24"/>
          <w:szCs w:val="24"/>
        </w:rPr>
        <w:t xml:space="preserve"> the </w:t>
      </w:r>
      <w:r>
        <w:rPr>
          <w:rFonts w:ascii="Times New Roman" w:eastAsia="Times New Roman" w:hAnsi="Times New Roman" w:cs="Times New Roman"/>
          <w:sz w:val="24"/>
          <w:szCs w:val="24"/>
        </w:rPr>
        <w:t xml:space="preserve">R </w:t>
      </w:r>
      <w:r w:rsidRPr="00B82F35">
        <w:rPr>
          <w:rFonts w:ascii="Times New Roman" w:eastAsia="Times New Roman" w:hAnsi="Times New Roman" w:cs="Times New Roman"/>
          <w:sz w:val="24"/>
          <w:szCs w:val="24"/>
        </w:rPr>
        <w:t>script for running all analyses and generating all figures in the text.</w:t>
      </w:r>
      <w:r>
        <w:rPr>
          <w:rFonts w:eastAsia="Times New Roman"/>
        </w:rPr>
        <w:t xml:space="preserve"> </w:t>
      </w:r>
      <w:r w:rsidRPr="00C27016">
        <w:rPr>
          <w:rFonts w:ascii="Times New Roman" w:hAnsi="Times New Roman" w:cs="Times New Roman"/>
          <w:sz w:val="24"/>
          <w:szCs w:val="24"/>
        </w:rPr>
        <w:t>The authors would like to acknowledge the invaluable assistance of M. Rost in the laboratory and the field, and I. Schoening, M. Cisneros-Dozal, J. Koarashi, F. Hopkins, C. Lawrence, and S. Trumbore for sharing data and details on control-3 sample incubations. Funding was provided by  the European Research Council (Horizon 2020 Research and Innovation Programme, grant agreement 695101; 14Constraint).</w:t>
      </w:r>
    </w:p>
    <w:p w14:paraId="6304C72B" w14:textId="77777777" w:rsidR="000A3253" w:rsidRPr="00C27016" w:rsidRDefault="000A3253" w:rsidP="000A3253">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References</w:t>
      </w:r>
    </w:p>
    <w:p w14:paraId="49599676"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27016">
        <w:rPr>
          <w:sz w:val="24"/>
          <w:szCs w:val="24"/>
        </w:rPr>
        <w:fldChar w:fldCharType="begin" w:fldLock="1"/>
      </w:r>
      <w:r w:rsidRPr="00C27016">
        <w:rPr>
          <w:sz w:val="24"/>
          <w:szCs w:val="24"/>
        </w:rPr>
        <w:instrText xml:space="preserve">ADDIN Mendeley Bibliography CSL_BIBLIOGRAPHY </w:instrText>
      </w:r>
      <w:r w:rsidRPr="00C27016">
        <w:rPr>
          <w:sz w:val="24"/>
          <w:szCs w:val="24"/>
        </w:rPr>
        <w:fldChar w:fldCharType="separate"/>
      </w:r>
      <w:r w:rsidRPr="00CE19AB">
        <w:rPr>
          <w:noProof/>
          <w:sz w:val="24"/>
          <w:szCs w:val="24"/>
        </w:rPr>
        <w:t xml:space="preserve">Baisden, W. T., Parfitt, R. L., Ross, C., Schipper, L. A., &amp; Canessa, S. (2013). Evaluating 50 years of time-series soil radiocarbon data : towards routine calculation of robust C residence times. </w:t>
      </w:r>
      <w:r w:rsidRPr="00CE19AB">
        <w:rPr>
          <w:i/>
          <w:iCs/>
          <w:noProof/>
          <w:sz w:val="24"/>
          <w:szCs w:val="24"/>
        </w:rPr>
        <w:t>Biogeochemistry</w:t>
      </w:r>
      <w:r w:rsidRPr="00CE19AB">
        <w:rPr>
          <w:noProof/>
          <w:sz w:val="24"/>
          <w:szCs w:val="24"/>
        </w:rPr>
        <w:t xml:space="preserve">, </w:t>
      </w:r>
      <w:r w:rsidRPr="00CE19AB">
        <w:rPr>
          <w:i/>
          <w:iCs/>
          <w:noProof/>
          <w:sz w:val="24"/>
          <w:szCs w:val="24"/>
        </w:rPr>
        <w:t>112</w:t>
      </w:r>
      <w:r w:rsidRPr="00CE19AB">
        <w:rPr>
          <w:noProof/>
          <w:sz w:val="24"/>
          <w:szCs w:val="24"/>
        </w:rPr>
        <w:t>, 129–137. https://doi.org/10.1007/s10533-011-9675-y</w:t>
      </w:r>
    </w:p>
    <w:p w14:paraId="0CEDFE8B"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Bartlett, R., &amp; James, B. (1980). Studying Dried, Stored Soil Samples — Some Pitfalls. </w:t>
      </w:r>
      <w:r w:rsidRPr="00CE19AB">
        <w:rPr>
          <w:i/>
          <w:iCs/>
          <w:noProof/>
          <w:sz w:val="24"/>
          <w:szCs w:val="24"/>
        </w:rPr>
        <w:t>Soil Sci. Soc. Am. J</w:t>
      </w:r>
      <w:r w:rsidRPr="00CE19AB">
        <w:rPr>
          <w:noProof/>
          <w:sz w:val="24"/>
          <w:szCs w:val="24"/>
        </w:rPr>
        <w:t xml:space="preserve">, </w:t>
      </w:r>
      <w:r w:rsidRPr="00CE19AB">
        <w:rPr>
          <w:i/>
          <w:iCs/>
          <w:noProof/>
          <w:sz w:val="24"/>
          <w:szCs w:val="24"/>
        </w:rPr>
        <w:t>44</w:t>
      </w:r>
      <w:r w:rsidRPr="00CE19AB">
        <w:rPr>
          <w:noProof/>
          <w:sz w:val="24"/>
          <w:szCs w:val="24"/>
        </w:rPr>
        <w:t>, 721–724.</w:t>
      </w:r>
    </w:p>
    <w:p w14:paraId="214ACD86"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Birch, H. F. (1958). The effect of soil drying on humus decomposition and nitrogen availability. </w:t>
      </w:r>
      <w:r w:rsidRPr="00CE19AB">
        <w:rPr>
          <w:i/>
          <w:iCs/>
          <w:noProof/>
          <w:sz w:val="24"/>
          <w:szCs w:val="24"/>
        </w:rPr>
        <w:t>Plant and Soil</w:t>
      </w:r>
      <w:r w:rsidRPr="00CE19AB">
        <w:rPr>
          <w:noProof/>
          <w:sz w:val="24"/>
          <w:szCs w:val="24"/>
        </w:rPr>
        <w:t xml:space="preserve">, </w:t>
      </w:r>
      <w:r w:rsidRPr="00CE19AB">
        <w:rPr>
          <w:i/>
          <w:iCs/>
          <w:noProof/>
          <w:sz w:val="24"/>
          <w:szCs w:val="24"/>
        </w:rPr>
        <w:t>10</w:t>
      </w:r>
      <w:r w:rsidRPr="00CE19AB">
        <w:rPr>
          <w:noProof/>
          <w:sz w:val="24"/>
          <w:szCs w:val="24"/>
        </w:rPr>
        <w:t>(1), 9–31. https://doi.org/10.1007/BF01343734</w:t>
      </w:r>
    </w:p>
    <w:p w14:paraId="4DBB5BE8"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Borken, W., &amp; Matzner, E. (2009). Reappraisal of drying and wetting effects on C and N mineralization and fluxes in soils. </w:t>
      </w:r>
      <w:r w:rsidRPr="00CE19AB">
        <w:rPr>
          <w:i/>
          <w:iCs/>
          <w:noProof/>
          <w:sz w:val="24"/>
          <w:szCs w:val="24"/>
        </w:rPr>
        <w:t>Global Change Biology</w:t>
      </w:r>
      <w:r w:rsidRPr="00CE19AB">
        <w:rPr>
          <w:noProof/>
          <w:sz w:val="24"/>
          <w:szCs w:val="24"/>
        </w:rPr>
        <w:t xml:space="preserve">, </w:t>
      </w:r>
      <w:r w:rsidRPr="00CE19AB">
        <w:rPr>
          <w:i/>
          <w:iCs/>
          <w:noProof/>
          <w:sz w:val="24"/>
          <w:szCs w:val="24"/>
        </w:rPr>
        <w:t>15</w:t>
      </w:r>
      <w:r w:rsidRPr="00CE19AB">
        <w:rPr>
          <w:noProof/>
          <w:sz w:val="24"/>
          <w:szCs w:val="24"/>
        </w:rPr>
        <w:t>(4), 808–824. https://doi.org/10.1111/j.1365-2486.2008.01681.x</w:t>
      </w:r>
    </w:p>
    <w:p w14:paraId="27C19F09"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Brödlin, D., Kaiser, K., Kessler, A., &amp; Hagedorn, F. (2019). Drying and rewetting foster phosphorus depletion of forest soils. </w:t>
      </w:r>
      <w:r w:rsidRPr="00CE19AB">
        <w:rPr>
          <w:i/>
          <w:iCs/>
          <w:noProof/>
          <w:sz w:val="24"/>
          <w:szCs w:val="24"/>
        </w:rPr>
        <w:t>Soil Biology and Biochemistry</w:t>
      </w:r>
      <w:r w:rsidRPr="00CE19AB">
        <w:rPr>
          <w:noProof/>
          <w:sz w:val="24"/>
          <w:szCs w:val="24"/>
        </w:rPr>
        <w:t xml:space="preserve">, </w:t>
      </w:r>
      <w:r w:rsidRPr="00CE19AB">
        <w:rPr>
          <w:i/>
          <w:iCs/>
          <w:noProof/>
          <w:sz w:val="24"/>
          <w:szCs w:val="24"/>
        </w:rPr>
        <w:t>128</w:t>
      </w:r>
      <w:r w:rsidRPr="00CE19AB">
        <w:rPr>
          <w:noProof/>
          <w:sz w:val="24"/>
          <w:szCs w:val="24"/>
        </w:rPr>
        <w:t>(May 2018), 22–34. https://doi.org/10.1016/j.soilbio.2018.10.001</w:t>
      </w:r>
    </w:p>
    <w:p w14:paraId="49FEE83F"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Cisneros-Dozal, L. M., Trumbore, S., &amp; Hanson, P. J. (2006). Partitioning sources of soil-respired CO2 and their seasonal variation using a unique radiocarbon tracer. </w:t>
      </w:r>
      <w:r w:rsidRPr="00CE19AB">
        <w:rPr>
          <w:i/>
          <w:iCs/>
          <w:noProof/>
          <w:sz w:val="24"/>
          <w:szCs w:val="24"/>
        </w:rPr>
        <w:t>Global Change Biology</w:t>
      </w:r>
      <w:r w:rsidRPr="00CE19AB">
        <w:rPr>
          <w:noProof/>
          <w:sz w:val="24"/>
          <w:szCs w:val="24"/>
        </w:rPr>
        <w:t xml:space="preserve">, </w:t>
      </w:r>
      <w:r w:rsidRPr="00CE19AB">
        <w:rPr>
          <w:i/>
          <w:iCs/>
          <w:noProof/>
          <w:sz w:val="24"/>
          <w:szCs w:val="24"/>
        </w:rPr>
        <w:t>12</w:t>
      </w:r>
      <w:r w:rsidRPr="00CE19AB">
        <w:rPr>
          <w:noProof/>
          <w:sz w:val="24"/>
          <w:szCs w:val="24"/>
        </w:rPr>
        <w:t>(2), 194–204. https://doi.org/10.1111/j.1365-2486.2005.001061.x</w:t>
      </w:r>
    </w:p>
    <w:p w14:paraId="7304D41E" w14:textId="33B19103" w:rsidR="009D7A42" w:rsidRPr="00CE19AB" w:rsidRDefault="009D7A42" w:rsidP="009D7A42">
      <w:pPr>
        <w:widowControl w:val="0"/>
        <w:autoSpaceDE w:val="0"/>
        <w:autoSpaceDN w:val="0"/>
        <w:adjustRightInd w:val="0"/>
        <w:spacing w:before="120" w:line="360" w:lineRule="auto"/>
        <w:ind w:left="480" w:hanging="480"/>
        <w:rPr>
          <w:noProof/>
          <w:sz w:val="24"/>
          <w:szCs w:val="24"/>
        </w:rPr>
      </w:pPr>
      <w:r w:rsidRPr="009D7A42">
        <w:rPr>
          <w:noProof/>
          <w:sz w:val="24"/>
          <w:szCs w:val="24"/>
        </w:rPr>
        <w:t>Dungait, J</w:t>
      </w:r>
      <w:r>
        <w:rPr>
          <w:noProof/>
          <w:sz w:val="24"/>
          <w:szCs w:val="24"/>
        </w:rPr>
        <w:t>.</w:t>
      </w:r>
      <w:r w:rsidRPr="009D7A42">
        <w:rPr>
          <w:noProof/>
          <w:sz w:val="24"/>
          <w:szCs w:val="24"/>
        </w:rPr>
        <w:t>A.J.</w:t>
      </w:r>
      <w:r>
        <w:rPr>
          <w:noProof/>
          <w:sz w:val="24"/>
          <w:szCs w:val="24"/>
        </w:rPr>
        <w:t>, Hopkins, D.</w:t>
      </w:r>
      <w:r w:rsidRPr="009D7A42">
        <w:rPr>
          <w:noProof/>
          <w:sz w:val="24"/>
          <w:szCs w:val="24"/>
        </w:rPr>
        <w:t>W.</w:t>
      </w:r>
      <w:r>
        <w:rPr>
          <w:noProof/>
          <w:sz w:val="24"/>
          <w:szCs w:val="24"/>
        </w:rPr>
        <w:t>, Gregory, A.</w:t>
      </w:r>
      <w:r w:rsidRPr="009D7A42">
        <w:rPr>
          <w:noProof/>
          <w:sz w:val="24"/>
          <w:szCs w:val="24"/>
        </w:rPr>
        <w:t>S.</w:t>
      </w:r>
      <w:r>
        <w:rPr>
          <w:noProof/>
          <w:sz w:val="24"/>
          <w:szCs w:val="24"/>
        </w:rPr>
        <w:t xml:space="preserve">, Whitmore, </w:t>
      </w:r>
      <w:r w:rsidRPr="009D7A42">
        <w:rPr>
          <w:noProof/>
          <w:sz w:val="24"/>
          <w:szCs w:val="24"/>
        </w:rPr>
        <w:t xml:space="preserve"> </w:t>
      </w:r>
      <w:r>
        <w:rPr>
          <w:noProof/>
          <w:sz w:val="24"/>
          <w:szCs w:val="24"/>
        </w:rPr>
        <w:t>A.</w:t>
      </w:r>
      <w:r w:rsidRPr="009D7A42">
        <w:rPr>
          <w:noProof/>
          <w:sz w:val="24"/>
          <w:szCs w:val="24"/>
        </w:rPr>
        <w:t>P.</w:t>
      </w:r>
      <w:r w:rsidRPr="009D7A42">
        <w:t xml:space="preserve"> </w:t>
      </w:r>
      <w:r w:rsidRPr="009D7A42">
        <w:rPr>
          <w:sz w:val="24"/>
          <w:szCs w:val="24"/>
        </w:rPr>
        <w:t>(2012).</w:t>
      </w:r>
      <w:r>
        <w:t xml:space="preserve"> </w:t>
      </w:r>
      <w:r w:rsidRPr="009D7A42">
        <w:rPr>
          <w:noProof/>
          <w:sz w:val="24"/>
          <w:szCs w:val="24"/>
        </w:rPr>
        <w:t>Soil organic matter turnover is governed by accessibility not recalcitrance</w:t>
      </w:r>
      <w:r>
        <w:rPr>
          <w:noProof/>
          <w:sz w:val="24"/>
          <w:szCs w:val="24"/>
        </w:rPr>
        <w:t>.</w:t>
      </w:r>
      <w:r w:rsidRPr="009D7A42">
        <w:rPr>
          <w:noProof/>
          <w:sz w:val="24"/>
          <w:szCs w:val="24"/>
        </w:rPr>
        <w:t xml:space="preserve"> </w:t>
      </w:r>
      <w:r w:rsidRPr="009D7A42">
        <w:rPr>
          <w:i/>
          <w:noProof/>
          <w:sz w:val="24"/>
          <w:szCs w:val="24"/>
        </w:rPr>
        <w:t>Global Change Biology, 18</w:t>
      </w:r>
      <w:r>
        <w:rPr>
          <w:noProof/>
          <w:sz w:val="24"/>
          <w:szCs w:val="24"/>
        </w:rPr>
        <w:t>(6), 1781:</w:t>
      </w:r>
      <w:r w:rsidRPr="009D7A42">
        <w:rPr>
          <w:noProof/>
          <w:sz w:val="24"/>
          <w:szCs w:val="24"/>
        </w:rPr>
        <w:t>1796</w:t>
      </w:r>
      <w:r>
        <w:rPr>
          <w:noProof/>
          <w:sz w:val="24"/>
          <w:szCs w:val="24"/>
        </w:rPr>
        <w:t>.</w:t>
      </w:r>
      <w:r w:rsidRPr="009D7A42">
        <w:t xml:space="preserve"> </w:t>
      </w:r>
      <w:r w:rsidRPr="00CE19AB">
        <w:rPr>
          <w:noProof/>
          <w:sz w:val="24"/>
          <w:szCs w:val="24"/>
        </w:rPr>
        <w:t>https://doi.org/</w:t>
      </w:r>
      <w:r w:rsidRPr="009D7A42">
        <w:rPr>
          <w:noProof/>
          <w:sz w:val="24"/>
          <w:szCs w:val="24"/>
        </w:rPr>
        <w:t>10.1111/j.1365-2486.2012.02665.x</w:t>
      </w:r>
    </w:p>
    <w:p w14:paraId="532099C5"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Feng, W., Shi, Z., Jiang, J., Xia, J., Liang, J., Zhou, J., &amp; Luo, Y. (2016). Methodological uncertainty in estimating carbon turnover times of soil fractions. </w:t>
      </w:r>
      <w:r w:rsidRPr="00CE19AB">
        <w:rPr>
          <w:i/>
          <w:iCs/>
          <w:noProof/>
          <w:sz w:val="24"/>
          <w:szCs w:val="24"/>
        </w:rPr>
        <w:t>Soil Biology and Biochemistry</w:t>
      </w:r>
      <w:r w:rsidRPr="00CE19AB">
        <w:rPr>
          <w:noProof/>
          <w:sz w:val="24"/>
          <w:szCs w:val="24"/>
        </w:rPr>
        <w:t xml:space="preserve">, </w:t>
      </w:r>
      <w:r w:rsidRPr="00CE19AB">
        <w:rPr>
          <w:i/>
          <w:iCs/>
          <w:noProof/>
          <w:sz w:val="24"/>
          <w:szCs w:val="24"/>
        </w:rPr>
        <w:t>100</w:t>
      </w:r>
      <w:r w:rsidRPr="00CE19AB">
        <w:rPr>
          <w:noProof/>
          <w:sz w:val="24"/>
          <w:szCs w:val="24"/>
        </w:rPr>
        <w:t>, 118–124. https://doi.org/10.1016/j.soilbio.2016.06.003</w:t>
      </w:r>
    </w:p>
    <w:p w14:paraId="24B7EF16"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Fierer, N., &amp; Schimel, J. P. (2003). A Proposed Mechanism for the Pulse in Carbon Dioxide Production Commonly Observed Following the Rapid Rewetting of a Dry Soil. </w:t>
      </w:r>
      <w:r w:rsidRPr="00CE19AB">
        <w:rPr>
          <w:i/>
          <w:iCs/>
          <w:noProof/>
          <w:sz w:val="24"/>
          <w:szCs w:val="24"/>
        </w:rPr>
        <w:t>Soil Science Society of America Journal</w:t>
      </w:r>
      <w:r w:rsidRPr="00CE19AB">
        <w:rPr>
          <w:noProof/>
          <w:sz w:val="24"/>
          <w:szCs w:val="24"/>
        </w:rPr>
        <w:t xml:space="preserve">, </w:t>
      </w:r>
      <w:r w:rsidRPr="00CE19AB">
        <w:rPr>
          <w:i/>
          <w:iCs/>
          <w:noProof/>
          <w:sz w:val="24"/>
          <w:szCs w:val="24"/>
        </w:rPr>
        <w:t>67</w:t>
      </w:r>
      <w:r w:rsidRPr="00CE19AB">
        <w:rPr>
          <w:noProof/>
          <w:sz w:val="24"/>
          <w:szCs w:val="24"/>
        </w:rPr>
        <w:t>(3), 798–805. https://doi.org/10.2136/sssaj2003.0798</w:t>
      </w:r>
    </w:p>
    <w:p w14:paraId="3F5BF4A3"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Fischer, M., Bossdorf, O., Gockel, S., Hänsel, F., Hemp, A., Hessenmöller, D., Korte, G., Nieschulze, J., Pfeiffer, S., Prati, D., Renner, S., Schöning, I., Schumacher, U., Wells, K., Buscot, F., Kalko, E. K. V., Linsenmair, K. E., Schulze, E. D., &amp; Weisser, W. W. (2010). Implementing large-scale and long-term functional biodiversity research: The Biodiversity Exploratories. </w:t>
      </w:r>
      <w:r w:rsidRPr="00CE19AB">
        <w:rPr>
          <w:i/>
          <w:iCs/>
          <w:noProof/>
          <w:sz w:val="24"/>
          <w:szCs w:val="24"/>
        </w:rPr>
        <w:t>Basic and Applied Ecology</w:t>
      </w:r>
      <w:r w:rsidRPr="00CE19AB">
        <w:rPr>
          <w:noProof/>
          <w:sz w:val="24"/>
          <w:szCs w:val="24"/>
        </w:rPr>
        <w:t xml:space="preserve">, </w:t>
      </w:r>
      <w:r w:rsidRPr="00CE19AB">
        <w:rPr>
          <w:i/>
          <w:iCs/>
          <w:noProof/>
          <w:sz w:val="24"/>
          <w:szCs w:val="24"/>
        </w:rPr>
        <w:t>11</w:t>
      </w:r>
      <w:r w:rsidRPr="00CE19AB">
        <w:rPr>
          <w:noProof/>
          <w:sz w:val="24"/>
          <w:szCs w:val="24"/>
        </w:rPr>
        <w:t>(6), 473–485. https://doi.org/10.1016/j.baae.2010.07.009</w:t>
      </w:r>
    </w:p>
    <w:p w14:paraId="095B8483" w14:textId="0CC9BA2E" w:rsidR="00F704EE" w:rsidRPr="00F704EE" w:rsidRDefault="00F704EE" w:rsidP="00F704EE">
      <w:pPr>
        <w:widowControl w:val="0"/>
        <w:autoSpaceDE w:val="0"/>
        <w:autoSpaceDN w:val="0"/>
        <w:adjustRightInd w:val="0"/>
        <w:spacing w:before="120" w:line="360" w:lineRule="auto"/>
        <w:ind w:left="480" w:hanging="480"/>
        <w:rPr>
          <w:i/>
          <w:noProof/>
          <w:sz w:val="24"/>
          <w:szCs w:val="24"/>
        </w:rPr>
      </w:pPr>
      <w:r>
        <w:rPr>
          <w:noProof/>
          <w:sz w:val="24"/>
          <w:szCs w:val="24"/>
        </w:rPr>
        <w:t>Franzluebbers, A.</w:t>
      </w:r>
      <w:r w:rsidRPr="00F704EE">
        <w:rPr>
          <w:noProof/>
          <w:sz w:val="24"/>
          <w:szCs w:val="24"/>
        </w:rPr>
        <w:t>J</w:t>
      </w:r>
      <w:r>
        <w:rPr>
          <w:noProof/>
          <w:sz w:val="24"/>
          <w:szCs w:val="24"/>
        </w:rPr>
        <w:t>., Haney, R.</w:t>
      </w:r>
      <w:r w:rsidRPr="00F704EE">
        <w:rPr>
          <w:noProof/>
          <w:sz w:val="24"/>
          <w:szCs w:val="24"/>
        </w:rPr>
        <w:t>L</w:t>
      </w:r>
      <w:r>
        <w:rPr>
          <w:noProof/>
          <w:sz w:val="24"/>
          <w:szCs w:val="24"/>
        </w:rPr>
        <w:t>., Honeycutt, C.</w:t>
      </w:r>
      <w:r w:rsidRPr="00F704EE">
        <w:rPr>
          <w:noProof/>
          <w:sz w:val="24"/>
          <w:szCs w:val="24"/>
        </w:rPr>
        <w:t>W</w:t>
      </w:r>
      <w:r>
        <w:rPr>
          <w:noProof/>
          <w:sz w:val="24"/>
          <w:szCs w:val="24"/>
        </w:rPr>
        <w:t>., Schomberg, H.</w:t>
      </w:r>
      <w:r w:rsidRPr="00F704EE">
        <w:rPr>
          <w:noProof/>
          <w:sz w:val="24"/>
          <w:szCs w:val="24"/>
        </w:rPr>
        <w:t>H</w:t>
      </w:r>
      <w:r>
        <w:rPr>
          <w:noProof/>
          <w:sz w:val="24"/>
          <w:szCs w:val="24"/>
        </w:rPr>
        <w:t>., Hons, F.</w:t>
      </w:r>
      <w:r w:rsidRPr="00F704EE">
        <w:rPr>
          <w:noProof/>
          <w:sz w:val="24"/>
          <w:szCs w:val="24"/>
        </w:rPr>
        <w:t>M</w:t>
      </w:r>
      <w:r>
        <w:rPr>
          <w:noProof/>
          <w:sz w:val="24"/>
          <w:szCs w:val="24"/>
        </w:rPr>
        <w:t xml:space="preserve">. (2000). </w:t>
      </w:r>
      <w:r w:rsidRPr="00F704EE">
        <w:rPr>
          <w:noProof/>
          <w:sz w:val="24"/>
          <w:szCs w:val="24"/>
        </w:rPr>
        <w:t>Flush of Carbon Dioxide Following Rewetting of Dried Soil Relates to Active Organic Pools</w:t>
      </w:r>
      <w:r>
        <w:rPr>
          <w:noProof/>
          <w:sz w:val="24"/>
          <w:szCs w:val="24"/>
        </w:rPr>
        <w:t xml:space="preserve">. </w:t>
      </w:r>
      <w:r w:rsidRPr="00F704EE">
        <w:rPr>
          <w:i/>
          <w:noProof/>
          <w:sz w:val="24"/>
          <w:szCs w:val="24"/>
        </w:rPr>
        <w:t>Soil Science Society of America Journal</w:t>
      </w:r>
      <w:r>
        <w:rPr>
          <w:i/>
          <w:noProof/>
          <w:sz w:val="24"/>
          <w:szCs w:val="24"/>
        </w:rPr>
        <w:t xml:space="preserve">, 64, </w:t>
      </w:r>
      <w:r w:rsidRPr="00F704EE">
        <w:rPr>
          <w:noProof/>
          <w:sz w:val="24"/>
          <w:szCs w:val="24"/>
        </w:rPr>
        <w:t>613:623</w:t>
      </w:r>
      <w:r>
        <w:rPr>
          <w:i/>
          <w:noProof/>
          <w:sz w:val="24"/>
          <w:szCs w:val="24"/>
        </w:rPr>
        <w:t>.</w:t>
      </w:r>
    </w:p>
    <w:p w14:paraId="45C4DC4B"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Gaudinski, J. B., Trumbore, S. E., Davidson, E. A., &amp; Zheng, S. (2000). Soil carbon cycling in a temperate forest: radiocarbon-based estimates of residence times, sequestration rates and partitioning of fluxes. </w:t>
      </w:r>
      <w:r w:rsidRPr="00CE19AB">
        <w:rPr>
          <w:i/>
          <w:iCs/>
          <w:noProof/>
          <w:sz w:val="24"/>
          <w:szCs w:val="24"/>
        </w:rPr>
        <w:t>Biogeochemistry</w:t>
      </w:r>
      <w:r w:rsidRPr="00CE19AB">
        <w:rPr>
          <w:noProof/>
          <w:sz w:val="24"/>
          <w:szCs w:val="24"/>
        </w:rPr>
        <w:t xml:space="preserve">, </w:t>
      </w:r>
      <w:r w:rsidRPr="00CE19AB">
        <w:rPr>
          <w:i/>
          <w:iCs/>
          <w:noProof/>
          <w:sz w:val="24"/>
          <w:szCs w:val="24"/>
        </w:rPr>
        <w:t>51</w:t>
      </w:r>
      <w:r w:rsidRPr="00CE19AB">
        <w:rPr>
          <w:noProof/>
          <w:sz w:val="24"/>
          <w:szCs w:val="24"/>
        </w:rPr>
        <w:t>, 33–69. https://doi.org/10.1023/A:1006301010014</w:t>
      </w:r>
    </w:p>
    <w:p w14:paraId="2C44033D"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Graven, H., Allison, C. E., Etheridge, D. M., Hammer, S., Keeling, R. F., Levin, I., Meijer, H. A. J., Rubino, M., Tans, P. P., Trudinger, C. M., Vaughn, B. H., &amp; White, J. W. C. (2017). Compiled records of carbon isotopes in atmospheric CO2 for historical simulations in CMIP6. </w:t>
      </w:r>
      <w:r w:rsidRPr="00CE19AB">
        <w:rPr>
          <w:i/>
          <w:iCs/>
          <w:noProof/>
          <w:sz w:val="24"/>
          <w:szCs w:val="24"/>
        </w:rPr>
        <w:t>Geoscientific Model Development</w:t>
      </w:r>
      <w:r w:rsidRPr="00CE19AB">
        <w:rPr>
          <w:noProof/>
          <w:sz w:val="24"/>
          <w:szCs w:val="24"/>
        </w:rPr>
        <w:t xml:space="preserve">, </w:t>
      </w:r>
      <w:r w:rsidRPr="00CE19AB">
        <w:rPr>
          <w:i/>
          <w:iCs/>
          <w:noProof/>
          <w:sz w:val="24"/>
          <w:szCs w:val="24"/>
        </w:rPr>
        <w:t>10</w:t>
      </w:r>
      <w:r w:rsidRPr="00CE19AB">
        <w:rPr>
          <w:noProof/>
          <w:sz w:val="24"/>
          <w:szCs w:val="24"/>
        </w:rPr>
        <w:t>(12), 4405–4417. https://doi.org/10.5194/gmd-10-4405-2017</w:t>
      </w:r>
    </w:p>
    <w:p w14:paraId="31F83461" w14:textId="7E27E7FF" w:rsidR="00F704EE" w:rsidRPr="00965741" w:rsidRDefault="00F704EE" w:rsidP="00965741">
      <w:pPr>
        <w:widowControl w:val="0"/>
        <w:autoSpaceDE w:val="0"/>
        <w:autoSpaceDN w:val="0"/>
        <w:adjustRightInd w:val="0"/>
        <w:spacing w:before="120" w:line="360" w:lineRule="auto"/>
        <w:ind w:left="480" w:hanging="480"/>
        <w:rPr>
          <w:noProof/>
        </w:rPr>
      </w:pPr>
      <w:r>
        <w:rPr>
          <w:noProof/>
          <w:sz w:val="24"/>
          <w:szCs w:val="24"/>
        </w:rPr>
        <w:t xml:space="preserve">Hopkins, F., </w:t>
      </w:r>
      <w:r w:rsidR="00DE2EB0">
        <w:rPr>
          <w:noProof/>
          <w:sz w:val="24"/>
          <w:szCs w:val="24"/>
        </w:rPr>
        <w:t xml:space="preserve">Torn, M.S., Trumbore, S.E. (2012). </w:t>
      </w:r>
      <w:r w:rsidRPr="00F704EE">
        <w:rPr>
          <w:noProof/>
          <w:sz w:val="24"/>
          <w:szCs w:val="24"/>
        </w:rPr>
        <w:t>Warming accelerates decomposition of decades-old carbon in forest soils</w:t>
      </w:r>
      <w:r w:rsidR="00DE2EB0">
        <w:rPr>
          <w:noProof/>
          <w:sz w:val="24"/>
          <w:szCs w:val="24"/>
        </w:rPr>
        <w:t xml:space="preserve">. </w:t>
      </w:r>
      <w:r w:rsidR="00DE2EB0" w:rsidRPr="00DE2EB0">
        <w:rPr>
          <w:i/>
          <w:noProof/>
          <w:sz w:val="24"/>
          <w:szCs w:val="24"/>
        </w:rPr>
        <w:t>Proceedings of the National Academy of Sciences</w:t>
      </w:r>
      <w:r w:rsidR="00DE2EB0">
        <w:rPr>
          <w:i/>
          <w:noProof/>
          <w:sz w:val="24"/>
          <w:szCs w:val="24"/>
        </w:rPr>
        <w:t>, 109</w:t>
      </w:r>
      <w:r w:rsidR="00DE2EB0">
        <w:rPr>
          <w:noProof/>
          <w:sz w:val="24"/>
          <w:szCs w:val="24"/>
        </w:rPr>
        <w:t xml:space="preserve">(26), </w:t>
      </w:r>
      <w:r w:rsidR="00DE2EB0" w:rsidRPr="00DE2EB0">
        <w:rPr>
          <w:noProof/>
          <w:sz w:val="24"/>
          <w:szCs w:val="24"/>
        </w:rPr>
        <w:t>E1753-E1761</w:t>
      </w:r>
      <w:r w:rsidR="00DE2EB0">
        <w:rPr>
          <w:noProof/>
          <w:sz w:val="24"/>
          <w:szCs w:val="24"/>
        </w:rPr>
        <w:t xml:space="preserve">. </w:t>
      </w:r>
      <w:r w:rsidR="00965741">
        <w:rPr>
          <w:noProof/>
          <w:sz w:val="24"/>
          <w:szCs w:val="24"/>
        </w:rPr>
        <w:t>https://doi.org/</w:t>
      </w:r>
      <w:r w:rsidR="00965741" w:rsidRPr="00965741">
        <w:rPr>
          <w:noProof/>
          <w:sz w:val="24"/>
          <w:szCs w:val="24"/>
        </w:rPr>
        <w:t>10.1073/pnas.1120603109</w:t>
      </w:r>
    </w:p>
    <w:p w14:paraId="483CF468"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Jarvis, P., Rey, A., Petsikos, C., Wingate, L., Pereira, J., Banza, J., David, J., Miglietta, F., Borghetti, M., Manca, G., &amp; Valentini, R. (2007). Drying and wetting of Mediterranean soils stimulates decomposition and carbon dioxide emission: the “Birch effect.” </w:t>
      </w:r>
      <w:r w:rsidRPr="00CE19AB">
        <w:rPr>
          <w:i/>
          <w:iCs/>
          <w:noProof/>
          <w:sz w:val="24"/>
          <w:szCs w:val="24"/>
        </w:rPr>
        <w:t>Tree Physiology</w:t>
      </w:r>
      <w:r w:rsidRPr="00CE19AB">
        <w:rPr>
          <w:noProof/>
          <w:sz w:val="24"/>
          <w:szCs w:val="24"/>
        </w:rPr>
        <w:t xml:space="preserve">, </w:t>
      </w:r>
      <w:r w:rsidRPr="00CE19AB">
        <w:rPr>
          <w:i/>
          <w:iCs/>
          <w:noProof/>
          <w:sz w:val="24"/>
          <w:szCs w:val="24"/>
        </w:rPr>
        <w:t>27</w:t>
      </w:r>
      <w:r w:rsidRPr="00CE19AB">
        <w:rPr>
          <w:noProof/>
          <w:sz w:val="24"/>
          <w:szCs w:val="24"/>
        </w:rPr>
        <w:t>, 929–940.</w:t>
      </w:r>
    </w:p>
    <w:p w14:paraId="65790AED"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Jenkinson, D. S., Poulton, P. R., &amp; Bryant, C. (2008). The turnover of organic carbon in subsoils. Part 1. Natural and bomb radiocarbon in soil profiles from the Rothamsted long-term field experiments. </w:t>
      </w:r>
      <w:r w:rsidRPr="00CE19AB">
        <w:rPr>
          <w:i/>
          <w:iCs/>
          <w:noProof/>
          <w:sz w:val="24"/>
          <w:szCs w:val="24"/>
        </w:rPr>
        <w:t>European Journal of Soil Science</w:t>
      </w:r>
      <w:r w:rsidRPr="00CE19AB">
        <w:rPr>
          <w:noProof/>
          <w:sz w:val="24"/>
          <w:szCs w:val="24"/>
        </w:rPr>
        <w:t xml:space="preserve">, </w:t>
      </w:r>
      <w:r w:rsidRPr="00CE19AB">
        <w:rPr>
          <w:i/>
          <w:iCs/>
          <w:noProof/>
          <w:sz w:val="24"/>
          <w:szCs w:val="24"/>
        </w:rPr>
        <w:t>59</w:t>
      </w:r>
      <w:r w:rsidRPr="00CE19AB">
        <w:rPr>
          <w:noProof/>
          <w:sz w:val="24"/>
          <w:szCs w:val="24"/>
        </w:rPr>
        <w:t>(2), 391–399. https://doi.org/10.1111/j.1365-2389.2008.01025.x</w:t>
      </w:r>
    </w:p>
    <w:p w14:paraId="6FA51B6F"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Jones, A. R., Gupta, V. V. S. R., Buckley, S., Brackin, R., Schmidt, S., &amp; Dalal, R. C. (2019). Drying and rewetting effects on organic matter mineralisation of contrasting soils after 36 years of storage. </w:t>
      </w:r>
      <w:r w:rsidRPr="00CE19AB">
        <w:rPr>
          <w:i/>
          <w:iCs/>
          <w:noProof/>
          <w:sz w:val="24"/>
          <w:szCs w:val="24"/>
        </w:rPr>
        <w:t>Geoderma</w:t>
      </w:r>
      <w:r w:rsidRPr="00CE19AB">
        <w:rPr>
          <w:noProof/>
          <w:sz w:val="24"/>
          <w:szCs w:val="24"/>
        </w:rPr>
        <w:t xml:space="preserve">, </w:t>
      </w:r>
      <w:r w:rsidRPr="00CE19AB">
        <w:rPr>
          <w:i/>
          <w:iCs/>
          <w:noProof/>
          <w:sz w:val="24"/>
          <w:szCs w:val="24"/>
        </w:rPr>
        <w:t>342</w:t>
      </w:r>
      <w:r w:rsidRPr="00CE19AB">
        <w:rPr>
          <w:noProof/>
          <w:sz w:val="24"/>
          <w:szCs w:val="24"/>
        </w:rPr>
        <w:t>, 12–19. https://doi.org/10.1016/j.geoderma.2019.01.053</w:t>
      </w:r>
    </w:p>
    <w:p w14:paraId="2C1A5C66"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Kaiser, M., Kleber, M., &amp; Berhe, A. A. (2015). How air-drying and rewetting modify soil organic matter characteristics: An assessment to improve data interpretation and inference. </w:t>
      </w:r>
      <w:r w:rsidRPr="00CE19AB">
        <w:rPr>
          <w:i/>
          <w:iCs/>
          <w:noProof/>
          <w:sz w:val="24"/>
          <w:szCs w:val="24"/>
        </w:rPr>
        <w:t>Soil Biology and Biochemistry</w:t>
      </w:r>
      <w:r w:rsidRPr="00CE19AB">
        <w:rPr>
          <w:noProof/>
          <w:sz w:val="24"/>
          <w:szCs w:val="24"/>
        </w:rPr>
        <w:t xml:space="preserve">, </w:t>
      </w:r>
      <w:r w:rsidRPr="00CE19AB">
        <w:rPr>
          <w:i/>
          <w:iCs/>
          <w:noProof/>
          <w:sz w:val="24"/>
          <w:szCs w:val="24"/>
        </w:rPr>
        <w:t>80</w:t>
      </w:r>
      <w:r w:rsidRPr="00CE19AB">
        <w:rPr>
          <w:noProof/>
          <w:sz w:val="24"/>
          <w:szCs w:val="24"/>
        </w:rPr>
        <w:t>, 324–340. https://doi.org/10.1016/j.soilbio.2014.10.018</w:t>
      </w:r>
    </w:p>
    <w:p w14:paraId="0A577E43"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Kleber, M., Nico, P. S., Plante, A., Filley, T., Kramer, M., Swanston, C., &amp; Sollins, P. (2011). Old and stable soil organic matter is not necessarily chemically recalcitrant: Implications for modeling concepts and temperature sensitivity. </w:t>
      </w:r>
      <w:r w:rsidRPr="00CE19AB">
        <w:rPr>
          <w:i/>
          <w:iCs/>
          <w:noProof/>
          <w:sz w:val="24"/>
          <w:szCs w:val="24"/>
        </w:rPr>
        <w:t>Global Change Biology</w:t>
      </w:r>
      <w:r w:rsidRPr="00CE19AB">
        <w:rPr>
          <w:noProof/>
          <w:sz w:val="24"/>
          <w:szCs w:val="24"/>
        </w:rPr>
        <w:t xml:space="preserve">, </w:t>
      </w:r>
      <w:r w:rsidRPr="00CE19AB">
        <w:rPr>
          <w:i/>
          <w:iCs/>
          <w:noProof/>
          <w:sz w:val="24"/>
          <w:szCs w:val="24"/>
        </w:rPr>
        <w:t>17</w:t>
      </w:r>
      <w:r w:rsidRPr="00CE19AB">
        <w:rPr>
          <w:noProof/>
          <w:sz w:val="24"/>
          <w:szCs w:val="24"/>
        </w:rPr>
        <w:t>(2), 1097–1107. https://doi.org/10.1111/j.1365-2486.2010.02278.x</w:t>
      </w:r>
    </w:p>
    <w:p w14:paraId="6FD0E7B3" w14:textId="7AD05C7A" w:rsidR="00965741" w:rsidRPr="00CE19AB" w:rsidRDefault="00965741" w:rsidP="00D613A2">
      <w:pPr>
        <w:widowControl w:val="0"/>
        <w:autoSpaceDE w:val="0"/>
        <w:autoSpaceDN w:val="0"/>
        <w:adjustRightInd w:val="0"/>
        <w:spacing w:before="120" w:line="360" w:lineRule="auto"/>
        <w:ind w:left="480" w:hanging="480"/>
        <w:rPr>
          <w:noProof/>
          <w:sz w:val="24"/>
          <w:szCs w:val="24"/>
        </w:rPr>
      </w:pPr>
      <w:r>
        <w:rPr>
          <w:noProof/>
          <w:sz w:val="24"/>
          <w:szCs w:val="24"/>
        </w:rPr>
        <w:t>Koarashi, J., Hockaday, W.</w:t>
      </w:r>
      <w:r w:rsidRPr="00965741">
        <w:rPr>
          <w:noProof/>
          <w:sz w:val="24"/>
          <w:szCs w:val="24"/>
        </w:rPr>
        <w:t>C.</w:t>
      </w:r>
      <w:r>
        <w:rPr>
          <w:noProof/>
          <w:sz w:val="24"/>
          <w:szCs w:val="24"/>
        </w:rPr>
        <w:t>, Masiello, C</w:t>
      </w:r>
      <w:r w:rsidRPr="00965741">
        <w:rPr>
          <w:noProof/>
          <w:sz w:val="24"/>
          <w:szCs w:val="24"/>
        </w:rPr>
        <w:t>.</w:t>
      </w:r>
      <w:r>
        <w:rPr>
          <w:noProof/>
          <w:sz w:val="24"/>
          <w:szCs w:val="24"/>
        </w:rPr>
        <w:t>A., Trumbore, S.</w:t>
      </w:r>
      <w:r w:rsidRPr="00965741">
        <w:rPr>
          <w:noProof/>
          <w:sz w:val="24"/>
          <w:szCs w:val="24"/>
        </w:rPr>
        <w:t>E.</w:t>
      </w:r>
      <w:r>
        <w:rPr>
          <w:noProof/>
          <w:sz w:val="24"/>
          <w:szCs w:val="24"/>
        </w:rPr>
        <w:t xml:space="preserve"> (2012) </w:t>
      </w:r>
      <w:r w:rsidRPr="00965741">
        <w:rPr>
          <w:noProof/>
          <w:sz w:val="24"/>
          <w:szCs w:val="24"/>
        </w:rPr>
        <w:t>Dynamics of decadally cycling carbon in subsurface soils</w:t>
      </w:r>
      <w:r>
        <w:rPr>
          <w:noProof/>
          <w:sz w:val="24"/>
          <w:szCs w:val="24"/>
        </w:rPr>
        <w:t xml:space="preserve">. </w:t>
      </w:r>
      <w:r w:rsidRPr="00965741">
        <w:rPr>
          <w:i/>
          <w:noProof/>
          <w:sz w:val="24"/>
          <w:szCs w:val="24"/>
        </w:rPr>
        <w:t>Journal of Geophysical Research G: Biogeosciences</w:t>
      </w:r>
      <w:r>
        <w:rPr>
          <w:i/>
          <w:noProof/>
          <w:sz w:val="24"/>
          <w:szCs w:val="24"/>
        </w:rPr>
        <w:t>, 117</w:t>
      </w:r>
      <w:r>
        <w:rPr>
          <w:noProof/>
          <w:sz w:val="24"/>
          <w:szCs w:val="24"/>
        </w:rPr>
        <w:t xml:space="preserve">(3), </w:t>
      </w:r>
      <w:r w:rsidRPr="00965741">
        <w:rPr>
          <w:noProof/>
          <w:sz w:val="24"/>
          <w:szCs w:val="24"/>
        </w:rPr>
        <w:t>G03033</w:t>
      </w:r>
      <w:r>
        <w:rPr>
          <w:noProof/>
          <w:sz w:val="24"/>
          <w:szCs w:val="24"/>
        </w:rPr>
        <w:t>. https://doi.org/</w:t>
      </w:r>
      <w:r w:rsidRPr="00965741">
        <w:rPr>
          <w:noProof/>
          <w:sz w:val="24"/>
          <w:szCs w:val="24"/>
        </w:rPr>
        <w:t>10.1029/2012JG002034.</w:t>
      </w:r>
    </w:p>
    <w:p w14:paraId="59939593"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Lehmann, J., &amp; Kleber, M. (2015). Perspective The contentious nature of soil organic matter. </w:t>
      </w:r>
      <w:r w:rsidRPr="00CE19AB">
        <w:rPr>
          <w:i/>
          <w:iCs/>
          <w:noProof/>
          <w:sz w:val="24"/>
          <w:szCs w:val="24"/>
        </w:rPr>
        <w:t>Nature</w:t>
      </w:r>
      <w:r w:rsidRPr="00CE19AB">
        <w:rPr>
          <w:noProof/>
          <w:sz w:val="24"/>
          <w:szCs w:val="24"/>
        </w:rPr>
        <w:t>, 1–9. https://doi.org/10.1038/nature16069</w:t>
      </w:r>
    </w:p>
    <w:p w14:paraId="0EEEC38D" w14:textId="19F84BDA" w:rsidR="00455432" w:rsidRDefault="00455432" w:rsidP="00263011">
      <w:pPr>
        <w:widowControl w:val="0"/>
        <w:autoSpaceDE w:val="0"/>
        <w:autoSpaceDN w:val="0"/>
        <w:adjustRightInd w:val="0"/>
        <w:spacing w:before="120" w:line="360" w:lineRule="auto"/>
        <w:ind w:left="480" w:hanging="480"/>
        <w:rPr>
          <w:noProof/>
          <w:sz w:val="24"/>
          <w:szCs w:val="24"/>
        </w:rPr>
      </w:pPr>
      <w:r>
        <w:rPr>
          <w:noProof/>
          <w:sz w:val="24"/>
          <w:szCs w:val="24"/>
        </w:rPr>
        <w:t xml:space="preserve">Lehmann, J., </w:t>
      </w:r>
      <w:r w:rsidRPr="00455432">
        <w:rPr>
          <w:noProof/>
          <w:sz w:val="24"/>
          <w:szCs w:val="24"/>
        </w:rPr>
        <w:t>Hansel, C</w:t>
      </w:r>
      <w:r>
        <w:rPr>
          <w:noProof/>
          <w:sz w:val="24"/>
          <w:szCs w:val="24"/>
        </w:rPr>
        <w:t>.</w:t>
      </w:r>
      <w:r w:rsidRPr="00455432">
        <w:rPr>
          <w:noProof/>
          <w:sz w:val="24"/>
          <w:szCs w:val="24"/>
        </w:rPr>
        <w:t>M.</w:t>
      </w:r>
      <w:r>
        <w:rPr>
          <w:noProof/>
          <w:sz w:val="24"/>
          <w:szCs w:val="24"/>
        </w:rPr>
        <w:t xml:space="preserve">, </w:t>
      </w:r>
      <w:r w:rsidRPr="00455432">
        <w:rPr>
          <w:noProof/>
          <w:sz w:val="24"/>
          <w:szCs w:val="24"/>
        </w:rPr>
        <w:t>Kaiser, C</w:t>
      </w:r>
      <w:r>
        <w:rPr>
          <w:noProof/>
          <w:sz w:val="24"/>
          <w:szCs w:val="24"/>
        </w:rPr>
        <w:t>.</w:t>
      </w:r>
      <w:r>
        <w:rPr>
          <w:noProof/>
        </w:rPr>
        <w:t xml:space="preserve">, </w:t>
      </w:r>
      <w:r w:rsidRPr="00455432">
        <w:rPr>
          <w:noProof/>
          <w:sz w:val="24"/>
          <w:szCs w:val="24"/>
        </w:rPr>
        <w:t>Kleber, M</w:t>
      </w:r>
      <w:r>
        <w:rPr>
          <w:noProof/>
        </w:rPr>
        <w:t xml:space="preserve">., </w:t>
      </w:r>
      <w:r>
        <w:rPr>
          <w:noProof/>
          <w:sz w:val="24"/>
          <w:szCs w:val="24"/>
        </w:rPr>
        <w:t xml:space="preserve">Maher, K., </w:t>
      </w:r>
      <w:r w:rsidRPr="00455432">
        <w:rPr>
          <w:noProof/>
          <w:sz w:val="24"/>
          <w:szCs w:val="24"/>
        </w:rPr>
        <w:t>Manzoni, S</w:t>
      </w:r>
      <w:r>
        <w:rPr>
          <w:noProof/>
          <w:sz w:val="24"/>
          <w:szCs w:val="24"/>
        </w:rPr>
        <w:t>., Nunan, N., Reichstein, M., Schimel, J.</w:t>
      </w:r>
      <w:r w:rsidRPr="00455432">
        <w:rPr>
          <w:noProof/>
          <w:sz w:val="24"/>
          <w:szCs w:val="24"/>
        </w:rPr>
        <w:t xml:space="preserve"> P.</w:t>
      </w:r>
      <w:r>
        <w:rPr>
          <w:noProof/>
        </w:rPr>
        <w:t xml:space="preserve">, </w:t>
      </w:r>
      <w:r>
        <w:rPr>
          <w:noProof/>
          <w:sz w:val="24"/>
          <w:szCs w:val="24"/>
        </w:rPr>
        <w:t>Torn, M.</w:t>
      </w:r>
      <w:r w:rsidRPr="00455432">
        <w:rPr>
          <w:noProof/>
          <w:sz w:val="24"/>
          <w:szCs w:val="24"/>
        </w:rPr>
        <w:t xml:space="preserve"> S.</w:t>
      </w:r>
      <w:r>
        <w:rPr>
          <w:noProof/>
          <w:sz w:val="24"/>
          <w:szCs w:val="24"/>
        </w:rPr>
        <w:t>, Wieder, W.</w:t>
      </w:r>
      <w:r w:rsidRPr="00455432">
        <w:rPr>
          <w:noProof/>
          <w:sz w:val="24"/>
          <w:szCs w:val="24"/>
        </w:rPr>
        <w:t xml:space="preserve"> R.</w:t>
      </w:r>
      <w:r>
        <w:rPr>
          <w:noProof/>
        </w:rPr>
        <w:t xml:space="preserve"> </w:t>
      </w:r>
      <w:r>
        <w:rPr>
          <w:noProof/>
          <w:sz w:val="24"/>
          <w:szCs w:val="24"/>
        </w:rPr>
        <w:t xml:space="preserve">Kögel-Knabner, I. </w:t>
      </w:r>
      <w:r w:rsidR="00263011">
        <w:rPr>
          <w:noProof/>
          <w:sz w:val="24"/>
          <w:szCs w:val="24"/>
        </w:rPr>
        <w:t xml:space="preserve">(2020). </w:t>
      </w:r>
      <w:r w:rsidRPr="00455432">
        <w:rPr>
          <w:noProof/>
          <w:sz w:val="24"/>
          <w:szCs w:val="24"/>
        </w:rPr>
        <w:t>Persistence of soil organic carbon caused by functional complexity</w:t>
      </w:r>
      <w:r>
        <w:rPr>
          <w:noProof/>
          <w:sz w:val="24"/>
          <w:szCs w:val="24"/>
        </w:rPr>
        <w:t xml:space="preserve">. </w:t>
      </w:r>
      <w:r w:rsidR="00263011" w:rsidRPr="00263011">
        <w:rPr>
          <w:i/>
          <w:noProof/>
          <w:sz w:val="24"/>
          <w:szCs w:val="24"/>
        </w:rPr>
        <w:t>Nature Geoscience</w:t>
      </w:r>
      <w:r w:rsidR="00263011">
        <w:rPr>
          <w:noProof/>
          <w:sz w:val="24"/>
          <w:szCs w:val="24"/>
        </w:rPr>
        <w:t xml:space="preserve">, </w:t>
      </w:r>
      <w:r w:rsidR="00263011" w:rsidRPr="00263011">
        <w:rPr>
          <w:i/>
          <w:noProof/>
          <w:sz w:val="24"/>
          <w:szCs w:val="24"/>
        </w:rPr>
        <w:t>13</w:t>
      </w:r>
      <w:r w:rsidR="00263011" w:rsidRPr="00263011">
        <w:rPr>
          <w:noProof/>
          <w:sz w:val="24"/>
          <w:szCs w:val="24"/>
        </w:rPr>
        <w:t>(8)</w:t>
      </w:r>
      <w:r w:rsidR="00263011">
        <w:rPr>
          <w:noProof/>
          <w:sz w:val="24"/>
          <w:szCs w:val="24"/>
        </w:rPr>
        <w:t xml:space="preserve">, 529:534. </w:t>
      </w:r>
      <w:r w:rsidR="00263011" w:rsidRPr="00263011">
        <w:rPr>
          <w:noProof/>
          <w:sz w:val="24"/>
          <w:szCs w:val="24"/>
        </w:rPr>
        <w:t>https://do</w:t>
      </w:r>
      <w:r w:rsidR="00263011">
        <w:rPr>
          <w:noProof/>
          <w:sz w:val="24"/>
          <w:szCs w:val="24"/>
        </w:rPr>
        <w:t>i.org/10.1038/s41561-020-0612-3</w:t>
      </w:r>
    </w:p>
    <w:p w14:paraId="0407C749" w14:textId="3A971CF2" w:rsidR="00A02917" w:rsidRDefault="00A02917" w:rsidP="009D7A42">
      <w:pPr>
        <w:widowControl w:val="0"/>
        <w:autoSpaceDE w:val="0"/>
        <w:autoSpaceDN w:val="0"/>
        <w:adjustRightInd w:val="0"/>
        <w:spacing w:before="120" w:line="360" w:lineRule="auto"/>
        <w:ind w:left="480" w:hanging="480"/>
        <w:rPr>
          <w:noProof/>
          <w:sz w:val="24"/>
          <w:szCs w:val="24"/>
        </w:rPr>
      </w:pPr>
      <w:r>
        <w:rPr>
          <w:noProof/>
          <w:sz w:val="24"/>
          <w:szCs w:val="24"/>
        </w:rPr>
        <w:t xml:space="preserve">Lützow, v.M, </w:t>
      </w:r>
      <w:r w:rsidRPr="00A02917">
        <w:rPr>
          <w:noProof/>
          <w:sz w:val="24"/>
          <w:szCs w:val="24"/>
        </w:rPr>
        <w:t>Kögel-Knabner, I.</w:t>
      </w:r>
      <w:r>
        <w:rPr>
          <w:noProof/>
          <w:sz w:val="24"/>
          <w:szCs w:val="24"/>
        </w:rPr>
        <w:t xml:space="preserve">, </w:t>
      </w:r>
      <w:r w:rsidRPr="00A02917">
        <w:rPr>
          <w:noProof/>
          <w:sz w:val="24"/>
          <w:szCs w:val="24"/>
        </w:rPr>
        <w:t>Ekschmitt, K.</w:t>
      </w:r>
      <w:r>
        <w:rPr>
          <w:noProof/>
          <w:sz w:val="24"/>
          <w:szCs w:val="24"/>
        </w:rPr>
        <w:t xml:space="preserve">, </w:t>
      </w:r>
      <w:r w:rsidRPr="00A02917">
        <w:rPr>
          <w:noProof/>
          <w:sz w:val="24"/>
          <w:szCs w:val="24"/>
        </w:rPr>
        <w:t>Matzner, E.</w:t>
      </w:r>
      <w:r>
        <w:rPr>
          <w:noProof/>
          <w:sz w:val="24"/>
          <w:szCs w:val="24"/>
        </w:rPr>
        <w:t xml:space="preserve">, </w:t>
      </w:r>
      <w:r w:rsidRPr="00A02917">
        <w:rPr>
          <w:noProof/>
          <w:sz w:val="24"/>
          <w:szCs w:val="24"/>
        </w:rPr>
        <w:t>Guggenberger, G.</w:t>
      </w:r>
      <w:r>
        <w:rPr>
          <w:noProof/>
          <w:sz w:val="24"/>
          <w:szCs w:val="24"/>
        </w:rPr>
        <w:t xml:space="preserve">, </w:t>
      </w:r>
      <w:r w:rsidRPr="00A02917">
        <w:rPr>
          <w:noProof/>
          <w:sz w:val="24"/>
          <w:szCs w:val="24"/>
        </w:rPr>
        <w:t>Marschner, B.</w:t>
      </w:r>
      <w:r>
        <w:rPr>
          <w:noProof/>
          <w:sz w:val="24"/>
          <w:szCs w:val="24"/>
        </w:rPr>
        <w:t xml:space="preserve">, </w:t>
      </w:r>
      <w:r w:rsidRPr="00A02917">
        <w:rPr>
          <w:noProof/>
          <w:sz w:val="24"/>
          <w:szCs w:val="24"/>
        </w:rPr>
        <w:t>Flessa, H.</w:t>
      </w:r>
      <w:r>
        <w:rPr>
          <w:noProof/>
          <w:sz w:val="24"/>
          <w:szCs w:val="24"/>
        </w:rPr>
        <w:t xml:space="preserve"> (2006)</w:t>
      </w:r>
      <w:r w:rsidRPr="00A02917">
        <w:rPr>
          <w:noProof/>
          <w:sz w:val="24"/>
          <w:szCs w:val="24"/>
        </w:rPr>
        <w:t>. Stabilization of organic matter in temperate soils: Mechanisms and their relevance under different soil conditions - A review</w:t>
      </w:r>
      <w:r>
        <w:rPr>
          <w:noProof/>
          <w:sz w:val="24"/>
          <w:szCs w:val="24"/>
        </w:rPr>
        <w:t>.</w:t>
      </w:r>
      <w:r w:rsidRPr="00A02917">
        <w:rPr>
          <w:rFonts w:eastAsiaTheme="minorEastAsia"/>
        </w:rPr>
        <w:t xml:space="preserve"> </w:t>
      </w:r>
      <w:r w:rsidRPr="00A02917">
        <w:rPr>
          <w:i/>
          <w:noProof/>
          <w:sz w:val="24"/>
          <w:szCs w:val="24"/>
        </w:rPr>
        <w:t>European Journal of Soil Science</w:t>
      </w:r>
      <w:r w:rsidR="009D7A42">
        <w:rPr>
          <w:i/>
          <w:noProof/>
          <w:sz w:val="24"/>
          <w:szCs w:val="24"/>
        </w:rPr>
        <w:t>, 57</w:t>
      </w:r>
      <w:r w:rsidR="009D7A42">
        <w:rPr>
          <w:noProof/>
          <w:sz w:val="24"/>
          <w:szCs w:val="24"/>
        </w:rPr>
        <w:t>(4), 426:</w:t>
      </w:r>
      <w:r w:rsidR="009D7A42" w:rsidRPr="009D7A42">
        <w:rPr>
          <w:noProof/>
          <w:sz w:val="24"/>
          <w:szCs w:val="24"/>
        </w:rPr>
        <w:t>445</w:t>
      </w:r>
      <w:r w:rsidR="009D7A42">
        <w:rPr>
          <w:noProof/>
          <w:sz w:val="24"/>
          <w:szCs w:val="24"/>
        </w:rPr>
        <w:t xml:space="preserve">. </w:t>
      </w:r>
      <w:r w:rsidR="009D7A42" w:rsidRPr="00263011">
        <w:rPr>
          <w:noProof/>
          <w:sz w:val="24"/>
          <w:szCs w:val="24"/>
        </w:rPr>
        <w:t>https://do</w:t>
      </w:r>
      <w:r w:rsidR="009D7A42">
        <w:rPr>
          <w:noProof/>
          <w:sz w:val="24"/>
          <w:szCs w:val="24"/>
        </w:rPr>
        <w:t>i.org/1</w:t>
      </w:r>
      <w:r w:rsidR="009D7A42" w:rsidRPr="009D7A42">
        <w:rPr>
          <w:noProof/>
          <w:sz w:val="24"/>
          <w:szCs w:val="24"/>
        </w:rPr>
        <w:t>0.1111/j.1365-2389.2006.00809.x</w:t>
      </w:r>
      <w:r w:rsidR="009D7A42">
        <w:rPr>
          <w:noProof/>
          <w:sz w:val="24"/>
          <w:szCs w:val="24"/>
        </w:rPr>
        <w:t xml:space="preserve"> </w:t>
      </w:r>
    </w:p>
    <w:p w14:paraId="4B9AC2C7" w14:textId="60F2E4EE" w:rsidR="00237715" w:rsidRPr="00237715" w:rsidRDefault="00237715" w:rsidP="00237715">
      <w:pPr>
        <w:widowControl w:val="0"/>
        <w:autoSpaceDE w:val="0"/>
        <w:autoSpaceDN w:val="0"/>
        <w:adjustRightInd w:val="0"/>
        <w:spacing w:before="120" w:line="360" w:lineRule="auto"/>
        <w:ind w:left="480" w:hanging="480"/>
        <w:rPr>
          <w:bCs/>
          <w:noProof/>
          <w:sz w:val="24"/>
          <w:szCs w:val="24"/>
        </w:rPr>
      </w:pPr>
      <w:r>
        <w:rPr>
          <w:bCs/>
          <w:noProof/>
          <w:sz w:val="24"/>
          <w:szCs w:val="24"/>
        </w:rPr>
        <w:t xml:space="preserve">MacFayden, A. (1973). </w:t>
      </w:r>
      <w:r w:rsidRPr="00237715">
        <w:rPr>
          <w:bCs/>
          <w:noProof/>
          <w:sz w:val="24"/>
          <w:szCs w:val="24"/>
        </w:rPr>
        <w:t>Inhibitory effects of carbon dioxide on microbial activity in soil</w:t>
      </w:r>
      <w:r>
        <w:rPr>
          <w:bCs/>
          <w:noProof/>
          <w:sz w:val="24"/>
          <w:szCs w:val="24"/>
        </w:rPr>
        <w:t xml:space="preserve">. </w:t>
      </w:r>
      <w:r w:rsidRPr="00237715">
        <w:rPr>
          <w:bCs/>
          <w:i/>
          <w:noProof/>
          <w:sz w:val="24"/>
          <w:szCs w:val="24"/>
        </w:rPr>
        <w:t>Pedobiologia, 13</w:t>
      </w:r>
      <w:r>
        <w:rPr>
          <w:bCs/>
          <w:noProof/>
          <w:sz w:val="24"/>
          <w:szCs w:val="24"/>
        </w:rPr>
        <w:t>(2), 140:149.</w:t>
      </w:r>
    </w:p>
    <w:p w14:paraId="523E4C14" w14:textId="216FF482" w:rsidR="001406DC" w:rsidRDefault="001406DC" w:rsidP="001406DC">
      <w:pPr>
        <w:widowControl w:val="0"/>
        <w:autoSpaceDE w:val="0"/>
        <w:autoSpaceDN w:val="0"/>
        <w:adjustRightInd w:val="0"/>
        <w:spacing w:before="120" w:line="360" w:lineRule="auto"/>
        <w:ind w:left="480" w:hanging="480"/>
        <w:rPr>
          <w:noProof/>
          <w:sz w:val="24"/>
          <w:szCs w:val="24"/>
        </w:rPr>
      </w:pPr>
      <w:r>
        <w:rPr>
          <w:noProof/>
          <w:sz w:val="24"/>
          <w:szCs w:val="24"/>
        </w:rPr>
        <w:t xml:space="preserve">Marschner, B., </w:t>
      </w:r>
      <w:r w:rsidRPr="001406DC">
        <w:rPr>
          <w:noProof/>
          <w:sz w:val="24"/>
          <w:szCs w:val="24"/>
        </w:rPr>
        <w:t>Brodowski, S</w:t>
      </w:r>
      <w:r>
        <w:rPr>
          <w:noProof/>
          <w:sz w:val="24"/>
          <w:szCs w:val="24"/>
        </w:rPr>
        <w:t xml:space="preserve">., </w:t>
      </w:r>
      <w:r w:rsidRPr="001406DC">
        <w:rPr>
          <w:noProof/>
          <w:sz w:val="24"/>
          <w:szCs w:val="24"/>
        </w:rPr>
        <w:t>Dreves, A</w:t>
      </w:r>
      <w:r>
        <w:rPr>
          <w:noProof/>
          <w:sz w:val="24"/>
          <w:szCs w:val="24"/>
        </w:rPr>
        <w:t xml:space="preserve">., </w:t>
      </w:r>
      <w:r w:rsidRPr="001406DC">
        <w:rPr>
          <w:noProof/>
          <w:sz w:val="24"/>
          <w:szCs w:val="24"/>
        </w:rPr>
        <w:t>Gleixner, G</w:t>
      </w:r>
      <w:r>
        <w:rPr>
          <w:noProof/>
          <w:sz w:val="24"/>
          <w:szCs w:val="24"/>
        </w:rPr>
        <w:t xml:space="preserve">., </w:t>
      </w:r>
      <w:r w:rsidRPr="001406DC">
        <w:rPr>
          <w:noProof/>
          <w:sz w:val="24"/>
          <w:szCs w:val="24"/>
        </w:rPr>
        <w:t>Gude, A</w:t>
      </w:r>
      <w:r>
        <w:rPr>
          <w:noProof/>
          <w:sz w:val="24"/>
          <w:szCs w:val="24"/>
        </w:rPr>
        <w:t xml:space="preserve">. </w:t>
      </w:r>
      <w:r w:rsidRPr="001406DC">
        <w:rPr>
          <w:noProof/>
          <w:sz w:val="24"/>
          <w:szCs w:val="24"/>
        </w:rPr>
        <w:t>Grootes, P</w:t>
      </w:r>
      <w:r>
        <w:rPr>
          <w:noProof/>
          <w:sz w:val="24"/>
          <w:szCs w:val="24"/>
        </w:rPr>
        <w:t>.</w:t>
      </w:r>
      <w:r w:rsidRPr="001406DC">
        <w:rPr>
          <w:noProof/>
          <w:sz w:val="24"/>
          <w:szCs w:val="24"/>
        </w:rPr>
        <w:t>M.</w:t>
      </w:r>
      <w:r>
        <w:rPr>
          <w:noProof/>
          <w:sz w:val="24"/>
          <w:szCs w:val="24"/>
        </w:rPr>
        <w:t>, Hamer, U., Heim, A., Jandl, G., Ji, R., Kaiser, K., Kalbitz, K., Kramer, C., Leinweber, P., Rethemeyer, J., Schäffer, A., Schmidt, M.</w:t>
      </w:r>
      <w:r w:rsidRPr="001406DC">
        <w:rPr>
          <w:noProof/>
          <w:sz w:val="24"/>
          <w:szCs w:val="24"/>
        </w:rPr>
        <w:t>W.I.</w:t>
      </w:r>
      <w:r>
        <w:rPr>
          <w:noProof/>
          <w:sz w:val="24"/>
          <w:szCs w:val="24"/>
        </w:rPr>
        <w:t>, Schwark, L., Wiesenberg, G.</w:t>
      </w:r>
      <w:r w:rsidRPr="001406DC">
        <w:rPr>
          <w:noProof/>
          <w:sz w:val="24"/>
          <w:szCs w:val="24"/>
        </w:rPr>
        <w:t xml:space="preserve"> L.B.</w:t>
      </w:r>
      <w:r>
        <w:rPr>
          <w:noProof/>
          <w:sz w:val="24"/>
          <w:szCs w:val="24"/>
        </w:rPr>
        <w:t xml:space="preserve"> (2008).</w:t>
      </w:r>
      <w:r w:rsidRPr="001406DC">
        <w:rPr>
          <w:rFonts w:eastAsiaTheme="minorEastAsia"/>
        </w:rPr>
        <w:t xml:space="preserve"> </w:t>
      </w:r>
      <w:r w:rsidRPr="001406DC">
        <w:rPr>
          <w:i/>
          <w:noProof/>
          <w:sz w:val="24"/>
          <w:szCs w:val="24"/>
        </w:rPr>
        <w:t>Journal of Plant Nutrition and Soil Science</w:t>
      </w:r>
      <w:r>
        <w:rPr>
          <w:i/>
          <w:noProof/>
          <w:sz w:val="24"/>
          <w:szCs w:val="24"/>
        </w:rPr>
        <w:t>, 171</w:t>
      </w:r>
      <w:r>
        <w:rPr>
          <w:noProof/>
          <w:sz w:val="24"/>
          <w:szCs w:val="24"/>
        </w:rPr>
        <w:t xml:space="preserve">(1), </w:t>
      </w:r>
      <w:r w:rsidRPr="001406DC">
        <w:rPr>
          <w:noProof/>
          <w:sz w:val="24"/>
          <w:szCs w:val="24"/>
        </w:rPr>
        <w:t>91-110</w:t>
      </w:r>
      <w:r>
        <w:rPr>
          <w:noProof/>
          <w:sz w:val="24"/>
          <w:szCs w:val="24"/>
        </w:rPr>
        <w:t xml:space="preserve">. </w:t>
      </w:r>
      <w:r w:rsidRPr="00263011">
        <w:rPr>
          <w:noProof/>
          <w:sz w:val="24"/>
          <w:szCs w:val="24"/>
        </w:rPr>
        <w:t>https://do</w:t>
      </w:r>
      <w:r>
        <w:rPr>
          <w:noProof/>
          <w:sz w:val="24"/>
          <w:szCs w:val="24"/>
        </w:rPr>
        <w:t>i.org/</w:t>
      </w:r>
      <w:r w:rsidRPr="001406DC">
        <w:rPr>
          <w:noProof/>
          <w:sz w:val="24"/>
          <w:szCs w:val="24"/>
        </w:rPr>
        <w:t>10.1002/jpln.200700049</w:t>
      </w:r>
    </w:p>
    <w:p w14:paraId="61455BE5" w14:textId="278E00A4" w:rsidR="00237715" w:rsidRDefault="00237715" w:rsidP="00237715">
      <w:pPr>
        <w:widowControl w:val="0"/>
        <w:autoSpaceDE w:val="0"/>
        <w:autoSpaceDN w:val="0"/>
        <w:adjustRightInd w:val="0"/>
        <w:spacing w:before="120" w:line="360" w:lineRule="auto"/>
        <w:ind w:left="480" w:hanging="480"/>
        <w:rPr>
          <w:noProof/>
          <w:sz w:val="24"/>
          <w:szCs w:val="24"/>
        </w:rPr>
      </w:pPr>
      <w:r>
        <w:rPr>
          <w:noProof/>
          <w:sz w:val="24"/>
          <w:szCs w:val="24"/>
        </w:rPr>
        <w:t xml:space="preserve">O'Neil, B. (2014). </w:t>
      </w:r>
      <w:r w:rsidRPr="00237715">
        <w:rPr>
          <w:noProof/>
          <w:sz w:val="24"/>
          <w:szCs w:val="24"/>
        </w:rPr>
        <w:t>Some Useful Moment Results in Sampling</w:t>
      </w:r>
      <w:r>
        <w:rPr>
          <w:noProof/>
          <w:sz w:val="24"/>
          <w:szCs w:val="24"/>
        </w:rPr>
        <w:t xml:space="preserve"> </w:t>
      </w:r>
      <w:r w:rsidRPr="00237715">
        <w:rPr>
          <w:noProof/>
          <w:sz w:val="24"/>
          <w:szCs w:val="24"/>
        </w:rPr>
        <w:t>Problems</w:t>
      </w:r>
      <w:r>
        <w:rPr>
          <w:noProof/>
          <w:sz w:val="24"/>
          <w:szCs w:val="24"/>
        </w:rPr>
        <w:t xml:space="preserve">. </w:t>
      </w:r>
      <w:r>
        <w:rPr>
          <w:i/>
          <w:noProof/>
          <w:sz w:val="24"/>
          <w:szCs w:val="24"/>
        </w:rPr>
        <w:t xml:space="preserve">The American Statistician, </w:t>
      </w:r>
      <w:r w:rsidRPr="00237715">
        <w:rPr>
          <w:i/>
          <w:noProof/>
          <w:sz w:val="24"/>
          <w:szCs w:val="24"/>
        </w:rPr>
        <w:t>68</w:t>
      </w:r>
      <w:r>
        <w:rPr>
          <w:noProof/>
          <w:sz w:val="24"/>
          <w:szCs w:val="24"/>
        </w:rPr>
        <w:t>(</w:t>
      </w:r>
      <w:r w:rsidRPr="00237715">
        <w:rPr>
          <w:noProof/>
          <w:sz w:val="24"/>
          <w:szCs w:val="24"/>
        </w:rPr>
        <w:t>4</w:t>
      </w:r>
      <w:r>
        <w:rPr>
          <w:noProof/>
          <w:sz w:val="24"/>
          <w:szCs w:val="24"/>
        </w:rPr>
        <w:t>), 282:</w:t>
      </w:r>
      <w:r w:rsidRPr="00237715">
        <w:rPr>
          <w:noProof/>
          <w:sz w:val="24"/>
          <w:szCs w:val="24"/>
        </w:rPr>
        <w:t>296</w:t>
      </w:r>
      <w:r>
        <w:rPr>
          <w:i/>
          <w:noProof/>
          <w:sz w:val="24"/>
          <w:szCs w:val="24"/>
        </w:rPr>
        <w:t>.</w:t>
      </w:r>
      <w:r w:rsidRPr="00237715">
        <w:rPr>
          <w:noProof/>
          <w:sz w:val="24"/>
          <w:szCs w:val="24"/>
        </w:rPr>
        <w:t xml:space="preserve"> https://doi.org/10.1080/00031305.2014.966589</w:t>
      </w:r>
    </w:p>
    <w:p w14:paraId="6975BE25" w14:textId="5F9F13A3" w:rsidR="00237715" w:rsidRPr="00237715" w:rsidRDefault="00237715" w:rsidP="00237715">
      <w:pPr>
        <w:widowControl w:val="0"/>
        <w:autoSpaceDE w:val="0"/>
        <w:autoSpaceDN w:val="0"/>
        <w:adjustRightInd w:val="0"/>
        <w:spacing w:before="120" w:line="360" w:lineRule="auto"/>
        <w:ind w:left="480" w:hanging="480"/>
        <w:rPr>
          <w:noProof/>
          <w:sz w:val="24"/>
          <w:szCs w:val="24"/>
        </w:rPr>
      </w:pPr>
      <w:r w:rsidRPr="00237715">
        <w:rPr>
          <w:bCs/>
          <w:noProof/>
          <w:sz w:val="24"/>
          <w:szCs w:val="24"/>
        </w:rPr>
        <w:t>R Core</w:t>
      </w:r>
      <w:r w:rsidRPr="00237715">
        <w:rPr>
          <w:noProof/>
          <w:sz w:val="24"/>
          <w:szCs w:val="24"/>
        </w:rPr>
        <w:t xml:space="preserve"> Team (2020). </w:t>
      </w:r>
      <w:r w:rsidRPr="00237715">
        <w:rPr>
          <w:bCs/>
          <w:noProof/>
          <w:sz w:val="24"/>
          <w:szCs w:val="24"/>
        </w:rPr>
        <w:t>R</w:t>
      </w:r>
      <w:r w:rsidRPr="00237715">
        <w:rPr>
          <w:noProof/>
          <w:sz w:val="24"/>
          <w:szCs w:val="24"/>
        </w:rPr>
        <w:t xml:space="preserve">: A language and environment for statistical computing. </w:t>
      </w:r>
      <w:r w:rsidRPr="00237715">
        <w:rPr>
          <w:bCs/>
          <w:noProof/>
          <w:sz w:val="24"/>
          <w:szCs w:val="24"/>
        </w:rPr>
        <w:t>R</w:t>
      </w:r>
      <w:r w:rsidRPr="00237715">
        <w:rPr>
          <w:noProof/>
          <w:sz w:val="24"/>
          <w:szCs w:val="24"/>
        </w:rPr>
        <w:t xml:space="preserve"> Foundation for Statistical </w:t>
      </w:r>
      <w:r w:rsidR="00BF54BE">
        <w:rPr>
          <w:noProof/>
          <w:sz w:val="24"/>
          <w:szCs w:val="24"/>
        </w:rPr>
        <w:t xml:space="preserve">Computing, Vienna, Austria. URL </w:t>
      </w:r>
      <w:r w:rsidRPr="00237715">
        <w:rPr>
          <w:noProof/>
          <w:sz w:val="24"/>
          <w:szCs w:val="24"/>
        </w:rPr>
        <w:t>https://www.</w:t>
      </w:r>
      <w:r w:rsidRPr="00237715">
        <w:rPr>
          <w:bCs/>
          <w:noProof/>
          <w:sz w:val="24"/>
          <w:szCs w:val="24"/>
        </w:rPr>
        <w:t>R</w:t>
      </w:r>
      <w:r w:rsidRPr="00237715">
        <w:rPr>
          <w:noProof/>
          <w:sz w:val="24"/>
          <w:szCs w:val="24"/>
        </w:rPr>
        <w:t>-project.org/</w:t>
      </w:r>
    </w:p>
    <w:p w14:paraId="6E6B54DF" w14:textId="1B41EFD7" w:rsidR="00D613A2" w:rsidRPr="00237715" w:rsidRDefault="00237715" w:rsidP="00237715">
      <w:pPr>
        <w:widowControl w:val="0"/>
        <w:autoSpaceDE w:val="0"/>
        <w:autoSpaceDN w:val="0"/>
        <w:adjustRightInd w:val="0"/>
        <w:spacing w:before="120" w:line="360" w:lineRule="auto"/>
        <w:ind w:left="480" w:hanging="480"/>
        <w:rPr>
          <w:noProof/>
          <w:sz w:val="24"/>
          <w:szCs w:val="24"/>
        </w:rPr>
      </w:pPr>
      <w:r w:rsidRPr="00237715">
        <w:rPr>
          <w:noProof/>
          <w:sz w:val="24"/>
          <w:szCs w:val="24"/>
        </w:rPr>
        <w:t>Šantrůčková, H., Šimek, M. (1994). Soil Microorganisms at Different CO</w:t>
      </w:r>
      <w:r w:rsidRPr="00237715">
        <w:rPr>
          <w:noProof/>
          <w:sz w:val="24"/>
          <w:szCs w:val="24"/>
          <w:vertAlign w:val="subscript"/>
        </w:rPr>
        <w:t>2</w:t>
      </w:r>
      <w:r w:rsidRPr="00237715">
        <w:rPr>
          <w:noProof/>
          <w:sz w:val="24"/>
          <w:szCs w:val="24"/>
        </w:rPr>
        <w:t xml:space="preserve"> and O</w:t>
      </w:r>
      <w:r w:rsidRPr="00237715">
        <w:rPr>
          <w:noProof/>
          <w:sz w:val="24"/>
          <w:szCs w:val="24"/>
          <w:vertAlign w:val="subscript"/>
        </w:rPr>
        <w:t>2</w:t>
      </w:r>
      <w:r>
        <w:rPr>
          <w:noProof/>
          <w:sz w:val="24"/>
          <w:szCs w:val="24"/>
        </w:rPr>
        <w:t xml:space="preserve"> </w:t>
      </w:r>
      <w:r w:rsidRPr="00237715">
        <w:rPr>
          <w:noProof/>
          <w:sz w:val="24"/>
          <w:szCs w:val="24"/>
        </w:rPr>
        <w:t xml:space="preserve">Tensions. </w:t>
      </w:r>
      <w:r w:rsidRPr="00237715">
        <w:rPr>
          <w:i/>
          <w:noProof/>
          <w:sz w:val="24"/>
          <w:szCs w:val="24"/>
        </w:rPr>
        <w:t>Folia Microbiologica</w:t>
      </w:r>
      <w:r>
        <w:rPr>
          <w:i/>
          <w:noProof/>
          <w:sz w:val="24"/>
          <w:szCs w:val="24"/>
        </w:rPr>
        <w:t>,</w:t>
      </w:r>
      <w:r w:rsidRPr="00237715">
        <w:rPr>
          <w:i/>
          <w:noProof/>
          <w:sz w:val="24"/>
          <w:szCs w:val="24"/>
        </w:rPr>
        <w:t xml:space="preserve"> 39</w:t>
      </w:r>
      <w:r w:rsidRPr="00237715">
        <w:rPr>
          <w:noProof/>
          <w:sz w:val="24"/>
          <w:szCs w:val="24"/>
        </w:rPr>
        <w:t>(3), 225:230.</w:t>
      </w:r>
    </w:p>
    <w:p w14:paraId="18176110"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Schädel, C., Beem-Miller, J., Aziz Rad, M., Crow, S. E., Hicks Pries, C. E., Ernakovich, J., Hoyt, A. M., Plante, A., Stoner, S., Treat, C. C., &amp; Sierra, C. A. (2020). Decomposability of soil organic matter over time: the Soil Incubation Database (SIDb, version 1.0) and guidance for incubation procedures. </w:t>
      </w:r>
      <w:r w:rsidRPr="00CE19AB">
        <w:rPr>
          <w:i/>
          <w:iCs/>
          <w:noProof/>
          <w:sz w:val="24"/>
          <w:szCs w:val="24"/>
        </w:rPr>
        <w:t>Earth System Science Data</w:t>
      </w:r>
      <w:r w:rsidRPr="00CE19AB">
        <w:rPr>
          <w:noProof/>
          <w:sz w:val="24"/>
          <w:szCs w:val="24"/>
        </w:rPr>
        <w:t xml:space="preserve">, </w:t>
      </w:r>
      <w:r w:rsidRPr="00CE19AB">
        <w:rPr>
          <w:i/>
          <w:iCs/>
          <w:noProof/>
          <w:sz w:val="24"/>
          <w:szCs w:val="24"/>
        </w:rPr>
        <w:t>12</w:t>
      </w:r>
      <w:r w:rsidRPr="00CE19AB">
        <w:rPr>
          <w:noProof/>
          <w:sz w:val="24"/>
          <w:szCs w:val="24"/>
        </w:rPr>
        <w:t>(3), 1511–1524. https://doi.org/10.5194/essd-12-1511-2020</w:t>
      </w:r>
    </w:p>
    <w:p w14:paraId="53F356BD"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Schimel, J. P. (2018). Life in Dry Soils: Effects of Drought on Soil Microbial Communities and Processes. </w:t>
      </w:r>
      <w:r w:rsidRPr="00CE19AB">
        <w:rPr>
          <w:i/>
          <w:iCs/>
          <w:noProof/>
          <w:sz w:val="24"/>
          <w:szCs w:val="24"/>
        </w:rPr>
        <w:t>Annual Review of Ecology, Evolution, and Systematics</w:t>
      </w:r>
      <w:r w:rsidRPr="00CE19AB">
        <w:rPr>
          <w:noProof/>
          <w:sz w:val="24"/>
          <w:szCs w:val="24"/>
        </w:rPr>
        <w:t xml:space="preserve">, </w:t>
      </w:r>
      <w:r w:rsidRPr="00CE19AB">
        <w:rPr>
          <w:i/>
          <w:iCs/>
          <w:noProof/>
          <w:sz w:val="24"/>
          <w:szCs w:val="24"/>
        </w:rPr>
        <w:t>49</w:t>
      </w:r>
      <w:r w:rsidRPr="00CE19AB">
        <w:rPr>
          <w:noProof/>
          <w:sz w:val="24"/>
          <w:szCs w:val="24"/>
        </w:rPr>
        <w:t>(1), 409–432. https://doi.org/10.1146/annurev-ecolsys-110617-062614</w:t>
      </w:r>
    </w:p>
    <w:p w14:paraId="395365C8"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Schimel, J. P., Wetterstedt, J. Å. M., Holden, P. A., &amp; Trumbore, S. E. (2011). Drying/rewetting cycles mobilize old C from deep soils from a California annual grassland. </w:t>
      </w:r>
      <w:r w:rsidRPr="00CE19AB">
        <w:rPr>
          <w:i/>
          <w:iCs/>
          <w:noProof/>
          <w:sz w:val="24"/>
          <w:szCs w:val="24"/>
        </w:rPr>
        <w:t>Soil Biology and Biochemistry</w:t>
      </w:r>
      <w:r w:rsidRPr="00CE19AB">
        <w:rPr>
          <w:noProof/>
          <w:sz w:val="24"/>
          <w:szCs w:val="24"/>
        </w:rPr>
        <w:t xml:space="preserve">, </w:t>
      </w:r>
      <w:r w:rsidRPr="00CE19AB">
        <w:rPr>
          <w:i/>
          <w:iCs/>
          <w:noProof/>
          <w:sz w:val="24"/>
          <w:szCs w:val="24"/>
        </w:rPr>
        <w:t>43</w:t>
      </w:r>
      <w:r w:rsidRPr="00CE19AB">
        <w:rPr>
          <w:noProof/>
          <w:sz w:val="24"/>
          <w:szCs w:val="24"/>
        </w:rPr>
        <w:t>(5), 1101–1103. https://doi.org/10.1016/j.soilbio.2011.01.008</w:t>
      </w:r>
    </w:p>
    <w:p w14:paraId="43CE9B6E" w14:textId="11EE8509" w:rsidR="002E0E7A" w:rsidRDefault="002E0E7A" w:rsidP="002E0E7A">
      <w:pPr>
        <w:widowControl w:val="0"/>
        <w:autoSpaceDE w:val="0"/>
        <w:autoSpaceDN w:val="0"/>
        <w:adjustRightInd w:val="0"/>
        <w:spacing w:before="120" w:line="360" w:lineRule="auto"/>
        <w:ind w:left="480" w:hanging="480"/>
        <w:rPr>
          <w:noProof/>
          <w:sz w:val="24"/>
          <w:szCs w:val="24"/>
        </w:rPr>
      </w:pPr>
      <w:r w:rsidRPr="002E0E7A">
        <w:rPr>
          <w:noProof/>
          <w:sz w:val="24"/>
          <w:szCs w:val="24"/>
        </w:rPr>
        <w:t>Schlichting, E., Blume, H. P. and Stahr, K. </w:t>
      </w:r>
      <w:r>
        <w:rPr>
          <w:noProof/>
          <w:sz w:val="24"/>
          <w:szCs w:val="24"/>
        </w:rPr>
        <w:t>(</w:t>
      </w:r>
      <w:r w:rsidRPr="002E0E7A">
        <w:rPr>
          <w:noProof/>
          <w:sz w:val="24"/>
          <w:szCs w:val="24"/>
        </w:rPr>
        <w:t>1995</w:t>
      </w:r>
      <w:r>
        <w:rPr>
          <w:noProof/>
          <w:sz w:val="24"/>
          <w:szCs w:val="24"/>
        </w:rPr>
        <w:t>)</w:t>
      </w:r>
      <w:r w:rsidRPr="002E0E7A">
        <w:rPr>
          <w:noProof/>
          <w:sz w:val="24"/>
          <w:szCs w:val="24"/>
        </w:rPr>
        <w:t>. </w:t>
      </w:r>
      <w:r w:rsidRPr="002E0E7A">
        <w:rPr>
          <w:i/>
          <w:iCs/>
          <w:noProof/>
          <w:sz w:val="24"/>
          <w:szCs w:val="24"/>
        </w:rPr>
        <w:t>Bodenkundliches Praktikum</w:t>
      </w:r>
      <w:r w:rsidRPr="002E0E7A">
        <w:rPr>
          <w:noProof/>
          <w:sz w:val="24"/>
          <w:szCs w:val="24"/>
        </w:rPr>
        <w:t>, Berlin, , Germany: Blackwell Wissenschafts Verlag</w:t>
      </w:r>
      <w:r>
        <w:rPr>
          <w:noProof/>
          <w:sz w:val="24"/>
          <w:szCs w:val="24"/>
        </w:rPr>
        <w:t>.</w:t>
      </w:r>
    </w:p>
    <w:p w14:paraId="3C10B980" w14:textId="05E930A6" w:rsidR="001406DC" w:rsidRPr="00F456D2" w:rsidRDefault="001406DC" w:rsidP="00F456D2">
      <w:pPr>
        <w:widowControl w:val="0"/>
        <w:autoSpaceDE w:val="0"/>
        <w:autoSpaceDN w:val="0"/>
        <w:adjustRightInd w:val="0"/>
        <w:spacing w:before="120" w:line="360" w:lineRule="auto"/>
        <w:ind w:left="480" w:hanging="480"/>
        <w:rPr>
          <w:i/>
          <w:noProof/>
          <w:sz w:val="24"/>
          <w:szCs w:val="24"/>
        </w:rPr>
      </w:pPr>
      <w:r w:rsidRPr="001406DC">
        <w:rPr>
          <w:noProof/>
          <w:sz w:val="24"/>
          <w:szCs w:val="24"/>
        </w:rPr>
        <w:t>Schmidt, M</w:t>
      </w:r>
      <w:r>
        <w:rPr>
          <w:noProof/>
          <w:sz w:val="24"/>
          <w:szCs w:val="24"/>
        </w:rPr>
        <w:t>.W.</w:t>
      </w:r>
      <w:r w:rsidRPr="001406DC">
        <w:rPr>
          <w:noProof/>
          <w:sz w:val="24"/>
          <w:szCs w:val="24"/>
        </w:rPr>
        <w:t>I.</w:t>
      </w:r>
      <w:r>
        <w:rPr>
          <w:noProof/>
          <w:sz w:val="24"/>
          <w:szCs w:val="24"/>
        </w:rPr>
        <w:t xml:space="preserve">, </w:t>
      </w:r>
      <w:r w:rsidRPr="001406DC">
        <w:rPr>
          <w:noProof/>
          <w:sz w:val="24"/>
          <w:szCs w:val="24"/>
        </w:rPr>
        <w:t>Torn, M</w:t>
      </w:r>
      <w:r>
        <w:rPr>
          <w:noProof/>
          <w:sz w:val="24"/>
          <w:szCs w:val="24"/>
        </w:rPr>
        <w:t>.</w:t>
      </w:r>
      <w:r w:rsidRPr="001406DC">
        <w:rPr>
          <w:noProof/>
          <w:sz w:val="24"/>
          <w:szCs w:val="24"/>
        </w:rPr>
        <w:t>S.</w:t>
      </w:r>
      <w:r>
        <w:rPr>
          <w:noProof/>
          <w:sz w:val="24"/>
          <w:szCs w:val="24"/>
        </w:rPr>
        <w:t>,</w:t>
      </w:r>
      <w:r w:rsidRPr="001406DC">
        <w:rPr>
          <w:noProof/>
          <w:sz w:val="24"/>
          <w:szCs w:val="24"/>
        </w:rPr>
        <w:t xml:space="preserve"> Samuel</w:t>
      </w:r>
      <w:r>
        <w:rPr>
          <w:noProof/>
          <w:sz w:val="24"/>
          <w:szCs w:val="24"/>
        </w:rPr>
        <w:t xml:space="preserve">, A., </w:t>
      </w:r>
      <w:r w:rsidRPr="001406DC">
        <w:rPr>
          <w:noProof/>
          <w:sz w:val="24"/>
          <w:szCs w:val="24"/>
        </w:rPr>
        <w:t>Dittmar, T</w:t>
      </w:r>
      <w:r>
        <w:rPr>
          <w:noProof/>
          <w:sz w:val="24"/>
          <w:szCs w:val="24"/>
        </w:rPr>
        <w:t xml:space="preserve">., Guggenberger, G., </w:t>
      </w:r>
      <w:r w:rsidRPr="001406DC">
        <w:rPr>
          <w:noProof/>
          <w:sz w:val="24"/>
          <w:szCs w:val="24"/>
        </w:rPr>
        <w:t>Janssens, I</w:t>
      </w:r>
      <w:r>
        <w:rPr>
          <w:noProof/>
          <w:sz w:val="24"/>
          <w:szCs w:val="24"/>
        </w:rPr>
        <w:t>.A</w:t>
      </w:r>
      <w:r w:rsidRPr="001406DC">
        <w:rPr>
          <w:noProof/>
          <w:sz w:val="24"/>
          <w:szCs w:val="24"/>
        </w:rPr>
        <w:t>.</w:t>
      </w:r>
      <w:r>
        <w:rPr>
          <w:noProof/>
          <w:sz w:val="24"/>
          <w:szCs w:val="24"/>
        </w:rPr>
        <w:t xml:space="preserve">, </w:t>
      </w:r>
      <w:r w:rsidRPr="001406DC">
        <w:rPr>
          <w:noProof/>
          <w:sz w:val="24"/>
          <w:szCs w:val="24"/>
        </w:rPr>
        <w:t>Kleber, M</w:t>
      </w:r>
      <w:r>
        <w:rPr>
          <w:noProof/>
          <w:sz w:val="24"/>
          <w:szCs w:val="24"/>
        </w:rPr>
        <w:t xml:space="preserve">., </w:t>
      </w:r>
      <w:r w:rsidRPr="001406DC">
        <w:rPr>
          <w:noProof/>
          <w:sz w:val="24"/>
          <w:szCs w:val="24"/>
        </w:rPr>
        <w:t>Kögel-Knabner, I</w:t>
      </w:r>
      <w:r>
        <w:rPr>
          <w:noProof/>
          <w:sz w:val="24"/>
          <w:szCs w:val="24"/>
        </w:rPr>
        <w:t xml:space="preserve">., </w:t>
      </w:r>
      <w:r w:rsidRPr="001406DC">
        <w:rPr>
          <w:noProof/>
          <w:sz w:val="24"/>
          <w:szCs w:val="24"/>
        </w:rPr>
        <w:t>Lehmann, J</w:t>
      </w:r>
      <w:r>
        <w:rPr>
          <w:noProof/>
          <w:sz w:val="24"/>
          <w:szCs w:val="24"/>
        </w:rPr>
        <w:t xml:space="preserve">., </w:t>
      </w:r>
      <w:r w:rsidRPr="001406DC">
        <w:rPr>
          <w:noProof/>
          <w:sz w:val="24"/>
          <w:szCs w:val="24"/>
        </w:rPr>
        <w:t>Manning, D</w:t>
      </w:r>
      <w:r>
        <w:rPr>
          <w:noProof/>
          <w:sz w:val="24"/>
          <w:szCs w:val="24"/>
        </w:rPr>
        <w:t>.A.</w:t>
      </w:r>
      <w:r w:rsidRPr="001406DC">
        <w:rPr>
          <w:noProof/>
          <w:sz w:val="24"/>
          <w:szCs w:val="24"/>
        </w:rPr>
        <w:t>C.</w:t>
      </w:r>
      <w:r>
        <w:rPr>
          <w:noProof/>
          <w:sz w:val="24"/>
          <w:szCs w:val="24"/>
        </w:rPr>
        <w:t xml:space="preserve">, </w:t>
      </w:r>
      <w:r w:rsidRPr="001406DC">
        <w:rPr>
          <w:noProof/>
          <w:sz w:val="24"/>
          <w:szCs w:val="24"/>
        </w:rPr>
        <w:t>Nannipieri, P</w:t>
      </w:r>
      <w:r>
        <w:rPr>
          <w:noProof/>
          <w:sz w:val="24"/>
          <w:szCs w:val="24"/>
        </w:rPr>
        <w:t xml:space="preserve">., </w:t>
      </w:r>
      <w:r w:rsidRPr="001406DC">
        <w:rPr>
          <w:noProof/>
          <w:sz w:val="24"/>
          <w:szCs w:val="24"/>
        </w:rPr>
        <w:t>Rasse, D</w:t>
      </w:r>
      <w:r>
        <w:rPr>
          <w:noProof/>
          <w:sz w:val="24"/>
          <w:szCs w:val="24"/>
        </w:rPr>
        <w:t>.</w:t>
      </w:r>
      <w:r w:rsidRPr="001406DC">
        <w:rPr>
          <w:noProof/>
          <w:sz w:val="24"/>
          <w:szCs w:val="24"/>
        </w:rPr>
        <w:t>P.</w:t>
      </w:r>
      <w:r>
        <w:rPr>
          <w:noProof/>
          <w:sz w:val="24"/>
          <w:szCs w:val="24"/>
        </w:rPr>
        <w:t xml:space="preserve">, </w:t>
      </w:r>
      <w:r w:rsidRPr="001406DC">
        <w:rPr>
          <w:noProof/>
          <w:sz w:val="24"/>
          <w:szCs w:val="24"/>
        </w:rPr>
        <w:t>Weiner, S</w:t>
      </w:r>
      <w:r>
        <w:rPr>
          <w:noProof/>
          <w:sz w:val="24"/>
          <w:szCs w:val="24"/>
        </w:rPr>
        <w:t xml:space="preserve">., </w:t>
      </w:r>
      <w:r w:rsidRPr="001406DC">
        <w:rPr>
          <w:noProof/>
          <w:sz w:val="24"/>
          <w:szCs w:val="24"/>
        </w:rPr>
        <w:t>Trumbore, S</w:t>
      </w:r>
      <w:r>
        <w:rPr>
          <w:noProof/>
          <w:sz w:val="24"/>
          <w:szCs w:val="24"/>
        </w:rPr>
        <w:t>.</w:t>
      </w:r>
      <w:r w:rsidRPr="001406DC">
        <w:rPr>
          <w:noProof/>
          <w:sz w:val="24"/>
          <w:szCs w:val="24"/>
        </w:rPr>
        <w:t>E.</w:t>
      </w:r>
      <w:r>
        <w:rPr>
          <w:noProof/>
          <w:sz w:val="24"/>
          <w:szCs w:val="24"/>
        </w:rPr>
        <w:t xml:space="preserve"> </w:t>
      </w:r>
      <w:r w:rsidR="008322BE">
        <w:rPr>
          <w:noProof/>
          <w:sz w:val="24"/>
          <w:szCs w:val="24"/>
        </w:rPr>
        <w:t xml:space="preserve">(2011). </w:t>
      </w:r>
      <w:r w:rsidR="008322BE" w:rsidRPr="008322BE">
        <w:rPr>
          <w:noProof/>
          <w:sz w:val="24"/>
          <w:szCs w:val="24"/>
        </w:rPr>
        <w:t>Persistence of soil organic matter as an ecosystem property</w:t>
      </w:r>
      <w:r w:rsidR="008322BE">
        <w:rPr>
          <w:noProof/>
          <w:sz w:val="24"/>
          <w:szCs w:val="24"/>
        </w:rPr>
        <w:t xml:space="preserve">. </w:t>
      </w:r>
      <w:r w:rsidR="008322BE">
        <w:rPr>
          <w:i/>
          <w:noProof/>
          <w:sz w:val="24"/>
          <w:szCs w:val="24"/>
        </w:rPr>
        <w:t>Nature, 478</w:t>
      </w:r>
      <w:r w:rsidR="008322BE">
        <w:rPr>
          <w:noProof/>
          <w:sz w:val="24"/>
          <w:szCs w:val="24"/>
        </w:rPr>
        <w:t xml:space="preserve">, </w:t>
      </w:r>
      <w:r w:rsidR="008322BE" w:rsidRPr="008322BE">
        <w:rPr>
          <w:noProof/>
          <w:sz w:val="24"/>
          <w:szCs w:val="24"/>
        </w:rPr>
        <w:t>49-56</w:t>
      </w:r>
      <w:r w:rsidR="008322BE">
        <w:rPr>
          <w:noProof/>
          <w:sz w:val="24"/>
          <w:szCs w:val="24"/>
        </w:rPr>
        <w:t>. https://doi</w:t>
      </w:r>
      <w:r w:rsidR="00615054">
        <w:rPr>
          <w:noProof/>
          <w:sz w:val="24"/>
          <w:szCs w:val="24"/>
        </w:rPr>
        <w:t>.org</w:t>
      </w:r>
      <w:r w:rsidR="008322BE">
        <w:rPr>
          <w:noProof/>
          <w:sz w:val="24"/>
          <w:szCs w:val="24"/>
        </w:rPr>
        <w:t>/</w:t>
      </w:r>
      <w:r w:rsidR="008322BE" w:rsidRPr="008322BE">
        <w:rPr>
          <w:noProof/>
          <w:sz w:val="24"/>
          <w:szCs w:val="24"/>
        </w:rPr>
        <w:t>10.1038/nature10386</w:t>
      </w:r>
    </w:p>
    <w:p w14:paraId="4F746A52" w14:textId="68A93219" w:rsidR="000A3253" w:rsidRPr="00CE19AB" w:rsidRDefault="001406DC" w:rsidP="001406DC">
      <w:pPr>
        <w:widowControl w:val="0"/>
        <w:autoSpaceDE w:val="0"/>
        <w:autoSpaceDN w:val="0"/>
        <w:adjustRightInd w:val="0"/>
        <w:spacing w:before="120" w:line="360" w:lineRule="auto"/>
        <w:ind w:left="480" w:hanging="480"/>
        <w:rPr>
          <w:noProof/>
          <w:sz w:val="24"/>
          <w:szCs w:val="24"/>
        </w:rPr>
      </w:pPr>
      <w:r w:rsidRPr="001406DC">
        <w:rPr>
          <w:noProof/>
          <w:sz w:val="24"/>
          <w:szCs w:val="24"/>
        </w:rPr>
        <w:t xml:space="preserve"> </w:t>
      </w:r>
      <w:r w:rsidR="000A3253" w:rsidRPr="00CE19AB">
        <w:rPr>
          <w:noProof/>
          <w:sz w:val="24"/>
          <w:szCs w:val="24"/>
        </w:rPr>
        <w:t xml:space="preserve">Schrumpf, M., &amp; Kaiser, K. (2015). Large differences in estimates of soil organic carbon turnover in density fractions by using single and repeated radiocarbon inventories. </w:t>
      </w:r>
      <w:r w:rsidR="000A3253" w:rsidRPr="00CE19AB">
        <w:rPr>
          <w:i/>
          <w:iCs/>
          <w:noProof/>
          <w:sz w:val="24"/>
          <w:szCs w:val="24"/>
        </w:rPr>
        <w:t>Geoderma</w:t>
      </w:r>
      <w:r w:rsidR="000A3253" w:rsidRPr="00CE19AB">
        <w:rPr>
          <w:noProof/>
          <w:sz w:val="24"/>
          <w:szCs w:val="24"/>
        </w:rPr>
        <w:t xml:space="preserve">, </w:t>
      </w:r>
      <w:r w:rsidR="000A3253" w:rsidRPr="00CE19AB">
        <w:rPr>
          <w:i/>
          <w:iCs/>
          <w:noProof/>
          <w:sz w:val="24"/>
          <w:szCs w:val="24"/>
        </w:rPr>
        <w:t>239</w:t>
      </w:r>
      <w:r w:rsidR="000A3253" w:rsidRPr="00CE19AB">
        <w:rPr>
          <w:noProof/>
          <w:sz w:val="24"/>
          <w:szCs w:val="24"/>
        </w:rPr>
        <w:t>–</w:t>
      </w:r>
      <w:r w:rsidR="000A3253" w:rsidRPr="00CE19AB">
        <w:rPr>
          <w:i/>
          <w:iCs/>
          <w:noProof/>
          <w:sz w:val="24"/>
          <w:szCs w:val="24"/>
        </w:rPr>
        <w:t>240</w:t>
      </w:r>
      <w:r w:rsidR="000A3253" w:rsidRPr="00CE19AB">
        <w:rPr>
          <w:noProof/>
          <w:sz w:val="24"/>
          <w:szCs w:val="24"/>
        </w:rPr>
        <w:t>, 168–178. https://doi.org/10.1016/j.geoderma.2014.09.025</w:t>
      </w:r>
    </w:p>
    <w:p w14:paraId="401F9C43"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Schrumpf, M., Kaiser, K., Guggenberger, G., Persson, T., Kögel-Knabner, I., &amp; Schulze, E. D. (2013). Storage and stability of organic carbon in soils as related to depth, occlusion within aggregates, and attachment to minerals. </w:t>
      </w:r>
      <w:r w:rsidRPr="00CE19AB">
        <w:rPr>
          <w:i/>
          <w:iCs/>
          <w:noProof/>
          <w:sz w:val="24"/>
          <w:szCs w:val="24"/>
        </w:rPr>
        <w:t>Biogeosciences</w:t>
      </w:r>
      <w:r w:rsidRPr="00CE19AB">
        <w:rPr>
          <w:noProof/>
          <w:sz w:val="24"/>
          <w:szCs w:val="24"/>
        </w:rPr>
        <w:t xml:space="preserve">, </w:t>
      </w:r>
      <w:r w:rsidRPr="00CE19AB">
        <w:rPr>
          <w:i/>
          <w:iCs/>
          <w:noProof/>
          <w:sz w:val="24"/>
          <w:szCs w:val="24"/>
        </w:rPr>
        <w:t>10</w:t>
      </w:r>
      <w:r w:rsidRPr="00CE19AB">
        <w:rPr>
          <w:noProof/>
          <w:sz w:val="24"/>
          <w:szCs w:val="24"/>
        </w:rPr>
        <w:t>(3), 1675–1691. https://doi.org/10.5194/bg-10-1675-2013</w:t>
      </w:r>
    </w:p>
    <w:p w14:paraId="06565DA3" w14:textId="18F60752" w:rsidR="002E0E7A" w:rsidRDefault="000A3253" w:rsidP="002E0E7A">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Sierra, C. A., Hoyt, A. M., He, Y., &amp; Trumbore, S. E. (2018). Soil Organic Matter Persistence as a Stochastic Process: Age and Transit Time Distributions of Carbon in Soils. </w:t>
      </w:r>
      <w:r w:rsidRPr="00CE19AB">
        <w:rPr>
          <w:i/>
          <w:iCs/>
          <w:noProof/>
          <w:sz w:val="24"/>
          <w:szCs w:val="24"/>
        </w:rPr>
        <w:t>Global Biogeochemical Cycles</w:t>
      </w:r>
      <w:r w:rsidRPr="00CE19AB">
        <w:rPr>
          <w:noProof/>
          <w:sz w:val="24"/>
          <w:szCs w:val="24"/>
        </w:rPr>
        <w:t xml:space="preserve">, </w:t>
      </w:r>
      <w:r w:rsidRPr="00CE19AB">
        <w:rPr>
          <w:i/>
          <w:iCs/>
          <w:noProof/>
          <w:sz w:val="24"/>
          <w:szCs w:val="24"/>
        </w:rPr>
        <w:t>32</w:t>
      </w:r>
      <w:r w:rsidRPr="00CE19AB">
        <w:rPr>
          <w:noProof/>
          <w:sz w:val="24"/>
          <w:szCs w:val="24"/>
        </w:rPr>
        <w:t>(10), 1574–1588. https://doi.org/10.1029/2018GB005950</w:t>
      </w:r>
    </w:p>
    <w:p w14:paraId="06726A1D" w14:textId="31839E98" w:rsidR="002E0E7A" w:rsidRPr="002E0E7A" w:rsidRDefault="002E0E7A" w:rsidP="002E0E7A">
      <w:pPr>
        <w:widowControl w:val="0"/>
        <w:autoSpaceDE w:val="0"/>
        <w:autoSpaceDN w:val="0"/>
        <w:adjustRightInd w:val="0"/>
        <w:spacing w:before="120" w:line="360" w:lineRule="auto"/>
        <w:ind w:left="480" w:hanging="480"/>
        <w:rPr>
          <w:noProof/>
          <w:sz w:val="24"/>
          <w:szCs w:val="24"/>
        </w:rPr>
      </w:pPr>
      <w:r>
        <w:rPr>
          <w:rFonts w:eastAsiaTheme="minorEastAsia"/>
          <w:sz w:val="24"/>
          <w:szCs w:val="24"/>
        </w:rPr>
        <w:t>S</w:t>
      </w:r>
      <w:r w:rsidRPr="002E0E7A">
        <w:rPr>
          <w:rFonts w:eastAsiaTheme="minorEastAsia"/>
          <w:sz w:val="24"/>
          <w:szCs w:val="24"/>
        </w:rPr>
        <w:t>ierra, C.A. (2018). Forecasting atmospheric radiocarbon decline to pre-bomb values.</w:t>
      </w:r>
      <w:r>
        <w:rPr>
          <w:rFonts w:eastAsiaTheme="minorEastAsia"/>
          <w:sz w:val="24"/>
          <w:szCs w:val="24"/>
        </w:rPr>
        <w:t xml:space="preserve"> Radiocarbon, 60(4), </w:t>
      </w:r>
      <w:r w:rsidRPr="002E0E7A">
        <w:rPr>
          <w:rFonts w:eastAsiaTheme="minorEastAsia"/>
          <w:sz w:val="24"/>
          <w:szCs w:val="24"/>
        </w:rPr>
        <w:t>1055-1066</w:t>
      </w:r>
      <w:r>
        <w:rPr>
          <w:rFonts w:eastAsiaTheme="minorEastAsia"/>
          <w:sz w:val="24"/>
          <w:szCs w:val="24"/>
        </w:rPr>
        <w:t>. https://doi.org/</w:t>
      </w:r>
      <w:r w:rsidRPr="002E0E7A">
        <w:rPr>
          <w:rFonts w:eastAsiaTheme="minorEastAsia"/>
          <w:sz w:val="24"/>
          <w:szCs w:val="24"/>
        </w:rPr>
        <w:t>10.1017/RDC.2018.33</w:t>
      </w:r>
    </w:p>
    <w:p w14:paraId="6BB2C0F3"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Sierra, C. A., Müller, M., Metzler, H., Manzoni, S., &amp; Trumbore, S. E. (2017). The muddle of ages, turnover, transit, and residence times in the carbon cycle. </w:t>
      </w:r>
      <w:r w:rsidRPr="00CE19AB">
        <w:rPr>
          <w:i/>
          <w:iCs/>
          <w:noProof/>
          <w:sz w:val="24"/>
          <w:szCs w:val="24"/>
        </w:rPr>
        <w:t>Global Change Biology</w:t>
      </w:r>
      <w:r w:rsidRPr="00CE19AB">
        <w:rPr>
          <w:noProof/>
          <w:sz w:val="24"/>
          <w:szCs w:val="24"/>
        </w:rPr>
        <w:t xml:space="preserve">, </w:t>
      </w:r>
      <w:r w:rsidRPr="00CE19AB">
        <w:rPr>
          <w:i/>
          <w:iCs/>
          <w:noProof/>
          <w:sz w:val="24"/>
          <w:szCs w:val="24"/>
        </w:rPr>
        <w:t>23</w:t>
      </w:r>
      <w:r w:rsidRPr="00CE19AB">
        <w:rPr>
          <w:noProof/>
          <w:sz w:val="24"/>
          <w:szCs w:val="24"/>
        </w:rPr>
        <w:t>(5), 1763–1773. https://doi.org/10.1111/gcb.13556</w:t>
      </w:r>
    </w:p>
    <w:p w14:paraId="43A11666"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Sierra, C. A., Müller, M., &amp; Trumbore, S. E. (2014). Modeling radiocarbon dynamics in soils: SoilR version 1.1. </w:t>
      </w:r>
      <w:r w:rsidRPr="00CE19AB">
        <w:rPr>
          <w:i/>
          <w:iCs/>
          <w:noProof/>
          <w:sz w:val="24"/>
          <w:szCs w:val="24"/>
        </w:rPr>
        <w:t>Geoscientific Model Development</w:t>
      </w:r>
      <w:r w:rsidRPr="00CE19AB">
        <w:rPr>
          <w:noProof/>
          <w:sz w:val="24"/>
          <w:szCs w:val="24"/>
        </w:rPr>
        <w:t xml:space="preserve">, </w:t>
      </w:r>
      <w:r w:rsidRPr="00CE19AB">
        <w:rPr>
          <w:i/>
          <w:iCs/>
          <w:noProof/>
          <w:sz w:val="24"/>
          <w:szCs w:val="24"/>
        </w:rPr>
        <w:t>7</w:t>
      </w:r>
      <w:r w:rsidRPr="00CE19AB">
        <w:rPr>
          <w:noProof/>
          <w:sz w:val="24"/>
          <w:szCs w:val="24"/>
        </w:rPr>
        <w:t>(5), 1919–1931. https://doi.org/10.5194/gmd-7-1919-2014</w:t>
      </w:r>
    </w:p>
    <w:p w14:paraId="15E52518"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Slessarev, E. W., Lin, Y., Jiménez, B. Y., Homyak, P. M., Chadwick, O. A., D’Antonio, C. M., &amp; Schimel, J. P. (2020). Cellular and extracellular C contributions to respiration after wetting dry soil. </w:t>
      </w:r>
      <w:r w:rsidRPr="00CE19AB">
        <w:rPr>
          <w:i/>
          <w:iCs/>
          <w:noProof/>
          <w:sz w:val="24"/>
          <w:szCs w:val="24"/>
        </w:rPr>
        <w:t>Biogeochemistry</w:t>
      </w:r>
      <w:r w:rsidRPr="00CE19AB">
        <w:rPr>
          <w:noProof/>
          <w:sz w:val="24"/>
          <w:szCs w:val="24"/>
        </w:rPr>
        <w:t xml:space="preserve">, </w:t>
      </w:r>
      <w:r w:rsidRPr="00CE19AB">
        <w:rPr>
          <w:i/>
          <w:iCs/>
          <w:noProof/>
          <w:sz w:val="24"/>
          <w:szCs w:val="24"/>
        </w:rPr>
        <w:t>147</w:t>
      </w:r>
      <w:r w:rsidRPr="00CE19AB">
        <w:rPr>
          <w:noProof/>
          <w:sz w:val="24"/>
          <w:szCs w:val="24"/>
        </w:rPr>
        <w:t>(3), 307–324. https://doi.org/10.1007/s10533-020-00645-y</w:t>
      </w:r>
    </w:p>
    <w:p w14:paraId="12CCBBA0"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Solly, E., Schöning, I., Boch, S., Kandeler, E., Marhan, S., Michalzik, B., Müller, J., Zscheischler, J., Trumbore, S. E., &amp; Schrumpf, M. (2014). Factors controlling decomposition rates of fine root litter in temperate forests and grasslands. </w:t>
      </w:r>
      <w:r w:rsidRPr="00CE19AB">
        <w:rPr>
          <w:i/>
          <w:iCs/>
          <w:noProof/>
          <w:sz w:val="24"/>
          <w:szCs w:val="24"/>
        </w:rPr>
        <w:t>Plant and Soil</w:t>
      </w:r>
      <w:r w:rsidRPr="00CE19AB">
        <w:rPr>
          <w:noProof/>
          <w:sz w:val="24"/>
          <w:szCs w:val="24"/>
        </w:rPr>
        <w:t xml:space="preserve">, </w:t>
      </w:r>
      <w:r w:rsidRPr="00CE19AB">
        <w:rPr>
          <w:i/>
          <w:iCs/>
          <w:noProof/>
          <w:sz w:val="24"/>
          <w:szCs w:val="24"/>
        </w:rPr>
        <w:t>382</w:t>
      </w:r>
      <w:r w:rsidRPr="00CE19AB">
        <w:rPr>
          <w:noProof/>
          <w:sz w:val="24"/>
          <w:szCs w:val="24"/>
        </w:rPr>
        <w:t>(1–2), 203–218. https://doi.org/10.1007/s11104-014-2151-4</w:t>
      </w:r>
    </w:p>
    <w:p w14:paraId="53469B8D"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Solly, E., Schöning, I., Boch, S., Müller, J., Socher, S. A., Trumbore, S. E., &amp; Schrumpf, M. (2013). Mean age of carbon in fine roots from temperate forests and grasslands with different management. </w:t>
      </w:r>
      <w:r w:rsidRPr="00CE19AB">
        <w:rPr>
          <w:i/>
          <w:iCs/>
          <w:noProof/>
          <w:sz w:val="24"/>
          <w:szCs w:val="24"/>
        </w:rPr>
        <w:t>Biogeosciences</w:t>
      </w:r>
      <w:r w:rsidRPr="00CE19AB">
        <w:rPr>
          <w:noProof/>
          <w:sz w:val="24"/>
          <w:szCs w:val="24"/>
        </w:rPr>
        <w:t xml:space="preserve">, </w:t>
      </w:r>
      <w:r w:rsidRPr="00CE19AB">
        <w:rPr>
          <w:i/>
          <w:iCs/>
          <w:noProof/>
          <w:sz w:val="24"/>
          <w:szCs w:val="24"/>
        </w:rPr>
        <w:t>10</w:t>
      </w:r>
      <w:r w:rsidRPr="00CE19AB">
        <w:rPr>
          <w:noProof/>
          <w:sz w:val="24"/>
          <w:szCs w:val="24"/>
        </w:rPr>
        <w:t>(7), 4833–4843. https://doi.org/10.5194/bg-10-4833-2013</w:t>
      </w:r>
    </w:p>
    <w:p w14:paraId="56CA536D"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Steinhof, A. (2013). Data Analysis at the Jena 14C Laboratory. </w:t>
      </w:r>
      <w:r w:rsidRPr="00CE19AB">
        <w:rPr>
          <w:i/>
          <w:iCs/>
          <w:noProof/>
          <w:sz w:val="24"/>
          <w:szCs w:val="24"/>
        </w:rPr>
        <w:t>Radiocarbon</w:t>
      </w:r>
      <w:r w:rsidRPr="00CE19AB">
        <w:rPr>
          <w:noProof/>
          <w:sz w:val="24"/>
          <w:szCs w:val="24"/>
        </w:rPr>
        <w:t xml:space="preserve">, </w:t>
      </w:r>
      <w:r w:rsidRPr="00CE19AB">
        <w:rPr>
          <w:i/>
          <w:iCs/>
          <w:noProof/>
          <w:sz w:val="24"/>
          <w:szCs w:val="24"/>
        </w:rPr>
        <w:t>55</w:t>
      </w:r>
      <w:r w:rsidRPr="00CE19AB">
        <w:rPr>
          <w:noProof/>
          <w:sz w:val="24"/>
          <w:szCs w:val="24"/>
        </w:rPr>
        <w:t>(3–4), 282–293. https://doi.org/10.2458/azu_js_rc.55.16350</w:t>
      </w:r>
    </w:p>
    <w:p w14:paraId="2AEF6952"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Stuiver, M., &amp; Polach, H. A. (1977). Reporting of 14C Data. </w:t>
      </w:r>
      <w:r w:rsidRPr="00CE19AB">
        <w:rPr>
          <w:i/>
          <w:iCs/>
          <w:noProof/>
          <w:sz w:val="24"/>
          <w:szCs w:val="24"/>
        </w:rPr>
        <w:t>Radiocarbon</w:t>
      </w:r>
      <w:r w:rsidRPr="00CE19AB">
        <w:rPr>
          <w:noProof/>
          <w:sz w:val="24"/>
          <w:szCs w:val="24"/>
        </w:rPr>
        <w:t xml:space="preserve">, </w:t>
      </w:r>
      <w:r w:rsidRPr="00CE19AB">
        <w:rPr>
          <w:i/>
          <w:iCs/>
          <w:noProof/>
          <w:sz w:val="24"/>
          <w:szCs w:val="24"/>
        </w:rPr>
        <w:t>19</w:t>
      </w:r>
      <w:r w:rsidRPr="00CE19AB">
        <w:rPr>
          <w:noProof/>
          <w:sz w:val="24"/>
          <w:szCs w:val="24"/>
        </w:rPr>
        <w:t>(3), 355–363. https://doi.org/10.1017/S0033822200003672</w:t>
      </w:r>
    </w:p>
    <w:p w14:paraId="3DA837C5"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Trumbore, S. (2000). Age of soil organic matter and soil respiration: Radiocarbon constraints on belowground C dynamics. </w:t>
      </w:r>
      <w:r w:rsidRPr="00CE19AB">
        <w:rPr>
          <w:i/>
          <w:iCs/>
          <w:noProof/>
          <w:sz w:val="24"/>
          <w:szCs w:val="24"/>
        </w:rPr>
        <w:t>Ecological Applications</w:t>
      </w:r>
      <w:r w:rsidRPr="00CE19AB">
        <w:rPr>
          <w:noProof/>
          <w:sz w:val="24"/>
          <w:szCs w:val="24"/>
        </w:rPr>
        <w:t xml:space="preserve">, </w:t>
      </w:r>
      <w:r w:rsidRPr="00CE19AB">
        <w:rPr>
          <w:i/>
          <w:iCs/>
          <w:noProof/>
          <w:sz w:val="24"/>
          <w:szCs w:val="24"/>
        </w:rPr>
        <w:t>10</w:t>
      </w:r>
      <w:r w:rsidRPr="00CE19AB">
        <w:rPr>
          <w:noProof/>
          <w:sz w:val="24"/>
          <w:szCs w:val="24"/>
        </w:rPr>
        <w:t>(2), 399–411. https://doi.org/10.1890/1051-0761(2000)010[0399:AOSOMA]2.0.CO;2</w:t>
      </w:r>
    </w:p>
    <w:p w14:paraId="79705741"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Trumbore, S. (2009). Radiocarbon and Soil Carbon Dynamics. </w:t>
      </w:r>
      <w:r w:rsidRPr="00CE19AB">
        <w:rPr>
          <w:i/>
          <w:iCs/>
          <w:noProof/>
          <w:sz w:val="24"/>
          <w:szCs w:val="24"/>
        </w:rPr>
        <w:t>Annual Review of Earth and Planetary Sciences</w:t>
      </w:r>
      <w:r w:rsidRPr="00CE19AB">
        <w:rPr>
          <w:noProof/>
          <w:sz w:val="24"/>
          <w:szCs w:val="24"/>
        </w:rPr>
        <w:t xml:space="preserve">, </w:t>
      </w:r>
      <w:r w:rsidRPr="00CE19AB">
        <w:rPr>
          <w:i/>
          <w:iCs/>
          <w:noProof/>
          <w:sz w:val="24"/>
          <w:szCs w:val="24"/>
        </w:rPr>
        <w:t>37</w:t>
      </w:r>
      <w:r w:rsidRPr="00CE19AB">
        <w:rPr>
          <w:noProof/>
          <w:sz w:val="24"/>
          <w:szCs w:val="24"/>
        </w:rPr>
        <w:t>(1), 47–66. https://doi.org/10.1146/annurev.earth.36.031207.124300</w:t>
      </w:r>
    </w:p>
    <w:p w14:paraId="19338CC3" w14:textId="3B2D1013" w:rsidR="002E0E7A" w:rsidRPr="00C90198" w:rsidRDefault="002E0E7A" w:rsidP="00C90198">
      <w:pPr>
        <w:widowControl w:val="0"/>
        <w:autoSpaceDE w:val="0"/>
        <w:autoSpaceDN w:val="0"/>
        <w:adjustRightInd w:val="0"/>
        <w:spacing w:before="120" w:line="360" w:lineRule="auto"/>
        <w:ind w:left="480" w:hanging="480"/>
        <w:rPr>
          <w:i/>
          <w:noProof/>
          <w:sz w:val="24"/>
          <w:szCs w:val="24"/>
        </w:rPr>
      </w:pPr>
      <w:r>
        <w:rPr>
          <w:noProof/>
          <w:sz w:val="24"/>
          <w:szCs w:val="24"/>
        </w:rPr>
        <w:t xml:space="preserve">Vaughn, L., Torn, M.S. (2019). </w:t>
      </w:r>
      <w:r w:rsidRPr="002E0E7A">
        <w:rPr>
          <w:noProof/>
          <w:sz w:val="24"/>
          <w:szCs w:val="24"/>
          <w:vertAlign w:val="superscript"/>
        </w:rPr>
        <w:t>14</w:t>
      </w:r>
      <w:r w:rsidRPr="002E0E7A">
        <w:rPr>
          <w:noProof/>
          <w:sz w:val="24"/>
          <w:szCs w:val="24"/>
        </w:rPr>
        <w:t>C evidence that millennial and fast-cycling soil carbon are equally sensitive to warming</w:t>
      </w:r>
      <w:r>
        <w:rPr>
          <w:noProof/>
          <w:sz w:val="24"/>
          <w:szCs w:val="24"/>
        </w:rPr>
        <w:t xml:space="preserve">. </w:t>
      </w:r>
      <w:r w:rsidRPr="002E0E7A">
        <w:rPr>
          <w:i/>
          <w:noProof/>
          <w:sz w:val="24"/>
          <w:szCs w:val="24"/>
        </w:rPr>
        <w:t>Nature Climate Change</w:t>
      </w:r>
      <w:r>
        <w:rPr>
          <w:i/>
          <w:noProof/>
          <w:sz w:val="24"/>
          <w:szCs w:val="24"/>
        </w:rPr>
        <w:t>, 9</w:t>
      </w:r>
      <w:r w:rsidRPr="002E0E7A">
        <w:rPr>
          <w:noProof/>
          <w:sz w:val="24"/>
          <w:szCs w:val="24"/>
        </w:rPr>
        <w:t>, 467:471.</w:t>
      </w:r>
      <w:r>
        <w:rPr>
          <w:noProof/>
          <w:sz w:val="24"/>
          <w:szCs w:val="24"/>
        </w:rPr>
        <w:t xml:space="preserve"> </w:t>
      </w:r>
      <w:r w:rsidR="00C90198" w:rsidRPr="00C90198">
        <w:rPr>
          <w:noProof/>
          <w:sz w:val="24"/>
          <w:szCs w:val="24"/>
        </w:rPr>
        <w:t>https://doi.org/10.1038/s41558-019-0468-y 14</w:t>
      </w:r>
    </w:p>
    <w:p w14:paraId="65D05EE2"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Warren, C. R. (2016). Do microbial osmolytes or extracellular depolymerisation products accumulate as soil dries? </w:t>
      </w:r>
      <w:r w:rsidRPr="00CE19AB">
        <w:rPr>
          <w:i/>
          <w:iCs/>
          <w:noProof/>
          <w:sz w:val="24"/>
          <w:szCs w:val="24"/>
        </w:rPr>
        <w:t>Soil Biology and Biochemistry</w:t>
      </w:r>
      <w:r w:rsidRPr="00CE19AB">
        <w:rPr>
          <w:noProof/>
          <w:sz w:val="24"/>
          <w:szCs w:val="24"/>
        </w:rPr>
        <w:t xml:space="preserve">, </w:t>
      </w:r>
      <w:r w:rsidRPr="00CE19AB">
        <w:rPr>
          <w:i/>
          <w:iCs/>
          <w:noProof/>
          <w:sz w:val="24"/>
          <w:szCs w:val="24"/>
        </w:rPr>
        <w:t>98</w:t>
      </w:r>
      <w:r w:rsidRPr="00CE19AB">
        <w:rPr>
          <w:noProof/>
          <w:sz w:val="24"/>
          <w:szCs w:val="24"/>
        </w:rPr>
        <w:t>, 54–63. https://doi.org/10.1016/j.soilbio.2016.03.021</w:t>
      </w:r>
    </w:p>
    <w:p w14:paraId="5533171D" w14:textId="77777777" w:rsidR="000A3253"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Williams, M. A., &amp; Xia, K. (2009). Characterization of the water soluble soil organic pool following the rewetting of dry soil in a drought-prone tallgrass prairie. </w:t>
      </w:r>
      <w:r w:rsidRPr="00CE19AB">
        <w:rPr>
          <w:i/>
          <w:iCs/>
          <w:noProof/>
          <w:sz w:val="24"/>
          <w:szCs w:val="24"/>
        </w:rPr>
        <w:t>Soil Biology and Biochemistry</w:t>
      </w:r>
      <w:r w:rsidRPr="00CE19AB">
        <w:rPr>
          <w:noProof/>
          <w:sz w:val="24"/>
          <w:szCs w:val="24"/>
        </w:rPr>
        <w:t xml:space="preserve">, </w:t>
      </w:r>
      <w:r w:rsidRPr="00CE19AB">
        <w:rPr>
          <w:i/>
          <w:iCs/>
          <w:noProof/>
          <w:sz w:val="24"/>
          <w:szCs w:val="24"/>
        </w:rPr>
        <w:t>41</w:t>
      </w:r>
      <w:r w:rsidRPr="00CE19AB">
        <w:rPr>
          <w:noProof/>
          <w:sz w:val="24"/>
          <w:szCs w:val="24"/>
        </w:rPr>
        <w:t>(1), 21–28. https://doi.org/10.1016/j.soilbio.2008.08.013</w:t>
      </w:r>
    </w:p>
    <w:p w14:paraId="18CBE296" w14:textId="48D69511" w:rsidR="00FA1B51" w:rsidRPr="00FA1B51" w:rsidRDefault="00FA1B51" w:rsidP="00FA1B51">
      <w:pPr>
        <w:widowControl w:val="0"/>
        <w:autoSpaceDE w:val="0"/>
        <w:autoSpaceDN w:val="0"/>
        <w:adjustRightInd w:val="0"/>
        <w:spacing w:before="120" w:line="360" w:lineRule="auto"/>
        <w:ind w:left="480" w:hanging="480"/>
        <w:rPr>
          <w:i/>
          <w:noProof/>
          <w:sz w:val="24"/>
          <w:szCs w:val="24"/>
        </w:rPr>
      </w:pPr>
      <w:r>
        <w:rPr>
          <w:noProof/>
          <w:sz w:val="24"/>
          <w:szCs w:val="24"/>
        </w:rPr>
        <w:t>Wu, J., Brooks, P.C. (2005).</w:t>
      </w:r>
      <w:r w:rsidRPr="00FA1B51">
        <w:rPr>
          <w:noProof/>
          <w:sz w:val="24"/>
          <w:szCs w:val="24"/>
        </w:rPr>
        <w:t xml:space="preserve"> The proportional mineralisation of microbial biomass and organic matter caused by air-drying and rewetting of a grassland soil</w:t>
      </w:r>
      <w:r>
        <w:rPr>
          <w:noProof/>
          <w:sz w:val="24"/>
          <w:szCs w:val="24"/>
        </w:rPr>
        <w:t xml:space="preserve">. </w:t>
      </w:r>
      <w:r w:rsidRPr="00FA1B51">
        <w:rPr>
          <w:i/>
          <w:noProof/>
          <w:sz w:val="24"/>
          <w:szCs w:val="24"/>
        </w:rPr>
        <w:t>Soil Biology and Biochemistry</w:t>
      </w:r>
      <w:r>
        <w:rPr>
          <w:i/>
          <w:noProof/>
          <w:sz w:val="24"/>
          <w:szCs w:val="24"/>
        </w:rPr>
        <w:t>, 37</w:t>
      </w:r>
      <w:r w:rsidRPr="00FA1B51">
        <w:rPr>
          <w:noProof/>
          <w:sz w:val="24"/>
          <w:szCs w:val="24"/>
        </w:rPr>
        <w:t>, 507:515.</w:t>
      </w:r>
      <w:r>
        <w:rPr>
          <w:noProof/>
          <w:sz w:val="24"/>
          <w:szCs w:val="24"/>
        </w:rPr>
        <w:t xml:space="preserve"> https://doi.org/</w:t>
      </w:r>
      <w:r w:rsidRPr="00FA1B51">
        <w:rPr>
          <w:noProof/>
          <w:sz w:val="24"/>
          <w:szCs w:val="24"/>
        </w:rPr>
        <w:t>10.1016/j.soilbio.2004.07.043</w:t>
      </w:r>
    </w:p>
    <w:p w14:paraId="31C2C11E" w14:textId="5DF6895E" w:rsidR="00FA1B51" w:rsidRPr="00FA1B51" w:rsidRDefault="00FA1B51" w:rsidP="00FA1B51">
      <w:pPr>
        <w:widowControl w:val="0"/>
        <w:autoSpaceDE w:val="0"/>
        <w:autoSpaceDN w:val="0"/>
        <w:adjustRightInd w:val="0"/>
        <w:spacing w:before="120" w:line="360" w:lineRule="auto"/>
        <w:ind w:left="480" w:hanging="480"/>
        <w:rPr>
          <w:noProof/>
        </w:rPr>
      </w:pPr>
    </w:p>
    <w:p w14:paraId="60F01D37" w14:textId="28C32D2C" w:rsidR="00FA1B51" w:rsidRPr="00CE19AB" w:rsidRDefault="00FA1B51" w:rsidP="000A3253">
      <w:pPr>
        <w:widowControl w:val="0"/>
        <w:autoSpaceDE w:val="0"/>
        <w:autoSpaceDN w:val="0"/>
        <w:adjustRightInd w:val="0"/>
        <w:spacing w:before="120" w:line="360" w:lineRule="auto"/>
        <w:ind w:left="480" w:hanging="480"/>
        <w:rPr>
          <w:noProof/>
          <w:sz w:val="24"/>
          <w:szCs w:val="24"/>
        </w:rPr>
      </w:pPr>
    </w:p>
    <w:p w14:paraId="240AA01C"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Wynn, J. G., Bird, M. I., &amp; Wong, V. N. L. (2005). Rayleigh distillation and the depth profile of 13C/ 12C ratios of soil organic carbon from soils of disparate texture in Iron Range National Park, Far North Queensland, Australia. </w:t>
      </w:r>
      <w:r w:rsidRPr="00CE19AB">
        <w:rPr>
          <w:i/>
          <w:iCs/>
          <w:noProof/>
          <w:sz w:val="24"/>
          <w:szCs w:val="24"/>
        </w:rPr>
        <w:t>Geochimica et Cosmochimica Acta</w:t>
      </w:r>
      <w:r w:rsidRPr="00CE19AB">
        <w:rPr>
          <w:noProof/>
          <w:sz w:val="24"/>
          <w:szCs w:val="24"/>
        </w:rPr>
        <w:t xml:space="preserve">, </w:t>
      </w:r>
      <w:r w:rsidRPr="00CE19AB">
        <w:rPr>
          <w:i/>
          <w:iCs/>
          <w:noProof/>
          <w:sz w:val="24"/>
          <w:szCs w:val="24"/>
        </w:rPr>
        <w:t>69</w:t>
      </w:r>
      <w:r w:rsidRPr="00CE19AB">
        <w:rPr>
          <w:noProof/>
          <w:sz w:val="24"/>
          <w:szCs w:val="24"/>
        </w:rPr>
        <w:t>(8), 1961–1973. https://doi.org/10.1016/j.gca.2004.09.003</w:t>
      </w:r>
    </w:p>
    <w:p w14:paraId="46AD0D37" w14:textId="77777777" w:rsidR="000A3253" w:rsidRPr="00CE19AB" w:rsidRDefault="000A3253" w:rsidP="000A3253">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Xiang, S., Doyle, A., Holden, P. A., &amp; Schimel, J. P. (2008). Drying and rewetting effects on C and N mineralization and microbial activity in surface and subsurface California grassland soils. </w:t>
      </w:r>
      <w:r w:rsidRPr="00CE19AB">
        <w:rPr>
          <w:i/>
          <w:iCs/>
          <w:noProof/>
          <w:sz w:val="24"/>
          <w:szCs w:val="24"/>
        </w:rPr>
        <w:t>Soil Biology and Biochemistry</w:t>
      </w:r>
      <w:r w:rsidRPr="00CE19AB">
        <w:rPr>
          <w:noProof/>
          <w:sz w:val="24"/>
          <w:szCs w:val="24"/>
        </w:rPr>
        <w:t xml:space="preserve">, </w:t>
      </w:r>
      <w:r w:rsidRPr="00CE19AB">
        <w:rPr>
          <w:i/>
          <w:iCs/>
          <w:noProof/>
          <w:sz w:val="24"/>
          <w:szCs w:val="24"/>
        </w:rPr>
        <w:t>40</w:t>
      </w:r>
      <w:r w:rsidRPr="00CE19AB">
        <w:rPr>
          <w:noProof/>
          <w:sz w:val="24"/>
          <w:szCs w:val="24"/>
        </w:rPr>
        <w:t>, 2281–2289. https://doi.org/10.1016/j.soilbio.2008.05.004</w:t>
      </w:r>
    </w:p>
    <w:p w14:paraId="77E0D5E9" w14:textId="77777777" w:rsidR="000A3253" w:rsidRPr="00CE19AB" w:rsidRDefault="000A3253" w:rsidP="000A3253">
      <w:pPr>
        <w:widowControl w:val="0"/>
        <w:autoSpaceDE w:val="0"/>
        <w:autoSpaceDN w:val="0"/>
        <w:adjustRightInd w:val="0"/>
        <w:spacing w:before="120" w:line="360" w:lineRule="auto"/>
        <w:ind w:left="480" w:hanging="480"/>
        <w:rPr>
          <w:noProof/>
          <w:sz w:val="24"/>
        </w:rPr>
      </w:pPr>
      <w:r w:rsidRPr="00CE19AB">
        <w:rPr>
          <w:noProof/>
          <w:sz w:val="24"/>
          <w:szCs w:val="24"/>
        </w:rPr>
        <w:t xml:space="preserve">Xu, X., Trumbore, S. E., Zheng, S., Southon, J. R., McDuffee, K. E., Luttgen, M., &amp; Liu, J. C. (2007). Modifying a sealed tube zinc reduction method for preparation of AMS graphite targets: Reducing background and attaining high precision. </w:t>
      </w:r>
      <w:r w:rsidRPr="00CE19AB">
        <w:rPr>
          <w:i/>
          <w:iCs/>
          <w:noProof/>
          <w:sz w:val="24"/>
          <w:szCs w:val="24"/>
        </w:rPr>
        <w:t>Nuclear Instruments and Methods in Physics Research, Section B: Beam Interactions with Materials and Atoms</w:t>
      </w:r>
      <w:r w:rsidRPr="00CE19AB">
        <w:rPr>
          <w:noProof/>
          <w:sz w:val="24"/>
          <w:szCs w:val="24"/>
        </w:rPr>
        <w:t xml:space="preserve">, </w:t>
      </w:r>
      <w:r w:rsidRPr="00CE19AB">
        <w:rPr>
          <w:i/>
          <w:iCs/>
          <w:noProof/>
          <w:sz w:val="24"/>
          <w:szCs w:val="24"/>
        </w:rPr>
        <w:t>259</w:t>
      </w:r>
      <w:r w:rsidRPr="00CE19AB">
        <w:rPr>
          <w:noProof/>
          <w:sz w:val="24"/>
          <w:szCs w:val="24"/>
        </w:rPr>
        <w:t>(1), 320–329. https://doi.org/10.1016/j.nimb.2007.01.175</w:t>
      </w:r>
    </w:p>
    <w:p w14:paraId="00E2E05A" w14:textId="4F222A40" w:rsidR="000A3253" w:rsidRPr="00DD56A7" w:rsidRDefault="000A3253" w:rsidP="00F73987">
      <w:pPr>
        <w:widowControl w:val="0"/>
        <w:autoSpaceDE w:val="0"/>
        <w:autoSpaceDN w:val="0"/>
        <w:adjustRightInd w:val="0"/>
        <w:spacing w:before="120" w:line="360" w:lineRule="auto"/>
        <w:ind w:left="480" w:hanging="480"/>
        <w:rPr>
          <w:b/>
          <w:sz w:val="24"/>
          <w:szCs w:val="24"/>
        </w:rPr>
      </w:pPr>
      <w:r w:rsidRPr="00C27016">
        <w:rPr>
          <w:sz w:val="24"/>
          <w:szCs w:val="24"/>
        </w:rPr>
        <w:fldChar w:fldCharType="end"/>
      </w:r>
    </w:p>
    <w:sectPr w:rsidR="000A3253" w:rsidRPr="00DD56A7" w:rsidSect="00805189">
      <w:pgSz w:w="12240" w:h="15840"/>
      <w:pgMar w:top="1440" w:right="1800" w:bottom="1440" w:left="1800" w:header="720" w:footer="720" w:gutter="0"/>
      <w:cols w:space="72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Jeff Beem-Miller" w:date="2021-06-02T17:37:00Z" w:initials="JB">
    <w:p w14:paraId="5DB0713E" w14:textId="6454FF1E" w:rsidR="00D52EBE" w:rsidRDefault="00D52EBE">
      <w:pPr>
        <w:pStyle w:val="CommentText"/>
      </w:pPr>
      <w:r>
        <w:rPr>
          <w:rStyle w:val="CommentReference"/>
        </w:rPr>
        <w:annotationRef/>
      </w:r>
      <w:r>
        <w:t>I made a new version of the inset graph with dashed and dotted lines connecting the two scenarios. However, I am still working on making the new combined figure. I will send it along soon.</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8294C8" w14:textId="77777777" w:rsidR="00000000" w:rsidRDefault="00165F79">
      <w:r>
        <w:separator/>
      </w:r>
    </w:p>
  </w:endnote>
  <w:endnote w:type="continuationSeparator" w:id="0">
    <w:p w14:paraId="15F00F0D" w14:textId="77777777" w:rsidR="00000000" w:rsidRDefault="00165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Unicode MS">
    <w:panose1 w:val="020B0604020202020204"/>
    <w:charset w:val="00"/>
    <w:family w:val="auto"/>
    <w:pitch w:val="variable"/>
    <w:sig w:usb0="F7FFAFFF" w:usb1="E9DFFFFF" w:usb2="0000003F" w:usb3="00000000" w:csb0="003F01FF" w:csb1="00000000"/>
  </w:font>
  <w:font w:name="Monaco">
    <w:panose1 w:val="00000000000000000000"/>
    <w:charset w:val="00"/>
    <w:family w:val="auto"/>
    <w:pitch w:val="variable"/>
    <w:sig w:usb0="A00002FF" w:usb1="500039FB" w:usb2="00000000" w:usb3="00000000" w:csb0="00000197" w:csb1="00000000"/>
  </w:font>
  <w:font w:name="Times">
    <w:altName w:val="Times Roman"/>
    <w:panose1 w:val="00000000000000000000"/>
    <w:charset w:val="4D"/>
    <w:family w:val="roman"/>
    <w:notTrueType/>
    <w:pitch w:val="variable"/>
    <w:sig w:usb0="00000003" w:usb1="00000000" w:usb2="00000000" w:usb3="00000000" w:csb0="00000001" w:csb1="00000000"/>
  </w:font>
  <w:font w:name="AppleSystemUIFont">
    <w:altName w:val="Cambria"/>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027999" w14:textId="77777777" w:rsidR="00557BDC" w:rsidRDefault="00557BDC" w:rsidP="005673F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2FFC33E" w14:textId="77777777" w:rsidR="00557BDC" w:rsidRDefault="00557BDC">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5C9D76" w14:textId="77777777" w:rsidR="00557BDC" w:rsidRDefault="00557BDC" w:rsidP="005673F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65F79">
      <w:rPr>
        <w:rStyle w:val="PageNumber"/>
        <w:noProof/>
      </w:rPr>
      <w:t>1</w:t>
    </w:r>
    <w:r>
      <w:rPr>
        <w:rStyle w:val="PageNumber"/>
      </w:rPr>
      <w:fldChar w:fldCharType="end"/>
    </w:r>
  </w:p>
  <w:p w14:paraId="6611A017" w14:textId="77777777" w:rsidR="00557BDC" w:rsidRDefault="00557BDC" w:rsidP="005673F0">
    <w:pPr>
      <w:pStyle w:val="Footer"/>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EC68D9" w14:textId="77777777" w:rsidR="00000000" w:rsidRDefault="00165F79">
      <w:r>
        <w:separator/>
      </w:r>
    </w:p>
  </w:footnote>
  <w:footnote w:type="continuationSeparator" w:id="0">
    <w:p w14:paraId="7EBE2D82" w14:textId="77777777" w:rsidR="00000000" w:rsidRDefault="00165F7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396E1F" w14:textId="77777777" w:rsidR="00557BDC" w:rsidRDefault="00557BDC" w:rsidP="005673F0">
    <w:pPr>
      <w:pStyle w:val="Header"/>
      <w:jc w:val="center"/>
    </w:pPr>
    <w:r>
      <w:t xml:space="preserve">manuscript submitted to </w:t>
    </w:r>
    <w:r>
      <w:rPr>
        <w:i/>
      </w:rPr>
      <w:t>JGR Biogeosciences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0FDFDD" w14:textId="77777777" w:rsidR="00557BDC" w:rsidRDefault="00557BDC" w:rsidP="005673F0">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44047"/>
    <w:multiLevelType w:val="hybridMultilevel"/>
    <w:tmpl w:val="3F18E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8116A15"/>
    <w:multiLevelType w:val="hybridMultilevel"/>
    <w:tmpl w:val="69EE5196"/>
    <w:lvl w:ilvl="0" w:tplc="B5BECA88">
      <w:start w:val="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690441E"/>
    <w:multiLevelType w:val="hybridMultilevel"/>
    <w:tmpl w:val="EDBCE88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BB518C3"/>
    <w:multiLevelType w:val="hybridMultilevel"/>
    <w:tmpl w:val="19D41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05CE"/>
    <w:rsid w:val="00006B75"/>
    <w:rsid w:val="00021BD7"/>
    <w:rsid w:val="00026512"/>
    <w:rsid w:val="000320D3"/>
    <w:rsid w:val="000412DC"/>
    <w:rsid w:val="00044869"/>
    <w:rsid w:val="00053A42"/>
    <w:rsid w:val="000720F1"/>
    <w:rsid w:val="00074C73"/>
    <w:rsid w:val="000756A4"/>
    <w:rsid w:val="0007788A"/>
    <w:rsid w:val="00083772"/>
    <w:rsid w:val="00087548"/>
    <w:rsid w:val="0009170A"/>
    <w:rsid w:val="000A3253"/>
    <w:rsid w:val="000A3EC4"/>
    <w:rsid w:val="000B53C1"/>
    <w:rsid w:val="000B7AC1"/>
    <w:rsid w:val="000D2DBF"/>
    <w:rsid w:val="000D39B1"/>
    <w:rsid w:val="000E3F9B"/>
    <w:rsid w:val="000E5360"/>
    <w:rsid w:val="000E66EB"/>
    <w:rsid w:val="000F689B"/>
    <w:rsid w:val="000F7D91"/>
    <w:rsid w:val="001017A4"/>
    <w:rsid w:val="001058E3"/>
    <w:rsid w:val="0011371B"/>
    <w:rsid w:val="001205CE"/>
    <w:rsid w:val="001406DC"/>
    <w:rsid w:val="00141E5F"/>
    <w:rsid w:val="00151033"/>
    <w:rsid w:val="00152253"/>
    <w:rsid w:val="00153A8E"/>
    <w:rsid w:val="0016178A"/>
    <w:rsid w:val="00163A7C"/>
    <w:rsid w:val="00165F79"/>
    <w:rsid w:val="00170652"/>
    <w:rsid w:val="0017453A"/>
    <w:rsid w:val="00186AF3"/>
    <w:rsid w:val="0019529D"/>
    <w:rsid w:val="001A10E9"/>
    <w:rsid w:val="001A1368"/>
    <w:rsid w:val="001A154E"/>
    <w:rsid w:val="001A55C3"/>
    <w:rsid w:val="001C00F4"/>
    <w:rsid w:val="001D0BD0"/>
    <w:rsid w:val="001D71A7"/>
    <w:rsid w:val="001E0638"/>
    <w:rsid w:val="001E07CE"/>
    <w:rsid w:val="00201690"/>
    <w:rsid w:val="00205C3B"/>
    <w:rsid w:val="002242E4"/>
    <w:rsid w:val="00230155"/>
    <w:rsid w:val="00237715"/>
    <w:rsid w:val="00263011"/>
    <w:rsid w:val="00276A9D"/>
    <w:rsid w:val="00280A3E"/>
    <w:rsid w:val="00287CAA"/>
    <w:rsid w:val="002900B4"/>
    <w:rsid w:val="00291036"/>
    <w:rsid w:val="00292D46"/>
    <w:rsid w:val="00296532"/>
    <w:rsid w:val="002A0095"/>
    <w:rsid w:val="002B3CFB"/>
    <w:rsid w:val="002B715D"/>
    <w:rsid w:val="002C67C5"/>
    <w:rsid w:val="002D0360"/>
    <w:rsid w:val="002D7A8F"/>
    <w:rsid w:val="002E0E7A"/>
    <w:rsid w:val="002F103F"/>
    <w:rsid w:val="00307CC7"/>
    <w:rsid w:val="003206AA"/>
    <w:rsid w:val="003276E1"/>
    <w:rsid w:val="00330709"/>
    <w:rsid w:val="00340B3F"/>
    <w:rsid w:val="003442D4"/>
    <w:rsid w:val="00362DCA"/>
    <w:rsid w:val="00377652"/>
    <w:rsid w:val="003947C9"/>
    <w:rsid w:val="00396AE3"/>
    <w:rsid w:val="0039723B"/>
    <w:rsid w:val="003A0126"/>
    <w:rsid w:val="003A16EB"/>
    <w:rsid w:val="003A7F72"/>
    <w:rsid w:val="003B6AC6"/>
    <w:rsid w:val="003B6D54"/>
    <w:rsid w:val="003D0E01"/>
    <w:rsid w:val="003D7F7D"/>
    <w:rsid w:val="003E0A1A"/>
    <w:rsid w:val="003E22F5"/>
    <w:rsid w:val="003E254F"/>
    <w:rsid w:val="003E5DDB"/>
    <w:rsid w:val="00402E94"/>
    <w:rsid w:val="00407914"/>
    <w:rsid w:val="00411F44"/>
    <w:rsid w:val="00413E51"/>
    <w:rsid w:val="00426C45"/>
    <w:rsid w:val="00444057"/>
    <w:rsid w:val="00444BBA"/>
    <w:rsid w:val="00451048"/>
    <w:rsid w:val="0045113B"/>
    <w:rsid w:val="004524FE"/>
    <w:rsid w:val="00455432"/>
    <w:rsid w:val="00465CE7"/>
    <w:rsid w:val="00482AF3"/>
    <w:rsid w:val="00484ABF"/>
    <w:rsid w:val="00486831"/>
    <w:rsid w:val="004916A8"/>
    <w:rsid w:val="004932B8"/>
    <w:rsid w:val="0049595E"/>
    <w:rsid w:val="004A5657"/>
    <w:rsid w:val="004B3AE1"/>
    <w:rsid w:val="004C221B"/>
    <w:rsid w:val="004C284E"/>
    <w:rsid w:val="004C4EC3"/>
    <w:rsid w:val="004E042B"/>
    <w:rsid w:val="004E5222"/>
    <w:rsid w:val="004F48CA"/>
    <w:rsid w:val="004F7482"/>
    <w:rsid w:val="004F7725"/>
    <w:rsid w:val="00500366"/>
    <w:rsid w:val="00524589"/>
    <w:rsid w:val="005259F3"/>
    <w:rsid w:val="00525C69"/>
    <w:rsid w:val="005307BC"/>
    <w:rsid w:val="0053650B"/>
    <w:rsid w:val="005406E9"/>
    <w:rsid w:val="0055075E"/>
    <w:rsid w:val="00557BDC"/>
    <w:rsid w:val="00565045"/>
    <w:rsid w:val="005673F0"/>
    <w:rsid w:val="005676DC"/>
    <w:rsid w:val="005A7BD5"/>
    <w:rsid w:val="005B38D5"/>
    <w:rsid w:val="005B6C16"/>
    <w:rsid w:val="005D2DB6"/>
    <w:rsid w:val="005D5C04"/>
    <w:rsid w:val="005D6E74"/>
    <w:rsid w:val="00604B22"/>
    <w:rsid w:val="0061057C"/>
    <w:rsid w:val="00615054"/>
    <w:rsid w:val="00622A92"/>
    <w:rsid w:val="00635F56"/>
    <w:rsid w:val="00637B99"/>
    <w:rsid w:val="00643373"/>
    <w:rsid w:val="00650CCF"/>
    <w:rsid w:val="0065797A"/>
    <w:rsid w:val="00657F58"/>
    <w:rsid w:val="00661A05"/>
    <w:rsid w:val="00681564"/>
    <w:rsid w:val="006A480F"/>
    <w:rsid w:val="006B0985"/>
    <w:rsid w:val="006B3E29"/>
    <w:rsid w:val="006B3ECB"/>
    <w:rsid w:val="006D0EB5"/>
    <w:rsid w:val="006D3D46"/>
    <w:rsid w:val="006D60A4"/>
    <w:rsid w:val="006F2158"/>
    <w:rsid w:val="00701C09"/>
    <w:rsid w:val="0070477C"/>
    <w:rsid w:val="0070592D"/>
    <w:rsid w:val="00720AB9"/>
    <w:rsid w:val="00734724"/>
    <w:rsid w:val="00734E35"/>
    <w:rsid w:val="00735280"/>
    <w:rsid w:val="00746FE1"/>
    <w:rsid w:val="00753DB8"/>
    <w:rsid w:val="007646EB"/>
    <w:rsid w:val="00764C6D"/>
    <w:rsid w:val="007661B0"/>
    <w:rsid w:val="007702D7"/>
    <w:rsid w:val="00776711"/>
    <w:rsid w:val="0077781A"/>
    <w:rsid w:val="007A49F2"/>
    <w:rsid w:val="007B4BAD"/>
    <w:rsid w:val="007B4E94"/>
    <w:rsid w:val="007B4F8B"/>
    <w:rsid w:val="007B735C"/>
    <w:rsid w:val="007C13B5"/>
    <w:rsid w:val="007E2162"/>
    <w:rsid w:val="007E4E34"/>
    <w:rsid w:val="0080158A"/>
    <w:rsid w:val="00804528"/>
    <w:rsid w:val="00805189"/>
    <w:rsid w:val="00812C46"/>
    <w:rsid w:val="00813724"/>
    <w:rsid w:val="0082564A"/>
    <w:rsid w:val="008274A5"/>
    <w:rsid w:val="00831534"/>
    <w:rsid w:val="008322BE"/>
    <w:rsid w:val="00832A93"/>
    <w:rsid w:val="00832F3A"/>
    <w:rsid w:val="008435E0"/>
    <w:rsid w:val="0085382B"/>
    <w:rsid w:val="00875724"/>
    <w:rsid w:val="008761A8"/>
    <w:rsid w:val="008809DC"/>
    <w:rsid w:val="0088233B"/>
    <w:rsid w:val="00885A99"/>
    <w:rsid w:val="00886F23"/>
    <w:rsid w:val="0088771F"/>
    <w:rsid w:val="00895CC5"/>
    <w:rsid w:val="008A419F"/>
    <w:rsid w:val="008A48EE"/>
    <w:rsid w:val="008A65BF"/>
    <w:rsid w:val="008B41E7"/>
    <w:rsid w:val="008C3D78"/>
    <w:rsid w:val="008D0561"/>
    <w:rsid w:val="008D150F"/>
    <w:rsid w:val="008D5A07"/>
    <w:rsid w:val="008D5CBD"/>
    <w:rsid w:val="008E5161"/>
    <w:rsid w:val="00900256"/>
    <w:rsid w:val="00905211"/>
    <w:rsid w:val="009103D9"/>
    <w:rsid w:val="0093460B"/>
    <w:rsid w:val="00946C58"/>
    <w:rsid w:val="0095491F"/>
    <w:rsid w:val="00962976"/>
    <w:rsid w:val="00965741"/>
    <w:rsid w:val="00976C27"/>
    <w:rsid w:val="00984FFA"/>
    <w:rsid w:val="00985308"/>
    <w:rsid w:val="00993BD6"/>
    <w:rsid w:val="009A42CE"/>
    <w:rsid w:val="009A4CA2"/>
    <w:rsid w:val="009B15A6"/>
    <w:rsid w:val="009B3DF3"/>
    <w:rsid w:val="009B46E2"/>
    <w:rsid w:val="009B4B1B"/>
    <w:rsid w:val="009B4D63"/>
    <w:rsid w:val="009B778D"/>
    <w:rsid w:val="009C7043"/>
    <w:rsid w:val="009D2023"/>
    <w:rsid w:val="009D6F90"/>
    <w:rsid w:val="009D7A42"/>
    <w:rsid w:val="009E07D6"/>
    <w:rsid w:val="009F028C"/>
    <w:rsid w:val="009F17F9"/>
    <w:rsid w:val="009F7542"/>
    <w:rsid w:val="009F7A16"/>
    <w:rsid w:val="00A02917"/>
    <w:rsid w:val="00A121EB"/>
    <w:rsid w:val="00A1437F"/>
    <w:rsid w:val="00A4275B"/>
    <w:rsid w:val="00A43134"/>
    <w:rsid w:val="00A54CCA"/>
    <w:rsid w:val="00A85A39"/>
    <w:rsid w:val="00AB2DB9"/>
    <w:rsid w:val="00AC03EB"/>
    <w:rsid w:val="00AC3612"/>
    <w:rsid w:val="00AD4814"/>
    <w:rsid w:val="00AE5514"/>
    <w:rsid w:val="00AF2BBA"/>
    <w:rsid w:val="00AF397B"/>
    <w:rsid w:val="00B049E7"/>
    <w:rsid w:val="00B15763"/>
    <w:rsid w:val="00B250F7"/>
    <w:rsid w:val="00B25AF4"/>
    <w:rsid w:val="00B26507"/>
    <w:rsid w:val="00B56DEF"/>
    <w:rsid w:val="00B601D4"/>
    <w:rsid w:val="00B62560"/>
    <w:rsid w:val="00B73CCE"/>
    <w:rsid w:val="00B83727"/>
    <w:rsid w:val="00BA4D9F"/>
    <w:rsid w:val="00BA7D2F"/>
    <w:rsid w:val="00BB1733"/>
    <w:rsid w:val="00BD616F"/>
    <w:rsid w:val="00BE491C"/>
    <w:rsid w:val="00BE5F7D"/>
    <w:rsid w:val="00BE685A"/>
    <w:rsid w:val="00BF05DD"/>
    <w:rsid w:val="00BF54BE"/>
    <w:rsid w:val="00C007AE"/>
    <w:rsid w:val="00C02DE9"/>
    <w:rsid w:val="00C05339"/>
    <w:rsid w:val="00C104D6"/>
    <w:rsid w:val="00C108C8"/>
    <w:rsid w:val="00C114B8"/>
    <w:rsid w:val="00C2027D"/>
    <w:rsid w:val="00C20BFD"/>
    <w:rsid w:val="00C24DE7"/>
    <w:rsid w:val="00C272BF"/>
    <w:rsid w:val="00C321DB"/>
    <w:rsid w:val="00C34E3B"/>
    <w:rsid w:val="00C416FD"/>
    <w:rsid w:val="00C63BAE"/>
    <w:rsid w:val="00C63EA9"/>
    <w:rsid w:val="00C672B2"/>
    <w:rsid w:val="00C84E93"/>
    <w:rsid w:val="00C87E07"/>
    <w:rsid w:val="00C90198"/>
    <w:rsid w:val="00C93CA5"/>
    <w:rsid w:val="00C94ED6"/>
    <w:rsid w:val="00C951B7"/>
    <w:rsid w:val="00CA1FCD"/>
    <w:rsid w:val="00CB56A0"/>
    <w:rsid w:val="00CB733F"/>
    <w:rsid w:val="00CD44DA"/>
    <w:rsid w:val="00CE2013"/>
    <w:rsid w:val="00CF2C01"/>
    <w:rsid w:val="00D01203"/>
    <w:rsid w:val="00D05A6C"/>
    <w:rsid w:val="00D12F08"/>
    <w:rsid w:val="00D17608"/>
    <w:rsid w:val="00D25EDB"/>
    <w:rsid w:val="00D25F04"/>
    <w:rsid w:val="00D264E3"/>
    <w:rsid w:val="00D3396F"/>
    <w:rsid w:val="00D4316D"/>
    <w:rsid w:val="00D463E2"/>
    <w:rsid w:val="00D5057F"/>
    <w:rsid w:val="00D52EBE"/>
    <w:rsid w:val="00D530F8"/>
    <w:rsid w:val="00D603D0"/>
    <w:rsid w:val="00D613A2"/>
    <w:rsid w:val="00D74EA6"/>
    <w:rsid w:val="00D81E06"/>
    <w:rsid w:val="00D82D1C"/>
    <w:rsid w:val="00D9033E"/>
    <w:rsid w:val="00D909A0"/>
    <w:rsid w:val="00D9111E"/>
    <w:rsid w:val="00D95F91"/>
    <w:rsid w:val="00DA10E6"/>
    <w:rsid w:val="00DA4440"/>
    <w:rsid w:val="00DB6555"/>
    <w:rsid w:val="00DB763B"/>
    <w:rsid w:val="00DD2571"/>
    <w:rsid w:val="00DD56A7"/>
    <w:rsid w:val="00DE2EB0"/>
    <w:rsid w:val="00DF32B4"/>
    <w:rsid w:val="00DF5069"/>
    <w:rsid w:val="00E00A61"/>
    <w:rsid w:val="00E028EA"/>
    <w:rsid w:val="00E04FCE"/>
    <w:rsid w:val="00E10481"/>
    <w:rsid w:val="00E12F33"/>
    <w:rsid w:val="00E204BE"/>
    <w:rsid w:val="00E25B61"/>
    <w:rsid w:val="00E35390"/>
    <w:rsid w:val="00E35B46"/>
    <w:rsid w:val="00E476B8"/>
    <w:rsid w:val="00E56739"/>
    <w:rsid w:val="00E622D4"/>
    <w:rsid w:val="00E64B64"/>
    <w:rsid w:val="00E71178"/>
    <w:rsid w:val="00E7226E"/>
    <w:rsid w:val="00E74E09"/>
    <w:rsid w:val="00E836FA"/>
    <w:rsid w:val="00E94AB8"/>
    <w:rsid w:val="00EA1195"/>
    <w:rsid w:val="00EB5128"/>
    <w:rsid w:val="00EB571D"/>
    <w:rsid w:val="00EB5863"/>
    <w:rsid w:val="00EC364E"/>
    <w:rsid w:val="00EC5B52"/>
    <w:rsid w:val="00ED1351"/>
    <w:rsid w:val="00ED25E4"/>
    <w:rsid w:val="00ED628E"/>
    <w:rsid w:val="00EE73EF"/>
    <w:rsid w:val="00EF4123"/>
    <w:rsid w:val="00F019C8"/>
    <w:rsid w:val="00F052C8"/>
    <w:rsid w:val="00F15845"/>
    <w:rsid w:val="00F215CB"/>
    <w:rsid w:val="00F25556"/>
    <w:rsid w:val="00F303A7"/>
    <w:rsid w:val="00F312CC"/>
    <w:rsid w:val="00F32F99"/>
    <w:rsid w:val="00F456D2"/>
    <w:rsid w:val="00F576BD"/>
    <w:rsid w:val="00F57905"/>
    <w:rsid w:val="00F57AD1"/>
    <w:rsid w:val="00F62140"/>
    <w:rsid w:val="00F7012D"/>
    <w:rsid w:val="00F704EE"/>
    <w:rsid w:val="00F73987"/>
    <w:rsid w:val="00FA1B51"/>
    <w:rsid w:val="00FA3640"/>
    <w:rsid w:val="00FA494F"/>
    <w:rsid w:val="00FB3FB8"/>
    <w:rsid w:val="00FB6D86"/>
    <w:rsid w:val="00FB7ABA"/>
    <w:rsid w:val="00FC097E"/>
    <w:rsid w:val="00FC4674"/>
    <w:rsid w:val="00FD1DAF"/>
    <w:rsid w:val="00FE06A1"/>
    <w:rsid w:val="00FE51CE"/>
    <w:rsid w:val="00FF375F"/>
    <w:rsid w:val="00FF4D4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4277C7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3F0"/>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1205CE"/>
    <w:pPr>
      <w:spacing w:line="276" w:lineRule="auto"/>
    </w:pPr>
    <w:rPr>
      <w:rFonts w:ascii="Arial" w:eastAsia="Arial" w:hAnsi="Arial" w:cs="Arial"/>
      <w:sz w:val="22"/>
      <w:szCs w:val="22"/>
      <w:lang w:val="en"/>
    </w:rPr>
  </w:style>
  <w:style w:type="character" w:customStyle="1" w:styleId="CommentTextChar">
    <w:name w:val="Comment Text Char"/>
    <w:basedOn w:val="DefaultParagraphFont"/>
    <w:link w:val="CommentText"/>
    <w:uiPriority w:val="99"/>
    <w:semiHidden/>
    <w:rsid w:val="00D25F04"/>
    <w:rPr>
      <w:rFonts w:ascii="Arial" w:eastAsia="Arial" w:hAnsi="Arial" w:cs="Arial"/>
      <w:lang w:val="en"/>
    </w:rPr>
  </w:style>
  <w:style w:type="paragraph" w:styleId="CommentText">
    <w:name w:val="annotation text"/>
    <w:basedOn w:val="Normal"/>
    <w:link w:val="CommentTextChar"/>
    <w:uiPriority w:val="99"/>
    <w:semiHidden/>
    <w:unhideWhenUsed/>
    <w:rsid w:val="00D25F04"/>
    <w:rPr>
      <w:rFonts w:ascii="Arial" w:eastAsia="Arial" w:hAnsi="Arial" w:cs="Arial"/>
      <w:sz w:val="24"/>
      <w:szCs w:val="24"/>
      <w:lang w:val="en"/>
    </w:rPr>
  </w:style>
  <w:style w:type="character" w:customStyle="1" w:styleId="CommentTextChar1">
    <w:name w:val="Comment Text Char1"/>
    <w:basedOn w:val="DefaultParagraphFont"/>
    <w:uiPriority w:val="99"/>
    <w:semiHidden/>
    <w:rsid w:val="00D25F04"/>
  </w:style>
  <w:style w:type="character" w:styleId="CommentReference">
    <w:name w:val="annotation reference"/>
    <w:basedOn w:val="DefaultParagraphFont"/>
    <w:uiPriority w:val="99"/>
    <w:semiHidden/>
    <w:unhideWhenUsed/>
    <w:rsid w:val="00D25F04"/>
    <w:rPr>
      <w:sz w:val="18"/>
      <w:szCs w:val="18"/>
    </w:rPr>
  </w:style>
  <w:style w:type="paragraph" w:styleId="BalloonText">
    <w:name w:val="Balloon Text"/>
    <w:basedOn w:val="Normal"/>
    <w:link w:val="BalloonTextChar"/>
    <w:uiPriority w:val="99"/>
    <w:semiHidden/>
    <w:unhideWhenUsed/>
    <w:rsid w:val="00D25F04"/>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D25F04"/>
    <w:rPr>
      <w:rFonts w:ascii="Lucida Grande" w:hAnsi="Lucida Grande" w:cs="Lucida Grande"/>
      <w:sz w:val="18"/>
      <w:szCs w:val="18"/>
    </w:rPr>
  </w:style>
  <w:style w:type="paragraph" w:styleId="CommentSubject">
    <w:name w:val="annotation subject"/>
    <w:basedOn w:val="CommentText"/>
    <w:next w:val="CommentText"/>
    <w:link w:val="CommentSubjectChar"/>
    <w:uiPriority w:val="99"/>
    <w:semiHidden/>
    <w:unhideWhenUsed/>
    <w:rsid w:val="00F576BD"/>
    <w:rPr>
      <w:rFonts w:asciiTheme="minorHAnsi" w:eastAsiaTheme="minorEastAsia" w:hAnsiTheme="minorHAnsi" w:cstheme="minorBidi"/>
      <w:b/>
      <w:bCs/>
      <w:sz w:val="20"/>
      <w:szCs w:val="20"/>
      <w:lang w:val="en-US"/>
    </w:rPr>
  </w:style>
  <w:style w:type="character" w:customStyle="1" w:styleId="CommentSubjectChar">
    <w:name w:val="Comment Subject Char"/>
    <w:basedOn w:val="CommentTextChar"/>
    <w:link w:val="CommentSubject"/>
    <w:uiPriority w:val="99"/>
    <w:semiHidden/>
    <w:rsid w:val="00F576BD"/>
    <w:rPr>
      <w:rFonts w:ascii="Arial" w:eastAsia="Arial" w:hAnsi="Arial" w:cs="Arial"/>
      <w:b/>
      <w:bCs/>
      <w:sz w:val="20"/>
      <w:szCs w:val="20"/>
      <w:lang w:val="en"/>
    </w:rPr>
  </w:style>
  <w:style w:type="paragraph" w:styleId="Header">
    <w:name w:val="header"/>
    <w:basedOn w:val="Normal"/>
    <w:link w:val="HeaderChar"/>
    <w:uiPriority w:val="99"/>
    <w:unhideWhenUsed/>
    <w:rsid w:val="005673F0"/>
    <w:pPr>
      <w:tabs>
        <w:tab w:val="center" w:pos="4680"/>
        <w:tab w:val="right" w:pos="9360"/>
      </w:tabs>
    </w:pPr>
  </w:style>
  <w:style w:type="character" w:customStyle="1" w:styleId="HeaderChar">
    <w:name w:val="Header Char"/>
    <w:basedOn w:val="DefaultParagraphFont"/>
    <w:link w:val="Header"/>
    <w:uiPriority w:val="99"/>
    <w:rsid w:val="005673F0"/>
    <w:rPr>
      <w:rFonts w:ascii="Times New Roman" w:eastAsia="Calibri" w:hAnsi="Times New Roman" w:cs="Times New Roman"/>
      <w:sz w:val="20"/>
      <w:szCs w:val="20"/>
    </w:rPr>
  </w:style>
  <w:style w:type="paragraph" w:styleId="Footer">
    <w:name w:val="footer"/>
    <w:basedOn w:val="Normal"/>
    <w:link w:val="FooterChar"/>
    <w:uiPriority w:val="99"/>
    <w:unhideWhenUsed/>
    <w:rsid w:val="005673F0"/>
    <w:pPr>
      <w:tabs>
        <w:tab w:val="center" w:pos="4680"/>
        <w:tab w:val="right" w:pos="9360"/>
      </w:tabs>
    </w:pPr>
  </w:style>
  <w:style w:type="character" w:customStyle="1" w:styleId="FooterChar">
    <w:name w:val="Footer Char"/>
    <w:basedOn w:val="DefaultParagraphFont"/>
    <w:link w:val="Footer"/>
    <w:uiPriority w:val="99"/>
    <w:rsid w:val="005673F0"/>
    <w:rPr>
      <w:rFonts w:ascii="Times New Roman" w:eastAsia="Calibri" w:hAnsi="Times New Roman" w:cs="Times New Roman"/>
      <w:sz w:val="20"/>
      <w:szCs w:val="20"/>
    </w:rPr>
  </w:style>
  <w:style w:type="character" w:styleId="PageNumber">
    <w:name w:val="page number"/>
    <w:basedOn w:val="DefaultParagraphFont"/>
    <w:uiPriority w:val="99"/>
    <w:semiHidden/>
    <w:unhideWhenUsed/>
    <w:rsid w:val="005673F0"/>
  </w:style>
  <w:style w:type="character" w:styleId="LineNumber">
    <w:name w:val="line number"/>
    <w:basedOn w:val="DefaultParagraphFont"/>
    <w:uiPriority w:val="99"/>
    <w:semiHidden/>
    <w:unhideWhenUsed/>
    <w:rsid w:val="005673F0"/>
  </w:style>
  <w:style w:type="character" w:styleId="PlaceholderText">
    <w:name w:val="Placeholder Text"/>
    <w:basedOn w:val="DefaultParagraphFont"/>
    <w:uiPriority w:val="99"/>
    <w:semiHidden/>
    <w:rsid w:val="005D5C04"/>
    <w:rPr>
      <w:color w:val="808080"/>
    </w:rPr>
  </w:style>
  <w:style w:type="paragraph" w:styleId="NormalWeb">
    <w:name w:val="Normal (Web)"/>
    <w:basedOn w:val="Normal"/>
    <w:uiPriority w:val="99"/>
    <w:unhideWhenUsed/>
    <w:rsid w:val="00455432"/>
    <w:rPr>
      <w:sz w:val="24"/>
      <w:szCs w:val="24"/>
    </w:rPr>
  </w:style>
  <w:style w:type="paragraph" w:customStyle="1" w:styleId="Heading-Main">
    <w:name w:val="Heading-Main"/>
    <w:basedOn w:val="Normal"/>
    <w:rsid w:val="00557BDC"/>
    <w:pPr>
      <w:keepNext/>
      <w:spacing w:before="240" w:after="120"/>
      <w:outlineLvl w:val="0"/>
    </w:pPr>
    <w:rPr>
      <w:rFonts w:eastAsia="Times New Roman"/>
      <w:b/>
      <w:bCs/>
      <w:kern w:val="28"/>
      <w:sz w:val="24"/>
      <w:szCs w:val="24"/>
    </w:rPr>
  </w:style>
  <w:style w:type="paragraph" w:customStyle="1" w:styleId="Authors">
    <w:name w:val="Authors"/>
    <w:basedOn w:val="Normal"/>
    <w:rsid w:val="00557BDC"/>
    <w:pPr>
      <w:spacing w:before="120" w:after="360"/>
    </w:pPr>
    <w:rPr>
      <w:rFonts w:eastAsia="Times New Roman"/>
      <w:b/>
      <w:sz w:val="24"/>
      <w:szCs w:val="24"/>
    </w:rPr>
  </w:style>
  <w:style w:type="paragraph" w:customStyle="1" w:styleId="Affiliation">
    <w:name w:val="Affiliation"/>
    <w:basedOn w:val="Normal"/>
    <w:qFormat/>
    <w:rsid w:val="00557BDC"/>
    <w:pPr>
      <w:spacing w:before="120"/>
    </w:pPr>
    <w:rPr>
      <w:rFonts w:eastAsia="Times New Roman"/>
      <w:sz w:val="24"/>
      <w:szCs w:val="24"/>
    </w:rPr>
  </w:style>
  <w:style w:type="paragraph" w:customStyle="1" w:styleId="Abstract">
    <w:name w:val="Abstract"/>
    <w:basedOn w:val="Normal"/>
    <w:qFormat/>
    <w:rsid w:val="00557BDC"/>
    <w:pPr>
      <w:spacing w:before="120"/>
    </w:pPr>
    <w:rPr>
      <w:rFonts w:eastAsia="Times New Roman"/>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3F0"/>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1205CE"/>
    <w:pPr>
      <w:spacing w:line="276" w:lineRule="auto"/>
    </w:pPr>
    <w:rPr>
      <w:rFonts w:ascii="Arial" w:eastAsia="Arial" w:hAnsi="Arial" w:cs="Arial"/>
      <w:sz w:val="22"/>
      <w:szCs w:val="22"/>
      <w:lang w:val="en"/>
    </w:rPr>
  </w:style>
  <w:style w:type="character" w:customStyle="1" w:styleId="CommentTextChar">
    <w:name w:val="Comment Text Char"/>
    <w:basedOn w:val="DefaultParagraphFont"/>
    <w:link w:val="CommentText"/>
    <w:uiPriority w:val="99"/>
    <w:semiHidden/>
    <w:rsid w:val="00D25F04"/>
    <w:rPr>
      <w:rFonts w:ascii="Arial" w:eastAsia="Arial" w:hAnsi="Arial" w:cs="Arial"/>
      <w:lang w:val="en"/>
    </w:rPr>
  </w:style>
  <w:style w:type="paragraph" w:styleId="CommentText">
    <w:name w:val="annotation text"/>
    <w:basedOn w:val="Normal"/>
    <w:link w:val="CommentTextChar"/>
    <w:uiPriority w:val="99"/>
    <w:semiHidden/>
    <w:unhideWhenUsed/>
    <w:rsid w:val="00D25F04"/>
    <w:rPr>
      <w:rFonts w:ascii="Arial" w:eastAsia="Arial" w:hAnsi="Arial" w:cs="Arial"/>
      <w:sz w:val="24"/>
      <w:szCs w:val="24"/>
      <w:lang w:val="en"/>
    </w:rPr>
  </w:style>
  <w:style w:type="character" w:customStyle="1" w:styleId="CommentTextChar1">
    <w:name w:val="Comment Text Char1"/>
    <w:basedOn w:val="DefaultParagraphFont"/>
    <w:uiPriority w:val="99"/>
    <w:semiHidden/>
    <w:rsid w:val="00D25F04"/>
  </w:style>
  <w:style w:type="character" w:styleId="CommentReference">
    <w:name w:val="annotation reference"/>
    <w:basedOn w:val="DefaultParagraphFont"/>
    <w:uiPriority w:val="99"/>
    <w:semiHidden/>
    <w:unhideWhenUsed/>
    <w:rsid w:val="00D25F04"/>
    <w:rPr>
      <w:sz w:val="18"/>
      <w:szCs w:val="18"/>
    </w:rPr>
  </w:style>
  <w:style w:type="paragraph" w:styleId="BalloonText">
    <w:name w:val="Balloon Text"/>
    <w:basedOn w:val="Normal"/>
    <w:link w:val="BalloonTextChar"/>
    <w:uiPriority w:val="99"/>
    <w:semiHidden/>
    <w:unhideWhenUsed/>
    <w:rsid w:val="00D25F04"/>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D25F04"/>
    <w:rPr>
      <w:rFonts w:ascii="Lucida Grande" w:hAnsi="Lucida Grande" w:cs="Lucida Grande"/>
      <w:sz w:val="18"/>
      <w:szCs w:val="18"/>
    </w:rPr>
  </w:style>
  <w:style w:type="paragraph" w:styleId="CommentSubject">
    <w:name w:val="annotation subject"/>
    <w:basedOn w:val="CommentText"/>
    <w:next w:val="CommentText"/>
    <w:link w:val="CommentSubjectChar"/>
    <w:uiPriority w:val="99"/>
    <w:semiHidden/>
    <w:unhideWhenUsed/>
    <w:rsid w:val="00F576BD"/>
    <w:rPr>
      <w:rFonts w:asciiTheme="minorHAnsi" w:eastAsiaTheme="minorEastAsia" w:hAnsiTheme="minorHAnsi" w:cstheme="minorBidi"/>
      <w:b/>
      <w:bCs/>
      <w:sz w:val="20"/>
      <w:szCs w:val="20"/>
      <w:lang w:val="en-US"/>
    </w:rPr>
  </w:style>
  <w:style w:type="character" w:customStyle="1" w:styleId="CommentSubjectChar">
    <w:name w:val="Comment Subject Char"/>
    <w:basedOn w:val="CommentTextChar"/>
    <w:link w:val="CommentSubject"/>
    <w:uiPriority w:val="99"/>
    <w:semiHidden/>
    <w:rsid w:val="00F576BD"/>
    <w:rPr>
      <w:rFonts w:ascii="Arial" w:eastAsia="Arial" w:hAnsi="Arial" w:cs="Arial"/>
      <w:b/>
      <w:bCs/>
      <w:sz w:val="20"/>
      <w:szCs w:val="20"/>
      <w:lang w:val="en"/>
    </w:rPr>
  </w:style>
  <w:style w:type="paragraph" w:styleId="Header">
    <w:name w:val="header"/>
    <w:basedOn w:val="Normal"/>
    <w:link w:val="HeaderChar"/>
    <w:uiPriority w:val="99"/>
    <w:unhideWhenUsed/>
    <w:rsid w:val="005673F0"/>
    <w:pPr>
      <w:tabs>
        <w:tab w:val="center" w:pos="4680"/>
        <w:tab w:val="right" w:pos="9360"/>
      </w:tabs>
    </w:pPr>
  </w:style>
  <w:style w:type="character" w:customStyle="1" w:styleId="HeaderChar">
    <w:name w:val="Header Char"/>
    <w:basedOn w:val="DefaultParagraphFont"/>
    <w:link w:val="Header"/>
    <w:uiPriority w:val="99"/>
    <w:rsid w:val="005673F0"/>
    <w:rPr>
      <w:rFonts w:ascii="Times New Roman" w:eastAsia="Calibri" w:hAnsi="Times New Roman" w:cs="Times New Roman"/>
      <w:sz w:val="20"/>
      <w:szCs w:val="20"/>
    </w:rPr>
  </w:style>
  <w:style w:type="paragraph" w:styleId="Footer">
    <w:name w:val="footer"/>
    <w:basedOn w:val="Normal"/>
    <w:link w:val="FooterChar"/>
    <w:uiPriority w:val="99"/>
    <w:unhideWhenUsed/>
    <w:rsid w:val="005673F0"/>
    <w:pPr>
      <w:tabs>
        <w:tab w:val="center" w:pos="4680"/>
        <w:tab w:val="right" w:pos="9360"/>
      </w:tabs>
    </w:pPr>
  </w:style>
  <w:style w:type="character" w:customStyle="1" w:styleId="FooterChar">
    <w:name w:val="Footer Char"/>
    <w:basedOn w:val="DefaultParagraphFont"/>
    <w:link w:val="Footer"/>
    <w:uiPriority w:val="99"/>
    <w:rsid w:val="005673F0"/>
    <w:rPr>
      <w:rFonts w:ascii="Times New Roman" w:eastAsia="Calibri" w:hAnsi="Times New Roman" w:cs="Times New Roman"/>
      <w:sz w:val="20"/>
      <w:szCs w:val="20"/>
    </w:rPr>
  </w:style>
  <w:style w:type="character" w:styleId="PageNumber">
    <w:name w:val="page number"/>
    <w:basedOn w:val="DefaultParagraphFont"/>
    <w:uiPriority w:val="99"/>
    <w:semiHidden/>
    <w:unhideWhenUsed/>
    <w:rsid w:val="005673F0"/>
  </w:style>
  <w:style w:type="character" w:styleId="LineNumber">
    <w:name w:val="line number"/>
    <w:basedOn w:val="DefaultParagraphFont"/>
    <w:uiPriority w:val="99"/>
    <w:semiHidden/>
    <w:unhideWhenUsed/>
    <w:rsid w:val="005673F0"/>
  </w:style>
  <w:style w:type="character" w:styleId="PlaceholderText">
    <w:name w:val="Placeholder Text"/>
    <w:basedOn w:val="DefaultParagraphFont"/>
    <w:uiPriority w:val="99"/>
    <w:semiHidden/>
    <w:rsid w:val="005D5C04"/>
    <w:rPr>
      <w:color w:val="808080"/>
    </w:rPr>
  </w:style>
  <w:style w:type="paragraph" w:styleId="NormalWeb">
    <w:name w:val="Normal (Web)"/>
    <w:basedOn w:val="Normal"/>
    <w:uiPriority w:val="99"/>
    <w:unhideWhenUsed/>
    <w:rsid w:val="00455432"/>
    <w:rPr>
      <w:sz w:val="24"/>
      <w:szCs w:val="24"/>
    </w:rPr>
  </w:style>
  <w:style w:type="paragraph" w:customStyle="1" w:styleId="Heading-Main">
    <w:name w:val="Heading-Main"/>
    <w:basedOn w:val="Normal"/>
    <w:rsid w:val="00557BDC"/>
    <w:pPr>
      <w:keepNext/>
      <w:spacing w:before="240" w:after="120"/>
      <w:outlineLvl w:val="0"/>
    </w:pPr>
    <w:rPr>
      <w:rFonts w:eastAsia="Times New Roman"/>
      <w:b/>
      <w:bCs/>
      <w:kern w:val="28"/>
      <w:sz w:val="24"/>
      <w:szCs w:val="24"/>
    </w:rPr>
  </w:style>
  <w:style w:type="paragraph" w:customStyle="1" w:styleId="Authors">
    <w:name w:val="Authors"/>
    <w:basedOn w:val="Normal"/>
    <w:rsid w:val="00557BDC"/>
    <w:pPr>
      <w:spacing w:before="120" w:after="360"/>
    </w:pPr>
    <w:rPr>
      <w:rFonts w:eastAsia="Times New Roman"/>
      <w:b/>
      <w:sz w:val="24"/>
      <w:szCs w:val="24"/>
    </w:rPr>
  </w:style>
  <w:style w:type="paragraph" w:customStyle="1" w:styleId="Affiliation">
    <w:name w:val="Affiliation"/>
    <w:basedOn w:val="Normal"/>
    <w:qFormat/>
    <w:rsid w:val="00557BDC"/>
    <w:pPr>
      <w:spacing w:before="120"/>
    </w:pPr>
    <w:rPr>
      <w:rFonts w:eastAsia="Times New Roman"/>
      <w:sz w:val="24"/>
      <w:szCs w:val="24"/>
    </w:rPr>
  </w:style>
  <w:style w:type="paragraph" w:customStyle="1" w:styleId="Abstract">
    <w:name w:val="Abstract"/>
    <w:basedOn w:val="Normal"/>
    <w:qFormat/>
    <w:rsid w:val="00557BDC"/>
    <w:pPr>
      <w:spacing w:before="120"/>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84325">
      <w:bodyDiv w:val="1"/>
      <w:marLeft w:val="0"/>
      <w:marRight w:val="0"/>
      <w:marTop w:val="0"/>
      <w:marBottom w:val="0"/>
      <w:divBdr>
        <w:top w:val="none" w:sz="0" w:space="0" w:color="auto"/>
        <w:left w:val="none" w:sz="0" w:space="0" w:color="auto"/>
        <w:bottom w:val="none" w:sz="0" w:space="0" w:color="auto"/>
        <w:right w:val="none" w:sz="0" w:space="0" w:color="auto"/>
      </w:divBdr>
    </w:div>
    <w:div w:id="40830413">
      <w:bodyDiv w:val="1"/>
      <w:marLeft w:val="0"/>
      <w:marRight w:val="0"/>
      <w:marTop w:val="0"/>
      <w:marBottom w:val="0"/>
      <w:divBdr>
        <w:top w:val="none" w:sz="0" w:space="0" w:color="auto"/>
        <w:left w:val="none" w:sz="0" w:space="0" w:color="auto"/>
        <w:bottom w:val="none" w:sz="0" w:space="0" w:color="auto"/>
        <w:right w:val="none" w:sz="0" w:space="0" w:color="auto"/>
      </w:divBdr>
    </w:div>
    <w:div w:id="54016831">
      <w:bodyDiv w:val="1"/>
      <w:marLeft w:val="0"/>
      <w:marRight w:val="0"/>
      <w:marTop w:val="0"/>
      <w:marBottom w:val="0"/>
      <w:divBdr>
        <w:top w:val="none" w:sz="0" w:space="0" w:color="auto"/>
        <w:left w:val="none" w:sz="0" w:space="0" w:color="auto"/>
        <w:bottom w:val="none" w:sz="0" w:space="0" w:color="auto"/>
        <w:right w:val="none" w:sz="0" w:space="0" w:color="auto"/>
      </w:divBdr>
    </w:div>
    <w:div w:id="99492300">
      <w:bodyDiv w:val="1"/>
      <w:marLeft w:val="0"/>
      <w:marRight w:val="0"/>
      <w:marTop w:val="0"/>
      <w:marBottom w:val="0"/>
      <w:divBdr>
        <w:top w:val="none" w:sz="0" w:space="0" w:color="auto"/>
        <w:left w:val="none" w:sz="0" w:space="0" w:color="auto"/>
        <w:bottom w:val="none" w:sz="0" w:space="0" w:color="auto"/>
        <w:right w:val="none" w:sz="0" w:space="0" w:color="auto"/>
      </w:divBdr>
    </w:div>
    <w:div w:id="202331167">
      <w:bodyDiv w:val="1"/>
      <w:marLeft w:val="0"/>
      <w:marRight w:val="0"/>
      <w:marTop w:val="0"/>
      <w:marBottom w:val="0"/>
      <w:divBdr>
        <w:top w:val="none" w:sz="0" w:space="0" w:color="auto"/>
        <w:left w:val="none" w:sz="0" w:space="0" w:color="auto"/>
        <w:bottom w:val="none" w:sz="0" w:space="0" w:color="auto"/>
        <w:right w:val="none" w:sz="0" w:space="0" w:color="auto"/>
      </w:divBdr>
    </w:div>
    <w:div w:id="209077937">
      <w:bodyDiv w:val="1"/>
      <w:marLeft w:val="0"/>
      <w:marRight w:val="0"/>
      <w:marTop w:val="0"/>
      <w:marBottom w:val="0"/>
      <w:divBdr>
        <w:top w:val="none" w:sz="0" w:space="0" w:color="auto"/>
        <w:left w:val="none" w:sz="0" w:space="0" w:color="auto"/>
        <w:bottom w:val="none" w:sz="0" w:space="0" w:color="auto"/>
        <w:right w:val="none" w:sz="0" w:space="0" w:color="auto"/>
      </w:divBdr>
    </w:div>
    <w:div w:id="218248040">
      <w:bodyDiv w:val="1"/>
      <w:marLeft w:val="0"/>
      <w:marRight w:val="0"/>
      <w:marTop w:val="0"/>
      <w:marBottom w:val="0"/>
      <w:divBdr>
        <w:top w:val="none" w:sz="0" w:space="0" w:color="auto"/>
        <w:left w:val="none" w:sz="0" w:space="0" w:color="auto"/>
        <w:bottom w:val="none" w:sz="0" w:space="0" w:color="auto"/>
        <w:right w:val="none" w:sz="0" w:space="0" w:color="auto"/>
      </w:divBdr>
    </w:div>
    <w:div w:id="296185246">
      <w:bodyDiv w:val="1"/>
      <w:marLeft w:val="0"/>
      <w:marRight w:val="0"/>
      <w:marTop w:val="0"/>
      <w:marBottom w:val="0"/>
      <w:divBdr>
        <w:top w:val="none" w:sz="0" w:space="0" w:color="auto"/>
        <w:left w:val="none" w:sz="0" w:space="0" w:color="auto"/>
        <w:bottom w:val="none" w:sz="0" w:space="0" w:color="auto"/>
        <w:right w:val="none" w:sz="0" w:space="0" w:color="auto"/>
      </w:divBdr>
    </w:div>
    <w:div w:id="301350701">
      <w:bodyDiv w:val="1"/>
      <w:marLeft w:val="0"/>
      <w:marRight w:val="0"/>
      <w:marTop w:val="0"/>
      <w:marBottom w:val="0"/>
      <w:divBdr>
        <w:top w:val="none" w:sz="0" w:space="0" w:color="auto"/>
        <w:left w:val="none" w:sz="0" w:space="0" w:color="auto"/>
        <w:bottom w:val="none" w:sz="0" w:space="0" w:color="auto"/>
        <w:right w:val="none" w:sz="0" w:space="0" w:color="auto"/>
      </w:divBdr>
    </w:div>
    <w:div w:id="312150108">
      <w:bodyDiv w:val="1"/>
      <w:marLeft w:val="0"/>
      <w:marRight w:val="0"/>
      <w:marTop w:val="0"/>
      <w:marBottom w:val="0"/>
      <w:divBdr>
        <w:top w:val="none" w:sz="0" w:space="0" w:color="auto"/>
        <w:left w:val="none" w:sz="0" w:space="0" w:color="auto"/>
        <w:bottom w:val="none" w:sz="0" w:space="0" w:color="auto"/>
        <w:right w:val="none" w:sz="0" w:space="0" w:color="auto"/>
      </w:divBdr>
    </w:div>
    <w:div w:id="315842281">
      <w:bodyDiv w:val="1"/>
      <w:marLeft w:val="0"/>
      <w:marRight w:val="0"/>
      <w:marTop w:val="0"/>
      <w:marBottom w:val="0"/>
      <w:divBdr>
        <w:top w:val="none" w:sz="0" w:space="0" w:color="auto"/>
        <w:left w:val="none" w:sz="0" w:space="0" w:color="auto"/>
        <w:bottom w:val="none" w:sz="0" w:space="0" w:color="auto"/>
        <w:right w:val="none" w:sz="0" w:space="0" w:color="auto"/>
      </w:divBdr>
    </w:div>
    <w:div w:id="348214840">
      <w:bodyDiv w:val="1"/>
      <w:marLeft w:val="0"/>
      <w:marRight w:val="0"/>
      <w:marTop w:val="0"/>
      <w:marBottom w:val="0"/>
      <w:divBdr>
        <w:top w:val="none" w:sz="0" w:space="0" w:color="auto"/>
        <w:left w:val="none" w:sz="0" w:space="0" w:color="auto"/>
        <w:bottom w:val="none" w:sz="0" w:space="0" w:color="auto"/>
        <w:right w:val="none" w:sz="0" w:space="0" w:color="auto"/>
      </w:divBdr>
    </w:div>
    <w:div w:id="400907082">
      <w:bodyDiv w:val="1"/>
      <w:marLeft w:val="0"/>
      <w:marRight w:val="0"/>
      <w:marTop w:val="0"/>
      <w:marBottom w:val="0"/>
      <w:divBdr>
        <w:top w:val="none" w:sz="0" w:space="0" w:color="auto"/>
        <w:left w:val="none" w:sz="0" w:space="0" w:color="auto"/>
        <w:bottom w:val="none" w:sz="0" w:space="0" w:color="auto"/>
        <w:right w:val="none" w:sz="0" w:space="0" w:color="auto"/>
      </w:divBdr>
    </w:div>
    <w:div w:id="413280064">
      <w:bodyDiv w:val="1"/>
      <w:marLeft w:val="0"/>
      <w:marRight w:val="0"/>
      <w:marTop w:val="0"/>
      <w:marBottom w:val="0"/>
      <w:divBdr>
        <w:top w:val="none" w:sz="0" w:space="0" w:color="auto"/>
        <w:left w:val="none" w:sz="0" w:space="0" w:color="auto"/>
        <w:bottom w:val="none" w:sz="0" w:space="0" w:color="auto"/>
        <w:right w:val="none" w:sz="0" w:space="0" w:color="auto"/>
      </w:divBdr>
    </w:div>
    <w:div w:id="451097644">
      <w:bodyDiv w:val="1"/>
      <w:marLeft w:val="0"/>
      <w:marRight w:val="0"/>
      <w:marTop w:val="0"/>
      <w:marBottom w:val="0"/>
      <w:divBdr>
        <w:top w:val="none" w:sz="0" w:space="0" w:color="auto"/>
        <w:left w:val="none" w:sz="0" w:space="0" w:color="auto"/>
        <w:bottom w:val="none" w:sz="0" w:space="0" w:color="auto"/>
        <w:right w:val="none" w:sz="0" w:space="0" w:color="auto"/>
      </w:divBdr>
    </w:div>
    <w:div w:id="465901498">
      <w:bodyDiv w:val="1"/>
      <w:marLeft w:val="0"/>
      <w:marRight w:val="0"/>
      <w:marTop w:val="0"/>
      <w:marBottom w:val="0"/>
      <w:divBdr>
        <w:top w:val="none" w:sz="0" w:space="0" w:color="auto"/>
        <w:left w:val="none" w:sz="0" w:space="0" w:color="auto"/>
        <w:bottom w:val="none" w:sz="0" w:space="0" w:color="auto"/>
        <w:right w:val="none" w:sz="0" w:space="0" w:color="auto"/>
      </w:divBdr>
    </w:div>
    <w:div w:id="501744612">
      <w:bodyDiv w:val="1"/>
      <w:marLeft w:val="0"/>
      <w:marRight w:val="0"/>
      <w:marTop w:val="0"/>
      <w:marBottom w:val="0"/>
      <w:divBdr>
        <w:top w:val="none" w:sz="0" w:space="0" w:color="auto"/>
        <w:left w:val="none" w:sz="0" w:space="0" w:color="auto"/>
        <w:bottom w:val="none" w:sz="0" w:space="0" w:color="auto"/>
        <w:right w:val="none" w:sz="0" w:space="0" w:color="auto"/>
      </w:divBdr>
    </w:div>
    <w:div w:id="502167614">
      <w:bodyDiv w:val="1"/>
      <w:marLeft w:val="0"/>
      <w:marRight w:val="0"/>
      <w:marTop w:val="0"/>
      <w:marBottom w:val="0"/>
      <w:divBdr>
        <w:top w:val="none" w:sz="0" w:space="0" w:color="auto"/>
        <w:left w:val="none" w:sz="0" w:space="0" w:color="auto"/>
        <w:bottom w:val="none" w:sz="0" w:space="0" w:color="auto"/>
        <w:right w:val="none" w:sz="0" w:space="0" w:color="auto"/>
      </w:divBdr>
    </w:div>
    <w:div w:id="518467427">
      <w:bodyDiv w:val="1"/>
      <w:marLeft w:val="0"/>
      <w:marRight w:val="0"/>
      <w:marTop w:val="0"/>
      <w:marBottom w:val="0"/>
      <w:divBdr>
        <w:top w:val="none" w:sz="0" w:space="0" w:color="auto"/>
        <w:left w:val="none" w:sz="0" w:space="0" w:color="auto"/>
        <w:bottom w:val="none" w:sz="0" w:space="0" w:color="auto"/>
        <w:right w:val="none" w:sz="0" w:space="0" w:color="auto"/>
      </w:divBdr>
    </w:div>
    <w:div w:id="519852341">
      <w:bodyDiv w:val="1"/>
      <w:marLeft w:val="0"/>
      <w:marRight w:val="0"/>
      <w:marTop w:val="0"/>
      <w:marBottom w:val="0"/>
      <w:divBdr>
        <w:top w:val="none" w:sz="0" w:space="0" w:color="auto"/>
        <w:left w:val="none" w:sz="0" w:space="0" w:color="auto"/>
        <w:bottom w:val="none" w:sz="0" w:space="0" w:color="auto"/>
        <w:right w:val="none" w:sz="0" w:space="0" w:color="auto"/>
      </w:divBdr>
    </w:div>
    <w:div w:id="525025373">
      <w:bodyDiv w:val="1"/>
      <w:marLeft w:val="0"/>
      <w:marRight w:val="0"/>
      <w:marTop w:val="0"/>
      <w:marBottom w:val="0"/>
      <w:divBdr>
        <w:top w:val="none" w:sz="0" w:space="0" w:color="auto"/>
        <w:left w:val="none" w:sz="0" w:space="0" w:color="auto"/>
        <w:bottom w:val="none" w:sz="0" w:space="0" w:color="auto"/>
        <w:right w:val="none" w:sz="0" w:space="0" w:color="auto"/>
      </w:divBdr>
    </w:div>
    <w:div w:id="547029146">
      <w:bodyDiv w:val="1"/>
      <w:marLeft w:val="0"/>
      <w:marRight w:val="0"/>
      <w:marTop w:val="0"/>
      <w:marBottom w:val="0"/>
      <w:divBdr>
        <w:top w:val="none" w:sz="0" w:space="0" w:color="auto"/>
        <w:left w:val="none" w:sz="0" w:space="0" w:color="auto"/>
        <w:bottom w:val="none" w:sz="0" w:space="0" w:color="auto"/>
        <w:right w:val="none" w:sz="0" w:space="0" w:color="auto"/>
      </w:divBdr>
    </w:div>
    <w:div w:id="564296374">
      <w:bodyDiv w:val="1"/>
      <w:marLeft w:val="0"/>
      <w:marRight w:val="0"/>
      <w:marTop w:val="0"/>
      <w:marBottom w:val="0"/>
      <w:divBdr>
        <w:top w:val="none" w:sz="0" w:space="0" w:color="auto"/>
        <w:left w:val="none" w:sz="0" w:space="0" w:color="auto"/>
        <w:bottom w:val="none" w:sz="0" w:space="0" w:color="auto"/>
        <w:right w:val="none" w:sz="0" w:space="0" w:color="auto"/>
      </w:divBdr>
    </w:div>
    <w:div w:id="590744205">
      <w:bodyDiv w:val="1"/>
      <w:marLeft w:val="0"/>
      <w:marRight w:val="0"/>
      <w:marTop w:val="0"/>
      <w:marBottom w:val="0"/>
      <w:divBdr>
        <w:top w:val="none" w:sz="0" w:space="0" w:color="auto"/>
        <w:left w:val="none" w:sz="0" w:space="0" w:color="auto"/>
        <w:bottom w:val="none" w:sz="0" w:space="0" w:color="auto"/>
        <w:right w:val="none" w:sz="0" w:space="0" w:color="auto"/>
      </w:divBdr>
    </w:div>
    <w:div w:id="592055453">
      <w:bodyDiv w:val="1"/>
      <w:marLeft w:val="0"/>
      <w:marRight w:val="0"/>
      <w:marTop w:val="0"/>
      <w:marBottom w:val="0"/>
      <w:divBdr>
        <w:top w:val="none" w:sz="0" w:space="0" w:color="auto"/>
        <w:left w:val="none" w:sz="0" w:space="0" w:color="auto"/>
        <w:bottom w:val="none" w:sz="0" w:space="0" w:color="auto"/>
        <w:right w:val="none" w:sz="0" w:space="0" w:color="auto"/>
      </w:divBdr>
    </w:div>
    <w:div w:id="602616435">
      <w:bodyDiv w:val="1"/>
      <w:marLeft w:val="0"/>
      <w:marRight w:val="0"/>
      <w:marTop w:val="0"/>
      <w:marBottom w:val="0"/>
      <w:divBdr>
        <w:top w:val="none" w:sz="0" w:space="0" w:color="auto"/>
        <w:left w:val="none" w:sz="0" w:space="0" w:color="auto"/>
        <w:bottom w:val="none" w:sz="0" w:space="0" w:color="auto"/>
        <w:right w:val="none" w:sz="0" w:space="0" w:color="auto"/>
      </w:divBdr>
    </w:div>
    <w:div w:id="604533956">
      <w:bodyDiv w:val="1"/>
      <w:marLeft w:val="0"/>
      <w:marRight w:val="0"/>
      <w:marTop w:val="0"/>
      <w:marBottom w:val="0"/>
      <w:divBdr>
        <w:top w:val="none" w:sz="0" w:space="0" w:color="auto"/>
        <w:left w:val="none" w:sz="0" w:space="0" w:color="auto"/>
        <w:bottom w:val="none" w:sz="0" w:space="0" w:color="auto"/>
        <w:right w:val="none" w:sz="0" w:space="0" w:color="auto"/>
      </w:divBdr>
    </w:div>
    <w:div w:id="623998069">
      <w:bodyDiv w:val="1"/>
      <w:marLeft w:val="0"/>
      <w:marRight w:val="0"/>
      <w:marTop w:val="0"/>
      <w:marBottom w:val="0"/>
      <w:divBdr>
        <w:top w:val="none" w:sz="0" w:space="0" w:color="auto"/>
        <w:left w:val="none" w:sz="0" w:space="0" w:color="auto"/>
        <w:bottom w:val="none" w:sz="0" w:space="0" w:color="auto"/>
        <w:right w:val="none" w:sz="0" w:space="0" w:color="auto"/>
      </w:divBdr>
    </w:div>
    <w:div w:id="628248017">
      <w:bodyDiv w:val="1"/>
      <w:marLeft w:val="0"/>
      <w:marRight w:val="0"/>
      <w:marTop w:val="0"/>
      <w:marBottom w:val="0"/>
      <w:divBdr>
        <w:top w:val="none" w:sz="0" w:space="0" w:color="auto"/>
        <w:left w:val="none" w:sz="0" w:space="0" w:color="auto"/>
        <w:bottom w:val="none" w:sz="0" w:space="0" w:color="auto"/>
        <w:right w:val="none" w:sz="0" w:space="0" w:color="auto"/>
      </w:divBdr>
    </w:div>
    <w:div w:id="645166779">
      <w:bodyDiv w:val="1"/>
      <w:marLeft w:val="0"/>
      <w:marRight w:val="0"/>
      <w:marTop w:val="0"/>
      <w:marBottom w:val="0"/>
      <w:divBdr>
        <w:top w:val="none" w:sz="0" w:space="0" w:color="auto"/>
        <w:left w:val="none" w:sz="0" w:space="0" w:color="auto"/>
        <w:bottom w:val="none" w:sz="0" w:space="0" w:color="auto"/>
        <w:right w:val="none" w:sz="0" w:space="0" w:color="auto"/>
      </w:divBdr>
    </w:div>
    <w:div w:id="675425403">
      <w:bodyDiv w:val="1"/>
      <w:marLeft w:val="0"/>
      <w:marRight w:val="0"/>
      <w:marTop w:val="0"/>
      <w:marBottom w:val="0"/>
      <w:divBdr>
        <w:top w:val="none" w:sz="0" w:space="0" w:color="auto"/>
        <w:left w:val="none" w:sz="0" w:space="0" w:color="auto"/>
        <w:bottom w:val="none" w:sz="0" w:space="0" w:color="auto"/>
        <w:right w:val="none" w:sz="0" w:space="0" w:color="auto"/>
      </w:divBdr>
    </w:div>
    <w:div w:id="703868590">
      <w:bodyDiv w:val="1"/>
      <w:marLeft w:val="0"/>
      <w:marRight w:val="0"/>
      <w:marTop w:val="0"/>
      <w:marBottom w:val="0"/>
      <w:divBdr>
        <w:top w:val="none" w:sz="0" w:space="0" w:color="auto"/>
        <w:left w:val="none" w:sz="0" w:space="0" w:color="auto"/>
        <w:bottom w:val="none" w:sz="0" w:space="0" w:color="auto"/>
        <w:right w:val="none" w:sz="0" w:space="0" w:color="auto"/>
      </w:divBdr>
    </w:div>
    <w:div w:id="770779275">
      <w:bodyDiv w:val="1"/>
      <w:marLeft w:val="0"/>
      <w:marRight w:val="0"/>
      <w:marTop w:val="0"/>
      <w:marBottom w:val="0"/>
      <w:divBdr>
        <w:top w:val="none" w:sz="0" w:space="0" w:color="auto"/>
        <w:left w:val="none" w:sz="0" w:space="0" w:color="auto"/>
        <w:bottom w:val="none" w:sz="0" w:space="0" w:color="auto"/>
        <w:right w:val="none" w:sz="0" w:space="0" w:color="auto"/>
      </w:divBdr>
    </w:div>
    <w:div w:id="839466319">
      <w:bodyDiv w:val="1"/>
      <w:marLeft w:val="0"/>
      <w:marRight w:val="0"/>
      <w:marTop w:val="0"/>
      <w:marBottom w:val="0"/>
      <w:divBdr>
        <w:top w:val="none" w:sz="0" w:space="0" w:color="auto"/>
        <w:left w:val="none" w:sz="0" w:space="0" w:color="auto"/>
        <w:bottom w:val="none" w:sz="0" w:space="0" w:color="auto"/>
        <w:right w:val="none" w:sz="0" w:space="0" w:color="auto"/>
      </w:divBdr>
    </w:div>
    <w:div w:id="872957743">
      <w:bodyDiv w:val="1"/>
      <w:marLeft w:val="0"/>
      <w:marRight w:val="0"/>
      <w:marTop w:val="0"/>
      <w:marBottom w:val="0"/>
      <w:divBdr>
        <w:top w:val="none" w:sz="0" w:space="0" w:color="auto"/>
        <w:left w:val="none" w:sz="0" w:space="0" w:color="auto"/>
        <w:bottom w:val="none" w:sz="0" w:space="0" w:color="auto"/>
        <w:right w:val="none" w:sz="0" w:space="0" w:color="auto"/>
      </w:divBdr>
    </w:div>
    <w:div w:id="901331044">
      <w:bodyDiv w:val="1"/>
      <w:marLeft w:val="0"/>
      <w:marRight w:val="0"/>
      <w:marTop w:val="0"/>
      <w:marBottom w:val="0"/>
      <w:divBdr>
        <w:top w:val="none" w:sz="0" w:space="0" w:color="auto"/>
        <w:left w:val="none" w:sz="0" w:space="0" w:color="auto"/>
        <w:bottom w:val="none" w:sz="0" w:space="0" w:color="auto"/>
        <w:right w:val="none" w:sz="0" w:space="0" w:color="auto"/>
      </w:divBdr>
    </w:div>
    <w:div w:id="910890632">
      <w:bodyDiv w:val="1"/>
      <w:marLeft w:val="0"/>
      <w:marRight w:val="0"/>
      <w:marTop w:val="0"/>
      <w:marBottom w:val="0"/>
      <w:divBdr>
        <w:top w:val="none" w:sz="0" w:space="0" w:color="auto"/>
        <w:left w:val="none" w:sz="0" w:space="0" w:color="auto"/>
        <w:bottom w:val="none" w:sz="0" w:space="0" w:color="auto"/>
        <w:right w:val="none" w:sz="0" w:space="0" w:color="auto"/>
      </w:divBdr>
    </w:div>
    <w:div w:id="924844282">
      <w:bodyDiv w:val="1"/>
      <w:marLeft w:val="0"/>
      <w:marRight w:val="0"/>
      <w:marTop w:val="0"/>
      <w:marBottom w:val="0"/>
      <w:divBdr>
        <w:top w:val="none" w:sz="0" w:space="0" w:color="auto"/>
        <w:left w:val="none" w:sz="0" w:space="0" w:color="auto"/>
        <w:bottom w:val="none" w:sz="0" w:space="0" w:color="auto"/>
        <w:right w:val="none" w:sz="0" w:space="0" w:color="auto"/>
      </w:divBdr>
    </w:div>
    <w:div w:id="925844087">
      <w:bodyDiv w:val="1"/>
      <w:marLeft w:val="0"/>
      <w:marRight w:val="0"/>
      <w:marTop w:val="0"/>
      <w:marBottom w:val="0"/>
      <w:divBdr>
        <w:top w:val="none" w:sz="0" w:space="0" w:color="auto"/>
        <w:left w:val="none" w:sz="0" w:space="0" w:color="auto"/>
        <w:bottom w:val="none" w:sz="0" w:space="0" w:color="auto"/>
        <w:right w:val="none" w:sz="0" w:space="0" w:color="auto"/>
      </w:divBdr>
    </w:div>
    <w:div w:id="967472955">
      <w:bodyDiv w:val="1"/>
      <w:marLeft w:val="0"/>
      <w:marRight w:val="0"/>
      <w:marTop w:val="0"/>
      <w:marBottom w:val="0"/>
      <w:divBdr>
        <w:top w:val="none" w:sz="0" w:space="0" w:color="auto"/>
        <w:left w:val="none" w:sz="0" w:space="0" w:color="auto"/>
        <w:bottom w:val="none" w:sz="0" w:space="0" w:color="auto"/>
        <w:right w:val="none" w:sz="0" w:space="0" w:color="auto"/>
      </w:divBdr>
    </w:div>
    <w:div w:id="979699196">
      <w:bodyDiv w:val="1"/>
      <w:marLeft w:val="0"/>
      <w:marRight w:val="0"/>
      <w:marTop w:val="0"/>
      <w:marBottom w:val="0"/>
      <w:divBdr>
        <w:top w:val="none" w:sz="0" w:space="0" w:color="auto"/>
        <w:left w:val="none" w:sz="0" w:space="0" w:color="auto"/>
        <w:bottom w:val="none" w:sz="0" w:space="0" w:color="auto"/>
        <w:right w:val="none" w:sz="0" w:space="0" w:color="auto"/>
      </w:divBdr>
    </w:div>
    <w:div w:id="996611885">
      <w:bodyDiv w:val="1"/>
      <w:marLeft w:val="0"/>
      <w:marRight w:val="0"/>
      <w:marTop w:val="0"/>
      <w:marBottom w:val="0"/>
      <w:divBdr>
        <w:top w:val="none" w:sz="0" w:space="0" w:color="auto"/>
        <w:left w:val="none" w:sz="0" w:space="0" w:color="auto"/>
        <w:bottom w:val="none" w:sz="0" w:space="0" w:color="auto"/>
        <w:right w:val="none" w:sz="0" w:space="0" w:color="auto"/>
      </w:divBdr>
    </w:div>
    <w:div w:id="1043670312">
      <w:bodyDiv w:val="1"/>
      <w:marLeft w:val="0"/>
      <w:marRight w:val="0"/>
      <w:marTop w:val="0"/>
      <w:marBottom w:val="0"/>
      <w:divBdr>
        <w:top w:val="none" w:sz="0" w:space="0" w:color="auto"/>
        <w:left w:val="none" w:sz="0" w:space="0" w:color="auto"/>
        <w:bottom w:val="none" w:sz="0" w:space="0" w:color="auto"/>
        <w:right w:val="none" w:sz="0" w:space="0" w:color="auto"/>
      </w:divBdr>
    </w:div>
    <w:div w:id="1073116865">
      <w:bodyDiv w:val="1"/>
      <w:marLeft w:val="0"/>
      <w:marRight w:val="0"/>
      <w:marTop w:val="0"/>
      <w:marBottom w:val="0"/>
      <w:divBdr>
        <w:top w:val="none" w:sz="0" w:space="0" w:color="auto"/>
        <w:left w:val="none" w:sz="0" w:space="0" w:color="auto"/>
        <w:bottom w:val="none" w:sz="0" w:space="0" w:color="auto"/>
        <w:right w:val="none" w:sz="0" w:space="0" w:color="auto"/>
      </w:divBdr>
    </w:div>
    <w:div w:id="1074857386">
      <w:bodyDiv w:val="1"/>
      <w:marLeft w:val="0"/>
      <w:marRight w:val="0"/>
      <w:marTop w:val="0"/>
      <w:marBottom w:val="0"/>
      <w:divBdr>
        <w:top w:val="none" w:sz="0" w:space="0" w:color="auto"/>
        <w:left w:val="none" w:sz="0" w:space="0" w:color="auto"/>
        <w:bottom w:val="none" w:sz="0" w:space="0" w:color="auto"/>
        <w:right w:val="none" w:sz="0" w:space="0" w:color="auto"/>
      </w:divBdr>
    </w:div>
    <w:div w:id="1084961678">
      <w:bodyDiv w:val="1"/>
      <w:marLeft w:val="0"/>
      <w:marRight w:val="0"/>
      <w:marTop w:val="0"/>
      <w:marBottom w:val="0"/>
      <w:divBdr>
        <w:top w:val="none" w:sz="0" w:space="0" w:color="auto"/>
        <w:left w:val="none" w:sz="0" w:space="0" w:color="auto"/>
        <w:bottom w:val="none" w:sz="0" w:space="0" w:color="auto"/>
        <w:right w:val="none" w:sz="0" w:space="0" w:color="auto"/>
      </w:divBdr>
    </w:div>
    <w:div w:id="1128469225">
      <w:bodyDiv w:val="1"/>
      <w:marLeft w:val="0"/>
      <w:marRight w:val="0"/>
      <w:marTop w:val="0"/>
      <w:marBottom w:val="0"/>
      <w:divBdr>
        <w:top w:val="none" w:sz="0" w:space="0" w:color="auto"/>
        <w:left w:val="none" w:sz="0" w:space="0" w:color="auto"/>
        <w:bottom w:val="none" w:sz="0" w:space="0" w:color="auto"/>
        <w:right w:val="none" w:sz="0" w:space="0" w:color="auto"/>
      </w:divBdr>
    </w:div>
    <w:div w:id="1186210223">
      <w:bodyDiv w:val="1"/>
      <w:marLeft w:val="0"/>
      <w:marRight w:val="0"/>
      <w:marTop w:val="0"/>
      <w:marBottom w:val="0"/>
      <w:divBdr>
        <w:top w:val="none" w:sz="0" w:space="0" w:color="auto"/>
        <w:left w:val="none" w:sz="0" w:space="0" w:color="auto"/>
        <w:bottom w:val="none" w:sz="0" w:space="0" w:color="auto"/>
        <w:right w:val="none" w:sz="0" w:space="0" w:color="auto"/>
      </w:divBdr>
    </w:div>
    <w:div w:id="1237788872">
      <w:bodyDiv w:val="1"/>
      <w:marLeft w:val="0"/>
      <w:marRight w:val="0"/>
      <w:marTop w:val="0"/>
      <w:marBottom w:val="0"/>
      <w:divBdr>
        <w:top w:val="none" w:sz="0" w:space="0" w:color="auto"/>
        <w:left w:val="none" w:sz="0" w:space="0" w:color="auto"/>
        <w:bottom w:val="none" w:sz="0" w:space="0" w:color="auto"/>
        <w:right w:val="none" w:sz="0" w:space="0" w:color="auto"/>
      </w:divBdr>
    </w:div>
    <w:div w:id="1317567354">
      <w:bodyDiv w:val="1"/>
      <w:marLeft w:val="0"/>
      <w:marRight w:val="0"/>
      <w:marTop w:val="0"/>
      <w:marBottom w:val="0"/>
      <w:divBdr>
        <w:top w:val="none" w:sz="0" w:space="0" w:color="auto"/>
        <w:left w:val="none" w:sz="0" w:space="0" w:color="auto"/>
        <w:bottom w:val="none" w:sz="0" w:space="0" w:color="auto"/>
        <w:right w:val="none" w:sz="0" w:space="0" w:color="auto"/>
      </w:divBdr>
    </w:div>
    <w:div w:id="1321159509">
      <w:bodyDiv w:val="1"/>
      <w:marLeft w:val="0"/>
      <w:marRight w:val="0"/>
      <w:marTop w:val="0"/>
      <w:marBottom w:val="0"/>
      <w:divBdr>
        <w:top w:val="none" w:sz="0" w:space="0" w:color="auto"/>
        <w:left w:val="none" w:sz="0" w:space="0" w:color="auto"/>
        <w:bottom w:val="none" w:sz="0" w:space="0" w:color="auto"/>
        <w:right w:val="none" w:sz="0" w:space="0" w:color="auto"/>
      </w:divBdr>
    </w:div>
    <w:div w:id="1348871164">
      <w:bodyDiv w:val="1"/>
      <w:marLeft w:val="0"/>
      <w:marRight w:val="0"/>
      <w:marTop w:val="0"/>
      <w:marBottom w:val="0"/>
      <w:divBdr>
        <w:top w:val="none" w:sz="0" w:space="0" w:color="auto"/>
        <w:left w:val="none" w:sz="0" w:space="0" w:color="auto"/>
        <w:bottom w:val="none" w:sz="0" w:space="0" w:color="auto"/>
        <w:right w:val="none" w:sz="0" w:space="0" w:color="auto"/>
      </w:divBdr>
    </w:div>
    <w:div w:id="1467233842">
      <w:bodyDiv w:val="1"/>
      <w:marLeft w:val="0"/>
      <w:marRight w:val="0"/>
      <w:marTop w:val="0"/>
      <w:marBottom w:val="0"/>
      <w:divBdr>
        <w:top w:val="none" w:sz="0" w:space="0" w:color="auto"/>
        <w:left w:val="none" w:sz="0" w:space="0" w:color="auto"/>
        <w:bottom w:val="none" w:sz="0" w:space="0" w:color="auto"/>
        <w:right w:val="none" w:sz="0" w:space="0" w:color="auto"/>
      </w:divBdr>
    </w:div>
    <w:div w:id="1492989092">
      <w:bodyDiv w:val="1"/>
      <w:marLeft w:val="0"/>
      <w:marRight w:val="0"/>
      <w:marTop w:val="0"/>
      <w:marBottom w:val="0"/>
      <w:divBdr>
        <w:top w:val="none" w:sz="0" w:space="0" w:color="auto"/>
        <w:left w:val="none" w:sz="0" w:space="0" w:color="auto"/>
        <w:bottom w:val="none" w:sz="0" w:space="0" w:color="auto"/>
        <w:right w:val="none" w:sz="0" w:space="0" w:color="auto"/>
      </w:divBdr>
    </w:div>
    <w:div w:id="1508208943">
      <w:bodyDiv w:val="1"/>
      <w:marLeft w:val="0"/>
      <w:marRight w:val="0"/>
      <w:marTop w:val="0"/>
      <w:marBottom w:val="0"/>
      <w:divBdr>
        <w:top w:val="none" w:sz="0" w:space="0" w:color="auto"/>
        <w:left w:val="none" w:sz="0" w:space="0" w:color="auto"/>
        <w:bottom w:val="none" w:sz="0" w:space="0" w:color="auto"/>
        <w:right w:val="none" w:sz="0" w:space="0" w:color="auto"/>
      </w:divBdr>
    </w:div>
    <w:div w:id="1538929306">
      <w:bodyDiv w:val="1"/>
      <w:marLeft w:val="0"/>
      <w:marRight w:val="0"/>
      <w:marTop w:val="0"/>
      <w:marBottom w:val="0"/>
      <w:divBdr>
        <w:top w:val="none" w:sz="0" w:space="0" w:color="auto"/>
        <w:left w:val="none" w:sz="0" w:space="0" w:color="auto"/>
        <w:bottom w:val="none" w:sz="0" w:space="0" w:color="auto"/>
        <w:right w:val="none" w:sz="0" w:space="0" w:color="auto"/>
      </w:divBdr>
    </w:div>
    <w:div w:id="1623263751">
      <w:bodyDiv w:val="1"/>
      <w:marLeft w:val="0"/>
      <w:marRight w:val="0"/>
      <w:marTop w:val="0"/>
      <w:marBottom w:val="0"/>
      <w:divBdr>
        <w:top w:val="none" w:sz="0" w:space="0" w:color="auto"/>
        <w:left w:val="none" w:sz="0" w:space="0" w:color="auto"/>
        <w:bottom w:val="none" w:sz="0" w:space="0" w:color="auto"/>
        <w:right w:val="none" w:sz="0" w:space="0" w:color="auto"/>
      </w:divBdr>
    </w:div>
    <w:div w:id="1630938499">
      <w:bodyDiv w:val="1"/>
      <w:marLeft w:val="0"/>
      <w:marRight w:val="0"/>
      <w:marTop w:val="0"/>
      <w:marBottom w:val="0"/>
      <w:divBdr>
        <w:top w:val="none" w:sz="0" w:space="0" w:color="auto"/>
        <w:left w:val="none" w:sz="0" w:space="0" w:color="auto"/>
        <w:bottom w:val="none" w:sz="0" w:space="0" w:color="auto"/>
        <w:right w:val="none" w:sz="0" w:space="0" w:color="auto"/>
      </w:divBdr>
    </w:div>
    <w:div w:id="1661537667">
      <w:bodyDiv w:val="1"/>
      <w:marLeft w:val="0"/>
      <w:marRight w:val="0"/>
      <w:marTop w:val="0"/>
      <w:marBottom w:val="0"/>
      <w:divBdr>
        <w:top w:val="none" w:sz="0" w:space="0" w:color="auto"/>
        <w:left w:val="none" w:sz="0" w:space="0" w:color="auto"/>
        <w:bottom w:val="none" w:sz="0" w:space="0" w:color="auto"/>
        <w:right w:val="none" w:sz="0" w:space="0" w:color="auto"/>
      </w:divBdr>
    </w:div>
    <w:div w:id="1676376807">
      <w:bodyDiv w:val="1"/>
      <w:marLeft w:val="0"/>
      <w:marRight w:val="0"/>
      <w:marTop w:val="0"/>
      <w:marBottom w:val="0"/>
      <w:divBdr>
        <w:top w:val="none" w:sz="0" w:space="0" w:color="auto"/>
        <w:left w:val="none" w:sz="0" w:space="0" w:color="auto"/>
        <w:bottom w:val="none" w:sz="0" w:space="0" w:color="auto"/>
        <w:right w:val="none" w:sz="0" w:space="0" w:color="auto"/>
      </w:divBdr>
    </w:div>
    <w:div w:id="1691680948">
      <w:bodyDiv w:val="1"/>
      <w:marLeft w:val="0"/>
      <w:marRight w:val="0"/>
      <w:marTop w:val="0"/>
      <w:marBottom w:val="0"/>
      <w:divBdr>
        <w:top w:val="none" w:sz="0" w:space="0" w:color="auto"/>
        <w:left w:val="none" w:sz="0" w:space="0" w:color="auto"/>
        <w:bottom w:val="none" w:sz="0" w:space="0" w:color="auto"/>
        <w:right w:val="none" w:sz="0" w:space="0" w:color="auto"/>
      </w:divBdr>
    </w:div>
    <w:div w:id="1712537019">
      <w:bodyDiv w:val="1"/>
      <w:marLeft w:val="0"/>
      <w:marRight w:val="0"/>
      <w:marTop w:val="0"/>
      <w:marBottom w:val="0"/>
      <w:divBdr>
        <w:top w:val="none" w:sz="0" w:space="0" w:color="auto"/>
        <w:left w:val="none" w:sz="0" w:space="0" w:color="auto"/>
        <w:bottom w:val="none" w:sz="0" w:space="0" w:color="auto"/>
        <w:right w:val="none" w:sz="0" w:space="0" w:color="auto"/>
      </w:divBdr>
    </w:div>
    <w:div w:id="1759475437">
      <w:bodyDiv w:val="1"/>
      <w:marLeft w:val="0"/>
      <w:marRight w:val="0"/>
      <w:marTop w:val="0"/>
      <w:marBottom w:val="0"/>
      <w:divBdr>
        <w:top w:val="none" w:sz="0" w:space="0" w:color="auto"/>
        <w:left w:val="none" w:sz="0" w:space="0" w:color="auto"/>
        <w:bottom w:val="none" w:sz="0" w:space="0" w:color="auto"/>
        <w:right w:val="none" w:sz="0" w:space="0" w:color="auto"/>
      </w:divBdr>
    </w:div>
    <w:div w:id="1786462216">
      <w:bodyDiv w:val="1"/>
      <w:marLeft w:val="0"/>
      <w:marRight w:val="0"/>
      <w:marTop w:val="0"/>
      <w:marBottom w:val="0"/>
      <w:divBdr>
        <w:top w:val="none" w:sz="0" w:space="0" w:color="auto"/>
        <w:left w:val="none" w:sz="0" w:space="0" w:color="auto"/>
        <w:bottom w:val="none" w:sz="0" w:space="0" w:color="auto"/>
        <w:right w:val="none" w:sz="0" w:space="0" w:color="auto"/>
      </w:divBdr>
    </w:div>
    <w:div w:id="1799293876">
      <w:bodyDiv w:val="1"/>
      <w:marLeft w:val="0"/>
      <w:marRight w:val="0"/>
      <w:marTop w:val="0"/>
      <w:marBottom w:val="0"/>
      <w:divBdr>
        <w:top w:val="none" w:sz="0" w:space="0" w:color="auto"/>
        <w:left w:val="none" w:sz="0" w:space="0" w:color="auto"/>
        <w:bottom w:val="none" w:sz="0" w:space="0" w:color="auto"/>
        <w:right w:val="none" w:sz="0" w:space="0" w:color="auto"/>
      </w:divBdr>
    </w:div>
    <w:div w:id="1799640196">
      <w:bodyDiv w:val="1"/>
      <w:marLeft w:val="0"/>
      <w:marRight w:val="0"/>
      <w:marTop w:val="0"/>
      <w:marBottom w:val="0"/>
      <w:divBdr>
        <w:top w:val="none" w:sz="0" w:space="0" w:color="auto"/>
        <w:left w:val="none" w:sz="0" w:space="0" w:color="auto"/>
        <w:bottom w:val="none" w:sz="0" w:space="0" w:color="auto"/>
        <w:right w:val="none" w:sz="0" w:space="0" w:color="auto"/>
      </w:divBdr>
    </w:div>
    <w:div w:id="1834762528">
      <w:bodyDiv w:val="1"/>
      <w:marLeft w:val="0"/>
      <w:marRight w:val="0"/>
      <w:marTop w:val="0"/>
      <w:marBottom w:val="0"/>
      <w:divBdr>
        <w:top w:val="none" w:sz="0" w:space="0" w:color="auto"/>
        <w:left w:val="none" w:sz="0" w:space="0" w:color="auto"/>
        <w:bottom w:val="none" w:sz="0" w:space="0" w:color="auto"/>
        <w:right w:val="none" w:sz="0" w:space="0" w:color="auto"/>
      </w:divBdr>
    </w:div>
    <w:div w:id="1857693620">
      <w:bodyDiv w:val="1"/>
      <w:marLeft w:val="0"/>
      <w:marRight w:val="0"/>
      <w:marTop w:val="0"/>
      <w:marBottom w:val="0"/>
      <w:divBdr>
        <w:top w:val="none" w:sz="0" w:space="0" w:color="auto"/>
        <w:left w:val="none" w:sz="0" w:space="0" w:color="auto"/>
        <w:bottom w:val="none" w:sz="0" w:space="0" w:color="auto"/>
        <w:right w:val="none" w:sz="0" w:space="0" w:color="auto"/>
      </w:divBdr>
    </w:div>
    <w:div w:id="1859931769">
      <w:bodyDiv w:val="1"/>
      <w:marLeft w:val="0"/>
      <w:marRight w:val="0"/>
      <w:marTop w:val="0"/>
      <w:marBottom w:val="0"/>
      <w:divBdr>
        <w:top w:val="none" w:sz="0" w:space="0" w:color="auto"/>
        <w:left w:val="none" w:sz="0" w:space="0" w:color="auto"/>
        <w:bottom w:val="none" w:sz="0" w:space="0" w:color="auto"/>
        <w:right w:val="none" w:sz="0" w:space="0" w:color="auto"/>
      </w:divBdr>
    </w:div>
    <w:div w:id="1864199534">
      <w:bodyDiv w:val="1"/>
      <w:marLeft w:val="0"/>
      <w:marRight w:val="0"/>
      <w:marTop w:val="0"/>
      <w:marBottom w:val="0"/>
      <w:divBdr>
        <w:top w:val="none" w:sz="0" w:space="0" w:color="auto"/>
        <w:left w:val="none" w:sz="0" w:space="0" w:color="auto"/>
        <w:bottom w:val="none" w:sz="0" w:space="0" w:color="auto"/>
        <w:right w:val="none" w:sz="0" w:space="0" w:color="auto"/>
      </w:divBdr>
    </w:div>
    <w:div w:id="1953247099">
      <w:bodyDiv w:val="1"/>
      <w:marLeft w:val="0"/>
      <w:marRight w:val="0"/>
      <w:marTop w:val="0"/>
      <w:marBottom w:val="0"/>
      <w:divBdr>
        <w:top w:val="none" w:sz="0" w:space="0" w:color="auto"/>
        <w:left w:val="none" w:sz="0" w:space="0" w:color="auto"/>
        <w:bottom w:val="none" w:sz="0" w:space="0" w:color="auto"/>
        <w:right w:val="none" w:sz="0" w:space="0" w:color="auto"/>
      </w:divBdr>
    </w:div>
    <w:div w:id="1966961757">
      <w:bodyDiv w:val="1"/>
      <w:marLeft w:val="0"/>
      <w:marRight w:val="0"/>
      <w:marTop w:val="0"/>
      <w:marBottom w:val="0"/>
      <w:divBdr>
        <w:top w:val="none" w:sz="0" w:space="0" w:color="auto"/>
        <w:left w:val="none" w:sz="0" w:space="0" w:color="auto"/>
        <w:bottom w:val="none" w:sz="0" w:space="0" w:color="auto"/>
        <w:right w:val="none" w:sz="0" w:space="0" w:color="auto"/>
      </w:divBdr>
    </w:div>
    <w:div w:id="1997217753">
      <w:bodyDiv w:val="1"/>
      <w:marLeft w:val="0"/>
      <w:marRight w:val="0"/>
      <w:marTop w:val="0"/>
      <w:marBottom w:val="0"/>
      <w:divBdr>
        <w:top w:val="none" w:sz="0" w:space="0" w:color="auto"/>
        <w:left w:val="none" w:sz="0" w:space="0" w:color="auto"/>
        <w:bottom w:val="none" w:sz="0" w:space="0" w:color="auto"/>
        <w:right w:val="none" w:sz="0" w:space="0" w:color="auto"/>
      </w:divBdr>
    </w:div>
    <w:div w:id="2064593340">
      <w:bodyDiv w:val="1"/>
      <w:marLeft w:val="0"/>
      <w:marRight w:val="0"/>
      <w:marTop w:val="0"/>
      <w:marBottom w:val="0"/>
      <w:divBdr>
        <w:top w:val="none" w:sz="0" w:space="0" w:color="auto"/>
        <w:left w:val="none" w:sz="0" w:space="0" w:color="auto"/>
        <w:bottom w:val="none" w:sz="0" w:space="0" w:color="auto"/>
        <w:right w:val="none" w:sz="0" w:space="0" w:color="auto"/>
      </w:divBdr>
    </w:div>
    <w:div w:id="2088263666">
      <w:bodyDiv w:val="1"/>
      <w:marLeft w:val="0"/>
      <w:marRight w:val="0"/>
      <w:marTop w:val="0"/>
      <w:marBottom w:val="0"/>
      <w:divBdr>
        <w:top w:val="none" w:sz="0" w:space="0" w:color="auto"/>
        <w:left w:val="none" w:sz="0" w:space="0" w:color="auto"/>
        <w:bottom w:val="none" w:sz="0" w:space="0" w:color="auto"/>
        <w:right w:val="none" w:sz="0" w:space="0" w:color="auto"/>
      </w:divBdr>
    </w:div>
    <w:div w:id="2090034313">
      <w:bodyDiv w:val="1"/>
      <w:marLeft w:val="0"/>
      <w:marRight w:val="0"/>
      <w:marTop w:val="0"/>
      <w:marBottom w:val="0"/>
      <w:divBdr>
        <w:top w:val="none" w:sz="0" w:space="0" w:color="auto"/>
        <w:left w:val="none" w:sz="0" w:space="0" w:color="auto"/>
        <w:bottom w:val="none" w:sz="0" w:space="0" w:color="auto"/>
        <w:right w:val="none" w:sz="0" w:space="0" w:color="auto"/>
      </w:divBdr>
    </w:div>
    <w:div w:id="2115436915">
      <w:bodyDiv w:val="1"/>
      <w:marLeft w:val="0"/>
      <w:marRight w:val="0"/>
      <w:marTop w:val="0"/>
      <w:marBottom w:val="0"/>
      <w:divBdr>
        <w:top w:val="none" w:sz="0" w:space="0" w:color="auto"/>
        <w:left w:val="none" w:sz="0" w:space="0" w:color="auto"/>
        <w:bottom w:val="none" w:sz="0" w:space="0" w:color="auto"/>
        <w:right w:val="none" w:sz="0" w:space="0" w:color="auto"/>
      </w:divBdr>
    </w:div>
    <w:div w:id="2123768999">
      <w:bodyDiv w:val="1"/>
      <w:marLeft w:val="0"/>
      <w:marRight w:val="0"/>
      <w:marTop w:val="0"/>
      <w:marBottom w:val="0"/>
      <w:divBdr>
        <w:top w:val="none" w:sz="0" w:space="0" w:color="auto"/>
        <w:left w:val="none" w:sz="0" w:space="0" w:color="auto"/>
        <w:bottom w:val="none" w:sz="0" w:space="0" w:color="auto"/>
        <w:right w:val="none" w:sz="0" w:space="0" w:color="auto"/>
      </w:divBdr>
    </w:div>
    <w:div w:id="214584804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jbeem@bgc-jena.mpg.de" TargetMode="External"/><Relationship Id="rId20" Type="http://schemas.openxmlformats.org/officeDocument/2006/relationships/comments" Target="comments.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header" Target="header2.xml"/><Relationship Id="rId14" Type="http://schemas.openxmlformats.org/officeDocument/2006/relationships/image" Target="media/image1.png"/><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B2F6C8DB-0010-D045-B07B-7FD3FF117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1904</TotalTime>
  <Pages>40</Pages>
  <Words>32104</Words>
  <Characters>171761</Characters>
  <Application>Microsoft Macintosh Word</Application>
  <DocSecurity>0</DocSecurity>
  <Lines>2453</Lines>
  <Paragraphs>456</Paragraphs>
  <ScaleCrop>false</ScaleCrop>
  <HeadingPairs>
    <vt:vector size="2" baseType="variant">
      <vt:variant>
        <vt:lpstr>Title</vt:lpstr>
      </vt:variant>
      <vt:variant>
        <vt:i4>1</vt:i4>
      </vt:variant>
    </vt:vector>
  </HeadingPairs>
  <TitlesOfParts>
    <vt:vector size="1" baseType="lpstr">
      <vt:lpstr/>
    </vt:vector>
  </TitlesOfParts>
  <Company>MPI-BGC</Company>
  <LinksUpToDate>false</LinksUpToDate>
  <CharactersWithSpaces>203409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Beem-Miller</dc:creator>
  <cp:keywords/>
  <dc:description/>
  <cp:lastModifiedBy>Jeff Beem-Miller</cp:lastModifiedBy>
  <cp:revision>141</cp:revision>
  <dcterms:created xsi:type="dcterms:W3CDTF">2021-04-26T13:43:00Z</dcterms:created>
  <dcterms:modified xsi:type="dcterms:W3CDTF">2021-06-02T17:05:00Z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ies>
</file>