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46F888" w14:textId="77777777" w:rsidR="00F615DC" w:rsidRDefault="00F615DC" w:rsidP="00F615DC">
      <w:pPr>
        <w:jc w:val="center"/>
        <w:rPr>
          <w:b/>
        </w:rPr>
      </w:pPr>
      <w:r>
        <w:rPr>
          <w:b/>
        </w:rPr>
        <w:t>Column variables’ description</w:t>
      </w:r>
    </w:p>
    <w:p w14:paraId="46B92A1C" w14:textId="77777777" w:rsidR="00F615DC" w:rsidRDefault="00F615DC">
      <w:pPr>
        <w:rPr>
          <w:b/>
        </w:rPr>
      </w:pPr>
    </w:p>
    <w:p w14:paraId="4891508F" w14:textId="642431E7" w:rsidR="00C77AEF" w:rsidRPr="00F615DC" w:rsidRDefault="00F615DC" w:rsidP="00F615DC">
      <w:r w:rsidRPr="00F615DC">
        <w:rPr>
          <w:b/>
        </w:rPr>
        <w:t>‘</w:t>
      </w:r>
      <w:proofErr w:type="gramStart"/>
      <w:r w:rsidRPr="00F615DC">
        <w:rPr>
          <w:b/>
        </w:rPr>
        <w:t>block’</w:t>
      </w:r>
      <w:proofErr w:type="gramEnd"/>
      <w:r>
        <w:rPr>
          <w:b/>
        </w:rPr>
        <w:t xml:space="preserve"> </w:t>
      </w:r>
      <w:r w:rsidR="005F1F05" w:rsidRPr="00F615DC">
        <w:t>–</w:t>
      </w:r>
      <w:r>
        <w:rPr>
          <w:b/>
        </w:rPr>
        <w:t xml:space="preserve"> </w:t>
      </w:r>
      <w:r w:rsidRPr="00F615DC">
        <w:t xml:space="preserve">name of the </w:t>
      </w:r>
      <w:r>
        <w:t xml:space="preserve">corresponding </w:t>
      </w:r>
      <w:r w:rsidRPr="00F615DC">
        <w:t xml:space="preserve">50-m </w:t>
      </w:r>
      <w:r w:rsidR="002D759D">
        <w:sym w:font="Symbol" w:char="F020"/>
      </w:r>
      <w:r w:rsidR="002D759D">
        <w:sym w:font="Symbol" w:char="F0B4"/>
      </w:r>
      <w:r w:rsidRPr="00F615DC">
        <w:t xml:space="preserve"> 50-m subplot in the 82.5-ha “P-plot” at </w:t>
      </w:r>
      <w:proofErr w:type="spellStart"/>
      <w:r w:rsidRPr="00F615DC">
        <w:t>Korup</w:t>
      </w:r>
      <w:proofErr w:type="spellEnd"/>
      <w:r w:rsidR="00AE3A8B">
        <w:t xml:space="preserve"> National Park, in Cameroon</w:t>
      </w:r>
      <w:r w:rsidRPr="00F615DC">
        <w:t xml:space="preserve">; </w:t>
      </w:r>
      <w:r>
        <w:t>n</w:t>
      </w:r>
      <w:r w:rsidRPr="00F615DC">
        <w:t xml:space="preserve">ote, </w:t>
      </w:r>
      <w:r>
        <w:t>the “</w:t>
      </w:r>
      <w:r w:rsidRPr="00AE3A8B">
        <w:rPr>
          <w:b/>
        </w:rPr>
        <w:t>27-Z</w:t>
      </w:r>
      <w:r>
        <w:t>” denotes a 2</w:t>
      </w:r>
      <w:r w:rsidRPr="00F615DC">
        <w:rPr>
          <w:vertAlign w:val="superscript"/>
        </w:rPr>
        <w:t>nd</w:t>
      </w:r>
      <w:r>
        <w:t xml:space="preserve"> canopy gap used with the 27-E </w:t>
      </w:r>
      <w:r w:rsidR="00AE3A8B">
        <w:t xml:space="preserve">demarcated </w:t>
      </w:r>
      <w:r>
        <w:t>subplot</w:t>
      </w:r>
      <w:r w:rsidR="00AE45CE">
        <w:t>.</w:t>
      </w:r>
    </w:p>
    <w:p w14:paraId="09CC565E" w14:textId="77777777" w:rsidR="00F615DC" w:rsidRDefault="00F615DC">
      <w:pPr>
        <w:rPr>
          <w:b/>
        </w:rPr>
      </w:pPr>
    </w:p>
    <w:p w14:paraId="7F1A1482" w14:textId="7B3488C8" w:rsidR="00F615DC" w:rsidRPr="00F615DC" w:rsidRDefault="00F615DC">
      <w:pPr>
        <w:rPr>
          <w:b/>
        </w:rPr>
      </w:pPr>
      <w:r w:rsidRPr="00F615DC">
        <w:rPr>
          <w:b/>
        </w:rPr>
        <w:t>‘</w:t>
      </w:r>
      <w:proofErr w:type="gramStart"/>
      <w:r w:rsidRPr="00F615DC">
        <w:rPr>
          <w:b/>
        </w:rPr>
        <w:t>plot’</w:t>
      </w:r>
      <w:proofErr w:type="gramEnd"/>
      <w:r>
        <w:rPr>
          <w:b/>
        </w:rPr>
        <w:t xml:space="preserve">  </w:t>
      </w:r>
      <w:r w:rsidR="005F1F05" w:rsidRPr="00F615DC">
        <w:t>–</w:t>
      </w:r>
      <w:r w:rsidRPr="00F615DC">
        <w:t xml:space="preserve"> unique num</w:t>
      </w:r>
      <w:r w:rsidR="005F1F05">
        <w:t xml:space="preserve">eric identifier of </w:t>
      </w:r>
      <w:r w:rsidR="00AE3A8B">
        <w:t xml:space="preserve">a </w:t>
      </w:r>
      <w:r w:rsidRPr="00F615DC">
        <w:t xml:space="preserve">gap area (each </w:t>
      </w:r>
      <w:r>
        <w:t>had been</w:t>
      </w:r>
      <w:r w:rsidRPr="00F615DC">
        <w:t xml:space="preserve"> paired to a</w:t>
      </w:r>
      <w:r>
        <w:t>n</w:t>
      </w:r>
      <w:r w:rsidRPr="00F615DC">
        <w:t xml:space="preserve"> understory area </w:t>
      </w:r>
      <w:r>
        <w:t>30-m away from the gap edge</w:t>
      </w:r>
      <w:r w:rsidRPr="00F615DC">
        <w:t>)</w:t>
      </w:r>
      <w:r w:rsidR="00AE45CE">
        <w:t>.</w:t>
      </w:r>
    </w:p>
    <w:p w14:paraId="2691C08E" w14:textId="77777777" w:rsidR="00F615DC" w:rsidRDefault="00F615DC">
      <w:pPr>
        <w:rPr>
          <w:b/>
        </w:rPr>
      </w:pPr>
    </w:p>
    <w:p w14:paraId="4094CED8" w14:textId="271839A6" w:rsidR="00F615DC" w:rsidRPr="00F615DC" w:rsidRDefault="00F615DC">
      <w:r w:rsidRPr="00F615DC">
        <w:rPr>
          <w:b/>
        </w:rPr>
        <w:t>‘</w:t>
      </w:r>
      <w:proofErr w:type="gramStart"/>
      <w:r w:rsidRPr="00F615DC">
        <w:rPr>
          <w:b/>
        </w:rPr>
        <w:t>seedling’</w:t>
      </w:r>
      <w:proofErr w:type="gramEnd"/>
      <w:r w:rsidR="005F1F05">
        <w:rPr>
          <w:b/>
        </w:rPr>
        <w:t xml:space="preserve"> </w:t>
      </w:r>
      <w:r w:rsidRPr="00F615DC">
        <w:t>–</w:t>
      </w:r>
      <w:r w:rsidR="005F1F05">
        <w:t xml:space="preserve"> </w:t>
      </w:r>
      <w:r>
        <w:t>number assigned to identify a seedling within a given gap per block; the asterisk indicates a seedling that served as a “replacement” for original seedlings clipped by rodents</w:t>
      </w:r>
      <w:r w:rsidR="00AE45CE">
        <w:t>.</w:t>
      </w:r>
    </w:p>
    <w:p w14:paraId="27D00458" w14:textId="77777777" w:rsidR="00F615DC" w:rsidRDefault="00F615DC">
      <w:pPr>
        <w:rPr>
          <w:b/>
        </w:rPr>
      </w:pPr>
    </w:p>
    <w:p w14:paraId="72436F92" w14:textId="5B9B62F4" w:rsidR="00F615DC" w:rsidRPr="00AE45CE" w:rsidRDefault="00F615DC">
      <w:pPr>
        <w:rPr>
          <w:b/>
        </w:rPr>
      </w:pPr>
      <w:r w:rsidRPr="00F615DC">
        <w:rPr>
          <w:b/>
        </w:rPr>
        <w:t>‘</w:t>
      </w:r>
      <w:proofErr w:type="gramStart"/>
      <w:r w:rsidRPr="00F615DC">
        <w:rPr>
          <w:b/>
        </w:rPr>
        <w:t>species’</w:t>
      </w:r>
      <w:proofErr w:type="gramEnd"/>
      <w:r w:rsidR="005F1F05">
        <w:rPr>
          <w:b/>
        </w:rPr>
        <w:t xml:space="preserve"> </w:t>
      </w:r>
      <w:r w:rsidRPr="00F615DC">
        <w:t>–</w:t>
      </w:r>
      <w:r>
        <w:t xml:space="preserve"> </w:t>
      </w:r>
      <w:r w:rsidR="005F1F05">
        <w:t xml:space="preserve">the </w:t>
      </w:r>
      <w:r w:rsidR="00AE3A8B">
        <w:t xml:space="preserve">three </w:t>
      </w:r>
      <w:proofErr w:type="spellStart"/>
      <w:r>
        <w:t>codominant</w:t>
      </w:r>
      <w:proofErr w:type="spellEnd"/>
      <w:r>
        <w:t xml:space="preserve"> trees species used in the herbivore exclusion experiment. </w:t>
      </w:r>
      <w:proofErr w:type="gramStart"/>
      <w:r w:rsidR="000B64E4">
        <w:t>“</w:t>
      </w:r>
      <w:r w:rsidRPr="005F1F05">
        <w:rPr>
          <w:b/>
        </w:rPr>
        <w:t>Mb</w:t>
      </w:r>
      <w:r w:rsidR="000B64E4">
        <w:rPr>
          <w:b/>
        </w:rPr>
        <w:t>”</w:t>
      </w:r>
      <w:r>
        <w:t xml:space="preserve">, </w:t>
      </w:r>
      <w:proofErr w:type="spellStart"/>
      <w:r w:rsidRPr="007804CF">
        <w:rPr>
          <w:i/>
        </w:rPr>
        <w:t>Microberlin</w:t>
      </w:r>
      <w:r>
        <w:rPr>
          <w:i/>
        </w:rPr>
        <w:t>i</w:t>
      </w:r>
      <w:r w:rsidRPr="007804CF">
        <w:rPr>
          <w:i/>
        </w:rPr>
        <w:t>a</w:t>
      </w:r>
      <w:proofErr w:type="spellEnd"/>
      <w:r w:rsidRPr="007804CF">
        <w:rPr>
          <w:i/>
        </w:rPr>
        <w:t xml:space="preserve"> </w:t>
      </w:r>
      <w:proofErr w:type="spellStart"/>
      <w:r w:rsidRPr="007804CF">
        <w:rPr>
          <w:i/>
        </w:rPr>
        <w:t>bisulcata</w:t>
      </w:r>
      <w:proofErr w:type="spellEnd"/>
      <w:r>
        <w:t xml:space="preserve">; </w:t>
      </w:r>
      <w:r w:rsidR="000B64E4">
        <w:t>“</w:t>
      </w:r>
      <w:r w:rsidRPr="005F1F05">
        <w:rPr>
          <w:b/>
        </w:rPr>
        <w:t>Tb</w:t>
      </w:r>
      <w:r w:rsidR="000B64E4">
        <w:rPr>
          <w:b/>
        </w:rPr>
        <w:t>”</w:t>
      </w:r>
      <w:r>
        <w:t xml:space="preserve">, </w:t>
      </w:r>
      <w:proofErr w:type="spellStart"/>
      <w:r w:rsidRPr="007804CF">
        <w:rPr>
          <w:i/>
        </w:rPr>
        <w:t>Tetraberlinia</w:t>
      </w:r>
      <w:proofErr w:type="spellEnd"/>
      <w:r w:rsidRPr="007804CF">
        <w:rPr>
          <w:i/>
        </w:rPr>
        <w:t xml:space="preserve"> </w:t>
      </w:r>
      <w:proofErr w:type="spellStart"/>
      <w:r w:rsidRPr="007804CF">
        <w:rPr>
          <w:i/>
        </w:rPr>
        <w:t>bifoliolata</w:t>
      </w:r>
      <w:proofErr w:type="spellEnd"/>
      <w:r>
        <w:t xml:space="preserve">; </w:t>
      </w:r>
      <w:r w:rsidR="000B64E4">
        <w:t>“</w:t>
      </w:r>
      <w:proofErr w:type="spellStart"/>
      <w:r w:rsidRPr="005F1F05">
        <w:rPr>
          <w:b/>
        </w:rPr>
        <w:t>Tk</w:t>
      </w:r>
      <w:proofErr w:type="spellEnd"/>
      <w:r w:rsidR="000B64E4">
        <w:rPr>
          <w:b/>
        </w:rPr>
        <w:t>”</w:t>
      </w:r>
      <w:r>
        <w:t xml:space="preserve">, </w:t>
      </w:r>
      <w:proofErr w:type="spellStart"/>
      <w:r w:rsidRPr="007804CF">
        <w:rPr>
          <w:i/>
        </w:rPr>
        <w:t>Tetraberlinia</w:t>
      </w:r>
      <w:proofErr w:type="spellEnd"/>
      <w:r w:rsidRPr="007804CF">
        <w:rPr>
          <w:i/>
        </w:rPr>
        <w:t xml:space="preserve"> </w:t>
      </w:r>
      <w:proofErr w:type="spellStart"/>
      <w:r w:rsidRPr="007804CF">
        <w:rPr>
          <w:i/>
        </w:rPr>
        <w:t>korupensis</w:t>
      </w:r>
      <w:proofErr w:type="spellEnd"/>
      <w:r w:rsidR="00AE45CE">
        <w:t>.</w:t>
      </w:r>
      <w:proofErr w:type="gramEnd"/>
    </w:p>
    <w:p w14:paraId="201C1872" w14:textId="77777777" w:rsidR="00F615DC" w:rsidRDefault="00F615DC">
      <w:pPr>
        <w:rPr>
          <w:b/>
        </w:rPr>
      </w:pPr>
    </w:p>
    <w:p w14:paraId="70E2902C" w14:textId="73300407" w:rsidR="00F615DC" w:rsidRPr="00F615DC" w:rsidRDefault="00F615DC">
      <w:pPr>
        <w:rPr>
          <w:b/>
        </w:rPr>
      </w:pPr>
      <w:r w:rsidRPr="00F615DC">
        <w:rPr>
          <w:b/>
        </w:rPr>
        <w:t>‘</w:t>
      </w:r>
      <w:proofErr w:type="gramStart"/>
      <w:r w:rsidRPr="00F615DC">
        <w:rPr>
          <w:b/>
        </w:rPr>
        <w:t>genus’</w:t>
      </w:r>
      <w:proofErr w:type="gramEnd"/>
      <w:r w:rsidRPr="00F615DC">
        <w:rPr>
          <w:b/>
        </w:rPr>
        <w:t xml:space="preserve"> </w:t>
      </w:r>
      <w:r w:rsidRPr="00F615DC">
        <w:t>– the</w:t>
      </w:r>
      <w:r>
        <w:t xml:space="preserve"> </w:t>
      </w:r>
      <w:r w:rsidR="00AE3A8B">
        <w:t xml:space="preserve">canopy </w:t>
      </w:r>
      <w:r>
        <w:t xml:space="preserve">tree species grouped accord to genus. </w:t>
      </w:r>
      <w:proofErr w:type="gramStart"/>
      <w:r w:rsidR="000B64E4">
        <w:t>“</w:t>
      </w:r>
      <w:proofErr w:type="spellStart"/>
      <w:r w:rsidRPr="005F1F05">
        <w:rPr>
          <w:b/>
        </w:rPr>
        <w:t>Tbk</w:t>
      </w:r>
      <w:proofErr w:type="spellEnd"/>
      <w:r w:rsidR="000B64E4">
        <w:rPr>
          <w:b/>
        </w:rPr>
        <w:t>”</w:t>
      </w:r>
      <w:r>
        <w:t xml:space="preserve">, </w:t>
      </w:r>
      <w:r w:rsidRPr="00F615DC">
        <w:rPr>
          <w:i/>
        </w:rPr>
        <w:t xml:space="preserve">T. </w:t>
      </w:r>
      <w:proofErr w:type="spellStart"/>
      <w:r w:rsidRPr="00F615DC">
        <w:rPr>
          <w:i/>
        </w:rPr>
        <w:t>bifoliolata</w:t>
      </w:r>
      <w:proofErr w:type="spellEnd"/>
      <w:r>
        <w:t xml:space="preserve"> and </w:t>
      </w:r>
      <w:r w:rsidRPr="00F615DC">
        <w:rPr>
          <w:i/>
        </w:rPr>
        <w:t xml:space="preserve">T. </w:t>
      </w:r>
      <w:proofErr w:type="spellStart"/>
      <w:r w:rsidRPr="00F615DC">
        <w:rPr>
          <w:i/>
        </w:rPr>
        <w:t>korupensis</w:t>
      </w:r>
      <w:proofErr w:type="spellEnd"/>
      <w:r>
        <w:t xml:space="preserve"> individuals pooled</w:t>
      </w:r>
      <w:r w:rsidR="00AE3A8B">
        <w:t xml:space="preserve"> as a sample for the main analysis</w:t>
      </w:r>
      <w:r w:rsidR="005F1F05">
        <w:t>.</w:t>
      </w:r>
      <w:proofErr w:type="gramEnd"/>
    </w:p>
    <w:p w14:paraId="3EC1E21E" w14:textId="77777777" w:rsidR="00F615DC" w:rsidRDefault="00F615DC">
      <w:pPr>
        <w:rPr>
          <w:b/>
        </w:rPr>
      </w:pPr>
    </w:p>
    <w:p w14:paraId="2F0C75BC" w14:textId="602CEAC5" w:rsidR="00F615DC" w:rsidRDefault="00F615DC">
      <w:pPr>
        <w:rPr>
          <w:b/>
        </w:rPr>
      </w:pPr>
      <w:r w:rsidRPr="00F615DC">
        <w:rPr>
          <w:b/>
        </w:rPr>
        <w:t>‘</w:t>
      </w:r>
      <w:proofErr w:type="gramStart"/>
      <w:r w:rsidRPr="00F615DC">
        <w:rPr>
          <w:b/>
        </w:rPr>
        <w:t>canopy’</w:t>
      </w:r>
      <w:proofErr w:type="gramEnd"/>
      <w:r>
        <w:rPr>
          <w:b/>
        </w:rPr>
        <w:t xml:space="preserve"> </w:t>
      </w:r>
      <w:r w:rsidRPr="00F615DC">
        <w:t>– the</w:t>
      </w:r>
      <w:r>
        <w:t xml:space="preserve"> type of canopy cover above the experimental seedlings. “</w:t>
      </w:r>
      <w:r w:rsidRPr="005F1F05">
        <w:rPr>
          <w:b/>
        </w:rPr>
        <w:t>Gap</w:t>
      </w:r>
      <w:r>
        <w:t xml:space="preserve">” denotes a canopy-disturbed area of forest formed by </w:t>
      </w:r>
      <w:r w:rsidR="005F1F05">
        <w:t xml:space="preserve">a </w:t>
      </w:r>
      <w:r>
        <w:t>tree-</w:t>
      </w:r>
      <w:r w:rsidR="005F1F05">
        <w:t>fall</w:t>
      </w:r>
      <w:r>
        <w:t xml:space="preserve"> or large branch-</w:t>
      </w:r>
      <w:r w:rsidR="005F1F05">
        <w:t>fall</w:t>
      </w:r>
      <w:r>
        <w:t>.</w:t>
      </w:r>
    </w:p>
    <w:p w14:paraId="0C0D892A" w14:textId="77777777" w:rsidR="00F615DC" w:rsidRDefault="00F615DC">
      <w:pPr>
        <w:rPr>
          <w:b/>
        </w:rPr>
      </w:pPr>
    </w:p>
    <w:p w14:paraId="7E53B7E4" w14:textId="62F5651A" w:rsidR="00F615DC" w:rsidRDefault="00F615DC">
      <w:pPr>
        <w:rPr>
          <w:b/>
        </w:rPr>
      </w:pPr>
      <w:r>
        <w:rPr>
          <w:b/>
        </w:rPr>
        <w:t>‘</w:t>
      </w:r>
      <w:proofErr w:type="gramStart"/>
      <w:r>
        <w:rPr>
          <w:b/>
        </w:rPr>
        <w:t>treat’</w:t>
      </w:r>
      <w:proofErr w:type="gramEnd"/>
      <w:r>
        <w:rPr>
          <w:b/>
        </w:rPr>
        <w:t xml:space="preserve"> </w:t>
      </w:r>
      <w:r w:rsidRPr="00F615DC">
        <w:t>– the</w:t>
      </w:r>
      <w:r>
        <w:t xml:space="preserve"> </w:t>
      </w:r>
      <w:proofErr w:type="spellStart"/>
      <w:r>
        <w:t>herbivory</w:t>
      </w:r>
      <w:proofErr w:type="spellEnd"/>
      <w:r>
        <w:t xml:space="preserve"> treatment randomized to each seedling. </w:t>
      </w:r>
      <w:r w:rsidR="000B64E4">
        <w:t>“</w:t>
      </w:r>
      <w:r w:rsidRPr="005F1F05">
        <w:rPr>
          <w:b/>
        </w:rPr>
        <w:t>C</w:t>
      </w:r>
      <w:r w:rsidR="000B64E4">
        <w:rPr>
          <w:b/>
        </w:rPr>
        <w:t>”</w:t>
      </w:r>
      <w:r>
        <w:t xml:space="preserve">, denotes the “control”, which permitted </w:t>
      </w:r>
      <w:r w:rsidR="005F1F05">
        <w:t xml:space="preserve">insects (and vertebrates) to </w:t>
      </w:r>
      <w:r>
        <w:t xml:space="preserve">access </w:t>
      </w:r>
      <w:r w:rsidR="005F1F05">
        <w:t>to plants</w:t>
      </w:r>
      <w:r>
        <w:t>;</w:t>
      </w:r>
      <w:r w:rsidR="000B64E4">
        <w:t xml:space="preserve"> “</w:t>
      </w:r>
      <w:r w:rsidRPr="005F1F05">
        <w:rPr>
          <w:b/>
        </w:rPr>
        <w:t>N</w:t>
      </w:r>
      <w:r w:rsidR="000B64E4">
        <w:rPr>
          <w:b/>
        </w:rPr>
        <w:t>”</w:t>
      </w:r>
      <w:r>
        <w:t xml:space="preserve">, denotes the caged seedlings protected by mesh netting from insects </w:t>
      </w:r>
      <w:r w:rsidR="005F1F05">
        <w:t xml:space="preserve">(vertebrates unavoidably as well) </w:t>
      </w:r>
      <w:r>
        <w:t xml:space="preserve">in the </w:t>
      </w:r>
      <w:r w:rsidR="005F1F05">
        <w:t xml:space="preserve">canopy </w:t>
      </w:r>
      <w:r>
        <w:t>gaps</w:t>
      </w:r>
      <w:r w:rsidR="00AE3A8B">
        <w:t xml:space="preserve"> across the forest</w:t>
      </w:r>
      <w:r>
        <w:t>.</w:t>
      </w:r>
    </w:p>
    <w:p w14:paraId="6CC2A966" w14:textId="77777777" w:rsidR="00F615DC" w:rsidRDefault="00F615DC">
      <w:pPr>
        <w:rPr>
          <w:b/>
        </w:rPr>
      </w:pPr>
    </w:p>
    <w:p w14:paraId="02E9ACC3" w14:textId="4449CC60" w:rsidR="00F615DC" w:rsidRPr="00F615DC" w:rsidRDefault="00F615DC">
      <w:r>
        <w:rPr>
          <w:b/>
        </w:rPr>
        <w:t>‘</w:t>
      </w:r>
      <w:proofErr w:type="gramStart"/>
      <w:r>
        <w:rPr>
          <w:b/>
        </w:rPr>
        <w:t>rlxd.ht3’</w:t>
      </w:r>
      <w:proofErr w:type="gramEnd"/>
      <w:r>
        <w:rPr>
          <w:b/>
        </w:rPr>
        <w:t xml:space="preserve"> </w:t>
      </w:r>
      <w:r w:rsidRPr="00F615DC">
        <w:t xml:space="preserve">– the </w:t>
      </w:r>
      <w:r>
        <w:t xml:space="preserve">final </w:t>
      </w:r>
      <w:r w:rsidRPr="00F615DC">
        <w:t>relaxed plant height (greatest distance</w:t>
      </w:r>
      <w:r w:rsidR="00BD28E1">
        <w:t>, in cm,</w:t>
      </w:r>
      <w:bookmarkStart w:id="0" w:name="_GoBack"/>
      <w:bookmarkEnd w:id="0"/>
      <w:r w:rsidRPr="00F615DC">
        <w:t xml:space="preserve"> perpendicular to the ground) of each </w:t>
      </w:r>
      <w:r w:rsidR="005F1F05">
        <w:t xml:space="preserve">surviving </w:t>
      </w:r>
      <w:r w:rsidRPr="00F615DC">
        <w:t xml:space="preserve">seedling/sapling, measured in </w:t>
      </w:r>
      <w:r>
        <w:t>the fourth census of the field experiment (early October 2009)</w:t>
      </w:r>
      <w:r w:rsidR="00AE45CE">
        <w:t>.</w:t>
      </w:r>
    </w:p>
    <w:p w14:paraId="59956E4F" w14:textId="77777777" w:rsidR="00F615DC" w:rsidRDefault="00F615DC">
      <w:pPr>
        <w:rPr>
          <w:b/>
        </w:rPr>
      </w:pPr>
    </w:p>
    <w:p w14:paraId="54B5B2C1" w14:textId="436CDCCB" w:rsidR="00F615DC" w:rsidRDefault="00F615DC">
      <w:pPr>
        <w:rPr>
          <w:b/>
        </w:rPr>
      </w:pPr>
      <w:r>
        <w:rPr>
          <w:b/>
        </w:rPr>
        <w:t>‘</w:t>
      </w:r>
      <w:proofErr w:type="gramStart"/>
      <w:r>
        <w:rPr>
          <w:b/>
        </w:rPr>
        <w:t>prop.chp.tot.p3’</w:t>
      </w:r>
      <w:proofErr w:type="gramEnd"/>
      <w:r>
        <w:rPr>
          <w:b/>
        </w:rPr>
        <w:t xml:space="preserve">  </w:t>
      </w:r>
      <w:r w:rsidRPr="00F615DC">
        <w:t xml:space="preserve">– the </w:t>
      </w:r>
      <w:r>
        <w:t>proportion of extant leaves present</w:t>
      </w:r>
      <w:r w:rsidRPr="00F615DC">
        <w:t xml:space="preserve"> </w:t>
      </w:r>
      <w:r>
        <w:t xml:space="preserve">on each </w:t>
      </w:r>
      <w:r w:rsidR="005F1F05">
        <w:t xml:space="preserve">surviving </w:t>
      </w:r>
      <w:r>
        <w:t xml:space="preserve">seedling/sapling that had signs of leaf chewing from insects, </w:t>
      </w:r>
      <w:r w:rsidRPr="00F615DC">
        <w:t xml:space="preserve">measured in </w:t>
      </w:r>
      <w:r>
        <w:t>the fourth census of the field experiment (early October 2009)</w:t>
      </w:r>
      <w:r w:rsidR="00AE45CE">
        <w:t>.</w:t>
      </w:r>
    </w:p>
    <w:p w14:paraId="59976FBA" w14:textId="77777777" w:rsidR="00F615DC" w:rsidRDefault="00F615DC">
      <w:pPr>
        <w:rPr>
          <w:b/>
        </w:rPr>
      </w:pPr>
    </w:p>
    <w:p w14:paraId="21A615B4" w14:textId="62260386" w:rsidR="00F615DC" w:rsidRDefault="00F615DC">
      <w:r>
        <w:rPr>
          <w:b/>
        </w:rPr>
        <w:t>‘</w:t>
      </w:r>
      <w:proofErr w:type="spellStart"/>
      <w:proofErr w:type="gramStart"/>
      <w:r>
        <w:rPr>
          <w:b/>
        </w:rPr>
        <w:t>vinecol</w:t>
      </w:r>
      <w:proofErr w:type="spellEnd"/>
      <w:r>
        <w:rPr>
          <w:b/>
        </w:rPr>
        <w:t>’</w:t>
      </w:r>
      <w:proofErr w:type="gramEnd"/>
      <w:r>
        <w:rPr>
          <w:b/>
        </w:rPr>
        <w:t xml:space="preserve"> </w:t>
      </w:r>
      <w:r w:rsidRPr="00F615DC">
        <w:t>–</w:t>
      </w:r>
      <w:r>
        <w:t xml:space="preserve"> whether an experimental seedling/sapling was colonized by at least one vine (score = 1) or not at all (score = 0) during the field experiment, </w:t>
      </w:r>
      <w:r w:rsidR="005F1F05">
        <w:t xml:space="preserve">observed </w:t>
      </w:r>
      <w:r>
        <w:t>at the time of the third and fourth census combined (i.e., March 2009 and October 2009, respectively).</w:t>
      </w:r>
    </w:p>
    <w:p w14:paraId="7B9B59C7" w14:textId="77777777" w:rsidR="00F615DC" w:rsidRDefault="00F615DC">
      <w:pPr>
        <w:rPr>
          <w:b/>
        </w:rPr>
      </w:pPr>
    </w:p>
    <w:p w14:paraId="11D01AC3" w14:textId="74E3BFCB" w:rsidR="00F615DC" w:rsidRDefault="00F615DC">
      <w:r w:rsidRPr="00F615DC">
        <w:rPr>
          <w:b/>
        </w:rPr>
        <w:t>‘%</w:t>
      </w:r>
      <w:proofErr w:type="gramStart"/>
      <w:r w:rsidRPr="00F615DC">
        <w:rPr>
          <w:b/>
        </w:rPr>
        <w:t>ppfd.nov08’</w:t>
      </w:r>
      <w:proofErr w:type="gramEnd"/>
      <w:r>
        <w:rPr>
          <w:b/>
        </w:rPr>
        <w:t xml:space="preserve"> </w:t>
      </w:r>
      <w:r w:rsidRPr="00F615DC">
        <w:t>–</w:t>
      </w:r>
      <w:r>
        <w:t xml:space="preserve"> percentage of above-canopy light radiation </w:t>
      </w:r>
      <w:r w:rsidR="005F1F05">
        <w:t>(photosynthetic photon</w:t>
      </w:r>
      <w:r>
        <w:t xml:space="preserve"> flux density) </w:t>
      </w:r>
      <w:r w:rsidR="005F1F05">
        <w:t>measured above each</w:t>
      </w:r>
      <w:r>
        <w:t xml:space="preserve"> seedling</w:t>
      </w:r>
      <w:r w:rsidR="00AE3A8B">
        <w:t>/sapling</w:t>
      </w:r>
      <w:r>
        <w:t xml:space="preserve"> in the experiment, </w:t>
      </w:r>
      <w:r w:rsidR="005F1F05">
        <w:t xml:space="preserve">obtained </w:t>
      </w:r>
      <w:r>
        <w:t xml:space="preserve">mid way through the experiment (November 2008) on days </w:t>
      </w:r>
      <w:r w:rsidR="005F1F05">
        <w:t>with</w:t>
      </w:r>
      <w:r>
        <w:t xml:space="preserve"> overcast sky conditions.</w:t>
      </w:r>
    </w:p>
    <w:sectPr w:rsidR="00F615DC" w:rsidSect="00C579E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5DC"/>
    <w:rsid w:val="000B64E4"/>
    <w:rsid w:val="002B3A98"/>
    <w:rsid w:val="002D759D"/>
    <w:rsid w:val="005F1F05"/>
    <w:rsid w:val="006E5927"/>
    <w:rsid w:val="00AE3A8B"/>
    <w:rsid w:val="00AE45CE"/>
    <w:rsid w:val="00BD28E1"/>
    <w:rsid w:val="00C579EE"/>
    <w:rsid w:val="00C77AEF"/>
    <w:rsid w:val="00F61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76DE10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E592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5927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E592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5927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342</Words>
  <Characters>1954</Characters>
  <Application>Microsoft Macintosh Word</Application>
  <DocSecurity>0</DocSecurity>
  <Lines>16</Lines>
  <Paragraphs>4</Paragraphs>
  <ScaleCrop>false</ScaleCrop>
  <Company/>
  <LinksUpToDate>false</LinksUpToDate>
  <CharactersWithSpaces>2292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Editor .</dc:creator>
  <cp:keywords/>
  <dc:description/>
  <cp:lastModifiedBy>Editor .</cp:lastModifiedBy>
  <cp:revision>8</cp:revision>
  <dcterms:created xsi:type="dcterms:W3CDTF">2019-10-08T03:59:00Z</dcterms:created>
  <dcterms:modified xsi:type="dcterms:W3CDTF">2019-10-08T05:24:00Z</dcterms:modified>
</cp:coreProperties>
</file>