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F4464" w14:textId="77777777" w:rsidR="005C6DA4" w:rsidRPr="00E90F19" w:rsidRDefault="009F7121" w:rsidP="00E90F19">
      <w:pPr>
        <w:pStyle w:val="TableContents"/>
        <w:widowControl/>
        <w:numPr>
          <w:ilvl w:val="0"/>
          <w:numId w:val="1"/>
        </w:numPr>
        <w:jc w:val="both"/>
        <w:rPr>
          <w:rFonts w:asciiTheme="minorHAnsi" w:hAnsiTheme="minorHAnsi"/>
          <w:b/>
          <w:bCs/>
        </w:rPr>
      </w:pPr>
      <w:r w:rsidRPr="00E90F19">
        <w:rPr>
          <w:rFonts w:asciiTheme="minorHAnsi" w:hAnsiTheme="minorHAnsi"/>
          <w:b/>
          <w:bCs/>
        </w:rPr>
        <w:t>Anwendungsbereich</w:t>
      </w:r>
    </w:p>
    <w:p w14:paraId="78F08276" w14:textId="0C8DA678" w:rsidR="005C6DA4" w:rsidRPr="00E90F19" w:rsidRDefault="009F7121" w:rsidP="00E90F19">
      <w:pPr>
        <w:ind w:left="709"/>
        <w:jc w:val="both"/>
        <w:rPr>
          <w:rFonts w:asciiTheme="minorHAnsi" w:hAnsiTheme="minorHAnsi"/>
          <w:b/>
          <w:bCs/>
          <w:i/>
          <w:iCs/>
        </w:rPr>
      </w:pPr>
      <w:r w:rsidRPr="00E90F19">
        <w:rPr>
          <w:rFonts w:asciiTheme="minorHAnsi" w:hAnsiTheme="minorHAnsi"/>
          <w:i/>
          <w:iCs/>
        </w:rPr>
        <w:t xml:space="preserve">Hier wird der Geltungsbereich des Dokuments genannt, alle am Prozess beteiligten Einrichtungen sind zu nennen (Name </w:t>
      </w:r>
      <w:proofErr w:type="spellStart"/>
      <w:r w:rsidRPr="00E90F19">
        <w:rPr>
          <w:rFonts w:asciiTheme="minorHAnsi" w:hAnsiTheme="minorHAnsi"/>
          <w:i/>
          <w:iCs/>
        </w:rPr>
        <w:t>Biobank</w:t>
      </w:r>
      <w:proofErr w:type="spellEnd"/>
      <w:r w:rsidRPr="00E90F19">
        <w:rPr>
          <w:rFonts w:asciiTheme="minorHAnsi" w:hAnsiTheme="minorHAnsi"/>
          <w:i/>
          <w:iCs/>
        </w:rPr>
        <w:t xml:space="preserve"> </w:t>
      </w:r>
      <w:r w:rsidRPr="00B03E07">
        <w:rPr>
          <w:rFonts w:asciiTheme="minorHAnsi" w:hAnsiTheme="minorHAnsi"/>
          <w:bCs/>
          <w:i/>
          <w:iCs/>
        </w:rPr>
        <w:t>und</w:t>
      </w:r>
      <w:r w:rsidRPr="00E90F19">
        <w:rPr>
          <w:rFonts w:asciiTheme="minorHAnsi" w:hAnsiTheme="minorHAnsi"/>
          <w:b/>
          <w:bCs/>
          <w:i/>
          <w:iCs/>
        </w:rPr>
        <w:t xml:space="preserve"> assoziierte Einrichtungen</w:t>
      </w:r>
      <w:r w:rsidRPr="00B03E07">
        <w:rPr>
          <w:rFonts w:asciiTheme="minorHAnsi" w:hAnsiTheme="minorHAnsi"/>
          <w:bCs/>
          <w:i/>
          <w:iCs/>
        </w:rPr>
        <w:t>)</w:t>
      </w:r>
      <w:r w:rsidR="00B03E07">
        <w:rPr>
          <w:rFonts w:asciiTheme="minorHAnsi" w:hAnsiTheme="minorHAnsi"/>
          <w:bCs/>
          <w:i/>
          <w:iCs/>
        </w:rPr>
        <w:t>.</w:t>
      </w:r>
    </w:p>
    <w:p w14:paraId="181DCD56" w14:textId="77777777" w:rsidR="0039604F" w:rsidRPr="00E90F19" w:rsidRDefault="0039604F" w:rsidP="00E90F19">
      <w:pPr>
        <w:ind w:left="709"/>
        <w:jc w:val="both"/>
        <w:rPr>
          <w:rFonts w:asciiTheme="minorHAnsi" w:hAnsiTheme="minorHAnsi"/>
          <w:bCs/>
          <w:iCs/>
        </w:rPr>
      </w:pPr>
      <w:r w:rsidRPr="00E90F19">
        <w:rPr>
          <w:rFonts w:asciiTheme="minorHAnsi" w:hAnsiTheme="minorHAnsi"/>
          <w:bCs/>
          <w:iCs/>
        </w:rPr>
        <w:t>Diese Verfahrensanweisung beschreibt die Handhabung, Dokumentation und Verarbeitung von Gewebeproben während der präanalytischen Phase vor Einlagerung der Proben in die Biobank ab Probeneingang bis zur Einlagerung.</w:t>
      </w:r>
    </w:p>
    <w:p w14:paraId="1544DD54" w14:textId="77777777" w:rsidR="0039604F" w:rsidRPr="00E90F19" w:rsidRDefault="0039604F" w:rsidP="00E90F19">
      <w:pPr>
        <w:jc w:val="both"/>
        <w:rPr>
          <w:rFonts w:asciiTheme="minorHAnsi" w:hAnsiTheme="minorHAnsi"/>
        </w:rPr>
      </w:pPr>
      <w:r w:rsidRPr="00E90F19">
        <w:rPr>
          <w:rFonts w:asciiTheme="minorHAnsi" w:hAnsiTheme="minorHAnsi"/>
          <w:bCs/>
          <w:iCs/>
        </w:rPr>
        <w:t xml:space="preserve"> </w:t>
      </w:r>
    </w:p>
    <w:p w14:paraId="6F595D24" w14:textId="77777777" w:rsidR="005C6DA4" w:rsidRPr="00E90F19" w:rsidRDefault="005C6DA4" w:rsidP="00E90F19">
      <w:pPr>
        <w:jc w:val="both"/>
        <w:rPr>
          <w:rFonts w:asciiTheme="minorHAnsi" w:hAnsiTheme="minorHAnsi"/>
          <w:i/>
          <w:iCs/>
        </w:rPr>
      </w:pPr>
    </w:p>
    <w:p w14:paraId="5242FB9D" w14:textId="77777777" w:rsidR="005C6DA4" w:rsidRPr="00E90F19" w:rsidRDefault="009F7121" w:rsidP="00E90F19">
      <w:pPr>
        <w:numPr>
          <w:ilvl w:val="0"/>
          <w:numId w:val="1"/>
        </w:numPr>
        <w:jc w:val="both"/>
        <w:rPr>
          <w:rFonts w:asciiTheme="minorHAnsi" w:hAnsiTheme="minorHAnsi"/>
          <w:b/>
          <w:bCs/>
        </w:rPr>
      </w:pPr>
      <w:r w:rsidRPr="00E90F19">
        <w:rPr>
          <w:rFonts w:asciiTheme="minorHAnsi" w:hAnsiTheme="minorHAnsi"/>
          <w:b/>
          <w:bCs/>
        </w:rPr>
        <w:t>Zuständigkeiten</w:t>
      </w:r>
    </w:p>
    <w:p w14:paraId="40A5CFF0" w14:textId="313807C9" w:rsidR="00EB611F" w:rsidRPr="00E90F19" w:rsidRDefault="009F7121" w:rsidP="00E90F19">
      <w:pPr>
        <w:ind w:left="709"/>
        <w:jc w:val="both"/>
        <w:rPr>
          <w:rFonts w:asciiTheme="minorHAnsi" w:hAnsiTheme="minorHAnsi"/>
          <w:i/>
        </w:rPr>
      </w:pPr>
      <w:r w:rsidRPr="00E90F19">
        <w:rPr>
          <w:rFonts w:asciiTheme="minorHAnsi" w:hAnsiTheme="minorHAnsi"/>
          <w:i/>
          <w:iCs/>
        </w:rPr>
        <w:t>Nennung der für den Prozess zuständigen und verantwortlichen Personen (Funktionsbeschreibung, keine Namen, siehe auch separat anzufertigende „Verantwortlichkeitsmatrix“)</w:t>
      </w:r>
      <w:r w:rsidR="00B03E07">
        <w:rPr>
          <w:rFonts w:asciiTheme="minorHAnsi" w:hAnsiTheme="minorHAnsi"/>
          <w:i/>
          <w:iCs/>
        </w:rPr>
        <w:t>.</w:t>
      </w:r>
      <w:r w:rsidR="00EB611F" w:rsidRPr="00E90F19">
        <w:rPr>
          <w:rFonts w:asciiTheme="minorHAnsi" w:hAnsiTheme="minorHAnsi"/>
          <w:i/>
          <w:iCs/>
        </w:rPr>
        <w:t xml:space="preserve"> </w:t>
      </w:r>
      <w:r w:rsidR="00EB611F" w:rsidRPr="00E90F19">
        <w:rPr>
          <w:rFonts w:asciiTheme="minorHAnsi" w:hAnsiTheme="minorHAnsi" w:cs="Arial"/>
          <w:i/>
          <w:color w:val="000000"/>
        </w:rPr>
        <w:t>Die Biobank muss die prozessrelevanten Zuständigkeiten intern festlegen und umsetzen.</w:t>
      </w:r>
    </w:p>
    <w:p w14:paraId="2C562E12" w14:textId="77777777" w:rsidR="005C6DA4" w:rsidRPr="00B03E07" w:rsidRDefault="005C6DA4" w:rsidP="00E90F19">
      <w:pPr>
        <w:jc w:val="both"/>
        <w:rPr>
          <w:rFonts w:asciiTheme="minorHAnsi" w:hAnsiTheme="minorHAnsi"/>
          <w:b/>
          <w:bCs/>
        </w:rPr>
      </w:pPr>
    </w:p>
    <w:p w14:paraId="553D1892" w14:textId="77777777" w:rsidR="005C6DA4" w:rsidRPr="00B03E07" w:rsidRDefault="005C6DA4" w:rsidP="00E90F19">
      <w:pPr>
        <w:jc w:val="both"/>
        <w:rPr>
          <w:rFonts w:asciiTheme="minorHAnsi" w:hAnsiTheme="minorHAnsi"/>
          <w:i/>
          <w:iCs/>
        </w:rPr>
      </w:pPr>
    </w:p>
    <w:p w14:paraId="6615435C" w14:textId="77777777" w:rsidR="005C6DA4" w:rsidRPr="00E90F19" w:rsidRDefault="009F7121" w:rsidP="00E90F19">
      <w:pPr>
        <w:numPr>
          <w:ilvl w:val="0"/>
          <w:numId w:val="1"/>
        </w:numPr>
        <w:jc w:val="both"/>
        <w:rPr>
          <w:rFonts w:asciiTheme="minorHAnsi" w:hAnsiTheme="minorHAnsi"/>
          <w:b/>
          <w:bCs/>
        </w:rPr>
      </w:pPr>
      <w:r w:rsidRPr="00E90F19">
        <w:rPr>
          <w:rFonts w:asciiTheme="minorHAnsi" w:hAnsiTheme="minorHAnsi"/>
          <w:b/>
          <w:bCs/>
        </w:rPr>
        <w:t>Begriffe und Abkürzungen</w:t>
      </w:r>
    </w:p>
    <w:p w14:paraId="5A68FEDE" w14:textId="77777777" w:rsidR="005C6DA4" w:rsidRPr="00E90F19" w:rsidRDefault="009F7121" w:rsidP="00E90F19">
      <w:pPr>
        <w:ind w:left="709"/>
        <w:jc w:val="both"/>
        <w:rPr>
          <w:rFonts w:asciiTheme="minorHAnsi" w:hAnsiTheme="minorHAnsi"/>
        </w:rPr>
      </w:pPr>
      <w:r w:rsidRPr="00E90F19">
        <w:rPr>
          <w:rFonts w:asciiTheme="minorHAnsi" w:hAnsiTheme="minorHAnsi"/>
        </w:rPr>
        <w:t>siehe Dokument „Begriffe und Abkürzungen“</w:t>
      </w:r>
    </w:p>
    <w:p w14:paraId="602828ED" w14:textId="77777777" w:rsidR="005C6DA4" w:rsidRPr="00E90F19" w:rsidRDefault="009F7121" w:rsidP="00E90F19">
      <w:pPr>
        <w:ind w:left="709"/>
        <w:jc w:val="both"/>
        <w:rPr>
          <w:rFonts w:asciiTheme="minorHAnsi" w:hAnsiTheme="minorHAnsi"/>
        </w:rPr>
      </w:pPr>
      <w:r w:rsidRPr="00E90F19">
        <w:rPr>
          <w:rFonts w:asciiTheme="minorHAnsi" w:hAnsiTheme="minorHAnsi"/>
        </w:rPr>
        <w:t>für dieses Dokument gelten zusätzlich:</w:t>
      </w:r>
    </w:p>
    <w:p w14:paraId="0F450A1A" w14:textId="77777777" w:rsidR="005C6DA4" w:rsidRPr="00E90F19" w:rsidRDefault="005C6DA4" w:rsidP="00E90F19">
      <w:pPr>
        <w:ind w:left="709"/>
        <w:jc w:val="both"/>
        <w:rPr>
          <w:rFonts w:asciiTheme="minorHAnsi" w:hAnsiTheme="minorHAnsi"/>
        </w:rPr>
      </w:pPr>
    </w:p>
    <w:p w14:paraId="44DA1577" w14:textId="77777777" w:rsidR="00813F6C" w:rsidRPr="00E90F19" w:rsidRDefault="00813F6C" w:rsidP="00E90F19">
      <w:pPr>
        <w:ind w:left="709"/>
        <w:jc w:val="both"/>
        <w:rPr>
          <w:rFonts w:asciiTheme="minorHAnsi" w:hAnsiTheme="minorHAnsi"/>
        </w:rPr>
      </w:pPr>
      <w:r w:rsidRPr="00E90F19">
        <w:rPr>
          <w:rFonts w:asciiTheme="minorHAnsi" w:hAnsiTheme="minorHAnsi"/>
        </w:rPr>
        <w:t xml:space="preserve">Kurzzeitlagerung: </w:t>
      </w:r>
      <w:r w:rsidR="00105ED6" w:rsidRPr="00E90F19">
        <w:rPr>
          <w:rFonts w:asciiTheme="minorHAnsi" w:hAnsiTheme="minorHAnsi"/>
        </w:rPr>
        <w:t>Aufbewahrung von Proben für wenige Stunden</w:t>
      </w:r>
      <w:r w:rsidR="00AA3D76" w:rsidRPr="00E90F19">
        <w:rPr>
          <w:rFonts w:asciiTheme="minorHAnsi" w:hAnsiTheme="minorHAnsi"/>
        </w:rPr>
        <w:t xml:space="preserve"> bis Tage</w:t>
      </w:r>
      <w:r w:rsidR="00105ED6" w:rsidRPr="00E90F19">
        <w:rPr>
          <w:rFonts w:asciiTheme="minorHAnsi" w:hAnsiTheme="minorHAnsi"/>
        </w:rPr>
        <w:t xml:space="preserve"> </w:t>
      </w:r>
    </w:p>
    <w:p w14:paraId="5EA43D98" w14:textId="77777777" w:rsidR="00813F6C" w:rsidRPr="00E90F19" w:rsidRDefault="001263E7" w:rsidP="00E90F19">
      <w:pPr>
        <w:ind w:left="709"/>
        <w:jc w:val="both"/>
        <w:rPr>
          <w:rFonts w:asciiTheme="minorHAnsi" w:hAnsiTheme="minorHAnsi"/>
        </w:rPr>
      </w:pPr>
      <w:r w:rsidRPr="00E90F19">
        <w:rPr>
          <w:rFonts w:asciiTheme="minorHAnsi" w:hAnsiTheme="minorHAnsi"/>
        </w:rPr>
        <w:t>Langzeitlagerung</w:t>
      </w:r>
      <w:r w:rsidR="00105ED6" w:rsidRPr="00E90F19">
        <w:rPr>
          <w:rFonts w:asciiTheme="minorHAnsi" w:hAnsiTheme="minorHAnsi"/>
        </w:rPr>
        <w:t xml:space="preserve">: </w:t>
      </w:r>
      <w:r w:rsidRPr="00E90F19">
        <w:rPr>
          <w:rFonts w:asciiTheme="minorHAnsi" w:hAnsiTheme="minorHAnsi"/>
        </w:rPr>
        <w:t>Archivierung</w:t>
      </w:r>
      <w:r w:rsidR="00105ED6" w:rsidRPr="00E90F19">
        <w:rPr>
          <w:rFonts w:asciiTheme="minorHAnsi" w:hAnsiTheme="minorHAnsi"/>
        </w:rPr>
        <w:t xml:space="preserve"> von Proben für Wochen, Monate oder Jahre </w:t>
      </w:r>
    </w:p>
    <w:p w14:paraId="6D0150CC" w14:textId="77777777" w:rsidR="005C6DA4" w:rsidRPr="00E90F19" w:rsidRDefault="005C6DA4" w:rsidP="00E90F19">
      <w:pPr>
        <w:jc w:val="both"/>
        <w:rPr>
          <w:rFonts w:asciiTheme="minorHAnsi" w:hAnsiTheme="minorHAnsi"/>
        </w:rPr>
      </w:pPr>
    </w:p>
    <w:p w14:paraId="71D25B93" w14:textId="77777777" w:rsidR="005C6DA4" w:rsidRPr="00E90F19" w:rsidRDefault="005C6DA4" w:rsidP="00E90F19">
      <w:pPr>
        <w:jc w:val="both"/>
        <w:rPr>
          <w:rFonts w:asciiTheme="minorHAnsi" w:hAnsiTheme="minorHAnsi"/>
          <w:b/>
          <w:bCs/>
        </w:rPr>
      </w:pPr>
    </w:p>
    <w:p w14:paraId="03831721" w14:textId="77777777" w:rsidR="005C6DA4" w:rsidRPr="00E90F19" w:rsidRDefault="009F7121" w:rsidP="00E90F19">
      <w:pPr>
        <w:numPr>
          <w:ilvl w:val="0"/>
          <w:numId w:val="1"/>
        </w:numPr>
        <w:jc w:val="both"/>
        <w:rPr>
          <w:rFonts w:asciiTheme="minorHAnsi" w:hAnsiTheme="minorHAnsi"/>
          <w:b/>
          <w:bCs/>
        </w:rPr>
      </w:pPr>
      <w:r w:rsidRPr="00E90F19">
        <w:rPr>
          <w:rFonts w:asciiTheme="minorHAnsi" w:hAnsiTheme="minorHAnsi"/>
          <w:b/>
          <w:bCs/>
        </w:rPr>
        <w:t>Allgemein</w:t>
      </w:r>
    </w:p>
    <w:p w14:paraId="748F8B25" w14:textId="77777777" w:rsidR="005C6DA4" w:rsidRPr="00E90F19" w:rsidRDefault="490A9905" w:rsidP="00E90F19">
      <w:pPr>
        <w:ind w:left="709"/>
        <w:jc w:val="both"/>
        <w:rPr>
          <w:rFonts w:asciiTheme="minorHAnsi" w:hAnsiTheme="minorHAnsi"/>
        </w:rPr>
      </w:pPr>
      <w:r w:rsidRPr="00E90F19">
        <w:rPr>
          <w:rFonts w:asciiTheme="minorHAnsi" w:eastAsia="Arial" w:hAnsiTheme="minorHAnsi" w:cs="Arial"/>
          <w:i/>
          <w:iCs/>
        </w:rPr>
        <w:t>Allgemeine Aussagen hinsichtlich der Durchführung zur Langzeitlagerung von Gewebeproben:</w:t>
      </w:r>
    </w:p>
    <w:p w14:paraId="3D33AD1D" w14:textId="64F47628" w:rsidR="490A9905" w:rsidRPr="00E90F19" w:rsidRDefault="490A9905" w:rsidP="00E90F19">
      <w:pPr>
        <w:ind w:left="709"/>
        <w:jc w:val="both"/>
        <w:rPr>
          <w:rFonts w:asciiTheme="minorHAnsi" w:hAnsiTheme="minorHAnsi"/>
          <w:i/>
        </w:rPr>
      </w:pPr>
      <w:r w:rsidRPr="00E90F19">
        <w:rPr>
          <w:rFonts w:asciiTheme="minorHAnsi" w:eastAsia="Arial" w:hAnsiTheme="minorHAnsi" w:cs="Arial"/>
          <w:i/>
        </w:rPr>
        <w:t>Zu</w:t>
      </w:r>
      <w:r w:rsidR="00B03E07">
        <w:rPr>
          <w:rFonts w:asciiTheme="minorHAnsi" w:eastAsia="Arial" w:hAnsiTheme="minorHAnsi" w:cs="Arial"/>
          <w:i/>
        </w:rPr>
        <w:t>r Sicherstellung der geplanten/</w:t>
      </w:r>
      <w:r w:rsidRPr="00E90F19">
        <w:rPr>
          <w:rFonts w:asciiTheme="minorHAnsi" w:eastAsia="Arial" w:hAnsiTheme="minorHAnsi" w:cs="Arial"/>
          <w:i/>
        </w:rPr>
        <w:t>beabsichtigten Leistung muss der gesamte Arbeitsablauf einschließlich der Informationen zu Lagerungsbedingungen und ggf. durchgeführter analytischer Schritte gemäß publizierter Standards durchgeführt oder mit eigenen Verfahren intern validiert werden; dazu zählen auch alle automatisierten Probenbearbeitungsprozesse.</w:t>
      </w:r>
    </w:p>
    <w:p w14:paraId="5AC54FA8" w14:textId="21A03B80" w:rsidR="00B61371" w:rsidRPr="00E90F19" w:rsidRDefault="490A9905" w:rsidP="00E90F19">
      <w:pPr>
        <w:ind w:left="709"/>
        <w:jc w:val="both"/>
        <w:rPr>
          <w:rFonts w:asciiTheme="minorHAnsi" w:eastAsia="Arial" w:hAnsiTheme="minorHAnsi" w:cs="Arial"/>
          <w:i/>
        </w:rPr>
      </w:pPr>
      <w:r w:rsidRPr="00E90F19">
        <w:rPr>
          <w:rFonts w:asciiTheme="minorHAnsi" w:eastAsia="Arial" w:hAnsiTheme="minorHAnsi" w:cs="Arial"/>
          <w:i/>
        </w:rPr>
        <w:t>Die Biobank muss sicherstellen, dass der präanalytische Gesamtarbeitsablauf so dokumentiert wird, dass die Biobank jederzeit Auskunft über die Probenspezifikationen und -historie geben kann. Die Eignung der Bioproben für evtl. geplante analytische Verfahren ist während des gesamte</w:t>
      </w:r>
      <w:r w:rsidR="00B61371" w:rsidRPr="00E90F19">
        <w:rPr>
          <w:rFonts w:asciiTheme="minorHAnsi" w:eastAsia="Arial" w:hAnsiTheme="minorHAnsi" w:cs="Arial"/>
          <w:i/>
        </w:rPr>
        <w:t>n Arbeitsablaufs zu untersuchen</w:t>
      </w:r>
      <w:r w:rsidR="00EB611F" w:rsidRPr="00E90F19">
        <w:rPr>
          <w:rFonts w:asciiTheme="minorHAnsi" w:eastAsia="Arial" w:hAnsiTheme="minorHAnsi" w:cs="Arial"/>
          <w:i/>
        </w:rPr>
        <w:t xml:space="preserve"> und zu dokumentieren</w:t>
      </w:r>
      <w:r w:rsidR="00B61371" w:rsidRPr="00E90F19">
        <w:rPr>
          <w:rFonts w:asciiTheme="minorHAnsi" w:eastAsia="Arial" w:hAnsiTheme="minorHAnsi" w:cs="Arial"/>
          <w:i/>
        </w:rPr>
        <w:t>.</w:t>
      </w:r>
    </w:p>
    <w:p w14:paraId="148447FA" w14:textId="5E8DB500" w:rsidR="490A9905" w:rsidRPr="00E90F19" w:rsidRDefault="490A9905" w:rsidP="00E90F19">
      <w:pPr>
        <w:ind w:left="709"/>
        <w:jc w:val="both"/>
        <w:rPr>
          <w:rFonts w:asciiTheme="minorHAnsi" w:hAnsiTheme="minorHAnsi"/>
          <w:i/>
        </w:rPr>
      </w:pPr>
      <w:r w:rsidRPr="00E90F19">
        <w:rPr>
          <w:rFonts w:asciiTheme="minorHAnsi" w:eastAsia="Arial" w:hAnsiTheme="minorHAnsi" w:cs="Arial"/>
          <w:i/>
        </w:rPr>
        <w:t>Abweichungen von geltenden SOPs sind zu dokumentieren.</w:t>
      </w:r>
    </w:p>
    <w:p w14:paraId="055FAF16" w14:textId="7BB8361D" w:rsidR="490A9905" w:rsidRPr="00E90F19" w:rsidRDefault="490A9905" w:rsidP="00E90F19">
      <w:pPr>
        <w:ind w:left="709"/>
        <w:jc w:val="both"/>
        <w:rPr>
          <w:rFonts w:asciiTheme="minorHAnsi" w:hAnsiTheme="minorHAnsi"/>
        </w:rPr>
      </w:pPr>
      <w:r w:rsidRPr="00E90F19">
        <w:rPr>
          <w:rFonts w:asciiTheme="minorHAnsi" w:eastAsia="Arial" w:hAnsiTheme="minorHAnsi" w:cs="Arial"/>
          <w:i/>
        </w:rPr>
        <w:t>Geltende Sicherheitsbestimmungen zu Transport und Handhabung müssen beachtet werden (DIN EN ISO 15189 und ISO 15190).</w:t>
      </w:r>
    </w:p>
    <w:p w14:paraId="63EBF065" w14:textId="44868FF1" w:rsidR="490A9905" w:rsidRPr="00E90F19" w:rsidRDefault="490A9905" w:rsidP="00E90F19">
      <w:pPr>
        <w:ind w:left="709"/>
        <w:jc w:val="both"/>
        <w:rPr>
          <w:rFonts w:asciiTheme="minorHAnsi" w:hAnsiTheme="minorHAnsi"/>
          <w:i/>
        </w:rPr>
      </w:pPr>
      <w:r w:rsidRPr="00E90F19">
        <w:rPr>
          <w:rFonts w:asciiTheme="minorHAnsi" w:eastAsia="Arial" w:hAnsiTheme="minorHAnsi" w:cs="Arial"/>
          <w:i/>
        </w:rPr>
        <w:t xml:space="preserve">Während des gesamten präanalytischen Arbeitsablaufs müssen Vorsichtsmaßnahmen zur Vermeidung von Kreuzkontaminationen zwischen unterschiedlichen Proben getroffen </w:t>
      </w:r>
      <w:r w:rsidRPr="00E90F19">
        <w:rPr>
          <w:rFonts w:asciiTheme="minorHAnsi" w:eastAsia="Arial" w:hAnsiTheme="minorHAnsi" w:cs="Arial"/>
          <w:i/>
        </w:rPr>
        <w:lastRenderedPageBreak/>
        <w:t>werden.</w:t>
      </w:r>
    </w:p>
    <w:p w14:paraId="3AA47010" w14:textId="2DBD0406" w:rsidR="490A9905" w:rsidRPr="00E90F19" w:rsidRDefault="490A9905" w:rsidP="00E90F19">
      <w:pPr>
        <w:ind w:left="709"/>
        <w:jc w:val="both"/>
        <w:rPr>
          <w:rFonts w:asciiTheme="minorHAnsi" w:hAnsiTheme="minorHAnsi"/>
          <w:i/>
        </w:rPr>
      </w:pPr>
      <w:r w:rsidRPr="00E90F19">
        <w:rPr>
          <w:rFonts w:asciiTheme="minorHAnsi" w:eastAsia="Arial" w:hAnsiTheme="minorHAnsi" w:cs="Arial"/>
          <w:i/>
        </w:rPr>
        <w:t xml:space="preserve">Handelsübliche Produkte sind nach den Angaben des Herstellers anzuwenden, bei Abweichungen liegt die Verantwortung beim Anwender. </w:t>
      </w:r>
    </w:p>
    <w:p w14:paraId="5721DC31" w14:textId="0ADAB518" w:rsidR="00EB611F" w:rsidRPr="00E90F19" w:rsidRDefault="00EB611F" w:rsidP="00E90F19">
      <w:pPr>
        <w:pStyle w:val="Listenabsatz"/>
        <w:ind w:left="709"/>
        <w:jc w:val="both"/>
        <w:rPr>
          <w:rFonts w:asciiTheme="minorHAnsi" w:hAnsiTheme="minorHAnsi"/>
          <w:i/>
          <w:szCs w:val="24"/>
        </w:rPr>
      </w:pPr>
      <w:r w:rsidRPr="00E90F19">
        <w:rPr>
          <w:rFonts w:asciiTheme="minorHAnsi" w:hAnsiTheme="minorHAnsi"/>
          <w:i/>
          <w:szCs w:val="24"/>
        </w:rPr>
        <w:t>Die Größe der Probe muss so gewählt werden, dass sie leicht in das Lagerungsgefäß überführt werden kann. Die verwendeten Lagerungsgefäße mü</w:t>
      </w:r>
      <w:r w:rsidR="00B03E07">
        <w:rPr>
          <w:rFonts w:asciiTheme="minorHAnsi" w:hAnsiTheme="minorHAnsi"/>
          <w:i/>
          <w:szCs w:val="24"/>
        </w:rPr>
        <w:t>ssen für die Verwendung bei -70</w:t>
      </w:r>
      <w:r w:rsidRPr="00E90F19">
        <w:rPr>
          <w:rFonts w:asciiTheme="minorHAnsi" w:hAnsiTheme="minorHAnsi"/>
          <w:i/>
          <w:szCs w:val="24"/>
        </w:rPr>
        <w:t>°C oder für niedrigere Temperaturen geeignet sein. Es sollten Systeme zur Temperaturüberwachung verwendet werden und Ersatzkapazitäten für die Lagerung sollten vorhanden sein.</w:t>
      </w:r>
    </w:p>
    <w:p w14:paraId="242AFA59" w14:textId="77777777" w:rsidR="00EB611F" w:rsidRPr="00E90F19" w:rsidRDefault="00EB611F" w:rsidP="00E90F19">
      <w:pPr>
        <w:ind w:left="709"/>
        <w:jc w:val="both"/>
        <w:rPr>
          <w:rFonts w:asciiTheme="minorHAnsi" w:hAnsiTheme="minorHAnsi"/>
          <w:i/>
        </w:rPr>
      </w:pPr>
      <w:r w:rsidRPr="00E90F19">
        <w:rPr>
          <w:rFonts w:asciiTheme="minorHAnsi" w:eastAsia="Arial" w:hAnsiTheme="minorHAnsi" w:cs="Arial"/>
          <w:i/>
        </w:rPr>
        <w:t xml:space="preserve">In manchen Fällen müssen die Proben kurzzeitig zwischengelagert werden, z.B. vor einem molekularen oder histologischen Test oder vor einem innerbetrieblichen Transport. Im Fall von Gefriergewebeproben kann dies in Trockeneis erfolgen. </w:t>
      </w:r>
    </w:p>
    <w:p w14:paraId="06CBBD99" w14:textId="79253570" w:rsidR="00EB611F" w:rsidRPr="00E90F19" w:rsidRDefault="00B03E07" w:rsidP="00E90F19">
      <w:pPr>
        <w:widowControl/>
        <w:suppressAutoHyphens w:val="0"/>
        <w:autoSpaceDN/>
        <w:spacing w:before="60"/>
        <w:ind w:left="709"/>
        <w:jc w:val="both"/>
        <w:textAlignment w:val="auto"/>
        <w:rPr>
          <w:rFonts w:asciiTheme="minorHAnsi" w:hAnsiTheme="minorHAnsi"/>
          <w:i/>
        </w:rPr>
      </w:pPr>
      <w:r>
        <w:rPr>
          <w:rFonts w:asciiTheme="minorHAnsi" w:hAnsiTheme="minorHAnsi"/>
          <w:i/>
        </w:rPr>
        <w:t>Ein Havarie-/</w:t>
      </w:r>
      <w:r w:rsidR="00EB611F" w:rsidRPr="00E90F19">
        <w:rPr>
          <w:rFonts w:asciiTheme="minorHAnsi" w:hAnsiTheme="minorHAnsi"/>
          <w:i/>
        </w:rPr>
        <w:t>Notfallkonzept ist zu erarbeiten, allen mit der Verarbeitung der Proben Beteiligten zu kommunizieren</w:t>
      </w:r>
      <w:r>
        <w:rPr>
          <w:rFonts w:asciiTheme="minorHAnsi" w:hAnsiTheme="minorHAnsi"/>
          <w:i/>
        </w:rPr>
        <w:t>,</w:t>
      </w:r>
      <w:r w:rsidR="00EB611F" w:rsidRPr="00E90F19">
        <w:rPr>
          <w:rFonts w:asciiTheme="minorHAnsi" w:hAnsiTheme="minorHAnsi"/>
          <w:i/>
        </w:rPr>
        <w:t xml:space="preserve"> regelhaft zu trainieren und zu prüfen.</w:t>
      </w:r>
    </w:p>
    <w:p w14:paraId="57A6CC7A" w14:textId="39068592" w:rsidR="490A9905" w:rsidRPr="00E90F19" w:rsidRDefault="490A9905" w:rsidP="00E90F19">
      <w:pPr>
        <w:ind w:left="709"/>
        <w:jc w:val="both"/>
        <w:rPr>
          <w:rFonts w:asciiTheme="minorHAnsi" w:hAnsiTheme="minorHAnsi"/>
        </w:rPr>
      </w:pPr>
    </w:p>
    <w:p w14:paraId="782632CB" w14:textId="77777777" w:rsidR="00612A8B" w:rsidRPr="00E90F19" w:rsidRDefault="00105ED6" w:rsidP="00E90F19">
      <w:pPr>
        <w:ind w:left="709"/>
        <w:jc w:val="both"/>
        <w:rPr>
          <w:rFonts w:asciiTheme="minorHAnsi" w:hAnsiTheme="minorHAnsi"/>
        </w:rPr>
      </w:pPr>
      <w:r w:rsidRPr="00E90F19">
        <w:rPr>
          <w:rFonts w:asciiTheme="minorHAnsi" w:hAnsiTheme="minorHAnsi"/>
        </w:rPr>
        <w:t>Die L</w:t>
      </w:r>
      <w:r w:rsidR="00612A8B" w:rsidRPr="00E90F19">
        <w:rPr>
          <w:rFonts w:asciiTheme="minorHAnsi" w:hAnsiTheme="minorHAnsi"/>
        </w:rPr>
        <w:t xml:space="preserve">agerung von Gewebeproben hängt davon ab in welcher Form die Proben vorliegen, z.B. als Gefrierproben oder als Paraffinblöcke nach </w:t>
      </w:r>
      <w:proofErr w:type="spellStart"/>
      <w:r w:rsidR="00612A8B" w:rsidRPr="00E90F19">
        <w:rPr>
          <w:rFonts w:asciiTheme="minorHAnsi" w:hAnsiTheme="minorHAnsi"/>
        </w:rPr>
        <w:t>Formalinfixierung</w:t>
      </w:r>
      <w:proofErr w:type="spellEnd"/>
      <w:r w:rsidR="00612A8B" w:rsidRPr="00E90F19">
        <w:rPr>
          <w:rFonts w:asciiTheme="minorHAnsi" w:hAnsiTheme="minorHAnsi"/>
        </w:rPr>
        <w:t xml:space="preserve"> (FFPE Blöcke).</w:t>
      </w:r>
    </w:p>
    <w:p w14:paraId="6AB31B87" w14:textId="77777777" w:rsidR="00AC7F39" w:rsidRPr="00E90F19" w:rsidRDefault="00AC7F39" w:rsidP="00E90F19">
      <w:pPr>
        <w:ind w:left="709"/>
        <w:jc w:val="both"/>
        <w:rPr>
          <w:rFonts w:asciiTheme="minorHAnsi" w:hAnsiTheme="minorHAnsi"/>
        </w:rPr>
      </w:pPr>
    </w:p>
    <w:p w14:paraId="04A476ED" w14:textId="117409A8" w:rsidR="00FB5294" w:rsidRPr="00E90F19" w:rsidRDefault="00EB611F" w:rsidP="00E90F19">
      <w:pPr>
        <w:ind w:left="709"/>
        <w:jc w:val="both"/>
        <w:rPr>
          <w:rFonts w:asciiTheme="minorHAnsi" w:hAnsiTheme="minorHAnsi"/>
        </w:rPr>
      </w:pPr>
      <w:r w:rsidRPr="00E90F19">
        <w:rPr>
          <w:rFonts w:asciiTheme="minorHAnsi" w:hAnsiTheme="minorHAnsi"/>
        </w:rPr>
        <w:t xml:space="preserve">Für </w:t>
      </w:r>
      <w:r w:rsidR="00612A8B" w:rsidRPr="00E90F19">
        <w:rPr>
          <w:rFonts w:asciiTheme="minorHAnsi" w:hAnsiTheme="minorHAnsi"/>
        </w:rPr>
        <w:t xml:space="preserve">Gefrierproben </w:t>
      </w:r>
      <w:r w:rsidRPr="00E90F19">
        <w:rPr>
          <w:rFonts w:asciiTheme="minorHAnsi" w:hAnsiTheme="minorHAnsi"/>
        </w:rPr>
        <w:t xml:space="preserve">liegt </w:t>
      </w:r>
      <w:r w:rsidR="00612A8B" w:rsidRPr="00E90F19">
        <w:rPr>
          <w:rFonts w:asciiTheme="minorHAnsi" w:hAnsiTheme="minorHAnsi"/>
        </w:rPr>
        <w:t xml:space="preserve">die Lagertemperatur </w:t>
      </w:r>
      <w:r w:rsidRPr="00E90F19">
        <w:rPr>
          <w:rFonts w:asciiTheme="minorHAnsi" w:hAnsiTheme="minorHAnsi"/>
        </w:rPr>
        <w:t xml:space="preserve">bei XXXX °C </w:t>
      </w:r>
      <w:r w:rsidRPr="00E90F19">
        <w:rPr>
          <w:rFonts w:asciiTheme="minorHAnsi" w:hAnsiTheme="minorHAnsi"/>
          <w:i/>
        </w:rPr>
        <w:t>(kälter als -70°C)</w:t>
      </w:r>
      <w:r w:rsidR="00612A8B" w:rsidRPr="00E90F19">
        <w:rPr>
          <w:rFonts w:asciiTheme="minorHAnsi" w:hAnsiTheme="minorHAnsi"/>
          <w:i/>
        </w:rPr>
        <w:t>.</w:t>
      </w:r>
      <w:r w:rsidR="00612A8B" w:rsidRPr="00E90F19">
        <w:rPr>
          <w:rFonts w:asciiTheme="minorHAnsi" w:hAnsiTheme="minorHAnsi"/>
        </w:rPr>
        <w:t xml:space="preserve"> </w:t>
      </w:r>
    </w:p>
    <w:p w14:paraId="47D1476D" w14:textId="49762AAA" w:rsidR="00FB5294" w:rsidRPr="00E90F19" w:rsidRDefault="00FB5294" w:rsidP="00E90F19">
      <w:pPr>
        <w:ind w:left="709"/>
        <w:jc w:val="both"/>
        <w:rPr>
          <w:rFonts w:asciiTheme="minorHAnsi" w:hAnsiTheme="minorHAnsi"/>
        </w:rPr>
      </w:pPr>
      <w:r w:rsidRPr="00E90F19">
        <w:rPr>
          <w:rFonts w:asciiTheme="minorHAnsi" w:hAnsiTheme="minorHAnsi"/>
        </w:rPr>
        <w:t xml:space="preserve">Zum Zeitpunkt des Einfrierens </w:t>
      </w:r>
      <w:r w:rsidR="00EB611F" w:rsidRPr="00E90F19">
        <w:rPr>
          <w:rFonts w:asciiTheme="minorHAnsi" w:hAnsiTheme="minorHAnsi"/>
        </w:rPr>
        <w:t>werden dokumentiert</w:t>
      </w:r>
      <w:r w:rsidRPr="00E90F19">
        <w:rPr>
          <w:rFonts w:asciiTheme="minorHAnsi" w:hAnsiTheme="minorHAnsi"/>
        </w:rPr>
        <w:t>:</w:t>
      </w:r>
    </w:p>
    <w:p w14:paraId="001B5773" w14:textId="77777777" w:rsidR="00FB5294" w:rsidRPr="00E90F19" w:rsidRDefault="00FB5294" w:rsidP="00E90F19">
      <w:pPr>
        <w:ind w:left="709"/>
        <w:jc w:val="both"/>
        <w:rPr>
          <w:rFonts w:asciiTheme="minorHAnsi" w:hAnsiTheme="minorHAnsi"/>
        </w:rPr>
      </w:pPr>
    </w:p>
    <w:p w14:paraId="0225F8F6" w14:textId="75DBEC52" w:rsidR="00FB5294" w:rsidRPr="00E90F19" w:rsidRDefault="00CE236E" w:rsidP="00E90F19">
      <w:pPr>
        <w:pStyle w:val="Listenabsatz"/>
        <w:numPr>
          <w:ilvl w:val="0"/>
          <w:numId w:val="10"/>
        </w:numPr>
        <w:ind w:left="1429"/>
        <w:jc w:val="both"/>
        <w:rPr>
          <w:rFonts w:asciiTheme="minorHAnsi" w:hAnsiTheme="minorHAnsi"/>
          <w:szCs w:val="24"/>
        </w:rPr>
      </w:pPr>
      <w:r w:rsidRPr="00E90F19">
        <w:rPr>
          <w:rFonts w:asciiTheme="minorHAnsi" w:hAnsiTheme="minorHAnsi"/>
          <w:szCs w:val="24"/>
        </w:rPr>
        <w:t xml:space="preserve">Die Einfriermethode, </w:t>
      </w:r>
      <w:r w:rsidR="00EB611F" w:rsidRPr="00E90F19">
        <w:rPr>
          <w:rFonts w:asciiTheme="minorHAnsi" w:hAnsiTheme="minorHAnsi"/>
          <w:i/>
          <w:szCs w:val="24"/>
        </w:rPr>
        <w:t>(</w:t>
      </w:r>
      <w:r w:rsidRPr="00E90F19">
        <w:rPr>
          <w:rFonts w:asciiTheme="minorHAnsi" w:hAnsiTheme="minorHAnsi"/>
          <w:i/>
          <w:szCs w:val="24"/>
        </w:rPr>
        <w:t xml:space="preserve">z.B. einfrieren in Stickstoff (Gasphase oder flüssig), </w:t>
      </w:r>
      <w:proofErr w:type="spellStart"/>
      <w:r w:rsidRPr="00E90F19">
        <w:rPr>
          <w:rFonts w:asciiTheme="minorHAnsi" w:hAnsiTheme="minorHAnsi"/>
          <w:i/>
          <w:szCs w:val="24"/>
        </w:rPr>
        <w:t>Isopentan</w:t>
      </w:r>
      <w:proofErr w:type="spellEnd"/>
      <w:r w:rsidRPr="00E90F19">
        <w:rPr>
          <w:rFonts w:asciiTheme="minorHAnsi" w:hAnsiTheme="minorHAnsi"/>
          <w:i/>
          <w:szCs w:val="24"/>
        </w:rPr>
        <w:t xml:space="preserve">, kontrollierte </w:t>
      </w:r>
      <w:proofErr w:type="spellStart"/>
      <w:r w:rsidRPr="00E90F19">
        <w:rPr>
          <w:rFonts w:asciiTheme="minorHAnsi" w:hAnsiTheme="minorHAnsi"/>
          <w:i/>
          <w:szCs w:val="24"/>
        </w:rPr>
        <w:t>Kühlrate</w:t>
      </w:r>
      <w:proofErr w:type="spellEnd"/>
      <w:r w:rsidR="00EB611F" w:rsidRPr="00E90F19">
        <w:rPr>
          <w:rFonts w:asciiTheme="minorHAnsi" w:hAnsiTheme="minorHAnsi"/>
          <w:i/>
          <w:szCs w:val="24"/>
        </w:rPr>
        <w:t>)</w:t>
      </w:r>
      <w:r w:rsidRPr="00E90F19">
        <w:rPr>
          <w:rFonts w:asciiTheme="minorHAnsi" w:hAnsiTheme="minorHAnsi"/>
          <w:i/>
          <w:szCs w:val="24"/>
        </w:rPr>
        <w:t>.</w:t>
      </w:r>
      <w:r w:rsidRPr="00E90F19">
        <w:rPr>
          <w:rFonts w:asciiTheme="minorHAnsi" w:hAnsiTheme="minorHAnsi"/>
          <w:szCs w:val="24"/>
        </w:rPr>
        <w:t xml:space="preserve"> </w:t>
      </w:r>
    </w:p>
    <w:p w14:paraId="129C4912" w14:textId="77777777" w:rsidR="00FB5294" w:rsidRPr="00E90F19" w:rsidRDefault="00CE236E" w:rsidP="00E90F19">
      <w:pPr>
        <w:pStyle w:val="Listenabsatz"/>
        <w:numPr>
          <w:ilvl w:val="0"/>
          <w:numId w:val="10"/>
        </w:numPr>
        <w:ind w:left="1429"/>
        <w:jc w:val="both"/>
        <w:rPr>
          <w:rFonts w:asciiTheme="minorHAnsi" w:hAnsiTheme="minorHAnsi"/>
          <w:szCs w:val="24"/>
        </w:rPr>
      </w:pPr>
      <w:r w:rsidRPr="00E90F19">
        <w:rPr>
          <w:rFonts w:asciiTheme="minorHAnsi" w:hAnsiTheme="minorHAnsi"/>
          <w:szCs w:val="24"/>
        </w:rPr>
        <w:t xml:space="preserve">Der Zeitpunkt des Einfrierens </w:t>
      </w:r>
    </w:p>
    <w:p w14:paraId="18DD6B77" w14:textId="77777777" w:rsidR="00FB5294" w:rsidRPr="00E90F19" w:rsidRDefault="00FB5294" w:rsidP="00E90F19">
      <w:pPr>
        <w:pStyle w:val="Listenabsatz"/>
        <w:numPr>
          <w:ilvl w:val="0"/>
          <w:numId w:val="10"/>
        </w:numPr>
        <w:ind w:left="1429"/>
        <w:jc w:val="both"/>
        <w:rPr>
          <w:rFonts w:asciiTheme="minorHAnsi" w:hAnsiTheme="minorHAnsi"/>
          <w:szCs w:val="24"/>
        </w:rPr>
      </w:pPr>
      <w:r w:rsidRPr="00E90F19">
        <w:rPr>
          <w:rFonts w:asciiTheme="minorHAnsi" w:hAnsiTheme="minorHAnsi"/>
          <w:szCs w:val="24"/>
        </w:rPr>
        <w:t xml:space="preserve">Die Lagerungsposition zum sicheren Auffinden der Probe </w:t>
      </w:r>
    </w:p>
    <w:p w14:paraId="15A23C34" w14:textId="77777777" w:rsidR="00FB5294" w:rsidRPr="00E90F19" w:rsidRDefault="00FB5294" w:rsidP="00E90F19">
      <w:pPr>
        <w:pStyle w:val="Listenabsatz"/>
        <w:ind w:left="1418"/>
        <w:jc w:val="both"/>
        <w:rPr>
          <w:rFonts w:asciiTheme="minorHAnsi" w:hAnsiTheme="minorHAnsi"/>
          <w:szCs w:val="24"/>
        </w:rPr>
      </w:pPr>
    </w:p>
    <w:p w14:paraId="12381F8C" w14:textId="77777777" w:rsidR="00EB611F" w:rsidRPr="00E90F19" w:rsidRDefault="00EB611F" w:rsidP="00E90F19">
      <w:pPr>
        <w:ind w:left="709"/>
        <w:jc w:val="both"/>
        <w:rPr>
          <w:rFonts w:asciiTheme="minorHAnsi" w:hAnsiTheme="minorHAnsi"/>
        </w:rPr>
      </w:pPr>
      <w:r w:rsidRPr="00E90F19">
        <w:rPr>
          <w:rFonts w:asciiTheme="minorHAnsi" w:hAnsiTheme="minorHAnsi"/>
        </w:rPr>
        <w:t xml:space="preserve">Für FFPE-Blöcke liegt die Lagertemperatur bei XXXX °C </w:t>
      </w:r>
    </w:p>
    <w:p w14:paraId="1BA368DF" w14:textId="2CA1DAE0" w:rsidR="004033C8" w:rsidRPr="00E90F19" w:rsidRDefault="00EB611F" w:rsidP="00E90F19">
      <w:pPr>
        <w:ind w:left="709"/>
        <w:jc w:val="both"/>
        <w:rPr>
          <w:rFonts w:asciiTheme="minorHAnsi" w:hAnsiTheme="minorHAnsi"/>
          <w:i/>
        </w:rPr>
      </w:pPr>
      <w:r w:rsidRPr="00E90F19">
        <w:rPr>
          <w:rFonts w:asciiTheme="minorHAnsi" w:hAnsiTheme="minorHAnsi"/>
        </w:rPr>
        <w:t>(</w:t>
      </w:r>
      <w:r w:rsidR="00B03E07">
        <w:rPr>
          <w:rFonts w:asciiTheme="minorHAnsi" w:hAnsiTheme="minorHAnsi"/>
          <w:i/>
        </w:rPr>
        <w:t>FFPE-</w:t>
      </w:r>
      <w:r w:rsidRPr="00E90F19">
        <w:rPr>
          <w:rFonts w:asciiTheme="minorHAnsi" w:hAnsiTheme="minorHAnsi"/>
          <w:i/>
        </w:rPr>
        <w:t>Blöcke sollten trocken und bei Raumtemperatur gelagert werden,</w:t>
      </w:r>
      <w:r w:rsidRPr="00E90F19">
        <w:rPr>
          <w:rFonts w:asciiTheme="minorHAnsi" w:eastAsia="Times New Roman" w:hAnsiTheme="minorHAnsi" w:cs="Times New Roman"/>
          <w:i/>
          <w:kern w:val="0"/>
          <w:lang w:eastAsia="en-US" w:bidi="ar-SA"/>
        </w:rPr>
        <w:t xml:space="preserve"> </w:t>
      </w:r>
      <w:r w:rsidRPr="00E90F19">
        <w:rPr>
          <w:rFonts w:asciiTheme="minorHAnsi" w:hAnsiTheme="minorHAnsi"/>
          <w:i/>
        </w:rPr>
        <w:t>direkte Sonneneinstrahlung sollte vermieden werden.</w:t>
      </w:r>
      <w:r w:rsidR="00B03E07">
        <w:rPr>
          <w:rFonts w:asciiTheme="minorHAnsi" w:hAnsiTheme="minorHAnsi"/>
          <w:i/>
        </w:rPr>
        <w:t xml:space="preserve"> </w:t>
      </w:r>
      <w:r w:rsidRPr="00E90F19">
        <w:rPr>
          <w:rFonts w:asciiTheme="minorHAnsi" w:hAnsiTheme="minorHAnsi"/>
          <w:i/>
        </w:rPr>
        <w:t>Wenn Möglichkeiten bestehen, die Blöcke bei niedrigeren Temperaturen, z.B. +4 °C oder -20 °C, zu lagern, so ist dies einer Lagerung bei Raumtemperatur vorzuziehen. Es sollte ein Archivieru</w:t>
      </w:r>
      <w:r w:rsidR="00B03E07">
        <w:rPr>
          <w:rFonts w:asciiTheme="minorHAnsi" w:hAnsiTheme="minorHAnsi"/>
          <w:i/>
        </w:rPr>
        <w:t>ngssystem zur Lagerung der FFPE-</w:t>
      </w:r>
      <w:r w:rsidRPr="00E90F19">
        <w:rPr>
          <w:rFonts w:asciiTheme="minorHAnsi" w:hAnsiTheme="minorHAnsi"/>
          <w:i/>
        </w:rPr>
        <w:t>Blöcke verwendet werden)</w:t>
      </w:r>
    </w:p>
    <w:p w14:paraId="65D417F3" w14:textId="1343AD26" w:rsidR="00EB611F" w:rsidRPr="00E90F19" w:rsidRDefault="00EB611F" w:rsidP="00E90F19">
      <w:pPr>
        <w:ind w:left="709"/>
        <w:jc w:val="both"/>
        <w:rPr>
          <w:rFonts w:asciiTheme="minorHAnsi" w:hAnsiTheme="minorHAnsi"/>
        </w:rPr>
      </w:pPr>
      <w:r w:rsidRPr="00E90F19">
        <w:rPr>
          <w:rFonts w:asciiTheme="minorHAnsi" w:hAnsiTheme="minorHAnsi"/>
        </w:rPr>
        <w:t>Zum Zeitpunkt des Einlagerns werden dokumentiert:</w:t>
      </w:r>
    </w:p>
    <w:p w14:paraId="0C066B1C" w14:textId="4D9C5198" w:rsidR="00EB611F" w:rsidRPr="00E90F19" w:rsidRDefault="00EB611F" w:rsidP="00E90F19">
      <w:pPr>
        <w:pStyle w:val="Listenabsatz"/>
        <w:numPr>
          <w:ilvl w:val="0"/>
          <w:numId w:val="10"/>
        </w:numPr>
        <w:ind w:left="1429"/>
        <w:jc w:val="both"/>
        <w:rPr>
          <w:rFonts w:asciiTheme="minorHAnsi" w:hAnsiTheme="minorHAnsi"/>
          <w:szCs w:val="24"/>
        </w:rPr>
      </w:pPr>
      <w:r w:rsidRPr="00E90F19">
        <w:rPr>
          <w:rFonts w:asciiTheme="minorHAnsi" w:hAnsiTheme="minorHAnsi"/>
          <w:szCs w:val="24"/>
        </w:rPr>
        <w:t>Der Zeitpunkt des Einlagerns</w:t>
      </w:r>
    </w:p>
    <w:p w14:paraId="468A395D" w14:textId="2F2B3BDD" w:rsidR="00B03E07" w:rsidRDefault="00EB611F" w:rsidP="00E90F19">
      <w:pPr>
        <w:pStyle w:val="Listenabsatz"/>
        <w:numPr>
          <w:ilvl w:val="0"/>
          <w:numId w:val="10"/>
        </w:numPr>
        <w:ind w:left="1429"/>
        <w:jc w:val="both"/>
        <w:rPr>
          <w:rFonts w:asciiTheme="minorHAnsi" w:hAnsiTheme="minorHAnsi"/>
          <w:szCs w:val="24"/>
        </w:rPr>
      </w:pPr>
      <w:r w:rsidRPr="00E90F19">
        <w:rPr>
          <w:rFonts w:asciiTheme="minorHAnsi" w:hAnsiTheme="minorHAnsi"/>
          <w:szCs w:val="24"/>
        </w:rPr>
        <w:t xml:space="preserve">Die Lagerungsposition zum sicheren Auffinden der Probe </w:t>
      </w:r>
    </w:p>
    <w:p w14:paraId="28A46A20" w14:textId="77777777" w:rsidR="00B03E07" w:rsidRDefault="00B03E07">
      <w:pPr>
        <w:rPr>
          <w:rFonts w:asciiTheme="minorHAnsi" w:hAnsiTheme="minorHAnsi" w:cs="Mangal"/>
        </w:rPr>
      </w:pPr>
      <w:r>
        <w:rPr>
          <w:rFonts w:asciiTheme="minorHAnsi" w:hAnsiTheme="minorHAnsi"/>
        </w:rPr>
        <w:br w:type="page"/>
      </w:r>
    </w:p>
    <w:p w14:paraId="04270E3B" w14:textId="46880320" w:rsidR="005C6DA4" w:rsidRPr="00B03E07" w:rsidRDefault="005C6DA4" w:rsidP="00B03E07">
      <w:pPr>
        <w:pStyle w:val="Listenabsatz"/>
        <w:ind w:left="1429"/>
        <w:jc w:val="both"/>
        <w:rPr>
          <w:rFonts w:asciiTheme="minorHAnsi" w:hAnsiTheme="minorHAnsi"/>
          <w:szCs w:val="24"/>
        </w:rPr>
      </w:pPr>
    </w:p>
    <w:p w14:paraId="06EE7396" w14:textId="77777777" w:rsidR="005C6DA4" w:rsidRPr="00E90F19" w:rsidRDefault="009F7121" w:rsidP="00E90F19">
      <w:pPr>
        <w:numPr>
          <w:ilvl w:val="0"/>
          <w:numId w:val="1"/>
        </w:numPr>
        <w:jc w:val="both"/>
        <w:rPr>
          <w:rFonts w:asciiTheme="minorHAnsi" w:hAnsiTheme="minorHAnsi"/>
          <w:b/>
          <w:bCs/>
        </w:rPr>
      </w:pPr>
      <w:r w:rsidRPr="00E90F19">
        <w:rPr>
          <w:rFonts w:asciiTheme="minorHAnsi" w:hAnsiTheme="minorHAnsi"/>
          <w:b/>
          <w:bCs/>
        </w:rPr>
        <w:t xml:space="preserve">Durchführung (ggf. </w:t>
      </w:r>
      <w:proofErr w:type="spellStart"/>
      <w:r w:rsidRPr="00E90F19">
        <w:rPr>
          <w:rFonts w:asciiTheme="minorHAnsi" w:hAnsiTheme="minorHAnsi"/>
          <w:b/>
          <w:bCs/>
        </w:rPr>
        <w:t>FlowChart</w:t>
      </w:r>
      <w:proofErr w:type="spellEnd"/>
      <w:r w:rsidRPr="00E90F19">
        <w:rPr>
          <w:rFonts w:asciiTheme="minorHAnsi" w:hAnsiTheme="minorHAnsi"/>
          <w:b/>
          <w:bCs/>
        </w:rPr>
        <w:t>)</w:t>
      </w:r>
    </w:p>
    <w:p w14:paraId="2366F48C" w14:textId="240C2EFD" w:rsidR="005C6DA4" w:rsidRPr="00E90F19" w:rsidRDefault="009F7121" w:rsidP="00E90F19">
      <w:pPr>
        <w:jc w:val="both"/>
        <w:rPr>
          <w:rFonts w:asciiTheme="minorHAnsi" w:hAnsiTheme="minorHAnsi"/>
          <w:b/>
          <w:bCs/>
        </w:rPr>
      </w:pPr>
      <w:r w:rsidRPr="00E90F19">
        <w:rPr>
          <w:rFonts w:asciiTheme="minorHAnsi" w:hAnsiTheme="minorHAnsi"/>
          <w:b/>
          <w:bCs/>
        </w:rPr>
        <w:tab/>
      </w:r>
      <w:r w:rsidRPr="00E90F19">
        <w:rPr>
          <w:rFonts w:asciiTheme="minorHAnsi" w:hAnsiTheme="minorHAnsi"/>
          <w:i/>
          <w:iCs/>
        </w:rPr>
        <w:t xml:space="preserve">Beschreibung des Verfahrens inklusive der für die jeweiligen Unterschritte </w:t>
      </w:r>
      <w:r w:rsidRPr="00E90F19">
        <w:rPr>
          <w:rFonts w:asciiTheme="minorHAnsi" w:hAnsiTheme="minorHAnsi"/>
          <w:i/>
          <w:iCs/>
        </w:rPr>
        <w:tab/>
      </w:r>
      <w:r w:rsidR="00E90F19">
        <w:rPr>
          <w:rFonts w:asciiTheme="minorHAnsi" w:hAnsiTheme="minorHAnsi"/>
          <w:i/>
          <w:iCs/>
        </w:rPr>
        <w:tab/>
      </w:r>
      <w:r w:rsidRPr="00E90F19">
        <w:rPr>
          <w:rFonts w:asciiTheme="minorHAnsi" w:hAnsiTheme="minorHAnsi"/>
          <w:i/>
          <w:iCs/>
        </w:rPr>
        <w:t>zuständigen Personen, erforderlichen Geräte, Räume</w:t>
      </w:r>
    </w:p>
    <w:p w14:paraId="0CD6401D" w14:textId="55B847B2" w:rsidR="00CE236E" w:rsidRPr="00E90F19" w:rsidRDefault="00CE236E" w:rsidP="00E90F19">
      <w:pPr>
        <w:jc w:val="both"/>
        <w:rPr>
          <w:rFonts w:asciiTheme="minorHAnsi" w:hAnsiTheme="minorHAnsi"/>
        </w:rPr>
      </w:pPr>
    </w:p>
    <w:p w14:paraId="45580A5C" w14:textId="77777777" w:rsidR="009726A3" w:rsidRPr="00E90F19" w:rsidRDefault="00FB5294" w:rsidP="00E90F19">
      <w:pPr>
        <w:pStyle w:val="Listenabsatz"/>
        <w:numPr>
          <w:ilvl w:val="0"/>
          <w:numId w:val="9"/>
        </w:numPr>
        <w:jc w:val="both"/>
        <w:rPr>
          <w:rFonts w:asciiTheme="minorHAnsi" w:hAnsiTheme="minorHAnsi"/>
          <w:b/>
          <w:szCs w:val="24"/>
        </w:rPr>
      </w:pPr>
      <w:r w:rsidRPr="00E90F19">
        <w:rPr>
          <w:rFonts w:asciiTheme="minorHAnsi" w:hAnsiTheme="minorHAnsi"/>
          <w:b/>
          <w:szCs w:val="24"/>
        </w:rPr>
        <w:tab/>
      </w:r>
      <w:r w:rsidR="009726A3" w:rsidRPr="00E90F19">
        <w:rPr>
          <w:rFonts w:asciiTheme="minorHAnsi" w:hAnsiTheme="minorHAnsi"/>
          <w:b/>
          <w:szCs w:val="24"/>
        </w:rPr>
        <w:t>Primärprobeneingang</w:t>
      </w:r>
    </w:p>
    <w:p w14:paraId="4E19D6CA" w14:textId="77777777" w:rsidR="009726A3" w:rsidRPr="00E90F19" w:rsidRDefault="009726A3" w:rsidP="00E90F19">
      <w:pPr>
        <w:jc w:val="both"/>
        <w:rPr>
          <w:rFonts w:asciiTheme="minorHAnsi" w:hAnsiTheme="minorHAnsi"/>
        </w:rPr>
      </w:pPr>
    </w:p>
    <w:p w14:paraId="3D35DAB3" w14:textId="19A35B3F" w:rsidR="004033C8" w:rsidRPr="00E90F19" w:rsidRDefault="004033C8" w:rsidP="00E90F19">
      <w:pPr>
        <w:ind w:left="709"/>
        <w:jc w:val="both"/>
        <w:rPr>
          <w:rFonts w:asciiTheme="minorHAnsi" w:hAnsiTheme="minorHAnsi"/>
        </w:rPr>
      </w:pPr>
      <w:r w:rsidRPr="00E90F19">
        <w:rPr>
          <w:rFonts w:asciiTheme="minorHAnsi" w:hAnsiTheme="minorHAnsi"/>
        </w:rPr>
        <w:t>Der Probenempfang wird durch die B</w:t>
      </w:r>
      <w:r w:rsidR="00935021" w:rsidRPr="00E90F19">
        <w:rPr>
          <w:rFonts w:asciiTheme="minorHAnsi" w:hAnsiTheme="minorHAnsi"/>
        </w:rPr>
        <w:t xml:space="preserve">iobank </w:t>
      </w:r>
      <w:r w:rsidRPr="00E90F19">
        <w:rPr>
          <w:rFonts w:asciiTheme="minorHAnsi" w:hAnsiTheme="minorHAnsi"/>
        </w:rPr>
        <w:t>dokumentiert und die Probe in einer Datenbank registriert</w:t>
      </w:r>
      <w:r w:rsidR="00B03E07">
        <w:rPr>
          <w:rFonts w:asciiTheme="minorHAnsi" w:hAnsiTheme="minorHAnsi"/>
        </w:rPr>
        <w:t>.</w:t>
      </w:r>
    </w:p>
    <w:p w14:paraId="368DF397" w14:textId="77777777" w:rsidR="009726A3" w:rsidRPr="00E90F19" w:rsidRDefault="009726A3" w:rsidP="00E90F19">
      <w:pPr>
        <w:ind w:left="709"/>
        <w:jc w:val="both"/>
        <w:rPr>
          <w:rFonts w:asciiTheme="minorHAnsi" w:hAnsiTheme="minorHAnsi"/>
        </w:rPr>
      </w:pPr>
    </w:p>
    <w:p w14:paraId="5CB677FD" w14:textId="73B59780" w:rsidR="009726A3" w:rsidRPr="00E90F19" w:rsidRDefault="009726A3" w:rsidP="00E90F19">
      <w:pPr>
        <w:pStyle w:val="berschrift2"/>
        <w:numPr>
          <w:ilvl w:val="0"/>
          <w:numId w:val="0"/>
        </w:numPr>
        <w:ind w:left="1285"/>
        <w:jc w:val="both"/>
        <w:rPr>
          <w:rFonts w:asciiTheme="minorHAnsi" w:eastAsia="SimSun" w:hAnsiTheme="minorHAnsi" w:cs="Tahoma"/>
          <w:b w:val="0"/>
          <w:kern w:val="3"/>
          <w:sz w:val="24"/>
          <w:szCs w:val="24"/>
          <w:lang w:eastAsia="zh-CN" w:bidi="hi-IN"/>
        </w:rPr>
      </w:pPr>
      <w:bookmarkStart w:id="0" w:name="_Toc455133355"/>
      <w:r w:rsidRPr="00E90F19">
        <w:rPr>
          <w:rFonts w:asciiTheme="minorHAnsi" w:eastAsia="SimSun" w:hAnsiTheme="minorHAnsi" w:cs="Tahoma"/>
          <w:b w:val="0"/>
          <w:kern w:val="3"/>
          <w:sz w:val="24"/>
          <w:szCs w:val="24"/>
          <w:lang w:eastAsia="zh-CN" w:bidi="hi-IN"/>
        </w:rPr>
        <w:t>Dokumentation beim Probeneingang</w:t>
      </w:r>
      <w:bookmarkEnd w:id="0"/>
      <w:r w:rsidR="00EB611F" w:rsidRPr="00E90F19">
        <w:rPr>
          <w:rFonts w:asciiTheme="minorHAnsi" w:eastAsia="SimSun" w:hAnsiTheme="minorHAnsi" w:cs="Tahoma"/>
          <w:b w:val="0"/>
          <w:kern w:val="3"/>
          <w:sz w:val="24"/>
          <w:szCs w:val="24"/>
          <w:lang w:eastAsia="zh-CN" w:bidi="hi-IN"/>
        </w:rPr>
        <w:t>:</w:t>
      </w:r>
    </w:p>
    <w:p w14:paraId="264B71C2" w14:textId="77777777" w:rsidR="004033C8" w:rsidRPr="00E90F19" w:rsidRDefault="004033C8" w:rsidP="00E90F19">
      <w:pPr>
        <w:widowControl/>
        <w:numPr>
          <w:ilvl w:val="1"/>
          <w:numId w:val="8"/>
        </w:numPr>
        <w:tabs>
          <w:tab w:val="clear" w:pos="1440"/>
          <w:tab w:val="num" w:pos="2149"/>
        </w:tabs>
        <w:suppressAutoHyphens w:val="0"/>
        <w:autoSpaceDN/>
        <w:spacing w:before="60"/>
        <w:ind w:left="2149"/>
        <w:jc w:val="both"/>
        <w:textAlignment w:val="auto"/>
        <w:rPr>
          <w:rFonts w:asciiTheme="minorHAnsi" w:hAnsiTheme="minorHAnsi"/>
        </w:rPr>
      </w:pPr>
      <w:r w:rsidRPr="00E90F19">
        <w:rPr>
          <w:rFonts w:asciiTheme="minorHAnsi" w:hAnsiTheme="minorHAnsi"/>
        </w:rPr>
        <w:t>Identität der Probe</w:t>
      </w:r>
    </w:p>
    <w:p w14:paraId="11C1C633" w14:textId="77777777" w:rsidR="009726A3" w:rsidRPr="00E90F19" w:rsidRDefault="009726A3" w:rsidP="00E90F19">
      <w:pPr>
        <w:widowControl/>
        <w:numPr>
          <w:ilvl w:val="1"/>
          <w:numId w:val="8"/>
        </w:numPr>
        <w:tabs>
          <w:tab w:val="clear" w:pos="1440"/>
          <w:tab w:val="num" w:pos="2149"/>
        </w:tabs>
        <w:suppressAutoHyphens w:val="0"/>
        <w:autoSpaceDN/>
        <w:spacing w:before="60"/>
        <w:ind w:left="2149"/>
        <w:jc w:val="both"/>
        <w:textAlignment w:val="auto"/>
        <w:rPr>
          <w:rFonts w:asciiTheme="minorHAnsi" w:hAnsiTheme="minorHAnsi"/>
        </w:rPr>
      </w:pPr>
      <w:r w:rsidRPr="00E90F19">
        <w:rPr>
          <w:rFonts w:asciiTheme="minorHAnsi" w:hAnsiTheme="minorHAnsi"/>
        </w:rPr>
        <w:t xml:space="preserve">Identität der Person, die die Primärprobe entgegen nimmt </w:t>
      </w:r>
    </w:p>
    <w:p w14:paraId="2C35AECC" w14:textId="77777777" w:rsidR="009726A3" w:rsidRPr="00E90F19" w:rsidRDefault="009726A3" w:rsidP="00E90F19">
      <w:pPr>
        <w:widowControl/>
        <w:numPr>
          <w:ilvl w:val="1"/>
          <w:numId w:val="8"/>
        </w:numPr>
        <w:tabs>
          <w:tab w:val="clear" w:pos="1440"/>
          <w:tab w:val="num" w:pos="2149"/>
        </w:tabs>
        <w:suppressAutoHyphens w:val="0"/>
        <w:autoSpaceDN/>
        <w:spacing w:before="60"/>
        <w:ind w:left="2149"/>
        <w:jc w:val="both"/>
        <w:textAlignment w:val="auto"/>
        <w:rPr>
          <w:rFonts w:asciiTheme="minorHAnsi" w:hAnsiTheme="minorHAnsi"/>
        </w:rPr>
      </w:pPr>
      <w:r w:rsidRPr="00E90F19">
        <w:rPr>
          <w:rFonts w:asciiTheme="minorHAnsi" w:hAnsiTheme="minorHAnsi"/>
        </w:rPr>
        <w:t xml:space="preserve">Datum, Uhrzeit des Primärprobeneingangs </w:t>
      </w:r>
    </w:p>
    <w:p w14:paraId="4F1442B9" w14:textId="77777777" w:rsidR="009726A3" w:rsidRPr="00E90F19" w:rsidRDefault="004033C8" w:rsidP="00E90F19">
      <w:pPr>
        <w:widowControl/>
        <w:numPr>
          <w:ilvl w:val="1"/>
          <w:numId w:val="8"/>
        </w:numPr>
        <w:tabs>
          <w:tab w:val="clear" w:pos="1440"/>
          <w:tab w:val="num" w:pos="2149"/>
        </w:tabs>
        <w:suppressAutoHyphens w:val="0"/>
        <w:autoSpaceDN/>
        <w:spacing w:before="60"/>
        <w:ind w:left="2149"/>
        <w:jc w:val="both"/>
        <w:textAlignment w:val="auto"/>
        <w:rPr>
          <w:rFonts w:asciiTheme="minorHAnsi" w:hAnsiTheme="minorHAnsi"/>
        </w:rPr>
      </w:pPr>
      <w:r w:rsidRPr="00E90F19">
        <w:rPr>
          <w:rFonts w:asciiTheme="minorHAnsi" w:hAnsiTheme="minorHAnsi"/>
        </w:rPr>
        <w:t>Vollständigkeit der Lieferung</w:t>
      </w:r>
    </w:p>
    <w:p w14:paraId="1CDA2553" w14:textId="77777777" w:rsidR="009726A3" w:rsidRPr="00E90F19" w:rsidRDefault="009726A3" w:rsidP="00E90F19">
      <w:pPr>
        <w:widowControl/>
        <w:numPr>
          <w:ilvl w:val="1"/>
          <w:numId w:val="8"/>
        </w:numPr>
        <w:tabs>
          <w:tab w:val="clear" w:pos="1440"/>
          <w:tab w:val="num" w:pos="2149"/>
        </w:tabs>
        <w:suppressAutoHyphens w:val="0"/>
        <w:autoSpaceDN/>
        <w:spacing w:before="60"/>
        <w:ind w:left="2149"/>
        <w:jc w:val="both"/>
        <w:textAlignment w:val="auto"/>
        <w:rPr>
          <w:rFonts w:asciiTheme="minorHAnsi" w:hAnsiTheme="minorHAnsi"/>
        </w:rPr>
      </w:pPr>
      <w:r w:rsidRPr="00E90F19">
        <w:rPr>
          <w:rFonts w:asciiTheme="minorHAnsi" w:hAnsiTheme="minorHAnsi"/>
        </w:rPr>
        <w:t>Abweichungen bei der Identifikation, von den Spezifikationen der Transportbedingungen, undichte/zerbrochene Gefäße usw.</w:t>
      </w:r>
    </w:p>
    <w:p w14:paraId="04A6419D" w14:textId="77777777" w:rsidR="009726A3" w:rsidRPr="00E90F19" w:rsidRDefault="009726A3" w:rsidP="00E90F19">
      <w:pPr>
        <w:ind w:left="709"/>
        <w:jc w:val="both"/>
        <w:rPr>
          <w:rFonts w:asciiTheme="minorHAnsi" w:hAnsiTheme="minorHAnsi"/>
        </w:rPr>
      </w:pPr>
    </w:p>
    <w:p w14:paraId="4D9E84B0" w14:textId="77777777" w:rsidR="009726A3" w:rsidRPr="00E90F19" w:rsidRDefault="009726A3" w:rsidP="00E90F19">
      <w:pPr>
        <w:pStyle w:val="berschrift2"/>
        <w:numPr>
          <w:ilvl w:val="0"/>
          <w:numId w:val="0"/>
        </w:numPr>
        <w:ind w:left="1285"/>
        <w:jc w:val="both"/>
        <w:rPr>
          <w:rFonts w:asciiTheme="minorHAnsi" w:eastAsia="SimSun" w:hAnsiTheme="minorHAnsi" w:cs="Tahoma"/>
          <w:b w:val="0"/>
          <w:kern w:val="3"/>
          <w:sz w:val="24"/>
          <w:szCs w:val="24"/>
          <w:lang w:eastAsia="zh-CN" w:bidi="hi-IN"/>
        </w:rPr>
      </w:pPr>
      <w:bookmarkStart w:id="1" w:name="_Toc455133356"/>
      <w:r w:rsidRPr="00E90F19">
        <w:rPr>
          <w:rFonts w:asciiTheme="minorHAnsi" w:eastAsia="SimSun" w:hAnsiTheme="minorHAnsi" w:cs="Tahoma"/>
          <w:b w:val="0"/>
          <w:kern w:val="3"/>
          <w:sz w:val="24"/>
          <w:szCs w:val="24"/>
          <w:lang w:eastAsia="zh-CN" w:bidi="hi-IN"/>
        </w:rPr>
        <w:t>Anforderung an die Lagerungsbedingungen bei Probeneingang in d</w:t>
      </w:r>
      <w:r w:rsidR="004033C8" w:rsidRPr="00E90F19">
        <w:rPr>
          <w:rFonts w:asciiTheme="minorHAnsi" w:eastAsia="SimSun" w:hAnsiTheme="minorHAnsi" w:cs="Tahoma"/>
          <w:b w:val="0"/>
          <w:kern w:val="3"/>
          <w:sz w:val="24"/>
          <w:szCs w:val="24"/>
          <w:lang w:eastAsia="zh-CN" w:bidi="hi-IN"/>
        </w:rPr>
        <w:t>i</w:t>
      </w:r>
      <w:r w:rsidRPr="00E90F19">
        <w:rPr>
          <w:rFonts w:asciiTheme="minorHAnsi" w:eastAsia="SimSun" w:hAnsiTheme="minorHAnsi" w:cs="Tahoma"/>
          <w:b w:val="0"/>
          <w:kern w:val="3"/>
          <w:sz w:val="24"/>
          <w:szCs w:val="24"/>
          <w:lang w:eastAsia="zh-CN" w:bidi="hi-IN"/>
        </w:rPr>
        <w:t>e Biobank</w:t>
      </w:r>
      <w:bookmarkEnd w:id="1"/>
      <w:r w:rsidRPr="00E90F19">
        <w:rPr>
          <w:rFonts w:asciiTheme="minorHAnsi" w:eastAsia="SimSun" w:hAnsiTheme="minorHAnsi" w:cs="Tahoma"/>
          <w:b w:val="0"/>
          <w:kern w:val="3"/>
          <w:sz w:val="24"/>
          <w:szCs w:val="24"/>
          <w:lang w:eastAsia="zh-CN" w:bidi="hi-IN"/>
        </w:rPr>
        <w:t>:</w:t>
      </w:r>
    </w:p>
    <w:p w14:paraId="65745B16" w14:textId="1B06E2F9" w:rsidR="009726A3" w:rsidRPr="00E90F19" w:rsidRDefault="009726A3" w:rsidP="00E90F19">
      <w:pPr>
        <w:widowControl/>
        <w:numPr>
          <w:ilvl w:val="1"/>
          <w:numId w:val="8"/>
        </w:numPr>
        <w:tabs>
          <w:tab w:val="clear" w:pos="1440"/>
          <w:tab w:val="num" w:pos="2149"/>
        </w:tabs>
        <w:suppressAutoHyphens w:val="0"/>
        <w:autoSpaceDN/>
        <w:spacing w:before="60"/>
        <w:ind w:left="2149"/>
        <w:jc w:val="both"/>
        <w:textAlignment w:val="auto"/>
        <w:rPr>
          <w:rFonts w:asciiTheme="minorHAnsi" w:hAnsiTheme="minorHAnsi"/>
        </w:rPr>
      </w:pPr>
      <w:r w:rsidRPr="00E90F19">
        <w:rPr>
          <w:rFonts w:asciiTheme="minorHAnsi" w:hAnsiTheme="minorHAnsi"/>
        </w:rPr>
        <w:t xml:space="preserve">Die Lagerungstemperatur und der Zeitraum zwischen dem Primärprobeneingang und der Probenverarbeitung </w:t>
      </w:r>
      <w:r w:rsidR="00EB611F" w:rsidRPr="00E90F19">
        <w:rPr>
          <w:rFonts w:asciiTheme="minorHAnsi" w:hAnsiTheme="minorHAnsi"/>
        </w:rPr>
        <w:t>werden</w:t>
      </w:r>
      <w:r w:rsidRPr="00E90F19">
        <w:rPr>
          <w:rFonts w:asciiTheme="minorHAnsi" w:hAnsiTheme="minorHAnsi"/>
        </w:rPr>
        <w:t xml:space="preserve"> dokumentiert und </w:t>
      </w:r>
      <w:r w:rsidR="00EB611F" w:rsidRPr="00E90F19">
        <w:rPr>
          <w:rFonts w:asciiTheme="minorHAnsi" w:hAnsiTheme="minorHAnsi"/>
        </w:rPr>
        <w:t xml:space="preserve">sind </w:t>
      </w:r>
      <w:r w:rsidRPr="00E90F19">
        <w:rPr>
          <w:rFonts w:asciiTheme="minorHAnsi" w:hAnsiTheme="minorHAnsi"/>
        </w:rPr>
        <w:t xml:space="preserve">jederzeit </w:t>
      </w:r>
      <w:proofErr w:type="spellStart"/>
      <w:r w:rsidRPr="00E90F19">
        <w:rPr>
          <w:rFonts w:asciiTheme="minorHAnsi" w:hAnsiTheme="minorHAnsi"/>
        </w:rPr>
        <w:t>nachverfolgbar</w:t>
      </w:r>
      <w:proofErr w:type="spellEnd"/>
      <w:r w:rsidR="004033C8" w:rsidRPr="00E90F19">
        <w:rPr>
          <w:rFonts w:asciiTheme="minorHAnsi" w:hAnsiTheme="minorHAnsi"/>
        </w:rPr>
        <w:t>.</w:t>
      </w:r>
      <w:r w:rsidRPr="00E90F19">
        <w:rPr>
          <w:rFonts w:asciiTheme="minorHAnsi" w:hAnsiTheme="minorHAnsi"/>
        </w:rPr>
        <w:t xml:space="preserve"> </w:t>
      </w:r>
    </w:p>
    <w:p w14:paraId="1BFB5DD9" w14:textId="76CCE0E1" w:rsidR="00FB5294" w:rsidRPr="00E90F19" w:rsidRDefault="009726A3" w:rsidP="00E90F19">
      <w:pPr>
        <w:widowControl/>
        <w:numPr>
          <w:ilvl w:val="1"/>
          <w:numId w:val="8"/>
        </w:numPr>
        <w:tabs>
          <w:tab w:val="clear" w:pos="1440"/>
          <w:tab w:val="num" w:pos="2149"/>
        </w:tabs>
        <w:suppressAutoHyphens w:val="0"/>
        <w:autoSpaceDN/>
        <w:spacing w:before="60"/>
        <w:ind w:left="2149"/>
        <w:jc w:val="both"/>
        <w:textAlignment w:val="auto"/>
        <w:rPr>
          <w:rFonts w:asciiTheme="minorHAnsi" w:hAnsiTheme="minorHAnsi"/>
        </w:rPr>
      </w:pPr>
      <w:r w:rsidRPr="00E90F19">
        <w:rPr>
          <w:rFonts w:asciiTheme="minorHAnsi" w:hAnsiTheme="minorHAnsi"/>
        </w:rPr>
        <w:t xml:space="preserve">Die Lagerungstemperatur und die Gesamtlagerungsdauer </w:t>
      </w:r>
      <w:r w:rsidR="00EB611F" w:rsidRPr="00E90F19">
        <w:rPr>
          <w:rFonts w:asciiTheme="minorHAnsi" w:hAnsiTheme="minorHAnsi"/>
        </w:rPr>
        <w:t>entsprechen</w:t>
      </w:r>
      <w:r w:rsidR="004033C8" w:rsidRPr="00E90F19">
        <w:rPr>
          <w:rFonts w:asciiTheme="minorHAnsi" w:hAnsiTheme="minorHAnsi"/>
        </w:rPr>
        <w:t xml:space="preserve"> den</w:t>
      </w:r>
      <w:r w:rsidRPr="00E90F19">
        <w:rPr>
          <w:rFonts w:asciiTheme="minorHAnsi" w:hAnsiTheme="minorHAnsi"/>
        </w:rPr>
        <w:t xml:space="preserve"> Spezifikationen der Hersteller der Probengefäße</w:t>
      </w:r>
      <w:r w:rsidR="00EB611F" w:rsidRPr="00E90F19">
        <w:rPr>
          <w:rFonts w:asciiTheme="minorHAnsi" w:hAnsiTheme="minorHAnsi"/>
        </w:rPr>
        <w:t>.</w:t>
      </w:r>
      <w:r w:rsidRPr="00E90F19">
        <w:rPr>
          <w:rFonts w:asciiTheme="minorHAnsi" w:hAnsiTheme="minorHAnsi"/>
        </w:rPr>
        <w:t xml:space="preserve"> Die Lagerbedingungen </w:t>
      </w:r>
      <w:r w:rsidR="00EB611F" w:rsidRPr="00E90F19">
        <w:rPr>
          <w:rFonts w:asciiTheme="minorHAnsi" w:hAnsiTheme="minorHAnsi"/>
        </w:rPr>
        <w:t>werden</w:t>
      </w:r>
      <w:r w:rsidRPr="00E90F19">
        <w:rPr>
          <w:rFonts w:asciiTheme="minorHAnsi" w:hAnsiTheme="minorHAnsi"/>
        </w:rPr>
        <w:t xml:space="preserve"> an allen Lagerorten kontinuierlich </w:t>
      </w:r>
      <w:r w:rsidR="00EB611F" w:rsidRPr="00E90F19">
        <w:rPr>
          <w:rFonts w:asciiTheme="minorHAnsi" w:hAnsiTheme="minorHAnsi"/>
        </w:rPr>
        <w:t>überwacht</w:t>
      </w:r>
      <w:r w:rsidRPr="00E90F19">
        <w:rPr>
          <w:rFonts w:asciiTheme="minorHAnsi" w:hAnsiTheme="minorHAnsi"/>
        </w:rPr>
        <w:t xml:space="preserve">. </w:t>
      </w:r>
    </w:p>
    <w:p w14:paraId="1269604D" w14:textId="10530FA5" w:rsidR="00B640CF" w:rsidRPr="00E90F19" w:rsidRDefault="009726A3" w:rsidP="00E90F19">
      <w:pPr>
        <w:widowControl/>
        <w:numPr>
          <w:ilvl w:val="1"/>
          <w:numId w:val="8"/>
        </w:numPr>
        <w:tabs>
          <w:tab w:val="clear" w:pos="1440"/>
          <w:tab w:val="num" w:pos="2149"/>
        </w:tabs>
        <w:suppressAutoHyphens w:val="0"/>
        <w:autoSpaceDN/>
        <w:spacing w:before="60"/>
        <w:ind w:left="2149"/>
        <w:jc w:val="both"/>
        <w:textAlignment w:val="auto"/>
        <w:rPr>
          <w:rFonts w:asciiTheme="minorHAnsi" w:hAnsiTheme="minorHAnsi"/>
        </w:rPr>
      </w:pPr>
      <w:r w:rsidRPr="00E90F19">
        <w:rPr>
          <w:rFonts w:asciiTheme="minorHAnsi" w:hAnsiTheme="minorHAnsi"/>
        </w:rPr>
        <w:t xml:space="preserve">Abweichungen vom vorgeschriebenen Verfahren </w:t>
      </w:r>
      <w:r w:rsidR="00EB611F" w:rsidRPr="00E90F19">
        <w:rPr>
          <w:rFonts w:asciiTheme="minorHAnsi" w:hAnsiTheme="minorHAnsi"/>
        </w:rPr>
        <w:t>werden dokumentiert</w:t>
      </w:r>
      <w:r w:rsidRPr="00E90F19">
        <w:rPr>
          <w:rFonts w:asciiTheme="minorHAnsi" w:hAnsiTheme="minorHAnsi"/>
        </w:rPr>
        <w:t xml:space="preserve">. </w:t>
      </w:r>
    </w:p>
    <w:p w14:paraId="512194B7" w14:textId="77777777" w:rsidR="00FB5294" w:rsidRPr="00E90F19" w:rsidRDefault="00FB5294" w:rsidP="00E90F19">
      <w:pPr>
        <w:widowControl/>
        <w:suppressAutoHyphens w:val="0"/>
        <w:autoSpaceDN/>
        <w:spacing w:before="60"/>
        <w:jc w:val="both"/>
        <w:textAlignment w:val="auto"/>
        <w:rPr>
          <w:rFonts w:asciiTheme="minorHAnsi" w:hAnsiTheme="minorHAnsi"/>
        </w:rPr>
      </w:pPr>
    </w:p>
    <w:p w14:paraId="429FFDFF" w14:textId="77777777" w:rsidR="009726A3" w:rsidRPr="00E90F19" w:rsidRDefault="009726A3" w:rsidP="00E90F19">
      <w:pPr>
        <w:ind w:left="567"/>
        <w:jc w:val="both"/>
        <w:rPr>
          <w:rFonts w:asciiTheme="minorHAnsi" w:hAnsiTheme="minorHAnsi"/>
        </w:rPr>
      </w:pPr>
    </w:p>
    <w:p w14:paraId="3F9ADC5E" w14:textId="77777777" w:rsidR="00FB5294" w:rsidRPr="00E90F19" w:rsidRDefault="00FB5294" w:rsidP="00E90F19">
      <w:pPr>
        <w:pStyle w:val="Listenabsatz"/>
        <w:numPr>
          <w:ilvl w:val="0"/>
          <w:numId w:val="9"/>
        </w:numPr>
        <w:jc w:val="both"/>
        <w:rPr>
          <w:rFonts w:asciiTheme="minorHAnsi" w:hAnsiTheme="minorHAnsi"/>
          <w:b/>
          <w:szCs w:val="24"/>
        </w:rPr>
      </w:pPr>
      <w:r w:rsidRPr="00E90F19">
        <w:rPr>
          <w:rFonts w:asciiTheme="minorHAnsi" w:hAnsiTheme="minorHAnsi"/>
          <w:b/>
          <w:szCs w:val="24"/>
        </w:rPr>
        <w:tab/>
      </w:r>
      <w:r w:rsidR="009726A3" w:rsidRPr="00E90F19">
        <w:rPr>
          <w:rFonts w:asciiTheme="minorHAnsi" w:hAnsiTheme="minorHAnsi"/>
          <w:b/>
          <w:szCs w:val="24"/>
        </w:rPr>
        <w:t>Einlagerung von Gewebeproben</w:t>
      </w:r>
    </w:p>
    <w:p w14:paraId="1E8BC2A2" w14:textId="77777777" w:rsidR="00FB5294" w:rsidRPr="00E90F19" w:rsidRDefault="00FB5294" w:rsidP="00E90F19">
      <w:pPr>
        <w:pStyle w:val="Listenabsatz"/>
        <w:ind w:left="0"/>
        <w:jc w:val="both"/>
        <w:rPr>
          <w:rFonts w:asciiTheme="minorHAnsi" w:hAnsiTheme="minorHAnsi"/>
          <w:b/>
          <w:szCs w:val="24"/>
        </w:rPr>
      </w:pPr>
    </w:p>
    <w:p w14:paraId="223D3543" w14:textId="14E238B4" w:rsidR="0049743C" w:rsidRPr="00E90F19" w:rsidRDefault="0049743C" w:rsidP="00E90F19">
      <w:pPr>
        <w:ind w:left="360"/>
        <w:jc w:val="both"/>
        <w:rPr>
          <w:rFonts w:asciiTheme="minorHAnsi" w:hAnsiTheme="minorHAnsi"/>
        </w:rPr>
      </w:pPr>
      <w:r w:rsidRPr="00E90F19">
        <w:rPr>
          <w:rFonts w:asciiTheme="minorHAnsi" w:hAnsiTheme="minorHAnsi"/>
        </w:rPr>
        <w:t>Die Auswahl der Gewebeproben erfolgt durch einen Fac</w:t>
      </w:r>
      <w:r w:rsidR="00B03E07">
        <w:rPr>
          <w:rFonts w:asciiTheme="minorHAnsi" w:hAnsiTheme="minorHAnsi"/>
        </w:rPr>
        <w:t xml:space="preserve">harzt für Pathologie oder unter </w:t>
      </w:r>
      <w:r w:rsidRPr="00E90F19">
        <w:rPr>
          <w:rFonts w:asciiTheme="minorHAnsi" w:hAnsiTheme="minorHAnsi"/>
        </w:rPr>
        <w:t>dessen Anleitung und Aufsicht.</w:t>
      </w:r>
    </w:p>
    <w:p w14:paraId="4ABDC412" w14:textId="7CFF0662" w:rsidR="0049743C" w:rsidRPr="00473FC3" w:rsidRDefault="0049743C" w:rsidP="00473FC3">
      <w:pPr>
        <w:ind w:left="360"/>
        <w:jc w:val="both"/>
        <w:rPr>
          <w:rFonts w:asciiTheme="minorHAnsi" w:hAnsiTheme="minorHAnsi"/>
          <w:i/>
        </w:rPr>
      </w:pPr>
      <w:r w:rsidRPr="00E90F19">
        <w:rPr>
          <w:rFonts w:asciiTheme="minorHAnsi" w:hAnsiTheme="minorHAnsi"/>
          <w:i/>
        </w:rPr>
        <w:t>(Es ist wichtig darauf hinzuweisen, dass manche Gewebe, z.B. Tumoren, nicht homogen sind und verschiedene Ausprägungen zeigen können, je nachdem von welcher Stelle die Probe genommen wurde. Daher ist es wichtig, dass ein/e Facharzt/</w:t>
      </w:r>
      <w:proofErr w:type="spellStart"/>
      <w:r w:rsidRPr="00E90F19">
        <w:rPr>
          <w:rFonts w:asciiTheme="minorHAnsi" w:hAnsiTheme="minorHAnsi"/>
          <w:i/>
        </w:rPr>
        <w:t>ärztin</w:t>
      </w:r>
      <w:proofErr w:type="spellEnd"/>
      <w:r w:rsidRPr="00E90F19">
        <w:rPr>
          <w:rFonts w:asciiTheme="minorHAnsi" w:hAnsiTheme="minorHAnsi"/>
          <w:i/>
        </w:rPr>
        <w:t xml:space="preserve"> für Pathologie die Auswahl der Probe vornimmt und dokumentiert</w:t>
      </w:r>
      <w:r w:rsidR="00B03E07">
        <w:rPr>
          <w:rFonts w:asciiTheme="minorHAnsi" w:hAnsiTheme="minorHAnsi"/>
          <w:i/>
        </w:rPr>
        <w:t>,</w:t>
      </w:r>
      <w:r w:rsidRPr="00E90F19">
        <w:rPr>
          <w:rFonts w:asciiTheme="minorHAnsi" w:hAnsiTheme="minorHAnsi"/>
          <w:i/>
        </w:rPr>
        <w:t xml:space="preserve"> aus welchem Teil der Primärprobe die Einfrierproben genommen wurde, z.B. Tumorzentrum, Peripherie. Diese sind in separaten Probengefäßen zu lagern.) </w:t>
      </w:r>
    </w:p>
    <w:p w14:paraId="4562451E" w14:textId="77777777" w:rsidR="00CE236E" w:rsidRPr="00E90F19" w:rsidRDefault="00B1609A" w:rsidP="00E90F19">
      <w:pPr>
        <w:pStyle w:val="Listenabsatz"/>
        <w:ind w:left="360"/>
        <w:jc w:val="both"/>
        <w:rPr>
          <w:rFonts w:asciiTheme="minorHAnsi" w:hAnsiTheme="minorHAnsi"/>
          <w:b/>
          <w:szCs w:val="24"/>
        </w:rPr>
      </w:pPr>
      <w:r w:rsidRPr="00E90F19">
        <w:rPr>
          <w:rFonts w:asciiTheme="minorHAnsi" w:hAnsiTheme="minorHAnsi"/>
          <w:szCs w:val="24"/>
        </w:rPr>
        <w:lastRenderedPageBreak/>
        <w:t xml:space="preserve">Im Falle von Gefrierproben überführt der </w:t>
      </w:r>
      <w:proofErr w:type="spellStart"/>
      <w:r w:rsidRPr="00E90F19">
        <w:rPr>
          <w:rFonts w:asciiTheme="minorHAnsi" w:hAnsiTheme="minorHAnsi"/>
          <w:szCs w:val="24"/>
        </w:rPr>
        <w:t>Probeneinlagerer</w:t>
      </w:r>
      <w:proofErr w:type="spellEnd"/>
      <w:r w:rsidRPr="00E90F19">
        <w:rPr>
          <w:rFonts w:asciiTheme="minorHAnsi" w:hAnsiTheme="minorHAnsi"/>
          <w:szCs w:val="24"/>
        </w:rPr>
        <w:t xml:space="preserve"> die Probe in ein geeignetes Lagerungsgefäß. Dabei sollte die Probengröße 1 cm in einer Dimension nicht </w:t>
      </w:r>
      <w:r w:rsidR="00813F6C" w:rsidRPr="00E90F19">
        <w:rPr>
          <w:rFonts w:asciiTheme="minorHAnsi" w:hAnsiTheme="minorHAnsi"/>
          <w:szCs w:val="24"/>
        </w:rPr>
        <w:t>überschreiten</w:t>
      </w:r>
      <w:r w:rsidRPr="00E90F19">
        <w:rPr>
          <w:rFonts w:asciiTheme="minorHAnsi" w:hAnsiTheme="minorHAnsi"/>
          <w:szCs w:val="24"/>
        </w:rPr>
        <w:t>.</w:t>
      </w:r>
    </w:p>
    <w:p w14:paraId="4484C00E" w14:textId="77777777" w:rsidR="00B1609A" w:rsidRPr="00E90F19" w:rsidRDefault="00B1609A" w:rsidP="00E90F19">
      <w:pPr>
        <w:ind w:left="1069"/>
        <w:jc w:val="both"/>
        <w:rPr>
          <w:rFonts w:asciiTheme="minorHAnsi" w:hAnsiTheme="minorHAnsi"/>
        </w:rPr>
      </w:pPr>
    </w:p>
    <w:p w14:paraId="1849F5E2" w14:textId="53B3AF80" w:rsidR="00B1609A" w:rsidRPr="00E90F19" w:rsidRDefault="001C5F4F" w:rsidP="00E90F19">
      <w:pPr>
        <w:ind w:left="360"/>
        <w:jc w:val="both"/>
        <w:rPr>
          <w:rFonts w:asciiTheme="minorHAnsi" w:hAnsiTheme="minorHAnsi"/>
        </w:rPr>
      </w:pPr>
      <w:r w:rsidRPr="00E90F19">
        <w:rPr>
          <w:rFonts w:asciiTheme="minorHAnsi" w:hAnsiTheme="minorHAnsi"/>
        </w:rPr>
        <w:t>Die folgenden</w:t>
      </w:r>
      <w:r w:rsidR="00B1609A" w:rsidRPr="00E90F19">
        <w:rPr>
          <w:rFonts w:asciiTheme="minorHAnsi" w:hAnsiTheme="minorHAnsi"/>
        </w:rPr>
        <w:t xml:space="preserve"> Schritte </w:t>
      </w:r>
      <w:r w:rsidR="00EB611F" w:rsidRPr="00E90F19">
        <w:rPr>
          <w:rFonts w:asciiTheme="minorHAnsi" w:hAnsiTheme="minorHAnsi"/>
        </w:rPr>
        <w:t>werden</w:t>
      </w:r>
      <w:r w:rsidR="004B1146" w:rsidRPr="00E90F19">
        <w:rPr>
          <w:rFonts w:asciiTheme="minorHAnsi" w:hAnsiTheme="minorHAnsi"/>
        </w:rPr>
        <w:t xml:space="preserve"> </w:t>
      </w:r>
      <w:r w:rsidR="00B1609A" w:rsidRPr="00E90F19">
        <w:rPr>
          <w:rFonts w:asciiTheme="minorHAnsi" w:hAnsiTheme="minorHAnsi"/>
        </w:rPr>
        <w:t>für Gefrierproben</w:t>
      </w:r>
      <w:r w:rsidRPr="00E90F19">
        <w:rPr>
          <w:rFonts w:asciiTheme="minorHAnsi" w:hAnsiTheme="minorHAnsi"/>
        </w:rPr>
        <w:t xml:space="preserve"> </w:t>
      </w:r>
      <w:r w:rsidR="00575155" w:rsidRPr="00E90F19">
        <w:rPr>
          <w:rFonts w:asciiTheme="minorHAnsi" w:hAnsiTheme="minorHAnsi"/>
        </w:rPr>
        <w:t xml:space="preserve">festgelegt, </w:t>
      </w:r>
      <w:r w:rsidR="004B1146" w:rsidRPr="00E90F19">
        <w:rPr>
          <w:rFonts w:asciiTheme="minorHAnsi" w:hAnsiTheme="minorHAnsi"/>
        </w:rPr>
        <w:t xml:space="preserve">durchgeführt und </w:t>
      </w:r>
      <w:proofErr w:type="gramStart"/>
      <w:r w:rsidR="004B1146" w:rsidRPr="00E90F19">
        <w:rPr>
          <w:rFonts w:asciiTheme="minorHAnsi" w:hAnsiTheme="minorHAnsi"/>
        </w:rPr>
        <w:t xml:space="preserve">dokumentiert </w:t>
      </w:r>
      <w:r w:rsidR="00B1609A" w:rsidRPr="00E90F19">
        <w:rPr>
          <w:rFonts w:asciiTheme="minorHAnsi" w:hAnsiTheme="minorHAnsi"/>
        </w:rPr>
        <w:t>:</w:t>
      </w:r>
      <w:proofErr w:type="gramEnd"/>
    </w:p>
    <w:p w14:paraId="6B1FB93C" w14:textId="77777777" w:rsidR="00B1609A" w:rsidRPr="00E90F19" w:rsidRDefault="00B1609A" w:rsidP="00E90F19">
      <w:pPr>
        <w:ind w:left="709"/>
        <w:jc w:val="both"/>
        <w:rPr>
          <w:rFonts w:asciiTheme="minorHAnsi" w:hAnsiTheme="minorHAnsi"/>
        </w:rPr>
      </w:pPr>
    </w:p>
    <w:p w14:paraId="00F338E6" w14:textId="79426F3C" w:rsidR="00B1609A" w:rsidRPr="00E90F19" w:rsidRDefault="00B1609A" w:rsidP="00E90F19">
      <w:pPr>
        <w:pStyle w:val="Listenabsatz"/>
        <w:numPr>
          <w:ilvl w:val="0"/>
          <w:numId w:val="6"/>
        </w:numPr>
        <w:jc w:val="both"/>
        <w:rPr>
          <w:rFonts w:asciiTheme="minorHAnsi" w:hAnsiTheme="minorHAnsi"/>
          <w:szCs w:val="24"/>
        </w:rPr>
      </w:pPr>
      <w:r w:rsidRPr="00E90F19">
        <w:rPr>
          <w:rFonts w:asciiTheme="minorHAnsi" w:hAnsiTheme="minorHAnsi"/>
          <w:szCs w:val="24"/>
        </w:rPr>
        <w:t>Einfriermethode (</w:t>
      </w:r>
      <w:r w:rsidR="00164F85" w:rsidRPr="00E90F19">
        <w:rPr>
          <w:rFonts w:asciiTheme="minorHAnsi" w:hAnsiTheme="minorHAnsi"/>
          <w:szCs w:val="24"/>
        </w:rPr>
        <w:t xml:space="preserve">z.B. </w:t>
      </w:r>
      <w:r w:rsidRPr="00E90F19">
        <w:rPr>
          <w:rFonts w:asciiTheme="minorHAnsi" w:hAnsiTheme="minorHAnsi"/>
          <w:szCs w:val="24"/>
        </w:rPr>
        <w:t xml:space="preserve">flüssiger Stickstoff, Gasphase, </w:t>
      </w:r>
      <w:proofErr w:type="spellStart"/>
      <w:r w:rsidRPr="00E90F19">
        <w:rPr>
          <w:rFonts w:asciiTheme="minorHAnsi" w:hAnsiTheme="minorHAnsi"/>
          <w:szCs w:val="24"/>
        </w:rPr>
        <w:t>Isopentan</w:t>
      </w:r>
      <w:proofErr w:type="spellEnd"/>
      <w:r w:rsidRPr="00E90F19">
        <w:rPr>
          <w:rFonts w:asciiTheme="minorHAnsi" w:hAnsiTheme="minorHAnsi"/>
          <w:szCs w:val="24"/>
        </w:rPr>
        <w:t xml:space="preserve">, kontrollierte </w:t>
      </w:r>
      <w:proofErr w:type="spellStart"/>
      <w:r w:rsidRPr="00E90F19">
        <w:rPr>
          <w:rFonts w:asciiTheme="minorHAnsi" w:hAnsiTheme="minorHAnsi"/>
          <w:szCs w:val="24"/>
        </w:rPr>
        <w:t>Kühlrate</w:t>
      </w:r>
      <w:proofErr w:type="spellEnd"/>
      <w:r w:rsidRPr="00E90F19">
        <w:rPr>
          <w:rFonts w:asciiTheme="minorHAnsi" w:hAnsiTheme="minorHAnsi"/>
          <w:szCs w:val="24"/>
        </w:rPr>
        <w:t>)</w:t>
      </w:r>
      <w:r w:rsidR="00575155" w:rsidRPr="00E90F19">
        <w:rPr>
          <w:rFonts w:asciiTheme="minorHAnsi" w:hAnsiTheme="minorHAnsi"/>
          <w:szCs w:val="24"/>
        </w:rPr>
        <w:t xml:space="preserve"> </w:t>
      </w:r>
    </w:p>
    <w:p w14:paraId="3D701625" w14:textId="77777777" w:rsidR="00B1609A" w:rsidRPr="00E90F19" w:rsidRDefault="00B1609A" w:rsidP="00E90F19">
      <w:pPr>
        <w:pStyle w:val="Listenabsatz"/>
        <w:numPr>
          <w:ilvl w:val="0"/>
          <w:numId w:val="6"/>
        </w:numPr>
        <w:jc w:val="both"/>
        <w:rPr>
          <w:rFonts w:asciiTheme="minorHAnsi" w:hAnsiTheme="minorHAnsi"/>
          <w:szCs w:val="24"/>
        </w:rPr>
      </w:pPr>
      <w:r w:rsidRPr="00E90F19">
        <w:rPr>
          <w:rFonts w:asciiTheme="minorHAnsi" w:hAnsiTheme="minorHAnsi"/>
          <w:szCs w:val="24"/>
        </w:rPr>
        <w:t>Zeitpunkt des Einfrierens (Uhrzeit und Datum)</w:t>
      </w:r>
    </w:p>
    <w:p w14:paraId="3C397370" w14:textId="14D87705" w:rsidR="00785460" w:rsidRPr="00E90F19" w:rsidRDefault="00785460" w:rsidP="00E90F19">
      <w:pPr>
        <w:pStyle w:val="Listenabsatz"/>
        <w:numPr>
          <w:ilvl w:val="0"/>
          <w:numId w:val="6"/>
        </w:numPr>
        <w:jc w:val="both"/>
        <w:rPr>
          <w:rFonts w:asciiTheme="minorHAnsi" w:hAnsiTheme="minorHAnsi"/>
          <w:szCs w:val="24"/>
        </w:rPr>
      </w:pPr>
      <w:r w:rsidRPr="00E90F19">
        <w:rPr>
          <w:rFonts w:asciiTheme="minorHAnsi" w:hAnsiTheme="minorHAnsi"/>
          <w:szCs w:val="24"/>
        </w:rPr>
        <w:t>Person die den Einlagerungsprozess durchführt</w:t>
      </w:r>
    </w:p>
    <w:p w14:paraId="450730D9" w14:textId="765C73E4" w:rsidR="00164F85" w:rsidRPr="00E90F19" w:rsidRDefault="001C5F4F" w:rsidP="00E90F19">
      <w:pPr>
        <w:pStyle w:val="Listenabsatz"/>
        <w:numPr>
          <w:ilvl w:val="0"/>
          <w:numId w:val="6"/>
        </w:numPr>
        <w:jc w:val="both"/>
        <w:rPr>
          <w:rFonts w:asciiTheme="minorHAnsi" w:hAnsiTheme="minorHAnsi"/>
          <w:i/>
          <w:szCs w:val="24"/>
        </w:rPr>
      </w:pPr>
      <w:r w:rsidRPr="00E90F19">
        <w:rPr>
          <w:rFonts w:asciiTheme="minorHAnsi" w:hAnsiTheme="minorHAnsi"/>
          <w:szCs w:val="24"/>
        </w:rPr>
        <w:t>Auswahl des Lagerungsgefäß</w:t>
      </w:r>
      <w:r w:rsidR="004B1146" w:rsidRPr="00E90F19">
        <w:rPr>
          <w:rFonts w:asciiTheme="minorHAnsi" w:hAnsiTheme="minorHAnsi"/>
          <w:szCs w:val="24"/>
        </w:rPr>
        <w:t>es</w:t>
      </w:r>
      <w:r w:rsidRPr="00E90F19">
        <w:rPr>
          <w:rFonts w:asciiTheme="minorHAnsi" w:hAnsiTheme="minorHAnsi"/>
          <w:szCs w:val="24"/>
        </w:rPr>
        <w:t xml:space="preserve"> </w:t>
      </w:r>
      <w:r w:rsidR="00EB611F" w:rsidRPr="00E90F19">
        <w:rPr>
          <w:rFonts w:asciiTheme="minorHAnsi" w:hAnsiTheme="minorHAnsi"/>
          <w:i/>
          <w:szCs w:val="24"/>
        </w:rPr>
        <w:t>(</w:t>
      </w:r>
      <w:r w:rsidRPr="00E90F19">
        <w:rPr>
          <w:rFonts w:asciiTheme="minorHAnsi" w:hAnsiTheme="minorHAnsi"/>
          <w:i/>
          <w:szCs w:val="24"/>
        </w:rPr>
        <w:t xml:space="preserve">dabei muss die Größe der Probe berücksichtigt werden. Das Lagerungsgefäß </w:t>
      </w:r>
      <w:r w:rsidR="000B03C7" w:rsidRPr="00E90F19">
        <w:rPr>
          <w:rFonts w:asciiTheme="minorHAnsi" w:hAnsiTheme="minorHAnsi"/>
          <w:i/>
          <w:szCs w:val="24"/>
        </w:rPr>
        <w:t xml:space="preserve">muss sicher verschließbar </w:t>
      </w:r>
      <w:r w:rsidR="00164F85" w:rsidRPr="00E90F19">
        <w:rPr>
          <w:rFonts w:asciiTheme="minorHAnsi" w:hAnsiTheme="minorHAnsi"/>
          <w:i/>
          <w:szCs w:val="24"/>
        </w:rPr>
        <w:t xml:space="preserve">und </w:t>
      </w:r>
      <w:proofErr w:type="spellStart"/>
      <w:r w:rsidR="00164F85" w:rsidRPr="00E90F19">
        <w:rPr>
          <w:rFonts w:asciiTheme="minorHAnsi" w:hAnsiTheme="minorHAnsi"/>
          <w:i/>
          <w:szCs w:val="24"/>
        </w:rPr>
        <w:t>beschriftbar</w:t>
      </w:r>
      <w:proofErr w:type="spellEnd"/>
      <w:r w:rsidR="00164F85" w:rsidRPr="00E90F19">
        <w:rPr>
          <w:rFonts w:asciiTheme="minorHAnsi" w:hAnsiTheme="minorHAnsi"/>
          <w:i/>
          <w:szCs w:val="24"/>
        </w:rPr>
        <w:t xml:space="preserve"> sein; die </w:t>
      </w:r>
      <w:r w:rsidR="000B03C7" w:rsidRPr="00E90F19">
        <w:rPr>
          <w:rFonts w:asciiTheme="minorHAnsi" w:hAnsiTheme="minorHAnsi"/>
          <w:i/>
          <w:szCs w:val="24"/>
        </w:rPr>
        <w:t>Beschriftung muss für tiefe Temperaturen geeignet sein</w:t>
      </w:r>
      <w:r w:rsidR="00164F85" w:rsidRPr="00E90F19">
        <w:rPr>
          <w:rFonts w:asciiTheme="minorHAnsi" w:hAnsiTheme="minorHAnsi"/>
          <w:i/>
          <w:szCs w:val="24"/>
        </w:rPr>
        <w:t>.</w:t>
      </w:r>
      <w:r w:rsidR="00EB611F" w:rsidRPr="00E90F19">
        <w:rPr>
          <w:rFonts w:asciiTheme="minorHAnsi" w:hAnsiTheme="minorHAnsi"/>
          <w:i/>
          <w:szCs w:val="24"/>
        </w:rPr>
        <w:t xml:space="preserve"> Geeignete Beschriftungen sind z.B. Barcodes, Nummern-/Buchstabencode. Alle Verfahren müssen für den Zweck verifiziert worden sein.</w:t>
      </w:r>
      <w:r w:rsidR="00473FC3">
        <w:rPr>
          <w:rFonts w:asciiTheme="minorHAnsi" w:hAnsiTheme="minorHAnsi"/>
          <w:i/>
          <w:szCs w:val="24"/>
        </w:rPr>
        <w:t xml:space="preserve"> </w:t>
      </w:r>
      <w:r w:rsidR="00EB611F" w:rsidRPr="00E90F19">
        <w:rPr>
          <w:rFonts w:asciiTheme="minorHAnsi" w:hAnsiTheme="minorHAnsi"/>
          <w:i/>
          <w:szCs w:val="24"/>
        </w:rPr>
        <w:t>Die Beschriftung des Lagerungsgefäßes muss eine eindeutige Zuordnung ermöglichen</w:t>
      </w:r>
      <w:r w:rsidR="00473FC3">
        <w:rPr>
          <w:rFonts w:asciiTheme="minorHAnsi" w:hAnsiTheme="minorHAnsi"/>
          <w:i/>
          <w:szCs w:val="24"/>
        </w:rPr>
        <w:t>.</w:t>
      </w:r>
    </w:p>
    <w:p w14:paraId="18FA92D9" w14:textId="77777777" w:rsidR="00EB611F" w:rsidRPr="00E90F19" w:rsidRDefault="00EB611F" w:rsidP="00E90F19">
      <w:pPr>
        <w:pStyle w:val="Listenabsatz"/>
        <w:ind w:left="2149"/>
        <w:jc w:val="both"/>
        <w:rPr>
          <w:rFonts w:asciiTheme="minorHAnsi" w:hAnsiTheme="minorHAnsi"/>
          <w:i/>
          <w:szCs w:val="24"/>
        </w:rPr>
      </w:pPr>
    </w:p>
    <w:p w14:paraId="4F9A6F0C" w14:textId="7AFEEFB2" w:rsidR="00CC4EE8" w:rsidRPr="00E90F19" w:rsidRDefault="00CC4EE8" w:rsidP="00E90F19">
      <w:pPr>
        <w:pStyle w:val="Listenabsatz"/>
        <w:numPr>
          <w:ilvl w:val="0"/>
          <w:numId w:val="6"/>
        </w:numPr>
        <w:jc w:val="both"/>
        <w:rPr>
          <w:rFonts w:asciiTheme="minorHAnsi" w:hAnsiTheme="minorHAnsi"/>
          <w:szCs w:val="24"/>
        </w:rPr>
      </w:pPr>
      <w:r w:rsidRPr="00E90F19">
        <w:rPr>
          <w:rFonts w:asciiTheme="minorHAnsi" w:hAnsiTheme="minorHAnsi"/>
          <w:szCs w:val="24"/>
        </w:rPr>
        <w:t>Angaben zur Anzahl der Proben</w:t>
      </w:r>
      <w:r w:rsidR="00EB611F" w:rsidRPr="00E90F19">
        <w:rPr>
          <w:rFonts w:asciiTheme="minorHAnsi" w:hAnsiTheme="minorHAnsi"/>
          <w:szCs w:val="24"/>
        </w:rPr>
        <w:t>/Gefäß</w:t>
      </w:r>
    </w:p>
    <w:p w14:paraId="3715A684" w14:textId="77777777" w:rsidR="001C5F4F" w:rsidRPr="00E90F19" w:rsidRDefault="001C5F4F" w:rsidP="00E90F19">
      <w:pPr>
        <w:ind w:left="709"/>
        <w:jc w:val="both"/>
        <w:rPr>
          <w:rFonts w:asciiTheme="minorHAnsi" w:hAnsiTheme="minorHAnsi"/>
        </w:rPr>
      </w:pPr>
    </w:p>
    <w:p w14:paraId="3AC34D16" w14:textId="77777777" w:rsidR="00D21580" w:rsidRPr="00E90F19" w:rsidRDefault="00D21580" w:rsidP="00E90F19">
      <w:pPr>
        <w:ind w:left="1418"/>
        <w:jc w:val="both"/>
        <w:rPr>
          <w:rFonts w:asciiTheme="minorHAnsi" w:hAnsiTheme="minorHAnsi"/>
        </w:rPr>
      </w:pPr>
    </w:p>
    <w:p w14:paraId="15801A6F" w14:textId="74DCB395" w:rsidR="0049743C" w:rsidRPr="00E90F19" w:rsidRDefault="00473FC3" w:rsidP="00E90F19">
      <w:pPr>
        <w:ind w:left="709"/>
        <w:jc w:val="both"/>
        <w:rPr>
          <w:rFonts w:asciiTheme="minorHAnsi" w:hAnsiTheme="minorHAnsi"/>
        </w:rPr>
      </w:pPr>
      <w:r>
        <w:rPr>
          <w:rFonts w:asciiTheme="minorHAnsi" w:hAnsiTheme="minorHAnsi"/>
        </w:rPr>
        <w:t>Im Falle von FFPE-</w:t>
      </w:r>
      <w:r w:rsidR="00D21580" w:rsidRPr="00E90F19">
        <w:rPr>
          <w:rFonts w:asciiTheme="minorHAnsi" w:hAnsiTheme="minorHAnsi"/>
        </w:rPr>
        <w:t>Proben</w:t>
      </w:r>
      <w:r w:rsidR="00813F6C" w:rsidRPr="00E90F19">
        <w:rPr>
          <w:rFonts w:asciiTheme="minorHAnsi" w:hAnsiTheme="minorHAnsi"/>
        </w:rPr>
        <w:t xml:space="preserve"> </w:t>
      </w:r>
      <w:r w:rsidR="00EB611F" w:rsidRPr="00E90F19">
        <w:rPr>
          <w:rFonts w:asciiTheme="minorHAnsi" w:hAnsiTheme="minorHAnsi"/>
        </w:rPr>
        <w:t xml:space="preserve">werden </w:t>
      </w:r>
      <w:r w:rsidR="00813F6C" w:rsidRPr="00E90F19">
        <w:rPr>
          <w:rFonts w:asciiTheme="minorHAnsi" w:hAnsiTheme="minorHAnsi"/>
        </w:rPr>
        <w:t xml:space="preserve">die </w:t>
      </w:r>
      <w:r w:rsidR="0049743C" w:rsidRPr="00E90F19">
        <w:rPr>
          <w:rFonts w:asciiTheme="minorHAnsi" w:hAnsiTheme="minorHAnsi"/>
        </w:rPr>
        <w:t xml:space="preserve">Proben </w:t>
      </w:r>
      <w:proofErr w:type="spellStart"/>
      <w:r w:rsidR="0049743C" w:rsidRPr="00E90F19">
        <w:rPr>
          <w:rFonts w:asciiTheme="minorHAnsi" w:hAnsiTheme="minorHAnsi"/>
        </w:rPr>
        <w:t>formalinfixiert</w:t>
      </w:r>
      <w:proofErr w:type="spellEnd"/>
      <w:r w:rsidR="0049743C" w:rsidRPr="00E90F19">
        <w:rPr>
          <w:rFonts w:asciiTheme="minorHAnsi" w:hAnsiTheme="minorHAnsi"/>
        </w:rPr>
        <w:t xml:space="preserve"> und in Paraffin eingebettet (siehe extra anzufertigende Arbeitsanweisungen/Rezepturen). </w:t>
      </w:r>
      <w:r w:rsidR="00813F6C" w:rsidRPr="00E90F19">
        <w:rPr>
          <w:rFonts w:asciiTheme="minorHAnsi" w:hAnsiTheme="minorHAnsi"/>
        </w:rPr>
        <w:t xml:space="preserve">Paraffinblöcke </w:t>
      </w:r>
      <w:r w:rsidR="0049743C" w:rsidRPr="00E90F19">
        <w:rPr>
          <w:rFonts w:asciiTheme="minorHAnsi" w:hAnsiTheme="minorHAnsi"/>
        </w:rPr>
        <w:t xml:space="preserve">werden </w:t>
      </w:r>
      <w:r w:rsidR="00813F6C" w:rsidRPr="00E90F19">
        <w:rPr>
          <w:rFonts w:asciiTheme="minorHAnsi" w:hAnsiTheme="minorHAnsi"/>
        </w:rPr>
        <w:t xml:space="preserve">trocken bei </w:t>
      </w:r>
      <w:r w:rsidR="0049743C" w:rsidRPr="00E90F19">
        <w:rPr>
          <w:rFonts w:asciiTheme="minorHAnsi" w:hAnsiTheme="minorHAnsi"/>
        </w:rPr>
        <w:t>XXX °C gelagert (</w:t>
      </w:r>
      <w:r w:rsidR="00813F6C" w:rsidRPr="00E90F19">
        <w:rPr>
          <w:rFonts w:asciiTheme="minorHAnsi" w:hAnsiTheme="minorHAnsi"/>
        </w:rPr>
        <w:t>Raumtemperatur oder - wenn möglich - bei niedrigeren Temperaturen</w:t>
      </w:r>
      <w:r w:rsidR="0049743C" w:rsidRPr="00E90F19">
        <w:rPr>
          <w:rFonts w:asciiTheme="minorHAnsi" w:hAnsiTheme="minorHAnsi"/>
        </w:rPr>
        <w:t>)</w:t>
      </w:r>
      <w:r w:rsidR="00813F6C" w:rsidRPr="00E90F19">
        <w:rPr>
          <w:rFonts w:asciiTheme="minorHAnsi" w:hAnsiTheme="minorHAnsi"/>
        </w:rPr>
        <w:t xml:space="preserve">. </w:t>
      </w:r>
    </w:p>
    <w:p w14:paraId="53438B9B" w14:textId="7907E921" w:rsidR="0049743C" w:rsidRPr="00E90F19" w:rsidRDefault="0049743C" w:rsidP="00E90F19">
      <w:pPr>
        <w:ind w:left="709"/>
        <w:jc w:val="both"/>
        <w:rPr>
          <w:rFonts w:asciiTheme="minorHAnsi" w:hAnsiTheme="minorHAnsi"/>
        </w:rPr>
      </w:pPr>
      <w:r w:rsidRPr="00E90F19">
        <w:rPr>
          <w:rFonts w:asciiTheme="minorHAnsi" w:hAnsiTheme="minorHAnsi"/>
        </w:rPr>
        <w:t>Die folgenden Schritte werden für FFPE-Blöcke festgelegt, durchgeführt und dokumentiert:</w:t>
      </w:r>
    </w:p>
    <w:p w14:paraId="614F953E" w14:textId="77777777" w:rsidR="0049743C" w:rsidRPr="00E90F19" w:rsidRDefault="0049743C" w:rsidP="00E90F19">
      <w:pPr>
        <w:ind w:left="1418"/>
        <w:jc w:val="both"/>
        <w:rPr>
          <w:rFonts w:asciiTheme="minorHAnsi" w:hAnsiTheme="minorHAnsi"/>
        </w:rPr>
      </w:pPr>
    </w:p>
    <w:p w14:paraId="13FFB8A7" w14:textId="51D5B99E" w:rsidR="0049743C" w:rsidRPr="00E90F19" w:rsidRDefault="0049743C" w:rsidP="00E90F19">
      <w:pPr>
        <w:pStyle w:val="Listenabsatz"/>
        <w:numPr>
          <w:ilvl w:val="0"/>
          <w:numId w:val="6"/>
        </w:numPr>
        <w:ind w:left="2138"/>
        <w:jc w:val="both"/>
        <w:rPr>
          <w:rFonts w:asciiTheme="minorHAnsi" w:hAnsiTheme="minorHAnsi"/>
          <w:szCs w:val="24"/>
        </w:rPr>
      </w:pPr>
      <w:r w:rsidRPr="00E90F19">
        <w:rPr>
          <w:rFonts w:asciiTheme="minorHAnsi" w:hAnsiTheme="minorHAnsi"/>
          <w:szCs w:val="24"/>
        </w:rPr>
        <w:t>Zeitpunkt des Einlagerns (Uhrzeit und Datum)</w:t>
      </w:r>
    </w:p>
    <w:p w14:paraId="545B9105" w14:textId="77777777" w:rsidR="0049743C" w:rsidRPr="00E90F19" w:rsidRDefault="0049743C" w:rsidP="00E90F19">
      <w:pPr>
        <w:pStyle w:val="Listenabsatz"/>
        <w:numPr>
          <w:ilvl w:val="0"/>
          <w:numId w:val="6"/>
        </w:numPr>
        <w:ind w:left="2138"/>
        <w:jc w:val="both"/>
        <w:rPr>
          <w:rFonts w:asciiTheme="minorHAnsi" w:hAnsiTheme="minorHAnsi"/>
          <w:szCs w:val="24"/>
        </w:rPr>
      </w:pPr>
      <w:r w:rsidRPr="00E90F19">
        <w:rPr>
          <w:rFonts w:asciiTheme="minorHAnsi" w:hAnsiTheme="minorHAnsi"/>
          <w:szCs w:val="24"/>
        </w:rPr>
        <w:t>Person die den Einlagerungsprozess durchführt</w:t>
      </w:r>
    </w:p>
    <w:p w14:paraId="57D7490D" w14:textId="0E05545E" w:rsidR="0049743C" w:rsidRPr="00E90F19" w:rsidRDefault="0049743C" w:rsidP="00E90F19">
      <w:pPr>
        <w:pStyle w:val="Listenabsatz"/>
        <w:numPr>
          <w:ilvl w:val="0"/>
          <w:numId w:val="6"/>
        </w:numPr>
        <w:ind w:left="2138"/>
        <w:jc w:val="both"/>
        <w:rPr>
          <w:rFonts w:asciiTheme="minorHAnsi" w:hAnsiTheme="minorHAnsi"/>
          <w:i/>
          <w:szCs w:val="24"/>
        </w:rPr>
      </w:pPr>
      <w:r w:rsidRPr="00E90F19">
        <w:rPr>
          <w:rFonts w:asciiTheme="minorHAnsi" w:hAnsiTheme="minorHAnsi"/>
          <w:szCs w:val="24"/>
        </w:rPr>
        <w:t xml:space="preserve">Auswahl des Lagerungsgefäßes </w:t>
      </w:r>
      <w:r w:rsidRPr="00E90F19">
        <w:rPr>
          <w:rFonts w:asciiTheme="minorHAnsi" w:hAnsiTheme="minorHAnsi"/>
          <w:i/>
          <w:szCs w:val="24"/>
        </w:rPr>
        <w:t xml:space="preserve">(dabei muss die Größe der Probe berücksichtigt werden. Das Lagerungsgefäß muss sicher verschließbar und </w:t>
      </w:r>
      <w:proofErr w:type="spellStart"/>
      <w:r w:rsidRPr="00E90F19">
        <w:rPr>
          <w:rFonts w:asciiTheme="minorHAnsi" w:hAnsiTheme="minorHAnsi"/>
          <w:i/>
          <w:szCs w:val="24"/>
        </w:rPr>
        <w:t>beschriftbar</w:t>
      </w:r>
      <w:proofErr w:type="spellEnd"/>
      <w:r w:rsidRPr="00E90F19">
        <w:rPr>
          <w:rFonts w:asciiTheme="minorHAnsi" w:hAnsiTheme="minorHAnsi"/>
          <w:i/>
          <w:szCs w:val="24"/>
        </w:rPr>
        <w:t xml:space="preserve"> sein; die Beschriftung muss geeignet sein. Geeignete Beschriftungen sind z.B. Barcodes, Nummern-/Buchstabencode. Alle Verfahren müssen für den Zweck verifiziert worden sein. Die Beschriftung des Lagerungsgefäßes muss eine eindeutige Zuordnung ermöglichen</w:t>
      </w:r>
    </w:p>
    <w:p w14:paraId="20D4A138" w14:textId="77777777" w:rsidR="0049743C" w:rsidRPr="00E90F19" w:rsidRDefault="0049743C" w:rsidP="00E90F19">
      <w:pPr>
        <w:jc w:val="both"/>
        <w:rPr>
          <w:rFonts w:asciiTheme="minorHAnsi" w:hAnsiTheme="minorHAnsi"/>
        </w:rPr>
      </w:pPr>
    </w:p>
    <w:p w14:paraId="213E0EF8" w14:textId="77777777" w:rsidR="00381D7B" w:rsidRPr="00E90F19" w:rsidRDefault="00381D7B" w:rsidP="00E90F19">
      <w:pPr>
        <w:jc w:val="both"/>
        <w:rPr>
          <w:rFonts w:asciiTheme="minorHAnsi" w:hAnsiTheme="minorHAnsi"/>
        </w:rPr>
      </w:pPr>
    </w:p>
    <w:p w14:paraId="0344F38D" w14:textId="77777777" w:rsidR="005C6DA4" w:rsidRPr="00E90F19" w:rsidRDefault="009F7121" w:rsidP="00E90F19">
      <w:pPr>
        <w:numPr>
          <w:ilvl w:val="0"/>
          <w:numId w:val="1"/>
        </w:numPr>
        <w:jc w:val="both"/>
        <w:rPr>
          <w:rFonts w:asciiTheme="minorHAnsi" w:hAnsiTheme="minorHAnsi"/>
          <w:b/>
          <w:bCs/>
        </w:rPr>
      </w:pPr>
      <w:r w:rsidRPr="00E90F19">
        <w:rPr>
          <w:rFonts w:asciiTheme="minorHAnsi" w:hAnsiTheme="minorHAnsi"/>
          <w:b/>
          <w:bCs/>
        </w:rPr>
        <w:t>Mitgeltende Unterlagen</w:t>
      </w:r>
    </w:p>
    <w:p w14:paraId="6F6DBA12" w14:textId="77777777" w:rsidR="005C6DA4" w:rsidRPr="00E90F19" w:rsidRDefault="00426AE1" w:rsidP="00E90F19">
      <w:pPr>
        <w:pStyle w:val="Listenabsatz"/>
        <w:jc w:val="both"/>
        <w:rPr>
          <w:rFonts w:asciiTheme="minorHAnsi" w:hAnsiTheme="minorHAnsi"/>
          <w:szCs w:val="24"/>
        </w:rPr>
      </w:pPr>
      <w:r w:rsidRPr="00E90F19">
        <w:rPr>
          <w:rFonts w:asciiTheme="minorHAnsi" w:hAnsiTheme="minorHAnsi"/>
          <w:szCs w:val="24"/>
        </w:rPr>
        <w:t>DIN CEN/TS 16826-1, 16827-1, 16827-2</w:t>
      </w:r>
    </w:p>
    <w:p w14:paraId="27E6D17E" w14:textId="77777777" w:rsidR="005C6DA4" w:rsidRPr="00E90F19" w:rsidRDefault="009F7121" w:rsidP="00E90F19">
      <w:pPr>
        <w:pStyle w:val="Listenabsatz"/>
        <w:jc w:val="both"/>
        <w:rPr>
          <w:rFonts w:asciiTheme="minorHAnsi" w:hAnsiTheme="minorHAnsi"/>
          <w:szCs w:val="24"/>
        </w:rPr>
      </w:pPr>
      <w:r w:rsidRPr="00E90F19">
        <w:rPr>
          <w:rFonts w:asciiTheme="minorHAnsi" w:hAnsiTheme="minorHAnsi"/>
          <w:szCs w:val="24"/>
        </w:rPr>
        <w:t>DIN EN ISO 17020, DIN EN ISO 17025, DIN EN ISO 15189</w:t>
      </w:r>
    </w:p>
    <w:p w14:paraId="3CE036E7" w14:textId="77777777" w:rsidR="005C6DA4" w:rsidRPr="00E90F19" w:rsidRDefault="009F7121" w:rsidP="00E90F19">
      <w:pPr>
        <w:pStyle w:val="Listenabsatz"/>
        <w:jc w:val="both"/>
        <w:rPr>
          <w:rFonts w:asciiTheme="minorHAnsi" w:hAnsiTheme="minorHAnsi"/>
          <w:szCs w:val="24"/>
        </w:rPr>
      </w:pPr>
      <w:r w:rsidRPr="00E90F19">
        <w:rPr>
          <w:rFonts w:asciiTheme="minorHAnsi" w:hAnsiTheme="minorHAnsi"/>
          <w:szCs w:val="24"/>
        </w:rPr>
        <w:t>Gefahrstoffverordnung</w:t>
      </w:r>
    </w:p>
    <w:p w14:paraId="590AC315" w14:textId="77777777" w:rsidR="005C6DA4" w:rsidRPr="00E90F19" w:rsidRDefault="005C6DA4" w:rsidP="00E90F19">
      <w:pPr>
        <w:jc w:val="both"/>
        <w:rPr>
          <w:rFonts w:asciiTheme="minorHAnsi" w:hAnsiTheme="minorHAnsi"/>
          <w:i/>
          <w:iCs/>
        </w:rPr>
      </w:pPr>
    </w:p>
    <w:p w14:paraId="61F2B5F6" w14:textId="77777777" w:rsidR="005C6DA4" w:rsidRPr="00E90F19" w:rsidRDefault="005C6DA4" w:rsidP="00E90F19">
      <w:pPr>
        <w:jc w:val="both"/>
        <w:rPr>
          <w:rFonts w:asciiTheme="minorHAnsi" w:hAnsiTheme="minorHAnsi"/>
          <w:i/>
          <w:iCs/>
        </w:rPr>
      </w:pPr>
    </w:p>
    <w:p w14:paraId="71BE7E88" w14:textId="77777777" w:rsidR="005C6DA4" w:rsidRPr="00E90F19" w:rsidRDefault="009F7121" w:rsidP="00E90F19">
      <w:pPr>
        <w:numPr>
          <w:ilvl w:val="0"/>
          <w:numId w:val="1"/>
        </w:numPr>
        <w:jc w:val="both"/>
        <w:rPr>
          <w:rFonts w:asciiTheme="minorHAnsi" w:hAnsiTheme="minorHAnsi"/>
          <w:b/>
          <w:bCs/>
        </w:rPr>
      </w:pPr>
      <w:r w:rsidRPr="00E90F19">
        <w:rPr>
          <w:rFonts w:asciiTheme="minorHAnsi" w:hAnsiTheme="minorHAnsi"/>
          <w:b/>
          <w:bCs/>
        </w:rPr>
        <w:t>Querverweise</w:t>
      </w:r>
    </w:p>
    <w:p w14:paraId="1B3C3B33" w14:textId="77777777" w:rsidR="007F1E7A" w:rsidRPr="007F1E7A" w:rsidRDefault="007F1E7A" w:rsidP="007F1E7A">
      <w:pPr>
        <w:pStyle w:val="Listenabsatz"/>
        <w:jc w:val="both"/>
        <w:rPr>
          <w:rFonts w:asciiTheme="minorHAnsi" w:hAnsiTheme="minorHAnsi"/>
          <w:kern w:val="28"/>
        </w:rPr>
      </w:pPr>
      <w:r w:rsidRPr="007F1E7A">
        <w:rPr>
          <w:rFonts w:asciiTheme="minorHAnsi" w:hAnsiTheme="minorHAnsi"/>
          <w:kern w:val="28"/>
        </w:rPr>
        <w:t>06.2a_GBN_FB_Kompetenz-_und_Verantwortungsmatrix</w:t>
      </w:r>
    </w:p>
    <w:p w14:paraId="70B7DB15" w14:textId="77777777" w:rsidR="007F1E7A" w:rsidRPr="007F1E7A" w:rsidRDefault="007F1E7A" w:rsidP="007F1E7A">
      <w:pPr>
        <w:pStyle w:val="Listenabsatz"/>
        <w:jc w:val="both"/>
        <w:rPr>
          <w:rFonts w:asciiTheme="minorHAnsi" w:hAnsiTheme="minorHAnsi"/>
          <w:kern w:val="28"/>
        </w:rPr>
      </w:pPr>
      <w:r w:rsidRPr="007F1E7A">
        <w:rPr>
          <w:rFonts w:asciiTheme="minorHAnsi" w:hAnsiTheme="minorHAnsi"/>
          <w:kern w:val="28"/>
        </w:rPr>
        <w:t>08.2b_GBN_Begriffe_und_Abkürzungen</w:t>
      </w:r>
    </w:p>
    <w:p w14:paraId="60A75386" w14:textId="77777777" w:rsidR="005C6DA4" w:rsidRPr="00E90F19" w:rsidRDefault="005C6DA4" w:rsidP="00E90F19">
      <w:pPr>
        <w:jc w:val="both"/>
        <w:rPr>
          <w:rFonts w:asciiTheme="minorHAnsi" w:hAnsiTheme="minorHAnsi"/>
        </w:rPr>
      </w:pPr>
    </w:p>
    <w:p w14:paraId="4187103B" w14:textId="77777777" w:rsidR="00381D7B" w:rsidRPr="00E90F19" w:rsidRDefault="00381D7B" w:rsidP="00E90F19">
      <w:pPr>
        <w:jc w:val="both"/>
        <w:rPr>
          <w:rFonts w:asciiTheme="minorHAnsi" w:hAnsiTheme="minorHAnsi"/>
        </w:rPr>
      </w:pPr>
    </w:p>
    <w:p w14:paraId="47539737" w14:textId="77777777" w:rsidR="005C6DA4" w:rsidRPr="00E90F19" w:rsidRDefault="009F7121" w:rsidP="00E90F19">
      <w:pPr>
        <w:numPr>
          <w:ilvl w:val="0"/>
          <w:numId w:val="1"/>
        </w:numPr>
        <w:jc w:val="both"/>
        <w:rPr>
          <w:rFonts w:asciiTheme="minorHAnsi" w:hAnsiTheme="minorHAnsi"/>
          <w:b/>
          <w:bCs/>
        </w:rPr>
      </w:pPr>
      <w:r w:rsidRPr="00E90F19">
        <w:rPr>
          <w:rFonts w:asciiTheme="minorHAnsi" w:hAnsiTheme="minorHAnsi"/>
          <w:b/>
          <w:bCs/>
        </w:rPr>
        <w:t>Anhänge</w:t>
      </w:r>
    </w:p>
    <w:p w14:paraId="04DB31EA" w14:textId="77777777" w:rsidR="005C6DA4" w:rsidRDefault="005C6DA4" w:rsidP="00E90F19">
      <w:pPr>
        <w:jc w:val="both"/>
        <w:rPr>
          <w:rFonts w:asciiTheme="minorHAnsi" w:hAnsiTheme="minorHAnsi"/>
        </w:rPr>
      </w:pPr>
    </w:p>
    <w:p w14:paraId="1F7AB5CF" w14:textId="77777777" w:rsidR="00E90F19" w:rsidRDefault="00E90F19" w:rsidP="00E90F19">
      <w:pPr>
        <w:jc w:val="both"/>
        <w:rPr>
          <w:rFonts w:asciiTheme="minorHAnsi" w:hAnsiTheme="minorHAnsi"/>
        </w:rPr>
      </w:pPr>
      <w:bookmarkStart w:id="2" w:name="_GoBack"/>
      <w:bookmarkEnd w:id="2"/>
    </w:p>
    <w:p w14:paraId="419D879D" w14:textId="77777777" w:rsidR="00E90F19" w:rsidRDefault="00E90F19" w:rsidP="00E90F19">
      <w:pPr>
        <w:jc w:val="both"/>
        <w:rPr>
          <w:rFonts w:asciiTheme="minorHAnsi" w:hAnsiTheme="minorHAnsi"/>
        </w:rPr>
      </w:pPr>
    </w:p>
    <w:p w14:paraId="53687278" w14:textId="77777777" w:rsidR="00E90F19" w:rsidRPr="00E90F19" w:rsidRDefault="00E90F19" w:rsidP="00E90F19">
      <w:pPr>
        <w:jc w:val="both"/>
        <w:rPr>
          <w:rFonts w:asciiTheme="minorHAnsi" w:hAnsiTheme="minorHAnsi"/>
        </w:rPr>
      </w:pPr>
    </w:p>
    <w:p w14:paraId="4851800E" w14:textId="77777777" w:rsidR="0066213B" w:rsidRPr="00E90F19" w:rsidRDefault="0066213B" w:rsidP="00E90F19">
      <w:pPr>
        <w:ind w:left="709"/>
        <w:jc w:val="both"/>
        <w:rPr>
          <w:rFonts w:asciiTheme="minorHAnsi" w:hAnsiTheme="minorHAnsi"/>
        </w:rPr>
      </w:pPr>
    </w:p>
    <w:tbl>
      <w:tblPr>
        <w:tblW w:w="9638" w:type="dxa"/>
        <w:tblInd w:w="45" w:type="dxa"/>
        <w:tblLayout w:type="fixed"/>
        <w:tblCellMar>
          <w:left w:w="10" w:type="dxa"/>
          <w:right w:w="10" w:type="dxa"/>
        </w:tblCellMar>
        <w:tblLook w:val="0000" w:firstRow="0" w:lastRow="0" w:firstColumn="0" w:lastColumn="0" w:noHBand="0" w:noVBand="0"/>
      </w:tblPr>
      <w:tblGrid>
        <w:gridCol w:w="1564"/>
        <w:gridCol w:w="3536"/>
        <w:gridCol w:w="4538"/>
      </w:tblGrid>
      <w:tr w:rsidR="005C6DA4" w:rsidRPr="00E90F19" w14:paraId="791DDD71" w14:textId="77777777">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14:paraId="17AF4724" w14:textId="77777777" w:rsidR="005C6DA4" w:rsidRPr="00E90F19" w:rsidRDefault="009F7121" w:rsidP="00E90F19">
            <w:pPr>
              <w:pStyle w:val="TableContents"/>
              <w:jc w:val="both"/>
              <w:rPr>
                <w:rFonts w:asciiTheme="minorHAnsi" w:hAnsiTheme="minorHAnsi"/>
              </w:rPr>
            </w:pPr>
            <w:r w:rsidRPr="00E90F19">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14:paraId="2559AEE2" w14:textId="77777777" w:rsidR="005C6DA4" w:rsidRPr="00E90F19" w:rsidRDefault="009F7121" w:rsidP="00E90F19">
            <w:pPr>
              <w:pStyle w:val="TableContents"/>
              <w:jc w:val="both"/>
              <w:rPr>
                <w:rFonts w:asciiTheme="minorHAnsi" w:hAnsiTheme="minorHAnsi"/>
                <w:shd w:val="clear" w:color="auto" w:fill="C0C0C0"/>
              </w:rPr>
            </w:pPr>
            <w:r w:rsidRPr="00E90F19">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029119E" w14:textId="77777777" w:rsidR="005C6DA4" w:rsidRPr="00E90F19" w:rsidRDefault="009F7121" w:rsidP="00E90F19">
            <w:pPr>
              <w:pStyle w:val="TableContents"/>
              <w:jc w:val="both"/>
              <w:rPr>
                <w:rFonts w:asciiTheme="minorHAnsi" w:hAnsiTheme="minorHAnsi"/>
              </w:rPr>
            </w:pPr>
            <w:r w:rsidRPr="00E90F19">
              <w:rPr>
                <w:rFonts w:asciiTheme="minorHAnsi" w:hAnsiTheme="minorHAnsi"/>
              </w:rPr>
              <w:t>Datum und Unterschrift:</w:t>
            </w:r>
          </w:p>
        </w:tc>
      </w:tr>
      <w:tr w:rsidR="005C6DA4" w:rsidRPr="00E90F19" w14:paraId="32075C2D" w14:textId="77777777">
        <w:tc>
          <w:tcPr>
            <w:tcW w:w="1564" w:type="dxa"/>
            <w:tcBorders>
              <w:left w:val="single" w:sz="2" w:space="0" w:color="000000"/>
              <w:bottom w:val="single" w:sz="2" w:space="0" w:color="000000"/>
            </w:tcBorders>
            <w:tcMar>
              <w:top w:w="55" w:type="dxa"/>
              <w:left w:w="55" w:type="dxa"/>
              <w:bottom w:w="55" w:type="dxa"/>
              <w:right w:w="55" w:type="dxa"/>
            </w:tcMar>
          </w:tcPr>
          <w:p w14:paraId="7F79D3AC" w14:textId="77777777" w:rsidR="005C6DA4" w:rsidRPr="00E90F19" w:rsidRDefault="009F7121" w:rsidP="00E90F19">
            <w:pPr>
              <w:pStyle w:val="TableContents"/>
              <w:jc w:val="both"/>
              <w:rPr>
                <w:rFonts w:asciiTheme="minorHAnsi" w:hAnsiTheme="minorHAnsi"/>
              </w:rPr>
            </w:pPr>
            <w:r w:rsidRPr="00E90F19">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14:paraId="2BA2661D" w14:textId="77777777" w:rsidR="005C6DA4" w:rsidRPr="00E90F19" w:rsidRDefault="009F7121" w:rsidP="00E90F19">
            <w:pPr>
              <w:pStyle w:val="TableContents"/>
              <w:jc w:val="both"/>
              <w:rPr>
                <w:rFonts w:asciiTheme="minorHAnsi" w:hAnsiTheme="minorHAnsi"/>
                <w:shd w:val="clear" w:color="auto" w:fill="C0C0C0"/>
              </w:rPr>
            </w:pPr>
            <w:r w:rsidRPr="00E90F19">
              <w:rPr>
                <w:rFonts w:asciiTheme="minorHAnsi" w:hAnsiTheme="minorHAnsi"/>
                <w:shd w:val="clear" w:color="auto" w:fill="C0C0C0"/>
              </w:rPr>
              <w:t>Name der p</w:t>
            </w:r>
            <w:r w:rsidR="00381D7B" w:rsidRPr="00E90F19">
              <w:rPr>
                <w:rFonts w:asciiTheme="minorHAnsi" w:hAnsiTheme="minorHAnsi"/>
                <w:shd w:val="clear" w:color="auto" w:fill="C0C0C0"/>
              </w:rPr>
              <w:t>r</w:t>
            </w:r>
            <w:r w:rsidRPr="00E90F19">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D5A1AA1" w14:textId="77777777" w:rsidR="005C6DA4" w:rsidRPr="00E90F19" w:rsidRDefault="009F7121" w:rsidP="00E90F19">
            <w:pPr>
              <w:pStyle w:val="TableContents"/>
              <w:jc w:val="both"/>
              <w:rPr>
                <w:rFonts w:asciiTheme="minorHAnsi" w:hAnsiTheme="minorHAnsi"/>
              </w:rPr>
            </w:pPr>
            <w:r w:rsidRPr="00E90F19">
              <w:rPr>
                <w:rFonts w:asciiTheme="minorHAnsi" w:hAnsiTheme="minorHAnsi"/>
              </w:rPr>
              <w:t>Datum und Unterschrift:</w:t>
            </w:r>
          </w:p>
        </w:tc>
      </w:tr>
      <w:tr w:rsidR="005C6DA4" w:rsidRPr="00E90F19" w14:paraId="1688DE2C" w14:textId="77777777">
        <w:tc>
          <w:tcPr>
            <w:tcW w:w="1564" w:type="dxa"/>
            <w:tcBorders>
              <w:left w:val="single" w:sz="2" w:space="0" w:color="000000"/>
              <w:bottom w:val="single" w:sz="2" w:space="0" w:color="000000"/>
            </w:tcBorders>
            <w:tcMar>
              <w:top w:w="55" w:type="dxa"/>
              <w:left w:w="55" w:type="dxa"/>
              <w:bottom w:w="55" w:type="dxa"/>
              <w:right w:w="55" w:type="dxa"/>
            </w:tcMar>
          </w:tcPr>
          <w:p w14:paraId="2A7953C6" w14:textId="77777777" w:rsidR="005C6DA4" w:rsidRPr="00E90F19" w:rsidRDefault="009F7121" w:rsidP="00E90F19">
            <w:pPr>
              <w:pStyle w:val="TableContents"/>
              <w:jc w:val="both"/>
              <w:rPr>
                <w:rFonts w:asciiTheme="minorHAnsi" w:hAnsiTheme="minorHAnsi"/>
              </w:rPr>
            </w:pPr>
            <w:r w:rsidRPr="00E90F19">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14:paraId="613810C2" w14:textId="77777777" w:rsidR="005C6DA4" w:rsidRPr="00E90F19" w:rsidRDefault="009F7121" w:rsidP="00E90F19">
            <w:pPr>
              <w:pStyle w:val="TableContents"/>
              <w:jc w:val="both"/>
              <w:rPr>
                <w:rFonts w:asciiTheme="minorHAnsi" w:hAnsiTheme="minorHAnsi"/>
                <w:shd w:val="clear" w:color="auto" w:fill="C0C0C0"/>
              </w:rPr>
            </w:pPr>
            <w:r w:rsidRPr="00E90F19">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5D3E21" w14:textId="77777777" w:rsidR="005C6DA4" w:rsidRPr="00E90F19" w:rsidRDefault="009F7121" w:rsidP="00E90F19">
            <w:pPr>
              <w:pStyle w:val="TableContents"/>
              <w:jc w:val="both"/>
              <w:rPr>
                <w:rFonts w:asciiTheme="minorHAnsi" w:hAnsiTheme="minorHAnsi"/>
              </w:rPr>
            </w:pPr>
            <w:r w:rsidRPr="00E90F19">
              <w:rPr>
                <w:rFonts w:asciiTheme="minorHAnsi" w:hAnsiTheme="minorHAnsi"/>
              </w:rPr>
              <w:t>Datum und Unterschrift:</w:t>
            </w:r>
          </w:p>
        </w:tc>
      </w:tr>
    </w:tbl>
    <w:p w14:paraId="445376A1" w14:textId="77777777" w:rsidR="005C6DA4" w:rsidRPr="00E90F19" w:rsidRDefault="005C6DA4" w:rsidP="00E90F19">
      <w:pPr>
        <w:jc w:val="both"/>
        <w:rPr>
          <w:rFonts w:asciiTheme="minorHAnsi" w:hAnsiTheme="minorHAnsi"/>
        </w:rPr>
      </w:pPr>
    </w:p>
    <w:sectPr w:rsidR="005C6DA4" w:rsidRPr="00E90F19" w:rsidSect="00B640CF">
      <w:headerReference w:type="default" r:id="rId7"/>
      <w:footerReference w:type="default" r:id="rId8"/>
      <w:pgSz w:w="11906" w:h="16838"/>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D74CD" w14:textId="77777777" w:rsidR="00DD655B" w:rsidRDefault="00DD655B">
      <w:r>
        <w:separator/>
      </w:r>
    </w:p>
  </w:endnote>
  <w:endnote w:type="continuationSeparator" w:id="0">
    <w:p w14:paraId="0D5C5FCE" w14:textId="77777777" w:rsidR="00DD655B" w:rsidRDefault="00DD6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Ind w:w="45" w:type="dxa"/>
      <w:tblLayout w:type="fixed"/>
      <w:tblCellMar>
        <w:left w:w="10" w:type="dxa"/>
        <w:right w:w="10" w:type="dxa"/>
      </w:tblCellMar>
      <w:tblLook w:val="0000" w:firstRow="0" w:lastRow="0" w:firstColumn="0" w:lastColumn="0" w:noHBand="0" w:noVBand="0"/>
    </w:tblPr>
    <w:tblGrid>
      <w:gridCol w:w="2278"/>
      <w:gridCol w:w="5103"/>
      <w:gridCol w:w="2257"/>
    </w:tblGrid>
    <w:tr w:rsidR="00967C24" w:rsidRPr="00E90F19" w14:paraId="72A98741" w14:textId="77777777" w:rsidTr="007F1E7A">
      <w:tc>
        <w:tcPr>
          <w:tcW w:w="2278" w:type="dxa"/>
          <w:tcBorders>
            <w:top w:val="single" w:sz="2" w:space="0" w:color="000000"/>
            <w:left w:val="single" w:sz="2" w:space="0" w:color="000000"/>
            <w:bottom w:val="single" w:sz="2" w:space="0" w:color="000000"/>
          </w:tcBorders>
          <w:tcMar>
            <w:top w:w="55" w:type="dxa"/>
            <w:left w:w="55" w:type="dxa"/>
            <w:bottom w:w="55" w:type="dxa"/>
            <w:right w:w="55" w:type="dxa"/>
          </w:tcMar>
        </w:tcPr>
        <w:p w14:paraId="0DB5389C" w14:textId="45FADB59" w:rsidR="00967C24" w:rsidRPr="00E90F19" w:rsidRDefault="007F1E7A">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t>Revision:</w:t>
          </w:r>
        </w:p>
      </w:tc>
      <w:tc>
        <w:tcPr>
          <w:tcW w:w="5103" w:type="dxa"/>
          <w:tcBorders>
            <w:top w:val="single" w:sz="2" w:space="0" w:color="000000"/>
            <w:left w:val="single" w:sz="2" w:space="0" w:color="000000"/>
            <w:bottom w:val="single" w:sz="2" w:space="0" w:color="000000"/>
          </w:tcBorders>
          <w:tcMar>
            <w:top w:w="55" w:type="dxa"/>
            <w:left w:w="55" w:type="dxa"/>
            <w:bottom w:w="55" w:type="dxa"/>
            <w:right w:w="55" w:type="dxa"/>
          </w:tcMar>
        </w:tcPr>
        <w:p w14:paraId="5112049D" w14:textId="142E8587" w:rsidR="00967C24" w:rsidRPr="00E90F19" w:rsidRDefault="00B640CF">
          <w:pPr>
            <w:pStyle w:val="QEP-FuzeileUV"/>
            <w:snapToGrid w:val="0"/>
            <w:rPr>
              <w:rFonts w:asciiTheme="minorHAnsi" w:hAnsiTheme="minorHAnsi" w:cs="Arial"/>
              <w:color w:val="808080"/>
              <w:sz w:val="24"/>
              <w:szCs w:val="24"/>
            </w:rPr>
          </w:pPr>
          <w:r w:rsidRPr="00E90F19">
            <w:rPr>
              <w:rFonts w:asciiTheme="minorHAnsi" w:hAnsiTheme="minorHAnsi" w:cs="Arial"/>
              <w:color w:val="808080"/>
              <w:sz w:val="24"/>
              <w:szCs w:val="24"/>
            </w:rPr>
            <w:fldChar w:fldCharType="begin"/>
          </w:r>
          <w:r w:rsidRPr="00E90F19">
            <w:rPr>
              <w:rFonts w:asciiTheme="minorHAnsi" w:hAnsiTheme="minorHAnsi" w:cs="Arial"/>
              <w:color w:val="808080"/>
              <w:sz w:val="24"/>
              <w:szCs w:val="24"/>
            </w:rPr>
            <w:instrText xml:space="preserve"> FILENAME   \* MERGEFORMAT </w:instrText>
          </w:r>
          <w:r w:rsidRPr="00E90F19">
            <w:rPr>
              <w:rFonts w:asciiTheme="minorHAnsi" w:hAnsiTheme="minorHAnsi" w:cs="Arial"/>
              <w:color w:val="808080"/>
              <w:sz w:val="24"/>
              <w:szCs w:val="24"/>
            </w:rPr>
            <w:fldChar w:fldCharType="separate"/>
          </w:r>
          <w:r w:rsidR="007F1E7A">
            <w:rPr>
              <w:rFonts w:asciiTheme="minorHAnsi" w:hAnsiTheme="minorHAnsi" w:cs="Arial"/>
              <w:noProof/>
              <w:color w:val="808080"/>
              <w:sz w:val="24"/>
              <w:szCs w:val="24"/>
            </w:rPr>
            <w:t>07.7b_GBN_VA_Probeneinlagerung_Gewebe.docx</w:t>
          </w:r>
          <w:r w:rsidRPr="00E90F19">
            <w:rPr>
              <w:rFonts w:asciiTheme="minorHAnsi" w:hAnsiTheme="minorHAnsi" w:cs="Arial"/>
              <w:color w:val="808080"/>
              <w:sz w:val="24"/>
              <w:szCs w:val="24"/>
            </w:rPr>
            <w:fldChar w:fldCharType="end"/>
          </w:r>
        </w:p>
      </w:tc>
      <w:tc>
        <w:tcPr>
          <w:tcW w:w="225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923CC91" w14:textId="77777777" w:rsidR="00967C24" w:rsidRPr="00E90F19" w:rsidRDefault="009F7121">
          <w:pPr>
            <w:pStyle w:val="QEP-FuzeileUV"/>
            <w:snapToGrid w:val="0"/>
            <w:jc w:val="right"/>
            <w:rPr>
              <w:rFonts w:asciiTheme="minorHAnsi" w:hAnsiTheme="minorHAnsi" w:cs="Arial"/>
              <w:color w:val="808080"/>
              <w:sz w:val="24"/>
              <w:szCs w:val="24"/>
            </w:rPr>
          </w:pPr>
          <w:r w:rsidRPr="00E90F19">
            <w:rPr>
              <w:rFonts w:asciiTheme="minorHAnsi" w:hAnsiTheme="minorHAnsi" w:cs="Arial"/>
              <w:color w:val="808080"/>
              <w:sz w:val="24"/>
              <w:szCs w:val="24"/>
            </w:rPr>
            <w:t>Seite:</w:t>
          </w:r>
        </w:p>
      </w:tc>
    </w:tr>
  </w:tbl>
  <w:p w14:paraId="632E9CF1" w14:textId="77777777" w:rsidR="00AD6AC5" w:rsidRPr="00117DC4" w:rsidRDefault="00AD6AC5" w:rsidP="00AD6AC5">
    <w:pPr>
      <w:rPr>
        <w:sz w:val="4"/>
        <w:szCs w:val="17"/>
      </w:rPr>
    </w:pPr>
  </w:p>
  <w:p w14:paraId="69319A6D" w14:textId="699BDBA5" w:rsidR="00967C24" w:rsidRPr="006A3EED" w:rsidRDefault="006A3EED" w:rsidP="006A3EED">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CBDA5B" w14:textId="77777777" w:rsidR="00DD655B" w:rsidRDefault="00DD655B">
      <w:r>
        <w:rPr>
          <w:color w:val="000000"/>
        </w:rPr>
        <w:separator/>
      </w:r>
    </w:p>
  </w:footnote>
  <w:footnote w:type="continuationSeparator" w:id="0">
    <w:p w14:paraId="5898E8DE" w14:textId="77777777" w:rsidR="00DD655B" w:rsidRDefault="00DD6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8B250" w14:textId="5890DDBE" w:rsidR="00967C24" w:rsidRDefault="00E90F19">
    <w:pPr>
      <w:pStyle w:val="Kopfzeile"/>
    </w:pPr>
    <w:r>
      <w:rPr>
        <w:noProof/>
        <w:lang w:eastAsia="de-DE" w:bidi="ar-SA"/>
      </w:rPr>
      <w:drawing>
        <wp:anchor distT="0" distB="0" distL="114300" distR="114300" simplePos="0" relativeHeight="251658240" behindDoc="1" locked="0" layoutInCell="1" allowOverlap="1" wp14:anchorId="28949EA3" wp14:editId="71A3AEE6">
          <wp:simplePos x="0" y="0"/>
          <wp:positionH relativeFrom="column">
            <wp:posOffset>4394835</wp:posOffset>
          </wp:positionH>
          <wp:positionV relativeFrom="paragraph">
            <wp:posOffset>-342900</wp:posOffset>
          </wp:positionV>
          <wp:extent cx="2044800" cy="926478"/>
          <wp:effectExtent l="0" t="0" r="0"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44800" cy="926478"/>
                  </a:xfrm>
                  <a:prstGeom prst="rect">
                    <a:avLst/>
                  </a:prstGeom>
                </pic:spPr>
              </pic:pic>
            </a:graphicData>
          </a:graphic>
          <wp14:sizeRelH relativeFrom="page">
            <wp14:pctWidth>0</wp14:pctWidth>
          </wp14:sizeRelH>
          <wp14:sizeRelV relativeFrom="page">
            <wp14:pctHeight>0</wp14:pctHeight>
          </wp14:sizeRelV>
        </wp:anchor>
      </w:drawing>
    </w:r>
  </w:p>
  <w:p w14:paraId="074BAFBB" w14:textId="77777777" w:rsidR="00E90F19" w:rsidRDefault="00E90F19">
    <w:pPr>
      <w:pStyle w:val="Kopfzeile"/>
    </w:pPr>
  </w:p>
  <w:p w14:paraId="2F79AA16" w14:textId="77777777" w:rsidR="00E90F19" w:rsidRDefault="00E90F19">
    <w:pPr>
      <w:pStyle w:val="Kopfzeile"/>
    </w:pPr>
  </w:p>
  <w:tbl>
    <w:tblPr>
      <w:tblW w:w="10027" w:type="dxa"/>
      <w:tblInd w:w="45" w:type="dxa"/>
      <w:tblLayout w:type="fixed"/>
      <w:tblCellMar>
        <w:left w:w="10" w:type="dxa"/>
        <w:right w:w="10" w:type="dxa"/>
      </w:tblCellMar>
      <w:tblLook w:val="0000" w:firstRow="0" w:lastRow="0" w:firstColumn="0" w:lastColumn="0" w:noHBand="0" w:noVBand="0"/>
    </w:tblPr>
    <w:tblGrid>
      <w:gridCol w:w="3212"/>
      <w:gridCol w:w="3602"/>
      <w:gridCol w:w="3213"/>
    </w:tblGrid>
    <w:tr w:rsidR="00E90F19" w14:paraId="48B39BAF" w14:textId="77777777" w:rsidTr="00572BC1">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14:paraId="2F3C927C" w14:textId="77777777" w:rsidR="00E90F19" w:rsidRPr="00B640CF" w:rsidRDefault="00E90F19" w:rsidP="00572BC1">
          <w:pPr>
            <w:pStyle w:val="TableContents"/>
            <w:widowControl/>
            <w:rPr>
              <w:rFonts w:ascii="Arial" w:hAnsi="Arial"/>
            </w:rPr>
          </w:pPr>
          <w:r w:rsidRPr="00B640CF">
            <w:rPr>
              <w:rFonts w:ascii="Arial" w:hAnsi="Arial"/>
            </w:rPr>
            <w:t xml:space="preserve">Name der </w:t>
          </w:r>
          <w:proofErr w:type="spellStart"/>
          <w:r w:rsidRPr="00B640CF">
            <w:rPr>
              <w:rFonts w:ascii="Arial" w:hAnsi="Arial"/>
            </w:rPr>
            <w:t>Biobank</w:t>
          </w:r>
          <w:proofErr w:type="spellEnd"/>
        </w:p>
      </w:tc>
      <w:tc>
        <w:tcPr>
          <w:tcW w:w="3602"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41CC59B7" w14:textId="77777777" w:rsidR="00E90F19" w:rsidRPr="00E90F19" w:rsidRDefault="00E90F19" w:rsidP="00572BC1">
          <w:pPr>
            <w:pStyle w:val="KeinLeerraum"/>
            <w:jc w:val="center"/>
            <w:rPr>
              <w:rFonts w:asciiTheme="minorHAnsi" w:hAnsiTheme="minorHAnsi"/>
              <w:b/>
              <w:color w:val="FFFFFF" w:themeColor="background1"/>
              <w:sz w:val="28"/>
            </w:rPr>
          </w:pPr>
          <w:r w:rsidRPr="00E90F19">
            <w:rPr>
              <w:rFonts w:asciiTheme="minorHAnsi" w:hAnsiTheme="minorHAnsi"/>
              <w:b/>
              <w:color w:val="FFFFFF" w:themeColor="background1"/>
              <w:sz w:val="28"/>
            </w:rPr>
            <w:t>Probeneinlagerung</w:t>
          </w:r>
        </w:p>
        <w:p w14:paraId="579AA3EF" w14:textId="77777777" w:rsidR="00E90F19" w:rsidRPr="00E90F19" w:rsidRDefault="00E90F19" w:rsidP="00572BC1">
          <w:pPr>
            <w:pStyle w:val="KeinLeerraum"/>
            <w:jc w:val="center"/>
            <w:rPr>
              <w:rFonts w:asciiTheme="minorHAnsi" w:hAnsiTheme="minorHAnsi"/>
              <w:b/>
              <w:color w:val="FFFFFF" w:themeColor="background1"/>
              <w:sz w:val="28"/>
            </w:rPr>
          </w:pPr>
          <w:r w:rsidRPr="00E90F19">
            <w:rPr>
              <w:rFonts w:asciiTheme="minorHAnsi" w:hAnsiTheme="minorHAnsi"/>
              <w:b/>
              <w:color w:val="FFFFFF" w:themeColor="background1"/>
              <w:sz w:val="28"/>
            </w:rPr>
            <w:t>Gewebe</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28FFB96" w14:textId="77777777" w:rsidR="00E90F19" w:rsidRPr="00B640CF" w:rsidRDefault="00E90F19" w:rsidP="00572BC1">
          <w:pPr>
            <w:pStyle w:val="TableContents"/>
            <w:widowControl/>
            <w:rPr>
              <w:rFonts w:ascii="Arial" w:hAnsi="Arial"/>
            </w:rPr>
          </w:pPr>
          <w:r w:rsidRPr="00B640CF">
            <w:rPr>
              <w:rFonts w:ascii="Arial" w:hAnsi="Arial"/>
            </w:rPr>
            <w:t xml:space="preserve">Leitung der </w:t>
          </w:r>
          <w:proofErr w:type="spellStart"/>
          <w:r w:rsidRPr="00B640CF">
            <w:rPr>
              <w:rFonts w:ascii="Arial" w:hAnsi="Arial"/>
            </w:rPr>
            <w:t>Biobank</w:t>
          </w:r>
          <w:proofErr w:type="spellEnd"/>
          <w:r w:rsidRPr="00B640CF">
            <w:rPr>
              <w:rFonts w:ascii="Arial" w:hAnsi="Arial"/>
            </w:rPr>
            <w:t xml:space="preserve"> XXX</w:t>
          </w:r>
        </w:p>
      </w:tc>
    </w:tr>
    <w:tr w:rsidR="00E90F19" w14:paraId="2C0B2504" w14:textId="77777777" w:rsidTr="00572BC1">
      <w:trPr>
        <w:trHeight w:val="974"/>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2D685B85" w14:textId="77777777" w:rsidR="00E90F19" w:rsidRPr="00B640CF" w:rsidRDefault="00E90F19" w:rsidP="00572BC1">
          <w:pPr>
            <w:pStyle w:val="TableContents"/>
            <w:widowControl/>
            <w:jc w:val="center"/>
            <w:rPr>
              <w:rFonts w:ascii="Arial" w:hAnsi="Arial"/>
            </w:rPr>
          </w:pPr>
          <w:r w:rsidRPr="00B640CF">
            <w:rPr>
              <w:rFonts w:ascii="Arial" w:hAnsi="Arial"/>
            </w:rPr>
            <w:t>Evtl. Logo</w:t>
          </w:r>
        </w:p>
      </w:tc>
      <w:tc>
        <w:tcPr>
          <w:tcW w:w="3602"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178BDA15" w14:textId="77777777" w:rsidR="00E90F19" w:rsidRPr="00E90F19" w:rsidRDefault="00E90F19" w:rsidP="00572BC1">
          <w:pPr>
            <w:pStyle w:val="KeinLeerraum"/>
            <w:jc w:val="center"/>
            <w:rPr>
              <w:rFonts w:asciiTheme="minorHAnsi" w:hAnsiTheme="minorHAnsi"/>
              <w:b/>
              <w:color w:val="FFFFFF" w:themeColor="background1"/>
              <w:sz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B3A0628" w14:textId="77777777" w:rsidR="00E90F19" w:rsidRPr="00B640CF" w:rsidRDefault="00E90F19" w:rsidP="00572BC1">
          <w:pPr>
            <w:pStyle w:val="TableContents"/>
            <w:widowControl/>
            <w:jc w:val="center"/>
            <w:rPr>
              <w:rFonts w:ascii="Arial" w:hAnsi="Arial"/>
            </w:rPr>
          </w:pPr>
          <w:r w:rsidRPr="00B640CF">
            <w:rPr>
              <w:rFonts w:ascii="Arial" w:hAnsi="Arial"/>
            </w:rPr>
            <w:t>Verfahrensanweisung</w:t>
          </w:r>
        </w:p>
      </w:tc>
    </w:tr>
  </w:tbl>
  <w:p w14:paraId="7DA14763" w14:textId="77777777" w:rsidR="00E90F19" w:rsidRDefault="00E90F1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1942"/>
    <w:multiLevelType w:val="multilevel"/>
    <w:tmpl w:val="394475B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 w15:restartNumberingAfterBreak="0">
    <w:nsid w:val="10CA362D"/>
    <w:multiLevelType w:val="hybridMultilevel"/>
    <w:tmpl w:val="495EEA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651CF6"/>
    <w:multiLevelType w:val="hybridMultilevel"/>
    <w:tmpl w:val="738A107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 w15:restartNumberingAfterBreak="0">
    <w:nsid w:val="23936F50"/>
    <w:multiLevelType w:val="hybridMultilevel"/>
    <w:tmpl w:val="22382322"/>
    <w:lvl w:ilvl="0" w:tplc="04070001">
      <w:start w:val="1"/>
      <w:numFmt w:val="bullet"/>
      <w:lvlText w:val=""/>
      <w:lvlJc w:val="left"/>
      <w:pPr>
        <w:ind w:left="1429" w:hanging="360"/>
      </w:pPr>
      <w:rPr>
        <w:rFonts w:ascii="Symbol" w:hAnsi="Symbol" w:hint="default"/>
      </w:rPr>
    </w:lvl>
    <w:lvl w:ilvl="1" w:tplc="04070003">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4" w15:restartNumberingAfterBreak="0">
    <w:nsid w:val="324136DD"/>
    <w:multiLevelType w:val="hybridMultilevel"/>
    <w:tmpl w:val="EF624CE4"/>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5" w15:restartNumberingAfterBreak="0">
    <w:nsid w:val="34362B0B"/>
    <w:multiLevelType w:val="hybridMultilevel"/>
    <w:tmpl w:val="F5101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BDF46F7"/>
    <w:multiLevelType w:val="multilevel"/>
    <w:tmpl w:val="6C683A7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5E4C626F"/>
    <w:multiLevelType w:val="hybridMultilevel"/>
    <w:tmpl w:val="105CFD12"/>
    <w:lvl w:ilvl="0" w:tplc="4CACB5EA">
      <w:start w:val="1"/>
      <w:numFmt w:val="decimal"/>
      <w:lvlText w:val="5.%1"/>
      <w:lvlJc w:val="left"/>
      <w:pPr>
        <w:ind w:left="360" w:hanging="360"/>
      </w:pPr>
      <w:rPr>
        <w:rFonts w:asciiTheme="minorHAnsi" w:hAnsiTheme="minorHAnsi" w:hint="default"/>
        <w:b/>
        <w:i w:val="0"/>
        <w:sz w:val="24"/>
        <w:szCs w:val="24"/>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8816352"/>
    <w:multiLevelType w:val="hybridMultilevel"/>
    <w:tmpl w:val="339A2C5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B8400B4"/>
    <w:multiLevelType w:val="hybridMultilevel"/>
    <w:tmpl w:val="33B2AF72"/>
    <w:lvl w:ilvl="0" w:tplc="07F229F8">
      <w:start w:val="1"/>
      <w:numFmt w:val="decimal"/>
      <w:lvlText w:val="5.%1"/>
      <w:lvlJc w:val="left"/>
      <w:pPr>
        <w:tabs>
          <w:tab w:val="num" w:pos="680"/>
        </w:tabs>
        <w:ind w:left="680" w:hanging="680"/>
      </w:pPr>
      <w:rPr>
        <w:rFonts w:ascii="Arial" w:hAnsi="Arial" w:hint="default"/>
        <w:b/>
        <w:i w:val="0"/>
        <w:sz w:val="24"/>
        <w:szCs w:val="24"/>
      </w:rPr>
    </w:lvl>
    <w:lvl w:ilvl="1" w:tplc="04070001">
      <w:start w:val="1"/>
      <w:numFmt w:val="bullet"/>
      <w:lvlText w:val=""/>
      <w:lvlJc w:val="left"/>
      <w:pPr>
        <w:tabs>
          <w:tab w:val="num" w:pos="1440"/>
        </w:tabs>
        <w:ind w:left="1440" w:hanging="360"/>
      </w:pPr>
      <w:rPr>
        <w:rFonts w:ascii="Symbol" w:hAnsi="Symbol" w:hint="default"/>
        <w:b/>
        <w:i w:val="0"/>
        <w:sz w:val="24"/>
        <w:szCs w:val="24"/>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36F3F94"/>
    <w:multiLevelType w:val="multilevel"/>
    <w:tmpl w:val="EBE8E128"/>
    <w:lvl w:ilvl="0">
      <w:start w:val="1"/>
      <w:numFmt w:val="decimal"/>
      <w:pStyle w:val="berschrift1"/>
      <w:lvlText w:val="%1."/>
      <w:lvlJc w:val="left"/>
      <w:pPr>
        <w:tabs>
          <w:tab w:val="num" w:pos="432"/>
        </w:tabs>
        <w:ind w:left="432" w:hanging="432"/>
      </w:pPr>
      <w:rPr>
        <w:rFonts w:ascii="Arial" w:hAnsi="Arial"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num w:numId="1">
    <w:abstractNumId w:val="6"/>
  </w:num>
  <w:num w:numId="2">
    <w:abstractNumId w:val="0"/>
  </w:num>
  <w:num w:numId="3">
    <w:abstractNumId w:val="6"/>
    <w:lvlOverride w:ilvl="0">
      <w:startOverride w:val="1"/>
    </w:lvlOverride>
  </w:num>
  <w:num w:numId="4">
    <w:abstractNumId w:val="5"/>
  </w:num>
  <w:num w:numId="5">
    <w:abstractNumId w:val="8"/>
  </w:num>
  <w:num w:numId="6">
    <w:abstractNumId w:val="3"/>
  </w:num>
  <w:num w:numId="7">
    <w:abstractNumId w:val="10"/>
  </w:num>
  <w:num w:numId="8">
    <w:abstractNumId w:val="9"/>
  </w:num>
  <w:num w:numId="9">
    <w:abstractNumId w:val="7"/>
  </w:num>
  <w:num w:numId="10">
    <w:abstractNumId w:val="1"/>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DA4"/>
    <w:rsid w:val="000B03C7"/>
    <w:rsid w:val="000F358E"/>
    <w:rsid w:val="00105ED6"/>
    <w:rsid w:val="001263E7"/>
    <w:rsid w:val="001345BB"/>
    <w:rsid w:val="00137522"/>
    <w:rsid w:val="00157548"/>
    <w:rsid w:val="00164F85"/>
    <w:rsid w:val="00177A71"/>
    <w:rsid w:val="001B65E4"/>
    <w:rsid w:val="001C5F4F"/>
    <w:rsid w:val="00203CE3"/>
    <w:rsid w:val="00235D21"/>
    <w:rsid w:val="00244460"/>
    <w:rsid w:val="002B0C73"/>
    <w:rsid w:val="00311D8B"/>
    <w:rsid w:val="00325FC3"/>
    <w:rsid w:val="00381D7B"/>
    <w:rsid w:val="0039604F"/>
    <w:rsid w:val="003A0AD9"/>
    <w:rsid w:val="003C0FA4"/>
    <w:rsid w:val="004033C8"/>
    <w:rsid w:val="00406EB7"/>
    <w:rsid w:val="00426AE1"/>
    <w:rsid w:val="00441613"/>
    <w:rsid w:val="00451BE5"/>
    <w:rsid w:val="004635D0"/>
    <w:rsid w:val="00473FC3"/>
    <w:rsid w:val="00492411"/>
    <w:rsid w:val="0049743C"/>
    <w:rsid w:val="004A4992"/>
    <w:rsid w:val="004B1146"/>
    <w:rsid w:val="004D36DD"/>
    <w:rsid w:val="0055435D"/>
    <w:rsid w:val="00575155"/>
    <w:rsid w:val="00587C2F"/>
    <w:rsid w:val="005C6DA4"/>
    <w:rsid w:val="00612A8B"/>
    <w:rsid w:val="006314E0"/>
    <w:rsid w:val="00650CA8"/>
    <w:rsid w:val="0066213B"/>
    <w:rsid w:val="006A3EED"/>
    <w:rsid w:val="006B570B"/>
    <w:rsid w:val="006C2D0C"/>
    <w:rsid w:val="00737E78"/>
    <w:rsid w:val="00770750"/>
    <w:rsid w:val="00770BEB"/>
    <w:rsid w:val="00785460"/>
    <w:rsid w:val="007C0327"/>
    <w:rsid w:val="007F1E7A"/>
    <w:rsid w:val="00813F6C"/>
    <w:rsid w:val="008208A3"/>
    <w:rsid w:val="00907965"/>
    <w:rsid w:val="00935021"/>
    <w:rsid w:val="009726A3"/>
    <w:rsid w:val="009C3839"/>
    <w:rsid w:val="009D3A7E"/>
    <w:rsid w:val="009F7121"/>
    <w:rsid w:val="00AA3D76"/>
    <w:rsid w:val="00AC7F39"/>
    <w:rsid w:val="00AD6AC5"/>
    <w:rsid w:val="00B01FD3"/>
    <w:rsid w:val="00B03E07"/>
    <w:rsid w:val="00B127E1"/>
    <w:rsid w:val="00B1609A"/>
    <w:rsid w:val="00B33A29"/>
    <w:rsid w:val="00B46BE8"/>
    <w:rsid w:val="00B61371"/>
    <w:rsid w:val="00B640CF"/>
    <w:rsid w:val="00B93107"/>
    <w:rsid w:val="00B95E48"/>
    <w:rsid w:val="00BA0A44"/>
    <w:rsid w:val="00C5365D"/>
    <w:rsid w:val="00C85D8A"/>
    <w:rsid w:val="00CC4EE8"/>
    <w:rsid w:val="00CE236E"/>
    <w:rsid w:val="00D21580"/>
    <w:rsid w:val="00D92A5A"/>
    <w:rsid w:val="00DC118E"/>
    <w:rsid w:val="00DD655B"/>
    <w:rsid w:val="00E757B9"/>
    <w:rsid w:val="00E763A2"/>
    <w:rsid w:val="00E90F19"/>
    <w:rsid w:val="00EA482B"/>
    <w:rsid w:val="00EB611F"/>
    <w:rsid w:val="00EF2AC6"/>
    <w:rsid w:val="00F14755"/>
    <w:rsid w:val="00FB5294"/>
    <w:rsid w:val="00FB62E1"/>
    <w:rsid w:val="490A99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A1F1AB"/>
  <w15:docId w15:val="{C46A8850-17DE-44D4-B613-516FBF515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ahoma"/>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link w:val="berschrift1Zchn"/>
    <w:uiPriority w:val="9"/>
    <w:qFormat/>
    <w:rsid w:val="009726A3"/>
    <w:pPr>
      <w:keepNext/>
      <w:widowControl/>
      <w:numPr>
        <w:numId w:val="7"/>
      </w:numPr>
      <w:suppressAutoHyphens w:val="0"/>
      <w:autoSpaceDN/>
      <w:spacing w:before="240" w:after="60"/>
      <w:textAlignment w:val="auto"/>
      <w:outlineLvl w:val="0"/>
    </w:pPr>
    <w:rPr>
      <w:rFonts w:ascii="Arial" w:eastAsia="Times New Roman" w:hAnsi="Arial" w:cs="Times New Roman"/>
      <w:b/>
      <w:kern w:val="28"/>
      <w:szCs w:val="20"/>
      <w:u w:val="single"/>
      <w:lang w:eastAsia="de-DE" w:bidi="ar-SA"/>
    </w:rPr>
  </w:style>
  <w:style w:type="paragraph" w:styleId="berschrift2">
    <w:name w:val="heading 2"/>
    <w:basedOn w:val="Standard"/>
    <w:next w:val="Standard"/>
    <w:link w:val="berschrift2Zchn"/>
    <w:uiPriority w:val="9"/>
    <w:qFormat/>
    <w:rsid w:val="009726A3"/>
    <w:pPr>
      <w:keepNext/>
      <w:widowControl/>
      <w:numPr>
        <w:ilvl w:val="1"/>
        <w:numId w:val="7"/>
      </w:numPr>
      <w:suppressAutoHyphens w:val="0"/>
      <w:autoSpaceDN/>
      <w:spacing w:before="60"/>
      <w:textAlignment w:val="auto"/>
      <w:outlineLvl w:val="1"/>
    </w:pPr>
    <w:rPr>
      <w:rFonts w:ascii="Arial" w:eastAsia="Times New Roman" w:hAnsi="Arial" w:cs="Times New Roman"/>
      <w:b/>
      <w:kern w:val="0"/>
      <w:sz w:val="20"/>
      <w:szCs w:val="20"/>
      <w:lang w:eastAsia="de-DE" w:bidi="ar-SA"/>
    </w:rPr>
  </w:style>
  <w:style w:type="paragraph" w:styleId="berschrift3">
    <w:name w:val="heading 3"/>
    <w:basedOn w:val="Standard"/>
    <w:next w:val="Standard"/>
    <w:link w:val="berschrift3Zchn"/>
    <w:uiPriority w:val="9"/>
    <w:qFormat/>
    <w:rsid w:val="009726A3"/>
    <w:pPr>
      <w:keepNext/>
      <w:widowControl/>
      <w:numPr>
        <w:ilvl w:val="2"/>
        <w:numId w:val="7"/>
      </w:numPr>
      <w:suppressAutoHyphens w:val="0"/>
      <w:autoSpaceDN/>
      <w:spacing w:before="240" w:after="60"/>
      <w:textAlignment w:val="auto"/>
      <w:outlineLvl w:val="2"/>
    </w:pPr>
    <w:rPr>
      <w:rFonts w:ascii="Arial" w:eastAsia="Times New Roman" w:hAnsi="Arial" w:cs="Times New Roman"/>
      <w:b/>
      <w:kern w:val="0"/>
      <w:sz w:val="20"/>
      <w:szCs w:val="20"/>
      <w:lang w:eastAsia="de-DE" w:bidi="ar-SA"/>
    </w:rPr>
  </w:style>
  <w:style w:type="paragraph" w:styleId="berschrift4">
    <w:name w:val="heading 4"/>
    <w:basedOn w:val="Standard"/>
    <w:next w:val="Standard"/>
    <w:link w:val="berschrift4Zchn"/>
    <w:uiPriority w:val="9"/>
    <w:qFormat/>
    <w:rsid w:val="009726A3"/>
    <w:pPr>
      <w:keepNext/>
      <w:widowControl/>
      <w:numPr>
        <w:ilvl w:val="3"/>
        <w:numId w:val="7"/>
      </w:numPr>
      <w:suppressAutoHyphens w:val="0"/>
      <w:autoSpaceDN/>
      <w:spacing w:before="240" w:after="60"/>
      <w:textAlignment w:val="auto"/>
      <w:outlineLvl w:val="3"/>
    </w:pPr>
    <w:rPr>
      <w:rFonts w:ascii="Arial" w:eastAsia="Times New Roman" w:hAnsi="Arial" w:cs="Times New Roman"/>
      <w:b/>
      <w:kern w:val="0"/>
      <w:szCs w:val="20"/>
      <w:lang w:eastAsia="de-DE" w:bidi="ar-SA"/>
    </w:rPr>
  </w:style>
  <w:style w:type="paragraph" w:styleId="berschrift5">
    <w:name w:val="heading 5"/>
    <w:basedOn w:val="Standard"/>
    <w:next w:val="Standard"/>
    <w:link w:val="berschrift5Zchn"/>
    <w:uiPriority w:val="9"/>
    <w:qFormat/>
    <w:rsid w:val="009726A3"/>
    <w:pPr>
      <w:widowControl/>
      <w:numPr>
        <w:ilvl w:val="4"/>
        <w:numId w:val="7"/>
      </w:numPr>
      <w:suppressAutoHyphens w:val="0"/>
      <w:autoSpaceDN/>
      <w:spacing w:before="240" w:after="60"/>
      <w:textAlignment w:val="auto"/>
      <w:outlineLvl w:val="4"/>
    </w:pPr>
    <w:rPr>
      <w:rFonts w:ascii="Arial" w:eastAsia="Times New Roman" w:hAnsi="Arial" w:cs="Times New Roman"/>
      <w:kern w:val="0"/>
      <w:sz w:val="22"/>
      <w:szCs w:val="20"/>
      <w:lang w:eastAsia="de-DE" w:bidi="ar-SA"/>
    </w:rPr>
  </w:style>
  <w:style w:type="paragraph" w:styleId="berschrift6">
    <w:name w:val="heading 6"/>
    <w:basedOn w:val="Standard"/>
    <w:next w:val="Standard"/>
    <w:link w:val="berschrift6Zchn"/>
    <w:uiPriority w:val="9"/>
    <w:qFormat/>
    <w:rsid w:val="009726A3"/>
    <w:pPr>
      <w:widowControl/>
      <w:numPr>
        <w:ilvl w:val="5"/>
        <w:numId w:val="7"/>
      </w:numPr>
      <w:suppressAutoHyphens w:val="0"/>
      <w:autoSpaceDN/>
      <w:spacing w:before="240" w:after="60"/>
      <w:textAlignment w:val="auto"/>
      <w:outlineLvl w:val="5"/>
    </w:pPr>
    <w:rPr>
      <w:rFonts w:eastAsia="Times New Roman" w:cs="Times New Roman"/>
      <w:i/>
      <w:kern w:val="0"/>
      <w:sz w:val="22"/>
      <w:szCs w:val="20"/>
      <w:lang w:eastAsia="de-DE" w:bidi="ar-SA"/>
    </w:rPr>
  </w:style>
  <w:style w:type="paragraph" w:styleId="berschrift7">
    <w:name w:val="heading 7"/>
    <w:basedOn w:val="Standard"/>
    <w:next w:val="Standard"/>
    <w:link w:val="berschrift7Zchn"/>
    <w:uiPriority w:val="9"/>
    <w:qFormat/>
    <w:rsid w:val="009726A3"/>
    <w:pPr>
      <w:keepNext/>
      <w:widowControl/>
      <w:numPr>
        <w:ilvl w:val="6"/>
        <w:numId w:val="7"/>
      </w:numPr>
      <w:suppressAutoHyphens w:val="0"/>
      <w:autoSpaceDN/>
      <w:spacing w:before="60"/>
      <w:textAlignment w:val="auto"/>
      <w:outlineLvl w:val="6"/>
    </w:pPr>
    <w:rPr>
      <w:rFonts w:ascii="Arial" w:eastAsia="Times New Roman" w:hAnsi="Arial" w:cs="Times New Roman"/>
      <w:b/>
      <w:kern w:val="0"/>
      <w:sz w:val="20"/>
      <w:szCs w:val="20"/>
      <w:lang w:eastAsia="de-DE" w:bidi="ar-SA"/>
    </w:rPr>
  </w:style>
  <w:style w:type="paragraph" w:styleId="berschrift8">
    <w:name w:val="heading 8"/>
    <w:basedOn w:val="Standard"/>
    <w:next w:val="Standard"/>
    <w:link w:val="berschrift8Zchn"/>
    <w:uiPriority w:val="9"/>
    <w:qFormat/>
    <w:rsid w:val="009726A3"/>
    <w:pPr>
      <w:keepNext/>
      <w:widowControl/>
      <w:numPr>
        <w:ilvl w:val="7"/>
        <w:numId w:val="7"/>
      </w:numPr>
      <w:suppressAutoHyphens w:val="0"/>
      <w:autoSpaceDN/>
      <w:spacing w:before="60"/>
      <w:jc w:val="center"/>
      <w:textAlignment w:val="auto"/>
      <w:outlineLvl w:val="7"/>
    </w:pPr>
    <w:rPr>
      <w:rFonts w:ascii="Arial" w:eastAsia="Times New Roman" w:hAnsi="Arial" w:cs="Times New Roman"/>
      <w:b/>
      <w:kern w:val="0"/>
      <w:sz w:val="16"/>
      <w:szCs w:val="20"/>
      <w:lang w:eastAsia="de-DE" w:bidi="ar-SA"/>
    </w:rPr>
  </w:style>
  <w:style w:type="paragraph" w:styleId="berschrift9">
    <w:name w:val="heading 9"/>
    <w:basedOn w:val="Standard"/>
    <w:next w:val="Standard"/>
    <w:link w:val="berschrift9Zchn"/>
    <w:uiPriority w:val="9"/>
    <w:qFormat/>
    <w:rsid w:val="009726A3"/>
    <w:pPr>
      <w:widowControl/>
      <w:numPr>
        <w:ilvl w:val="8"/>
        <w:numId w:val="7"/>
      </w:numPr>
      <w:suppressAutoHyphens w:val="0"/>
      <w:autoSpaceDN/>
      <w:spacing w:before="240" w:after="60"/>
      <w:textAlignment w:val="auto"/>
      <w:outlineLvl w:val="8"/>
    </w:pPr>
    <w:rPr>
      <w:rFonts w:ascii="Arial" w:eastAsia="Times New Roman" w:hAnsi="Arial" w:cs="Times New Roman"/>
      <w:b/>
      <w:i/>
      <w:kern w:val="0"/>
      <w:sz w:val="18"/>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Kopfzeile">
    <w:name w:val="head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Fuzeile">
    <w:name w:val="footer"/>
    <w:basedOn w:val="Standard"/>
    <w:pPr>
      <w:suppressLineNumbers/>
      <w:tabs>
        <w:tab w:val="center" w:pos="4819"/>
        <w:tab w:val="right" w:pos="9638"/>
      </w:tabs>
    </w:pPr>
  </w:style>
  <w:style w:type="paragraph" w:customStyle="1" w:styleId="QEP-Fuzeile">
    <w:name w:val="QEP-Fußzeile"/>
    <w:basedOn w:val="Standard"/>
    <w:pPr>
      <w:tabs>
        <w:tab w:val="center" w:pos="4536"/>
        <w:tab w:val="right" w:pos="9072"/>
      </w:tabs>
    </w:pPr>
    <w:rPr>
      <w:rFonts w:ascii="Tahoma" w:hAnsi="Tahoma"/>
      <w:sz w:val="16"/>
      <w:szCs w:val="16"/>
    </w:rPr>
  </w:style>
  <w:style w:type="paragraph" w:customStyle="1" w:styleId="QEP-FuzeileUV">
    <w:name w:val="QEP-Fußzeile UV"/>
    <w:basedOn w:val="QEP-Fuzeile"/>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paragraph" w:styleId="Listenabsatz">
    <w:name w:val="List Paragraph"/>
    <w:basedOn w:val="Standard"/>
    <w:uiPriority w:val="34"/>
    <w:qFormat/>
    <w:rsid w:val="00381D7B"/>
    <w:pPr>
      <w:ind w:left="720"/>
      <w:contextualSpacing/>
    </w:pPr>
    <w:rPr>
      <w:rFonts w:cs="Mangal"/>
      <w:szCs w:val="21"/>
    </w:rPr>
  </w:style>
  <w:style w:type="character" w:customStyle="1" w:styleId="berschrift1Zchn">
    <w:name w:val="Überschrift 1 Zchn"/>
    <w:basedOn w:val="Absatz-Standardschriftart"/>
    <w:link w:val="berschrift1"/>
    <w:uiPriority w:val="9"/>
    <w:rsid w:val="009726A3"/>
    <w:rPr>
      <w:rFonts w:ascii="Arial" w:eastAsia="Times New Roman" w:hAnsi="Arial" w:cs="Times New Roman"/>
      <w:b/>
      <w:kern w:val="28"/>
      <w:szCs w:val="20"/>
      <w:u w:val="single"/>
      <w:lang w:eastAsia="de-DE" w:bidi="ar-SA"/>
    </w:rPr>
  </w:style>
  <w:style w:type="character" w:customStyle="1" w:styleId="berschrift2Zchn">
    <w:name w:val="Überschrift 2 Zchn"/>
    <w:basedOn w:val="Absatz-Standardschriftart"/>
    <w:link w:val="berschrift2"/>
    <w:uiPriority w:val="9"/>
    <w:rsid w:val="009726A3"/>
    <w:rPr>
      <w:rFonts w:ascii="Arial" w:eastAsia="Times New Roman" w:hAnsi="Arial" w:cs="Times New Roman"/>
      <w:b/>
      <w:kern w:val="0"/>
      <w:sz w:val="20"/>
      <w:szCs w:val="20"/>
      <w:lang w:eastAsia="de-DE" w:bidi="ar-SA"/>
    </w:rPr>
  </w:style>
  <w:style w:type="character" w:customStyle="1" w:styleId="berschrift3Zchn">
    <w:name w:val="Überschrift 3 Zchn"/>
    <w:basedOn w:val="Absatz-Standardschriftart"/>
    <w:link w:val="berschrift3"/>
    <w:uiPriority w:val="9"/>
    <w:rsid w:val="009726A3"/>
    <w:rPr>
      <w:rFonts w:ascii="Arial" w:eastAsia="Times New Roman" w:hAnsi="Arial" w:cs="Times New Roman"/>
      <w:b/>
      <w:kern w:val="0"/>
      <w:sz w:val="20"/>
      <w:szCs w:val="20"/>
      <w:lang w:eastAsia="de-DE" w:bidi="ar-SA"/>
    </w:rPr>
  </w:style>
  <w:style w:type="character" w:customStyle="1" w:styleId="berschrift4Zchn">
    <w:name w:val="Überschrift 4 Zchn"/>
    <w:basedOn w:val="Absatz-Standardschriftart"/>
    <w:link w:val="berschrift4"/>
    <w:uiPriority w:val="9"/>
    <w:rsid w:val="009726A3"/>
    <w:rPr>
      <w:rFonts w:ascii="Arial" w:eastAsia="Times New Roman" w:hAnsi="Arial" w:cs="Times New Roman"/>
      <w:b/>
      <w:kern w:val="0"/>
      <w:szCs w:val="20"/>
      <w:lang w:eastAsia="de-DE" w:bidi="ar-SA"/>
    </w:rPr>
  </w:style>
  <w:style w:type="character" w:customStyle="1" w:styleId="berschrift5Zchn">
    <w:name w:val="Überschrift 5 Zchn"/>
    <w:basedOn w:val="Absatz-Standardschriftart"/>
    <w:link w:val="berschrift5"/>
    <w:uiPriority w:val="9"/>
    <w:rsid w:val="009726A3"/>
    <w:rPr>
      <w:rFonts w:ascii="Arial" w:eastAsia="Times New Roman" w:hAnsi="Arial" w:cs="Times New Roman"/>
      <w:kern w:val="0"/>
      <w:sz w:val="22"/>
      <w:szCs w:val="20"/>
      <w:lang w:eastAsia="de-DE" w:bidi="ar-SA"/>
    </w:rPr>
  </w:style>
  <w:style w:type="character" w:customStyle="1" w:styleId="berschrift6Zchn">
    <w:name w:val="Überschrift 6 Zchn"/>
    <w:basedOn w:val="Absatz-Standardschriftart"/>
    <w:link w:val="berschrift6"/>
    <w:uiPriority w:val="9"/>
    <w:rsid w:val="009726A3"/>
    <w:rPr>
      <w:rFonts w:eastAsia="Times New Roman" w:cs="Times New Roman"/>
      <w:i/>
      <w:kern w:val="0"/>
      <w:sz w:val="22"/>
      <w:szCs w:val="20"/>
      <w:lang w:eastAsia="de-DE" w:bidi="ar-SA"/>
    </w:rPr>
  </w:style>
  <w:style w:type="character" w:customStyle="1" w:styleId="berschrift7Zchn">
    <w:name w:val="Überschrift 7 Zchn"/>
    <w:basedOn w:val="Absatz-Standardschriftart"/>
    <w:link w:val="berschrift7"/>
    <w:uiPriority w:val="9"/>
    <w:rsid w:val="009726A3"/>
    <w:rPr>
      <w:rFonts w:ascii="Arial" w:eastAsia="Times New Roman" w:hAnsi="Arial" w:cs="Times New Roman"/>
      <w:b/>
      <w:kern w:val="0"/>
      <w:sz w:val="20"/>
      <w:szCs w:val="20"/>
      <w:lang w:eastAsia="de-DE" w:bidi="ar-SA"/>
    </w:rPr>
  </w:style>
  <w:style w:type="character" w:customStyle="1" w:styleId="berschrift8Zchn">
    <w:name w:val="Überschrift 8 Zchn"/>
    <w:basedOn w:val="Absatz-Standardschriftart"/>
    <w:link w:val="berschrift8"/>
    <w:uiPriority w:val="9"/>
    <w:rsid w:val="009726A3"/>
    <w:rPr>
      <w:rFonts w:ascii="Arial" w:eastAsia="Times New Roman" w:hAnsi="Arial" w:cs="Times New Roman"/>
      <w:b/>
      <w:kern w:val="0"/>
      <w:sz w:val="16"/>
      <w:szCs w:val="20"/>
      <w:lang w:eastAsia="de-DE" w:bidi="ar-SA"/>
    </w:rPr>
  </w:style>
  <w:style w:type="character" w:customStyle="1" w:styleId="berschrift9Zchn">
    <w:name w:val="Überschrift 9 Zchn"/>
    <w:basedOn w:val="Absatz-Standardschriftart"/>
    <w:link w:val="berschrift9"/>
    <w:uiPriority w:val="9"/>
    <w:rsid w:val="009726A3"/>
    <w:rPr>
      <w:rFonts w:ascii="Arial" w:eastAsia="Times New Roman" w:hAnsi="Arial" w:cs="Times New Roman"/>
      <w:b/>
      <w:i/>
      <w:kern w:val="0"/>
      <w:sz w:val="18"/>
      <w:szCs w:val="20"/>
      <w:lang w:eastAsia="de-DE" w:bidi="ar-SA"/>
    </w:rPr>
  </w:style>
  <w:style w:type="paragraph" w:styleId="Sprechblasentext">
    <w:name w:val="Balloon Text"/>
    <w:basedOn w:val="Standard"/>
    <w:link w:val="SprechblasentextZchn"/>
    <w:uiPriority w:val="99"/>
    <w:semiHidden/>
    <w:unhideWhenUsed/>
    <w:rsid w:val="00235D21"/>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235D21"/>
    <w:rPr>
      <w:rFonts w:ascii="Tahoma" w:hAnsi="Tahoma" w:cs="Mangal"/>
      <w:sz w:val="16"/>
      <w:szCs w:val="14"/>
    </w:rPr>
  </w:style>
  <w:style w:type="character" w:styleId="Kommentarzeichen">
    <w:name w:val="annotation reference"/>
    <w:basedOn w:val="Absatz-Standardschriftart"/>
    <w:uiPriority w:val="99"/>
    <w:semiHidden/>
    <w:unhideWhenUsed/>
    <w:rsid w:val="00AA3D76"/>
    <w:rPr>
      <w:sz w:val="16"/>
      <w:szCs w:val="16"/>
    </w:rPr>
  </w:style>
  <w:style w:type="paragraph" w:styleId="Kommentartext">
    <w:name w:val="annotation text"/>
    <w:basedOn w:val="Standard"/>
    <w:link w:val="KommentartextZchn"/>
    <w:uiPriority w:val="99"/>
    <w:semiHidden/>
    <w:unhideWhenUsed/>
    <w:rsid w:val="00AA3D76"/>
    <w:rPr>
      <w:rFonts w:cs="Mangal"/>
      <w:sz w:val="20"/>
      <w:szCs w:val="18"/>
    </w:rPr>
  </w:style>
  <w:style w:type="character" w:customStyle="1" w:styleId="KommentartextZchn">
    <w:name w:val="Kommentartext Zchn"/>
    <w:basedOn w:val="Absatz-Standardschriftart"/>
    <w:link w:val="Kommentartext"/>
    <w:uiPriority w:val="99"/>
    <w:semiHidden/>
    <w:rsid w:val="00AA3D76"/>
    <w:rPr>
      <w:rFonts w:cs="Mangal"/>
      <w:sz w:val="20"/>
      <w:szCs w:val="18"/>
    </w:rPr>
  </w:style>
  <w:style w:type="paragraph" w:styleId="Kommentarthema">
    <w:name w:val="annotation subject"/>
    <w:basedOn w:val="Kommentartext"/>
    <w:next w:val="Kommentartext"/>
    <w:link w:val="KommentarthemaZchn"/>
    <w:uiPriority w:val="99"/>
    <w:semiHidden/>
    <w:unhideWhenUsed/>
    <w:rsid w:val="00AA3D76"/>
    <w:rPr>
      <w:b/>
      <w:bCs/>
    </w:rPr>
  </w:style>
  <w:style w:type="character" w:customStyle="1" w:styleId="KommentarthemaZchn">
    <w:name w:val="Kommentarthema Zchn"/>
    <w:basedOn w:val="KommentartextZchn"/>
    <w:link w:val="Kommentarthema"/>
    <w:uiPriority w:val="99"/>
    <w:semiHidden/>
    <w:rsid w:val="00AA3D76"/>
    <w:rPr>
      <w:rFonts w:cs="Mangal"/>
      <w:b/>
      <w:bCs/>
      <w:sz w:val="20"/>
      <w:szCs w:val="18"/>
    </w:rPr>
  </w:style>
  <w:style w:type="character" w:styleId="Zeilennummer">
    <w:name w:val="line number"/>
    <w:basedOn w:val="Absatz-Standardschriftart"/>
    <w:uiPriority w:val="99"/>
    <w:semiHidden/>
    <w:unhideWhenUsed/>
    <w:rsid w:val="00F14755"/>
  </w:style>
  <w:style w:type="paragraph" w:styleId="KeinLeerraum">
    <w:name w:val="No Spacing"/>
    <w:uiPriority w:val="1"/>
    <w:qFormat/>
    <w:rsid w:val="00E90F19"/>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92BE5EEDF63BF4DB7CB12D784C78988" ma:contentTypeVersion="32" ma:contentTypeDescription="Ein neues Dokument erstellen." ma:contentTypeScope="" ma:versionID="ee66a1e081bc21e74148c6cc1880548b">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aae8a149bad28127c2d6804d5c5c2e6b"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6D51036F-B506-4FF2-88D6-BD9E933AF1CF}"/>
</file>

<file path=customXml/itemProps2.xml><?xml version="1.0" encoding="utf-8"?>
<ds:datastoreItem xmlns:ds="http://schemas.openxmlformats.org/officeDocument/2006/customXml" ds:itemID="{5B7D1CC9-E125-4C0C-A560-2ECD009F90E4}"/>
</file>

<file path=customXml/itemProps3.xml><?xml version="1.0" encoding="utf-8"?>
<ds:datastoreItem xmlns:ds="http://schemas.openxmlformats.org/officeDocument/2006/customXml" ds:itemID="{1C3AEF16-0D86-44CD-99D6-6F40ABFCEF2C}"/>
</file>

<file path=docProps/app.xml><?xml version="1.0" encoding="utf-8"?>
<Properties xmlns="http://schemas.openxmlformats.org/officeDocument/2006/extended-properties" xmlns:vt="http://schemas.openxmlformats.org/officeDocument/2006/docPropsVTypes">
  <Template>Normal.dotm</Template>
  <TotalTime>0</TotalTime>
  <Pages>5</Pages>
  <Words>1074</Words>
  <Characters>6773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Universitätsklinikum Heidelberg</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Schmitt</dc:creator>
  <cp:lastModifiedBy>Hartfeldt, Christiane</cp:lastModifiedBy>
  <cp:revision>6</cp:revision>
  <dcterms:created xsi:type="dcterms:W3CDTF">2017-05-09T11:04:00Z</dcterms:created>
  <dcterms:modified xsi:type="dcterms:W3CDTF">2018-10-16T09:31:00Z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