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0841FE" w:rsidRDefault="006C1322" w:rsidP="001267E1">
      <w:pPr>
        <w:rPr>
          <w:rFonts w:asciiTheme="minorHAnsi" w:hAnsiTheme="minorHAnsi"/>
          <w:sz w:val="24"/>
          <w:szCs w:val="24"/>
        </w:rPr>
      </w:pPr>
    </w:p>
    <w:p w:rsidR="002869BF" w:rsidRPr="00EA1A75" w:rsidRDefault="002869BF" w:rsidP="002869BF">
      <w:pPr>
        <w:pStyle w:val="berschrift1"/>
        <w:autoSpaceDE w:val="0"/>
        <w:autoSpaceDN w:val="0"/>
        <w:adjustRightInd w:val="0"/>
        <w:rPr>
          <w:rFonts w:asciiTheme="minorHAnsi" w:hAnsiTheme="minorHAnsi" w:cs="ArialMT"/>
          <w:szCs w:val="24"/>
        </w:rPr>
      </w:pPr>
      <w:bookmarkStart w:id="0" w:name="_Toc455133349"/>
      <w:r w:rsidRPr="000841FE">
        <w:rPr>
          <w:rFonts w:asciiTheme="minorHAnsi" w:eastAsia="SimSun" w:hAnsiTheme="minorHAnsi" w:cs="Arial"/>
          <w:bCs/>
          <w:kern w:val="3"/>
          <w:szCs w:val="24"/>
          <w:u w:val="none"/>
          <w:lang w:eastAsia="zh-CN" w:bidi="hi-IN"/>
        </w:rPr>
        <w:t xml:space="preserve">Externe </w:t>
      </w:r>
      <w:r w:rsidRPr="00EA1A75">
        <w:rPr>
          <w:rFonts w:asciiTheme="minorHAnsi" w:eastAsia="SimSun" w:hAnsiTheme="minorHAnsi" w:cs="Arial"/>
          <w:bCs/>
          <w:kern w:val="3"/>
          <w:szCs w:val="24"/>
          <w:u w:val="none"/>
          <w:lang w:eastAsia="zh-CN" w:bidi="hi-IN"/>
        </w:rPr>
        <w:t>Zusammenhänge</w:t>
      </w:r>
      <w:bookmarkEnd w:id="0"/>
      <w:r w:rsidRPr="00EA1A75">
        <w:rPr>
          <w:rFonts w:asciiTheme="minorHAnsi" w:hAnsiTheme="minorHAnsi" w:cs="ArialMT"/>
          <w:szCs w:val="24"/>
          <w:u w:val="none"/>
        </w:rPr>
        <w:t xml:space="preserve">: </w:t>
      </w: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Gesetzlich;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halten anwendbare gesetzliche und normative Anforderungen ein,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insbesondere das Bundesdatenschutzgesetz, usw</w:t>
      </w:r>
      <w:r w:rsidR="000841FE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.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Technisch;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unterhalten eine automatisierte Probenverarbeitung und -lagerung,</w:t>
      </w:r>
    </w:p>
    <w:p w:rsidR="00EC726A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Verbindung zum Klinikinformationssystem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,</w:t>
      </w:r>
    </w:p>
    <w:p w:rsidR="00EC726A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Der </w:t>
      </w:r>
      <w:r w:rsidR="00EC726A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Sammlungsschwerpunkt ist national oder international registriert</w:t>
      </w:r>
    </w:p>
    <w:p w:rsidR="002869BF" w:rsidRPr="00EA1A75" w:rsidRDefault="002869BF" w:rsidP="00EC726A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Netzwerke;</w:t>
      </w:r>
    </w:p>
    <w:p w:rsidR="00EC726A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Teil eines CCC</w:t>
      </w:r>
    </w:p>
    <w:p w:rsidR="002869BF" w:rsidRPr="00EA1A75" w:rsidRDefault="00EC726A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Mitglied in TMF AG Biomaterialbanken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ist Teil eines Gesundheitsnetzwerkes (DZIF, DZHK usw.)</w:t>
      </w:r>
      <w:r w:rsidR="00EC726A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oder einer europäischen Institution (ISBB, ISBER)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Kulturell / Sozial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den Gender Mainstream,</w:t>
      </w:r>
    </w:p>
    <w:p w:rsidR="002869BF" w:rsidRPr="00EA1A75" w:rsidRDefault="002869B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Wir beachten die Anforderungen der gesellschaftlichen Verantwortung,</w:t>
      </w:r>
    </w:p>
    <w:p w:rsidR="000841FE" w:rsidRPr="00EA1A75" w:rsidRDefault="000841FE" w:rsidP="000841FE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EC726A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Nutzer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</w:p>
    <w:p w:rsidR="00EC726A" w:rsidRPr="00EA1A75" w:rsidRDefault="00EC726A" w:rsidP="00EC726A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Leistungsspektrum auf HP verfügbar</w:t>
      </w:r>
    </w:p>
    <w:p w:rsidR="002869BF" w:rsidRPr="00EA1A75" w:rsidRDefault="00A67F0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versendet national und international nach geltenden Regularien (z.B. ADR, GGVSE)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,</w:t>
      </w:r>
    </w:p>
    <w:p w:rsidR="002869BF" w:rsidRPr="00EA1A75" w:rsidRDefault="002869BF" w:rsidP="002869BF">
      <w:pPr>
        <w:pStyle w:val="Listenabsatz"/>
        <w:autoSpaceDE w:val="0"/>
        <w:adjustRightInd w:val="0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A67F0F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Interne Zusammenhänge:</w:t>
      </w:r>
    </w:p>
    <w:p w:rsidR="002869BF" w:rsidRPr="00EA1A75" w:rsidRDefault="002869BF" w:rsidP="00025B16">
      <w:pPr>
        <w:pStyle w:val="Listenabsatz"/>
        <w:widowControl/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Dienstleistungen;</w:t>
      </w:r>
    </w:p>
    <w:p w:rsidR="00A67F0F" w:rsidRPr="00EA1A75" w:rsidRDefault="00A67F0F" w:rsidP="00A67F0F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hat ein  Nutzer und Anforderungsmanagement etabliert</w:t>
      </w:r>
    </w:p>
    <w:p w:rsidR="002869BF" w:rsidRPr="00EA1A75" w:rsidRDefault="00A67F0F" w:rsidP="00A67F0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führ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projektbezogene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Schulungen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/ Trainings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durch </w:t>
      </w:r>
    </w:p>
    <w:p w:rsidR="002869BF" w:rsidRPr="00EA1A75" w:rsidRDefault="00A67F0F" w:rsidP="00A67F0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auditier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t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Partner entsprechend den Inhalten der DIN EN ISO 19011</w:t>
      </w:r>
    </w:p>
    <w:p w:rsidR="002869BF" w:rsidRPr="00EA1A75" w:rsidRDefault="00A67F0F" w:rsidP="002869BF">
      <w:pPr>
        <w:pStyle w:val="Listenabsatz"/>
        <w:widowControl/>
        <w:numPr>
          <w:ilvl w:val="1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Die </w:t>
      </w:r>
      <w:proofErr w:type="spellStart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Biobank</w:t>
      </w:r>
      <w:proofErr w:type="spellEnd"/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prüft sämtliche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Dokumentation auf d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ie Einhaltung von Anforderungen bzw. vertraglich festgelegten 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Vorgaben </w:t>
      </w:r>
    </w:p>
    <w:p w:rsidR="00025B16" w:rsidRPr="00EA1A75" w:rsidRDefault="00025B16" w:rsidP="00025B16">
      <w:pPr>
        <w:pStyle w:val="Listenabsatz"/>
        <w:widowControl/>
        <w:suppressAutoHyphens w:val="0"/>
        <w:autoSpaceDE w:val="0"/>
        <w:adjustRightInd w:val="0"/>
        <w:ind w:left="144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Interessierte Parteien;</w:t>
      </w:r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Der Gesetzgeber u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nd regelsetzende Dienststellen</w:t>
      </w:r>
    </w:p>
    <w:p w:rsidR="002869BF" w:rsidRPr="00EA1A75" w:rsidRDefault="00025B16" w:rsidP="008245F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lastRenderedPageBreak/>
        <w:t>Nutzer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wie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Wissenschaftler, industrielle Partner,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öffentliche Einrichtungen, …</w:t>
      </w:r>
    </w:p>
    <w:p w:rsidR="002869BF" w:rsidRPr="00EA1A75" w:rsidRDefault="002869BF" w:rsidP="002869BF">
      <w:pPr>
        <w:pStyle w:val="Listenabsatz"/>
        <w:widowControl/>
        <w:numPr>
          <w:ilvl w:val="0"/>
          <w:numId w:val="41"/>
        </w:numPr>
        <w:suppressAutoHyphens w:val="0"/>
        <w:autoSpaceDE w:val="0"/>
        <w:adjustRightInd w:val="0"/>
        <w:textAlignment w:val="auto"/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Erfordernisse und Erwartungen unserer Interessierten Parteien;</w:t>
      </w:r>
      <w:bookmarkStart w:id="1" w:name="_GoBack"/>
      <w:bookmarkEnd w:id="1"/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Einhaltung von regulatoris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chen Anforderungen und Gesetzen</w:t>
      </w:r>
    </w:p>
    <w:p w:rsidR="002869BF" w:rsidRPr="00EA1A75" w:rsidRDefault="002869BF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Erreichbarkeit und zeitnahe 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rechtssichere Dienstleistung bzw. </w:t>
      </w: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Umsetzung,</w:t>
      </w:r>
      <w:r w:rsidR="00025B1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L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ieferung</w:t>
      </w:r>
    </w:p>
    <w:p w:rsidR="00025B16" w:rsidRPr="00EA1A75" w:rsidRDefault="00025B16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Konformitätsbewertung der Proben</w:t>
      </w:r>
    </w:p>
    <w:p w:rsidR="002869BF" w:rsidRPr="00EA1A75" w:rsidRDefault="00025B16" w:rsidP="00025B16">
      <w:pPr>
        <w:pStyle w:val="Listenabsatz"/>
        <w:numPr>
          <w:ilvl w:val="1"/>
          <w:numId w:val="41"/>
        </w:numPr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</w:pPr>
      <w:r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Beratung</w:t>
      </w:r>
      <w:r w:rsidR="002869BF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 xml:space="preserve"> auf der Grundlage von wissenschaftlichen Kennt</w:t>
      </w:r>
      <w:r w:rsidR="008245F6" w:rsidRPr="00EA1A75">
        <w:rPr>
          <w:rFonts w:asciiTheme="minorHAnsi" w:eastAsia="Times New Roman" w:hAnsiTheme="minorHAnsi" w:cs="Arial"/>
          <w:iCs/>
          <w:kern w:val="0"/>
          <w:szCs w:val="24"/>
          <w:lang w:eastAsia="de-DE" w:bidi="ar-SA"/>
        </w:rPr>
        <w:t>nissen</w:t>
      </w:r>
    </w:p>
    <w:p w:rsidR="002869BF" w:rsidRPr="00EA1A75" w:rsidRDefault="002869BF" w:rsidP="002869BF">
      <w:pPr>
        <w:rPr>
          <w:rFonts w:asciiTheme="minorHAnsi" w:hAnsiTheme="minorHAnsi" w:cs="Arial"/>
          <w:iCs/>
          <w:sz w:val="24"/>
          <w:szCs w:val="24"/>
        </w:rPr>
      </w:pPr>
    </w:p>
    <w:p w:rsidR="002869BF" w:rsidRPr="00EA1A75" w:rsidRDefault="002869BF" w:rsidP="00025B16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Form der Überwachung und Überprüfung:</w:t>
      </w:r>
    </w:p>
    <w:p w:rsidR="002869BF" w:rsidRPr="00EA1A75" w:rsidRDefault="002869BF" w:rsidP="002869BF">
      <w:pPr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Während den laufenden Analysen, der Managementbewertung und in den internen Audits.</w:t>
      </w:r>
    </w:p>
    <w:p w:rsidR="000841FE" w:rsidRPr="00EA1A75" w:rsidRDefault="000841FE" w:rsidP="002869BF">
      <w:pPr>
        <w:rPr>
          <w:rFonts w:asciiTheme="minorHAnsi" w:hAnsiTheme="minorHAnsi"/>
          <w:sz w:val="24"/>
          <w:szCs w:val="24"/>
        </w:rPr>
      </w:pPr>
    </w:p>
    <w:p w:rsidR="002869BF" w:rsidRPr="00EA1A75" w:rsidRDefault="002869BF" w:rsidP="00025B16">
      <w:pPr>
        <w:pStyle w:val="berschrift1"/>
        <w:rPr>
          <w:rFonts w:asciiTheme="minorHAnsi" w:eastAsia="SimSun" w:hAnsiTheme="minorHAnsi"/>
          <w:szCs w:val="24"/>
          <w:lang w:eastAsia="zh-CN" w:bidi="hi-IN"/>
        </w:rPr>
      </w:pPr>
      <w:r w:rsidRPr="00EA1A75">
        <w:rPr>
          <w:rFonts w:asciiTheme="minorHAnsi" w:eastAsia="SimSun" w:hAnsiTheme="minorHAnsi"/>
          <w:szCs w:val="24"/>
          <w:lang w:eastAsia="zh-CN" w:bidi="hi-IN"/>
        </w:rPr>
        <w:t>Interessierte Parteien unseres Unternehmens</w:t>
      </w:r>
    </w:p>
    <w:p w:rsidR="002869BF" w:rsidRPr="00EA1A75" w:rsidRDefault="00025B16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Nutzer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 xml:space="preserve">Akkreditierungsstellen 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 xml:space="preserve">Mitarbeiter/-innen der </w:t>
      </w:r>
      <w:proofErr w:type="spellStart"/>
      <w:r w:rsidR="00025B16" w:rsidRPr="00EA1A75">
        <w:rPr>
          <w:rFonts w:asciiTheme="minorHAnsi" w:hAnsiTheme="minorHAnsi"/>
          <w:sz w:val="24"/>
          <w:szCs w:val="24"/>
        </w:rPr>
        <w:t>Biobank</w:t>
      </w:r>
      <w:proofErr w:type="spellEnd"/>
    </w:p>
    <w:p w:rsidR="002869BF" w:rsidRPr="00EA1A75" w:rsidRDefault="00025B16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(</w:t>
      </w:r>
      <w:r w:rsidR="002869BF" w:rsidRPr="00EA1A75">
        <w:rPr>
          <w:rFonts w:asciiTheme="minorHAnsi" w:hAnsiTheme="minorHAnsi"/>
          <w:sz w:val="24"/>
          <w:szCs w:val="24"/>
        </w:rPr>
        <w:t>Investoren</w:t>
      </w:r>
      <w:r w:rsidRPr="00EA1A75">
        <w:rPr>
          <w:rFonts w:asciiTheme="minorHAnsi" w:hAnsiTheme="minorHAnsi"/>
          <w:sz w:val="24"/>
          <w:szCs w:val="24"/>
        </w:rPr>
        <w:t>), Drittmittelgeber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Lieferanten und Partner</w:t>
      </w:r>
    </w:p>
    <w:p w:rsidR="002869BF" w:rsidRPr="00EA1A75" w:rsidRDefault="002869BF" w:rsidP="002869BF">
      <w:pPr>
        <w:numPr>
          <w:ilvl w:val="0"/>
          <w:numId w:val="43"/>
        </w:numPr>
        <w:tabs>
          <w:tab w:val="clear" w:pos="1620"/>
          <w:tab w:val="num" w:pos="567"/>
        </w:tabs>
        <w:spacing w:before="0"/>
        <w:ind w:left="567" w:hanging="567"/>
        <w:jc w:val="both"/>
        <w:rPr>
          <w:rFonts w:asciiTheme="minorHAnsi" w:hAnsiTheme="minorHAnsi"/>
          <w:sz w:val="24"/>
          <w:szCs w:val="24"/>
        </w:rPr>
      </w:pPr>
      <w:r w:rsidRPr="00EA1A75">
        <w:rPr>
          <w:rFonts w:asciiTheme="minorHAnsi" w:hAnsiTheme="minorHAnsi"/>
          <w:sz w:val="24"/>
          <w:szCs w:val="24"/>
        </w:rPr>
        <w:t>die Gesellschaft</w:t>
      </w:r>
    </w:p>
    <w:p w:rsidR="002869BF" w:rsidRPr="00EA1A75" w:rsidRDefault="002869BF" w:rsidP="002869BF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954"/>
      </w:tblGrid>
      <w:tr w:rsidR="00EA1A75" w:rsidRPr="00EA1A75" w:rsidTr="000841FE">
        <w:trPr>
          <w:tblHeader/>
        </w:trPr>
        <w:tc>
          <w:tcPr>
            <w:tcW w:w="3260" w:type="dxa"/>
            <w:shd w:val="clear" w:color="auto" w:fill="D4D9DE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Partei</w:t>
            </w:r>
          </w:p>
        </w:tc>
        <w:tc>
          <w:tcPr>
            <w:tcW w:w="5954" w:type="dxa"/>
            <w:shd w:val="clear" w:color="auto" w:fill="D4D9DE"/>
          </w:tcPr>
          <w:p w:rsidR="002869BF" w:rsidRPr="00EA1A75" w:rsidRDefault="008245F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Erfordernisse/</w:t>
            </w:r>
            <w:r w:rsidR="002869BF" w:rsidRPr="00EA1A75">
              <w:rPr>
                <w:rFonts w:asciiTheme="minorHAnsi" w:eastAsia="Calibri" w:hAnsiTheme="minorHAnsi" w:cs="ArialMT"/>
                <w:b/>
                <w:sz w:val="24"/>
                <w:szCs w:val="24"/>
              </w:rPr>
              <w:t>Erwartungen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025B1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Nutzer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Pro</w:t>
            </w:r>
            <w:r w:rsidR="00025B16"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ben</w:t>
            </w: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:</w:t>
            </w:r>
          </w:p>
          <w:p w:rsidR="00025B16" w:rsidRPr="00EA1A75" w:rsidRDefault="00025B16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Probenqualität 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gem. </w:t>
            </w:r>
            <w:r w:rsidR="009C00B9" w:rsidRPr="00EA1A75">
              <w:rPr>
                <w:rFonts w:asciiTheme="minorHAnsi" w:hAnsiTheme="minorHAnsi" w:cs="Arial"/>
                <w:szCs w:val="24"/>
                <w:lang w:eastAsia="de-DE"/>
              </w:rPr>
              <w:t>beabsichtigten Gebrauch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,</w:t>
            </w:r>
          </w:p>
          <w:p w:rsidR="002869BF" w:rsidRPr="00EA1A75" w:rsidRDefault="008245F6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Verbesserung,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Durchführung </w:t>
            </w:r>
            <w:r w:rsidR="00025B16" w:rsidRPr="00EA1A75">
              <w:rPr>
                <w:rFonts w:asciiTheme="minorHAnsi" w:hAnsiTheme="minorHAnsi" w:cs="Arial"/>
                <w:szCs w:val="24"/>
                <w:lang w:eastAsia="de-DE"/>
              </w:rPr>
              <w:t>von Beratungs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leistungen,</w:t>
            </w:r>
          </w:p>
          <w:p w:rsidR="00025B16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 xml:space="preserve">Abgabe von Dokumentierten Informationen </w:t>
            </w:r>
            <w:r w:rsidR="00025B16" w:rsidRPr="00EA1A75">
              <w:rPr>
                <w:rFonts w:asciiTheme="minorHAnsi" w:hAnsiTheme="minorHAnsi" w:cs="Arial"/>
                <w:szCs w:val="24"/>
                <w:lang w:eastAsia="de-DE"/>
              </w:rPr>
              <w:t>zur Dienstleistung/Probe</w:t>
            </w:r>
            <w:r w:rsidR="008245F6" w:rsidRPr="00EA1A75">
              <w:rPr>
                <w:rFonts w:asciiTheme="minorHAnsi" w:hAnsiTheme="minorHAnsi" w:cs="Arial"/>
                <w:szCs w:val="24"/>
                <w:lang w:eastAsia="de-DE"/>
              </w:rPr>
              <w:t>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Rechtssichere und inhaltlich richtige Angebote.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Dienstleistung: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Umgehende Erfüllung/Bereitstellung,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Verbesserung,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Aussagekräftige Informationen,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Transparente Leistungsangebote.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025B16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Drittmittelgeber</w:t>
            </w:r>
            <w:r w:rsidR="002869BF" w:rsidRPr="00EA1A75">
              <w:rPr>
                <w:rFonts w:asciiTheme="minorHAnsi" w:eastAsia="Calibri" w:hAnsiTheme="minorHAnsi" w:cs="ArialMT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Informationen bei grundlegenden Änderungen,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Wirtschaftliches Handeln,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Innovation,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lastRenderedPageBreak/>
              <w:t>Transparente Berichterstattung,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Entwicklung der Organisation</w:t>
            </w:r>
            <w:r w:rsidR="002B3ED8" w:rsidRPr="00EA1A75">
              <w:rPr>
                <w:rFonts w:asciiTheme="minorHAnsi" w:hAnsiTheme="minorHAnsi" w:cs="Arial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lastRenderedPageBreak/>
              <w:t>Personen von Organisationen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Intern: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Sichere Arbeitsplätze,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Transparente Kommunikation,</w:t>
            </w:r>
          </w:p>
          <w:p w:rsidR="002869BF" w:rsidRPr="00EA1A75" w:rsidRDefault="002B3ED8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Laufende Kompetenzerweiterung.</w:t>
            </w:r>
          </w:p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  <w:u w:val="single"/>
              </w:rPr>
              <w:t>Extern: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Zeitnahe Informationsabgabe,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Zusammenarbeit.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Externe Anbieter (Lieferanten)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Fairer Umgang,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Dokumentierte Informationen im notwendigen Rahmen</w:t>
            </w:r>
            <w:r w:rsidR="002B3ED8" w:rsidRPr="00EA1A75">
              <w:rPr>
                <w:rFonts w:asciiTheme="minorHAnsi" w:hAnsiTheme="minorHAnsi" w:cs="Arial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Gesellschaft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Beteiligung,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Offenheit,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Transparenz,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Vermeidung von Belastungen der Umwelt</w:t>
            </w:r>
            <w:r w:rsidRPr="00EA1A75">
              <w:rPr>
                <w:rFonts w:asciiTheme="minorHAnsi" w:hAnsiTheme="minorHAnsi" w:cs="ArialMT"/>
                <w:szCs w:val="24"/>
                <w:lang w:eastAsia="de-DE"/>
              </w:rPr>
              <w:t>.</w:t>
            </w:r>
          </w:p>
        </w:tc>
      </w:tr>
      <w:tr w:rsidR="00EA1A75" w:rsidRPr="00EA1A75" w:rsidTr="000841FE">
        <w:tc>
          <w:tcPr>
            <w:tcW w:w="3260" w:type="dxa"/>
            <w:shd w:val="clear" w:color="auto" w:fill="auto"/>
          </w:tcPr>
          <w:p w:rsidR="002869BF" w:rsidRPr="00EA1A75" w:rsidRDefault="002869BF" w:rsidP="0051132D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EA1A75">
              <w:rPr>
                <w:rFonts w:asciiTheme="minorHAnsi" w:eastAsia="Calibri" w:hAnsiTheme="minorHAnsi" w:cs="ArialMT"/>
                <w:sz w:val="24"/>
                <w:szCs w:val="24"/>
              </w:rPr>
              <w:t>Gesetzgeber</w:t>
            </w:r>
          </w:p>
        </w:tc>
        <w:tc>
          <w:tcPr>
            <w:tcW w:w="5954" w:type="dxa"/>
            <w:shd w:val="clear" w:color="auto" w:fill="auto"/>
          </w:tcPr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Einhaltung regulatorischer Vorgaben und Gesetze,</w:t>
            </w:r>
          </w:p>
          <w:p w:rsidR="002869BF" w:rsidRPr="00EA1A75" w:rsidRDefault="002869BF" w:rsidP="0051132D">
            <w:pPr>
              <w:pStyle w:val="Listenabsatz"/>
              <w:widowControl/>
              <w:numPr>
                <w:ilvl w:val="0"/>
                <w:numId w:val="42"/>
              </w:numPr>
              <w:suppressAutoHyphens w:val="0"/>
              <w:autoSpaceDE w:val="0"/>
              <w:adjustRightInd w:val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EA1A75">
              <w:rPr>
                <w:rFonts w:asciiTheme="minorHAnsi" w:hAnsiTheme="minorHAnsi" w:cs="Arial"/>
                <w:szCs w:val="24"/>
                <w:lang w:eastAsia="de-DE"/>
              </w:rPr>
              <w:t>Berichterstattung bei Nichtkonformitäten.</w:t>
            </w:r>
          </w:p>
        </w:tc>
      </w:tr>
    </w:tbl>
    <w:p w:rsidR="009A7F94" w:rsidRPr="000841FE" w:rsidRDefault="009A7F94" w:rsidP="001267E1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0841FE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0841FE">
              <w:rPr>
                <w:rFonts w:asciiTheme="minorHAnsi" w:hAnsiTheme="minorHAnsi"/>
                <w:shd w:val="clear" w:color="auto" w:fill="C0C0C0"/>
              </w:rPr>
              <w:t>r</w:t>
            </w:r>
            <w:r w:rsidRPr="000841FE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sectPr w:rsidR="000D052C" w:rsidRPr="000841FE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90" w:rsidRDefault="00910490">
      <w:r>
        <w:separator/>
      </w:r>
    </w:p>
  </w:endnote>
  <w:endnote w:type="continuationSeparator" w:id="0">
    <w:p w:rsidR="00910490" w:rsidRDefault="0091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19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6"/>
      <w:gridCol w:w="5103"/>
      <w:gridCol w:w="1985"/>
    </w:tblGrid>
    <w:tr w:rsidR="000D052C" w:rsidRPr="005316C4" w:rsidTr="00160751">
      <w:tc>
        <w:tcPr>
          <w:tcW w:w="212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160751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510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5316C4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160751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05.f_GBN_FB_Kontext.docx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98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316C4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CF368A" w:rsidRPr="00117DC4" w:rsidRDefault="00CF368A" w:rsidP="00CF368A">
    <w:pPr>
      <w:rPr>
        <w:sz w:val="4"/>
        <w:szCs w:val="17"/>
      </w:rPr>
    </w:pPr>
  </w:p>
  <w:p w:rsidR="000D052C" w:rsidRPr="00694079" w:rsidRDefault="00694079" w:rsidP="006940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90" w:rsidRDefault="00910490">
      <w:r>
        <w:separator/>
      </w:r>
    </w:p>
  </w:footnote>
  <w:footnote w:type="continuationSeparator" w:id="0">
    <w:p w:rsidR="00910490" w:rsidRDefault="00910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1FE" w:rsidRDefault="000841FE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F30FA08" wp14:editId="64F4B48F">
          <wp:simplePos x="0" y="0"/>
          <wp:positionH relativeFrom="column">
            <wp:posOffset>4014290</wp:posOffset>
          </wp:positionH>
          <wp:positionV relativeFrom="paragraph">
            <wp:posOffset>-335915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tbl>
    <w:tblPr>
      <w:tblW w:w="9214" w:type="dxa"/>
      <w:tblInd w:w="19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15"/>
      <w:gridCol w:w="3213"/>
      <w:gridCol w:w="2986"/>
    </w:tblGrid>
    <w:tr w:rsidR="00E47164" w:rsidRPr="00914EB1" w:rsidTr="00160751">
      <w:tc>
        <w:tcPr>
          <w:tcW w:w="301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5316C4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 w:rsidRPr="005316C4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Kontext, Erfordernisse und Erwartungen</w:t>
          </w:r>
        </w:p>
      </w:tc>
      <w:tc>
        <w:tcPr>
          <w:tcW w:w="298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E47164" w:rsidRPr="00914EB1" w:rsidTr="00160751">
      <w:trPr>
        <w:trHeight w:val="904"/>
      </w:trPr>
      <w:tc>
        <w:tcPr>
          <w:tcW w:w="3015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4" w:space="0" w:color="auto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5316C4" w:rsidRDefault="00E47164" w:rsidP="00195AA2">
          <w:pPr>
            <w:rPr>
              <w:rStyle w:val="Hervorhebung"/>
              <w:rFonts w:asciiTheme="minorHAnsi" w:hAnsiTheme="minorHAnsi" w:cs="Arial"/>
              <w:i w:val="0"/>
              <w:color w:val="FFFFFF" w:themeColor="background1"/>
              <w:sz w:val="28"/>
              <w:szCs w:val="28"/>
            </w:rPr>
          </w:pPr>
        </w:p>
      </w:tc>
      <w:tc>
        <w:tcPr>
          <w:tcW w:w="298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E47164" w:rsidRPr="008E1D79" w:rsidRDefault="00E4716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2FBEEC9E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CA6F7E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198A495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41FE"/>
    <w:rsid w:val="00086718"/>
    <w:rsid w:val="000A324E"/>
    <w:rsid w:val="000B5D9B"/>
    <w:rsid w:val="000C1ECD"/>
    <w:rsid w:val="000D052C"/>
    <w:rsid w:val="000D2CBE"/>
    <w:rsid w:val="000D36E8"/>
    <w:rsid w:val="000F7D50"/>
    <w:rsid w:val="00117309"/>
    <w:rsid w:val="001267E1"/>
    <w:rsid w:val="001277E4"/>
    <w:rsid w:val="0014310C"/>
    <w:rsid w:val="00160751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B3ED8"/>
    <w:rsid w:val="002C1DDA"/>
    <w:rsid w:val="002E0F75"/>
    <w:rsid w:val="002E3532"/>
    <w:rsid w:val="00330257"/>
    <w:rsid w:val="00367F4C"/>
    <w:rsid w:val="00387E2F"/>
    <w:rsid w:val="003A3744"/>
    <w:rsid w:val="003D30EF"/>
    <w:rsid w:val="003D3AE1"/>
    <w:rsid w:val="0044736D"/>
    <w:rsid w:val="00464B6C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16C4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4079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245F6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0490"/>
    <w:rsid w:val="009121F3"/>
    <w:rsid w:val="009149FF"/>
    <w:rsid w:val="00914EB1"/>
    <w:rsid w:val="009226DD"/>
    <w:rsid w:val="0092676B"/>
    <w:rsid w:val="009326BE"/>
    <w:rsid w:val="00941F0B"/>
    <w:rsid w:val="0095068C"/>
    <w:rsid w:val="00965540"/>
    <w:rsid w:val="009660EA"/>
    <w:rsid w:val="00971025"/>
    <w:rsid w:val="009952AB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460D0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0859"/>
    <w:rsid w:val="00C8117B"/>
    <w:rsid w:val="00C8188F"/>
    <w:rsid w:val="00CA2635"/>
    <w:rsid w:val="00CA4622"/>
    <w:rsid w:val="00CB4A07"/>
    <w:rsid w:val="00CC1473"/>
    <w:rsid w:val="00CE65A3"/>
    <w:rsid w:val="00CF368A"/>
    <w:rsid w:val="00D67E32"/>
    <w:rsid w:val="00D91EBD"/>
    <w:rsid w:val="00DB1872"/>
    <w:rsid w:val="00DD7526"/>
    <w:rsid w:val="00DE5730"/>
    <w:rsid w:val="00E108CA"/>
    <w:rsid w:val="00E1540D"/>
    <w:rsid w:val="00E47164"/>
    <w:rsid w:val="00E559AC"/>
    <w:rsid w:val="00E57329"/>
    <w:rsid w:val="00E81D95"/>
    <w:rsid w:val="00E85692"/>
    <w:rsid w:val="00E8733A"/>
    <w:rsid w:val="00E93630"/>
    <w:rsid w:val="00EA1A75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BF937A"/>
  <w15:docId w15:val="{EA7A15C6-617F-4884-A949-85BBB13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041D66BE-1C2D-47B6-9834-21C503AA8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84CE9D-14C7-47F3-9DBC-129C5E1EB74F}"/>
</file>

<file path=customXml/itemProps3.xml><?xml version="1.0" encoding="utf-8"?>
<ds:datastoreItem xmlns:ds="http://schemas.openxmlformats.org/officeDocument/2006/customXml" ds:itemID="{525F5924-09BF-4412-8FD7-DA058E9FCE53}"/>
</file>

<file path=customXml/itemProps4.xml><?xml version="1.0" encoding="utf-8"?>
<ds:datastoreItem xmlns:ds="http://schemas.openxmlformats.org/officeDocument/2006/customXml" ds:itemID="{0C91B112-B9F1-4AB5-BDBE-BC9D366AC7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10</cp:revision>
  <cp:lastPrinted>2000-09-07T05:37:00Z</cp:lastPrinted>
  <dcterms:created xsi:type="dcterms:W3CDTF">2017-05-03T10:00:00Z</dcterms:created>
  <dcterms:modified xsi:type="dcterms:W3CDTF">2018-10-16T07:18:00Z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