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DE3" w:rsidRPr="000461AA" w:rsidRDefault="002C7DE3" w:rsidP="000461AA">
      <w:pPr>
        <w:pStyle w:val="TableContents"/>
        <w:jc w:val="both"/>
        <w:rPr>
          <w:rFonts w:asciiTheme="minorHAnsi" w:hAnsiTheme="minorHAnsi"/>
        </w:rPr>
      </w:pPr>
    </w:p>
    <w:p w:rsidR="00B665CE" w:rsidRPr="000461AA" w:rsidRDefault="009A7F94" w:rsidP="000461AA">
      <w:pPr>
        <w:pStyle w:val="Listenabsatz"/>
        <w:numPr>
          <w:ilvl w:val="0"/>
          <w:numId w:val="5"/>
        </w:numPr>
        <w:tabs>
          <w:tab w:val="clear" w:pos="432"/>
        </w:tabs>
        <w:ind w:left="0" w:firstLine="0"/>
        <w:jc w:val="both"/>
        <w:rPr>
          <w:rFonts w:asciiTheme="minorHAnsi" w:hAnsiTheme="minorHAnsi" w:cs="Arial"/>
          <w:b/>
          <w:bCs/>
          <w:szCs w:val="24"/>
        </w:rPr>
      </w:pPr>
      <w:bookmarkStart w:id="0" w:name="_Toc455129177"/>
      <w:bookmarkStart w:id="1" w:name="_Toc455129318"/>
      <w:bookmarkStart w:id="2" w:name="_Toc455129403"/>
      <w:r w:rsidRPr="000461AA">
        <w:rPr>
          <w:rFonts w:asciiTheme="minorHAnsi" w:hAnsiTheme="minorHAnsi" w:cs="Arial"/>
          <w:b/>
          <w:bCs/>
          <w:szCs w:val="24"/>
        </w:rPr>
        <w:t>Anwendungsbereich</w:t>
      </w:r>
      <w:bookmarkEnd w:id="0"/>
      <w:bookmarkEnd w:id="1"/>
      <w:bookmarkEnd w:id="2"/>
    </w:p>
    <w:p w:rsidR="002711B6" w:rsidRPr="000461AA" w:rsidRDefault="002711B6" w:rsidP="000461AA">
      <w:pPr>
        <w:ind w:left="709"/>
        <w:jc w:val="both"/>
        <w:rPr>
          <w:rFonts w:asciiTheme="minorHAnsi" w:hAnsiTheme="minorHAnsi"/>
          <w:i/>
          <w:kern w:val="28"/>
          <w:sz w:val="24"/>
          <w:szCs w:val="24"/>
        </w:rPr>
      </w:pPr>
      <w:r w:rsidRPr="000461AA">
        <w:rPr>
          <w:rFonts w:asciiTheme="minorHAnsi" w:hAnsiTheme="minorHAnsi"/>
          <w:i/>
          <w:kern w:val="28"/>
          <w:sz w:val="24"/>
          <w:szCs w:val="24"/>
        </w:rPr>
        <w:t>Nennung aller am Prozess beteiligten Einrichtungen (Name Biobank und assoziierte Einrichtungen)</w:t>
      </w:r>
    </w:p>
    <w:p w:rsidR="002711B6" w:rsidRPr="000461AA" w:rsidRDefault="002711B6" w:rsidP="000461AA">
      <w:pPr>
        <w:jc w:val="both"/>
        <w:rPr>
          <w:rFonts w:asciiTheme="minorHAnsi" w:hAnsiTheme="minorHAnsi"/>
          <w:color w:val="FF0000"/>
          <w:kern w:val="28"/>
          <w:sz w:val="24"/>
          <w:szCs w:val="24"/>
        </w:rPr>
      </w:pPr>
    </w:p>
    <w:p w:rsidR="008F1B83" w:rsidRPr="000461AA" w:rsidRDefault="008F1B83" w:rsidP="000461AA">
      <w:pPr>
        <w:ind w:left="709"/>
        <w:jc w:val="both"/>
        <w:rPr>
          <w:rFonts w:asciiTheme="minorHAnsi" w:hAnsiTheme="minorHAnsi"/>
          <w:kern w:val="28"/>
          <w:sz w:val="24"/>
          <w:szCs w:val="24"/>
        </w:rPr>
      </w:pPr>
      <w:r w:rsidRPr="000461AA">
        <w:rPr>
          <w:rFonts w:asciiTheme="minorHAnsi" w:hAnsiTheme="minorHAnsi"/>
          <w:kern w:val="28"/>
          <w:sz w:val="24"/>
          <w:szCs w:val="24"/>
        </w:rPr>
        <w:t xml:space="preserve">Diese SOP beschreibt die Anforderungen an die Präanalytik für die Entnahme von Vollblut, dessen Bestandteile für analytische in vitro Verfahren verwendet werden können. </w:t>
      </w:r>
    </w:p>
    <w:p w:rsidR="008F1B83" w:rsidRPr="000461AA" w:rsidRDefault="008F1B83" w:rsidP="000461AA">
      <w:pPr>
        <w:ind w:left="709"/>
        <w:jc w:val="both"/>
        <w:rPr>
          <w:rFonts w:asciiTheme="minorHAnsi" w:hAnsiTheme="minorHAnsi"/>
          <w:iCs/>
          <w:kern w:val="28"/>
          <w:sz w:val="24"/>
          <w:szCs w:val="24"/>
        </w:rPr>
      </w:pPr>
      <w:r w:rsidRPr="007B43D3">
        <w:rPr>
          <w:rFonts w:asciiTheme="minorHAnsi" w:hAnsiTheme="minorHAnsi"/>
          <w:kern w:val="28"/>
          <w:sz w:val="24"/>
          <w:szCs w:val="24"/>
        </w:rPr>
        <w:t>Gesonderte Maßnahmen müssen abhängig vom beabsichtigten Gebrauch getroffen werden. z.B</w:t>
      </w:r>
      <w:r w:rsidR="00435876" w:rsidRPr="007B43D3">
        <w:rPr>
          <w:rFonts w:asciiTheme="minorHAnsi" w:hAnsiTheme="minorHAnsi"/>
          <w:kern w:val="28"/>
          <w:sz w:val="24"/>
          <w:szCs w:val="24"/>
        </w:rPr>
        <w:t>.</w:t>
      </w:r>
      <w:r w:rsidRPr="007B43D3">
        <w:rPr>
          <w:rFonts w:asciiTheme="minorHAnsi" w:hAnsiTheme="minorHAnsi"/>
          <w:kern w:val="28"/>
          <w:sz w:val="24"/>
          <w:szCs w:val="24"/>
        </w:rPr>
        <w:t xml:space="preserve">: </w:t>
      </w:r>
      <w:r w:rsidR="007B43D3" w:rsidRPr="007B43D3">
        <w:rPr>
          <w:rFonts w:asciiTheme="minorHAnsi" w:hAnsiTheme="minorHAnsi"/>
          <w:kern w:val="28"/>
          <w:sz w:val="24"/>
          <w:szCs w:val="24"/>
        </w:rPr>
        <w:t>Stabilisierung von im Blut zirkulierender blutze</w:t>
      </w:r>
      <w:r w:rsidR="007B43D3">
        <w:rPr>
          <w:rFonts w:asciiTheme="minorHAnsi" w:hAnsiTheme="minorHAnsi"/>
          <w:kern w:val="28"/>
          <w:sz w:val="24"/>
          <w:szCs w:val="24"/>
        </w:rPr>
        <w:t>llfreier RNA,</w:t>
      </w:r>
      <w:r w:rsidRPr="007B43D3">
        <w:rPr>
          <w:rFonts w:asciiTheme="minorHAnsi" w:hAnsiTheme="minorHAnsi"/>
          <w:kern w:val="28"/>
          <w:sz w:val="24"/>
          <w:szCs w:val="24"/>
        </w:rPr>
        <w:t xml:space="preserve"> im Blut zirkulierender RNA in </w:t>
      </w:r>
      <w:proofErr w:type="spellStart"/>
      <w:r w:rsidRPr="007B43D3">
        <w:rPr>
          <w:rFonts w:asciiTheme="minorHAnsi" w:hAnsiTheme="minorHAnsi"/>
          <w:kern w:val="28"/>
          <w:sz w:val="24"/>
          <w:szCs w:val="24"/>
        </w:rPr>
        <w:t>Exosomen</w:t>
      </w:r>
      <w:proofErr w:type="spellEnd"/>
      <w:r w:rsidRPr="007B43D3">
        <w:rPr>
          <w:rFonts w:asciiTheme="minorHAnsi" w:hAnsiTheme="minorHAnsi"/>
          <w:kern w:val="28"/>
          <w:sz w:val="24"/>
          <w:szCs w:val="24"/>
        </w:rPr>
        <w:t>, für die Entnahme, die Stabilisierung, den</w:t>
      </w:r>
      <w:r w:rsidRPr="000461AA">
        <w:rPr>
          <w:rFonts w:asciiTheme="minorHAnsi" w:hAnsiTheme="minorHAnsi"/>
          <w:iCs/>
          <w:kern w:val="28"/>
          <w:sz w:val="24"/>
          <w:szCs w:val="24"/>
        </w:rPr>
        <w:t xml:space="preserve"> Transport und die Lagerung von Kapillarblut, für die Entnahme und die Lagerung von Blut mit auf Papier basierenden Technologien </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Listenabsatz"/>
        <w:numPr>
          <w:ilvl w:val="0"/>
          <w:numId w:val="5"/>
        </w:numPr>
        <w:tabs>
          <w:tab w:val="clear" w:pos="432"/>
        </w:tabs>
        <w:ind w:left="0" w:firstLine="0"/>
        <w:jc w:val="both"/>
        <w:rPr>
          <w:rFonts w:asciiTheme="minorHAnsi" w:hAnsiTheme="minorHAnsi" w:cs="Arial"/>
          <w:b/>
          <w:bCs/>
          <w:szCs w:val="24"/>
        </w:rPr>
      </w:pPr>
      <w:bookmarkStart w:id="3" w:name="_Toc455129179"/>
      <w:bookmarkStart w:id="4" w:name="_Toc455129320"/>
      <w:bookmarkStart w:id="5" w:name="_Toc455129405"/>
      <w:r w:rsidRPr="000461AA">
        <w:rPr>
          <w:rFonts w:asciiTheme="minorHAnsi" w:hAnsiTheme="minorHAnsi" w:cs="Arial"/>
          <w:b/>
          <w:bCs/>
          <w:szCs w:val="24"/>
        </w:rPr>
        <w:t>Zuständigkeiten</w:t>
      </w:r>
      <w:bookmarkEnd w:id="3"/>
      <w:bookmarkEnd w:id="4"/>
      <w:bookmarkEnd w:id="5"/>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0461AA" w:rsidRDefault="009A7F94" w:rsidP="00CB4CC9">
      <w:pPr>
        <w:ind w:left="709"/>
        <w:jc w:val="both"/>
        <w:rPr>
          <w:rFonts w:asciiTheme="minorHAnsi" w:hAnsiTheme="minorHAnsi"/>
          <w:b/>
          <w:i/>
          <w:kern w:val="28"/>
          <w:sz w:val="24"/>
          <w:szCs w:val="24"/>
        </w:rPr>
      </w:pPr>
      <w:r w:rsidRPr="000461AA">
        <w:rPr>
          <w:rFonts w:asciiTheme="minorHAnsi" w:hAnsiTheme="minorHAnsi"/>
          <w:i/>
          <w:kern w:val="28"/>
          <w:sz w:val="24"/>
          <w:szCs w:val="24"/>
        </w:rPr>
        <w:t xml:space="preserve">Die Biobank </w:t>
      </w:r>
      <w:r w:rsidR="003C5ACA" w:rsidRPr="000461AA">
        <w:rPr>
          <w:rFonts w:asciiTheme="minorHAnsi" w:hAnsiTheme="minorHAnsi"/>
          <w:i/>
          <w:kern w:val="28"/>
          <w:sz w:val="24"/>
          <w:szCs w:val="24"/>
        </w:rPr>
        <w:t xml:space="preserve">und assoziierte Einrichtungen müssen </w:t>
      </w:r>
      <w:r w:rsidRPr="000461AA">
        <w:rPr>
          <w:rFonts w:asciiTheme="minorHAnsi" w:hAnsiTheme="minorHAnsi"/>
          <w:i/>
          <w:kern w:val="28"/>
          <w:sz w:val="24"/>
          <w:szCs w:val="24"/>
        </w:rPr>
        <w:t>die prozessrelevante</w:t>
      </w:r>
      <w:r w:rsidR="00435876">
        <w:rPr>
          <w:rFonts w:asciiTheme="minorHAnsi" w:hAnsiTheme="minorHAnsi"/>
          <w:i/>
          <w:kern w:val="28"/>
          <w:sz w:val="24"/>
          <w:szCs w:val="24"/>
        </w:rPr>
        <w:t>n</w:t>
      </w:r>
      <w:r w:rsidRPr="000461AA">
        <w:rPr>
          <w:rFonts w:asciiTheme="minorHAnsi" w:hAnsiTheme="minorHAnsi"/>
          <w:i/>
          <w:kern w:val="28"/>
          <w:sz w:val="24"/>
          <w:szCs w:val="24"/>
        </w:rPr>
        <w:t xml:space="preserve"> Zuständigkeiten </w:t>
      </w:r>
      <w:r w:rsidR="00675871" w:rsidRPr="000461AA">
        <w:rPr>
          <w:rFonts w:asciiTheme="minorHAnsi" w:hAnsiTheme="minorHAnsi"/>
          <w:i/>
          <w:kern w:val="28"/>
          <w:sz w:val="24"/>
          <w:szCs w:val="24"/>
        </w:rPr>
        <w:t>k</w:t>
      </w:r>
      <w:r w:rsidR="00675871" w:rsidRPr="000461AA">
        <w:rPr>
          <w:rStyle w:val="normaltextrun"/>
          <w:rFonts w:asciiTheme="minorHAnsi" w:hAnsiTheme="minorHAnsi"/>
          <w:i/>
          <w:iCs/>
          <w:sz w:val="24"/>
          <w:szCs w:val="24"/>
        </w:rPr>
        <w:t>ommunizieren, festlegen, und dokumentieren</w:t>
      </w:r>
      <w:r w:rsidR="00675871" w:rsidRPr="000461AA">
        <w:rPr>
          <w:rFonts w:asciiTheme="minorHAnsi" w:hAnsiTheme="minorHAnsi"/>
          <w:i/>
          <w:kern w:val="28"/>
          <w:sz w:val="24"/>
          <w:szCs w:val="24"/>
        </w:rPr>
        <w:t>.</w:t>
      </w:r>
    </w:p>
    <w:p w:rsidR="009A7F94" w:rsidRPr="000461AA" w:rsidRDefault="009A7F94" w:rsidP="000461AA">
      <w:pPr>
        <w:jc w:val="both"/>
        <w:rPr>
          <w:rFonts w:asciiTheme="minorHAnsi" w:hAnsiTheme="minorHAnsi"/>
          <w:i/>
          <w:kern w:val="28"/>
          <w:sz w:val="24"/>
          <w:szCs w:val="24"/>
        </w:rPr>
      </w:pP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Projektplanung (Auswahl der Entnahmetechnik, Blutentnahmegefäße)</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Aufklärungsmanagement (Einholung und Kontrolle der entsprechenden Einverständniserklärungen)</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Probennahme (Schulung, Autorisierung, Durchführung)</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Externe Dienstleistungen (z. B. Transport, Analytik; QC)</w:t>
      </w:r>
    </w:p>
    <w:p w:rsidR="009A7F94" w:rsidRPr="000461AA" w:rsidRDefault="009A7F94"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Dokumentation</w:t>
      </w:r>
    </w:p>
    <w:p w:rsidR="00384977" w:rsidRPr="000461AA" w:rsidRDefault="00384977" w:rsidP="000461AA">
      <w:pPr>
        <w:numPr>
          <w:ilvl w:val="0"/>
          <w:numId w:val="30"/>
        </w:numPr>
        <w:jc w:val="both"/>
        <w:rPr>
          <w:rFonts w:asciiTheme="minorHAnsi" w:hAnsiTheme="minorHAnsi"/>
          <w:kern w:val="28"/>
          <w:sz w:val="24"/>
          <w:szCs w:val="24"/>
        </w:rPr>
      </w:pPr>
      <w:r w:rsidRPr="000461AA">
        <w:rPr>
          <w:rFonts w:asciiTheme="minorHAnsi" w:hAnsiTheme="minorHAnsi"/>
          <w:kern w:val="28"/>
          <w:sz w:val="24"/>
          <w:szCs w:val="24"/>
        </w:rPr>
        <w:t xml:space="preserve">Prüfung; </w:t>
      </w:r>
      <w:proofErr w:type="spellStart"/>
      <w:r w:rsidRPr="000461AA">
        <w:rPr>
          <w:rFonts w:asciiTheme="minorHAnsi" w:hAnsiTheme="minorHAnsi"/>
          <w:kern w:val="28"/>
          <w:sz w:val="24"/>
          <w:szCs w:val="24"/>
        </w:rPr>
        <w:t>Prozessmonitoring</w:t>
      </w:r>
      <w:proofErr w:type="spellEnd"/>
    </w:p>
    <w:p w:rsidR="009A7F94" w:rsidRPr="000461AA" w:rsidRDefault="009A7F94" w:rsidP="000461AA">
      <w:pPr>
        <w:jc w:val="both"/>
        <w:rPr>
          <w:rFonts w:asciiTheme="minorHAnsi" w:hAnsiTheme="minorHAnsi"/>
          <w:i/>
          <w:kern w:val="28"/>
          <w:sz w:val="24"/>
          <w:szCs w:val="24"/>
        </w:rPr>
      </w:pPr>
    </w:p>
    <w:p w:rsidR="009A7F94" w:rsidRPr="000461AA" w:rsidRDefault="009A7F94" w:rsidP="000461AA">
      <w:pPr>
        <w:pStyle w:val="berschrift1"/>
        <w:jc w:val="both"/>
        <w:rPr>
          <w:rFonts w:asciiTheme="minorHAnsi" w:hAnsiTheme="minorHAnsi"/>
          <w:szCs w:val="24"/>
          <w:u w:val="none"/>
        </w:rPr>
      </w:pPr>
      <w:bookmarkStart w:id="6" w:name="_Toc455129180"/>
      <w:bookmarkStart w:id="7" w:name="_Toc455129321"/>
      <w:bookmarkStart w:id="8" w:name="_Toc455129406"/>
      <w:r w:rsidRPr="000461AA">
        <w:rPr>
          <w:rFonts w:asciiTheme="minorHAnsi" w:hAnsiTheme="minorHAnsi"/>
          <w:szCs w:val="24"/>
          <w:u w:val="none"/>
        </w:rPr>
        <w:t>Begriffe und Abkürzungen</w:t>
      </w:r>
      <w:bookmarkEnd w:id="6"/>
      <w:bookmarkEnd w:id="7"/>
      <w:bookmarkEnd w:id="8"/>
    </w:p>
    <w:p w:rsidR="009A7F94" w:rsidRPr="000461AA" w:rsidRDefault="009A7F94" w:rsidP="00CB4CC9">
      <w:pPr>
        <w:ind w:left="709"/>
        <w:jc w:val="both"/>
        <w:rPr>
          <w:rFonts w:asciiTheme="minorHAnsi" w:hAnsiTheme="minorHAnsi"/>
          <w:kern w:val="28"/>
          <w:sz w:val="24"/>
          <w:szCs w:val="24"/>
        </w:rPr>
      </w:pPr>
      <w:r w:rsidRPr="000461AA">
        <w:rPr>
          <w:rFonts w:asciiTheme="minorHAnsi" w:hAnsiTheme="minorHAnsi"/>
          <w:kern w:val="28"/>
          <w:sz w:val="24"/>
          <w:szCs w:val="24"/>
        </w:rPr>
        <w:t>siehe Dokument „Begriffe und Abkürzungen“</w:t>
      </w:r>
    </w:p>
    <w:p w:rsidR="009A7F94" w:rsidRPr="000461AA" w:rsidRDefault="009A7F94" w:rsidP="000461AA">
      <w:pPr>
        <w:jc w:val="both"/>
        <w:rPr>
          <w:rFonts w:asciiTheme="minorHAnsi" w:hAnsiTheme="minorHAnsi"/>
          <w:kern w:val="28"/>
          <w:sz w:val="24"/>
          <w:szCs w:val="24"/>
        </w:rPr>
      </w:pPr>
    </w:p>
    <w:p w:rsidR="00B665CE" w:rsidRPr="000461AA" w:rsidRDefault="002711B6" w:rsidP="000461AA">
      <w:pPr>
        <w:pStyle w:val="berschrift1"/>
        <w:jc w:val="both"/>
        <w:rPr>
          <w:rFonts w:asciiTheme="minorHAnsi" w:hAnsiTheme="minorHAnsi"/>
          <w:szCs w:val="24"/>
          <w:u w:val="none"/>
        </w:rPr>
      </w:pPr>
      <w:r w:rsidRPr="000461AA">
        <w:rPr>
          <w:rFonts w:asciiTheme="minorHAnsi" w:hAnsiTheme="minorHAnsi"/>
          <w:szCs w:val="24"/>
          <w:u w:val="none"/>
        </w:rPr>
        <w:t>Allgemein</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Allgemeine Aussagen hinsichtlich der Durchführung des jeweiligen Verfahrens:</w:t>
      </w:r>
    </w:p>
    <w:p w:rsidR="003C5ACA" w:rsidRPr="000461AA" w:rsidRDefault="003C5ACA" w:rsidP="00CB4CC9">
      <w:pPr>
        <w:ind w:left="426"/>
        <w:jc w:val="both"/>
        <w:rPr>
          <w:rFonts w:asciiTheme="minorHAnsi" w:hAnsiTheme="minorHAnsi"/>
          <w:sz w:val="24"/>
          <w:szCs w:val="24"/>
        </w:rPr>
      </w:pPr>
      <w:r w:rsidRPr="000461AA">
        <w:rPr>
          <w:rFonts w:asciiTheme="minorHAnsi" w:hAnsiTheme="minorHAnsi"/>
          <w:i/>
          <w:sz w:val="24"/>
          <w:szCs w:val="24"/>
        </w:rPr>
        <w:lastRenderedPageBreak/>
        <w:t>Da der Prozess der Probennahme entscheidenden Einfluss auf die Qualität der Probe und damit ggf. auf das spätere Untersuchungsergebnis hat, müssen dem Probennehmer relevante Vorgaben zur präanalytischen Vorgehensweise von der Biobank zur Verfügung gestellt werden (Siehe auch DIN EN ISO 15189, DIN CEN/TS 168</w:t>
      </w:r>
      <w:r w:rsidR="008A7CEB" w:rsidRPr="000461AA">
        <w:rPr>
          <w:rFonts w:asciiTheme="minorHAnsi" w:hAnsiTheme="minorHAnsi"/>
          <w:i/>
          <w:sz w:val="24"/>
          <w:szCs w:val="24"/>
        </w:rPr>
        <w:t>35</w:t>
      </w:r>
      <w:r w:rsidRPr="000461AA">
        <w:rPr>
          <w:rFonts w:asciiTheme="minorHAnsi" w:hAnsiTheme="minorHAnsi"/>
          <w:i/>
          <w:sz w:val="24"/>
          <w:szCs w:val="24"/>
        </w:rPr>
        <w:t>-1</w:t>
      </w:r>
      <w:r w:rsidR="008A7CEB" w:rsidRPr="000461AA">
        <w:rPr>
          <w:rFonts w:asciiTheme="minorHAnsi" w:hAnsiTheme="minorHAnsi"/>
          <w:i/>
          <w:sz w:val="24"/>
          <w:szCs w:val="24"/>
        </w:rPr>
        <w:t>ff</w:t>
      </w:r>
      <w:r w:rsidRPr="000461AA">
        <w:rPr>
          <w:rFonts w:asciiTheme="minorHAnsi" w:hAnsiTheme="minorHAnsi"/>
          <w:sz w:val="24"/>
          <w:szCs w:val="24"/>
        </w:rPr>
        <w:t>).</w:t>
      </w:r>
    </w:p>
    <w:p w:rsidR="008D089A" w:rsidRPr="000461AA" w:rsidRDefault="008D089A" w:rsidP="00CB4CC9">
      <w:pPr>
        <w:ind w:left="426"/>
        <w:jc w:val="both"/>
        <w:rPr>
          <w:rFonts w:asciiTheme="minorHAnsi" w:hAnsiTheme="minorHAnsi"/>
          <w:kern w:val="28"/>
          <w:sz w:val="24"/>
          <w:szCs w:val="24"/>
        </w:rPr>
      </w:pPr>
      <w:r w:rsidRPr="000461AA">
        <w:rPr>
          <w:rFonts w:asciiTheme="minorHAnsi" w:hAnsiTheme="minorHAnsi"/>
          <w:i/>
          <w:kern w:val="28"/>
          <w:sz w:val="24"/>
          <w:szCs w:val="24"/>
        </w:rPr>
        <w:t>Während des gesamten präanalytischen Arbeitsablaufs sind Vorsichtsmaßnahmen zur Vermeidung von Kreuzkontaminationen zwischen unterschiedlichen Proben sowie von Probenverwechslungen zu treffen</w:t>
      </w:r>
      <w:r w:rsidRPr="000461AA">
        <w:rPr>
          <w:rFonts w:asciiTheme="minorHAnsi" w:hAnsiTheme="minorHAnsi"/>
          <w:kern w:val="28"/>
          <w:sz w:val="24"/>
          <w:szCs w:val="24"/>
        </w:rPr>
        <w:t xml:space="preserve">. </w:t>
      </w:r>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t xml:space="preserve">Handelsübliche Produkte sind nach den Angaben des Herstellers anzuwenden, bei Abweichungen liegt die Verantwortung beim Anwender. </w:t>
      </w:r>
    </w:p>
    <w:p w:rsidR="008D089A" w:rsidRPr="000461AA" w:rsidRDefault="008D089A" w:rsidP="00CB4CC9">
      <w:pPr>
        <w:ind w:left="426"/>
        <w:jc w:val="both"/>
        <w:rPr>
          <w:rFonts w:asciiTheme="minorHAnsi" w:hAnsiTheme="minorHAnsi"/>
          <w:i/>
          <w:kern w:val="28"/>
          <w:sz w:val="24"/>
          <w:szCs w:val="24"/>
        </w:rPr>
      </w:pPr>
      <w:r w:rsidRPr="000461AA">
        <w:rPr>
          <w:rFonts w:asciiTheme="minorHAnsi" w:hAnsiTheme="minorHAnsi"/>
          <w:i/>
          <w:kern w:val="28"/>
          <w:sz w:val="24"/>
          <w:szCs w:val="24"/>
        </w:rPr>
        <w:t xml:space="preserve">Die Biobank muss sicherstellen, dass der präanalytische Gesamtarbeitsablauf so dokumentiert wird, dass die Biobank jederzeit Auskunft über die Probenspezifikationen und </w:t>
      </w:r>
      <w:r w:rsidR="00435876">
        <w:rPr>
          <w:rFonts w:asciiTheme="minorHAnsi" w:hAnsiTheme="minorHAnsi"/>
          <w:i/>
          <w:kern w:val="28"/>
          <w:sz w:val="24"/>
          <w:szCs w:val="24"/>
        </w:rPr>
        <w:br/>
      </w:r>
      <w:r w:rsidRPr="000461AA">
        <w:rPr>
          <w:rFonts w:asciiTheme="minorHAnsi" w:hAnsiTheme="minorHAnsi"/>
          <w:i/>
          <w:kern w:val="28"/>
          <w:sz w:val="24"/>
          <w:szCs w:val="24"/>
        </w:rPr>
        <w:t>-historie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p>
    <w:p w:rsidR="009A7F94" w:rsidRPr="000461AA" w:rsidRDefault="008D089A" w:rsidP="000461AA">
      <w:pPr>
        <w:jc w:val="both"/>
        <w:rPr>
          <w:rFonts w:asciiTheme="minorHAnsi" w:hAnsiTheme="minorHAnsi"/>
          <w:kern w:val="28"/>
          <w:sz w:val="24"/>
          <w:szCs w:val="24"/>
          <w:highlight w:val="yellow"/>
        </w:rPr>
      </w:pPr>
      <w:r w:rsidRPr="000461AA">
        <w:rPr>
          <w:rFonts w:asciiTheme="minorHAnsi" w:hAnsiTheme="minorHAnsi"/>
          <w:kern w:val="28"/>
          <w:sz w:val="24"/>
          <w:szCs w:val="24"/>
        </w:rPr>
        <w:t xml:space="preserve"> </w:t>
      </w:r>
    </w:p>
    <w:p w:rsidR="009A7F94" w:rsidRPr="000461AA" w:rsidRDefault="009A7F94" w:rsidP="000461AA">
      <w:pPr>
        <w:pStyle w:val="berschrift1"/>
        <w:jc w:val="both"/>
        <w:rPr>
          <w:rFonts w:asciiTheme="minorHAnsi" w:hAnsiTheme="minorHAnsi"/>
          <w:szCs w:val="24"/>
          <w:u w:val="none"/>
        </w:rPr>
      </w:pPr>
      <w:bookmarkStart w:id="9" w:name="_Toc455129183"/>
      <w:bookmarkStart w:id="10" w:name="_Toc455129324"/>
      <w:bookmarkStart w:id="11" w:name="_Toc455129409"/>
      <w:r w:rsidRPr="000461AA">
        <w:rPr>
          <w:rFonts w:asciiTheme="minorHAnsi" w:hAnsiTheme="minorHAnsi"/>
          <w:szCs w:val="24"/>
          <w:u w:val="none"/>
        </w:rPr>
        <w:t xml:space="preserve">Durchführung (ggf. </w:t>
      </w:r>
      <w:proofErr w:type="spellStart"/>
      <w:r w:rsidRPr="000461AA">
        <w:rPr>
          <w:rFonts w:asciiTheme="minorHAnsi" w:hAnsiTheme="minorHAnsi"/>
          <w:szCs w:val="24"/>
          <w:u w:val="none"/>
        </w:rPr>
        <w:t>FlowChart</w:t>
      </w:r>
      <w:proofErr w:type="spellEnd"/>
      <w:r w:rsidRPr="000461AA">
        <w:rPr>
          <w:rFonts w:asciiTheme="minorHAnsi" w:hAnsiTheme="minorHAnsi"/>
          <w:szCs w:val="24"/>
          <w:u w:val="none"/>
        </w:rPr>
        <w:t>)</w:t>
      </w:r>
      <w:bookmarkEnd w:id="9"/>
      <w:bookmarkEnd w:id="10"/>
      <w:bookmarkEnd w:id="11"/>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t>Beschreibung des Verfahrens</w:t>
      </w:r>
      <w:r w:rsidR="00384977" w:rsidRPr="000461AA">
        <w:rPr>
          <w:rFonts w:asciiTheme="minorHAnsi" w:hAnsiTheme="minorHAnsi"/>
          <w:i/>
          <w:kern w:val="28"/>
          <w:sz w:val="24"/>
          <w:szCs w:val="24"/>
        </w:rPr>
        <w:t>/ Prozesses</w:t>
      </w:r>
      <w:r w:rsidRPr="000461AA">
        <w:rPr>
          <w:rFonts w:asciiTheme="minorHAnsi" w:hAnsiTheme="minorHAnsi"/>
          <w:i/>
          <w:kern w:val="28"/>
          <w:sz w:val="24"/>
          <w:szCs w:val="24"/>
        </w:rPr>
        <w:t xml:space="preserve"> in</w:t>
      </w:r>
      <w:r w:rsidR="00580CFA" w:rsidRPr="000461AA">
        <w:rPr>
          <w:rFonts w:asciiTheme="minorHAnsi" w:hAnsiTheme="minorHAnsi"/>
          <w:i/>
          <w:kern w:val="28"/>
          <w:sz w:val="24"/>
          <w:szCs w:val="24"/>
        </w:rPr>
        <w:t xml:space="preserve">klusive der für die jeweiligen Teilprozesse, </w:t>
      </w:r>
      <w:r w:rsidRPr="000461AA">
        <w:rPr>
          <w:rFonts w:asciiTheme="minorHAnsi" w:hAnsiTheme="minorHAnsi"/>
          <w:i/>
          <w:kern w:val="28"/>
          <w:sz w:val="24"/>
          <w:szCs w:val="24"/>
        </w:rPr>
        <w:t xml:space="preserve">zuständigen Personen, erforderlichen Geräte, </w:t>
      </w:r>
      <w:r w:rsidR="00580CFA" w:rsidRPr="000461AA">
        <w:rPr>
          <w:rFonts w:asciiTheme="minorHAnsi" w:hAnsiTheme="minorHAnsi"/>
          <w:i/>
          <w:kern w:val="28"/>
          <w:sz w:val="24"/>
          <w:szCs w:val="24"/>
        </w:rPr>
        <w:t xml:space="preserve">Dokumente und </w:t>
      </w:r>
      <w:r w:rsidRPr="000461AA">
        <w:rPr>
          <w:rFonts w:asciiTheme="minorHAnsi" w:hAnsiTheme="minorHAnsi"/>
          <w:i/>
          <w:kern w:val="28"/>
          <w:sz w:val="24"/>
          <w:szCs w:val="24"/>
        </w:rPr>
        <w:t>Räume</w:t>
      </w:r>
    </w:p>
    <w:p w:rsidR="009A7F94" w:rsidRPr="000461AA" w:rsidRDefault="009A7F94" w:rsidP="000461AA">
      <w:pPr>
        <w:pStyle w:val="berschrift3"/>
        <w:numPr>
          <w:ilvl w:val="0"/>
          <w:numId w:val="32"/>
        </w:numPr>
        <w:jc w:val="both"/>
        <w:rPr>
          <w:rFonts w:asciiTheme="minorHAnsi" w:hAnsiTheme="minorHAnsi" w:cs="Arial"/>
          <w:b w:val="0"/>
          <w:kern w:val="28"/>
          <w:sz w:val="24"/>
          <w:szCs w:val="24"/>
        </w:rPr>
      </w:pPr>
      <w:bookmarkStart w:id="12" w:name="_Toc455129184"/>
      <w:bookmarkStart w:id="13" w:name="_Toc455129325"/>
      <w:bookmarkStart w:id="14" w:name="_Toc455129410"/>
      <w:r w:rsidRPr="000461AA">
        <w:rPr>
          <w:rStyle w:val="berschrift3Zchn"/>
          <w:rFonts w:asciiTheme="minorHAnsi" w:hAnsiTheme="minorHAnsi" w:cs="Arial"/>
          <w:b/>
          <w:sz w:val="24"/>
          <w:szCs w:val="24"/>
        </w:rPr>
        <w:t>Entnahme des primären Vollbluts vom Patienten und Stabilisierungsverfahren</w:t>
      </w:r>
      <w:bookmarkEnd w:id="12"/>
      <w:bookmarkEnd w:id="13"/>
      <w:bookmarkEnd w:id="14"/>
    </w:p>
    <w:p w:rsidR="00384977" w:rsidRPr="000461AA" w:rsidRDefault="00384977" w:rsidP="00CB4CC9">
      <w:pPr>
        <w:ind w:firstLine="709"/>
        <w:jc w:val="both"/>
        <w:rPr>
          <w:rFonts w:asciiTheme="minorHAnsi" w:hAnsiTheme="minorHAnsi"/>
          <w:b/>
          <w:i/>
          <w:kern w:val="28"/>
          <w:sz w:val="24"/>
          <w:szCs w:val="24"/>
        </w:rPr>
      </w:pPr>
      <w:r w:rsidRPr="000461AA">
        <w:rPr>
          <w:rFonts w:asciiTheme="minorHAnsi" w:hAnsiTheme="minorHAnsi"/>
          <w:b/>
          <w:i/>
          <w:kern w:val="28"/>
          <w:sz w:val="24"/>
          <w:szCs w:val="24"/>
        </w:rPr>
        <w:t>Hinweis</w:t>
      </w:r>
      <w:r w:rsidR="008D089A" w:rsidRPr="000461AA">
        <w:rPr>
          <w:rFonts w:asciiTheme="minorHAnsi" w:hAnsiTheme="minorHAnsi"/>
          <w:b/>
          <w:i/>
          <w:kern w:val="28"/>
          <w:sz w:val="24"/>
          <w:szCs w:val="24"/>
        </w:rPr>
        <w:t>e</w:t>
      </w:r>
    </w:p>
    <w:p w:rsidR="00384977" w:rsidRPr="000461AA" w:rsidRDefault="00384977" w:rsidP="00CB4CC9">
      <w:pPr>
        <w:ind w:left="709"/>
        <w:jc w:val="both"/>
        <w:rPr>
          <w:rFonts w:asciiTheme="minorHAnsi" w:hAnsiTheme="minorHAnsi"/>
          <w:i/>
          <w:kern w:val="28"/>
          <w:sz w:val="24"/>
          <w:szCs w:val="24"/>
        </w:rPr>
      </w:pPr>
      <w:r w:rsidRPr="000461AA">
        <w:rPr>
          <w:rFonts w:asciiTheme="minorHAnsi" w:hAnsiTheme="minorHAnsi"/>
          <w:i/>
          <w:kern w:val="28"/>
          <w:sz w:val="24"/>
          <w:szCs w:val="24"/>
        </w:rPr>
        <w:t>Für alle Standorte (auch Orte der Probenahme) ist die erforderliche Ausrüstung/ Infrastruktur zu beschreiben, zu qualifizieren und regelhaft zu prüfen. Ggf. ist die Probennahme als externe Dienstleistung zu betrachten und entsprechend zu regeln.</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kern w:val="28"/>
          <w:sz w:val="24"/>
          <w:szCs w:val="24"/>
        </w:rPr>
        <w:t xml:space="preserve">Ein übliches Verfahren zur </w:t>
      </w:r>
      <w:r w:rsidR="00372AA9" w:rsidRPr="000461AA">
        <w:rPr>
          <w:rFonts w:asciiTheme="minorHAnsi" w:hAnsiTheme="minorHAnsi"/>
          <w:kern w:val="28"/>
          <w:sz w:val="24"/>
          <w:szCs w:val="24"/>
        </w:rPr>
        <w:t xml:space="preserve">Punktion </w:t>
      </w:r>
      <w:r w:rsidRPr="000461AA">
        <w:rPr>
          <w:rFonts w:asciiTheme="minorHAnsi" w:hAnsiTheme="minorHAnsi"/>
          <w:kern w:val="28"/>
          <w:sz w:val="24"/>
          <w:szCs w:val="24"/>
        </w:rPr>
        <w:t xml:space="preserve">gemäß der Anleitungen des Herstellers der </w:t>
      </w:r>
      <w:r w:rsidR="00384977" w:rsidRPr="000461AA">
        <w:rPr>
          <w:rFonts w:asciiTheme="minorHAnsi" w:hAnsiTheme="minorHAnsi"/>
          <w:kern w:val="28"/>
          <w:sz w:val="24"/>
          <w:szCs w:val="24"/>
        </w:rPr>
        <w:t xml:space="preserve">verwendeten </w:t>
      </w:r>
      <w:r w:rsidRPr="000461AA">
        <w:rPr>
          <w:rFonts w:asciiTheme="minorHAnsi" w:hAnsiTheme="minorHAnsi"/>
          <w:kern w:val="28"/>
          <w:sz w:val="24"/>
          <w:szCs w:val="24"/>
        </w:rPr>
        <w:t xml:space="preserve">Blutentnahmeröhrchen </w:t>
      </w:r>
      <w:r w:rsidR="008D089A" w:rsidRPr="000461AA">
        <w:rPr>
          <w:rFonts w:asciiTheme="minorHAnsi" w:hAnsiTheme="minorHAnsi"/>
          <w:kern w:val="28"/>
          <w:sz w:val="24"/>
          <w:szCs w:val="24"/>
        </w:rPr>
        <w:t xml:space="preserve">wird </w:t>
      </w:r>
      <w:r w:rsidRPr="000461AA">
        <w:rPr>
          <w:rFonts w:asciiTheme="minorHAnsi" w:hAnsiTheme="minorHAnsi"/>
          <w:kern w:val="28"/>
          <w:sz w:val="24"/>
          <w:szCs w:val="24"/>
        </w:rPr>
        <w:t>angewendet</w:t>
      </w:r>
      <w:r w:rsidR="00435876">
        <w:rPr>
          <w:rFonts w:asciiTheme="minorHAnsi" w:hAnsiTheme="minorHAnsi"/>
          <w:kern w:val="28"/>
          <w:sz w:val="24"/>
          <w:szCs w:val="24"/>
        </w:rPr>
        <w:t>.</w:t>
      </w:r>
      <w:r w:rsidRPr="000461AA">
        <w:rPr>
          <w:rFonts w:asciiTheme="minorHAnsi" w:hAnsiTheme="minorHAnsi"/>
          <w:i/>
          <w:kern w:val="28"/>
          <w:sz w:val="24"/>
          <w:szCs w:val="24"/>
        </w:rPr>
        <w:t xml:space="preserve">  </w:t>
      </w:r>
    </w:p>
    <w:p w:rsidR="008D089A" w:rsidRPr="000461AA" w:rsidRDefault="009A7F94" w:rsidP="00CB4CC9">
      <w:pPr>
        <w:ind w:left="709"/>
        <w:jc w:val="both"/>
        <w:rPr>
          <w:rFonts w:asciiTheme="minorHAnsi" w:hAnsiTheme="minorHAnsi"/>
          <w:i/>
          <w:kern w:val="28"/>
          <w:sz w:val="24"/>
          <w:szCs w:val="24"/>
        </w:rPr>
      </w:pPr>
      <w:r w:rsidRPr="000461AA">
        <w:rPr>
          <w:rFonts w:asciiTheme="minorHAnsi" w:hAnsiTheme="minorHAnsi"/>
          <w:kern w:val="28"/>
          <w:sz w:val="24"/>
          <w:szCs w:val="24"/>
        </w:rPr>
        <w:t>Richtlinien zur Probanden</w:t>
      </w:r>
      <w:r w:rsidR="00384977" w:rsidRPr="000461AA">
        <w:rPr>
          <w:rFonts w:asciiTheme="minorHAnsi" w:hAnsiTheme="minorHAnsi"/>
          <w:kern w:val="28"/>
          <w:sz w:val="24"/>
          <w:szCs w:val="24"/>
        </w:rPr>
        <w:t>-</w:t>
      </w:r>
      <w:r w:rsidRPr="000461AA">
        <w:rPr>
          <w:rFonts w:asciiTheme="minorHAnsi" w:hAnsiTheme="minorHAnsi"/>
          <w:kern w:val="28"/>
          <w:sz w:val="24"/>
          <w:szCs w:val="24"/>
        </w:rPr>
        <w:t xml:space="preserve"> /Patientenvorbereitung</w:t>
      </w:r>
      <w:r w:rsidR="008D089A" w:rsidRPr="000461AA">
        <w:rPr>
          <w:rFonts w:asciiTheme="minorHAnsi" w:hAnsiTheme="minorHAnsi"/>
          <w:i/>
          <w:kern w:val="28"/>
          <w:sz w:val="24"/>
          <w:szCs w:val="24"/>
        </w:rPr>
        <w:t>:</w:t>
      </w:r>
    </w:p>
    <w:p w:rsidR="009A7F94" w:rsidRPr="000461AA" w:rsidRDefault="009A7F94" w:rsidP="00CB4CC9">
      <w:pPr>
        <w:ind w:left="709"/>
        <w:jc w:val="both"/>
        <w:rPr>
          <w:rFonts w:asciiTheme="minorHAnsi" w:hAnsiTheme="minorHAnsi"/>
          <w:i/>
          <w:kern w:val="28"/>
          <w:sz w:val="24"/>
          <w:szCs w:val="24"/>
        </w:rPr>
      </w:pPr>
      <w:r w:rsidRPr="000461AA">
        <w:rPr>
          <w:rFonts w:asciiTheme="minorHAnsi" w:hAnsiTheme="minorHAnsi"/>
          <w:i/>
          <w:kern w:val="28"/>
          <w:sz w:val="24"/>
          <w:szCs w:val="24"/>
        </w:rPr>
        <w:t>Folgende Parameter können hier wichtig sein:</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Dauer von Nahrungs-und Flüssigkeitskarenz (Nüchternheit)</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Tageszeit der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Ruhezeit in unveränderter Körperhaltung vor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Körperhaltung bei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Dauer der Blutstauung vor Blutentnahme</w:t>
      </w:r>
    </w:p>
    <w:p w:rsidR="009A7F94" w:rsidRPr="000461AA" w:rsidRDefault="009A7F94" w:rsidP="00CB4CC9">
      <w:pPr>
        <w:ind w:left="1134"/>
        <w:jc w:val="both"/>
        <w:rPr>
          <w:rFonts w:asciiTheme="minorHAnsi" w:hAnsiTheme="minorHAnsi"/>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Blutentnahmetechnik</w:t>
      </w:r>
    </w:p>
    <w:p w:rsidR="009A7F94" w:rsidRPr="000461AA" w:rsidRDefault="009A7F94" w:rsidP="00CB4CC9">
      <w:pPr>
        <w:ind w:left="1134"/>
        <w:jc w:val="both"/>
        <w:rPr>
          <w:rFonts w:asciiTheme="minorHAnsi" w:hAnsiTheme="minorHAnsi"/>
          <w:b/>
          <w:i/>
          <w:kern w:val="28"/>
          <w:sz w:val="24"/>
          <w:szCs w:val="24"/>
        </w:rPr>
      </w:pPr>
      <w:r w:rsidRPr="000461AA">
        <w:rPr>
          <w:rFonts w:asciiTheme="minorHAnsi" w:hAnsiTheme="minorHAnsi"/>
          <w:i/>
          <w:kern w:val="28"/>
          <w:sz w:val="24"/>
          <w:szCs w:val="24"/>
        </w:rPr>
        <w:t>•</w:t>
      </w:r>
      <w:r w:rsidRPr="000461AA">
        <w:rPr>
          <w:rFonts w:asciiTheme="minorHAnsi" w:hAnsiTheme="minorHAnsi"/>
          <w:i/>
          <w:kern w:val="28"/>
          <w:sz w:val="24"/>
          <w:szCs w:val="24"/>
        </w:rPr>
        <w:tab/>
        <w:t>Probenreihenfolge bei Blutabnahm</w:t>
      </w:r>
      <w:r w:rsidR="00CB4CC9">
        <w:rPr>
          <w:rFonts w:asciiTheme="minorHAnsi" w:hAnsiTheme="minorHAnsi"/>
          <w:i/>
          <w:kern w:val="28"/>
          <w:sz w:val="24"/>
          <w:szCs w:val="24"/>
        </w:rPr>
        <w:t>e</w:t>
      </w:r>
    </w:p>
    <w:p w:rsidR="009A7F94" w:rsidRPr="000461AA" w:rsidRDefault="009A7F94" w:rsidP="00CB4CC9">
      <w:pPr>
        <w:ind w:left="426"/>
        <w:jc w:val="both"/>
        <w:rPr>
          <w:rFonts w:asciiTheme="minorHAnsi" w:hAnsiTheme="minorHAnsi"/>
          <w:i/>
          <w:kern w:val="28"/>
          <w:sz w:val="24"/>
          <w:szCs w:val="24"/>
        </w:rPr>
      </w:pPr>
      <w:r w:rsidRPr="000461AA">
        <w:rPr>
          <w:rFonts w:asciiTheme="minorHAnsi" w:hAnsiTheme="minorHAnsi"/>
          <w:i/>
          <w:kern w:val="28"/>
          <w:sz w:val="24"/>
          <w:szCs w:val="24"/>
        </w:rPr>
        <w:lastRenderedPageBreak/>
        <w:t xml:space="preserve">Empfohlene Standardisierung nach: Mühlbayer/Cremer 2003, Klinische Chemie Großhadern, LMU München; Thomas, Labor und Diagnose, 2005, 1965-1974, TH-Books; S. Narayanan, The </w:t>
      </w:r>
      <w:proofErr w:type="spellStart"/>
      <w:r w:rsidRPr="000461AA">
        <w:rPr>
          <w:rFonts w:asciiTheme="minorHAnsi" w:hAnsiTheme="minorHAnsi"/>
          <w:i/>
          <w:kern w:val="28"/>
          <w:sz w:val="24"/>
          <w:szCs w:val="24"/>
        </w:rPr>
        <w:t>preanalytic</w:t>
      </w:r>
      <w:proofErr w:type="spellEnd"/>
      <w:r w:rsidRPr="000461AA">
        <w:rPr>
          <w:rFonts w:asciiTheme="minorHAnsi" w:hAnsiTheme="minorHAnsi"/>
          <w:i/>
          <w:kern w:val="28"/>
          <w:sz w:val="24"/>
          <w:szCs w:val="24"/>
        </w:rPr>
        <w:t xml:space="preserve"> </w:t>
      </w:r>
      <w:proofErr w:type="spellStart"/>
      <w:r w:rsidRPr="000461AA">
        <w:rPr>
          <w:rFonts w:asciiTheme="minorHAnsi" w:hAnsiTheme="minorHAnsi"/>
          <w:i/>
          <w:kern w:val="28"/>
          <w:sz w:val="24"/>
          <w:szCs w:val="24"/>
        </w:rPr>
        <w:t>phase</w:t>
      </w:r>
      <w:proofErr w:type="spellEnd"/>
      <w:r w:rsidRPr="000461AA">
        <w:rPr>
          <w:rFonts w:asciiTheme="minorHAnsi" w:hAnsiTheme="minorHAnsi"/>
          <w:i/>
          <w:kern w:val="28"/>
          <w:sz w:val="24"/>
          <w:szCs w:val="24"/>
        </w:rPr>
        <w:t xml:space="preserve">, Am J </w:t>
      </w:r>
      <w:proofErr w:type="spellStart"/>
      <w:r w:rsidRPr="000461AA">
        <w:rPr>
          <w:rFonts w:asciiTheme="minorHAnsi" w:hAnsiTheme="minorHAnsi"/>
          <w:i/>
          <w:kern w:val="28"/>
          <w:sz w:val="24"/>
          <w:szCs w:val="24"/>
        </w:rPr>
        <w:t>Clin</w:t>
      </w:r>
      <w:proofErr w:type="spellEnd"/>
      <w:r w:rsidRPr="000461AA">
        <w:rPr>
          <w:rFonts w:asciiTheme="minorHAnsi" w:hAnsiTheme="minorHAnsi"/>
          <w:i/>
          <w:kern w:val="28"/>
          <w:sz w:val="24"/>
          <w:szCs w:val="24"/>
        </w:rPr>
        <w:t xml:space="preserve"> </w:t>
      </w:r>
      <w:proofErr w:type="spellStart"/>
      <w:r w:rsidRPr="000461AA">
        <w:rPr>
          <w:rFonts w:asciiTheme="minorHAnsi" w:hAnsiTheme="minorHAnsi"/>
          <w:i/>
          <w:kern w:val="28"/>
          <w:sz w:val="24"/>
          <w:szCs w:val="24"/>
        </w:rPr>
        <w:t>Pathol</w:t>
      </w:r>
      <w:proofErr w:type="spellEnd"/>
      <w:r w:rsidRPr="000461AA">
        <w:rPr>
          <w:rFonts w:asciiTheme="minorHAnsi" w:hAnsiTheme="minorHAnsi"/>
          <w:i/>
          <w:kern w:val="28"/>
          <w:sz w:val="24"/>
          <w:szCs w:val="24"/>
        </w:rPr>
        <w:t xml:space="preserve"> 2000; 113:429-452.</w:t>
      </w:r>
    </w:p>
    <w:p w:rsidR="008D089A" w:rsidRPr="000461AA" w:rsidRDefault="008D089A" w:rsidP="000461AA">
      <w:pPr>
        <w:jc w:val="both"/>
        <w:rPr>
          <w:rFonts w:asciiTheme="minorHAnsi" w:hAnsiTheme="minorHAnsi"/>
          <w:kern w:val="28"/>
          <w:sz w:val="24"/>
          <w:szCs w:val="24"/>
        </w:rPr>
      </w:pPr>
    </w:p>
    <w:p w:rsidR="008D089A" w:rsidRPr="000461AA" w:rsidRDefault="008D089A" w:rsidP="000461AA">
      <w:pPr>
        <w:pStyle w:val="berschrift3"/>
        <w:jc w:val="both"/>
        <w:rPr>
          <w:rFonts w:asciiTheme="minorHAnsi" w:hAnsiTheme="minorHAnsi"/>
          <w:sz w:val="24"/>
          <w:szCs w:val="24"/>
        </w:rPr>
      </w:pPr>
      <w:r w:rsidRPr="000461AA">
        <w:rPr>
          <w:rFonts w:asciiTheme="minorHAnsi" w:hAnsiTheme="minorHAnsi"/>
          <w:sz w:val="24"/>
          <w:szCs w:val="24"/>
        </w:rPr>
        <w:t xml:space="preserve"> Blutentnahmesystem </w:t>
      </w:r>
    </w:p>
    <w:p w:rsidR="008D089A" w:rsidRPr="000461AA" w:rsidRDefault="009A7F94" w:rsidP="00CB4CC9">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Die Blutentnahmeröhrchen </w:t>
      </w:r>
      <w:r w:rsidR="008D089A" w:rsidRPr="000461AA">
        <w:rPr>
          <w:rFonts w:asciiTheme="minorHAnsi" w:hAnsiTheme="minorHAnsi"/>
          <w:i/>
          <w:kern w:val="28"/>
          <w:sz w:val="24"/>
          <w:szCs w:val="24"/>
        </w:rPr>
        <w:t>werden</w:t>
      </w:r>
      <w:r w:rsidRPr="000461AA">
        <w:rPr>
          <w:rFonts w:asciiTheme="minorHAnsi" w:hAnsiTheme="minorHAnsi"/>
          <w:i/>
          <w:kern w:val="28"/>
          <w:sz w:val="24"/>
          <w:szCs w:val="24"/>
        </w:rPr>
        <w:t>, entsprechend de</w:t>
      </w:r>
      <w:r w:rsidR="00580CFA" w:rsidRPr="000461AA">
        <w:rPr>
          <w:rFonts w:asciiTheme="minorHAnsi" w:hAnsiTheme="minorHAnsi"/>
          <w:i/>
          <w:kern w:val="28"/>
          <w:sz w:val="24"/>
          <w:szCs w:val="24"/>
        </w:rPr>
        <w:t xml:space="preserve">m beabsichtigten Gebrauch </w:t>
      </w:r>
      <w:r w:rsidRPr="000461AA">
        <w:rPr>
          <w:rFonts w:asciiTheme="minorHAnsi" w:hAnsiTheme="minorHAnsi"/>
          <w:i/>
          <w:kern w:val="28"/>
          <w:sz w:val="24"/>
          <w:szCs w:val="24"/>
        </w:rPr>
        <w:t xml:space="preserve">ausgewählt und gemäß Herstellerangaben </w:t>
      </w:r>
      <w:r w:rsidR="008D089A" w:rsidRPr="000461AA">
        <w:rPr>
          <w:rFonts w:asciiTheme="minorHAnsi" w:hAnsiTheme="minorHAnsi"/>
          <w:i/>
          <w:kern w:val="28"/>
          <w:sz w:val="24"/>
          <w:szCs w:val="24"/>
        </w:rPr>
        <w:t>be</w:t>
      </w:r>
      <w:r w:rsidRPr="000461AA">
        <w:rPr>
          <w:rFonts w:asciiTheme="minorHAnsi" w:hAnsiTheme="minorHAnsi"/>
          <w:i/>
          <w:kern w:val="28"/>
          <w:sz w:val="24"/>
          <w:szCs w:val="24"/>
        </w:rPr>
        <w:t>füllt</w:t>
      </w:r>
      <w:r w:rsidR="008D089A" w:rsidRPr="000461AA">
        <w:rPr>
          <w:rFonts w:asciiTheme="minorHAnsi" w:hAnsiTheme="minorHAnsi"/>
          <w:i/>
          <w:kern w:val="28"/>
          <w:sz w:val="24"/>
          <w:szCs w:val="24"/>
        </w:rPr>
        <w:t>:</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 xml:space="preserve">Korrekte Befüllung (Volumen) und </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 xml:space="preserve">Mischen/Schwenken des Blutentnahmeröhrchens unmittelbar nach der Blutentnahme </w:t>
      </w:r>
    </w:p>
    <w:p w:rsidR="008D089A" w:rsidRPr="000461AA" w:rsidRDefault="008D089A" w:rsidP="00341CEE">
      <w:pPr>
        <w:numPr>
          <w:ilvl w:val="0"/>
          <w:numId w:val="34"/>
        </w:numPr>
        <w:ind w:left="993" w:hanging="142"/>
        <w:jc w:val="both"/>
        <w:rPr>
          <w:rFonts w:asciiTheme="minorHAnsi" w:hAnsiTheme="minorHAnsi"/>
          <w:i/>
          <w:kern w:val="28"/>
          <w:sz w:val="24"/>
          <w:szCs w:val="24"/>
        </w:rPr>
      </w:pPr>
      <w:r w:rsidRPr="000461AA">
        <w:rPr>
          <w:rFonts w:asciiTheme="minorHAnsi" w:hAnsiTheme="minorHAnsi"/>
          <w:i/>
          <w:kern w:val="28"/>
          <w:sz w:val="24"/>
          <w:szCs w:val="24"/>
        </w:rPr>
        <w:t>Stabilisatoren/Anti-</w:t>
      </w:r>
      <w:proofErr w:type="spellStart"/>
      <w:r w:rsidRPr="000461AA">
        <w:rPr>
          <w:rFonts w:asciiTheme="minorHAnsi" w:hAnsiTheme="minorHAnsi"/>
          <w:i/>
          <w:kern w:val="28"/>
          <w:sz w:val="24"/>
          <w:szCs w:val="24"/>
        </w:rPr>
        <w:t>Koagulantien</w:t>
      </w:r>
      <w:proofErr w:type="spellEnd"/>
      <w:r w:rsidRPr="000461AA">
        <w:rPr>
          <w:rFonts w:asciiTheme="minorHAnsi" w:hAnsiTheme="minorHAnsi"/>
          <w:i/>
          <w:kern w:val="28"/>
          <w:sz w:val="24"/>
          <w:szCs w:val="24"/>
        </w:rPr>
        <w:t>/sonstige Zusätze berücksichtigen</w:t>
      </w:r>
    </w:p>
    <w:p w:rsidR="00B765ED" w:rsidRPr="000461AA" w:rsidRDefault="00B765ED" w:rsidP="000461AA">
      <w:pPr>
        <w:jc w:val="both"/>
        <w:rPr>
          <w:rFonts w:asciiTheme="minorHAnsi" w:hAnsiTheme="minorHAnsi"/>
          <w:i/>
          <w:kern w:val="28"/>
          <w:sz w:val="24"/>
          <w:szCs w:val="24"/>
        </w:rPr>
      </w:pPr>
    </w:p>
    <w:p w:rsidR="008D089A" w:rsidRPr="000461AA" w:rsidRDefault="008D089A" w:rsidP="000461AA">
      <w:pPr>
        <w:pStyle w:val="berschrift3"/>
        <w:jc w:val="both"/>
        <w:rPr>
          <w:rFonts w:asciiTheme="minorHAnsi" w:hAnsiTheme="minorHAnsi"/>
          <w:kern w:val="28"/>
          <w:sz w:val="24"/>
          <w:szCs w:val="24"/>
        </w:rPr>
      </w:pPr>
      <w:r w:rsidRPr="000461AA">
        <w:rPr>
          <w:rFonts w:asciiTheme="minorHAnsi" w:hAnsiTheme="minorHAnsi"/>
          <w:sz w:val="24"/>
          <w:szCs w:val="24"/>
        </w:rPr>
        <w:t xml:space="preserve"> </w:t>
      </w:r>
      <w:r w:rsidR="00384977" w:rsidRPr="000461AA">
        <w:rPr>
          <w:rFonts w:asciiTheme="minorHAnsi" w:hAnsiTheme="minorHAnsi"/>
          <w:sz w:val="24"/>
          <w:szCs w:val="24"/>
        </w:rPr>
        <w:t>Die Probenidentifikation</w:t>
      </w:r>
      <w:r w:rsidR="00384977" w:rsidRPr="000461AA">
        <w:rPr>
          <w:rFonts w:asciiTheme="minorHAnsi" w:hAnsiTheme="minorHAnsi"/>
          <w:kern w:val="28"/>
          <w:sz w:val="24"/>
          <w:szCs w:val="24"/>
        </w:rPr>
        <w:t xml:space="preserve"> </w:t>
      </w:r>
    </w:p>
    <w:p w:rsidR="00384977" w:rsidRPr="000461AA" w:rsidRDefault="008D089A" w:rsidP="00CB4CC9">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Die Probenidentifikation </w:t>
      </w:r>
      <w:r w:rsidR="005C0BB3" w:rsidRPr="000461AA">
        <w:rPr>
          <w:rFonts w:asciiTheme="minorHAnsi" w:hAnsiTheme="minorHAnsi"/>
          <w:i/>
          <w:kern w:val="28"/>
          <w:sz w:val="24"/>
          <w:szCs w:val="24"/>
        </w:rPr>
        <w:t xml:space="preserve">(Barcode) </w:t>
      </w:r>
      <w:r w:rsidR="00384977" w:rsidRPr="000461AA">
        <w:rPr>
          <w:rFonts w:asciiTheme="minorHAnsi" w:hAnsiTheme="minorHAnsi"/>
          <w:i/>
          <w:kern w:val="28"/>
          <w:sz w:val="24"/>
          <w:szCs w:val="24"/>
        </w:rPr>
        <w:t xml:space="preserve">muss beschrieben werden (siehe </w:t>
      </w:r>
      <w:r w:rsidR="00B765ED" w:rsidRPr="000461AA">
        <w:rPr>
          <w:rFonts w:asciiTheme="minorHAnsi" w:hAnsiTheme="minorHAnsi"/>
          <w:i/>
          <w:kern w:val="28"/>
          <w:sz w:val="24"/>
          <w:szCs w:val="24"/>
        </w:rPr>
        <w:t>EN ISO 15189).</w:t>
      </w:r>
      <w:r w:rsidRPr="000461AA">
        <w:rPr>
          <w:rFonts w:asciiTheme="minorHAnsi" w:hAnsiTheme="minorHAnsi"/>
          <w:kern w:val="28"/>
          <w:sz w:val="24"/>
          <w:szCs w:val="24"/>
        </w:rPr>
        <w:t xml:space="preserve"> </w:t>
      </w:r>
      <w:r w:rsidRPr="000461AA">
        <w:rPr>
          <w:rFonts w:asciiTheme="minorHAnsi" w:hAnsiTheme="minorHAnsi"/>
          <w:i/>
          <w:kern w:val="28"/>
          <w:sz w:val="24"/>
          <w:szCs w:val="24"/>
        </w:rPr>
        <w:t>Die Funktionalität des Verfahrens und die Verantwortlichkeiten sind über alle Schnittstellen im Prozess zu gewährleisten.</w:t>
      </w:r>
    </w:p>
    <w:p w:rsidR="00F360C7" w:rsidRPr="000461AA" w:rsidRDefault="00F360C7" w:rsidP="000461AA">
      <w:pPr>
        <w:jc w:val="both"/>
        <w:rPr>
          <w:rFonts w:asciiTheme="minorHAnsi" w:hAnsiTheme="minorHAnsi"/>
          <w:i/>
          <w:kern w:val="28"/>
          <w:sz w:val="24"/>
          <w:szCs w:val="24"/>
        </w:rPr>
      </w:pPr>
    </w:p>
    <w:p w:rsidR="009A7F94" w:rsidRPr="000461AA" w:rsidRDefault="009A7F94" w:rsidP="00341CEE">
      <w:pPr>
        <w:ind w:left="851"/>
        <w:jc w:val="both"/>
        <w:rPr>
          <w:rFonts w:asciiTheme="minorHAnsi" w:hAnsiTheme="minorHAnsi"/>
          <w:i/>
          <w:kern w:val="28"/>
          <w:sz w:val="24"/>
          <w:szCs w:val="24"/>
        </w:rPr>
      </w:pPr>
      <w:r w:rsidRPr="000461AA">
        <w:rPr>
          <w:rFonts w:asciiTheme="minorHAnsi" w:hAnsiTheme="minorHAnsi"/>
          <w:i/>
          <w:kern w:val="28"/>
          <w:sz w:val="24"/>
          <w:szCs w:val="24"/>
        </w:rPr>
        <w:t xml:space="preserve">Ggf. sind bei projektbezogenen Probensammlungen projektspezifische Anforderungen einzuhalten (siehe z. B. Bereitstellung Isolierter </w:t>
      </w:r>
      <w:proofErr w:type="spellStart"/>
      <w:r w:rsidRPr="000461AA">
        <w:rPr>
          <w:rFonts w:asciiTheme="minorHAnsi" w:hAnsiTheme="minorHAnsi"/>
          <w:i/>
          <w:kern w:val="28"/>
          <w:sz w:val="24"/>
          <w:szCs w:val="24"/>
        </w:rPr>
        <w:t>genomischer</w:t>
      </w:r>
      <w:proofErr w:type="spellEnd"/>
      <w:r w:rsidRPr="000461AA">
        <w:rPr>
          <w:rFonts w:asciiTheme="minorHAnsi" w:hAnsiTheme="minorHAnsi"/>
          <w:i/>
          <w:kern w:val="28"/>
          <w:sz w:val="24"/>
          <w:szCs w:val="24"/>
        </w:rPr>
        <w:t xml:space="preserve"> DNS; Deutsche Fassung CEN/TS 168352: 2015).</w:t>
      </w:r>
    </w:p>
    <w:p w:rsidR="009A7F94" w:rsidRPr="000461AA" w:rsidRDefault="009A7F94" w:rsidP="000461AA">
      <w:pPr>
        <w:jc w:val="both"/>
        <w:rPr>
          <w:rFonts w:asciiTheme="minorHAnsi" w:hAnsiTheme="minorHAnsi"/>
          <w:kern w:val="28"/>
          <w:sz w:val="24"/>
          <w:szCs w:val="24"/>
        </w:rPr>
      </w:pPr>
    </w:p>
    <w:p w:rsidR="002C7B69" w:rsidRPr="000461AA" w:rsidRDefault="009A7F94" w:rsidP="000461AA">
      <w:pPr>
        <w:pStyle w:val="berschrift3"/>
        <w:jc w:val="both"/>
        <w:rPr>
          <w:rFonts w:asciiTheme="minorHAnsi" w:hAnsiTheme="minorHAnsi"/>
          <w:sz w:val="24"/>
          <w:szCs w:val="24"/>
        </w:rPr>
      </w:pPr>
      <w:bookmarkStart w:id="15" w:name="_Toc455129185"/>
      <w:bookmarkStart w:id="16" w:name="_Toc455129326"/>
      <w:bookmarkStart w:id="17" w:name="_Toc455129411"/>
      <w:r w:rsidRPr="000461AA">
        <w:rPr>
          <w:rFonts w:asciiTheme="minorHAnsi" w:hAnsiTheme="minorHAnsi"/>
          <w:sz w:val="24"/>
          <w:szCs w:val="24"/>
        </w:rPr>
        <w:t xml:space="preserve">Zu dokumentierende Mindestangaben </w:t>
      </w:r>
      <w:bookmarkEnd w:id="15"/>
      <w:bookmarkEnd w:id="16"/>
      <w:bookmarkEnd w:id="17"/>
      <w:r w:rsidR="002C7B69" w:rsidRPr="000461AA">
        <w:rPr>
          <w:rFonts w:asciiTheme="minorHAnsi" w:hAnsiTheme="minorHAnsi"/>
          <w:sz w:val="24"/>
          <w:szCs w:val="24"/>
        </w:rPr>
        <w:t>im Rahmen der Entnahme</w:t>
      </w:r>
    </w:p>
    <w:p w:rsidR="00E61A0F" w:rsidRPr="000461AA" w:rsidRDefault="00A02287"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 xml:space="preserve">Datenschutzkonforme </w:t>
      </w:r>
      <w:r w:rsidR="00E61A0F" w:rsidRPr="000461AA">
        <w:rPr>
          <w:rFonts w:asciiTheme="minorHAnsi" w:hAnsiTheme="minorHAnsi"/>
          <w:kern w:val="28"/>
          <w:sz w:val="24"/>
          <w:szCs w:val="24"/>
        </w:rPr>
        <w:t>Identifikation des Primärprobenspenders/des Patienten</w:t>
      </w:r>
      <w:r w:rsidRPr="000461AA">
        <w:rPr>
          <w:rFonts w:asciiTheme="minorHAnsi" w:hAnsiTheme="minorHAnsi"/>
          <w:kern w:val="28"/>
          <w:sz w:val="24"/>
          <w:szCs w:val="24"/>
        </w:rPr>
        <w:t xml:space="preserve"> </w:t>
      </w:r>
    </w:p>
    <w:p w:rsidR="00F360C7" w:rsidRPr="000461AA" w:rsidRDefault="00F360C7"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Datum und Uhrzeit der Blutentnahme</w:t>
      </w:r>
      <w:r w:rsidR="00A02287" w:rsidRPr="000461AA">
        <w:rPr>
          <w:rFonts w:asciiTheme="minorHAnsi" w:hAnsiTheme="minorHAnsi"/>
          <w:kern w:val="28"/>
          <w:sz w:val="24"/>
          <w:szCs w:val="24"/>
        </w:rPr>
        <w:t xml:space="preserve"> </w:t>
      </w:r>
    </w:p>
    <w:p w:rsidR="00F360C7" w:rsidRPr="000461AA" w:rsidRDefault="002C7B69" w:rsidP="00341CEE">
      <w:pPr>
        <w:numPr>
          <w:ilvl w:val="0"/>
          <w:numId w:val="29"/>
        </w:numPr>
        <w:ind w:left="993"/>
        <w:jc w:val="both"/>
        <w:rPr>
          <w:rFonts w:asciiTheme="minorHAnsi" w:hAnsiTheme="minorHAnsi"/>
          <w:kern w:val="28"/>
          <w:sz w:val="24"/>
          <w:szCs w:val="24"/>
        </w:rPr>
      </w:pPr>
      <w:r w:rsidRPr="000461AA">
        <w:rPr>
          <w:rFonts w:asciiTheme="minorHAnsi" w:hAnsiTheme="minorHAnsi"/>
          <w:kern w:val="28"/>
          <w:sz w:val="24"/>
          <w:szCs w:val="24"/>
        </w:rPr>
        <w:t>Jede Manipulation der Primärprobe und/oder Zusätze (Stabilisatoren) zur Primärprobe</w:t>
      </w:r>
    </w:p>
    <w:p w:rsidR="00675871" w:rsidRPr="000461AA" w:rsidRDefault="00675871" w:rsidP="00341CEE">
      <w:pPr>
        <w:ind w:left="993"/>
        <w:jc w:val="both"/>
        <w:rPr>
          <w:rFonts w:asciiTheme="minorHAnsi" w:hAnsiTheme="minorHAnsi"/>
          <w:kern w:val="28"/>
          <w:sz w:val="24"/>
          <w:szCs w:val="24"/>
        </w:rPr>
      </w:pPr>
    </w:p>
    <w:p w:rsidR="002C7B69" w:rsidRPr="000461AA" w:rsidRDefault="002C7B69" w:rsidP="00341CEE">
      <w:pPr>
        <w:ind w:left="851"/>
        <w:jc w:val="both"/>
        <w:rPr>
          <w:rFonts w:asciiTheme="minorHAnsi" w:hAnsiTheme="minorHAnsi"/>
          <w:i/>
          <w:kern w:val="28"/>
          <w:sz w:val="24"/>
          <w:szCs w:val="24"/>
        </w:rPr>
      </w:pPr>
      <w:r w:rsidRPr="000461AA">
        <w:rPr>
          <w:rFonts w:asciiTheme="minorHAnsi" w:hAnsiTheme="minorHAnsi"/>
          <w:i/>
          <w:kern w:val="28"/>
          <w:sz w:val="24"/>
          <w:szCs w:val="24"/>
        </w:rPr>
        <w:t>Folgende Angaben müssen, ggf</w:t>
      </w:r>
      <w:r w:rsidR="005C0BB3" w:rsidRPr="000461AA">
        <w:rPr>
          <w:rFonts w:asciiTheme="minorHAnsi" w:hAnsiTheme="minorHAnsi"/>
          <w:i/>
          <w:kern w:val="28"/>
          <w:sz w:val="24"/>
          <w:szCs w:val="24"/>
        </w:rPr>
        <w:t>.</w:t>
      </w:r>
      <w:r w:rsidRPr="000461AA">
        <w:rPr>
          <w:rFonts w:asciiTheme="minorHAnsi" w:hAnsiTheme="minorHAnsi"/>
          <w:i/>
          <w:kern w:val="28"/>
          <w:sz w:val="24"/>
          <w:szCs w:val="24"/>
        </w:rPr>
        <w:t xml:space="preserve"> durch Verknüpfung mit anderen Datenquellen, den Proben zuzuordnen sein: </w:t>
      </w:r>
    </w:p>
    <w:p w:rsidR="00F360C7" w:rsidRPr="000461AA" w:rsidRDefault="00F360C7"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Gesundheitszustand des Probanden/ Patienten</w:t>
      </w:r>
      <w:r w:rsidR="00E61A0F" w:rsidRPr="000461AA">
        <w:rPr>
          <w:rFonts w:asciiTheme="minorHAnsi" w:hAnsiTheme="minorHAnsi"/>
          <w:i/>
          <w:kern w:val="28"/>
          <w:sz w:val="24"/>
          <w:szCs w:val="24"/>
        </w:rPr>
        <w:t xml:space="preserve"> (gesund/erkrankt = ICD10</w:t>
      </w:r>
      <w:r w:rsidR="002C7B69" w:rsidRPr="000461AA">
        <w:rPr>
          <w:rFonts w:asciiTheme="minorHAnsi" w:hAnsiTheme="minorHAnsi"/>
          <w:i/>
          <w:kern w:val="28"/>
          <w:sz w:val="24"/>
          <w:szCs w:val="24"/>
        </w:rPr>
        <w:t>)</w:t>
      </w:r>
    </w:p>
    <w:p w:rsidR="00F360C7" w:rsidRPr="000461AA" w:rsidRDefault="00F360C7"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Phänotyp (Geschlecht, Alter);</w:t>
      </w:r>
    </w:p>
    <w:p w:rsidR="00F360C7" w:rsidRPr="000461AA" w:rsidRDefault="00675871" w:rsidP="00341CEE">
      <w:pPr>
        <w:numPr>
          <w:ilvl w:val="0"/>
          <w:numId w:val="29"/>
        </w:numPr>
        <w:ind w:left="993"/>
        <w:jc w:val="both"/>
        <w:rPr>
          <w:rFonts w:asciiTheme="minorHAnsi" w:hAnsiTheme="minorHAnsi"/>
          <w:i/>
          <w:kern w:val="28"/>
          <w:sz w:val="24"/>
          <w:szCs w:val="24"/>
        </w:rPr>
      </w:pPr>
      <w:r w:rsidRPr="000461AA">
        <w:rPr>
          <w:rFonts w:asciiTheme="minorHAnsi" w:hAnsiTheme="minorHAnsi"/>
          <w:i/>
          <w:kern w:val="28"/>
          <w:sz w:val="24"/>
          <w:szCs w:val="24"/>
        </w:rPr>
        <w:t xml:space="preserve">ggf. </w:t>
      </w:r>
      <w:r w:rsidR="00F360C7" w:rsidRPr="000461AA">
        <w:rPr>
          <w:rFonts w:asciiTheme="minorHAnsi" w:hAnsiTheme="minorHAnsi"/>
          <w:i/>
          <w:kern w:val="28"/>
          <w:sz w:val="24"/>
          <w:szCs w:val="24"/>
        </w:rPr>
        <w:t>Informationen zu medizinischen Behandlungen und Sonderbehandlungen vor der Blutentnahme (z. B. Anästhetika, Medikation, Fastenzustand);</w:t>
      </w:r>
    </w:p>
    <w:p w:rsidR="00F360C7" w:rsidRPr="000461AA" w:rsidRDefault="00F360C7" w:rsidP="000461AA">
      <w:pPr>
        <w:jc w:val="both"/>
        <w:rPr>
          <w:rFonts w:asciiTheme="minorHAnsi" w:hAnsiTheme="minorHAnsi"/>
          <w:i/>
          <w:kern w:val="28"/>
          <w:sz w:val="24"/>
          <w:szCs w:val="24"/>
        </w:rPr>
      </w:pPr>
    </w:p>
    <w:p w:rsidR="00F360C7" w:rsidRPr="000461AA" w:rsidRDefault="00F360C7" w:rsidP="00341CEE">
      <w:pPr>
        <w:ind w:left="567"/>
        <w:jc w:val="both"/>
        <w:rPr>
          <w:rFonts w:asciiTheme="minorHAnsi" w:hAnsiTheme="minorHAnsi"/>
          <w:kern w:val="28"/>
          <w:sz w:val="24"/>
          <w:szCs w:val="24"/>
        </w:rPr>
      </w:pPr>
      <w:r w:rsidRPr="000461AA">
        <w:rPr>
          <w:rFonts w:asciiTheme="minorHAnsi" w:hAnsiTheme="minorHAnsi"/>
          <w:kern w:val="28"/>
          <w:sz w:val="24"/>
          <w:szCs w:val="24"/>
        </w:rPr>
        <w:t>Die Dauer einer vorübergehenden Lagerung in der Blutentnahmeeinrichtung wird auf die Gesamtdauer bis zur Einlagerung in die Biobank angerechnet und kontinuierlich dokumentiert.</w:t>
      </w:r>
    </w:p>
    <w:p w:rsidR="00F360C7" w:rsidRPr="000461AA" w:rsidRDefault="00F360C7" w:rsidP="000461AA">
      <w:pPr>
        <w:jc w:val="both"/>
        <w:rPr>
          <w:rFonts w:asciiTheme="minorHAnsi" w:hAnsiTheme="minorHAnsi"/>
          <w:kern w:val="28"/>
          <w:sz w:val="24"/>
          <w:szCs w:val="24"/>
        </w:rPr>
      </w:pPr>
    </w:p>
    <w:p w:rsidR="009A7F94" w:rsidRPr="000461AA" w:rsidRDefault="009A7F94" w:rsidP="000461AA">
      <w:pPr>
        <w:pStyle w:val="berschrift2"/>
        <w:jc w:val="both"/>
        <w:rPr>
          <w:rFonts w:asciiTheme="minorHAnsi" w:hAnsiTheme="minorHAnsi"/>
          <w:sz w:val="24"/>
          <w:szCs w:val="24"/>
        </w:rPr>
      </w:pPr>
      <w:bookmarkStart w:id="18" w:name="_Toc455129186"/>
      <w:bookmarkStart w:id="19" w:name="_Toc455129327"/>
      <w:bookmarkStart w:id="20" w:name="_Toc455129412"/>
      <w:r w:rsidRPr="000461AA">
        <w:rPr>
          <w:rFonts w:asciiTheme="minorHAnsi" w:hAnsiTheme="minorHAnsi"/>
          <w:sz w:val="24"/>
          <w:szCs w:val="24"/>
        </w:rPr>
        <w:t>Anford</w:t>
      </w:r>
      <w:r w:rsidRPr="000461AA">
        <w:rPr>
          <w:rStyle w:val="berschrift3Zchn"/>
          <w:rFonts w:asciiTheme="minorHAnsi" w:hAnsiTheme="minorHAnsi"/>
          <w:b/>
          <w:bCs/>
          <w:sz w:val="24"/>
          <w:szCs w:val="24"/>
        </w:rPr>
        <w:t xml:space="preserve">erungen an die </w:t>
      </w:r>
      <w:r w:rsidR="00050E45" w:rsidRPr="000461AA">
        <w:rPr>
          <w:rStyle w:val="berschrift3Zchn"/>
          <w:rFonts w:asciiTheme="minorHAnsi" w:hAnsiTheme="minorHAnsi"/>
          <w:b/>
          <w:bCs/>
          <w:sz w:val="24"/>
          <w:szCs w:val="24"/>
        </w:rPr>
        <w:t>Zwischenl</w:t>
      </w:r>
      <w:r w:rsidRPr="000461AA">
        <w:rPr>
          <w:rStyle w:val="berschrift3Zchn"/>
          <w:rFonts w:asciiTheme="minorHAnsi" w:hAnsiTheme="minorHAnsi"/>
          <w:b/>
          <w:bCs/>
          <w:sz w:val="24"/>
          <w:szCs w:val="24"/>
        </w:rPr>
        <w:t>agerung in der Blutentnahmeeinrichtung</w:t>
      </w:r>
      <w:bookmarkEnd w:id="18"/>
      <w:bookmarkEnd w:id="19"/>
      <w:bookmarkEnd w:id="20"/>
    </w:p>
    <w:p w:rsidR="008D089A" w:rsidRPr="000461AA" w:rsidRDefault="008D089A" w:rsidP="00341CEE">
      <w:pPr>
        <w:ind w:left="567"/>
        <w:jc w:val="both"/>
        <w:rPr>
          <w:rFonts w:asciiTheme="minorHAnsi" w:hAnsiTheme="minorHAnsi"/>
          <w:i/>
          <w:kern w:val="28"/>
          <w:sz w:val="24"/>
          <w:szCs w:val="24"/>
        </w:rPr>
      </w:pPr>
      <w:r w:rsidRPr="000461AA">
        <w:rPr>
          <w:rFonts w:asciiTheme="minorHAnsi" w:hAnsiTheme="minorHAnsi"/>
          <w:i/>
          <w:kern w:val="28"/>
          <w:sz w:val="24"/>
          <w:szCs w:val="24"/>
        </w:rPr>
        <w:t>Erfolgt eine Zwischenlagerung der Primärblutproben sind die jeweiligen Herstellerangaben (Lagerungsdauer und -temperatur) in Bezug auf die beabsichtigte Probenverwendung zu berücksichtigen (z.B. bei der Kalium- und LDH-C-Bestimmung) und entsprechend benötigte Ausrüstung am Entnahmeort vorzuhalten. Die Qualifizierung des durchführenden Personals ist sicherzustellen (z.B. durch Schulung) und regelhaft zu prüfen</w:t>
      </w:r>
    </w:p>
    <w:p w:rsidR="00B765ED" w:rsidRPr="000461AA" w:rsidRDefault="00B765ED" w:rsidP="00341CEE">
      <w:pPr>
        <w:tabs>
          <w:tab w:val="left" w:pos="567"/>
        </w:tabs>
        <w:ind w:left="567"/>
        <w:jc w:val="both"/>
        <w:rPr>
          <w:rFonts w:asciiTheme="minorHAnsi" w:hAnsiTheme="minorHAnsi"/>
          <w:i/>
          <w:kern w:val="28"/>
          <w:sz w:val="24"/>
          <w:szCs w:val="24"/>
        </w:rPr>
      </w:pPr>
      <w:r w:rsidRPr="000461AA">
        <w:rPr>
          <w:rFonts w:asciiTheme="minorHAnsi" w:hAnsiTheme="minorHAnsi"/>
          <w:i/>
          <w:kern w:val="28"/>
          <w:sz w:val="24"/>
          <w:szCs w:val="24"/>
        </w:rPr>
        <w:t>Entsprechend benötigte Ausrüstung</w:t>
      </w:r>
      <w:r w:rsidR="00050E45" w:rsidRPr="000461AA">
        <w:rPr>
          <w:rFonts w:asciiTheme="minorHAnsi" w:hAnsiTheme="minorHAnsi"/>
          <w:i/>
          <w:kern w:val="28"/>
          <w:sz w:val="24"/>
          <w:szCs w:val="24"/>
        </w:rPr>
        <w:t xml:space="preserve"> zur</w:t>
      </w:r>
      <w:r w:rsidRPr="000461AA">
        <w:rPr>
          <w:rFonts w:asciiTheme="minorHAnsi" w:hAnsiTheme="minorHAnsi"/>
          <w:i/>
          <w:kern w:val="28"/>
          <w:sz w:val="24"/>
          <w:szCs w:val="24"/>
        </w:rPr>
        <w:t xml:space="preserve"> </w:t>
      </w:r>
      <w:r w:rsidR="00050E45" w:rsidRPr="000461AA">
        <w:rPr>
          <w:rFonts w:asciiTheme="minorHAnsi" w:hAnsiTheme="minorHAnsi"/>
          <w:i/>
          <w:kern w:val="28"/>
          <w:sz w:val="24"/>
          <w:szCs w:val="24"/>
        </w:rPr>
        <w:t xml:space="preserve">Primärprobenbearbeitung und Zwischenlagerung </w:t>
      </w:r>
      <w:r w:rsidRPr="000461AA">
        <w:rPr>
          <w:rFonts w:asciiTheme="minorHAnsi" w:hAnsiTheme="minorHAnsi"/>
          <w:i/>
          <w:kern w:val="28"/>
          <w:sz w:val="24"/>
          <w:szCs w:val="24"/>
        </w:rPr>
        <w:t>muss am Entnahmeort vorhanden sein, die Funktionalitäten und die Qualifikation der Probennehmer sind sicherzustellen und regelhaft zu prüfen</w:t>
      </w:r>
      <w:r w:rsidR="00435876">
        <w:rPr>
          <w:rFonts w:asciiTheme="minorHAnsi" w:hAnsiTheme="minorHAnsi"/>
          <w:i/>
          <w:kern w:val="28"/>
          <w:sz w:val="24"/>
          <w:szCs w:val="24"/>
        </w:rPr>
        <w:t>.</w:t>
      </w:r>
      <w:r w:rsidRPr="000461AA">
        <w:rPr>
          <w:rFonts w:asciiTheme="minorHAnsi" w:hAnsiTheme="minorHAnsi"/>
          <w:i/>
          <w:kern w:val="28"/>
          <w:sz w:val="24"/>
          <w:szCs w:val="24"/>
        </w:rPr>
        <w:t xml:space="preserve"> </w:t>
      </w:r>
    </w:p>
    <w:p w:rsidR="00B765ED" w:rsidRPr="000461AA" w:rsidRDefault="00B765ED" w:rsidP="000461AA">
      <w:pPr>
        <w:jc w:val="both"/>
        <w:rPr>
          <w:rFonts w:asciiTheme="minorHAnsi" w:hAnsiTheme="minorHAnsi"/>
          <w:b/>
          <w:i/>
          <w:kern w:val="28"/>
          <w:sz w:val="24"/>
          <w:szCs w:val="24"/>
        </w:rPr>
      </w:pPr>
    </w:p>
    <w:p w:rsidR="009A7F94" w:rsidRPr="000461AA" w:rsidRDefault="009A7F94" w:rsidP="000461AA">
      <w:pPr>
        <w:jc w:val="both"/>
        <w:rPr>
          <w:rFonts w:asciiTheme="minorHAnsi" w:hAnsiTheme="minorHAnsi"/>
          <w:b/>
          <w:i/>
          <w:kern w:val="28"/>
          <w:sz w:val="24"/>
          <w:szCs w:val="24"/>
        </w:rPr>
      </w:pPr>
      <w:r w:rsidRPr="000461AA">
        <w:rPr>
          <w:rFonts w:asciiTheme="minorHAnsi" w:hAnsiTheme="minorHAnsi"/>
          <w:b/>
          <w:i/>
          <w:kern w:val="28"/>
          <w:sz w:val="24"/>
          <w:szCs w:val="24"/>
        </w:rPr>
        <w:t xml:space="preserve">Hinweis: </w:t>
      </w:r>
    </w:p>
    <w:p w:rsidR="009A7F94" w:rsidRPr="000461AA" w:rsidRDefault="009A7F94" w:rsidP="00341CEE">
      <w:pPr>
        <w:ind w:left="1418" w:hanging="709"/>
        <w:jc w:val="both"/>
        <w:rPr>
          <w:rFonts w:asciiTheme="minorHAnsi" w:hAnsiTheme="minorHAnsi"/>
          <w:i/>
          <w:kern w:val="28"/>
          <w:sz w:val="24"/>
          <w:szCs w:val="24"/>
        </w:rPr>
      </w:pPr>
      <w:r w:rsidRPr="000461AA">
        <w:rPr>
          <w:rFonts w:asciiTheme="minorHAnsi" w:hAnsiTheme="minorHAnsi"/>
          <w:kern w:val="28"/>
          <w:sz w:val="24"/>
          <w:szCs w:val="24"/>
        </w:rPr>
        <w:t>1</w:t>
      </w:r>
      <w:r w:rsidRPr="000461AA">
        <w:rPr>
          <w:rFonts w:asciiTheme="minorHAnsi" w:hAnsiTheme="minorHAnsi"/>
          <w:i/>
          <w:kern w:val="28"/>
          <w:sz w:val="24"/>
          <w:szCs w:val="24"/>
        </w:rPr>
        <w:t>)</w:t>
      </w:r>
      <w:r w:rsidRPr="000461AA">
        <w:rPr>
          <w:rFonts w:asciiTheme="minorHAnsi" w:hAnsiTheme="minorHAnsi"/>
          <w:i/>
          <w:kern w:val="28"/>
          <w:sz w:val="24"/>
          <w:szCs w:val="24"/>
        </w:rPr>
        <w:tab/>
      </w:r>
      <w:r w:rsidR="00D67E32" w:rsidRPr="000461AA">
        <w:rPr>
          <w:rFonts w:asciiTheme="minorHAnsi" w:hAnsiTheme="minorHAnsi"/>
          <w:i/>
          <w:kern w:val="28"/>
          <w:sz w:val="24"/>
          <w:szCs w:val="24"/>
        </w:rPr>
        <w:t>B</w:t>
      </w:r>
      <w:r w:rsidRPr="000461AA">
        <w:rPr>
          <w:rFonts w:asciiTheme="minorHAnsi" w:hAnsiTheme="minorHAnsi"/>
          <w:i/>
          <w:kern w:val="28"/>
          <w:sz w:val="24"/>
          <w:szCs w:val="24"/>
        </w:rPr>
        <w:t>ei Proben, die zur Archivierung in einer Bio</w:t>
      </w:r>
      <w:r w:rsidR="00D67E32" w:rsidRPr="000461AA">
        <w:rPr>
          <w:rFonts w:asciiTheme="minorHAnsi" w:hAnsiTheme="minorHAnsi"/>
          <w:i/>
          <w:kern w:val="28"/>
          <w:sz w:val="24"/>
          <w:szCs w:val="24"/>
        </w:rPr>
        <w:t>bank vorgesehen sind und</w:t>
      </w:r>
      <w:r w:rsidRPr="000461AA">
        <w:rPr>
          <w:rFonts w:asciiTheme="minorHAnsi" w:hAnsiTheme="minorHAnsi"/>
          <w:i/>
          <w:kern w:val="28"/>
          <w:sz w:val="24"/>
          <w:szCs w:val="24"/>
        </w:rPr>
        <w:t xml:space="preserve"> nicht bekannt ist, welche </w:t>
      </w:r>
      <w:r w:rsidR="00435876">
        <w:rPr>
          <w:rFonts w:asciiTheme="minorHAnsi" w:hAnsiTheme="minorHAnsi"/>
          <w:i/>
          <w:kern w:val="28"/>
          <w:sz w:val="24"/>
          <w:szCs w:val="24"/>
        </w:rPr>
        <w:t>Parameter/</w:t>
      </w:r>
      <w:r w:rsidRPr="000461AA">
        <w:rPr>
          <w:rFonts w:asciiTheme="minorHAnsi" w:hAnsiTheme="minorHAnsi"/>
          <w:i/>
          <w:kern w:val="28"/>
          <w:sz w:val="24"/>
          <w:szCs w:val="24"/>
        </w:rPr>
        <w:t xml:space="preserve">Moleküle nach der Archivierung analysiert werden, sollten im Kontext </w:t>
      </w:r>
      <w:r w:rsidR="00435876">
        <w:rPr>
          <w:rFonts w:asciiTheme="minorHAnsi" w:hAnsiTheme="minorHAnsi"/>
          <w:i/>
          <w:kern w:val="28"/>
          <w:sz w:val="24"/>
          <w:szCs w:val="24"/>
        </w:rPr>
        <w:t>von RNA/RNS-</w:t>
      </w:r>
      <w:r w:rsidRPr="000461AA">
        <w:rPr>
          <w:rFonts w:asciiTheme="minorHAnsi" w:hAnsiTheme="minorHAnsi"/>
          <w:i/>
          <w:kern w:val="28"/>
          <w:sz w:val="24"/>
          <w:szCs w:val="24"/>
        </w:rPr>
        <w:t>Analysen nur Röhrchen mit Stabilisatoren verwendet werden.</w:t>
      </w:r>
    </w:p>
    <w:p w:rsidR="009A7F94" w:rsidRPr="000461AA" w:rsidRDefault="009A7F94" w:rsidP="000461AA">
      <w:pPr>
        <w:jc w:val="both"/>
        <w:rPr>
          <w:rFonts w:asciiTheme="minorHAnsi" w:hAnsiTheme="minorHAnsi"/>
          <w:i/>
          <w:kern w:val="28"/>
          <w:sz w:val="24"/>
          <w:szCs w:val="24"/>
        </w:rPr>
      </w:pPr>
    </w:p>
    <w:p w:rsidR="00D67E32" w:rsidRPr="000461AA" w:rsidRDefault="009A7F94" w:rsidP="00341CEE">
      <w:pPr>
        <w:ind w:left="1418" w:hanging="709"/>
        <w:jc w:val="both"/>
        <w:rPr>
          <w:rFonts w:asciiTheme="minorHAnsi" w:hAnsiTheme="minorHAnsi"/>
          <w:i/>
          <w:kern w:val="28"/>
          <w:sz w:val="24"/>
          <w:szCs w:val="24"/>
        </w:rPr>
      </w:pPr>
      <w:r w:rsidRPr="000461AA">
        <w:rPr>
          <w:rFonts w:asciiTheme="minorHAnsi" w:hAnsiTheme="minorHAnsi"/>
          <w:i/>
          <w:kern w:val="28"/>
          <w:sz w:val="24"/>
          <w:szCs w:val="24"/>
        </w:rPr>
        <w:t>2)</w:t>
      </w:r>
      <w:r w:rsidRPr="000461AA">
        <w:rPr>
          <w:rFonts w:asciiTheme="minorHAnsi" w:hAnsiTheme="minorHAnsi"/>
          <w:i/>
          <w:kern w:val="28"/>
          <w:sz w:val="24"/>
          <w:szCs w:val="24"/>
        </w:rPr>
        <w:tab/>
      </w:r>
      <w:r w:rsidR="00D67E32" w:rsidRPr="000461AA">
        <w:rPr>
          <w:rFonts w:asciiTheme="minorHAnsi" w:hAnsiTheme="minorHAnsi"/>
          <w:i/>
          <w:kern w:val="28"/>
          <w:sz w:val="24"/>
          <w:szCs w:val="24"/>
        </w:rPr>
        <w:t>Da Serum</w:t>
      </w:r>
      <w:r w:rsidRPr="000461AA">
        <w:rPr>
          <w:rFonts w:asciiTheme="minorHAnsi" w:hAnsiTheme="minorHAnsi"/>
          <w:i/>
          <w:kern w:val="28"/>
          <w:sz w:val="24"/>
          <w:szCs w:val="24"/>
        </w:rPr>
        <w:t xml:space="preserve"> </w:t>
      </w:r>
      <w:r w:rsidR="00D67E32" w:rsidRPr="000461AA">
        <w:rPr>
          <w:rFonts w:asciiTheme="minorHAnsi" w:hAnsiTheme="minorHAnsi"/>
          <w:i/>
          <w:kern w:val="28"/>
          <w:sz w:val="24"/>
          <w:szCs w:val="24"/>
        </w:rPr>
        <w:t xml:space="preserve">gemäß Herstellerangaben der Blutentnahmegefäße </w:t>
      </w:r>
      <w:r w:rsidRPr="000461AA">
        <w:rPr>
          <w:rFonts w:asciiTheme="minorHAnsi" w:hAnsiTheme="minorHAnsi"/>
          <w:i/>
          <w:kern w:val="28"/>
          <w:sz w:val="24"/>
          <w:szCs w:val="24"/>
        </w:rPr>
        <w:t>inner</w:t>
      </w:r>
      <w:r w:rsidR="00D67E32" w:rsidRPr="000461AA">
        <w:rPr>
          <w:rFonts w:asciiTheme="minorHAnsi" w:hAnsiTheme="minorHAnsi"/>
          <w:i/>
          <w:kern w:val="28"/>
          <w:sz w:val="24"/>
          <w:szCs w:val="24"/>
        </w:rPr>
        <w:t>halb von 30 bis 45 min</w:t>
      </w:r>
      <w:r w:rsidRPr="000461AA">
        <w:rPr>
          <w:rFonts w:asciiTheme="minorHAnsi" w:hAnsiTheme="minorHAnsi"/>
          <w:i/>
          <w:kern w:val="28"/>
          <w:sz w:val="24"/>
          <w:szCs w:val="24"/>
        </w:rPr>
        <w:t xml:space="preserve"> </w:t>
      </w:r>
      <w:r w:rsidR="00D67E32" w:rsidRPr="000461AA">
        <w:rPr>
          <w:rFonts w:asciiTheme="minorHAnsi" w:hAnsiTheme="minorHAnsi"/>
          <w:i/>
          <w:kern w:val="28"/>
          <w:sz w:val="24"/>
          <w:szCs w:val="24"/>
        </w:rPr>
        <w:t>nach der Blutabnahme abgetrennt</w:t>
      </w:r>
      <w:r w:rsidRPr="000461AA">
        <w:rPr>
          <w:rFonts w:asciiTheme="minorHAnsi" w:hAnsiTheme="minorHAnsi"/>
          <w:i/>
          <w:kern w:val="28"/>
          <w:sz w:val="24"/>
          <w:szCs w:val="24"/>
        </w:rPr>
        <w:t xml:space="preserve"> wer</w:t>
      </w:r>
      <w:r w:rsidR="00D67E32" w:rsidRPr="000461AA">
        <w:rPr>
          <w:rFonts w:asciiTheme="minorHAnsi" w:hAnsiTheme="minorHAnsi"/>
          <w:i/>
          <w:kern w:val="28"/>
          <w:sz w:val="24"/>
          <w:szCs w:val="24"/>
        </w:rPr>
        <w:t>den muss, empfiehlt sich prinzipiell nach Einhaltung der Gerin</w:t>
      </w:r>
      <w:r w:rsidR="00B765ED" w:rsidRPr="000461AA">
        <w:rPr>
          <w:rFonts w:asciiTheme="minorHAnsi" w:hAnsiTheme="minorHAnsi"/>
          <w:i/>
          <w:kern w:val="28"/>
          <w:sz w:val="24"/>
          <w:szCs w:val="24"/>
        </w:rPr>
        <w:t>nungszeit</w:t>
      </w:r>
      <w:r w:rsidR="00D67E32" w:rsidRPr="000461AA">
        <w:rPr>
          <w:rFonts w:asciiTheme="minorHAnsi" w:hAnsiTheme="minorHAnsi"/>
          <w:i/>
          <w:kern w:val="28"/>
          <w:sz w:val="24"/>
          <w:szCs w:val="24"/>
        </w:rPr>
        <w:t xml:space="preserve"> bei Raumtemperatur die </w:t>
      </w:r>
      <w:r w:rsidR="00D67E32" w:rsidRPr="00D00B5F">
        <w:rPr>
          <w:rFonts w:asciiTheme="minorHAnsi" w:hAnsiTheme="minorHAnsi"/>
          <w:b/>
          <w:i/>
          <w:kern w:val="28"/>
          <w:sz w:val="24"/>
          <w:szCs w:val="24"/>
        </w:rPr>
        <w:t>Zentrifugation an Entnahmeor</w:t>
      </w:r>
      <w:r w:rsidR="00D00B5F">
        <w:rPr>
          <w:rFonts w:asciiTheme="minorHAnsi" w:hAnsiTheme="minorHAnsi"/>
          <w:b/>
          <w:i/>
          <w:kern w:val="28"/>
          <w:sz w:val="24"/>
          <w:szCs w:val="24"/>
        </w:rPr>
        <w:t>t.</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berschrift2"/>
        <w:jc w:val="both"/>
        <w:rPr>
          <w:rFonts w:asciiTheme="minorHAnsi" w:hAnsiTheme="minorHAnsi"/>
          <w:sz w:val="24"/>
          <w:szCs w:val="24"/>
        </w:rPr>
      </w:pPr>
      <w:bookmarkStart w:id="21" w:name="_Toc455129187"/>
      <w:bookmarkStart w:id="22" w:name="_Toc455129328"/>
      <w:bookmarkStart w:id="23" w:name="_Toc455129413"/>
      <w:r w:rsidRPr="000461AA">
        <w:rPr>
          <w:rFonts w:asciiTheme="minorHAnsi" w:hAnsiTheme="minorHAnsi"/>
          <w:sz w:val="24"/>
          <w:szCs w:val="24"/>
        </w:rPr>
        <w:t>Transportbezogene Anforderungen.</w:t>
      </w:r>
      <w:bookmarkEnd w:id="21"/>
      <w:bookmarkEnd w:id="22"/>
      <w:bookmarkEnd w:id="23"/>
    </w:p>
    <w:p w:rsidR="009A7F94" w:rsidRPr="000461AA" w:rsidRDefault="009A7F94" w:rsidP="000461AA">
      <w:pPr>
        <w:jc w:val="both"/>
        <w:rPr>
          <w:rFonts w:asciiTheme="minorHAnsi" w:hAnsiTheme="minorHAnsi"/>
          <w:kern w:val="28"/>
          <w:sz w:val="24"/>
          <w:szCs w:val="24"/>
        </w:rPr>
      </w:pPr>
    </w:p>
    <w:p w:rsidR="008D089A" w:rsidRPr="000461AA" w:rsidRDefault="008D089A" w:rsidP="00341CEE">
      <w:pPr>
        <w:ind w:left="567" w:firstLine="9"/>
        <w:jc w:val="both"/>
        <w:rPr>
          <w:rFonts w:asciiTheme="minorHAnsi" w:hAnsiTheme="minorHAnsi"/>
          <w:i/>
          <w:kern w:val="28"/>
          <w:sz w:val="24"/>
          <w:szCs w:val="24"/>
        </w:rPr>
      </w:pPr>
      <w:r w:rsidRPr="000461AA">
        <w:rPr>
          <w:rFonts w:asciiTheme="minorHAnsi" w:hAnsiTheme="minorHAnsi"/>
          <w:i/>
          <w:kern w:val="28"/>
          <w:sz w:val="24"/>
          <w:szCs w:val="24"/>
        </w:rPr>
        <w:t>Transportbedingungen müssen definiert, validiert und deren Umsetzung sowie Abweichungen davon dokumentiert und kontrolliert werden (z.B</w:t>
      </w:r>
      <w:r w:rsidR="00435876">
        <w:rPr>
          <w:rFonts w:asciiTheme="minorHAnsi" w:hAnsiTheme="minorHAnsi"/>
          <w:i/>
          <w:kern w:val="28"/>
          <w:sz w:val="24"/>
          <w:szCs w:val="24"/>
        </w:rPr>
        <w:t>.</w:t>
      </w:r>
      <w:r w:rsidRPr="000461AA">
        <w:rPr>
          <w:rFonts w:asciiTheme="minorHAnsi" w:hAnsiTheme="minorHAnsi"/>
          <w:i/>
          <w:kern w:val="28"/>
          <w:sz w:val="24"/>
          <w:szCs w:val="24"/>
        </w:rPr>
        <w:t xml:space="preserve"> bei Verwendung von Rohrpostsystemen). Dabei gelten die Anleitungen der Hersteller der Blutentnahmeröhrchen (z. B. Temperatur, Transportdauer) bzw. sind die jeweiligen Herstellerangaben (Transportdauer und -temperatur) in Bezug auf die beabsichtigte Probenverwendung zu berücksichtigen (z.B. bei der Kalium- und LDH-C-Bestimmung).</w:t>
      </w:r>
    </w:p>
    <w:p w:rsidR="008D089A" w:rsidRPr="000461AA" w:rsidRDefault="008D089A" w:rsidP="000461AA">
      <w:pPr>
        <w:jc w:val="both"/>
        <w:rPr>
          <w:rFonts w:asciiTheme="minorHAnsi" w:hAnsiTheme="minorHAnsi"/>
          <w:i/>
          <w:kern w:val="28"/>
          <w:sz w:val="24"/>
          <w:szCs w:val="24"/>
        </w:rPr>
      </w:pP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 xml:space="preserve">Die Dauer des Transports zum Labor wird auf die Gesamtlagerungsdauer </w:t>
      </w:r>
      <w:r w:rsidR="002C7DE3" w:rsidRPr="000461AA">
        <w:rPr>
          <w:rFonts w:asciiTheme="minorHAnsi" w:hAnsiTheme="minorHAnsi"/>
          <w:kern w:val="28"/>
          <w:sz w:val="24"/>
          <w:szCs w:val="24"/>
        </w:rPr>
        <w:t>bis zur Einlagerung in die Biobank angerechnet und kontinuierlich dokumentiert.</w:t>
      </w:r>
    </w:p>
    <w:p w:rsidR="009A7F94" w:rsidRPr="000461AA" w:rsidRDefault="009A7F94" w:rsidP="000461AA">
      <w:pPr>
        <w:jc w:val="both"/>
        <w:rPr>
          <w:rFonts w:asciiTheme="minorHAnsi" w:hAnsiTheme="minorHAnsi"/>
          <w:kern w:val="28"/>
          <w:sz w:val="24"/>
          <w:szCs w:val="24"/>
        </w:rPr>
      </w:pPr>
    </w:p>
    <w:p w:rsidR="009A7F94" w:rsidRPr="000461AA" w:rsidRDefault="009A7F94" w:rsidP="000461AA">
      <w:pPr>
        <w:pStyle w:val="berschrift1"/>
        <w:jc w:val="both"/>
        <w:rPr>
          <w:rFonts w:asciiTheme="minorHAnsi" w:hAnsiTheme="minorHAnsi"/>
          <w:szCs w:val="24"/>
          <w:u w:val="none"/>
        </w:rPr>
      </w:pPr>
      <w:bookmarkStart w:id="24" w:name="_Toc455129188"/>
      <w:bookmarkStart w:id="25" w:name="_Toc455129329"/>
      <w:bookmarkStart w:id="26" w:name="_Toc455129414"/>
      <w:r w:rsidRPr="000461AA">
        <w:rPr>
          <w:rFonts w:asciiTheme="minorHAnsi" w:hAnsiTheme="minorHAnsi"/>
          <w:szCs w:val="24"/>
          <w:u w:val="none"/>
        </w:rPr>
        <w:t>Mitgeltende Unterlagen</w:t>
      </w:r>
      <w:bookmarkEnd w:id="24"/>
      <w:bookmarkEnd w:id="25"/>
      <w:bookmarkEnd w:id="26"/>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CEN 16835-1, -2, -3</w:t>
      </w: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DIN EN ISO 17025, DIN EN ISO 15189</w:t>
      </w:r>
    </w:p>
    <w:p w:rsidR="009A7F94" w:rsidRPr="000461AA" w:rsidRDefault="009A7F94" w:rsidP="00341CEE">
      <w:pPr>
        <w:ind w:left="426"/>
        <w:jc w:val="both"/>
        <w:rPr>
          <w:rFonts w:asciiTheme="minorHAnsi" w:hAnsiTheme="minorHAnsi"/>
          <w:kern w:val="28"/>
          <w:sz w:val="24"/>
          <w:szCs w:val="24"/>
        </w:rPr>
      </w:pPr>
      <w:r w:rsidRPr="000461AA">
        <w:rPr>
          <w:rFonts w:asciiTheme="minorHAnsi" w:hAnsiTheme="minorHAnsi"/>
          <w:kern w:val="28"/>
          <w:sz w:val="24"/>
          <w:szCs w:val="24"/>
        </w:rPr>
        <w:t>Gefahrstoffverordnung</w:t>
      </w:r>
    </w:p>
    <w:p w:rsidR="009A7F94" w:rsidRPr="000461AA" w:rsidRDefault="009A7F94" w:rsidP="000461AA">
      <w:pPr>
        <w:pStyle w:val="berschrift1"/>
        <w:jc w:val="both"/>
        <w:rPr>
          <w:rFonts w:asciiTheme="minorHAnsi" w:hAnsiTheme="minorHAnsi"/>
          <w:szCs w:val="24"/>
          <w:u w:val="none"/>
        </w:rPr>
      </w:pPr>
      <w:bookmarkStart w:id="27" w:name="_Toc455129189"/>
      <w:bookmarkStart w:id="28" w:name="_Toc455129330"/>
      <w:bookmarkStart w:id="29" w:name="_Toc455129415"/>
      <w:r w:rsidRPr="000461AA">
        <w:rPr>
          <w:rFonts w:asciiTheme="minorHAnsi" w:hAnsiTheme="minorHAnsi"/>
          <w:szCs w:val="24"/>
          <w:u w:val="none"/>
        </w:rPr>
        <w:t>Querverweise</w:t>
      </w:r>
      <w:bookmarkEnd w:id="27"/>
      <w:bookmarkEnd w:id="28"/>
      <w:bookmarkEnd w:id="29"/>
    </w:p>
    <w:p w:rsidR="00826869" w:rsidRDefault="00826869" w:rsidP="00341CEE">
      <w:pPr>
        <w:ind w:left="426"/>
        <w:jc w:val="both"/>
        <w:rPr>
          <w:rFonts w:asciiTheme="minorHAnsi" w:hAnsiTheme="minorHAnsi"/>
          <w:kern w:val="28"/>
          <w:sz w:val="24"/>
          <w:szCs w:val="24"/>
        </w:rPr>
      </w:pPr>
      <w:r w:rsidRPr="00826869">
        <w:rPr>
          <w:rFonts w:asciiTheme="minorHAnsi" w:hAnsiTheme="minorHAnsi"/>
          <w:kern w:val="28"/>
          <w:sz w:val="24"/>
          <w:szCs w:val="24"/>
        </w:rPr>
        <w:t xml:space="preserve">05.e_GBN_VA_Nutzer-_und_Anforderungsmanagement </w:t>
      </w:r>
    </w:p>
    <w:p w:rsidR="00826869" w:rsidRPr="000461AA" w:rsidRDefault="00826869" w:rsidP="00341CEE">
      <w:pPr>
        <w:ind w:left="426"/>
        <w:jc w:val="both"/>
        <w:rPr>
          <w:rFonts w:asciiTheme="minorHAnsi" w:hAnsiTheme="minorHAnsi"/>
          <w:kern w:val="28"/>
          <w:sz w:val="24"/>
          <w:szCs w:val="24"/>
        </w:rPr>
      </w:pPr>
      <w:r w:rsidRPr="00826869">
        <w:rPr>
          <w:rFonts w:asciiTheme="minorHAnsi" w:hAnsiTheme="minorHAnsi"/>
          <w:kern w:val="28"/>
          <w:sz w:val="24"/>
          <w:szCs w:val="24"/>
        </w:rPr>
        <w:t>06.2a_GBN_FB_Kompetenz-_und_Verantwortungsmatrix 08.2b_GBN_Begriffe_und_Abkürzungen</w:t>
      </w:r>
    </w:p>
    <w:p w:rsidR="009A7F94" w:rsidRPr="000461AA" w:rsidRDefault="009A7F94" w:rsidP="000461AA">
      <w:pPr>
        <w:pStyle w:val="berschrift1"/>
        <w:jc w:val="both"/>
        <w:rPr>
          <w:rFonts w:asciiTheme="minorHAnsi" w:hAnsiTheme="minorHAnsi"/>
          <w:szCs w:val="24"/>
          <w:u w:val="none"/>
        </w:rPr>
      </w:pPr>
      <w:bookmarkStart w:id="30" w:name="_Toc455129190"/>
      <w:bookmarkStart w:id="31" w:name="_Toc455129331"/>
      <w:bookmarkStart w:id="32" w:name="_Toc455129416"/>
      <w:r w:rsidRPr="000461AA">
        <w:rPr>
          <w:rFonts w:asciiTheme="minorHAnsi" w:hAnsiTheme="minorHAnsi"/>
          <w:szCs w:val="24"/>
          <w:u w:val="none"/>
        </w:rPr>
        <w:t>Anhänge</w:t>
      </w:r>
      <w:bookmarkEnd w:id="30"/>
      <w:bookmarkEnd w:id="31"/>
      <w:bookmarkEnd w:id="32"/>
    </w:p>
    <w:p w:rsidR="008A7CEB" w:rsidRPr="000461AA" w:rsidRDefault="008A7CEB" w:rsidP="00341CEE">
      <w:pPr>
        <w:ind w:left="432"/>
        <w:jc w:val="both"/>
        <w:rPr>
          <w:rFonts w:asciiTheme="minorHAnsi" w:hAnsiTheme="minorHAnsi"/>
          <w:kern w:val="28"/>
          <w:sz w:val="24"/>
          <w:szCs w:val="24"/>
        </w:rPr>
      </w:pPr>
      <w:r w:rsidRPr="000461AA">
        <w:rPr>
          <w:rFonts w:asciiTheme="minorHAnsi" w:hAnsiTheme="minorHAnsi"/>
          <w:kern w:val="28"/>
          <w:sz w:val="24"/>
          <w:szCs w:val="24"/>
        </w:rPr>
        <w:t xml:space="preserve">alle im Rahmen der Blutentnahme benötigten Dokumente (elektronisch und Papier) und </w:t>
      </w:r>
      <w:r w:rsidR="007B43D3">
        <w:rPr>
          <w:rFonts w:asciiTheme="minorHAnsi" w:hAnsiTheme="minorHAnsi"/>
          <w:kern w:val="28"/>
          <w:sz w:val="24"/>
          <w:szCs w:val="24"/>
        </w:rPr>
        <w:t>Informationen</w:t>
      </w:r>
      <w:bookmarkStart w:id="33" w:name="_GoBack"/>
      <w:bookmarkEnd w:id="33"/>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p w:rsidR="000244CB" w:rsidRPr="000461AA" w:rsidRDefault="000244CB" w:rsidP="000461AA">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244CB" w:rsidRPr="000461AA" w:rsidTr="000165BC">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r w:rsidR="000244CB" w:rsidRPr="000461AA" w:rsidTr="000165BC">
        <w:tc>
          <w:tcPr>
            <w:tcW w:w="1564"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der p</w:t>
            </w:r>
            <w:r w:rsidR="00CB4CC9">
              <w:rPr>
                <w:rFonts w:asciiTheme="minorHAnsi" w:hAnsiTheme="minorHAnsi"/>
                <w:shd w:val="clear" w:color="auto" w:fill="C0C0C0"/>
              </w:rPr>
              <w:t>r</w:t>
            </w:r>
            <w:r w:rsidRPr="000461AA">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r w:rsidR="000244CB" w:rsidRPr="000461AA" w:rsidTr="000165BC">
        <w:tc>
          <w:tcPr>
            <w:tcW w:w="1564"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shd w:val="clear" w:color="auto" w:fill="C0C0C0"/>
              </w:rPr>
            </w:pPr>
            <w:r w:rsidRPr="000461AA">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461AA">
            <w:pPr>
              <w:pStyle w:val="TableContents"/>
              <w:jc w:val="both"/>
              <w:rPr>
                <w:rFonts w:asciiTheme="minorHAnsi" w:hAnsiTheme="minorHAnsi"/>
              </w:rPr>
            </w:pPr>
            <w:r w:rsidRPr="000461AA">
              <w:rPr>
                <w:rFonts w:asciiTheme="minorHAnsi" w:hAnsiTheme="minorHAnsi"/>
              </w:rPr>
              <w:t>Datum und Unterschrift:</w:t>
            </w:r>
          </w:p>
        </w:tc>
      </w:tr>
    </w:tbl>
    <w:p w:rsidR="000244CB" w:rsidRPr="000461AA" w:rsidRDefault="000244CB" w:rsidP="000461AA">
      <w:pPr>
        <w:jc w:val="both"/>
        <w:rPr>
          <w:rFonts w:asciiTheme="minorHAnsi" w:hAnsiTheme="minorHAnsi"/>
          <w:kern w:val="28"/>
          <w:sz w:val="24"/>
          <w:szCs w:val="24"/>
        </w:rPr>
      </w:pPr>
    </w:p>
    <w:sectPr w:rsidR="000244CB" w:rsidRPr="000461AA" w:rsidSect="005C0BB3">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7FA" w:rsidRDefault="000E17FA">
      <w:r>
        <w:separator/>
      </w:r>
    </w:p>
  </w:endnote>
  <w:endnote w:type="continuationSeparator" w:id="0">
    <w:p w:rsidR="000E17FA" w:rsidRDefault="000E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670"/>
      <w:gridCol w:w="2070"/>
    </w:tblGrid>
    <w:tr w:rsidR="000244CB" w:rsidRPr="000461AA" w:rsidTr="00826869">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0244CB" w:rsidP="000244CB">
          <w:pPr>
            <w:pStyle w:val="QEP-FuzeileUV"/>
            <w:snapToGrid w:val="0"/>
            <w:rPr>
              <w:rFonts w:asciiTheme="minorHAnsi" w:hAnsiTheme="minorHAnsi" w:cs="Arial"/>
              <w:color w:val="808080"/>
              <w:sz w:val="24"/>
              <w:szCs w:val="24"/>
            </w:rPr>
          </w:pPr>
          <w:r w:rsidRPr="000461AA">
            <w:rPr>
              <w:rFonts w:asciiTheme="minorHAnsi" w:hAnsiTheme="minorHAnsi" w:cs="Arial"/>
              <w:color w:val="808080"/>
              <w:sz w:val="24"/>
              <w:szCs w:val="24"/>
            </w:rPr>
            <w:t>R</w:t>
          </w:r>
          <w:r w:rsidR="00826869">
            <w:rPr>
              <w:rFonts w:asciiTheme="minorHAnsi" w:hAnsiTheme="minorHAnsi" w:cs="Arial"/>
              <w:color w:val="808080"/>
              <w:sz w:val="24"/>
              <w:szCs w:val="24"/>
            </w:rPr>
            <w:t>evision:</w:t>
          </w:r>
        </w:p>
      </w:tc>
      <w:tc>
        <w:tcPr>
          <w:tcW w:w="5670"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0461AA" w:rsidRDefault="005C0BB3" w:rsidP="000244CB">
          <w:pPr>
            <w:pStyle w:val="QEP-FuzeileUV"/>
            <w:snapToGrid w:val="0"/>
            <w:rPr>
              <w:rFonts w:asciiTheme="minorHAnsi" w:hAnsiTheme="minorHAnsi" w:cs="Arial"/>
              <w:color w:val="808080"/>
              <w:sz w:val="24"/>
              <w:szCs w:val="24"/>
            </w:rPr>
          </w:pPr>
          <w:r w:rsidRPr="000461AA">
            <w:rPr>
              <w:rFonts w:asciiTheme="minorHAnsi" w:hAnsiTheme="minorHAnsi" w:cs="Arial"/>
              <w:color w:val="808080"/>
              <w:sz w:val="24"/>
              <w:szCs w:val="24"/>
            </w:rPr>
            <w:fldChar w:fldCharType="begin"/>
          </w:r>
          <w:r w:rsidRPr="000461AA">
            <w:rPr>
              <w:rFonts w:asciiTheme="minorHAnsi" w:hAnsiTheme="minorHAnsi" w:cs="Arial"/>
              <w:color w:val="808080"/>
              <w:sz w:val="24"/>
              <w:szCs w:val="24"/>
            </w:rPr>
            <w:instrText xml:space="preserve"> FILENAME   \* MERGEFORMAT </w:instrText>
          </w:r>
          <w:r w:rsidRPr="000461AA">
            <w:rPr>
              <w:rFonts w:asciiTheme="minorHAnsi" w:hAnsiTheme="minorHAnsi" w:cs="Arial"/>
              <w:color w:val="808080"/>
              <w:sz w:val="24"/>
              <w:szCs w:val="24"/>
            </w:rPr>
            <w:fldChar w:fldCharType="separate"/>
          </w:r>
          <w:r w:rsidR="00826869">
            <w:rPr>
              <w:rFonts w:asciiTheme="minorHAnsi" w:hAnsiTheme="minorHAnsi" w:cs="Arial"/>
              <w:noProof/>
              <w:color w:val="808080"/>
              <w:sz w:val="24"/>
              <w:szCs w:val="24"/>
            </w:rPr>
            <w:t>07.2a_GBN_Hinweise_Primärprobennnahme _Blut.docx</w:t>
          </w:r>
          <w:r w:rsidRPr="000461AA">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0461AA" w:rsidRDefault="000244CB" w:rsidP="000244CB">
          <w:pPr>
            <w:pStyle w:val="QEP-FuzeileUV"/>
            <w:snapToGrid w:val="0"/>
            <w:jc w:val="right"/>
            <w:rPr>
              <w:rFonts w:asciiTheme="minorHAnsi" w:hAnsiTheme="minorHAnsi" w:cs="Arial"/>
              <w:color w:val="808080"/>
              <w:sz w:val="24"/>
              <w:szCs w:val="24"/>
            </w:rPr>
          </w:pPr>
          <w:r w:rsidRPr="000461AA">
            <w:rPr>
              <w:rFonts w:asciiTheme="minorHAnsi" w:hAnsiTheme="minorHAnsi" w:cs="Arial"/>
              <w:color w:val="808080"/>
              <w:sz w:val="24"/>
              <w:szCs w:val="24"/>
            </w:rPr>
            <w:t>Seite:</w:t>
          </w:r>
        </w:p>
      </w:tc>
    </w:tr>
  </w:tbl>
  <w:p w:rsidR="004B240A" w:rsidRPr="00117DC4" w:rsidRDefault="004B240A" w:rsidP="004B240A">
    <w:pPr>
      <w:rPr>
        <w:sz w:val="4"/>
        <w:szCs w:val="17"/>
      </w:rPr>
    </w:pPr>
  </w:p>
  <w:p w:rsidR="000244CB" w:rsidRPr="00A27686" w:rsidRDefault="00A27686" w:rsidP="00A27686">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7FA" w:rsidRDefault="000E17FA">
      <w:r>
        <w:separator/>
      </w:r>
    </w:p>
  </w:footnote>
  <w:footnote w:type="continuationSeparator" w:id="0">
    <w:p w:rsidR="000E17FA" w:rsidRDefault="000E1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AA" w:rsidRDefault="000461AA" w:rsidP="008E1D79">
    <w:pPr>
      <w:pStyle w:val="Kopfzeile"/>
      <w:rPr>
        <w:sz w:val="2"/>
      </w:rPr>
    </w:pPr>
  </w:p>
  <w:p w:rsidR="000461AA" w:rsidRDefault="0047547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-384175</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0461AA" w:rsidRDefault="000461AA" w:rsidP="008E1D79">
    <w:pPr>
      <w:pStyle w:val="Kopfzeile"/>
      <w:rPr>
        <w:sz w:val="2"/>
      </w:rPr>
    </w:pPr>
  </w:p>
  <w:p w:rsidR="00B665CE" w:rsidRDefault="00B665CE" w:rsidP="008E1D79">
    <w:pPr>
      <w:pStyle w:val="Kopfzeile"/>
      <w:rPr>
        <w:sz w:val="2"/>
      </w:rPr>
    </w:pPr>
  </w:p>
  <w:p w:rsidR="000461AA" w:rsidRDefault="000461AA"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461AA" w:rsidRPr="000461AA" w:rsidTr="00994B42">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461AA" w:rsidRPr="000461AA" w:rsidRDefault="000461AA" w:rsidP="00994B42">
          <w:pPr>
            <w:pStyle w:val="TableContents"/>
            <w:rPr>
              <w:rStyle w:val="Hervorhebung"/>
              <w:rFonts w:ascii="Calibri" w:hAnsi="Calibri" w:cs="Arial"/>
              <w:i w:val="0"/>
              <w:sz w:val="28"/>
              <w:szCs w:val="28"/>
            </w:rPr>
          </w:pPr>
          <w:r w:rsidRPr="000461AA">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b/>
              <w:i w:val="0"/>
              <w:color w:val="FFFFFF"/>
              <w:sz w:val="28"/>
              <w:szCs w:val="28"/>
            </w:rPr>
          </w:pPr>
          <w:r w:rsidRPr="000461AA">
            <w:rPr>
              <w:rStyle w:val="Hervorhebung"/>
              <w:rFonts w:ascii="Calibri" w:hAnsi="Calibri" w:cs="Arial"/>
              <w:b/>
              <w:i w:val="0"/>
              <w:color w:val="FFFFFF"/>
              <w:sz w:val="28"/>
              <w:szCs w:val="28"/>
            </w:rPr>
            <w:t xml:space="preserve">Hinweise zur </w:t>
          </w:r>
          <w:proofErr w:type="spellStart"/>
          <w:r w:rsidRPr="000461AA">
            <w:rPr>
              <w:rStyle w:val="Hervorhebung"/>
              <w:rFonts w:ascii="Calibri" w:hAnsi="Calibri" w:cs="Arial"/>
              <w:b/>
              <w:i w:val="0"/>
              <w:color w:val="FFFFFF"/>
              <w:sz w:val="28"/>
              <w:szCs w:val="28"/>
            </w:rPr>
            <w:t>Primärprobennahme</w:t>
          </w:r>
          <w:proofErr w:type="spellEnd"/>
          <w:r w:rsidRPr="000461AA">
            <w:rPr>
              <w:rStyle w:val="Hervorhebung"/>
              <w:rFonts w:ascii="Calibri" w:hAnsi="Calibri" w:cs="Arial"/>
              <w:b/>
              <w:i w:val="0"/>
              <w:color w:val="FFFFFF"/>
              <w:sz w:val="28"/>
              <w:szCs w:val="28"/>
            </w:rPr>
            <w:t xml:space="preserve">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461AA" w:rsidRPr="000461AA" w:rsidRDefault="000461AA" w:rsidP="00994B42">
          <w:pPr>
            <w:pStyle w:val="TableContents"/>
            <w:rPr>
              <w:rStyle w:val="Hervorhebung"/>
              <w:rFonts w:ascii="Calibri" w:hAnsi="Calibri" w:cs="Arial"/>
              <w:i w:val="0"/>
              <w:sz w:val="28"/>
              <w:szCs w:val="28"/>
            </w:rPr>
          </w:pPr>
          <w:r w:rsidRPr="000461AA">
            <w:rPr>
              <w:rStyle w:val="Hervorhebung"/>
              <w:rFonts w:ascii="Calibri" w:hAnsi="Calibri" w:cs="Arial"/>
              <w:i w:val="0"/>
              <w:sz w:val="28"/>
              <w:szCs w:val="28"/>
            </w:rPr>
            <w:t>Leitung der Biobank XXX</w:t>
          </w:r>
        </w:p>
      </w:tc>
    </w:tr>
    <w:tr w:rsidR="000461AA" w:rsidRPr="000461AA" w:rsidTr="00994B42">
      <w:trPr>
        <w:trHeight w:val="1046"/>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i w:val="0"/>
              <w:sz w:val="28"/>
              <w:szCs w:val="28"/>
            </w:rPr>
          </w:pPr>
          <w:r w:rsidRPr="000461AA">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461AA" w:rsidRPr="000461AA" w:rsidRDefault="000461AA" w:rsidP="00994B42">
          <w:pPr>
            <w:rPr>
              <w:rStyle w:val="Hervorhebung"/>
              <w:rFonts w:ascii="Calibri" w:eastAsia="SimSun" w:hAnsi="Calibri" w:cs="Arial"/>
              <w:i w:val="0"/>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461AA" w:rsidRPr="000461AA" w:rsidRDefault="000461AA" w:rsidP="00994B42">
          <w:pPr>
            <w:pStyle w:val="TableContents"/>
            <w:jc w:val="center"/>
            <w:rPr>
              <w:rStyle w:val="Hervorhebung"/>
              <w:rFonts w:ascii="Calibri" w:hAnsi="Calibri" w:cs="Arial"/>
              <w:i w:val="0"/>
              <w:sz w:val="28"/>
              <w:szCs w:val="28"/>
            </w:rPr>
          </w:pPr>
          <w:r w:rsidRPr="000461AA">
            <w:rPr>
              <w:rStyle w:val="Hervorhebung"/>
              <w:rFonts w:ascii="Calibri" w:hAnsi="Calibri" w:cs="Arial"/>
              <w:i w:val="0"/>
              <w:sz w:val="28"/>
              <w:szCs w:val="28"/>
            </w:rPr>
            <w:t>Formblatt</w:t>
          </w:r>
        </w:p>
      </w:tc>
    </w:tr>
  </w:tbl>
  <w:p w:rsidR="000461AA" w:rsidRPr="008E1D79" w:rsidRDefault="000461AA"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AD505172"/>
    <w:lvl w:ilvl="0" w:tplc="04070001">
      <w:start w:val="1"/>
      <w:numFmt w:val="bullet"/>
      <w:lvlText w:val=""/>
      <w:lvlJc w:val="left"/>
      <w:pPr>
        <w:ind w:left="720" w:hanging="360"/>
      </w:pPr>
      <w:rPr>
        <w:rFonts w:ascii="Symbol" w:hAnsi="Symbol" w:hint="default"/>
        <w:color w:val="auto"/>
        <w:u w:color="E36C0A"/>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A06EF2"/>
    <w:multiLevelType w:val="hybridMultilevel"/>
    <w:tmpl w:val="3334B738"/>
    <w:lvl w:ilvl="0" w:tplc="76B6A978">
      <w:start w:val="1"/>
      <w:numFmt w:val="decimal"/>
      <w:lvlText w:val="5.%1."/>
      <w:lvlJc w:val="left"/>
      <w:pPr>
        <w:ind w:left="360" w:hanging="360"/>
      </w:pPr>
      <w:rPr>
        <w:rFonts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1" w15:restartNumberingAfterBreak="0">
    <w:nsid w:val="736F3F94"/>
    <w:multiLevelType w:val="multilevel"/>
    <w:tmpl w:val="34424B84"/>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21"/>
  </w:num>
  <w:num w:numId="6">
    <w:abstractNumId w:val="18"/>
  </w:num>
  <w:num w:numId="7">
    <w:abstractNumId w:val="23"/>
  </w:num>
  <w:num w:numId="8">
    <w:abstractNumId w:val="4"/>
  </w:num>
  <w:num w:numId="9">
    <w:abstractNumId w:val="13"/>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0"/>
  </w:num>
  <w:num w:numId="16">
    <w:abstractNumId w:val="2"/>
  </w:num>
  <w:num w:numId="17">
    <w:abstractNumId w:val="11"/>
  </w:num>
  <w:num w:numId="18">
    <w:abstractNumId w:val="1"/>
  </w:num>
  <w:num w:numId="19">
    <w:abstractNumId w:val="16"/>
  </w:num>
  <w:num w:numId="20">
    <w:abstractNumId w:val="21"/>
  </w:num>
  <w:num w:numId="21">
    <w:abstractNumId w:val="21"/>
  </w:num>
  <w:num w:numId="22">
    <w:abstractNumId w:val="21"/>
  </w:num>
  <w:num w:numId="23">
    <w:abstractNumId w:val="19"/>
  </w:num>
  <w:num w:numId="24">
    <w:abstractNumId w:val="21"/>
  </w:num>
  <w:num w:numId="25">
    <w:abstractNumId w:val="21"/>
  </w:num>
  <w:num w:numId="26">
    <w:abstractNumId w:val="21"/>
  </w:num>
  <w:num w:numId="27">
    <w:abstractNumId w:val="7"/>
  </w:num>
  <w:num w:numId="28">
    <w:abstractNumId w:val="22"/>
  </w:num>
  <w:num w:numId="29">
    <w:abstractNumId w:val="10"/>
  </w:num>
  <w:num w:numId="30">
    <w:abstractNumId w:val="14"/>
  </w:num>
  <w:num w:numId="31">
    <w:abstractNumId w:val="21"/>
  </w:num>
  <w:num w:numId="32">
    <w:abstractNumId w:val="1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65BC"/>
    <w:rsid w:val="00023FB0"/>
    <w:rsid w:val="000244CB"/>
    <w:rsid w:val="0004551A"/>
    <w:rsid w:val="000461AA"/>
    <w:rsid w:val="00050E45"/>
    <w:rsid w:val="00086718"/>
    <w:rsid w:val="000A324E"/>
    <w:rsid w:val="000B5D9B"/>
    <w:rsid w:val="000D2CBE"/>
    <w:rsid w:val="000D36E8"/>
    <w:rsid w:val="000E17FA"/>
    <w:rsid w:val="000F7D50"/>
    <w:rsid w:val="001267E1"/>
    <w:rsid w:val="001277E4"/>
    <w:rsid w:val="0016740B"/>
    <w:rsid w:val="00177EF5"/>
    <w:rsid w:val="0021681D"/>
    <w:rsid w:val="00225BA3"/>
    <w:rsid w:val="002550CB"/>
    <w:rsid w:val="002711B6"/>
    <w:rsid w:val="002726DD"/>
    <w:rsid w:val="00291DA7"/>
    <w:rsid w:val="002B3913"/>
    <w:rsid w:val="002C1DDA"/>
    <w:rsid w:val="002C7B69"/>
    <w:rsid w:val="002C7DE3"/>
    <w:rsid w:val="002E0F75"/>
    <w:rsid w:val="00317AF1"/>
    <w:rsid w:val="00330257"/>
    <w:rsid w:val="00341CEE"/>
    <w:rsid w:val="00367F4C"/>
    <w:rsid w:val="00372AA9"/>
    <w:rsid w:val="00384977"/>
    <w:rsid w:val="00387E2F"/>
    <w:rsid w:val="003A1E9B"/>
    <w:rsid w:val="003A3744"/>
    <w:rsid w:val="003C5ACA"/>
    <w:rsid w:val="003D0A7E"/>
    <w:rsid w:val="003D3AE1"/>
    <w:rsid w:val="00435876"/>
    <w:rsid w:val="0044343D"/>
    <w:rsid w:val="00467C0A"/>
    <w:rsid w:val="00475478"/>
    <w:rsid w:val="004B240A"/>
    <w:rsid w:val="004C6996"/>
    <w:rsid w:val="004F1119"/>
    <w:rsid w:val="005049A1"/>
    <w:rsid w:val="00505BF9"/>
    <w:rsid w:val="00506921"/>
    <w:rsid w:val="00515497"/>
    <w:rsid w:val="00524CE5"/>
    <w:rsid w:val="005260AB"/>
    <w:rsid w:val="0053658F"/>
    <w:rsid w:val="00580CFA"/>
    <w:rsid w:val="005A5E71"/>
    <w:rsid w:val="005B60B9"/>
    <w:rsid w:val="005B7322"/>
    <w:rsid w:val="005C0BB3"/>
    <w:rsid w:val="005C3769"/>
    <w:rsid w:val="005D3A17"/>
    <w:rsid w:val="005D75EC"/>
    <w:rsid w:val="005E2342"/>
    <w:rsid w:val="00627783"/>
    <w:rsid w:val="006307A8"/>
    <w:rsid w:val="00652B7E"/>
    <w:rsid w:val="00657F17"/>
    <w:rsid w:val="00661022"/>
    <w:rsid w:val="006712E2"/>
    <w:rsid w:val="00675871"/>
    <w:rsid w:val="00675FDF"/>
    <w:rsid w:val="00690DE7"/>
    <w:rsid w:val="00697C86"/>
    <w:rsid w:val="006A1B8C"/>
    <w:rsid w:val="007029E9"/>
    <w:rsid w:val="00704900"/>
    <w:rsid w:val="00704FA9"/>
    <w:rsid w:val="00712824"/>
    <w:rsid w:val="00737116"/>
    <w:rsid w:val="00745448"/>
    <w:rsid w:val="00765BDE"/>
    <w:rsid w:val="00785DB6"/>
    <w:rsid w:val="007B43D3"/>
    <w:rsid w:val="007D099F"/>
    <w:rsid w:val="007D6F14"/>
    <w:rsid w:val="007F488D"/>
    <w:rsid w:val="008020AD"/>
    <w:rsid w:val="008055F3"/>
    <w:rsid w:val="00815EF6"/>
    <w:rsid w:val="00826869"/>
    <w:rsid w:val="0083212B"/>
    <w:rsid w:val="00842F36"/>
    <w:rsid w:val="008445CC"/>
    <w:rsid w:val="0085657D"/>
    <w:rsid w:val="00896E6D"/>
    <w:rsid w:val="008A7CEB"/>
    <w:rsid w:val="008D089A"/>
    <w:rsid w:val="008D36B4"/>
    <w:rsid w:val="008E1D79"/>
    <w:rsid w:val="008F1B83"/>
    <w:rsid w:val="008F578A"/>
    <w:rsid w:val="009016B2"/>
    <w:rsid w:val="00905ABF"/>
    <w:rsid w:val="00907226"/>
    <w:rsid w:val="009121F3"/>
    <w:rsid w:val="009149FF"/>
    <w:rsid w:val="0092203E"/>
    <w:rsid w:val="009226DD"/>
    <w:rsid w:val="009242C0"/>
    <w:rsid w:val="009326BE"/>
    <w:rsid w:val="00941F0B"/>
    <w:rsid w:val="00947F42"/>
    <w:rsid w:val="0095068C"/>
    <w:rsid w:val="00965540"/>
    <w:rsid w:val="00971025"/>
    <w:rsid w:val="009A0789"/>
    <w:rsid w:val="009A4838"/>
    <w:rsid w:val="009A7F94"/>
    <w:rsid w:val="009F09B4"/>
    <w:rsid w:val="00A02287"/>
    <w:rsid w:val="00A11823"/>
    <w:rsid w:val="00A27686"/>
    <w:rsid w:val="00A31553"/>
    <w:rsid w:val="00A35581"/>
    <w:rsid w:val="00A41FE6"/>
    <w:rsid w:val="00A47231"/>
    <w:rsid w:val="00A572CD"/>
    <w:rsid w:val="00A728AC"/>
    <w:rsid w:val="00A773F7"/>
    <w:rsid w:val="00A91D27"/>
    <w:rsid w:val="00AC1045"/>
    <w:rsid w:val="00AC5F5F"/>
    <w:rsid w:val="00AD167C"/>
    <w:rsid w:val="00AD3C8D"/>
    <w:rsid w:val="00AD4A35"/>
    <w:rsid w:val="00B012F9"/>
    <w:rsid w:val="00B460D0"/>
    <w:rsid w:val="00B665CE"/>
    <w:rsid w:val="00B765ED"/>
    <w:rsid w:val="00B76EF0"/>
    <w:rsid w:val="00B77F64"/>
    <w:rsid w:val="00BB7B0F"/>
    <w:rsid w:val="00BD700E"/>
    <w:rsid w:val="00BF3D91"/>
    <w:rsid w:val="00C371A1"/>
    <w:rsid w:val="00C44031"/>
    <w:rsid w:val="00C63B1D"/>
    <w:rsid w:val="00C8117B"/>
    <w:rsid w:val="00C8188F"/>
    <w:rsid w:val="00C95D9F"/>
    <w:rsid w:val="00CA4622"/>
    <w:rsid w:val="00CB4A07"/>
    <w:rsid w:val="00CB4CC9"/>
    <w:rsid w:val="00CC1473"/>
    <w:rsid w:val="00CD47A7"/>
    <w:rsid w:val="00CE65A3"/>
    <w:rsid w:val="00D00B5F"/>
    <w:rsid w:val="00D67E32"/>
    <w:rsid w:val="00D91EBD"/>
    <w:rsid w:val="00DB1872"/>
    <w:rsid w:val="00DD7526"/>
    <w:rsid w:val="00DE5730"/>
    <w:rsid w:val="00E22CBD"/>
    <w:rsid w:val="00E57329"/>
    <w:rsid w:val="00E61A0F"/>
    <w:rsid w:val="00E85692"/>
    <w:rsid w:val="00EA7ACB"/>
    <w:rsid w:val="00EB2536"/>
    <w:rsid w:val="00EB51B1"/>
    <w:rsid w:val="00ED51DA"/>
    <w:rsid w:val="00F10F94"/>
    <w:rsid w:val="00F217C8"/>
    <w:rsid w:val="00F24BA3"/>
    <w:rsid w:val="00F26751"/>
    <w:rsid w:val="00F27F5E"/>
    <w:rsid w:val="00F30A07"/>
    <w:rsid w:val="00F360C7"/>
    <w:rsid w:val="00F410B9"/>
    <w:rsid w:val="00F47583"/>
    <w:rsid w:val="00F53807"/>
    <w:rsid w:val="00F64509"/>
    <w:rsid w:val="00F81AB7"/>
    <w:rsid w:val="00F83784"/>
    <w:rsid w:val="00F94DD7"/>
    <w:rsid w:val="00FA1FA4"/>
    <w:rsid w:val="00FA7ADE"/>
    <w:rsid w:val="00FC5740"/>
    <w:rsid w:val="00FC5ADF"/>
    <w:rsid w:val="00FF45F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93D81C"/>
  <w15:docId w15:val="{94A6D59C-B438-476D-B766-6CCC6624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rsid w:val="008D089A"/>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8D089A"/>
    <w:rPr>
      <w:rFonts w:ascii="Arial" w:hAnsi="Arial"/>
      <w:b/>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customStyle="1" w:styleId="TableContents">
    <w:name w:val="Table Contents"/>
    <w:basedOn w:val="Standard"/>
    <w:rsid w:val="00CD47A7"/>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244CB"/>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Listenabsatz">
    <w:name w:val="List Paragraph"/>
    <w:basedOn w:val="Standard"/>
    <w:uiPriority w:val="34"/>
    <w:qFormat/>
    <w:rsid w:val="002711B6"/>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nhideWhenUsed/>
    <w:rsid w:val="003C5ACA"/>
    <w:rPr>
      <w:sz w:val="16"/>
      <w:szCs w:val="16"/>
    </w:rPr>
  </w:style>
  <w:style w:type="paragraph" w:styleId="Kommentartext">
    <w:name w:val="annotation text"/>
    <w:basedOn w:val="Standard"/>
    <w:link w:val="KommentartextZchn"/>
    <w:unhideWhenUsed/>
    <w:rsid w:val="003C5ACA"/>
  </w:style>
  <w:style w:type="character" w:customStyle="1" w:styleId="KommentartextZchn">
    <w:name w:val="Kommentartext Zchn"/>
    <w:link w:val="Kommentartext"/>
    <w:rsid w:val="003C5ACA"/>
    <w:rPr>
      <w:rFonts w:ascii="Arial" w:hAnsi="Arial"/>
    </w:rPr>
  </w:style>
  <w:style w:type="paragraph" w:styleId="Kommentarthema">
    <w:name w:val="annotation subject"/>
    <w:basedOn w:val="Kommentartext"/>
    <w:next w:val="Kommentartext"/>
    <w:link w:val="KommentarthemaZchn"/>
    <w:semiHidden/>
    <w:unhideWhenUsed/>
    <w:rsid w:val="003C5ACA"/>
    <w:rPr>
      <w:b/>
      <w:bCs/>
    </w:rPr>
  </w:style>
  <w:style w:type="character" w:customStyle="1" w:styleId="KommentarthemaZchn">
    <w:name w:val="Kommentarthema Zchn"/>
    <w:link w:val="Kommentarthema"/>
    <w:semiHidden/>
    <w:rsid w:val="003C5ACA"/>
    <w:rPr>
      <w:rFonts w:ascii="Arial" w:hAnsi="Arial"/>
      <w:b/>
      <w:bCs/>
    </w:rPr>
  </w:style>
  <w:style w:type="character" w:customStyle="1" w:styleId="spellingerror">
    <w:name w:val="spellingerror"/>
    <w:basedOn w:val="Absatz-Standardschriftart"/>
    <w:rsid w:val="00675871"/>
  </w:style>
  <w:style w:type="character" w:customStyle="1" w:styleId="normaltextrun">
    <w:name w:val="normaltextrun"/>
    <w:basedOn w:val="Absatz-Standardschriftart"/>
    <w:rsid w:val="00675871"/>
  </w:style>
  <w:style w:type="character" w:styleId="Zeilennummer">
    <w:name w:val="line number"/>
    <w:semiHidden/>
    <w:unhideWhenUsed/>
    <w:rsid w:val="00EB2536"/>
  </w:style>
  <w:style w:type="character" w:styleId="Hervorhebung">
    <w:name w:val="Emphasis"/>
    <w:qFormat/>
    <w:rsid w:val="005C0B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79028">
      <w:bodyDiv w:val="1"/>
      <w:marLeft w:val="0"/>
      <w:marRight w:val="0"/>
      <w:marTop w:val="0"/>
      <w:marBottom w:val="0"/>
      <w:divBdr>
        <w:top w:val="none" w:sz="0" w:space="0" w:color="auto"/>
        <w:left w:val="none" w:sz="0" w:space="0" w:color="auto"/>
        <w:bottom w:val="none" w:sz="0" w:space="0" w:color="auto"/>
        <w:right w:val="none" w:sz="0" w:space="0" w:color="auto"/>
      </w:divBdr>
    </w:div>
    <w:div w:id="841118991">
      <w:bodyDiv w:val="1"/>
      <w:marLeft w:val="0"/>
      <w:marRight w:val="0"/>
      <w:marTop w:val="0"/>
      <w:marBottom w:val="0"/>
      <w:divBdr>
        <w:top w:val="none" w:sz="0" w:space="0" w:color="auto"/>
        <w:left w:val="none" w:sz="0" w:space="0" w:color="auto"/>
        <w:bottom w:val="none" w:sz="0" w:space="0" w:color="auto"/>
        <w:right w:val="none" w:sz="0" w:space="0" w:color="auto"/>
      </w:divBdr>
    </w:div>
    <w:div w:id="1681351761">
      <w:bodyDiv w:val="1"/>
      <w:marLeft w:val="0"/>
      <w:marRight w:val="0"/>
      <w:marTop w:val="0"/>
      <w:marBottom w:val="0"/>
      <w:divBdr>
        <w:top w:val="none" w:sz="0" w:space="0" w:color="auto"/>
        <w:left w:val="none" w:sz="0" w:space="0" w:color="auto"/>
        <w:bottom w:val="none" w:sz="0" w:space="0" w:color="auto"/>
        <w:right w:val="none" w:sz="0" w:space="0" w:color="auto"/>
      </w:divBdr>
    </w:div>
    <w:div w:id="204000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5197A327-0144-4D94-89CF-E56745AD41BC}">
  <ds:schemaRefs>
    <ds:schemaRef ds:uri="http://schemas.openxmlformats.org/officeDocument/2006/bibliography"/>
  </ds:schemaRefs>
</ds:datastoreItem>
</file>

<file path=customXml/itemProps2.xml><?xml version="1.0" encoding="utf-8"?>
<ds:datastoreItem xmlns:ds="http://schemas.openxmlformats.org/officeDocument/2006/customXml" ds:itemID="{EBDF5895-9088-47EC-BC99-7BCC69C5F6D4}"/>
</file>

<file path=customXml/itemProps3.xml><?xml version="1.0" encoding="utf-8"?>
<ds:datastoreItem xmlns:ds="http://schemas.openxmlformats.org/officeDocument/2006/customXml" ds:itemID="{73A86DAE-C8AF-4FA8-A3C8-50DA201F5EEF}"/>
</file>

<file path=customXml/itemProps4.xml><?xml version="1.0" encoding="utf-8"?>
<ds:datastoreItem xmlns:ds="http://schemas.openxmlformats.org/officeDocument/2006/customXml" ds:itemID="{001955C8-C780-4B80-A9C0-42BDD586094A}"/>
</file>

<file path=docProps/app.xml><?xml version="1.0" encoding="utf-8"?>
<Properties xmlns="http://schemas.openxmlformats.org/officeDocument/2006/extended-properties" xmlns:vt="http://schemas.openxmlformats.org/officeDocument/2006/docPropsVTypes">
  <Template>Normal.dotm</Template>
  <TotalTime>0</TotalTime>
  <Pages>5</Pages>
  <Words>1058</Words>
  <Characters>6672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2</cp:revision>
  <cp:lastPrinted>2000-09-07T05:37:00Z</cp:lastPrinted>
  <dcterms:created xsi:type="dcterms:W3CDTF">2020-03-06T08:10:00Z</dcterms:created>
  <dcterms:modified xsi:type="dcterms:W3CDTF">2020-03-06T08:10:00Z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