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96688" w14:textId="77777777" w:rsidR="00E2380D" w:rsidRPr="005374A0" w:rsidRDefault="00E2380D" w:rsidP="00E2380D">
      <w:pPr>
        <w:spacing w:line="480" w:lineRule="auto"/>
        <w:jc w:val="both"/>
        <w:outlineLvl w:val="0"/>
      </w:pPr>
      <w:r w:rsidRPr="005374A0">
        <w:t>Jordan R. Cro</w:t>
      </w:r>
      <w:r>
        <w:t>y</w:t>
      </w:r>
      <w:r w:rsidRPr="005374A0">
        <w:t xml:space="preserve">, Jessica D. Pratt, Daniel Sheng, and </w:t>
      </w:r>
      <w:proofErr w:type="spellStart"/>
      <w:r w:rsidRPr="005374A0">
        <w:t>Kailen</w:t>
      </w:r>
      <w:proofErr w:type="spellEnd"/>
      <w:r w:rsidRPr="005374A0">
        <w:t xml:space="preserve"> A. Mooney</w:t>
      </w:r>
    </w:p>
    <w:p w14:paraId="2D0F60ED" w14:textId="77777777" w:rsidR="00E2380D" w:rsidRDefault="00E2380D" w:rsidP="00E2380D">
      <w:pPr>
        <w:spacing w:line="480" w:lineRule="auto"/>
        <w:jc w:val="both"/>
      </w:pPr>
      <w:r w:rsidRPr="00C55660">
        <w:t xml:space="preserve">Climatic displacement </w:t>
      </w:r>
      <w:r>
        <w:t>exacerbates the negative impact of</w:t>
      </w:r>
      <w:r w:rsidRPr="00C55660">
        <w:t xml:space="preserve"> drought </w:t>
      </w:r>
      <w:r>
        <w:t>on</w:t>
      </w:r>
      <w:r w:rsidRPr="00C55660">
        <w:t xml:space="preserve"> plant performance and associated arthropod </w:t>
      </w:r>
      <w:proofErr w:type="gramStart"/>
      <w:r w:rsidRPr="00C55660">
        <w:t>abundance</w:t>
      </w:r>
      <w:proofErr w:type="gramEnd"/>
    </w:p>
    <w:p w14:paraId="42061EC4" w14:textId="77777777" w:rsidR="00E2380D" w:rsidRDefault="00E2380D" w:rsidP="00E2380D">
      <w:pPr>
        <w:spacing w:line="480" w:lineRule="auto"/>
        <w:jc w:val="both"/>
        <w:rPr>
          <w:i/>
          <w:iCs/>
        </w:rPr>
      </w:pPr>
      <w:r>
        <w:rPr>
          <w:i/>
          <w:iCs/>
        </w:rPr>
        <w:t>Ecology</w:t>
      </w:r>
    </w:p>
    <w:p w14:paraId="7FD727A8" w14:textId="77777777" w:rsidR="00E2380D" w:rsidRDefault="00E2380D" w:rsidP="00E2380D">
      <w:pPr>
        <w:spacing w:after="160" w:line="259" w:lineRule="auto"/>
        <w:rPr>
          <w:i/>
          <w:iCs/>
        </w:rPr>
      </w:pPr>
      <w:r>
        <w:rPr>
          <w:i/>
          <w:iCs/>
        </w:rPr>
        <w:br w:type="page"/>
      </w:r>
    </w:p>
    <w:p w14:paraId="15997267" w14:textId="1092F566" w:rsidR="00E2380D" w:rsidRDefault="00E2380D" w:rsidP="00E2380D">
      <w:pPr>
        <w:spacing w:line="480" w:lineRule="auto"/>
        <w:rPr>
          <w:color w:val="000000" w:themeColor="text1"/>
        </w:rPr>
      </w:pPr>
      <w:r w:rsidRPr="006720F3">
        <w:rPr>
          <w:b/>
          <w:color w:val="000000" w:themeColor="text1"/>
        </w:rPr>
        <w:lastRenderedPageBreak/>
        <w:t xml:space="preserve">Appendix </w:t>
      </w:r>
      <w:r>
        <w:rPr>
          <w:b/>
          <w:color w:val="000000" w:themeColor="text1"/>
        </w:rPr>
        <w:t>S4</w:t>
      </w:r>
      <w:r w:rsidRPr="006720F3">
        <w:rPr>
          <w:color w:val="000000" w:themeColor="text1"/>
        </w:rPr>
        <w:t xml:space="preserve">: </w:t>
      </w:r>
      <w:r>
        <w:rPr>
          <w:color w:val="000000" w:themeColor="text1"/>
        </w:rPr>
        <w:t xml:space="preserve">Extraction methods and results for physical soil properties at each </w:t>
      </w:r>
      <w:r w:rsidRPr="00926E27">
        <w:rPr>
          <w:i/>
          <w:iCs/>
          <w:color w:val="000000" w:themeColor="text1"/>
        </w:rPr>
        <w:t>Artemisia californica</w:t>
      </w:r>
      <w:r>
        <w:rPr>
          <w:color w:val="000000" w:themeColor="text1"/>
        </w:rPr>
        <w:t xml:space="preserve"> source site. </w:t>
      </w:r>
    </w:p>
    <w:p w14:paraId="2C0193B0" w14:textId="6819C609" w:rsidR="00E2380D" w:rsidRDefault="00E2380D" w:rsidP="00E2380D">
      <w:pPr>
        <w:spacing w:line="480" w:lineRule="auto"/>
        <w:rPr>
          <w:color w:val="000000" w:themeColor="text1"/>
        </w:rPr>
      </w:pPr>
      <w:r w:rsidRPr="00E2380D">
        <w:rPr>
          <w:b/>
          <w:bCs/>
          <w:color w:val="000000" w:themeColor="text1"/>
        </w:rPr>
        <w:t xml:space="preserve">Table </w:t>
      </w:r>
      <w:r>
        <w:rPr>
          <w:b/>
          <w:bCs/>
          <w:color w:val="000000" w:themeColor="text1"/>
        </w:rPr>
        <w:t>S</w:t>
      </w:r>
      <w:r w:rsidRPr="00E2380D">
        <w:rPr>
          <w:b/>
          <w:bCs/>
          <w:color w:val="000000" w:themeColor="text1"/>
        </w:rPr>
        <w:t>1.</w:t>
      </w:r>
      <w:r>
        <w:rPr>
          <w:color w:val="000000" w:themeColor="text1"/>
        </w:rPr>
        <w:t xml:space="preserve"> List of nine soil properties extracted from the USDA NRCS SSURGO database, the variable name as listed in the “</w:t>
      </w:r>
      <w:proofErr w:type="spellStart"/>
      <w:r>
        <w:rPr>
          <w:color w:val="000000" w:themeColor="text1"/>
        </w:rPr>
        <w:t>chorizon</w:t>
      </w:r>
      <w:proofErr w:type="spellEnd"/>
      <w:r>
        <w:rPr>
          <w:color w:val="000000" w:themeColor="text1"/>
        </w:rPr>
        <w:t xml:space="preserve">” table, and the descriptions provided by the USDA. </w:t>
      </w:r>
    </w:p>
    <w:p w14:paraId="42756070" w14:textId="77777777" w:rsidR="00E2380D" w:rsidRPr="00866CF9" w:rsidRDefault="00E2380D" w:rsidP="00E2380D">
      <w:pPr>
        <w:spacing w:line="480" w:lineRule="auto"/>
        <w:rPr>
          <w:b/>
          <w:color w:val="000000" w:themeColor="text1"/>
        </w:rPr>
      </w:pPr>
    </w:p>
    <w:tbl>
      <w:tblPr>
        <w:tblStyle w:val="PlainTable5"/>
        <w:tblW w:w="9526" w:type="dxa"/>
        <w:tblLook w:val="04A0" w:firstRow="1" w:lastRow="0" w:firstColumn="1" w:lastColumn="0" w:noHBand="0" w:noVBand="1"/>
      </w:tblPr>
      <w:tblGrid>
        <w:gridCol w:w="1170"/>
        <w:gridCol w:w="1350"/>
        <w:gridCol w:w="7006"/>
      </w:tblGrid>
      <w:tr w:rsidR="00E2380D" w14:paraId="207F86E5" w14:textId="77777777" w:rsidTr="00C0406A">
        <w:trPr>
          <w:cnfStyle w:val="100000000000" w:firstRow="1" w:lastRow="0" w:firstColumn="0" w:lastColumn="0" w:oddVBand="0" w:evenVBand="0" w:oddHBand="0" w:evenHBand="0" w:firstRowFirstColumn="0" w:firstRowLastColumn="0" w:lastRowFirstColumn="0" w:lastRowLastColumn="0"/>
          <w:trHeight w:val="420"/>
        </w:trPr>
        <w:tc>
          <w:tcPr>
            <w:cnfStyle w:val="001000000100" w:firstRow="0" w:lastRow="0" w:firstColumn="1" w:lastColumn="0" w:oddVBand="0" w:evenVBand="0" w:oddHBand="0" w:evenHBand="0" w:firstRowFirstColumn="1" w:firstRowLastColumn="0" w:lastRowFirstColumn="0" w:lastRowLastColumn="0"/>
            <w:tcW w:w="1170" w:type="dxa"/>
          </w:tcPr>
          <w:p w14:paraId="3AC68806" w14:textId="77777777" w:rsidR="00E2380D" w:rsidRPr="00906B37" w:rsidRDefault="00E2380D" w:rsidP="00C0406A">
            <w:pPr>
              <w:rPr>
                <w:color w:val="000000" w:themeColor="text1"/>
                <w:sz w:val="18"/>
                <w:szCs w:val="18"/>
              </w:rPr>
            </w:pPr>
            <w:r w:rsidRPr="00906B37">
              <w:rPr>
                <w:color w:val="000000" w:themeColor="text1"/>
                <w:sz w:val="18"/>
                <w:szCs w:val="18"/>
              </w:rPr>
              <w:t>Abbreviation</w:t>
            </w:r>
          </w:p>
        </w:tc>
        <w:tc>
          <w:tcPr>
            <w:tcW w:w="1350" w:type="dxa"/>
          </w:tcPr>
          <w:p w14:paraId="6D5D2744" w14:textId="77777777" w:rsidR="00E2380D" w:rsidRPr="00906B37" w:rsidRDefault="00E2380D" w:rsidP="00C0406A">
            <w:pPr>
              <w:cnfStyle w:val="100000000000" w:firstRow="1" w:lastRow="0" w:firstColumn="0" w:lastColumn="0" w:oddVBand="0" w:evenVBand="0" w:oddHBand="0" w:evenHBand="0" w:firstRowFirstColumn="0" w:firstRowLastColumn="0" w:lastRowFirstColumn="0" w:lastRowLastColumn="0"/>
              <w:rPr>
                <w:color w:val="000000" w:themeColor="text1"/>
                <w:sz w:val="18"/>
                <w:szCs w:val="18"/>
              </w:rPr>
            </w:pPr>
            <w:r w:rsidRPr="00906B37">
              <w:rPr>
                <w:color w:val="000000" w:themeColor="text1"/>
                <w:sz w:val="18"/>
                <w:szCs w:val="18"/>
              </w:rPr>
              <w:t>SSURGO Variable Name</w:t>
            </w:r>
          </w:p>
        </w:tc>
        <w:tc>
          <w:tcPr>
            <w:tcW w:w="7006" w:type="dxa"/>
          </w:tcPr>
          <w:p w14:paraId="29B85AC8" w14:textId="77777777" w:rsidR="00E2380D" w:rsidRPr="00E461BC" w:rsidRDefault="00E2380D" w:rsidP="00C0406A">
            <w:pPr>
              <w:cnfStyle w:val="100000000000" w:firstRow="1" w:lastRow="0" w:firstColumn="0" w:lastColumn="0" w:oddVBand="0" w:evenVBand="0" w:oddHBand="0" w:evenHBand="0" w:firstRowFirstColumn="0" w:firstRowLastColumn="0" w:lastRowFirstColumn="0" w:lastRowLastColumn="0"/>
              <w:rPr>
                <w:color w:val="000000" w:themeColor="text1"/>
                <w:sz w:val="18"/>
                <w:szCs w:val="18"/>
                <w:vertAlign w:val="superscript"/>
              </w:rPr>
            </w:pPr>
            <w:r>
              <w:rPr>
                <w:color w:val="000000" w:themeColor="text1"/>
                <w:sz w:val="18"/>
                <w:szCs w:val="18"/>
              </w:rPr>
              <w:t>Variable d</w:t>
            </w:r>
            <w:r w:rsidRPr="00906B37">
              <w:rPr>
                <w:color w:val="000000" w:themeColor="text1"/>
                <w:sz w:val="18"/>
                <w:szCs w:val="18"/>
              </w:rPr>
              <w:t>escription</w:t>
            </w:r>
            <w:r>
              <w:rPr>
                <w:color w:val="000000" w:themeColor="text1"/>
                <w:sz w:val="18"/>
                <w:szCs w:val="18"/>
                <w:vertAlign w:val="superscript"/>
              </w:rPr>
              <w:t>†</w:t>
            </w:r>
          </w:p>
        </w:tc>
      </w:tr>
      <w:tr w:rsidR="00E2380D" w14:paraId="02397F32" w14:textId="77777777" w:rsidTr="00C0406A">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170" w:type="dxa"/>
          </w:tcPr>
          <w:p w14:paraId="5766C9AB" w14:textId="77777777" w:rsidR="00E2380D" w:rsidRPr="00906B37" w:rsidRDefault="00E2380D" w:rsidP="00C0406A">
            <w:pPr>
              <w:rPr>
                <w:b/>
                <w:bCs/>
                <w:color w:val="000000" w:themeColor="text1"/>
                <w:sz w:val="18"/>
                <w:szCs w:val="18"/>
              </w:rPr>
            </w:pPr>
            <w:r w:rsidRPr="00906B37">
              <w:rPr>
                <w:color w:val="000000" w:themeColor="text1"/>
                <w:sz w:val="18"/>
                <w:szCs w:val="18"/>
              </w:rPr>
              <w:t>Sand</w:t>
            </w:r>
          </w:p>
        </w:tc>
        <w:tc>
          <w:tcPr>
            <w:tcW w:w="1350" w:type="dxa"/>
          </w:tcPr>
          <w:p w14:paraId="1D539418" w14:textId="77777777" w:rsidR="00E2380D" w:rsidRPr="00E461BC"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vertAlign w:val="superscript"/>
              </w:rPr>
            </w:pPr>
            <w:proofErr w:type="spellStart"/>
            <w:r w:rsidRPr="00E461BC">
              <w:rPr>
                <w:color w:val="000000" w:themeColor="text1"/>
                <w:sz w:val="18"/>
                <w:szCs w:val="18"/>
              </w:rPr>
              <w:t>sandtotal_r</w:t>
            </w:r>
            <w:proofErr w:type="spellEnd"/>
            <w:r>
              <w:rPr>
                <w:color w:val="000000" w:themeColor="text1"/>
                <w:sz w:val="18"/>
                <w:szCs w:val="18"/>
                <w:vertAlign w:val="superscript"/>
              </w:rPr>
              <w:t>‡</w:t>
            </w:r>
          </w:p>
        </w:tc>
        <w:tc>
          <w:tcPr>
            <w:tcW w:w="7006" w:type="dxa"/>
          </w:tcPr>
          <w:p w14:paraId="2A651092" w14:textId="77777777" w:rsidR="00E2380D" w:rsidRPr="00906B37"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906B37">
              <w:rPr>
                <w:sz w:val="18"/>
                <w:szCs w:val="18"/>
              </w:rPr>
              <w:t>Mineral particles 0.05mm to 2.0mm in equivalent diameter as a weight percentage of the less than 2 mm fraction</w:t>
            </w:r>
          </w:p>
        </w:tc>
      </w:tr>
      <w:tr w:rsidR="00E2380D" w14:paraId="763E721F" w14:textId="77777777" w:rsidTr="00C0406A">
        <w:trPr>
          <w:trHeight w:val="420"/>
        </w:trPr>
        <w:tc>
          <w:tcPr>
            <w:cnfStyle w:val="001000000000" w:firstRow="0" w:lastRow="0" w:firstColumn="1" w:lastColumn="0" w:oddVBand="0" w:evenVBand="0" w:oddHBand="0" w:evenHBand="0" w:firstRowFirstColumn="0" w:firstRowLastColumn="0" w:lastRowFirstColumn="0" w:lastRowLastColumn="0"/>
            <w:tcW w:w="1170" w:type="dxa"/>
          </w:tcPr>
          <w:p w14:paraId="72D13F95" w14:textId="77777777" w:rsidR="00E2380D" w:rsidRPr="00906B37" w:rsidRDefault="00E2380D" w:rsidP="00C0406A">
            <w:pPr>
              <w:rPr>
                <w:b/>
                <w:bCs/>
                <w:color w:val="000000" w:themeColor="text1"/>
                <w:sz w:val="18"/>
                <w:szCs w:val="18"/>
              </w:rPr>
            </w:pPr>
            <w:r w:rsidRPr="00906B37">
              <w:rPr>
                <w:color w:val="000000" w:themeColor="text1"/>
                <w:sz w:val="18"/>
                <w:szCs w:val="18"/>
              </w:rPr>
              <w:t>Silt</w:t>
            </w:r>
          </w:p>
        </w:tc>
        <w:tc>
          <w:tcPr>
            <w:tcW w:w="1350" w:type="dxa"/>
          </w:tcPr>
          <w:p w14:paraId="60812D97" w14:textId="77777777" w:rsidR="00E2380D" w:rsidRPr="00E461BC"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proofErr w:type="spellStart"/>
            <w:r w:rsidRPr="00E461BC">
              <w:rPr>
                <w:color w:val="000000" w:themeColor="text1"/>
                <w:sz w:val="18"/>
                <w:szCs w:val="18"/>
              </w:rPr>
              <w:t>silttotal_r</w:t>
            </w:r>
            <w:proofErr w:type="spellEnd"/>
          </w:p>
        </w:tc>
        <w:tc>
          <w:tcPr>
            <w:tcW w:w="7006" w:type="dxa"/>
          </w:tcPr>
          <w:p w14:paraId="56BEF15D" w14:textId="77777777" w:rsidR="00E2380D" w:rsidRPr="00906B37"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906B37">
              <w:rPr>
                <w:sz w:val="18"/>
                <w:szCs w:val="18"/>
              </w:rPr>
              <w:t>Mineral particles 0.002 to 0.05mm in equivalent diameter as a weight percentage of the less than 2.0mm fraction</w:t>
            </w:r>
          </w:p>
        </w:tc>
      </w:tr>
      <w:tr w:rsidR="00E2380D" w14:paraId="50EE91A2" w14:textId="77777777" w:rsidTr="00C0406A">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170" w:type="dxa"/>
          </w:tcPr>
          <w:p w14:paraId="54ACFA55" w14:textId="77777777" w:rsidR="00E2380D" w:rsidRPr="00906B37" w:rsidRDefault="00E2380D" w:rsidP="00C0406A">
            <w:pPr>
              <w:rPr>
                <w:b/>
                <w:bCs/>
                <w:color w:val="000000" w:themeColor="text1"/>
                <w:sz w:val="18"/>
                <w:szCs w:val="18"/>
              </w:rPr>
            </w:pPr>
            <w:r w:rsidRPr="00906B37">
              <w:rPr>
                <w:color w:val="000000" w:themeColor="text1"/>
                <w:sz w:val="18"/>
                <w:szCs w:val="18"/>
              </w:rPr>
              <w:t>Clay</w:t>
            </w:r>
          </w:p>
        </w:tc>
        <w:tc>
          <w:tcPr>
            <w:tcW w:w="1350" w:type="dxa"/>
          </w:tcPr>
          <w:p w14:paraId="0B0C7E73" w14:textId="77777777" w:rsidR="00E2380D" w:rsidRPr="00E461BC"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proofErr w:type="spellStart"/>
            <w:r w:rsidRPr="00E461BC">
              <w:rPr>
                <w:color w:val="000000" w:themeColor="text1"/>
                <w:sz w:val="18"/>
                <w:szCs w:val="18"/>
              </w:rPr>
              <w:t>claytotal_r</w:t>
            </w:r>
            <w:proofErr w:type="spellEnd"/>
          </w:p>
        </w:tc>
        <w:tc>
          <w:tcPr>
            <w:tcW w:w="7006" w:type="dxa"/>
          </w:tcPr>
          <w:p w14:paraId="795BC702" w14:textId="77777777" w:rsidR="00E2380D" w:rsidRPr="00906B37"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906B37">
              <w:rPr>
                <w:sz w:val="18"/>
                <w:szCs w:val="18"/>
              </w:rPr>
              <w:t>Mineral particles less than 0.002mm in equivalent diameter as a weight percentage of the less than 2.0mm fraction</w:t>
            </w:r>
          </w:p>
        </w:tc>
      </w:tr>
      <w:tr w:rsidR="00E2380D" w14:paraId="4D8A7EF3" w14:textId="77777777" w:rsidTr="00C0406A">
        <w:trPr>
          <w:trHeight w:val="420"/>
        </w:trPr>
        <w:tc>
          <w:tcPr>
            <w:cnfStyle w:val="001000000000" w:firstRow="0" w:lastRow="0" w:firstColumn="1" w:lastColumn="0" w:oddVBand="0" w:evenVBand="0" w:oddHBand="0" w:evenHBand="0" w:firstRowFirstColumn="0" w:firstRowLastColumn="0" w:lastRowFirstColumn="0" w:lastRowLastColumn="0"/>
            <w:tcW w:w="1170" w:type="dxa"/>
          </w:tcPr>
          <w:p w14:paraId="6B55E212" w14:textId="77777777" w:rsidR="00E2380D" w:rsidRPr="00906B37" w:rsidRDefault="00E2380D" w:rsidP="00C0406A">
            <w:pPr>
              <w:rPr>
                <w:b/>
                <w:bCs/>
                <w:color w:val="000000" w:themeColor="text1"/>
                <w:sz w:val="18"/>
                <w:szCs w:val="18"/>
              </w:rPr>
            </w:pPr>
            <w:r w:rsidRPr="00906B37">
              <w:rPr>
                <w:color w:val="000000" w:themeColor="text1"/>
                <w:sz w:val="18"/>
                <w:szCs w:val="18"/>
              </w:rPr>
              <w:t>OM</w:t>
            </w:r>
          </w:p>
        </w:tc>
        <w:tc>
          <w:tcPr>
            <w:tcW w:w="1350" w:type="dxa"/>
          </w:tcPr>
          <w:p w14:paraId="58CEADCB" w14:textId="77777777" w:rsidR="00E2380D" w:rsidRPr="00E461BC"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proofErr w:type="spellStart"/>
            <w:r w:rsidRPr="00E461BC">
              <w:rPr>
                <w:color w:val="000000" w:themeColor="text1"/>
                <w:sz w:val="18"/>
                <w:szCs w:val="18"/>
              </w:rPr>
              <w:t>om_r</w:t>
            </w:r>
            <w:proofErr w:type="spellEnd"/>
          </w:p>
        </w:tc>
        <w:tc>
          <w:tcPr>
            <w:tcW w:w="7006" w:type="dxa"/>
          </w:tcPr>
          <w:p w14:paraId="0BEE3C43" w14:textId="77777777" w:rsidR="00E2380D" w:rsidRPr="00906B37"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906B37">
              <w:rPr>
                <w:sz w:val="18"/>
                <w:szCs w:val="18"/>
              </w:rPr>
              <w:t>The amount by weight of decomposed plant and animal residue expressed as a weight percentage of the less than 2 mm soil material</w:t>
            </w:r>
          </w:p>
        </w:tc>
      </w:tr>
      <w:tr w:rsidR="00E2380D" w14:paraId="2567ECE6" w14:textId="77777777" w:rsidTr="00C0406A">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170" w:type="dxa"/>
          </w:tcPr>
          <w:p w14:paraId="55351B59" w14:textId="77777777" w:rsidR="00E2380D" w:rsidRPr="00906B37" w:rsidRDefault="00E2380D" w:rsidP="00C0406A">
            <w:pPr>
              <w:rPr>
                <w:b/>
                <w:bCs/>
                <w:color w:val="000000" w:themeColor="text1"/>
                <w:sz w:val="18"/>
                <w:szCs w:val="18"/>
              </w:rPr>
            </w:pPr>
            <w:proofErr w:type="spellStart"/>
            <w:r w:rsidRPr="00906B37">
              <w:rPr>
                <w:color w:val="000000" w:themeColor="text1"/>
                <w:sz w:val="18"/>
                <w:szCs w:val="18"/>
              </w:rPr>
              <w:t>Ksat</w:t>
            </w:r>
            <w:proofErr w:type="spellEnd"/>
          </w:p>
        </w:tc>
        <w:tc>
          <w:tcPr>
            <w:tcW w:w="1350" w:type="dxa"/>
          </w:tcPr>
          <w:p w14:paraId="716714D3" w14:textId="77777777" w:rsidR="00E2380D" w:rsidRPr="00E461BC"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proofErr w:type="spellStart"/>
            <w:r w:rsidRPr="00E461BC">
              <w:rPr>
                <w:color w:val="000000" w:themeColor="text1"/>
                <w:sz w:val="18"/>
                <w:szCs w:val="18"/>
              </w:rPr>
              <w:t>ksat_r</w:t>
            </w:r>
            <w:proofErr w:type="spellEnd"/>
          </w:p>
        </w:tc>
        <w:tc>
          <w:tcPr>
            <w:tcW w:w="7006" w:type="dxa"/>
          </w:tcPr>
          <w:p w14:paraId="1A96C749" w14:textId="77777777" w:rsidR="00E2380D" w:rsidRPr="00906B37"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906B37">
              <w:rPr>
                <w:sz w:val="18"/>
                <w:szCs w:val="18"/>
              </w:rPr>
              <w:t>The amount of water that would move vertically through a unit area of saturated soil in unit time under unit hydraulic gradient</w:t>
            </w:r>
          </w:p>
        </w:tc>
      </w:tr>
      <w:tr w:rsidR="00E2380D" w14:paraId="091F778E" w14:textId="77777777" w:rsidTr="00C0406A">
        <w:trPr>
          <w:trHeight w:val="420"/>
        </w:trPr>
        <w:tc>
          <w:tcPr>
            <w:cnfStyle w:val="001000000000" w:firstRow="0" w:lastRow="0" w:firstColumn="1" w:lastColumn="0" w:oddVBand="0" w:evenVBand="0" w:oddHBand="0" w:evenHBand="0" w:firstRowFirstColumn="0" w:firstRowLastColumn="0" w:lastRowFirstColumn="0" w:lastRowLastColumn="0"/>
            <w:tcW w:w="1170" w:type="dxa"/>
          </w:tcPr>
          <w:p w14:paraId="1EF801EF" w14:textId="77777777" w:rsidR="00E2380D" w:rsidRPr="00906B37" w:rsidRDefault="00E2380D" w:rsidP="00C0406A">
            <w:pPr>
              <w:rPr>
                <w:b/>
                <w:bCs/>
                <w:color w:val="000000" w:themeColor="text1"/>
                <w:sz w:val="18"/>
                <w:szCs w:val="18"/>
              </w:rPr>
            </w:pPr>
            <w:r w:rsidRPr="00906B37">
              <w:rPr>
                <w:color w:val="000000" w:themeColor="text1"/>
                <w:sz w:val="18"/>
                <w:szCs w:val="18"/>
              </w:rPr>
              <w:t>K</w:t>
            </w:r>
          </w:p>
        </w:tc>
        <w:tc>
          <w:tcPr>
            <w:tcW w:w="1350" w:type="dxa"/>
          </w:tcPr>
          <w:p w14:paraId="2B6EE127" w14:textId="77777777" w:rsidR="00E2380D" w:rsidRPr="00E461BC"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proofErr w:type="spellStart"/>
            <w:r w:rsidRPr="00E461BC">
              <w:rPr>
                <w:color w:val="000000" w:themeColor="text1"/>
                <w:sz w:val="18"/>
                <w:szCs w:val="18"/>
              </w:rPr>
              <w:t>kffact</w:t>
            </w:r>
            <w:proofErr w:type="spellEnd"/>
          </w:p>
        </w:tc>
        <w:tc>
          <w:tcPr>
            <w:tcW w:w="7006" w:type="dxa"/>
          </w:tcPr>
          <w:p w14:paraId="57C058E7" w14:textId="77777777" w:rsidR="00E2380D" w:rsidRPr="00906B37"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906B37">
              <w:rPr>
                <w:sz w:val="18"/>
                <w:szCs w:val="18"/>
              </w:rPr>
              <w:t>An erodibility factor which quantifies the susceptibility of soil particles to detachment by water</w:t>
            </w:r>
          </w:p>
        </w:tc>
      </w:tr>
      <w:tr w:rsidR="00E2380D" w14:paraId="738D1874" w14:textId="77777777" w:rsidTr="00C0406A">
        <w:trPr>
          <w:cnfStyle w:val="000000100000" w:firstRow="0" w:lastRow="0" w:firstColumn="0" w:lastColumn="0" w:oddVBand="0" w:evenVBand="0" w:oddHBand="1" w:evenHBand="0"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1170" w:type="dxa"/>
          </w:tcPr>
          <w:p w14:paraId="173A29B4" w14:textId="77777777" w:rsidR="00E2380D" w:rsidRPr="00906B37" w:rsidRDefault="00E2380D" w:rsidP="00C0406A">
            <w:pPr>
              <w:rPr>
                <w:b/>
                <w:bCs/>
                <w:color w:val="000000" w:themeColor="text1"/>
                <w:sz w:val="18"/>
                <w:szCs w:val="18"/>
              </w:rPr>
            </w:pPr>
            <w:r w:rsidRPr="00906B37">
              <w:rPr>
                <w:color w:val="000000" w:themeColor="text1"/>
                <w:sz w:val="18"/>
                <w:szCs w:val="18"/>
              </w:rPr>
              <w:t>CEC</w:t>
            </w:r>
          </w:p>
        </w:tc>
        <w:tc>
          <w:tcPr>
            <w:tcW w:w="1350" w:type="dxa"/>
          </w:tcPr>
          <w:p w14:paraId="2D5E8AD3" w14:textId="77777777" w:rsidR="00E2380D" w:rsidRPr="00E461BC"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E461BC">
              <w:rPr>
                <w:color w:val="000000" w:themeColor="text1"/>
                <w:sz w:val="18"/>
                <w:szCs w:val="18"/>
              </w:rPr>
              <w:t>cec7_r</w:t>
            </w:r>
          </w:p>
        </w:tc>
        <w:tc>
          <w:tcPr>
            <w:tcW w:w="7006" w:type="dxa"/>
          </w:tcPr>
          <w:p w14:paraId="1F008F7B" w14:textId="77777777" w:rsidR="00E2380D" w:rsidRPr="00906B37"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906B37">
              <w:rPr>
                <w:sz w:val="18"/>
                <w:szCs w:val="18"/>
              </w:rPr>
              <w:t>The amount of readily exchangeable cations that can be electrically adsorbed to negative charges in the soil, soil constituent, or other material, at pH 7.0, as estimated by the ammonium acetate method</w:t>
            </w:r>
          </w:p>
        </w:tc>
      </w:tr>
      <w:tr w:rsidR="00E2380D" w14:paraId="4BD7EC30" w14:textId="77777777" w:rsidTr="00C0406A">
        <w:trPr>
          <w:trHeight w:val="840"/>
        </w:trPr>
        <w:tc>
          <w:tcPr>
            <w:cnfStyle w:val="001000000000" w:firstRow="0" w:lastRow="0" w:firstColumn="1" w:lastColumn="0" w:oddVBand="0" w:evenVBand="0" w:oddHBand="0" w:evenHBand="0" w:firstRowFirstColumn="0" w:firstRowLastColumn="0" w:lastRowFirstColumn="0" w:lastRowLastColumn="0"/>
            <w:tcW w:w="1170" w:type="dxa"/>
          </w:tcPr>
          <w:p w14:paraId="06F011E1" w14:textId="77777777" w:rsidR="00E2380D" w:rsidRPr="00906B37" w:rsidRDefault="00E2380D" w:rsidP="00C0406A">
            <w:pPr>
              <w:rPr>
                <w:b/>
                <w:bCs/>
                <w:sz w:val="18"/>
                <w:szCs w:val="18"/>
              </w:rPr>
            </w:pPr>
            <w:r w:rsidRPr="00906B37">
              <w:rPr>
                <w:color w:val="000000" w:themeColor="text1"/>
                <w:sz w:val="18"/>
                <w:szCs w:val="18"/>
              </w:rPr>
              <w:t>pH</w:t>
            </w:r>
          </w:p>
        </w:tc>
        <w:tc>
          <w:tcPr>
            <w:tcW w:w="1350" w:type="dxa"/>
          </w:tcPr>
          <w:p w14:paraId="42EAA268" w14:textId="77777777" w:rsidR="00E2380D" w:rsidRPr="00E461BC"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E461BC">
              <w:rPr>
                <w:sz w:val="18"/>
                <w:szCs w:val="18"/>
              </w:rPr>
              <w:t>ph01mcacl2_r</w:t>
            </w:r>
          </w:p>
        </w:tc>
        <w:tc>
          <w:tcPr>
            <w:tcW w:w="7006" w:type="dxa"/>
          </w:tcPr>
          <w:p w14:paraId="3E653610" w14:textId="77777777" w:rsidR="00E2380D" w:rsidRPr="00906B37" w:rsidRDefault="00E2380D" w:rsidP="00C0406A">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906B37">
              <w:rPr>
                <w:sz w:val="18"/>
                <w:szCs w:val="18"/>
              </w:rPr>
              <w:t xml:space="preserve">The negative logarithm to base of 10 or the hydrogen ion activity in the soil, using the 0.01M CaCl2 method, in a 1:2 </w:t>
            </w:r>
            <w:proofErr w:type="spellStart"/>
            <w:r w:rsidRPr="00906B37">
              <w:rPr>
                <w:sz w:val="18"/>
                <w:szCs w:val="18"/>
              </w:rPr>
              <w:t>soil:solution</w:t>
            </w:r>
            <w:proofErr w:type="spellEnd"/>
            <w:r w:rsidRPr="00906B37">
              <w:rPr>
                <w:sz w:val="18"/>
                <w:szCs w:val="18"/>
              </w:rPr>
              <w:t xml:space="preserve"> ratio. A numerical expression of the relative acidity or alkalinity of a soil sample. (SSM)</w:t>
            </w:r>
          </w:p>
        </w:tc>
      </w:tr>
      <w:tr w:rsidR="00E2380D" w14:paraId="1C01AAC6" w14:textId="77777777" w:rsidTr="00C0406A">
        <w:trPr>
          <w:cnfStyle w:val="000000100000" w:firstRow="0" w:lastRow="0" w:firstColumn="0" w:lastColumn="0" w:oddVBand="0" w:evenVBand="0" w:oddHBand="1" w:evenHBand="0" w:firstRowFirstColumn="0" w:firstRowLastColumn="0" w:lastRowFirstColumn="0" w:lastRowLastColumn="0"/>
          <w:trHeight w:val="1262"/>
        </w:trPr>
        <w:tc>
          <w:tcPr>
            <w:cnfStyle w:val="001000000000" w:firstRow="0" w:lastRow="0" w:firstColumn="1" w:lastColumn="0" w:oddVBand="0" w:evenVBand="0" w:oddHBand="0" w:evenHBand="0" w:firstRowFirstColumn="0" w:firstRowLastColumn="0" w:lastRowFirstColumn="0" w:lastRowLastColumn="0"/>
            <w:tcW w:w="1170" w:type="dxa"/>
          </w:tcPr>
          <w:p w14:paraId="358CC840" w14:textId="77777777" w:rsidR="00E2380D" w:rsidRPr="00906B37" w:rsidRDefault="00E2380D" w:rsidP="00C0406A">
            <w:pPr>
              <w:rPr>
                <w:b/>
                <w:bCs/>
                <w:sz w:val="18"/>
                <w:szCs w:val="18"/>
              </w:rPr>
            </w:pPr>
            <w:r w:rsidRPr="00906B37">
              <w:rPr>
                <w:color w:val="000000" w:themeColor="text1"/>
                <w:sz w:val="18"/>
                <w:szCs w:val="18"/>
              </w:rPr>
              <w:t>AWC</w:t>
            </w:r>
          </w:p>
        </w:tc>
        <w:tc>
          <w:tcPr>
            <w:tcW w:w="1350" w:type="dxa"/>
          </w:tcPr>
          <w:p w14:paraId="74EB1EC8" w14:textId="77777777" w:rsidR="00E2380D" w:rsidRPr="00E461BC" w:rsidRDefault="00E2380D" w:rsidP="00C0406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proofErr w:type="spellStart"/>
            <w:r w:rsidRPr="00E461BC">
              <w:rPr>
                <w:sz w:val="18"/>
                <w:szCs w:val="18"/>
              </w:rPr>
              <w:t>awc_r</w:t>
            </w:r>
            <w:proofErr w:type="spellEnd"/>
          </w:p>
        </w:tc>
        <w:tc>
          <w:tcPr>
            <w:tcW w:w="7006" w:type="dxa"/>
          </w:tcPr>
          <w:p w14:paraId="7B08CF32" w14:textId="77777777" w:rsidR="00E2380D" w:rsidRPr="00906B37" w:rsidRDefault="00E2380D" w:rsidP="00C0406A">
            <w:pPr>
              <w:keepNext/>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906B37">
              <w:rPr>
                <w:sz w:val="18"/>
                <w:szCs w:val="18"/>
              </w:rPr>
              <w:t xml:space="preserve">The amount of water that an increment of soil depth, inclusive of fragments, can store that is available to plants. AWC is expressed as a volume </w:t>
            </w:r>
            <w:proofErr w:type="gramStart"/>
            <w:r w:rsidRPr="00906B37">
              <w:rPr>
                <w:sz w:val="18"/>
                <w:szCs w:val="18"/>
              </w:rPr>
              <w:t>fraction, and</w:t>
            </w:r>
            <w:proofErr w:type="gramEnd"/>
            <w:r w:rsidRPr="00906B37">
              <w:rPr>
                <w:sz w:val="18"/>
                <w:szCs w:val="18"/>
              </w:rPr>
              <w:t xml:space="preserve"> is commonly estimated as the difference between the water contents at 1/10 or 1/3 bar (field capacity) and 15 bars (permanent wilting point) tension and adjusted for salinity, and fragments.</w:t>
            </w:r>
          </w:p>
        </w:tc>
      </w:tr>
    </w:tbl>
    <w:p w14:paraId="07014048" w14:textId="77777777" w:rsidR="00E2380D" w:rsidRDefault="00E2380D" w:rsidP="00E2380D">
      <w:pPr>
        <w:pStyle w:val="Caption"/>
        <w:rPr>
          <w:color w:val="000000" w:themeColor="text1"/>
        </w:rPr>
      </w:pPr>
      <w:r w:rsidRPr="005D69F4">
        <w:rPr>
          <w:color w:val="000000" w:themeColor="text1"/>
        </w:rPr>
        <w:t xml:space="preserve">† Variable descriptions from </w:t>
      </w:r>
      <w:r>
        <w:rPr>
          <w:color w:val="000000" w:themeColor="text1"/>
        </w:rPr>
        <w:t>the “</w:t>
      </w:r>
      <w:proofErr w:type="spellStart"/>
      <w:r>
        <w:rPr>
          <w:color w:val="000000" w:themeColor="text1"/>
        </w:rPr>
        <w:t>chorizon</w:t>
      </w:r>
      <w:proofErr w:type="spellEnd"/>
      <w:r>
        <w:rPr>
          <w:color w:val="000000" w:themeColor="text1"/>
        </w:rPr>
        <w:t xml:space="preserve">” table within </w:t>
      </w:r>
      <w:r w:rsidRPr="005D69F4">
        <w:rPr>
          <w:color w:val="000000" w:themeColor="text1"/>
        </w:rPr>
        <w:t xml:space="preserve">the USDA NRCS SSURGO database </w:t>
      </w:r>
      <w:r w:rsidRPr="005D69F4">
        <w:rPr>
          <w:color w:val="000000" w:themeColor="text1"/>
        </w:rPr>
        <w:fldChar w:fldCharType="begin"/>
      </w:r>
      <w:r w:rsidRPr="005D69F4">
        <w:rPr>
          <w:color w:val="000000" w:themeColor="text1"/>
        </w:rPr>
        <w:instrText xml:space="preserve"> ADDIN ZOTERO_ITEM CSL_CITATION {"citationID":"nwIjv62K","properties":{"formattedCitation":"(\\uc0\\u8220{}Soil Survey Geographic (SSURGO) Database\\uc0\\u8221{} n.d.)","plainCitation":"(“Soil Survey Geographic (SSURGO) Database” n.d.)","noteIndex":0},"citationItems":[{"id":4394,"uris":["http://zotero.org/users/6776010/items/6FIXFLY5"],"uri":["http://zotero.org/users/6776010/items/6FIXFLY5"],"itemData":{"id":4394,"type":"webpage","title":"Soil Survey Geographic (SSURGO) Database","URL":"https://sdmdataaccess.sc.egov.usda.gov/?referrer=Citation.htm-SSURGOLink","accessed":{"date-parts":[["2021",3,8]]}}}],"schema":"https://github.com/citation-style-language/schema/raw/master/csl-citation.json"} </w:instrText>
      </w:r>
      <w:r w:rsidRPr="005D69F4">
        <w:rPr>
          <w:color w:val="000000" w:themeColor="text1"/>
        </w:rPr>
        <w:fldChar w:fldCharType="separate"/>
      </w:r>
      <w:r w:rsidRPr="005D69F4">
        <w:rPr>
          <w:color w:val="000000" w:themeColor="text1"/>
          <w:szCs w:val="24"/>
        </w:rPr>
        <w:t>(“Soil Survey Geographic (SSURGO) Database” n.d.)</w:t>
      </w:r>
      <w:r w:rsidRPr="005D69F4">
        <w:rPr>
          <w:color w:val="000000" w:themeColor="text1"/>
        </w:rPr>
        <w:fldChar w:fldCharType="end"/>
      </w:r>
    </w:p>
    <w:p w14:paraId="560BAF2B" w14:textId="77777777" w:rsidR="00E2380D" w:rsidRPr="005D69F4" w:rsidRDefault="00E2380D" w:rsidP="00E2380D">
      <w:pPr>
        <w:pStyle w:val="Caption"/>
        <w:rPr>
          <w:color w:val="000000" w:themeColor="text1"/>
        </w:rPr>
      </w:pPr>
      <w:r w:rsidRPr="005D69F4">
        <w:rPr>
          <w:color w:val="000000" w:themeColor="text1"/>
        </w:rPr>
        <w:t>‡ r indicates that the values extracted were representative for the horizon.</w:t>
      </w:r>
    </w:p>
    <w:p w14:paraId="12D5362D" w14:textId="77777777" w:rsidR="00E2380D" w:rsidRPr="00B744D2" w:rsidRDefault="00E2380D" w:rsidP="00E2380D">
      <w:pPr>
        <w:rPr>
          <w:color w:val="000000" w:themeColor="text1"/>
        </w:rPr>
      </w:pPr>
    </w:p>
    <w:p w14:paraId="4F20F9F4" w14:textId="77777777" w:rsidR="00E2380D" w:rsidRDefault="00E2380D">
      <w:pPr>
        <w:spacing w:after="160" w:line="259" w:lineRule="auto"/>
        <w:rPr>
          <w:i/>
          <w:iCs/>
          <w:color w:val="000000" w:themeColor="text1"/>
        </w:rPr>
      </w:pPr>
      <w:r>
        <w:rPr>
          <w:i/>
          <w:iCs/>
          <w:color w:val="000000" w:themeColor="text1"/>
        </w:rPr>
        <w:br w:type="page"/>
      </w:r>
    </w:p>
    <w:p w14:paraId="3FCF2B26" w14:textId="0C505827" w:rsidR="00E2380D" w:rsidRPr="00E2380D" w:rsidRDefault="00E2380D" w:rsidP="00E2380D">
      <w:pPr>
        <w:rPr>
          <w:color w:val="000000" w:themeColor="text1"/>
        </w:rPr>
      </w:pPr>
      <w:r>
        <w:rPr>
          <w:b/>
          <w:bCs/>
          <w:color w:val="000000" w:themeColor="text1"/>
        </w:rPr>
        <w:lastRenderedPageBreak/>
        <w:t xml:space="preserve">Section S1. </w:t>
      </w:r>
      <w:r>
        <w:rPr>
          <w:color w:val="000000" w:themeColor="text1"/>
        </w:rPr>
        <w:t xml:space="preserve">Description of the methods for extracting soil characteristics from each </w:t>
      </w:r>
      <w:r>
        <w:rPr>
          <w:i/>
          <w:iCs/>
          <w:color w:val="000000" w:themeColor="text1"/>
        </w:rPr>
        <w:t xml:space="preserve">Artemisia californica </w:t>
      </w:r>
      <w:r>
        <w:rPr>
          <w:color w:val="000000" w:themeColor="text1"/>
        </w:rPr>
        <w:t>site.</w:t>
      </w:r>
    </w:p>
    <w:p w14:paraId="5532E827" w14:textId="77777777" w:rsidR="00E2380D" w:rsidRDefault="00E2380D" w:rsidP="00E2380D">
      <w:pPr>
        <w:rPr>
          <w:i/>
          <w:iCs/>
          <w:color w:val="000000" w:themeColor="text1"/>
        </w:rPr>
      </w:pPr>
    </w:p>
    <w:p w14:paraId="188C08A2" w14:textId="68F9E0D3" w:rsidR="00E2380D" w:rsidRDefault="00E2380D" w:rsidP="00E2380D">
      <w:pPr>
        <w:rPr>
          <w:i/>
          <w:iCs/>
          <w:color w:val="000000" w:themeColor="text1"/>
        </w:rPr>
      </w:pPr>
      <w:r>
        <w:rPr>
          <w:i/>
          <w:iCs/>
          <w:color w:val="000000" w:themeColor="text1"/>
        </w:rPr>
        <w:t>Methods</w:t>
      </w:r>
    </w:p>
    <w:p w14:paraId="4F33EFBD" w14:textId="2C44B2BA" w:rsidR="00E2380D" w:rsidRDefault="00E2380D" w:rsidP="00E2380D">
      <w:pPr>
        <w:rPr>
          <w:color w:val="000000" w:themeColor="text1"/>
        </w:rPr>
      </w:pPr>
      <w:r>
        <w:rPr>
          <w:color w:val="000000" w:themeColor="text1"/>
        </w:rPr>
        <w:t>Using the USDA NRCS SSURGO database, we extracted nine physical attributes thought to be relevant for plant performance. These attributes are listed in Table D1. Each population occurs within a distinct soil type called a map unit. Each map unit is comprised of various soil components (component units), and the proportion of each component unit varies depending on the map unit. Moreover, each component unit contains unique soil horizon data. Soil properties were specifically extracted from the “</w:t>
      </w:r>
      <w:proofErr w:type="spellStart"/>
      <w:r>
        <w:rPr>
          <w:color w:val="000000" w:themeColor="text1"/>
        </w:rPr>
        <w:t>chorizons</w:t>
      </w:r>
      <w:proofErr w:type="spellEnd"/>
      <w:r>
        <w:rPr>
          <w:color w:val="000000" w:themeColor="text1"/>
        </w:rPr>
        <w:t xml:space="preserve">” table within the SSURGO database. The </w:t>
      </w:r>
      <w:proofErr w:type="spellStart"/>
      <w:r>
        <w:rPr>
          <w:color w:val="000000" w:themeColor="text1"/>
        </w:rPr>
        <w:t>chorizons</w:t>
      </w:r>
      <w:proofErr w:type="spellEnd"/>
      <w:r>
        <w:rPr>
          <w:color w:val="000000" w:themeColor="text1"/>
        </w:rPr>
        <w:t xml:space="preserve"> table contains information on soil attributes at various soil depths, but because the majority of </w:t>
      </w:r>
      <w:r>
        <w:rPr>
          <w:i/>
          <w:iCs/>
          <w:color w:val="000000" w:themeColor="text1"/>
        </w:rPr>
        <w:t>A. californica</w:t>
      </w:r>
      <w:r>
        <w:rPr>
          <w:color w:val="000000" w:themeColor="text1"/>
        </w:rPr>
        <w:t xml:space="preserve"> roots are concentrated within the first 50 cm of soil </w:t>
      </w:r>
      <w:r>
        <w:rPr>
          <w:color w:val="000000" w:themeColor="text1"/>
        </w:rPr>
        <w:fldChar w:fldCharType="begin"/>
      </w:r>
      <w:r>
        <w:rPr>
          <w:color w:val="000000" w:themeColor="text1"/>
        </w:rPr>
        <w:instrText xml:space="preserve"> ADDIN ZOTERO_ITEM CSL_CITATION {"citationID":"awapC7WA","properties":{"formattedCitation":"(Goldstein and Suding 2014)","plainCitation":"(Goldstein and Suding 2014)","noteIndex":0},"citationItems":[{"id":4357,"uris":["http://zotero.org/users/6776010/items/LQSP8HC4"],"uri":["http://zotero.org/users/6776010/items/LQSP8HC4"],"itemData":{"id":4357,"type":"article-journal","abstract":"Despite widespread work documenting invasion, it remains a challenge to determine invasion mechanisms and incorporate them into invasive species management. Competition theory presents a strong model for evaluating the role of resource reduction and requirements in invasion. Additionally, alternative models suggest fluctuations in resources, niche differences, or non-resource priority effects are key factors determining invasion success. We propose a comparative framework that incorporates resource impacts of native and invasive species, performance in controlled invasion trials, and long-term natural invasion patterns to elucidate relative importance of these invasion mechanisms. To demonstrate this framework, we established monocultures of two representative native and two invasive plant species in Southern California’s coastal sage scrub (CSS), measured resource impacts (i.e., R*), and conducted invasion trials to test whether resource impacts predicted invasion success. We then related experimental results to field invasion patterns. Compared to exotic herbaceous species, native shrubs were associated with greater resource depletion of key resources: light, soil water (at multiple depths), and soil inorganic nitrogen (particularly at depth). In invasion trials, natives resisted invasion by the exotics, as resource depletion measures would predict. However, these results did not follow long-term natural invasion patterns indicating that these exotic species invade areas once dominated by native shrubland. Applying our results to the invasion framework, we conclude that disturbance, or a similar mechanism causing resources to fluctuate, is needed for exotics to invade CSS habitats. This resource-based comparative analysis of invasion mechanisms can point out important processes and help suggest effective management actions.","container-title":"Biological Invasions","DOI":"10.1007/s10530-013-0513-0","ISSN":"1573-1464","issue":"1","journalAbbreviation":"Biol Invasions","language":"en","page":"191-203","source":"Springer Link","title":"Applying competition theory to invasion: resource impacts indicate invasion mechanisms in California shrublands","title-short":"Applying competition theory to invasion","volume":"16","author":[{"family":"Goldstein","given":"Leah J."},{"family":"Suding","given":"Katharine N."}],"issued":{"date-parts":[["2014",1,1]]}}}],"schema":"https://github.com/citation-style-language/schema/raw/master/csl-citation.json"} </w:instrText>
      </w:r>
      <w:r>
        <w:rPr>
          <w:color w:val="000000" w:themeColor="text1"/>
        </w:rPr>
        <w:fldChar w:fldCharType="separate"/>
      </w:r>
      <w:r w:rsidRPr="009924F5">
        <w:t xml:space="preserve">(Goldstein and </w:t>
      </w:r>
      <w:proofErr w:type="spellStart"/>
      <w:r w:rsidRPr="009924F5">
        <w:t>Suding</w:t>
      </w:r>
      <w:proofErr w:type="spellEnd"/>
      <w:r w:rsidRPr="009924F5">
        <w:t xml:space="preserve"> 2014)</w:t>
      </w:r>
      <w:r>
        <w:rPr>
          <w:color w:val="000000" w:themeColor="text1"/>
        </w:rPr>
        <w:fldChar w:fldCharType="end"/>
      </w:r>
      <w:r>
        <w:rPr>
          <w:color w:val="000000" w:themeColor="text1"/>
        </w:rPr>
        <w:t xml:space="preserve">, we computed weighted means for each of the nine attributes by soil depth. For instance, if the first soil layer depth </w:t>
      </w:r>
      <w:proofErr w:type="gramStart"/>
      <w:r>
        <w:rPr>
          <w:color w:val="000000" w:themeColor="text1"/>
        </w:rPr>
        <w:t>was</w:t>
      </w:r>
      <w:proofErr w:type="gramEnd"/>
      <w:r>
        <w:rPr>
          <w:color w:val="000000" w:themeColor="text1"/>
        </w:rPr>
        <w:t xml:space="preserve"> 30 cm and the second 20 cm, the attributes would be weighted accordingly. Next, to account for the varying amounts of component units within a map unit, we computed another weighted mean of the nine attributes weighted by component unit percentage. We were able to extract soil properties for 17 sites, and these results are plotted in Figure </w:t>
      </w:r>
      <w:r>
        <w:rPr>
          <w:color w:val="000000" w:themeColor="text1"/>
        </w:rPr>
        <w:t>S</w:t>
      </w:r>
      <w:r>
        <w:rPr>
          <w:color w:val="000000" w:themeColor="text1"/>
        </w:rPr>
        <w:t xml:space="preserve">1. </w:t>
      </w:r>
    </w:p>
    <w:p w14:paraId="16810B0A" w14:textId="328E88E5" w:rsidR="00E2380D" w:rsidRPr="00E2380D" w:rsidRDefault="00E2380D" w:rsidP="00E2380D">
      <w:pPr>
        <w:spacing w:after="160" w:line="259" w:lineRule="auto"/>
        <w:rPr>
          <w:color w:val="000000" w:themeColor="text1"/>
        </w:rPr>
      </w:pPr>
      <w:r>
        <w:rPr>
          <w:color w:val="000000" w:themeColor="text1"/>
        </w:rPr>
        <w:br w:type="page"/>
      </w:r>
      <w:r w:rsidRPr="00B36CBE">
        <w:rPr>
          <w:noProof/>
        </w:rPr>
        <w:lastRenderedPageBreak/>
        <w:drawing>
          <wp:inline distT="0" distB="0" distL="0" distR="0" wp14:anchorId="349A5B89" wp14:editId="20B67867">
            <wp:extent cx="5943600" cy="3396615"/>
            <wp:effectExtent l="0" t="0" r="0" b="0"/>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3396615"/>
                    </a:xfrm>
                    <a:prstGeom prst="rect">
                      <a:avLst/>
                    </a:prstGeom>
                  </pic:spPr>
                </pic:pic>
              </a:graphicData>
            </a:graphic>
          </wp:inline>
        </w:drawing>
      </w:r>
    </w:p>
    <w:p w14:paraId="6F914F41" w14:textId="5688577D" w:rsidR="00E2380D" w:rsidRPr="005D69F4" w:rsidRDefault="00E2380D" w:rsidP="00E2380D">
      <w:r w:rsidRPr="008B2062">
        <w:rPr>
          <w:b/>
          <w:bCs/>
          <w:color w:val="000000" w:themeColor="text1"/>
        </w:rPr>
        <w:t xml:space="preserve">Figure </w:t>
      </w:r>
      <w:r>
        <w:rPr>
          <w:b/>
          <w:bCs/>
          <w:color w:val="000000" w:themeColor="text1"/>
        </w:rPr>
        <w:t>S</w:t>
      </w:r>
      <w:r w:rsidRPr="008B2062">
        <w:rPr>
          <w:b/>
          <w:bCs/>
          <w:color w:val="000000" w:themeColor="text1"/>
        </w:rPr>
        <w:t xml:space="preserve">1.  </w:t>
      </w:r>
      <w:r>
        <w:rPr>
          <w:color w:val="000000" w:themeColor="text1"/>
        </w:rPr>
        <w:t xml:space="preserve">(left) Best fit line ± 95% C.I. for the relationship between the first principal component for soil properties (explaining 53.3% of total soil variation) across </w:t>
      </w:r>
      <w:r>
        <w:rPr>
          <w:i/>
          <w:iCs/>
          <w:color w:val="000000" w:themeColor="text1"/>
        </w:rPr>
        <w:t xml:space="preserve">Artemisia californica </w:t>
      </w:r>
      <w:r>
        <w:rPr>
          <w:color w:val="000000" w:themeColor="text1"/>
        </w:rPr>
        <w:t xml:space="preserve">population source sites and source site latitude. (right) PC loadings indicating how each of the nine individual soil properties load onto the first principal component. </w:t>
      </w:r>
    </w:p>
    <w:p w14:paraId="67D8C1D6" w14:textId="77777777" w:rsidR="00102198" w:rsidRDefault="00E2380D"/>
    <w:sectPr w:rsidR="00102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80D"/>
    <w:rsid w:val="00662CBC"/>
    <w:rsid w:val="00D16C87"/>
    <w:rsid w:val="00E23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A577C"/>
  <w15:chartTrackingRefBased/>
  <w15:docId w15:val="{3DAAB0BE-8F61-456C-9247-B208BC28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38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5">
    <w:name w:val="Plain Table 5"/>
    <w:basedOn w:val="TableNormal"/>
    <w:uiPriority w:val="45"/>
    <w:rsid w:val="00E2380D"/>
    <w:pPr>
      <w:spacing w:after="0" w:line="240" w:lineRule="auto"/>
    </w:pPr>
    <w:rPr>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iPriority w:val="35"/>
    <w:semiHidden/>
    <w:unhideWhenUsed/>
    <w:qFormat/>
    <w:rsid w:val="00E2380D"/>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1143</Words>
  <Characters>6517</Characters>
  <Application>Microsoft Office Word</Application>
  <DocSecurity>0</DocSecurity>
  <Lines>54</Lines>
  <Paragraphs>15</Paragraphs>
  <ScaleCrop>false</ScaleCrop>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Croy</dc:creator>
  <cp:keywords/>
  <dc:description/>
  <cp:lastModifiedBy>Jordan Croy</cp:lastModifiedBy>
  <cp:revision>1</cp:revision>
  <dcterms:created xsi:type="dcterms:W3CDTF">2021-03-27T06:16:00Z</dcterms:created>
  <dcterms:modified xsi:type="dcterms:W3CDTF">2021-03-27T06:21:00Z</dcterms:modified>
</cp:coreProperties>
</file>