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6207BE" w14:textId="77777777" w:rsidR="00E3394F" w:rsidRDefault="00E3394F"/>
    <w:p w14:paraId="713A02DC" w14:textId="7B3D4FE8" w:rsidR="00567964" w:rsidRDefault="00567964" w:rsidP="00567964">
      <w:pPr>
        <w:rPr>
          <w:b/>
          <w:bCs/>
        </w:rPr>
      </w:pPr>
      <w:proofErr w:type="gramStart"/>
      <w:r w:rsidRPr="64679782">
        <w:rPr>
          <w:b/>
          <w:bCs/>
        </w:rPr>
        <w:t>Spatially-explicit</w:t>
      </w:r>
      <w:proofErr w:type="gramEnd"/>
      <w:r w:rsidRPr="64679782">
        <w:rPr>
          <w:b/>
          <w:bCs/>
        </w:rPr>
        <w:t xml:space="preserve"> prediction of capacity density advances geographic characterization of wind power </w:t>
      </w:r>
      <w:r>
        <w:rPr>
          <w:b/>
          <w:bCs/>
        </w:rPr>
        <w:t>technical</w:t>
      </w:r>
      <w:r w:rsidRPr="64679782">
        <w:rPr>
          <w:b/>
          <w:bCs/>
        </w:rPr>
        <w:t xml:space="preserve"> potential</w:t>
      </w:r>
    </w:p>
    <w:p w14:paraId="7A2F5E87" w14:textId="77777777" w:rsidR="00C060E0" w:rsidRPr="00A142CF" w:rsidRDefault="00C060E0" w:rsidP="00567964">
      <w:pPr>
        <w:rPr>
          <w:b/>
          <w:bCs/>
        </w:rPr>
      </w:pPr>
    </w:p>
    <w:p w14:paraId="49CCD988" w14:textId="1F4812F7" w:rsidR="008E6650" w:rsidRDefault="008E6650" w:rsidP="008E6650">
      <w:pPr>
        <w:rPr>
          <w:color w:val="333333"/>
          <w:sz w:val="18"/>
          <w:szCs w:val="18"/>
        </w:rPr>
      </w:pPr>
    </w:p>
    <w:p w14:paraId="104DFE82" w14:textId="1B021F0B" w:rsidR="00C060E0" w:rsidRDefault="00C060E0" w:rsidP="00C060E0">
      <w:pPr>
        <w:rPr>
          <w:vertAlign w:val="superscript"/>
        </w:rPr>
      </w:pPr>
      <w:r>
        <w:t>Dylan Harrison-Atlas*</w:t>
      </w:r>
      <w:r>
        <w:rPr>
          <w:vertAlign w:val="superscript"/>
        </w:rPr>
        <w:t>1</w:t>
      </w:r>
      <w:r>
        <w:t>, Galen Maclaurin</w:t>
      </w:r>
      <w:r>
        <w:rPr>
          <w:vertAlign w:val="superscript"/>
        </w:rPr>
        <w:t>1</w:t>
      </w:r>
      <w:r>
        <w:t>, Eric Lantz</w:t>
      </w:r>
      <w:r>
        <w:rPr>
          <w:vertAlign w:val="superscript"/>
        </w:rPr>
        <w:t>1</w:t>
      </w:r>
    </w:p>
    <w:p w14:paraId="3B6DB81F" w14:textId="77777777" w:rsidR="00C060E0" w:rsidRDefault="00C060E0" w:rsidP="00C060E0"/>
    <w:p w14:paraId="1B296D49" w14:textId="77777777" w:rsidR="00C060E0" w:rsidRDefault="00C060E0" w:rsidP="00C060E0">
      <w:r>
        <w:rPr>
          <w:vertAlign w:val="superscript"/>
        </w:rPr>
        <w:t>1</w:t>
      </w:r>
      <w:r>
        <w:t>National Renewable Energy Laboratory, Colorado, USA</w:t>
      </w:r>
    </w:p>
    <w:p w14:paraId="2B0C4208" w14:textId="1F525BDE" w:rsidR="00C060E0" w:rsidRDefault="00C060E0" w:rsidP="008E6650">
      <w:pPr>
        <w:rPr>
          <w:color w:val="333333"/>
          <w:sz w:val="18"/>
          <w:szCs w:val="18"/>
        </w:rPr>
      </w:pPr>
    </w:p>
    <w:p w14:paraId="359B1F07" w14:textId="77777777" w:rsidR="00C060E0" w:rsidRDefault="00C060E0" w:rsidP="008E6650">
      <w:pPr>
        <w:rPr>
          <w:color w:val="333333"/>
          <w:sz w:val="18"/>
          <w:szCs w:val="18"/>
        </w:rPr>
      </w:pPr>
    </w:p>
    <w:p w14:paraId="36644628" w14:textId="4DC0D527" w:rsidR="00E3394F" w:rsidRDefault="00C060E0">
      <w:pPr>
        <w:rPr>
          <w:i/>
        </w:rPr>
      </w:pPr>
      <w:r>
        <w:rPr>
          <w:i/>
        </w:rPr>
        <w:t>Supporting Information</w:t>
      </w:r>
    </w:p>
    <w:p w14:paraId="5B072C31" w14:textId="406FDDC5" w:rsidR="00B3677E" w:rsidRDefault="00B3677E" w:rsidP="00B3677E">
      <w:pPr>
        <w:spacing w:line="480" w:lineRule="auto"/>
      </w:pPr>
    </w:p>
    <w:p w14:paraId="1E9B9A65" w14:textId="58A152E5" w:rsidR="00654B99" w:rsidRPr="00654B99" w:rsidRDefault="00654B99" w:rsidP="00B3677E">
      <w:pPr>
        <w:spacing w:line="480" w:lineRule="auto"/>
        <w:rPr>
          <w:u w:val="single"/>
        </w:rPr>
      </w:pPr>
      <w:r w:rsidRPr="00654B99">
        <w:rPr>
          <w:u w:val="single"/>
        </w:rPr>
        <w:t>Wind farm area characterization</w:t>
      </w:r>
      <w:bookmarkStart w:id="0" w:name="_GoBack"/>
      <w:bookmarkEnd w:id="0"/>
    </w:p>
    <w:p w14:paraId="68F8CC44" w14:textId="46DF01CE" w:rsidR="00B3677E" w:rsidRPr="00C46859" w:rsidRDefault="00B3677E" w:rsidP="00B3677E">
      <w:pPr>
        <w:spacing w:line="480" w:lineRule="auto"/>
      </w:pPr>
      <w:r>
        <w:t xml:space="preserve">In Figure </w:t>
      </w:r>
      <w:r w:rsidR="00883FA1">
        <w:t>S</w:t>
      </w:r>
      <w:r w:rsidR="006B180F">
        <w:t>-</w:t>
      </w:r>
      <w:r>
        <w:t xml:space="preserve">1, we present a spatial depiction of wind farm area and associated capacity density for two sample wind farms. </w:t>
      </w:r>
      <w:r w:rsidRPr="00415E5C">
        <w:t>Here we show core components of capacity density, using wind farms in distinctive landscapes to illustrate variation in turbine layouts</w:t>
      </w:r>
      <w:r>
        <w:t xml:space="preserve"> and wind farm area</w:t>
      </w:r>
      <w:r w:rsidR="00654B99">
        <w:t xml:space="preserve">. We determine wind farm area using a method that requires only information on turbine locations and can be applied consistently to all operational wind farms. First, </w:t>
      </w:r>
      <w:r w:rsidR="00C46859">
        <w:t xml:space="preserve">all </w:t>
      </w:r>
      <w:r w:rsidR="00654B99">
        <w:t xml:space="preserve">turbines </w:t>
      </w:r>
      <w:r w:rsidR="00C46859">
        <w:t xml:space="preserve">within a wind project </w:t>
      </w:r>
      <w:r w:rsidR="00654B99">
        <w:t>are buffered by 300 meters to reflect a common setback distance.</w:t>
      </w:r>
      <w:r w:rsidR="00C46859">
        <w:t xml:space="preserve"> Then, buffered turbine polygons are merged into a single feature. Finally, we construct a convex hull polygon around the buffered feature, which establishes a minimum bounding area that delineates the wind project boundary. To estimate capacity density (MW/km</w:t>
      </w:r>
      <w:r w:rsidR="00C46859">
        <w:rPr>
          <w:vertAlign w:val="superscript"/>
        </w:rPr>
        <w:t>2</w:t>
      </w:r>
      <w:r w:rsidR="00C46859">
        <w:t>), we then sum the capacity of the installed turbines (MW) and divide it by the area (km</w:t>
      </w:r>
      <w:r w:rsidR="00C46859">
        <w:rPr>
          <w:vertAlign w:val="superscript"/>
        </w:rPr>
        <w:t>2</w:t>
      </w:r>
      <w:r w:rsidR="00C46859">
        <w:t>) contained within the convex hull polygon.</w:t>
      </w:r>
    </w:p>
    <w:p w14:paraId="0293538C" w14:textId="77777777" w:rsidR="00B3677E" w:rsidRPr="00C326E3" w:rsidRDefault="00B3677E">
      <w:pPr>
        <w:rPr>
          <w:i/>
        </w:rPr>
      </w:pPr>
    </w:p>
    <w:p w14:paraId="64541BCE" w14:textId="174E0C4F" w:rsidR="00DC3300" w:rsidRDefault="00DC3300" w:rsidP="00321166">
      <w:pPr>
        <w:spacing w:line="480" w:lineRule="auto"/>
        <w:contextualSpacing/>
        <w:rPr>
          <w:rFonts w:ascii="Arial" w:hAnsi="Arial" w:cs="Arial"/>
          <w:color w:val="000000"/>
          <w:sz w:val="16"/>
          <w:szCs w:val="16"/>
        </w:rPr>
      </w:pPr>
    </w:p>
    <w:p w14:paraId="771B9853" w14:textId="77777777" w:rsidR="00B3677E" w:rsidRDefault="00B3677E" w:rsidP="00B3677E">
      <w:pPr>
        <w:keepNext/>
        <w:spacing w:line="480" w:lineRule="auto"/>
        <w:ind w:firstLine="360"/>
      </w:pPr>
      <w:r>
        <w:rPr>
          <w:noProof/>
        </w:rPr>
        <w:lastRenderedPageBreak/>
        <w:drawing>
          <wp:inline distT="0" distB="0" distL="0" distR="0" wp14:anchorId="075BAB7B" wp14:editId="62CE389E">
            <wp:extent cx="5451961" cy="2634776"/>
            <wp:effectExtent l="0" t="0" r="0" b="0"/>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
                    <a:srcRect/>
                    <a:stretch>
                      <a:fillRect/>
                    </a:stretch>
                  </pic:blipFill>
                  <pic:spPr>
                    <a:xfrm>
                      <a:off x="0" y="0"/>
                      <a:ext cx="5451961" cy="2634776"/>
                    </a:xfrm>
                    <a:prstGeom prst="rect">
                      <a:avLst/>
                    </a:prstGeom>
                    <a:ln/>
                  </pic:spPr>
                </pic:pic>
              </a:graphicData>
            </a:graphic>
          </wp:inline>
        </w:drawing>
      </w:r>
    </w:p>
    <w:p w14:paraId="78AFB264" w14:textId="7D4D551D" w:rsidR="00B3677E" w:rsidRDefault="00B3677E" w:rsidP="00B3677E">
      <w:pPr>
        <w:pBdr>
          <w:top w:val="nil"/>
          <w:left w:val="nil"/>
          <w:bottom w:val="nil"/>
          <w:right w:val="nil"/>
          <w:between w:val="nil"/>
        </w:pBdr>
        <w:spacing w:after="200"/>
        <w:rPr>
          <w:i/>
          <w:color w:val="44546A"/>
          <w:sz w:val="18"/>
          <w:szCs w:val="18"/>
        </w:rPr>
      </w:pPr>
      <w:bookmarkStart w:id="1" w:name="_heading=h.gjdgxs" w:colFirst="0" w:colLast="0"/>
      <w:bookmarkEnd w:id="1"/>
      <w:r>
        <w:rPr>
          <w:i/>
          <w:color w:val="44546A"/>
          <w:sz w:val="18"/>
          <w:szCs w:val="18"/>
        </w:rPr>
        <w:t xml:space="preserve">Figure </w:t>
      </w:r>
      <w:r w:rsidR="00883FA1">
        <w:rPr>
          <w:i/>
          <w:color w:val="44546A"/>
          <w:sz w:val="18"/>
          <w:szCs w:val="18"/>
        </w:rPr>
        <w:t>S</w:t>
      </w:r>
      <w:r w:rsidR="006B180F">
        <w:rPr>
          <w:i/>
          <w:color w:val="44546A"/>
          <w:sz w:val="18"/>
          <w:szCs w:val="18"/>
        </w:rPr>
        <w:t>-</w:t>
      </w:r>
      <w:r>
        <w:rPr>
          <w:i/>
          <w:color w:val="44546A"/>
          <w:sz w:val="18"/>
          <w:szCs w:val="18"/>
        </w:rPr>
        <w:t xml:space="preserve">1. Capacity density as visualized for two wind farms showing respective turbine configurations (red) and total wind farm area (outlined in blue). Geographic variation in wind farm capacity density occurs because of site-level differences in physical, social, and environmental characteristics. Wind farm area is derived using a convex hull geometry that describes the minimum bounding polygon based on turbine layout and assuming a 300-m setback for turbines. Wind Farm A is located on a ridgeline in the Northeast and has 33 turbines with an installed capacity of 99 </w:t>
      </w:r>
      <w:proofErr w:type="gramStart"/>
      <w:r>
        <w:rPr>
          <w:i/>
          <w:color w:val="44546A"/>
          <w:sz w:val="18"/>
          <w:szCs w:val="18"/>
        </w:rPr>
        <w:t>MW, and</w:t>
      </w:r>
      <w:proofErr w:type="gramEnd"/>
      <w:r>
        <w:rPr>
          <w:i/>
          <w:color w:val="44546A"/>
          <w:sz w:val="18"/>
          <w:szCs w:val="18"/>
        </w:rPr>
        <w:t xml:space="preserve"> occupies 38.2 km</w:t>
      </w:r>
      <w:r>
        <w:rPr>
          <w:i/>
          <w:color w:val="44546A"/>
          <w:sz w:val="18"/>
          <w:szCs w:val="18"/>
          <w:vertAlign w:val="superscript"/>
        </w:rPr>
        <w:t>2</w:t>
      </w:r>
      <w:r>
        <w:rPr>
          <w:i/>
          <w:color w:val="44546A"/>
          <w:sz w:val="18"/>
          <w:szCs w:val="18"/>
          <w:vertAlign w:val="subscript"/>
        </w:rPr>
        <w:t xml:space="preserve"> </w:t>
      </w:r>
      <w:r>
        <w:rPr>
          <w:i/>
          <w:color w:val="44546A"/>
          <w:sz w:val="18"/>
          <w:szCs w:val="18"/>
        </w:rPr>
        <w:t>yielding a capacity density of 2.6 MW/km</w:t>
      </w:r>
      <w:r>
        <w:rPr>
          <w:i/>
          <w:color w:val="44546A"/>
          <w:sz w:val="18"/>
          <w:szCs w:val="18"/>
          <w:vertAlign w:val="superscript"/>
        </w:rPr>
        <w:t>2</w:t>
      </w:r>
      <w:r>
        <w:rPr>
          <w:i/>
          <w:color w:val="44546A"/>
          <w:sz w:val="18"/>
          <w:szCs w:val="18"/>
        </w:rPr>
        <w:t>. Wind Farm B is located in a predominately flat agricultural area in the Midwest with interspersed residential development, has 87 turbines with an installed capacity of 130.5 MW, and occupies 97.8 km</w:t>
      </w:r>
      <w:r>
        <w:rPr>
          <w:i/>
          <w:color w:val="44546A"/>
          <w:sz w:val="18"/>
          <w:szCs w:val="18"/>
          <w:vertAlign w:val="superscript"/>
        </w:rPr>
        <w:t>2</w:t>
      </w:r>
      <w:r>
        <w:rPr>
          <w:i/>
          <w:color w:val="44546A"/>
          <w:sz w:val="18"/>
          <w:szCs w:val="18"/>
        </w:rPr>
        <w:t>, yielding a capacity density of 1.3 MW/km</w:t>
      </w:r>
      <w:r>
        <w:rPr>
          <w:i/>
          <w:color w:val="44546A"/>
          <w:sz w:val="18"/>
          <w:szCs w:val="18"/>
          <w:vertAlign w:val="superscript"/>
        </w:rPr>
        <w:t>2</w:t>
      </w:r>
      <w:r>
        <w:rPr>
          <w:i/>
          <w:color w:val="44546A"/>
          <w:sz w:val="18"/>
          <w:szCs w:val="18"/>
        </w:rPr>
        <w:t xml:space="preserve">. Imagery data provided by Landsat/Copernicus, </w:t>
      </w:r>
      <w:proofErr w:type="spellStart"/>
      <w:r>
        <w:rPr>
          <w:i/>
          <w:color w:val="44546A"/>
          <w:sz w:val="18"/>
          <w:szCs w:val="18"/>
        </w:rPr>
        <w:t>Maxar</w:t>
      </w:r>
      <w:proofErr w:type="spellEnd"/>
      <w:r>
        <w:rPr>
          <w:i/>
          <w:color w:val="44546A"/>
          <w:sz w:val="18"/>
          <w:szCs w:val="18"/>
        </w:rPr>
        <w:t xml:space="preserve"> Technologies, U.S. Geological Survey, USDA Farm Service Agency via Google Earth Engine (accessed January 9, 2020).</w:t>
      </w:r>
    </w:p>
    <w:p w14:paraId="283AE979" w14:textId="64FDDA98" w:rsidR="00B3677E" w:rsidRDefault="00B3677E" w:rsidP="00321166">
      <w:pPr>
        <w:spacing w:line="480" w:lineRule="auto"/>
        <w:contextualSpacing/>
        <w:rPr>
          <w:rFonts w:ascii="Arial" w:hAnsi="Arial" w:cs="Arial"/>
          <w:color w:val="000000"/>
          <w:sz w:val="16"/>
          <w:szCs w:val="16"/>
        </w:rPr>
      </w:pPr>
    </w:p>
    <w:p w14:paraId="79B7E5A3" w14:textId="298DCFF6" w:rsidR="00654B99" w:rsidRPr="00654B99" w:rsidRDefault="00654B99" w:rsidP="00321166">
      <w:pPr>
        <w:spacing w:line="480" w:lineRule="auto"/>
        <w:contextualSpacing/>
        <w:rPr>
          <w:color w:val="000000"/>
          <w:u w:val="single"/>
        </w:rPr>
      </w:pPr>
      <w:r w:rsidRPr="00654B99">
        <w:rPr>
          <w:color w:val="000000"/>
          <w:u w:val="single"/>
        </w:rPr>
        <w:t>Geospatial data</w:t>
      </w:r>
    </w:p>
    <w:p w14:paraId="77B39699" w14:textId="7803A89B" w:rsidR="00B84E78" w:rsidRDefault="00AB6D78" w:rsidP="00B84E78">
      <w:pPr>
        <w:spacing w:line="480" w:lineRule="auto"/>
        <w:contextualSpacing/>
        <w:rPr>
          <w:color w:val="000000"/>
        </w:rPr>
      </w:pPr>
      <w:r w:rsidRPr="008A4D7D">
        <w:rPr>
          <w:color w:val="000000"/>
        </w:rPr>
        <w:t>We employed a</w:t>
      </w:r>
      <w:r w:rsidR="00C13DBB" w:rsidRPr="008A4D7D">
        <w:rPr>
          <w:color w:val="000000"/>
        </w:rPr>
        <w:t xml:space="preserve"> suite of geospatial</w:t>
      </w:r>
      <w:r w:rsidRPr="008A4D7D">
        <w:rPr>
          <w:color w:val="000000"/>
        </w:rPr>
        <w:t xml:space="preserve"> </w:t>
      </w:r>
      <w:r w:rsidR="000A34D0">
        <w:rPr>
          <w:color w:val="000000"/>
        </w:rPr>
        <w:t>layers as explanatory variables</w:t>
      </w:r>
      <w:r w:rsidRPr="008A4D7D">
        <w:rPr>
          <w:color w:val="000000"/>
        </w:rPr>
        <w:t xml:space="preserve"> in</w:t>
      </w:r>
      <w:r w:rsidR="00C13DBB" w:rsidRPr="008A4D7D">
        <w:rPr>
          <w:color w:val="000000"/>
        </w:rPr>
        <w:t xml:space="preserve"> the power density model. Data</w:t>
      </w:r>
      <w:r w:rsidR="008A4D7D" w:rsidRPr="008A4D7D">
        <w:rPr>
          <w:color w:val="000000"/>
        </w:rPr>
        <w:t xml:space="preserve"> layers </w:t>
      </w:r>
      <w:r w:rsidR="008A4D7D">
        <w:rPr>
          <w:color w:val="000000"/>
        </w:rPr>
        <w:t>include</w:t>
      </w:r>
      <w:r w:rsidR="00EA0060">
        <w:rPr>
          <w:color w:val="000000"/>
        </w:rPr>
        <w:t>d</w:t>
      </w:r>
      <w:r w:rsidR="008A4D7D">
        <w:rPr>
          <w:color w:val="000000"/>
        </w:rPr>
        <w:t xml:space="preserve"> derivative products of published data</w:t>
      </w:r>
      <w:r w:rsidR="00910757">
        <w:rPr>
          <w:color w:val="000000"/>
        </w:rPr>
        <w:t xml:space="preserve"> </w:t>
      </w:r>
      <w:r w:rsidR="008A4D7D">
        <w:rPr>
          <w:color w:val="000000"/>
        </w:rPr>
        <w:t>sets</w:t>
      </w:r>
      <w:r w:rsidR="00B84E78">
        <w:rPr>
          <w:color w:val="000000"/>
        </w:rPr>
        <w:t xml:space="preserve"> as well as novel datasets produced using geospatial modeling for the purposes of this analysis. </w:t>
      </w:r>
      <w:r w:rsidR="006B7413">
        <w:rPr>
          <w:color w:val="000000"/>
        </w:rPr>
        <w:t>All geospatial analys</w:t>
      </w:r>
      <w:r w:rsidR="00E0423D">
        <w:rPr>
          <w:color w:val="000000"/>
        </w:rPr>
        <w:t xml:space="preserve">es were </w:t>
      </w:r>
      <w:r w:rsidR="006B7413">
        <w:rPr>
          <w:color w:val="000000"/>
        </w:rPr>
        <w:t>performed in Google Earth Engine</w:t>
      </w:r>
      <w:r w:rsidR="00E0423D">
        <w:rPr>
          <w:color w:val="000000"/>
        </w:rPr>
        <w:t xml:space="preserve"> </w:t>
      </w:r>
      <w:r w:rsidR="00E0423D">
        <w:rPr>
          <w:color w:val="000000"/>
        </w:rPr>
        <w:fldChar w:fldCharType="begin"/>
      </w:r>
      <w:r w:rsidR="00E0423D">
        <w:rPr>
          <w:color w:val="000000"/>
        </w:rPr>
        <w:instrText xml:space="preserve"> ADDIN EN.CITE &lt;EndNote&gt;&lt;Cite&gt;&lt;Author&gt;Gorelick&lt;/Author&gt;&lt;Year&gt;2017&lt;/Year&gt;&lt;RecNum&gt;62&lt;/RecNum&gt;&lt;DisplayText&gt;[1]&lt;/DisplayText&gt;&lt;record&gt;&lt;rec-number&gt;62&lt;/rec-number&gt;&lt;foreign-keys&gt;&lt;key app="EN" db-id="xwrdevr9lfe2zkesp9fppw0j0zw9rrwepp95" timestamp="1573228674" guid="ad4f6b12-bb70-4164-9872-65c379c1c0cc"&gt;62&lt;/key&gt;&lt;key app="ENWeb" db-id=""&gt;0&lt;/key&gt;&lt;/foreign-keys&gt;&lt;ref-type name="Journal Article"&gt;17&lt;/ref-type&gt;&lt;contributors&gt;&lt;authors&gt;&lt;author&gt;Gorelick, Noel&lt;/author&gt;&lt;author&gt;Hancher, Matt&lt;/author&gt;&lt;author&gt;Dixon, Mike&lt;/author&gt;&lt;author&gt;Ilyushchenko, Simon&lt;/author&gt;&lt;author&gt;Thau, David&lt;/author&gt;&lt;author&gt;Moore, Rebecca&lt;/author&gt;&lt;/authors&gt;&lt;/contributors&gt;&lt;titles&gt;&lt;title&gt;Google Earth Engine: Planetary-scale geospatial analysis for everyone&lt;/title&gt;&lt;secondary-title&gt;Remote Sensing of Environment&lt;/secondary-title&gt;&lt;/titles&gt;&lt;periodical&gt;&lt;full-title&gt;Remote Sensing of Environment&lt;/full-title&gt;&lt;/periodical&gt;&lt;pages&gt;18-27&lt;/pages&gt;&lt;volume&gt;202&lt;/volume&gt;&lt;section&gt;18&lt;/section&gt;&lt;dates&gt;&lt;year&gt;2017&lt;/year&gt;&lt;/dates&gt;&lt;isbn&gt;00344257&lt;/isbn&gt;&lt;urls&gt;&lt;/urls&gt;&lt;electronic-resource-num&gt;10.1016/j.rse.2017.06.031&lt;/electronic-resource-num&gt;&lt;/record&gt;&lt;/Cite&gt;&lt;/EndNote&gt;</w:instrText>
      </w:r>
      <w:r w:rsidR="00E0423D">
        <w:rPr>
          <w:color w:val="000000"/>
        </w:rPr>
        <w:fldChar w:fldCharType="separate"/>
      </w:r>
      <w:r w:rsidR="00E0423D">
        <w:rPr>
          <w:noProof/>
          <w:color w:val="000000"/>
        </w:rPr>
        <w:t>[1]</w:t>
      </w:r>
      <w:r w:rsidR="00E0423D">
        <w:rPr>
          <w:color w:val="000000"/>
        </w:rPr>
        <w:fldChar w:fldCharType="end"/>
      </w:r>
      <w:r w:rsidR="006B7413">
        <w:rPr>
          <w:color w:val="000000"/>
        </w:rPr>
        <w:t xml:space="preserve">. </w:t>
      </w:r>
      <w:r w:rsidR="00B84E78">
        <w:rPr>
          <w:color w:val="000000"/>
        </w:rPr>
        <w:t>Key data layers used as explanatory variables are</w:t>
      </w:r>
      <w:r w:rsidR="00C13DBB" w:rsidRPr="008A4D7D">
        <w:rPr>
          <w:color w:val="000000"/>
        </w:rPr>
        <w:t xml:space="preserve"> show</w:t>
      </w:r>
      <w:r w:rsidR="00B84E78">
        <w:rPr>
          <w:color w:val="000000"/>
        </w:rPr>
        <w:t>n</w:t>
      </w:r>
      <w:r w:rsidR="00C13DBB" w:rsidRPr="008A4D7D">
        <w:rPr>
          <w:color w:val="000000"/>
        </w:rPr>
        <w:t xml:space="preserve"> in </w:t>
      </w:r>
      <w:r w:rsidRPr="008A4D7D">
        <w:rPr>
          <w:color w:val="000000"/>
        </w:rPr>
        <w:fldChar w:fldCharType="begin"/>
      </w:r>
      <w:r w:rsidRPr="008A4D7D">
        <w:rPr>
          <w:color w:val="000000"/>
        </w:rPr>
        <w:instrText xml:space="preserve"> REF _Ref8114369 \h </w:instrText>
      </w:r>
      <w:r w:rsidR="008A4D7D" w:rsidRPr="008A4D7D">
        <w:rPr>
          <w:color w:val="000000"/>
        </w:rPr>
        <w:instrText xml:space="preserve"> \* MERGEFORMAT </w:instrText>
      </w:r>
      <w:r w:rsidRPr="008A4D7D">
        <w:rPr>
          <w:color w:val="000000"/>
        </w:rPr>
      </w:r>
      <w:r w:rsidRPr="008A4D7D">
        <w:rPr>
          <w:color w:val="000000"/>
        </w:rPr>
        <w:fldChar w:fldCharType="separate"/>
      </w:r>
      <w:r w:rsidR="00883FA1">
        <w:t xml:space="preserve">Table </w:t>
      </w:r>
      <w:r w:rsidR="00883FA1">
        <w:rPr>
          <w:noProof/>
        </w:rPr>
        <w:t>S-1</w:t>
      </w:r>
      <w:r w:rsidRPr="008A4D7D">
        <w:rPr>
          <w:color w:val="000000"/>
        </w:rPr>
        <w:fldChar w:fldCharType="end"/>
      </w:r>
      <w:r w:rsidR="00B84E78">
        <w:rPr>
          <w:color w:val="000000"/>
        </w:rPr>
        <w:t>. To ensure consistency, all data</w:t>
      </w:r>
      <w:r w:rsidR="00910757">
        <w:rPr>
          <w:color w:val="000000"/>
        </w:rPr>
        <w:t xml:space="preserve"> </w:t>
      </w:r>
      <w:r w:rsidR="00B84E78">
        <w:rPr>
          <w:color w:val="000000"/>
        </w:rPr>
        <w:t>sets were reprocessed to 2 km x 2 km resolution to describe mean or modal conditions within each pixel depending on data type.</w:t>
      </w:r>
    </w:p>
    <w:p w14:paraId="3E61BEFF" w14:textId="32BE53B5" w:rsidR="00081683" w:rsidRDefault="00B84E78" w:rsidP="00910757">
      <w:pPr>
        <w:spacing w:line="480" w:lineRule="auto"/>
        <w:ind w:firstLine="720"/>
        <w:contextualSpacing/>
        <w:rPr>
          <w:color w:val="000000"/>
        </w:rPr>
      </w:pPr>
      <w:r>
        <w:rPr>
          <w:color w:val="000000"/>
        </w:rPr>
        <w:t xml:space="preserve">We selected this spatial resolution </w:t>
      </w:r>
      <w:r w:rsidR="00081683">
        <w:rPr>
          <w:color w:val="000000"/>
        </w:rPr>
        <w:t>as the appropriate scale for capturing relatively fine-grain</w:t>
      </w:r>
      <w:r w:rsidR="00EA0060">
        <w:rPr>
          <w:color w:val="000000"/>
        </w:rPr>
        <w:t>ed</w:t>
      </w:r>
      <w:r>
        <w:rPr>
          <w:color w:val="000000"/>
        </w:rPr>
        <w:t xml:space="preserve"> </w:t>
      </w:r>
      <w:r w:rsidR="00081683">
        <w:rPr>
          <w:color w:val="000000"/>
        </w:rPr>
        <w:t xml:space="preserve">patterns in physical and social phenomena </w:t>
      </w:r>
      <w:r w:rsidR="005E4F4A">
        <w:rPr>
          <w:color w:val="000000"/>
        </w:rPr>
        <w:t xml:space="preserve">for the intended context </w:t>
      </w:r>
      <w:r w:rsidR="00081683">
        <w:rPr>
          <w:color w:val="000000"/>
        </w:rPr>
        <w:t>while recognizing the coarser native resolution of particular input variables (e.g.</w:t>
      </w:r>
      <w:r w:rsidR="00EA0060">
        <w:rPr>
          <w:color w:val="000000"/>
        </w:rPr>
        <w:t>,</w:t>
      </w:r>
      <w:r w:rsidR="00081683">
        <w:rPr>
          <w:color w:val="000000"/>
        </w:rPr>
        <w:t xml:space="preserve"> WIND Toolkit</w:t>
      </w:r>
      <w:r w:rsidR="00B4325A">
        <w:rPr>
          <w:color w:val="000000"/>
        </w:rPr>
        <w:t xml:space="preserve">; </w:t>
      </w:r>
      <w:r w:rsidR="00B4325A">
        <w:rPr>
          <w:color w:val="000000"/>
        </w:rPr>
        <w:fldChar w:fldCharType="begin"/>
      </w:r>
      <w:r w:rsidR="00B4325A">
        <w:rPr>
          <w:color w:val="000000"/>
        </w:rPr>
        <w:instrText xml:space="preserve"> ADDIN EN.CITE &lt;EndNote&gt;&lt;Cite&gt;&lt;Author&gt;Draxl&lt;/Author&gt;&lt;Year&gt;2015&lt;/Year&gt;&lt;RecNum&gt;66&lt;/RecNum&gt;&lt;DisplayText&gt;[2]&lt;/DisplayText&gt;&lt;record&gt;&lt;rec-number&gt;66&lt;/rec-number&gt;&lt;foreign-keys&gt;&lt;key app="EN" db-id="xwrdevr9lfe2zkesp9fppw0j0zw9rrwepp95" timestamp="1578095780" guid="db31e6f6-0154-42a1-b83c-4d5b757b5939"&gt;66&lt;/key&gt;&lt;key app="ENWeb" db-id=""&gt;0&lt;/key&gt;&lt;/foreign-keys&gt;&lt;ref-type name="Journal Article"&gt;17&lt;/ref-type&gt;&lt;contributors&gt;&lt;authors&gt;&lt;author&gt;Draxl, Caroline&lt;/author&gt;&lt;author&gt;Clifton, Andrew&lt;/author&gt;&lt;author&gt;Hodge, Bri-Mathias&lt;/author&gt;&lt;author&gt;McCaa, Jim&lt;/author&gt;&lt;/authors&gt;&lt;/contributors&gt;&lt;titles&gt;&lt;title&gt;The Wind Integration National Dataset (WIND) Toolkit&lt;/title&gt;&lt;secondary-title&gt;Applied Energy&lt;/secondary-title&gt;&lt;/titles&gt;&lt;periodical&gt;&lt;full-title&gt;Applied Energy&lt;/full-title&gt;&lt;/periodical&gt;&lt;pages&gt;355-366&lt;/pages&gt;&lt;volume&gt;151&lt;/volume&gt;&lt;section&gt;355&lt;/section&gt;&lt;dates&gt;&lt;year&gt;2015&lt;/year&gt;&lt;/dates&gt;&lt;isbn&gt;03062619&lt;/isbn&gt;&lt;urls&gt;&lt;/urls&gt;&lt;electronic-resource-num&gt;10.1016/j.apenergy.2015.03.121&lt;/electronic-resource-num&gt;&lt;/record&gt;&lt;/Cite&gt;&lt;/EndNote&gt;</w:instrText>
      </w:r>
      <w:r w:rsidR="00B4325A">
        <w:rPr>
          <w:color w:val="000000"/>
        </w:rPr>
        <w:fldChar w:fldCharType="separate"/>
      </w:r>
      <w:r w:rsidR="00B4325A">
        <w:rPr>
          <w:noProof/>
          <w:color w:val="000000"/>
        </w:rPr>
        <w:t>[2]</w:t>
      </w:r>
      <w:r w:rsidR="00B4325A">
        <w:rPr>
          <w:color w:val="000000"/>
        </w:rPr>
        <w:fldChar w:fldCharType="end"/>
      </w:r>
      <w:r w:rsidR="00081683">
        <w:rPr>
          <w:color w:val="000000"/>
        </w:rPr>
        <w:t>).</w:t>
      </w:r>
      <w:r w:rsidR="00F0321D">
        <w:rPr>
          <w:color w:val="000000"/>
        </w:rPr>
        <w:t xml:space="preserve"> </w:t>
      </w:r>
      <w:r w:rsidR="00081683">
        <w:rPr>
          <w:color w:val="000000"/>
        </w:rPr>
        <w:t>Categorical variables including the National Land Cover Dataset (NCLD</w:t>
      </w:r>
      <w:r w:rsidR="00B4325A">
        <w:rPr>
          <w:color w:val="000000"/>
        </w:rPr>
        <w:t xml:space="preserve">; </w:t>
      </w:r>
      <w:r w:rsidR="00B4325A">
        <w:rPr>
          <w:color w:val="000000"/>
        </w:rPr>
        <w:fldChar w:fldCharType="begin"/>
      </w:r>
      <w:r w:rsidR="00B4325A">
        <w:rPr>
          <w:color w:val="000000"/>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sidR="00B4325A">
        <w:rPr>
          <w:color w:val="000000"/>
        </w:rPr>
        <w:fldChar w:fldCharType="separate"/>
      </w:r>
      <w:r w:rsidR="00B4325A">
        <w:rPr>
          <w:noProof/>
          <w:color w:val="000000"/>
        </w:rPr>
        <w:t>[3]</w:t>
      </w:r>
      <w:r w:rsidR="00B4325A">
        <w:rPr>
          <w:color w:val="000000"/>
        </w:rPr>
        <w:fldChar w:fldCharType="end"/>
      </w:r>
      <w:r w:rsidR="00081683">
        <w:rPr>
          <w:color w:val="000000"/>
        </w:rPr>
        <w:t xml:space="preserve">), geophysical landform units </w:t>
      </w:r>
      <w:r w:rsidR="00B4325A">
        <w:rPr>
          <w:color w:val="000000"/>
        </w:rPr>
        <w:lastRenderedPageBreak/>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sidR="00B4325A">
        <w:rPr>
          <w:color w:val="000000"/>
        </w:rPr>
        <w:instrText xml:space="preserve"> ADDIN EN.CITE </w:instrText>
      </w:r>
      <w:r w:rsidR="00B4325A">
        <w:rPr>
          <w:color w:val="000000"/>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sidR="00B4325A">
        <w:rPr>
          <w:color w:val="000000"/>
        </w:rPr>
        <w:instrText xml:space="preserve"> ADDIN EN.CITE.DATA </w:instrText>
      </w:r>
      <w:r w:rsidR="00B4325A">
        <w:rPr>
          <w:color w:val="000000"/>
        </w:rPr>
      </w:r>
      <w:r w:rsidR="00B4325A">
        <w:rPr>
          <w:color w:val="000000"/>
        </w:rPr>
        <w:fldChar w:fldCharType="end"/>
      </w:r>
      <w:r w:rsidR="00B4325A">
        <w:rPr>
          <w:color w:val="000000"/>
        </w:rPr>
      </w:r>
      <w:r w:rsidR="00B4325A">
        <w:rPr>
          <w:color w:val="000000"/>
        </w:rPr>
        <w:fldChar w:fldCharType="separate"/>
      </w:r>
      <w:r w:rsidR="00B4325A">
        <w:rPr>
          <w:noProof/>
          <w:color w:val="000000"/>
        </w:rPr>
        <w:t>[4]</w:t>
      </w:r>
      <w:r w:rsidR="00B4325A">
        <w:rPr>
          <w:color w:val="000000"/>
        </w:rPr>
        <w:fldChar w:fldCharType="end"/>
      </w:r>
      <w:r w:rsidR="00081683">
        <w:rPr>
          <w:color w:val="000000"/>
        </w:rPr>
        <w:t xml:space="preserve">, and wind exclusions were </w:t>
      </w:r>
      <w:r w:rsidR="00F0321D">
        <w:rPr>
          <w:color w:val="000000"/>
        </w:rPr>
        <w:t>binarized for each class before computing fractional areal extent (i.e.</w:t>
      </w:r>
      <w:r w:rsidR="00EA0060">
        <w:rPr>
          <w:color w:val="000000"/>
        </w:rPr>
        <w:t>,</w:t>
      </w:r>
      <w:r w:rsidR="00F0321D">
        <w:rPr>
          <w:color w:val="000000"/>
        </w:rPr>
        <w:t xml:space="preserve"> the fraction of each pixel comprised by a particular class).</w:t>
      </w:r>
    </w:p>
    <w:p w14:paraId="10205FF2" w14:textId="41B33C6B" w:rsidR="00F0321D" w:rsidRDefault="00F0321D" w:rsidP="00321166">
      <w:pPr>
        <w:spacing w:line="480" w:lineRule="auto"/>
        <w:contextualSpacing/>
        <w:rPr>
          <w:color w:val="000000"/>
        </w:rPr>
      </w:pPr>
      <w:r>
        <w:rPr>
          <w:color w:val="000000"/>
        </w:rPr>
        <w:tab/>
        <w:t xml:space="preserve">Geospatial layers were stacked to produce a multiband raster wherein each band represents a single variable. In accordance with our sampling scheme, we extracted values from the multiband raster at wind turbine locations with known power densities. </w:t>
      </w:r>
      <w:r w:rsidR="001802C9">
        <w:rPr>
          <w:color w:val="000000"/>
        </w:rPr>
        <w:t>After training</w:t>
      </w:r>
      <w:r w:rsidR="00E0423D">
        <w:rPr>
          <w:color w:val="000000"/>
        </w:rPr>
        <w:t xml:space="preserve"> and evaluating the boosted regression tree model</w:t>
      </w:r>
      <w:r w:rsidR="001802C9">
        <w:rPr>
          <w:color w:val="000000"/>
        </w:rPr>
        <w:t xml:space="preserve"> </w:t>
      </w:r>
      <w:r w:rsidR="00E0423D">
        <w:rPr>
          <w:color w:val="000000"/>
        </w:rPr>
        <w:t xml:space="preserve">using TensorFlow </w:t>
      </w:r>
      <w:r w:rsidR="00E0423D">
        <w:rPr>
          <w:color w:val="000000"/>
        </w:rPr>
        <w:fldChar w:fldCharType="begin"/>
      </w:r>
      <w:r w:rsidR="00B4325A">
        <w:rPr>
          <w:color w:val="000000"/>
        </w:rPr>
        <w:instrText xml:space="preserve"> ADDIN EN.CITE &lt;EndNote&gt;&lt;Cite&gt;&lt;Author&gt;Abadi&lt;/Author&gt;&lt;Year&gt;2016&lt;/Year&gt;&lt;RecNum&gt;30&lt;/RecNum&gt;&lt;DisplayText&gt;[5]&lt;/DisplayText&gt;&lt;record&gt;&lt;rec-number&gt;30&lt;/rec-number&gt;&lt;foreign-keys&gt;&lt;key app="EN" db-id="xwrdevr9lfe2zkesp9fppw0j0zw9rrwepp95" timestamp="1553808964" guid="94cd6ba4-d694-4dd6-80ec-4b9e2019c5ea"&gt;30&lt;/key&gt;&lt;/foreign-keys&gt;&lt;ref-type name="Conference Proceedings"&gt;10&lt;/ref-type&gt;&lt;contributors&gt;&lt;authors&gt;&lt;author&gt;Abadi, Martin&lt;/author&gt;&lt;author&gt;Barham, Paul&lt;/author&gt;&lt;author&gt;Chen, Jianmin&lt;/author&gt;&lt;author&gt;Chen, Zhifeng &lt;/author&gt;&lt;author&gt;Davis, Andy &lt;/author&gt;&lt;author&gt;Dean, Jeffrey &lt;/author&gt;&lt;author&gt;Devin, Matthieu &lt;/author&gt;&lt;author&gt;Ghemawat, Sanjay &lt;/author&gt;&lt;author&gt;Irving, Geoffrey &lt;/author&gt;&lt;author&gt;Isard, Michael &lt;/author&gt;&lt;author&gt;Kudlur, Manjunath &lt;/author&gt;&lt;author&gt;Levenberg, Josh &lt;/author&gt;&lt;author&gt;Monga, Rajat &lt;/author&gt;&lt;author&gt;Moore, Sherry &lt;/author&gt;&lt;author&gt;Murray, Derek G. &lt;/author&gt;&lt;author&gt;Steiner, Benoit &lt;/author&gt;&lt;author&gt;Tucker, Paul &lt;/author&gt;&lt;author&gt;Vasudevan, Vijay &lt;/author&gt;&lt;author&gt;Warden, Pete &lt;/author&gt;&lt;author&gt;Wicke, Martin &lt;/author&gt;&lt;author&gt;Yuan, Yu&lt;/author&gt;&lt;author&gt;Zheng, Xiaoqiang &lt;/author&gt;&lt;/authors&gt;&lt;/contributors&gt;&lt;titles&gt;&lt;title&gt;TensorFlow: a system for large-scale machine learning&lt;/title&gt;&lt;secondary-title&gt;Proceedings of the 12th USENIX conference on Operating Systems Design and Implementation&lt;/secondary-title&gt;&lt;/titles&gt;&lt;pages&gt;265-283&lt;/pages&gt;&lt;dates&gt;&lt;year&gt;2016&lt;/year&gt;&lt;/dates&gt;&lt;pub-location&gt;Savannah, GA, USA&lt;/pub-location&gt;&lt;publisher&gt;USENIX Association&lt;/publisher&gt;&lt;isbn&gt;978-1-931971-33-1&lt;/isbn&gt;&lt;urls&gt;&lt;/urls&gt;&lt;custom1&gt;3026899&lt;/custom1&gt;&lt;/record&gt;&lt;/Cite&gt;&lt;/EndNote&gt;</w:instrText>
      </w:r>
      <w:r w:rsidR="00E0423D">
        <w:rPr>
          <w:color w:val="000000"/>
        </w:rPr>
        <w:fldChar w:fldCharType="separate"/>
      </w:r>
      <w:r w:rsidR="00B4325A">
        <w:rPr>
          <w:noProof/>
          <w:color w:val="000000"/>
        </w:rPr>
        <w:t>[5]</w:t>
      </w:r>
      <w:r w:rsidR="00E0423D">
        <w:rPr>
          <w:color w:val="000000"/>
        </w:rPr>
        <w:fldChar w:fldCharType="end"/>
      </w:r>
      <w:r w:rsidR="00EA0060">
        <w:rPr>
          <w:color w:val="000000"/>
        </w:rPr>
        <w:t>,</w:t>
      </w:r>
      <w:r w:rsidR="00E0423D">
        <w:rPr>
          <w:color w:val="000000"/>
        </w:rPr>
        <w:t xml:space="preserve"> </w:t>
      </w:r>
      <w:r w:rsidR="001802C9">
        <w:rPr>
          <w:color w:val="000000"/>
        </w:rPr>
        <w:t xml:space="preserve">we applied </w:t>
      </w:r>
      <w:r w:rsidR="00E0423D">
        <w:rPr>
          <w:color w:val="000000"/>
        </w:rPr>
        <w:t>it</w:t>
      </w:r>
      <w:r w:rsidR="001802C9">
        <w:rPr>
          <w:color w:val="000000"/>
        </w:rPr>
        <w:t xml:space="preserve"> to the multiband raster, producing spatially</w:t>
      </w:r>
      <w:r w:rsidR="00EA0060">
        <w:rPr>
          <w:color w:val="000000"/>
        </w:rPr>
        <w:t xml:space="preserve"> </w:t>
      </w:r>
      <w:r w:rsidR="001802C9">
        <w:rPr>
          <w:color w:val="000000"/>
        </w:rPr>
        <w:t xml:space="preserve">explicit predictions </w:t>
      </w:r>
      <w:r w:rsidR="00E0423D">
        <w:rPr>
          <w:color w:val="000000"/>
        </w:rPr>
        <w:t xml:space="preserve">of power density </w:t>
      </w:r>
      <w:r w:rsidR="005E4F4A">
        <w:rPr>
          <w:color w:val="000000"/>
        </w:rPr>
        <w:t xml:space="preserve">for each </w:t>
      </w:r>
      <w:r w:rsidR="000A34D0">
        <w:rPr>
          <w:color w:val="000000"/>
        </w:rPr>
        <w:t xml:space="preserve">2x2 km resolution </w:t>
      </w:r>
      <w:r w:rsidR="005E4F4A">
        <w:rPr>
          <w:color w:val="000000"/>
        </w:rPr>
        <w:t>pixel within CONUS</w:t>
      </w:r>
      <w:r w:rsidR="001802C9">
        <w:rPr>
          <w:color w:val="000000"/>
        </w:rPr>
        <w:t>.</w:t>
      </w:r>
    </w:p>
    <w:p w14:paraId="32B26DC4" w14:textId="080383EC" w:rsidR="00F0321D" w:rsidRDefault="00E0423D" w:rsidP="00E0423D">
      <w:pPr>
        <w:spacing w:line="480" w:lineRule="auto"/>
        <w:ind w:firstLine="720"/>
        <w:contextualSpacing/>
        <w:rPr>
          <w:color w:val="000000"/>
        </w:rPr>
      </w:pPr>
      <w:r>
        <w:rPr>
          <w:color w:val="000000"/>
        </w:rPr>
        <w:t xml:space="preserve">Below we describe novel geospatial layers that were produced explicitly for this </w:t>
      </w:r>
      <w:r w:rsidR="00CA6100">
        <w:rPr>
          <w:color w:val="000000"/>
        </w:rPr>
        <w:t>study</w:t>
      </w:r>
      <w:r>
        <w:rPr>
          <w:color w:val="000000"/>
        </w:rPr>
        <w:t xml:space="preserve">. Detailed information for the other datasets can be found via their references provided in </w:t>
      </w:r>
      <w:r>
        <w:rPr>
          <w:color w:val="000000"/>
        </w:rPr>
        <w:fldChar w:fldCharType="begin"/>
      </w:r>
      <w:r>
        <w:rPr>
          <w:color w:val="000000"/>
        </w:rPr>
        <w:instrText xml:space="preserve"> REF _Ref8114369 \h </w:instrText>
      </w:r>
      <w:r>
        <w:rPr>
          <w:color w:val="000000"/>
        </w:rPr>
      </w:r>
      <w:r>
        <w:rPr>
          <w:color w:val="000000"/>
        </w:rPr>
        <w:fldChar w:fldCharType="separate"/>
      </w:r>
      <w:r w:rsidR="00883FA1">
        <w:t>Table S-</w:t>
      </w:r>
      <w:r w:rsidR="00883FA1">
        <w:rPr>
          <w:noProof/>
        </w:rPr>
        <w:t>1</w:t>
      </w:r>
      <w:r>
        <w:rPr>
          <w:color w:val="000000"/>
        </w:rPr>
        <w:fldChar w:fldCharType="end"/>
      </w:r>
      <w:r>
        <w:rPr>
          <w:color w:val="000000"/>
        </w:rPr>
        <w:t>.</w:t>
      </w:r>
    </w:p>
    <w:p w14:paraId="2A91DA67" w14:textId="3CC65DED" w:rsidR="002721E8" w:rsidRPr="00654B99" w:rsidRDefault="00C7545A" w:rsidP="002721E8">
      <w:pPr>
        <w:spacing w:line="480" w:lineRule="auto"/>
        <w:contextualSpacing/>
        <w:rPr>
          <w:i/>
          <w:iCs/>
          <w:color w:val="000000"/>
        </w:rPr>
      </w:pPr>
      <w:r w:rsidRPr="00654B99">
        <w:rPr>
          <w:i/>
          <w:iCs/>
          <w:color w:val="000000"/>
        </w:rPr>
        <w:t xml:space="preserve">Dimensionless wind </w:t>
      </w:r>
      <w:r w:rsidR="002721E8" w:rsidRPr="00654B99">
        <w:rPr>
          <w:i/>
          <w:iCs/>
          <w:color w:val="000000"/>
        </w:rPr>
        <w:t>power</w:t>
      </w:r>
    </w:p>
    <w:p w14:paraId="17653B01" w14:textId="08E217DC" w:rsidR="00295D44" w:rsidRDefault="002721E8" w:rsidP="002721E8">
      <w:pPr>
        <w:spacing w:line="480" w:lineRule="auto"/>
        <w:contextualSpacing/>
        <w:rPr>
          <w:color w:val="000000"/>
        </w:rPr>
      </w:pPr>
      <w:r>
        <w:rPr>
          <w:color w:val="000000"/>
        </w:rPr>
        <w:t>Wind speed alone is not a robust predictor of wind power potential</w:t>
      </w:r>
      <w:r w:rsidR="00EA0060">
        <w:rPr>
          <w:color w:val="000000"/>
        </w:rPr>
        <w:t>,</w:t>
      </w:r>
      <w:r>
        <w:rPr>
          <w:color w:val="000000"/>
        </w:rPr>
        <w:t xml:space="preserve"> given the cubic relationship between wind speed and power output. To support broader generalizations about wind potential</w:t>
      </w:r>
      <w:r w:rsidR="00EA0060">
        <w:rPr>
          <w:color w:val="000000"/>
        </w:rPr>
        <w:t>,</w:t>
      </w:r>
      <w:r>
        <w:rPr>
          <w:color w:val="000000"/>
        </w:rPr>
        <w:t xml:space="preserve"> we aimed to quantify wind power in ways that did not reflect a particular technological design. Dimensionless power was computed by removing the area term associated with the cross-sectional area swept by a turbine blade and using the following formula: </w:t>
      </w:r>
      <m:oMath>
        <m:r>
          <w:rPr>
            <w:rFonts w:ascii="Cambria Math" w:hAnsi="Cambria Math"/>
            <w:color w:val="000000"/>
          </w:rPr>
          <m:t>P=</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sSup>
          <m:sSupPr>
            <m:ctrlPr>
              <w:rPr>
                <w:rFonts w:ascii="Cambria Math" w:hAnsi="Cambria Math"/>
                <w:color w:val="000000"/>
              </w:rPr>
            </m:ctrlPr>
          </m:sSupPr>
          <m:e>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p</m:t>
                </m:r>
              </m:sub>
            </m:sSub>
            <m:r>
              <w:rPr>
                <w:rFonts w:ascii="Cambria Math" w:hAnsi="Cambria Math"/>
                <w:color w:val="000000"/>
              </w:rPr>
              <m:t>v</m:t>
            </m:r>
          </m:e>
          <m:sup>
            <m:r>
              <w:rPr>
                <w:rFonts w:ascii="Cambria Math" w:hAnsi="Cambria Math"/>
                <w:color w:val="000000"/>
              </w:rPr>
              <m:t>3</m:t>
            </m:r>
          </m:sup>
        </m:sSup>
      </m:oMath>
      <w:r>
        <w:rPr>
          <w:color w:val="000000"/>
        </w:rPr>
        <w:t xml:space="preserve"> where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p</m:t>
            </m:r>
          </m:sub>
        </m:sSub>
      </m:oMath>
      <w:r>
        <w:rPr>
          <w:color w:val="000000"/>
        </w:rPr>
        <w:t xml:space="preserve"> is the coefficient of performance (0.4</w:t>
      </w:r>
      <w:r w:rsidR="00730EA2">
        <w:rPr>
          <w:color w:val="000000"/>
        </w:rPr>
        <w:t>8</w:t>
      </w:r>
      <w:r>
        <w:rPr>
          <w:color w:val="000000"/>
        </w:rPr>
        <w:t xml:space="preserve">) and </w:t>
      </w:r>
      <w:r w:rsidRPr="00910757">
        <w:rPr>
          <w:i/>
          <w:iCs/>
          <w:color w:val="000000"/>
        </w:rPr>
        <w:t>v</w:t>
      </w:r>
      <w:r>
        <w:rPr>
          <w:color w:val="000000"/>
        </w:rPr>
        <w:t xml:space="preserve"> is the wind speed in m/s. Wind speed data were obtained from the Wind Integration National Dataset (WIND) Toolkit </w:t>
      </w:r>
      <w:r w:rsidR="00295D44">
        <w:rPr>
          <w:color w:val="000000"/>
        </w:rPr>
        <w:fldChar w:fldCharType="begin"/>
      </w:r>
      <w:r w:rsidR="00B4325A">
        <w:rPr>
          <w:color w:val="000000"/>
        </w:rPr>
        <w:instrText xml:space="preserve"> ADDIN EN.CITE &lt;EndNote&gt;&lt;Cite&gt;&lt;Author&gt;Draxl&lt;/Author&gt;&lt;Year&gt;2015&lt;/Year&gt;&lt;RecNum&gt;66&lt;/RecNum&gt;&lt;DisplayText&gt;[2]&lt;/DisplayText&gt;&lt;record&gt;&lt;rec-number&gt;66&lt;/rec-number&gt;&lt;foreign-keys&gt;&lt;key app="EN" db-id="xwrdevr9lfe2zkesp9fppw0j0zw9rrwepp95" timestamp="1578095780" guid="db31e6f6-0154-42a1-b83c-4d5b757b5939"&gt;66&lt;/key&gt;&lt;key app="ENWeb" db-id=""&gt;0&lt;/key&gt;&lt;/foreign-keys&gt;&lt;ref-type name="Journal Article"&gt;17&lt;/ref-type&gt;&lt;contributors&gt;&lt;authors&gt;&lt;author&gt;Draxl, Caroline&lt;/author&gt;&lt;author&gt;Clifton, Andrew&lt;/author&gt;&lt;author&gt;Hodge, Bri-Mathias&lt;/author&gt;&lt;author&gt;McCaa, Jim&lt;/author&gt;&lt;/authors&gt;&lt;/contributors&gt;&lt;titles&gt;&lt;title&gt;The Wind Integration National Dataset (WIND) Toolkit&lt;/title&gt;&lt;secondary-title&gt;Applied Energy&lt;/secondary-title&gt;&lt;/titles&gt;&lt;periodical&gt;&lt;full-title&gt;Applied Energy&lt;/full-title&gt;&lt;/periodical&gt;&lt;pages&gt;355-366&lt;/pages&gt;&lt;volume&gt;151&lt;/volume&gt;&lt;section&gt;355&lt;/section&gt;&lt;dates&gt;&lt;year&gt;2015&lt;/year&gt;&lt;/dates&gt;&lt;isbn&gt;03062619&lt;/isbn&gt;&lt;urls&gt;&lt;/urls&gt;&lt;electronic-resource-num&gt;10.1016/j.apenergy.2015.03.121&lt;/electronic-resource-num&gt;&lt;/record&gt;&lt;/Cite&gt;&lt;/EndNote&gt;</w:instrText>
      </w:r>
      <w:r w:rsidR="00295D44">
        <w:rPr>
          <w:color w:val="000000"/>
        </w:rPr>
        <w:fldChar w:fldCharType="separate"/>
      </w:r>
      <w:r w:rsidR="00B4325A">
        <w:rPr>
          <w:noProof/>
          <w:color w:val="000000"/>
        </w:rPr>
        <w:t>[2]</w:t>
      </w:r>
      <w:r w:rsidR="00295D44">
        <w:rPr>
          <w:color w:val="000000"/>
        </w:rPr>
        <w:fldChar w:fldCharType="end"/>
      </w:r>
      <w:r w:rsidR="00295D44">
        <w:rPr>
          <w:color w:val="000000"/>
        </w:rPr>
        <w:t xml:space="preserve"> </w:t>
      </w:r>
      <w:r>
        <w:rPr>
          <w:color w:val="000000"/>
        </w:rPr>
        <w:t xml:space="preserve">and were used to compute dimensionless power assuming a cut-in speed of </w:t>
      </w:r>
      <w:r w:rsidR="00AF31FA">
        <w:rPr>
          <w:color w:val="000000"/>
        </w:rPr>
        <w:t>4</w:t>
      </w:r>
      <w:r>
        <w:rPr>
          <w:color w:val="000000"/>
        </w:rPr>
        <w:t>.</w:t>
      </w:r>
      <w:r w:rsidR="00AF31FA">
        <w:rPr>
          <w:color w:val="000000"/>
        </w:rPr>
        <w:t>0</w:t>
      </w:r>
      <w:r>
        <w:rPr>
          <w:color w:val="000000"/>
        </w:rPr>
        <w:t xml:space="preserve"> m/s, rated speed of 1</w:t>
      </w:r>
      <w:r w:rsidR="00AF31FA">
        <w:rPr>
          <w:color w:val="000000"/>
        </w:rPr>
        <w:t>2</w:t>
      </w:r>
      <w:r>
        <w:rPr>
          <w:color w:val="000000"/>
        </w:rPr>
        <w:t xml:space="preserve"> m/s</w:t>
      </w:r>
      <w:r w:rsidR="00EA0060">
        <w:rPr>
          <w:color w:val="000000"/>
        </w:rPr>
        <w:t>,</w:t>
      </w:r>
      <w:r>
        <w:rPr>
          <w:color w:val="000000"/>
        </w:rPr>
        <w:t xml:space="preserve"> and cut-out speed of 25 m/s.</w:t>
      </w:r>
    </w:p>
    <w:p w14:paraId="3CF12C29" w14:textId="77777777" w:rsidR="00295D44" w:rsidRPr="00C7545A" w:rsidRDefault="00295D44" w:rsidP="002721E8">
      <w:pPr>
        <w:spacing w:line="480" w:lineRule="auto"/>
        <w:contextualSpacing/>
        <w:rPr>
          <w:color w:val="000000"/>
        </w:rPr>
      </w:pPr>
    </w:p>
    <w:p w14:paraId="6BA57A91" w14:textId="1E12F158" w:rsidR="00C7545A" w:rsidRPr="00654B99" w:rsidRDefault="00654B99" w:rsidP="002721E8">
      <w:pPr>
        <w:spacing w:line="480" w:lineRule="auto"/>
        <w:contextualSpacing/>
        <w:rPr>
          <w:i/>
          <w:iCs/>
          <w:color w:val="000000"/>
        </w:rPr>
      </w:pPr>
      <w:r w:rsidRPr="00654B99">
        <w:rPr>
          <w:i/>
          <w:iCs/>
          <w:color w:val="000000"/>
        </w:rPr>
        <w:t>Directional wind p</w:t>
      </w:r>
      <w:r w:rsidR="00C7545A" w:rsidRPr="00654B99">
        <w:rPr>
          <w:i/>
          <w:iCs/>
          <w:color w:val="000000"/>
        </w:rPr>
        <w:t>ower equitability metric</w:t>
      </w:r>
    </w:p>
    <w:p w14:paraId="64E4E720" w14:textId="452E293F" w:rsidR="00295D44" w:rsidRDefault="00295D44" w:rsidP="002721E8">
      <w:pPr>
        <w:spacing w:line="480" w:lineRule="auto"/>
        <w:contextualSpacing/>
        <w:rPr>
          <w:color w:val="000000"/>
        </w:rPr>
      </w:pPr>
      <w:r>
        <w:rPr>
          <w:color w:val="000000"/>
        </w:rPr>
        <w:lastRenderedPageBreak/>
        <w:t xml:space="preserve">We developed a metric to capture the evenness of energy production around the wind rose. Using the concept of equitability, we applied Shannon’s equitability index </w:t>
      </w:r>
      <w:r w:rsidR="00902EA2">
        <w:rPr>
          <w:color w:val="000000"/>
        </w:rPr>
        <w:fldChar w:fldCharType="begin"/>
      </w:r>
      <w:r w:rsidR="00B4325A">
        <w:rPr>
          <w:color w:val="000000"/>
        </w:rPr>
        <w:instrText xml:space="preserve"> ADDIN EN.CITE &lt;EndNote&gt;&lt;Cite&gt;&lt;Author&gt;Shannon&lt;/Author&gt;&lt;Year&gt;1949&lt;/Year&gt;&lt;RecNum&gt;67&lt;/RecNum&gt;&lt;DisplayText&gt;[6]&lt;/DisplayText&gt;&lt;record&gt;&lt;rec-number&gt;67&lt;/rec-number&gt;&lt;foreign-keys&gt;&lt;key app="EN" db-id="xwrdevr9lfe2zkesp9fppw0j0zw9rrwepp95" timestamp="1578097034" guid="941e4e72-6193-4373-a392-da9e5a96def5"&gt;67&lt;/key&gt;&lt;/foreign-keys&gt;&lt;ref-type name="Book"&gt;6&lt;/ref-type&gt;&lt;contributors&gt;&lt;authors&gt;&lt;author&gt;Shannon, C.E.&lt;/author&gt;&lt;author&gt;Weaver, W.&lt;/author&gt;&lt;/authors&gt;&lt;/contributors&gt;&lt;titles&gt;&lt;title&gt;The mathematical theory of communication&lt;/title&gt;&lt;/titles&gt;&lt;section&gt;117&lt;/section&gt;&lt;dates&gt;&lt;year&gt;1949&lt;/year&gt;&lt;/dates&gt;&lt;pub-location&gt;Urbana, Illinois&lt;/pub-location&gt;&lt;publisher&gt;University of Illinois Press&lt;/publisher&gt;&lt;urls&gt;&lt;/urls&gt;&lt;/record&gt;&lt;/Cite&gt;&lt;/EndNote&gt;</w:instrText>
      </w:r>
      <w:r w:rsidR="00902EA2">
        <w:rPr>
          <w:color w:val="000000"/>
        </w:rPr>
        <w:fldChar w:fldCharType="separate"/>
      </w:r>
      <w:r w:rsidR="00B4325A">
        <w:rPr>
          <w:noProof/>
          <w:color w:val="000000"/>
        </w:rPr>
        <w:t>[6]</w:t>
      </w:r>
      <w:r w:rsidR="00902EA2">
        <w:rPr>
          <w:color w:val="000000"/>
        </w:rPr>
        <w:fldChar w:fldCharType="end"/>
      </w:r>
      <w:r w:rsidR="00CD1015">
        <w:rPr>
          <w:color w:val="000000"/>
        </w:rPr>
        <w:t xml:space="preserve"> </w:t>
      </w:r>
      <w:r>
        <w:rPr>
          <w:color w:val="000000"/>
        </w:rPr>
        <w:t>from the field of ecology to determine wind energy equitability on the basis of the aforementioned dimensionless wind power outputs. The following formulas were used:</w:t>
      </w:r>
    </w:p>
    <w:p w14:paraId="389D28DB" w14:textId="47CCAABD" w:rsidR="00295D44" w:rsidRPr="00295D44" w:rsidRDefault="00295D44" w:rsidP="002721E8">
      <w:pPr>
        <w:spacing w:line="480" w:lineRule="auto"/>
        <w:contextualSpacing/>
        <w:rPr>
          <w:color w:val="000000"/>
        </w:rPr>
      </w:pPr>
      <m:oMathPara>
        <m:oMath>
          <m:r>
            <w:rPr>
              <w:rFonts w:ascii="Cambria Math" w:hAnsi="Cambria Math"/>
              <w:color w:val="000000"/>
            </w:rPr>
            <m:t>H=-</m:t>
          </m:r>
          <m:nary>
            <m:naryPr>
              <m:chr m:val="∑"/>
              <m:limLoc m:val="undOvr"/>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S</m:t>
              </m:r>
            </m:sup>
            <m:e>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 xml:space="preserve"> ln</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i</m:t>
                  </m:r>
                </m:sub>
              </m:sSub>
              <m:r>
                <w:rPr>
                  <w:rFonts w:ascii="Cambria Math" w:hAnsi="Cambria Math"/>
                  <w:color w:val="000000"/>
                </w:rPr>
                <m:t>)</m:t>
              </m:r>
            </m:e>
          </m:nary>
        </m:oMath>
      </m:oMathPara>
    </w:p>
    <w:p w14:paraId="4370C2E6" w14:textId="16F13A5E" w:rsidR="00295D44" w:rsidRDefault="00EA0060" w:rsidP="00295D44">
      <w:pPr>
        <w:spacing w:line="480" w:lineRule="auto"/>
        <w:contextualSpacing/>
        <w:rPr>
          <w:color w:val="000000"/>
        </w:rPr>
      </w:pPr>
      <w:r>
        <w:rPr>
          <w:color w:val="000000"/>
        </w:rPr>
        <w:t>w</w:t>
      </w:r>
      <w:r w:rsidR="00295D44">
        <w:rPr>
          <w:color w:val="000000"/>
        </w:rPr>
        <w:t xml:space="preserve">here S is the number of contributing wind directions (S=16) and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i</m:t>
            </m:r>
          </m:sub>
        </m:sSub>
      </m:oMath>
      <w:r w:rsidR="00295D44">
        <w:rPr>
          <w:color w:val="000000"/>
        </w:rPr>
        <w:t xml:space="preserve"> is the relative energy contribution of</w:t>
      </w:r>
      <w:r w:rsidR="006A2DD7">
        <w:rPr>
          <w:color w:val="000000"/>
        </w:rPr>
        <w:t xml:space="preserve"> direction </w:t>
      </w:r>
      <w:proofErr w:type="spellStart"/>
      <w:r w:rsidR="006A2DD7">
        <w:rPr>
          <w:i/>
          <w:iCs/>
          <w:color w:val="000000"/>
        </w:rPr>
        <w:t>i</w:t>
      </w:r>
      <w:proofErr w:type="spellEnd"/>
      <w:r w:rsidR="00295D44">
        <w:rPr>
          <w:color w:val="000000"/>
        </w:rPr>
        <w:t>. The equitability index (</w:t>
      </w:r>
      <m:oMath>
        <m:sSub>
          <m:sSubPr>
            <m:ctrlPr>
              <w:rPr>
                <w:rFonts w:ascii="Cambria Math" w:hAnsi="Cambria Math"/>
                <w:i/>
                <w:color w:val="000000"/>
              </w:rPr>
            </m:ctrlPr>
          </m:sSubPr>
          <m:e>
            <m:r>
              <w:rPr>
                <w:rFonts w:ascii="Cambria Math" w:hAnsi="Cambria Math"/>
                <w:color w:val="000000"/>
              </w:rPr>
              <m:t>E</m:t>
            </m:r>
          </m:e>
          <m:sub>
            <m:r>
              <w:rPr>
                <w:rFonts w:ascii="Cambria Math" w:hAnsi="Cambria Math"/>
                <w:color w:val="000000"/>
              </w:rPr>
              <m:t>H</m:t>
            </m:r>
          </m:sub>
        </m:sSub>
      </m:oMath>
      <w:r w:rsidR="00295D44">
        <w:rPr>
          <w:color w:val="000000"/>
        </w:rPr>
        <w:t>) is then computed as follows:</w:t>
      </w:r>
    </w:p>
    <w:p w14:paraId="7A9F2E4A" w14:textId="4AA1FCEC" w:rsidR="00295D44" w:rsidRDefault="00C060E0" w:rsidP="00295D44">
      <w:pPr>
        <w:spacing w:line="480" w:lineRule="auto"/>
        <w:contextualSpacing/>
        <w:rPr>
          <w:color w:val="000000"/>
        </w:rPr>
      </w:pPr>
      <m:oMathPara>
        <m:oMath>
          <m:sSub>
            <m:sSubPr>
              <m:ctrlPr>
                <w:rPr>
                  <w:rFonts w:ascii="Cambria Math" w:hAnsi="Cambria Math"/>
                  <w:i/>
                  <w:color w:val="000000"/>
                </w:rPr>
              </m:ctrlPr>
            </m:sSubPr>
            <m:e>
              <m:r>
                <w:rPr>
                  <w:rFonts w:ascii="Cambria Math" w:hAnsi="Cambria Math"/>
                  <w:color w:val="000000"/>
                </w:rPr>
                <m:t>E</m:t>
              </m:r>
            </m:e>
            <m:sub>
              <m:r>
                <w:rPr>
                  <w:rFonts w:ascii="Cambria Math" w:hAnsi="Cambria Math"/>
                  <w:color w:val="000000"/>
                </w:rPr>
                <m:t>H</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H</m:t>
              </m:r>
            </m:num>
            <m:den>
              <m:r>
                <m:rPr>
                  <m:sty m:val="p"/>
                </m:rPr>
                <w:rPr>
                  <w:rFonts w:ascii="Cambria Math" w:hAnsi="Cambria Math"/>
                  <w:color w:val="000000"/>
                </w:rPr>
                <m:t>ln⁡</m:t>
              </m:r>
              <m:r>
                <w:rPr>
                  <w:rFonts w:ascii="Cambria Math" w:hAnsi="Cambria Math"/>
                  <w:color w:val="000000"/>
                </w:rPr>
                <m:t>(S)</m:t>
              </m:r>
            </m:den>
          </m:f>
        </m:oMath>
      </m:oMathPara>
    </w:p>
    <w:p w14:paraId="7765CE48" w14:textId="52F9695B" w:rsidR="00295D44" w:rsidRDefault="00295D44" w:rsidP="002721E8">
      <w:pPr>
        <w:spacing w:line="480" w:lineRule="auto"/>
        <w:contextualSpacing/>
        <w:rPr>
          <w:color w:val="000000"/>
        </w:rPr>
      </w:pPr>
      <w:r w:rsidRPr="00295D44">
        <w:rPr>
          <w:color w:val="000000"/>
        </w:rPr>
        <w:t xml:space="preserve">Values </w:t>
      </w:r>
      <w:r>
        <w:rPr>
          <w:color w:val="000000"/>
        </w:rPr>
        <w:t xml:space="preserve">of equitability </w:t>
      </w:r>
      <w:r w:rsidRPr="00295D44">
        <w:rPr>
          <w:color w:val="000000"/>
        </w:rPr>
        <w:t>range</w:t>
      </w:r>
      <w:r>
        <w:rPr>
          <w:color w:val="000000"/>
        </w:rPr>
        <w:t xml:space="preserve"> </w:t>
      </w:r>
      <w:r w:rsidR="00902EA2">
        <w:rPr>
          <w:color w:val="000000"/>
        </w:rPr>
        <w:t xml:space="preserve">continuously </w:t>
      </w:r>
      <w:r>
        <w:rPr>
          <w:color w:val="000000"/>
        </w:rPr>
        <w:t>between</w:t>
      </w:r>
      <w:r w:rsidRPr="00295D44">
        <w:rPr>
          <w:color w:val="000000"/>
        </w:rPr>
        <w:t xml:space="preserve"> </w:t>
      </w:r>
      <w:r w:rsidR="00902EA2">
        <w:rPr>
          <w:color w:val="000000"/>
        </w:rPr>
        <w:t>zero</w:t>
      </w:r>
      <w:r>
        <w:rPr>
          <w:color w:val="000000"/>
        </w:rPr>
        <w:t xml:space="preserve"> and </w:t>
      </w:r>
      <w:r w:rsidR="00902EA2">
        <w:rPr>
          <w:color w:val="000000"/>
        </w:rPr>
        <w:t>one</w:t>
      </w:r>
      <w:r w:rsidRPr="00295D44">
        <w:rPr>
          <w:color w:val="000000"/>
        </w:rPr>
        <w:t xml:space="preserve">, with </w:t>
      </w:r>
      <w:r w:rsidR="00902EA2">
        <w:rPr>
          <w:color w:val="000000"/>
        </w:rPr>
        <w:t>one</w:t>
      </w:r>
      <w:r w:rsidRPr="00295D44">
        <w:rPr>
          <w:color w:val="000000"/>
        </w:rPr>
        <w:t xml:space="preserve"> indicating complete evenness (i.e.</w:t>
      </w:r>
      <w:r w:rsidR="00EA0060">
        <w:rPr>
          <w:color w:val="000000"/>
        </w:rPr>
        <w:t>,</w:t>
      </w:r>
      <w:r w:rsidRPr="00295D44">
        <w:rPr>
          <w:color w:val="000000"/>
        </w:rPr>
        <w:t xml:space="preserve"> uniform energy contributions from all directions) and low values </w:t>
      </w:r>
      <w:r w:rsidR="00EA0060">
        <w:rPr>
          <w:color w:val="000000"/>
        </w:rPr>
        <w:t xml:space="preserve">being </w:t>
      </w:r>
      <w:r w:rsidRPr="00295D44">
        <w:rPr>
          <w:color w:val="000000"/>
        </w:rPr>
        <w:t>indicative of a dominant directional influence.</w:t>
      </w:r>
    </w:p>
    <w:p w14:paraId="7A15ABF9" w14:textId="77777777" w:rsidR="00295D44" w:rsidRPr="00295D44" w:rsidRDefault="00295D44" w:rsidP="002721E8">
      <w:pPr>
        <w:spacing w:line="480" w:lineRule="auto"/>
        <w:contextualSpacing/>
        <w:rPr>
          <w:color w:val="000000"/>
        </w:rPr>
      </w:pPr>
    </w:p>
    <w:p w14:paraId="65F6F83D" w14:textId="0B649407" w:rsidR="00C7545A" w:rsidRPr="00654B99" w:rsidRDefault="00C7545A" w:rsidP="002721E8">
      <w:pPr>
        <w:spacing w:line="480" w:lineRule="auto"/>
        <w:contextualSpacing/>
        <w:rPr>
          <w:i/>
          <w:iCs/>
          <w:color w:val="000000"/>
        </w:rPr>
      </w:pPr>
      <w:r w:rsidRPr="00654B99">
        <w:rPr>
          <w:i/>
          <w:iCs/>
          <w:color w:val="000000"/>
        </w:rPr>
        <w:t>Fractional areal extent of wind exclusions</w:t>
      </w:r>
    </w:p>
    <w:p w14:paraId="060B8DB3" w14:textId="3F58F1E1" w:rsidR="00AF31FA" w:rsidRDefault="00AF31FA" w:rsidP="002721E8">
      <w:pPr>
        <w:spacing w:line="480" w:lineRule="auto"/>
        <w:contextualSpacing/>
        <w:rPr>
          <w:color w:val="000000"/>
        </w:rPr>
      </w:pPr>
      <w:r>
        <w:rPr>
          <w:color w:val="000000"/>
        </w:rPr>
        <w:t xml:space="preserve">Wind exclusions refer to spatial criteria that constrain locations where wind deployment can occur. We used a standard set of wind exclusions </w:t>
      </w:r>
      <w:r>
        <w:rPr>
          <w:color w:val="000000"/>
        </w:rPr>
        <w:fldChar w:fldCharType="begin"/>
      </w:r>
      <w:r w:rsidR="00B4325A">
        <w:rPr>
          <w:color w:val="000000"/>
        </w:rPr>
        <w:instrText xml:space="preserve"> ADDIN EN.CITE &lt;EndNote&gt;&lt;Cite&gt;&lt;Author&gt;Lopez&lt;/Author&gt;&lt;Year&gt;2012&lt;/Year&gt;&lt;RecNum&gt;48&lt;/RecNum&gt;&lt;DisplayText&gt;[7]&lt;/DisplayText&gt;&lt;record&gt;&lt;rec-number&gt;48&lt;/rec-number&gt;&lt;foreign-keys&gt;&lt;key app="EN" db-id="xwrdevr9lfe2zkesp9fppw0j0zw9rrwepp95" timestamp="1554746922" guid="2faa6a32-3411-4e16-93ba-8cc748f6c55d"&gt;48&lt;/key&gt;&lt;/foreign-keys&gt;&lt;ref-type name="Report"&gt;27&lt;/ref-type&gt;&lt;contributors&gt;&lt;authors&gt;&lt;author&gt;Lopez, Anthony&lt;/author&gt;&lt;author&gt;Roberts, Billy&lt;/author&gt;&lt;author&gt;Heimiller, Donna&lt;/author&gt;&lt;author&gt;Blair, Nate&lt;/author&gt;&lt;author&gt;Porro, Gian&lt;/author&gt;&lt;/authors&gt;&lt;/contributors&gt;&lt;titles&gt;&lt;title&gt;U.S. Renewable Energy Technical Potentials: A GIS-based analysis&lt;/title&gt;&lt;/titles&gt;&lt;number&gt;NREL/TP-6A20-51946&lt;/number&gt;&lt;dates&gt;&lt;year&gt;2012&lt;/year&gt;&lt;/dates&gt;&lt;pub-location&gt;Golden, CO&lt;/pub-location&gt;&lt;publisher&gt;National Renewable Energy Laboratory&lt;/publisher&gt;&lt;urls&gt;&lt;/urls&gt;&lt;/record&gt;&lt;/Cite&gt;&lt;/EndNote&gt;</w:instrText>
      </w:r>
      <w:r>
        <w:rPr>
          <w:color w:val="000000"/>
        </w:rPr>
        <w:fldChar w:fldCharType="separate"/>
      </w:r>
      <w:r w:rsidR="00B4325A">
        <w:rPr>
          <w:noProof/>
          <w:color w:val="000000"/>
        </w:rPr>
        <w:t>[7]</w:t>
      </w:r>
      <w:r>
        <w:rPr>
          <w:color w:val="000000"/>
        </w:rPr>
        <w:fldChar w:fldCharType="end"/>
      </w:r>
      <w:r>
        <w:rPr>
          <w:color w:val="000000"/>
        </w:rPr>
        <w:t xml:space="preserve"> at 90</w:t>
      </w:r>
      <w:r w:rsidR="00EA0060">
        <w:rPr>
          <w:color w:val="000000"/>
        </w:rPr>
        <w:t>-</w:t>
      </w:r>
      <w:r>
        <w:rPr>
          <w:color w:val="000000"/>
        </w:rPr>
        <w:t>m resolution to delineate these areas deemed unsuitable for wind development. Similar to the processing of categorical variables described above, we computed the fractional areal extent of each 2x2 km pixel comprised by wind exclusions.</w:t>
      </w:r>
    </w:p>
    <w:p w14:paraId="572B0130" w14:textId="77777777" w:rsidR="00AF31FA" w:rsidRPr="00AF31FA" w:rsidRDefault="00AF31FA" w:rsidP="002721E8">
      <w:pPr>
        <w:spacing w:line="480" w:lineRule="auto"/>
        <w:contextualSpacing/>
        <w:rPr>
          <w:color w:val="000000"/>
        </w:rPr>
      </w:pPr>
    </w:p>
    <w:p w14:paraId="23CCD802" w14:textId="27D96D00" w:rsidR="00C7545A" w:rsidRPr="00654B99" w:rsidRDefault="00C7545A" w:rsidP="002721E8">
      <w:pPr>
        <w:spacing w:line="480" w:lineRule="auto"/>
        <w:contextualSpacing/>
        <w:rPr>
          <w:i/>
          <w:iCs/>
          <w:color w:val="000000"/>
        </w:rPr>
      </w:pPr>
      <w:r w:rsidRPr="00654B99">
        <w:rPr>
          <w:i/>
          <w:iCs/>
          <w:color w:val="000000"/>
        </w:rPr>
        <w:t>Contagion</w:t>
      </w:r>
    </w:p>
    <w:p w14:paraId="5B375551" w14:textId="1588F074" w:rsidR="00AF31FA" w:rsidRPr="005D53D2" w:rsidRDefault="00AF31FA" w:rsidP="005D53D2">
      <w:pPr>
        <w:spacing w:line="480" w:lineRule="auto"/>
      </w:pPr>
      <w:r w:rsidRPr="00AF31FA">
        <w:rPr>
          <w:color w:val="000000"/>
        </w:rPr>
        <w:t>We hypothesized</w:t>
      </w:r>
      <w:r>
        <w:rPr>
          <w:color w:val="000000"/>
        </w:rPr>
        <w:t xml:space="preserve"> that the spatial patterning of land suitable for wind development could</w:t>
      </w:r>
      <w:r w:rsidR="005D53D2">
        <w:rPr>
          <w:color w:val="000000"/>
        </w:rPr>
        <w:t xml:space="preserve"> help</w:t>
      </w:r>
      <w:r>
        <w:rPr>
          <w:color w:val="000000"/>
        </w:rPr>
        <w:t xml:space="preserve"> explain observed patterns of power density. Using the aforementioned set of standard wind </w:t>
      </w:r>
      <w:r>
        <w:rPr>
          <w:color w:val="000000"/>
        </w:rPr>
        <w:lastRenderedPageBreak/>
        <w:t>exclusions</w:t>
      </w:r>
      <w:r w:rsidR="00EA0060">
        <w:rPr>
          <w:color w:val="000000"/>
        </w:rPr>
        <w:t>,</w:t>
      </w:r>
      <w:r>
        <w:rPr>
          <w:color w:val="000000"/>
        </w:rPr>
        <w:t xml:space="preserve"> we assessed fragmentation using a contagion index to capture the relative degree of “</w:t>
      </w:r>
      <w:proofErr w:type="spellStart"/>
      <w:r>
        <w:rPr>
          <w:color w:val="000000"/>
        </w:rPr>
        <w:t>clumpiness</w:t>
      </w:r>
      <w:proofErr w:type="spellEnd"/>
      <w:r>
        <w:rPr>
          <w:color w:val="000000"/>
        </w:rPr>
        <w:t xml:space="preserve">” of landscapes based on the </w:t>
      </w:r>
      <w:r w:rsidR="005D53D2">
        <w:rPr>
          <w:color w:val="000000"/>
        </w:rPr>
        <w:t xml:space="preserve">extent and </w:t>
      </w:r>
      <w:r>
        <w:rPr>
          <w:color w:val="000000"/>
        </w:rPr>
        <w:t>spatial distribution of developable lands.</w:t>
      </w:r>
      <w:r w:rsidR="005D53D2">
        <w:rPr>
          <w:color w:val="000000"/>
        </w:rPr>
        <w:t xml:space="preserve"> A detailed description of the contagion metric and interpretation can be found online (</w:t>
      </w:r>
      <w:r w:rsidR="00385D6B" w:rsidRPr="00385D6B">
        <w:rPr>
          <w:color w:val="000000"/>
        </w:rPr>
        <w:t>L115</w:t>
      </w:r>
      <w:r w:rsidR="00385D6B">
        <w:rPr>
          <w:color w:val="000000"/>
        </w:rPr>
        <w:t xml:space="preserve">: </w:t>
      </w:r>
      <w:r w:rsidR="00385D6B" w:rsidRPr="00385D6B">
        <w:rPr>
          <w:color w:val="000000"/>
        </w:rPr>
        <w:t>Contagion Index</w:t>
      </w:r>
      <w:r w:rsidR="00385D6B">
        <w:rPr>
          <w:color w:val="000000"/>
        </w:rPr>
        <w:t>,”</w:t>
      </w:r>
      <w:r w:rsidR="00385D6B" w:rsidRPr="00385D6B">
        <w:rPr>
          <w:color w:val="000000"/>
        </w:rPr>
        <w:t xml:space="preserve"> </w:t>
      </w:r>
      <w:hyperlink r:id="rId6" w:history="1">
        <w:r w:rsidR="005D53D2">
          <w:rPr>
            <w:rStyle w:val="Hyperlink"/>
          </w:rPr>
          <w:t>http://www.umass.edu/landeco/research/fragstats/documents/Metrics/Contagion%20-%20Interspersion%20Metrics/Metrics/L115%20-%20CONTAG.htm</w:t>
        </w:r>
      </w:hyperlink>
      <w:r w:rsidR="005D53D2">
        <w:t>). Put concisely, low values of contagion are indicative of landscapes where patches of developable lands are highly interspersed. Conversely, high values of contagion would be expected in landscapes dominated by either developable lands or by undevelopable lands and would also result in situations where similar patch types have low interspersion.</w:t>
      </w:r>
    </w:p>
    <w:p w14:paraId="5BA3301C" w14:textId="77777777" w:rsidR="00654B99" w:rsidRDefault="00654B99" w:rsidP="002721E8">
      <w:pPr>
        <w:spacing w:line="480" w:lineRule="auto"/>
        <w:contextualSpacing/>
        <w:rPr>
          <w:i/>
          <w:iCs/>
          <w:color w:val="000000"/>
        </w:rPr>
      </w:pPr>
    </w:p>
    <w:p w14:paraId="3B12CD35" w14:textId="3FF60178" w:rsidR="00C7545A" w:rsidRPr="00654B99" w:rsidRDefault="00C7545A" w:rsidP="002721E8">
      <w:pPr>
        <w:spacing w:line="480" w:lineRule="auto"/>
        <w:contextualSpacing/>
        <w:rPr>
          <w:i/>
          <w:iCs/>
          <w:color w:val="000000"/>
        </w:rPr>
      </w:pPr>
      <w:r w:rsidRPr="00654B99">
        <w:rPr>
          <w:i/>
          <w:iCs/>
          <w:color w:val="000000"/>
        </w:rPr>
        <w:t>Landform regions</w:t>
      </w:r>
    </w:p>
    <w:p w14:paraId="13373400" w14:textId="52441463" w:rsidR="00C7545A" w:rsidRDefault="00AF31FA" w:rsidP="00AF31FA">
      <w:pPr>
        <w:spacing w:line="480" w:lineRule="auto"/>
        <w:contextualSpacing/>
        <w:rPr>
          <w:color w:val="000000"/>
        </w:rPr>
      </w:pPr>
      <w:r>
        <w:rPr>
          <w:color w:val="000000"/>
        </w:rPr>
        <w:t xml:space="preserve">Landform regions describe broader scale geographic features than are captured by more localized landform assessments for which we used a landform dataset created by Theobald et al. </w:t>
      </w:r>
      <w:r>
        <w:rPr>
          <w:color w:val="000000"/>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sidR="00B4325A">
        <w:rPr>
          <w:color w:val="000000"/>
        </w:rPr>
        <w:instrText xml:space="preserve"> ADDIN EN.CITE </w:instrText>
      </w:r>
      <w:r w:rsidR="00B4325A">
        <w:rPr>
          <w:color w:val="000000"/>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sidR="00B4325A">
        <w:rPr>
          <w:color w:val="000000"/>
        </w:rPr>
        <w:instrText xml:space="preserve"> ADDIN EN.CITE.DATA </w:instrText>
      </w:r>
      <w:r w:rsidR="00B4325A">
        <w:rPr>
          <w:color w:val="000000"/>
        </w:rPr>
      </w:r>
      <w:r w:rsidR="00B4325A">
        <w:rPr>
          <w:color w:val="000000"/>
        </w:rPr>
        <w:fldChar w:fldCharType="end"/>
      </w:r>
      <w:r>
        <w:rPr>
          <w:color w:val="000000"/>
        </w:rPr>
      </w:r>
      <w:r>
        <w:rPr>
          <w:color w:val="000000"/>
        </w:rPr>
        <w:fldChar w:fldCharType="separate"/>
      </w:r>
      <w:r w:rsidR="00B4325A">
        <w:rPr>
          <w:noProof/>
          <w:color w:val="000000"/>
        </w:rPr>
        <w:t>[4]</w:t>
      </w:r>
      <w:r>
        <w:rPr>
          <w:color w:val="000000"/>
        </w:rPr>
        <w:fldChar w:fldCharType="end"/>
      </w:r>
      <w:r>
        <w:rPr>
          <w:color w:val="000000"/>
        </w:rPr>
        <w:t xml:space="preserve">. </w:t>
      </w:r>
      <w:r w:rsidRPr="00AF31FA">
        <w:rPr>
          <w:color w:val="000000"/>
        </w:rPr>
        <w:t>We characterized the distribution of physical landform</w:t>
      </w:r>
      <w:r>
        <w:rPr>
          <w:color w:val="000000"/>
        </w:rPr>
        <w:t xml:space="preserve"> regions</w:t>
      </w:r>
      <w:r w:rsidRPr="00AF31FA">
        <w:rPr>
          <w:color w:val="000000"/>
        </w:rPr>
        <w:t xml:space="preserve"> using an approached outlined by </w:t>
      </w:r>
      <w:proofErr w:type="spellStart"/>
      <w:r>
        <w:rPr>
          <w:color w:val="000000"/>
        </w:rPr>
        <w:t>Karagulle</w:t>
      </w:r>
      <w:proofErr w:type="spellEnd"/>
      <w:r>
        <w:rPr>
          <w:color w:val="000000"/>
        </w:rPr>
        <w:t xml:space="preserve"> et al. </w:t>
      </w:r>
      <w:r>
        <w:rPr>
          <w:color w:val="000000"/>
        </w:rPr>
        <w:fldChar w:fldCharType="begin"/>
      </w:r>
      <w:r w:rsidR="00B4325A">
        <w:rPr>
          <w:color w:val="000000"/>
        </w:rPr>
        <w:instrText xml:space="preserve"> ADDIN EN.CITE &lt;EndNote&gt;&lt;Cite&gt;&lt;Author&gt;Karagulle&lt;/Author&gt;&lt;Year&gt;2017&lt;/Year&gt;&lt;RecNum&gt;68&lt;/RecNum&gt;&lt;DisplayText&gt;[8]&lt;/DisplayText&gt;&lt;record&gt;&lt;rec-number&gt;68&lt;/rec-number&gt;&lt;foreign-keys&gt;&lt;key app="EN" db-id="xwrdevr9lfe2zkesp9fppw0j0zw9rrwepp95" timestamp="1578098004" guid="0eb3bef6-8c6d-42d3-8698-cdefc16c2078"&gt;68&lt;/key&gt;&lt;key app="ENWeb" db-id=""&gt;0&lt;/key&gt;&lt;/foreign-keys&gt;&lt;ref-type name="Journal Article"&gt;17&lt;/ref-type&gt;&lt;contributors&gt;&lt;authors&gt;&lt;author&gt;Karagulle, Deniz&lt;/author&gt;&lt;author&gt;Frye, Charlie&lt;/author&gt;&lt;author&gt;Sayre, Roger&lt;/author&gt;&lt;author&gt;Breyer, Sean&lt;/author&gt;&lt;author&gt;Aniello, Peter&lt;/author&gt;&lt;author&gt;Vaughan, Randy&lt;/author&gt;&lt;author&gt;Wright, Dawn&lt;/author&gt;&lt;/authors&gt;&lt;/contributors&gt;&lt;titles&gt;&lt;title&gt;Modeling global Hammond landform regions from 250-m elevation data&lt;/title&gt;&lt;secondary-title&gt;Transactions in GIS&lt;/secondary-title&gt;&lt;/titles&gt;&lt;periodical&gt;&lt;full-title&gt;Transactions in GIS&lt;/full-title&gt;&lt;/periodical&gt;&lt;pages&gt;1040-1060&lt;/pages&gt;&lt;volume&gt;21&lt;/volume&gt;&lt;number&gt;5&lt;/number&gt;&lt;section&gt;1040&lt;/section&gt;&lt;dates&gt;&lt;year&gt;2017&lt;/year&gt;&lt;/dates&gt;&lt;isbn&gt;13611682&lt;/isbn&gt;&lt;urls&gt;&lt;/urls&gt;&lt;electronic-resource-num&gt;10.1111/tgis.12265&lt;/electronic-resource-num&gt;&lt;/record&gt;&lt;/Cite&gt;&lt;/EndNote&gt;</w:instrText>
      </w:r>
      <w:r>
        <w:rPr>
          <w:color w:val="000000"/>
        </w:rPr>
        <w:fldChar w:fldCharType="separate"/>
      </w:r>
      <w:r w:rsidR="00B4325A">
        <w:rPr>
          <w:noProof/>
          <w:color w:val="000000"/>
        </w:rPr>
        <w:t>[8]</w:t>
      </w:r>
      <w:r>
        <w:rPr>
          <w:color w:val="000000"/>
        </w:rPr>
        <w:fldChar w:fldCharType="end"/>
      </w:r>
      <w:r>
        <w:rPr>
          <w:color w:val="000000"/>
        </w:rPr>
        <w:t xml:space="preserve">. Using their methodology to characterize slope, profile, and local relief </w:t>
      </w:r>
      <w:r w:rsidR="006A2DD7">
        <w:rPr>
          <w:color w:val="000000"/>
        </w:rPr>
        <w:t xml:space="preserve">from a digital elevation model provided by the Shuttle Radar Topography Mission (SRTM) </w:t>
      </w:r>
      <w:r w:rsidR="006A2DD7">
        <w:rPr>
          <w:color w:val="000000"/>
        </w:rPr>
        <w:fldChar w:fldCharType="begin"/>
      </w:r>
      <w:r w:rsidR="006A2DD7">
        <w:rPr>
          <w:color w:val="000000"/>
        </w:rPr>
        <w:instrText xml:space="preserve"> ADDIN EN.CITE &lt;EndNote&gt;&lt;Cite&gt;&lt;Author&gt;Farr&lt;/Author&gt;&lt;Year&gt;2007&lt;/Year&gt;&lt;RecNum&gt;70&lt;/RecNum&gt;&lt;DisplayText&gt;[9]&lt;/DisplayText&gt;&lt;record&gt;&lt;rec-number&gt;70&lt;/rec-number&gt;&lt;foreign-keys&gt;&lt;key app="EN" db-id="xwrdevr9lfe2zkesp9fppw0j0zw9rrwepp95" timestamp="1578098835" guid="d17b6f14-e4be-4fac-9545-cc01f9b9b4be"&gt;70&lt;/key&gt;&lt;key app="ENWeb" db-id=""&gt;0&lt;/key&gt;&lt;/foreign-keys&gt;&lt;ref-type name="Journal Article"&gt;17&lt;/ref-type&gt;&lt;contributors&gt;&lt;authors&gt;&lt;author&gt;Farr, Tom G.&lt;/author&gt;&lt;author&gt;Rosen, Paul A.&lt;/author&gt;&lt;author&gt;Caro, Edward&lt;/author&gt;&lt;author&gt;Crippen, Robert&lt;/author&gt;&lt;author&gt;Duren, Riley&lt;/author&gt;&lt;author&gt;Hensley, Scott&lt;/author&gt;&lt;author&gt;Kobrick, Michael&lt;/author&gt;&lt;author&gt;Paller, Mimi&lt;/author&gt;&lt;author&gt;Rodriguez, Ernesto&lt;/author&gt;&lt;author&gt;Roth, Ladislav&lt;/author&gt;&lt;author&gt;Seal, David&lt;/author&gt;&lt;author&gt;Shaffer, Scott&lt;/author&gt;&lt;author&gt;Shimada, Joanne&lt;/author&gt;&lt;author&gt;Umland, Jeffrey&lt;/author&gt;&lt;author&gt;Werner, Marian&lt;/author&gt;&lt;author&gt;Oskin, Michael&lt;/author&gt;&lt;author&gt;Burbank, Douglas&lt;/author&gt;&lt;author&gt;Alsdorf, Douglas&lt;/author&gt;&lt;/authors&gt;&lt;/contributors&gt;&lt;titles&gt;&lt;title&gt;The Shuttle Radar Topography Mission&lt;/title&gt;&lt;secondary-title&gt;Reviews of Geophysics&lt;/secondary-title&gt;&lt;/titles&gt;&lt;periodical&gt;&lt;full-title&gt;Reviews of Geophysics&lt;/full-title&gt;&lt;/periodical&gt;&lt;volume&gt;45&lt;/volume&gt;&lt;number&gt;2&lt;/number&gt;&lt;dates&gt;&lt;year&gt;2007&lt;/year&gt;&lt;/dates&gt;&lt;isbn&gt;8755-1209&lt;/isbn&gt;&lt;urls&gt;&lt;/urls&gt;&lt;electronic-resource-num&gt;10.1029/2005rg000183&lt;/electronic-resource-num&gt;&lt;/record&gt;&lt;/Cite&gt;&lt;/EndNote&gt;</w:instrText>
      </w:r>
      <w:r w:rsidR="006A2DD7">
        <w:rPr>
          <w:color w:val="000000"/>
        </w:rPr>
        <w:fldChar w:fldCharType="separate"/>
      </w:r>
      <w:r w:rsidR="006A2DD7">
        <w:rPr>
          <w:noProof/>
          <w:color w:val="000000"/>
        </w:rPr>
        <w:t>[9]</w:t>
      </w:r>
      <w:r w:rsidR="006A2DD7">
        <w:rPr>
          <w:color w:val="000000"/>
        </w:rPr>
        <w:fldChar w:fldCharType="end"/>
      </w:r>
      <w:r w:rsidR="00385D6B">
        <w:rPr>
          <w:color w:val="000000"/>
        </w:rPr>
        <w:t>,</w:t>
      </w:r>
      <w:r w:rsidR="006A2DD7">
        <w:rPr>
          <w:color w:val="000000"/>
        </w:rPr>
        <w:t xml:space="preserve"> </w:t>
      </w:r>
      <w:r>
        <w:rPr>
          <w:color w:val="000000"/>
        </w:rPr>
        <w:t>we derived landform regions for the United States at 30</w:t>
      </w:r>
      <w:r w:rsidR="00385D6B">
        <w:rPr>
          <w:color w:val="000000"/>
        </w:rPr>
        <w:t>-</w:t>
      </w:r>
      <w:r>
        <w:rPr>
          <w:color w:val="000000"/>
        </w:rPr>
        <w:t>m spatial resolution in Google Earth Engine. A more detailed explanation of modeling methodology and description of the landform regions is available in</w:t>
      </w:r>
      <w:r w:rsidR="00385D6B">
        <w:rPr>
          <w:color w:val="000000"/>
        </w:rPr>
        <w:t xml:space="preserve"> </w:t>
      </w:r>
      <w:proofErr w:type="spellStart"/>
      <w:r w:rsidR="00385D6B">
        <w:rPr>
          <w:color w:val="000000"/>
        </w:rPr>
        <w:t>Karagulle</w:t>
      </w:r>
      <w:proofErr w:type="spellEnd"/>
      <w:r w:rsidR="00385D6B">
        <w:rPr>
          <w:color w:val="000000"/>
        </w:rPr>
        <w:t xml:space="preserve"> et al.</w:t>
      </w:r>
      <w:r>
        <w:rPr>
          <w:color w:val="000000"/>
        </w:rPr>
        <w:t xml:space="preserve"> </w:t>
      </w:r>
      <w:r>
        <w:rPr>
          <w:color w:val="000000"/>
        </w:rPr>
        <w:fldChar w:fldCharType="begin"/>
      </w:r>
      <w:r w:rsidR="00B4325A">
        <w:rPr>
          <w:color w:val="000000"/>
        </w:rPr>
        <w:instrText xml:space="preserve"> ADDIN EN.CITE &lt;EndNote&gt;&lt;Cite&gt;&lt;Author&gt;Karagulle&lt;/Author&gt;&lt;Year&gt;2017&lt;/Year&gt;&lt;RecNum&gt;68&lt;/RecNum&gt;&lt;DisplayText&gt;[8]&lt;/DisplayText&gt;&lt;record&gt;&lt;rec-number&gt;68&lt;/rec-number&gt;&lt;foreign-keys&gt;&lt;key app="EN" db-id="xwrdevr9lfe2zkesp9fppw0j0zw9rrwepp95" timestamp="1578098004" guid="0eb3bef6-8c6d-42d3-8698-cdefc16c2078"&gt;68&lt;/key&gt;&lt;key app="ENWeb" db-id=""&gt;0&lt;/key&gt;&lt;/foreign-keys&gt;&lt;ref-type name="Journal Article"&gt;17&lt;/ref-type&gt;&lt;contributors&gt;&lt;authors&gt;&lt;author&gt;Karagulle, Deniz&lt;/author&gt;&lt;author&gt;Frye, Charlie&lt;/author&gt;&lt;author&gt;Sayre, Roger&lt;/author&gt;&lt;author&gt;Breyer, Sean&lt;/author&gt;&lt;author&gt;Aniello, Peter&lt;/author&gt;&lt;author&gt;Vaughan, Randy&lt;/author&gt;&lt;author&gt;Wright, Dawn&lt;/author&gt;&lt;/authors&gt;&lt;/contributors&gt;&lt;titles&gt;&lt;title&gt;Modeling global Hammond landform regions from 250-m elevation data&lt;/title&gt;&lt;secondary-title&gt;Transactions in GIS&lt;/secondary-title&gt;&lt;/titles&gt;&lt;periodical&gt;&lt;full-title&gt;Transactions in GIS&lt;/full-title&gt;&lt;/periodical&gt;&lt;pages&gt;1040-1060&lt;/pages&gt;&lt;volume&gt;21&lt;/volume&gt;&lt;number&gt;5&lt;/number&gt;&lt;section&gt;1040&lt;/section&gt;&lt;dates&gt;&lt;year&gt;2017&lt;/year&gt;&lt;/dates&gt;&lt;isbn&gt;13611682&lt;/isbn&gt;&lt;urls&gt;&lt;/urls&gt;&lt;electronic-resource-num&gt;10.1111/tgis.12265&lt;/electronic-resource-num&gt;&lt;/record&gt;&lt;/Cite&gt;&lt;/EndNote&gt;</w:instrText>
      </w:r>
      <w:r>
        <w:rPr>
          <w:color w:val="000000"/>
        </w:rPr>
        <w:fldChar w:fldCharType="separate"/>
      </w:r>
      <w:r w:rsidR="00B4325A">
        <w:rPr>
          <w:noProof/>
          <w:color w:val="000000"/>
        </w:rPr>
        <w:t>[8]</w:t>
      </w:r>
      <w:r>
        <w:rPr>
          <w:color w:val="000000"/>
        </w:rPr>
        <w:fldChar w:fldCharType="end"/>
      </w:r>
      <w:r>
        <w:rPr>
          <w:color w:val="000000"/>
        </w:rPr>
        <w:t xml:space="preserve">. </w:t>
      </w:r>
    </w:p>
    <w:p w14:paraId="778032F2" w14:textId="77777777" w:rsidR="00F0321D" w:rsidRDefault="00F0321D" w:rsidP="00321166">
      <w:pPr>
        <w:spacing w:line="480" w:lineRule="auto"/>
        <w:contextualSpacing/>
        <w:rPr>
          <w:color w:val="000000"/>
        </w:rPr>
      </w:pPr>
    </w:p>
    <w:p w14:paraId="4BACF0AC" w14:textId="77777777" w:rsidR="005E4F4A" w:rsidRPr="005E4F4A" w:rsidRDefault="005E4F4A" w:rsidP="00321166">
      <w:pPr>
        <w:spacing w:line="480" w:lineRule="auto"/>
        <w:contextualSpacing/>
        <w:rPr>
          <w:b/>
          <w:color w:val="000000"/>
        </w:rPr>
      </w:pPr>
    </w:p>
    <w:p w14:paraId="4FF8B529" w14:textId="349C6F45" w:rsidR="005E4F4A" w:rsidRPr="008A4D7D" w:rsidRDefault="005E4F4A" w:rsidP="00321166">
      <w:pPr>
        <w:spacing w:line="480" w:lineRule="auto"/>
        <w:contextualSpacing/>
        <w:rPr>
          <w:color w:val="000000"/>
        </w:rPr>
        <w:sectPr w:rsidR="005E4F4A" w:rsidRPr="008A4D7D" w:rsidSect="004544D4">
          <w:pgSz w:w="12240" w:h="15840"/>
          <w:pgMar w:top="1440" w:right="1440" w:bottom="1440" w:left="1440" w:header="720" w:footer="720" w:gutter="0"/>
          <w:cols w:space="720"/>
          <w:docGrid w:linePitch="360"/>
        </w:sectPr>
      </w:pPr>
    </w:p>
    <w:p w14:paraId="7FDA21E3" w14:textId="4F3E0AF3" w:rsidR="00C13DBB" w:rsidRDefault="00C13DBB" w:rsidP="00C13DBB">
      <w:pPr>
        <w:pStyle w:val="Caption"/>
        <w:keepNext/>
      </w:pPr>
      <w:bookmarkStart w:id="2" w:name="_Ref8114369"/>
      <w:r>
        <w:lastRenderedPageBreak/>
        <w:t xml:space="preserve">Table </w:t>
      </w:r>
      <w:r w:rsidR="00883FA1">
        <w:t>S</w:t>
      </w:r>
      <w:r w:rsidR="00EA0060">
        <w:t>-</w:t>
      </w:r>
      <w:r w:rsidR="00C060E0">
        <w:fldChar w:fldCharType="begin"/>
      </w:r>
      <w:r w:rsidR="00C060E0">
        <w:instrText xml:space="preserve"> SEQ Table \* ARABIC </w:instrText>
      </w:r>
      <w:r w:rsidR="00C060E0">
        <w:fldChar w:fldCharType="separate"/>
      </w:r>
      <w:r>
        <w:rPr>
          <w:noProof/>
        </w:rPr>
        <w:t>1</w:t>
      </w:r>
      <w:r w:rsidR="00C060E0">
        <w:rPr>
          <w:noProof/>
        </w:rPr>
        <w:fldChar w:fldCharType="end"/>
      </w:r>
      <w:bookmarkEnd w:id="2"/>
      <w:r>
        <w:t>. Geospatial datasets used in the modeling of power density. Description and original source of variables is provided.</w:t>
      </w:r>
      <w:r w:rsidR="00385D6B">
        <w:t xml:space="preserve"> </w:t>
      </w:r>
      <w:r w:rsidR="00385D6B" w:rsidRPr="00385D6B">
        <w:t>An asterisk (*) indicates</w:t>
      </w:r>
      <w:r w:rsidR="00910757">
        <w:t xml:space="preserve"> variable was selected for use in the final predictive model.</w:t>
      </w:r>
    </w:p>
    <w:tbl>
      <w:tblPr>
        <w:tblW w:w="5000" w:type="pct"/>
        <w:tblLook w:val="04A0" w:firstRow="1" w:lastRow="0" w:firstColumn="1" w:lastColumn="0" w:noHBand="0" w:noVBand="1"/>
      </w:tblPr>
      <w:tblGrid>
        <w:gridCol w:w="871"/>
        <w:gridCol w:w="4811"/>
        <w:gridCol w:w="3678"/>
      </w:tblGrid>
      <w:tr w:rsidR="00910757" w:rsidRPr="00CA7BCB" w14:paraId="0E49215A" w14:textId="77777777" w:rsidTr="00910757">
        <w:trPr>
          <w:trHeight w:val="216"/>
          <w:tblHeader/>
        </w:trPr>
        <w:tc>
          <w:tcPr>
            <w:tcW w:w="465" w:type="pct"/>
            <w:tcBorders>
              <w:top w:val="single" w:sz="4" w:space="0" w:color="auto"/>
              <w:left w:val="nil"/>
              <w:bottom w:val="single" w:sz="4" w:space="0" w:color="auto"/>
              <w:right w:val="nil"/>
            </w:tcBorders>
          </w:tcPr>
          <w:p w14:paraId="01F3A8E1" w14:textId="77777777" w:rsidR="00910757"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Variable</w:t>
            </w:r>
          </w:p>
        </w:tc>
        <w:tc>
          <w:tcPr>
            <w:tcW w:w="2570" w:type="pct"/>
            <w:tcBorders>
              <w:top w:val="single" w:sz="4" w:space="0" w:color="auto"/>
              <w:left w:val="nil"/>
              <w:bottom w:val="single" w:sz="4" w:space="0" w:color="auto"/>
              <w:right w:val="nil"/>
            </w:tcBorders>
          </w:tcPr>
          <w:p w14:paraId="7BA25E75" w14:textId="77777777" w:rsidR="00910757"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Description</w:t>
            </w:r>
          </w:p>
        </w:tc>
        <w:tc>
          <w:tcPr>
            <w:tcW w:w="1965" w:type="pct"/>
            <w:tcBorders>
              <w:top w:val="single" w:sz="4" w:space="0" w:color="auto"/>
              <w:left w:val="nil"/>
              <w:bottom w:val="single" w:sz="4" w:space="0" w:color="auto"/>
              <w:right w:val="nil"/>
            </w:tcBorders>
          </w:tcPr>
          <w:p w14:paraId="1F0E9A7B" w14:textId="77777777" w:rsidR="00910757"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Source</w:t>
            </w:r>
          </w:p>
        </w:tc>
      </w:tr>
      <w:tr w:rsidR="00910757" w:rsidRPr="00CA7BCB" w14:paraId="314E541D" w14:textId="77777777" w:rsidTr="00910757">
        <w:trPr>
          <w:trHeight w:val="216"/>
        </w:trPr>
        <w:tc>
          <w:tcPr>
            <w:tcW w:w="465" w:type="pct"/>
            <w:tcBorders>
              <w:top w:val="nil"/>
              <w:left w:val="nil"/>
              <w:bottom w:val="nil"/>
              <w:right w:val="nil"/>
            </w:tcBorders>
          </w:tcPr>
          <w:p w14:paraId="269123CF" w14:textId="77777777" w:rsidR="00910757" w:rsidRPr="00CA7BCB"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ACC*</w:t>
            </w:r>
          </w:p>
        </w:tc>
        <w:tc>
          <w:tcPr>
            <w:tcW w:w="2570" w:type="pct"/>
            <w:tcBorders>
              <w:top w:val="single" w:sz="4" w:space="0" w:color="auto"/>
              <w:left w:val="nil"/>
              <w:bottom w:val="nil"/>
              <w:right w:val="nil"/>
            </w:tcBorders>
            <w:vAlign w:val="bottom"/>
          </w:tcPr>
          <w:p w14:paraId="291772D3" w14:textId="77777777" w:rsidR="00910757" w:rsidRPr="00CA7BCB"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Urban a</w:t>
            </w:r>
            <w:r w:rsidRPr="00CA7BCB">
              <w:rPr>
                <w:rFonts w:ascii="Arial" w:hAnsi="Arial" w:cs="Arial"/>
                <w:color w:val="000000"/>
                <w:sz w:val="16"/>
                <w:szCs w:val="16"/>
              </w:rPr>
              <w:t>ccessibility</w:t>
            </w:r>
            <w:r>
              <w:rPr>
                <w:rFonts w:ascii="Arial" w:hAnsi="Arial" w:cs="Arial"/>
                <w:color w:val="000000"/>
                <w:sz w:val="16"/>
                <w:szCs w:val="16"/>
              </w:rPr>
              <w:t xml:space="preserve"> measured through travel time to nearest urban center (minutes)</w:t>
            </w:r>
          </w:p>
        </w:tc>
        <w:tc>
          <w:tcPr>
            <w:tcW w:w="1965" w:type="pct"/>
            <w:tcBorders>
              <w:top w:val="single" w:sz="4" w:space="0" w:color="auto"/>
              <w:left w:val="nil"/>
              <w:bottom w:val="nil"/>
              <w:right w:val="nil"/>
            </w:tcBorders>
          </w:tcPr>
          <w:p w14:paraId="039CCC18" w14:textId="5909218C" w:rsidR="00910757" w:rsidRDefault="00910757" w:rsidP="00321166">
            <w:pPr>
              <w:spacing w:line="480" w:lineRule="auto"/>
              <w:contextualSpacing/>
              <w:jc w:val="right"/>
              <w:rPr>
                <w:rFonts w:ascii="Arial" w:hAnsi="Arial" w:cs="Arial"/>
                <w:color w:val="000000"/>
                <w:sz w:val="16"/>
                <w:szCs w:val="16"/>
              </w:rPr>
            </w:pPr>
            <w:r>
              <w:rPr>
                <w:rFonts w:ascii="Arial" w:hAnsi="Arial" w:cs="Arial"/>
                <w:color w:val="000000"/>
                <w:sz w:val="16"/>
                <w:szCs w:val="16"/>
              </w:rPr>
              <w:fldChar w:fldCharType="begin">
                <w:fldData xml:space="preserve">PEVuZE5vdGU+PENpdGU+PEF1dGhvcj5XZWlzczwvQXV0aG9yPjxZZWFyPjIwMTg8L1llYXI+PFJl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</w:fldData>
              </w:fldChar>
            </w:r>
            <w:r>
              <w:rPr>
                <w:rFonts w:ascii="Arial" w:hAnsi="Arial" w:cs="Arial"/>
                <w:color w:val="000000"/>
                <w:sz w:val="16"/>
                <w:szCs w:val="16"/>
              </w:rPr>
              <w:instrText xml:space="preserve"> ADDIN EN.CITE </w:instrText>
            </w:r>
            <w:r>
              <w:rPr>
                <w:rFonts w:ascii="Arial" w:hAnsi="Arial" w:cs="Arial"/>
                <w:color w:val="000000"/>
                <w:sz w:val="16"/>
                <w:szCs w:val="16"/>
              </w:rPr>
              <w:fldChar w:fldCharType="begin">
                <w:fldData xml:space="preserve">PEVuZE5vdGU+PENpdGU+PEF1dGhvcj5XZWlzczwvQXV0aG9yPjxZZWFyPjIwMTg8L1llYXI+PFJl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</w:fldData>
              </w:fldChar>
            </w:r>
            <w:r>
              <w:rPr>
                <w:rFonts w:ascii="Arial" w:hAnsi="Arial" w:cs="Arial"/>
                <w:color w:val="000000"/>
                <w:sz w:val="16"/>
                <w:szCs w:val="16"/>
              </w:rPr>
              <w:instrText xml:space="preserve"> ADDIN EN.CITE.DATA </w:instrText>
            </w:r>
            <w:r>
              <w:rPr>
                <w:rFonts w:ascii="Arial" w:hAnsi="Arial" w:cs="Arial"/>
                <w:color w:val="000000"/>
                <w:sz w:val="16"/>
                <w:szCs w:val="16"/>
              </w:rPr>
            </w:r>
            <w:r>
              <w:rPr>
                <w:rFonts w:ascii="Arial" w:hAnsi="Arial" w:cs="Arial"/>
                <w:color w:val="000000"/>
                <w:sz w:val="16"/>
                <w:szCs w:val="16"/>
              </w:rPr>
              <w:fldChar w:fldCharType="end"/>
            </w:r>
            <w:r>
              <w:rPr>
                <w:rFonts w:ascii="Arial" w:hAnsi="Arial" w:cs="Arial"/>
                <w:color w:val="000000"/>
                <w:sz w:val="16"/>
                <w:szCs w:val="16"/>
              </w:rPr>
            </w:r>
            <w:r>
              <w:rPr>
                <w:rFonts w:ascii="Arial" w:hAnsi="Arial" w:cs="Arial"/>
                <w:color w:val="000000"/>
                <w:sz w:val="16"/>
                <w:szCs w:val="16"/>
              </w:rPr>
              <w:fldChar w:fldCharType="separate"/>
            </w:r>
            <w:r>
              <w:rPr>
                <w:rFonts w:ascii="Arial" w:hAnsi="Arial" w:cs="Arial"/>
                <w:noProof/>
                <w:color w:val="000000"/>
                <w:sz w:val="16"/>
                <w:szCs w:val="16"/>
              </w:rPr>
              <w:t>[10]</w:t>
            </w:r>
            <w:r>
              <w:rPr>
                <w:rFonts w:ascii="Arial" w:hAnsi="Arial" w:cs="Arial"/>
                <w:color w:val="000000"/>
                <w:sz w:val="16"/>
                <w:szCs w:val="16"/>
              </w:rPr>
              <w:fldChar w:fldCharType="end"/>
            </w:r>
            <w:r>
              <w:rPr>
                <w:rFonts w:ascii="Arial" w:hAnsi="Arial" w:cs="Arial"/>
                <w:color w:val="000000"/>
                <w:sz w:val="16"/>
                <w:szCs w:val="16"/>
              </w:rPr>
              <w:t xml:space="preserve"> </w:t>
            </w:r>
          </w:p>
        </w:tc>
      </w:tr>
      <w:tr w:rsidR="00910757" w:rsidRPr="00CA7BCB" w14:paraId="4C2206A0" w14:textId="77777777" w:rsidTr="00910757">
        <w:trPr>
          <w:trHeight w:val="216"/>
        </w:trPr>
        <w:tc>
          <w:tcPr>
            <w:tcW w:w="465" w:type="pct"/>
            <w:tcBorders>
              <w:top w:val="single" w:sz="4" w:space="0" w:color="auto"/>
              <w:left w:val="nil"/>
              <w:bottom w:val="nil"/>
              <w:right w:val="nil"/>
            </w:tcBorders>
          </w:tcPr>
          <w:p w14:paraId="24FDBA7F" w14:textId="77777777" w:rsidR="00910757"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BUI</w:t>
            </w:r>
          </w:p>
        </w:tc>
        <w:tc>
          <w:tcPr>
            <w:tcW w:w="2570" w:type="pct"/>
            <w:tcBorders>
              <w:left w:val="nil"/>
              <w:bottom w:val="nil"/>
              <w:right w:val="nil"/>
            </w:tcBorders>
            <w:vAlign w:val="bottom"/>
          </w:tcPr>
          <w:p w14:paraId="34E86B6F" w14:textId="77777777" w:rsidR="00910757" w:rsidRPr="00CA7BCB"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Built-up intensity of residential and commercial buildings (m</w:t>
            </w:r>
            <w:r>
              <w:rPr>
                <w:rFonts w:ascii="Arial" w:hAnsi="Arial" w:cs="Arial"/>
                <w:color w:val="000000"/>
                <w:sz w:val="16"/>
                <w:szCs w:val="16"/>
                <w:vertAlign w:val="superscript"/>
              </w:rPr>
              <w:t>2</w:t>
            </w:r>
            <w:r>
              <w:rPr>
                <w:rFonts w:ascii="Arial" w:hAnsi="Arial" w:cs="Arial"/>
                <w:color w:val="000000"/>
                <w:sz w:val="16"/>
                <w:szCs w:val="16"/>
              </w:rPr>
              <w:t>)</w:t>
            </w:r>
          </w:p>
        </w:tc>
        <w:tc>
          <w:tcPr>
            <w:tcW w:w="1965" w:type="pct"/>
            <w:tcBorders>
              <w:left w:val="nil"/>
              <w:bottom w:val="nil"/>
              <w:right w:val="nil"/>
            </w:tcBorders>
          </w:tcPr>
          <w:p w14:paraId="536E5E3C" w14:textId="647A6227" w:rsidR="00910757" w:rsidRDefault="00910757" w:rsidP="0032116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&lt;EndNote&gt;&lt;Cite&gt;&lt;Author&gt;Leyk&lt;/Author&gt;&lt;Year&gt;2018&lt;/Year&gt;&lt;RecNum&gt;34&lt;/RecNum&gt;&lt;DisplayText&gt;[11]&lt;/DisplayText&gt;&lt;record&gt;&lt;rec-number&gt;34&lt;/rec-number&gt;&lt;foreign-keys&gt;&lt;key app="EN" db-id="xwrdevr9lfe2zkesp9fppw0j0zw9rrwepp95" timestamp="1553838711" guid="76b063a4-bc9e-4765-9487-440fb6ee6635"&gt;34&lt;/key&gt;&lt;key app="ENWeb" db-id=""&gt;0&lt;/key&gt;&lt;/foreign-keys&gt;&lt;ref-type name="Journal Article"&gt;17&lt;/ref-type&gt;&lt;contributors&gt;&lt;authors&gt;&lt;author&gt;Leyk, S.&lt;/author&gt;&lt;author&gt;Uhl, J. H.&lt;/author&gt;&lt;/authors&gt;&lt;/contributors&gt;&lt;auth-address&gt;Department of Geography, University of Colorado Boulder, 260 UCB, Boulder, CO 80309, USA.&lt;/auth-address&gt;&lt;titles&gt;&lt;title&gt;HISDAC-US, historical settlement data compilation for the conterminous United States over 200 years&lt;/title&gt;&lt;secondary-title&gt;Sci Data&lt;/secondary-title&gt;&lt;/titles&gt;&lt;periodical&gt;&lt;full-title&gt;Sci Data&lt;/full-title&gt;&lt;/periodical&gt;&lt;pages&gt;180175&lt;/pages&gt;&lt;volume&gt;5&lt;/volume&gt;&lt;edition&gt;2018/09/05&lt;/edition&gt;&lt;dates&gt;&lt;year&gt;2018&lt;/year&gt;&lt;pub-dates&gt;&lt;date&gt;Sep 4&lt;/date&gt;&lt;/pub-dates&gt;&lt;/dates&gt;&lt;isbn&gt;2052-4463 (Electronic)&amp;#xD;2052-4463 (Linking)&lt;/isbn&gt;&lt;accession-num&gt;30179234&lt;/accession-num&gt;&lt;urls&gt;&lt;related-urls&gt;&lt;url&gt;https://www.ncbi.nlm.nih.gov/pubmed/30179234&lt;/url&gt;&lt;/related-urls&gt;&lt;/urls&gt;&lt;custom2&gt;PMC6122163&lt;/custom2&gt;&lt;electronic-resource-num&gt;10.1038/sdata.2018.175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[11]</w:t>
            </w:r>
            <w:r>
              <w:rPr>
                <w:rFonts w:ascii="Arial" w:hAnsi="Arial" w:cs="Arial"/>
                <w:color w:val="000000"/>
                <w:sz w:val="16"/>
                <w:szCs w:val="16"/>
              </w:rPr>
              <w:fldChar w:fldCharType="end"/>
            </w:r>
          </w:p>
        </w:tc>
      </w:tr>
      <w:tr w:rsidR="00910757" w:rsidRPr="00CA7BCB" w14:paraId="5E65EA0D" w14:textId="77777777" w:rsidTr="00C13DBB">
        <w:trPr>
          <w:trHeight w:val="216"/>
        </w:trPr>
        <w:tc>
          <w:tcPr>
            <w:tcW w:w="465" w:type="pct"/>
            <w:tcBorders>
              <w:top w:val="nil"/>
              <w:left w:val="nil"/>
              <w:bottom w:val="nil"/>
              <w:right w:val="nil"/>
            </w:tcBorders>
          </w:tcPr>
          <w:p w14:paraId="5065185E"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CLF</w:t>
            </w:r>
          </w:p>
        </w:tc>
        <w:tc>
          <w:tcPr>
            <w:tcW w:w="2570" w:type="pct"/>
            <w:tcBorders>
              <w:top w:val="nil"/>
              <w:left w:val="nil"/>
              <w:bottom w:val="nil"/>
              <w:right w:val="nil"/>
            </w:tcBorders>
            <w:vAlign w:val="bottom"/>
          </w:tcPr>
          <w:p w14:paraId="5164ABBC"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cliff landform (unitless)</w:t>
            </w:r>
          </w:p>
        </w:tc>
        <w:tc>
          <w:tcPr>
            <w:tcW w:w="1965" w:type="pct"/>
            <w:tcBorders>
              <w:top w:val="nil"/>
              <w:left w:val="nil"/>
              <w:bottom w:val="nil"/>
              <w:right w:val="nil"/>
            </w:tcBorders>
          </w:tcPr>
          <w:p w14:paraId="1E1D201E" w14:textId="77777777" w:rsidR="00910757" w:rsidRDefault="00910757" w:rsidP="00C87DA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 </w:instrTex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EN.CITE.DATA </w:instrText>
            </w:r>
            <w:r>
              <w:rPr>
                <w:rFonts w:ascii="Arial" w:hAnsi="Arial" w:cs="Arial"/>
                <w:color w:val="000000"/>
                <w:sz w:val="16"/>
                <w:szCs w:val="16"/>
              </w:rPr>
            </w:r>
            <w:r>
              <w:rPr>
                <w:rFonts w:ascii="Arial" w:hAnsi="Arial" w:cs="Arial"/>
                <w:color w:val="000000"/>
                <w:sz w:val="16"/>
                <w:szCs w:val="16"/>
              </w:rPr>
              <w:fldChar w:fldCharType="end"/>
            </w:r>
            <w:r>
              <w:rPr>
                <w:rFonts w:ascii="Arial" w:hAnsi="Arial" w:cs="Arial"/>
                <w:color w:val="000000"/>
                <w:sz w:val="16"/>
                <w:szCs w:val="16"/>
              </w:rPr>
            </w:r>
            <w:r>
              <w:rPr>
                <w:rFonts w:ascii="Arial" w:hAnsi="Arial" w:cs="Arial"/>
                <w:color w:val="000000"/>
                <w:sz w:val="16"/>
                <w:szCs w:val="16"/>
              </w:rPr>
              <w:fldChar w:fldCharType="separate"/>
            </w:r>
            <w:r>
              <w:rPr>
                <w:rFonts w:ascii="Arial" w:hAnsi="Arial" w:cs="Arial"/>
                <w:noProof/>
                <w:color w:val="000000"/>
                <w:sz w:val="16"/>
                <w:szCs w:val="16"/>
              </w:rPr>
              <w:t>[4]</w:t>
            </w:r>
            <w:r>
              <w:rPr>
                <w:rFonts w:ascii="Arial" w:hAnsi="Arial" w:cs="Arial"/>
                <w:color w:val="000000"/>
                <w:sz w:val="16"/>
                <w:szCs w:val="16"/>
              </w:rPr>
              <w:fldChar w:fldCharType="end"/>
            </w:r>
          </w:p>
        </w:tc>
      </w:tr>
      <w:tr w:rsidR="00910757" w:rsidRPr="00CA7BCB" w14:paraId="53A387AD" w14:textId="77777777" w:rsidTr="00C13DBB">
        <w:trPr>
          <w:trHeight w:val="216"/>
        </w:trPr>
        <w:tc>
          <w:tcPr>
            <w:tcW w:w="465" w:type="pct"/>
            <w:tcBorders>
              <w:top w:val="nil"/>
              <w:left w:val="nil"/>
              <w:bottom w:val="nil"/>
              <w:right w:val="nil"/>
            </w:tcBorders>
          </w:tcPr>
          <w:p w14:paraId="06D0D5AF"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CON*</w:t>
            </w:r>
          </w:p>
        </w:tc>
        <w:tc>
          <w:tcPr>
            <w:tcW w:w="2570" w:type="pct"/>
            <w:tcBorders>
              <w:top w:val="nil"/>
              <w:left w:val="nil"/>
              <w:bottom w:val="nil"/>
              <w:right w:val="nil"/>
            </w:tcBorders>
            <w:vAlign w:val="bottom"/>
          </w:tcPr>
          <w:p w14:paraId="14A24FB4"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 xml:space="preserve">Landscape metric describing contagion (i.e., the spatial </w:t>
            </w:r>
            <w:proofErr w:type="spellStart"/>
            <w:r>
              <w:rPr>
                <w:rFonts w:ascii="Arial" w:hAnsi="Arial" w:cs="Arial"/>
                <w:color w:val="000000"/>
                <w:sz w:val="16"/>
                <w:szCs w:val="16"/>
              </w:rPr>
              <w:t>clumpiness</w:t>
            </w:r>
            <w:proofErr w:type="spellEnd"/>
            <w:r>
              <w:rPr>
                <w:rFonts w:ascii="Arial" w:hAnsi="Arial" w:cs="Arial"/>
                <w:color w:val="000000"/>
                <w:sz w:val="16"/>
                <w:szCs w:val="16"/>
              </w:rPr>
              <w:t xml:space="preserve"> of unsuitable lands; wind exclusions) </w:t>
            </w:r>
          </w:p>
        </w:tc>
        <w:tc>
          <w:tcPr>
            <w:tcW w:w="1965" w:type="pct"/>
            <w:tcBorders>
              <w:top w:val="nil"/>
              <w:left w:val="nil"/>
              <w:bottom w:val="nil"/>
              <w:right w:val="nil"/>
            </w:tcBorders>
          </w:tcPr>
          <w:p w14:paraId="31D8578D" w14:textId="77777777" w:rsidR="00910757" w:rsidRPr="00CA7BCB" w:rsidRDefault="00910757" w:rsidP="00E46D63">
            <w:pPr>
              <w:spacing w:line="480" w:lineRule="auto"/>
              <w:contextualSpacing/>
              <w:jc w:val="right"/>
              <w:rPr>
                <w:rFonts w:ascii="Arial" w:hAnsi="Arial" w:cs="Arial"/>
                <w:color w:val="000000"/>
                <w:sz w:val="16"/>
                <w:szCs w:val="16"/>
              </w:rPr>
            </w:pPr>
            <w:r>
              <w:rPr>
                <w:rFonts w:ascii="Arial" w:hAnsi="Arial" w:cs="Arial"/>
                <w:color w:val="000000"/>
                <w:sz w:val="16"/>
                <w:szCs w:val="16"/>
              </w:rPr>
              <w:t>Derived from Maclaurin et al. (unpublished)</w:t>
            </w:r>
          </w:p>
        </w:tc>
      </w:tr>
      <w:tr w:rsidR="00910757" w:rsidRPr="00CA7BCB" w14:paraId="0BA0BAEB" w14:textId="77777777" w:rsidTr="00C13DBB">
        <w:trPr>
          <w:trHeight w:val="216"/>
        </w:trPr>
        <w:tc>
          <w:tcPr>
            <w:tcW w:w="465" w:type="pct"/>
            <w:tcBorders>
              <w:top w:val="nil"/>
              <w:left w:val="nil"/>
              <w:bottom w:val="nil"/>
              <w:right w:val="nil"/>
            </w:tcBorders>
          </w:tcPr>
          <w:p w14:paraId="4398CE51"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CRG</w:t>
            </w:r>
          </w:p>
        </w:tc>
        <w:tc>
          <w:tcPr>
            <w:tcW w:w="2570" w:type="pct"/>
            <w:tcBorders>
              <w:top w:val="nil"/>
              <w:left w:val="nil"/>
              <w:bottom w:val="nil"/>
              <w:right w:val="nil"/>
            </w:tcBorders>
            <w:vAlign w:val="bottom"/>
          </w:tcPr>
          <w:p w14:paraId="582FC46E"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 xml:space="preserve">Fraction of pixel </w:t>
            </w:r>
            <w:r w:rsidRPr="00CA7BCB">
              <w:rPr>
                <w:rFonts w:ascii="Arial" w:hAnsi="Arial" w:cs="Arial"/>
                <w:color w:val="000000"/>
                <w:sz w:val="16"/>
                <w:szCs w:val="16"/>
              </w:rPr>
              <w:t>contain</w:t>
            </w:r>
            <w:r>
              <w:rPr>
                <w:rFonts w:ascii="Arial" w:hAnsi="Arial" w:cs="Arial"/>
                <w:color w:val="000000"/>
                <w:sz w:val="16"/>
                <w:szCs w:val="16"/>
              </w:rPr>
              <w:t xml:space="preserve">ing </w:t>
            </w:r>
            <w:r w:rsidRPr="00CA7BCB">
              <w:rPr>
                <w:rFonts w:ascii="Arial" w:hAnsi="Arial" w:cs="Arial"/>
                <w:color w:val="000000"/>
                <w:sz w:val="16"/>
                <w:szCs w:val="16"/>
              </w:rPr>
              <w:t>ridge</w:t>
            </w:r>
            <w:r>
              <w:rPr>
                <w:rFonts w:ascii="Arial" w:hAnsi="Arial" w:cs="Arial"/>
                <w:color w:val="000000"/>
                <w:sz w:val="16"/>
                <w:szCs w:val="16"/>
              </w:rPr>
              <w:t xml:space="preserve"> landform (unitless)</w:t>
            </w:r>
          </w:p>
        </w:tc>
        <w:tc>
          <w:tcPr>
            <w:tcW w:w="1965" w:type="pct"/>
            <w:tcBorders>
              <w:top w:val="nil"/>
              <w:left w:val="nil"/>
              <w:bottom w:val="nil"/>
              <w:right w:val="nil"/>
            </w:tcBorders>
          </w:tcPr>
          <w:p w14:paraId="3B8F82FB" w14:textId="77777777" w:rsidR="00910757" w:rsidRDefault="00910757" w:rsidP="00C87DA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 </w:instrTex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EN.CITE.DATA </w:instrText>
            </w:r>
            <w:r>
              <w:rPr>
                <w:rFonts w:ascii="Arial" w:hAnsi="Arial" w:cs="Arial"/>
                <w:color w:val="000000"/>
                <w:sz w:val="16"/>
                <w:szCs w:val="16"/>
              </w:rPr>
            </w:r>
            <w:r>
              <w:rPr>
                <w:rFonts w:ascii="Arial" w:hAnsi="Arial" w:cs="Arial"/>
                <w:color w:val="000000"/>
                <w:sz w:val="16"/>
                <w:szCs w:val="16"/>
              </w:rPr>
              <w:fldChar w:fldCharType="end"/>
            </w:r>
            <w:r>
              <w:rPr>
                <w:rFonts w:ascii="Arial" w:hAnsi="Arial" w:cs="Arial"/>
                <w:color w:val="000000"/>
                <w:sz w:val="16"/>
                <w:szCs w:val="16"/>
              </w:rPr>
            </w:r>
            <w:r>
              <w:rPr>
                <w:rFonts w:ascii="Arial" w:hAnsi="Arial" w:cs="Arial"/>
                <w:color w:val="000000"/>
                <w:sz w:val="16"/>
                <w:szCs w:val="16"/>
              </w:rPr>
              <w:fldChar w:fldCharType="separate"/>
            </w:r>
            <w:r>
              <w:rPr>
                <w:rFonts w:ascii="Arial" w:hAnsi="Arial" w:cs="Arial"/>
                <w:noProof/>
                <w:color w:val="000000"/>
                <w:sz w:val="16"/>
                <w:szCs w:val="16"/>
              </w:rPr>
              <w:t>[4]</w:t>
            </w:r>
            <w:r>
              <w:rPr>
                <w:rFonts w:ascii="Arial" w:hAnsi="Arial" w:cs="Arial"/>
                <w:color w:val="000000"/>
                <w:sz w:val="16"/>
                <w:szCs w:val="16"/>
              </w:rPr>
              <w:fldChar w:fldCharType="end"/>
            </w:r>
          </w:p>
        </w:tc>
      </w:tr>
      <w:tr w:rsidR="00910757" w:rsidRPr="00CA7BCB" w14:paraId="646D4B4D" w14:textId="77777777" w:rsidTr="00C13DBB">
        <w:trPr>
          <w:trHeight w:val="216"/>
        </w:trPr>
        <w:tc>
          <w:tcPr>
            <w:tcW w:w="465" w:type="pct"/>
            <w:tcBorders>
              <w:top w:val="nil"/>
              <w:left w:val="nil"/>
              <w:bottom w:val="nil"/>
              <w:right w:val="nil"/>
            </w:tcBorders>
          </w:tcPr>
          <w:p w14:paraId="302F73C8"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DIV</w:t>
            </w:r>
          </w:p>
        </w:tc>
        <w:tc>
          <w:tcPr>
            <w:tcW w:w="2570" w:type="pct"/>
            <w:tcBorders>
              <w:top w:val="nil"/>
              <w:left w:val="nil"/>
              <w:bottom w:val="nil"/>
              <w:right w:val="nil"/>
            </w:tcBorders>
            <w:vAlign w:val="bottom"/>
          </w:tcPr>
          <w:p w14:paraId="27799227"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divide landform (unitless)</w:t>
            </w:r>
          </w:p>
        </w:tc>
        <w:tc>
          <w:tcPr>
            <w:tcW w:w="1965" w:type="pct"/>
            <w:tcBorders>
              <w:top w:val="nil"/>
              <w:left w:val="nil"/>
              <w:bottom w:val="nil"/>
              <w:right w:val="nil"/>
            </w:tcBorders>
          </w:tcPr>
          <w:p w14:paraId="7DE8BB7B" w14:textId="77777777" w:rsidR="00910757" w:rsidRDefault="00910757" w:rsidP="00C87DA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 </w:instrTex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EN.CITE.DATA </w:instrText>
            </w:r>
            <w:r>
              <w:rPr>
                <w:rFonts w:ascii="Arial" w:hAnsi="Arial" w:cs="Arial"/>
                <w:color w:val="000000"/>
                <w:sz w:val="16"/>
                <w:szCs w:val="16"/>
              </w:rPr>
            </w:r>
            <w:r>
              <w:rPr>
                <w:rFonts w:ascii="Arial" w:hAnsi="Arial" w:cs="Arial"/>
                <w:color w:val="000000"/>
                <w:sz w:val="16"/>
                <w:szCs w:val="16"/>
              </w:rPr>
              <w:fldChar w:fldCharType="end"/>
            </w:r>
            <w:r>
              <w:rPr>
                <w:rFonts w:ascii="Arial" w:hAnsi="Arial" w:cs="Arial"/>
                <w:color w:val="000000"/>
                <w:sz w:val="16"/>
                <w:szCs w:val="16"/>
              </w:rPr>
            </w:r>
            <w:r>
              <w:rPr>
                <w:rFonts w:ascii="Arial" w:hAnsi="Arial" w:cs="Arial"/>
                <w:color w:val="000000"/>
                <w:sz w:val="16"/>
                <w:szCs w:val="16"/>
              </w:rPr>
              <w:fldChar w:fldCharType="separate"/>
            </w:r>
            <w:r>
              <w:rPr>
                <w:rFonts w:ascii="Arial" w:hAnsi="Arial" w:cs="Arial"/>
                <w:noProof/>
                <w:color w:val="000000"/>
                <w:sz w:val="16"/>
                <w:szCs w:val="16"/>
              </w:rPr>
              <w:t>[4]</w:t>
            </w:r>
            <w:r>
              <w:rPr>
                <w:rFonts w:ascii="Arial" w:hAnsi="Arial" w:cs="Arial"/>
                <w:color w:val="000000"/>
                <w:sz w:val="16"/>
                <w:szCs w:val="16"/>
              </w:rPr>
              <w:fldChar w:fldCharType="end"/>
            </w:r>
          </w:p>
        </w:tc>
      </w:tr>
      <w:tr w:rsidR="00910757" w:rsidRPr="00CA7BCB" w14:paraId="2BBFF6B7" w14:textId="77777777" w:rsidTr="00C13DBB">
        <w:trPr>
          <w:trHeight w:val="216"/>
        </w:trPr>
        <w:tc>
          <w:tcPr>
            <w:tcW w:w="465" w:type="pct"/>
            <w:tcBorders>
              <w:top w:val="nil"/>
              <w:left w:val="nil"/>
              <w:bottom w:val="nil"/>
              <w:right w:val="nil"/>
            </w:tcBorders>
          </w:tcPr>
          <w:p w14:paraId="4FEEBF49" w14:textId="77777777" w:rsidR="00910757" w:rsidRPr="00CA7BCB"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GAP</w:t>
            </w:r>
          </w:p>
        </w:tc>
        <w:tc>
          <w:tcPr>
            <w:tcW w:w="2570" w:type="pct"/>
            <w:tcBorders>
              <w:top w:val="nil"/>
              <w:left w:val="nil"/>
              <w:bottom w:val="nil"/>
              <w:right w:val="nil"/>
            </w:tcBorders>
            <w:vAlign w:val="bottom"/>
          </w:tcPr>
          <w:p w14:paraId="152D2618" w14:textId="77777777" w:rsidR="00910757" w:rsidRPr="00CA7BCB" w:rsidRDefault="00910757" w:rsidP="00321166">
            <w:pPr>
              <w:spacing w:line="480" w:lineRule="auto"/>
              <w:contextualSpacing/>
              <w:rPr>
                <w:rFonts w:ascii="Arial" w:hAnsi="Arial" w:cs="Arial"/>
                <w:color w:val="000000"/>
                <w:sz w:val="16"/>
                <w:szCs w:val="16"/>
              </w:rPr>
            </w:pPr>
            <w:r w:rsidRPr="00CA7BCB">
              <w:rPr>
                <w:rFonts w:ascii="Arial" w:hAnsi="Arial" w:cs="Arial"/>
                <w:color w:val="000000"/>
                <w:sz w:val="16"/>
                <w:szCs w:val="16"/>
              </w:rPr>
              <w:t>GAP</w:t>
            </w:r>
            <w:r>
              <w:rPr>
                <w:rFonts w:ascii="Arial" w:hAnsi="Arial" w:cs="Arial"/>
                <w:color w:val="000000"/>
                <w:sz w:val="16"/>
                <w:szCs w:val="16"/>
              </w:rPr>
              <w:t xml:space="preserve"> 1&amp;2 status </w:t>
            </w:r>
            <w:r w:rsidRPr="00CA7BCB">
              <w:rPr>
                <w:rFonts w:ascii="Arial" w:hAnsi="Arial" w:cs="Arial"/>
                <w:color w:val="000000"/>
                <w:sz w:val="16"/>
                <w:szCs w:val="16"/>
              </w:rPr>
              <w:t>protected</w:t>
            </w:r>
            <w:r>
              <w:rPr>
                <w:rFonts w:ascii="Arial" w:hAnsi="Arial" w:cs="Arial"/>
                <w:color w:val="000000"/>
                <w:sz w:val="16"/>
                <w:szCs w:val="16"/>
              </w:rPr>
              <w:t xml:space="preserve"> lands (%)</w:t>
            </w:r>
          </w:p>
        </w:tc>
        <w:tc>
          <w:tcPr>
            <w:tcW w:w="1965" w:type="pct"/>
            <w:tcBorders>
              <w:top w:val="nil"/>
              <w:left w:val="nil"/>
              <w:bottom w:val="nil"/>
              <w:right w:val="nil"/>
            </w:tcBorders>
          </w:tcPr>
          <w:p w14:paraId="001B20A4" w14:textId="673D5A41" w:rsidR="00910757" w:rsidRDefault="00910757" w:rsidP="0032116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&lt;EndNote&gt;&lt;Cite&gt;&lt;Year&gt;2019&lt;/Year&gt;&lt;RecNum&gt;73&lt;/RecNum&gt;&lt;DisplayText&gt;[12]&lt;/DisplayText&gt;&lt;record&gt;&lt;rec-number&gt;73&lt;/rec-number&gt;&lt;foreign-keys&gt;&lt;key app="EN" db-id="xwrdevr9lfe2zkesp9fppw0j0zw9rrwepp95" timestamp="1578101256" guid="6ebb26b7-e475-44b9-89c9-31a3ab0436ae"&gt;73&lt;/key&gt;&lt;/foreign-keys&gt;&lt;ref-type name="Dataset"&gt;59&lt;/ref-type&gt;&lt;contributors&gt;&lt;authors&gt;&lt;author&gt;U.S. Geological Survey GAP&lt;/author&gt;&lt;/authors&gt;&lt;secondary-authors&gt;&lt;author&gt;U.S. Geological Survey GAP&lt;/author&gt;&lt;/secondary-authors&gt;&lt;/contributors&gt;&lt;titles&gt;&lt;title&gt;Protected areas database of the United States (PADUS)&lt;/title&gt;&lt;/titles&gt;&lt;edition&gt;2.0&lt;/edition&gt;&lt;dates&gt;&lt;year&gt;2019&lt;/year&gt;&lt;/dates&gt;&lt;urls&gt;&lt;related-urls&gt;&lt;url&gt;https://www.usgs.gov/core-science-systems/science-analytics-and-synthesis/gap/science/pad-us-data-download?qt-science_center_objects=0#qt-science_center_objects&lt;/url&gt;&lt;/related-urls&gt;&lt;/urls&gt;&lt;access-date&gt;3/29/2019&lt;/access-date&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[12]</w:t>
            </w:r>
            <w:r>
              <w:rPr>
                <w:rFonts w:ascii="Arial" w:hAnsi="Arial" w:cs="Arial"/>
                <w:color w:val="000000"/>
                <w:sz w:val="16"/>
                <w:szCs w:val="16"/>
              </w:rPr>
              <w:fldChar w:fldCharType="end"/>
            </w:r>
          </w:p>
        </w:tc>
      </w:tr>
      <w:tr w:rsidR="00910757" w:rsidRPr="00CA7BCB" w14:paraId="64DB91FF" w14:textId="77777777" w:rsidTr="00C13DBB">
        <w:trPr>
          <w:trHeight w:val="216"/>
        </w:trPr>
        <w:tc>
          <w:tcPr>
            <w:tcW w:w="465" w:type="pct"/>
            <w:tcBorders>
              <w:top w:val="nil"/>
              <w:left w:val="nil"/>
              <w:bottom w:val="nil"/>
              <w:right w:val="nil"/>
            </w:tcBorders>
          </w:tcPr>
          <w:p w14:paraId="7E689ABA" w14:textId="77777777" w:rsidR="00910757" w:rsidRPr="00CA7BCB"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HUD*</w:t>
            </w:r>
          </w:p>
        </w:tc>
        <w:tc>
          <w:tcPr>
            <w:tcW w:w="2570" w:type="pct"/>
            <w:tcBorders>
              <w:top w:val="nil"/>
              <w:left w:val="nil"/>
              <w:bottom w:val="nil"/>
              <w:right w:val="nil"/>
            </w:tcBorders>
            <w:vAlign w:val="bottom"/>
          </w:tcPr>
          <w:p w14:paraId="0E04CE67" w14:textId="77777777" w:rsidR="00910757" w:rsidRPr="00B761C0"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Housing unit density (units/km</w:t>
            </w:r>
            <w:r>
              <w:rPr>
                <w:rFonts w:ascii="Arial" w:hAnsi="Arial" w:cs="Arial"/>
                <w:color w:val="000000"/>
                <w:sz w:val="16"/>
                <w:szCs w:val="16"/>
                <w:vertAlign w:val="superscript"/>
              </w:rPr>
              <w:t>2</w:t>
            </w:r>
            <w:r>
              <w:rPr>
                <w:rFonts w:ascii="Arial" w:hAnsi="Arial" w:cs="Arial"/>
                <w:color w:val="000000"/>
                <w:sz w:val="16"/>
                <w:szCs w:val="16"/>
              </w:rPr>
              <w:t>)</w:t>
            </w:r>
          </w:p>
        </w:tc>
        <w:tc>
          <w:tcPr>
            <w:tcW w:w="1965" w:type="pct"/>
            <w:tcBorders>
              <w:top w:val="nil"/>
              <w:left w:val="nil"/>
              <w:bottom w:val="nil"/>
              <w:right w:val="nil"/>
            </w:tcBorders>
          </w:tcPr>
          <w:p w14:paraId="696F1092" w14:textId="300CBE21" w:rsidR="00910757" w:rsidRDefault="00910757" w:rsidP="0032116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&lt;EndNote&gt;&lt;Cite&gt;&lt;Author&gt;CIESIN&lt;/Author&gt;&lt;Year&gt;2017&lt;/Year&gt;&lt;RecNum&gt;18&lt;/RecNum&gt;&lt;DisplayText&gt;[13]&lt;/DisplayText&gt;&lt;record&gt;&lt;rec-number&gt;18&lt;/rec-number&gt;&lt;foreign-keys&gt;&lt;key app="EN" db-id="xwrdevr9lfe2zkesp9fppw0j0zw9rrwepp95" timestamp="1553806052" guid="d028767c-1d1d-4126-96ca-b86970793300"&gt;18&lt;/key&gt;&lt;key app="ENWeb" db-id=""&gt;0&lt;/key&gt;&lt;/foreign-keys&gt;&lt;ref-type name="Dataset"&gt;59&lt;/ref-type&gt;&lt;contributors&gt;&lt;authors&gt;&lt;author&gt;CIESIN&lt;/author&gt;&lt;/authors&gt;&lt;secondary-authors&gt;&lt;author&gt;Center for International Earth Science Information Network - CIESIN - Columbia University&lt;/author&gt;&lt;/secondary-authors&gt;&lt;/contributors&gt;&lt;titles&gt;&lt;title&gt;U.S. Census Grids (Summary File 1)&lt;/title&gt;&lt;/titles&gt;&lt;dates&gt;&lt;year&gt;2017&lt;/year&gt;&lt;/dates&gt;&lt;pub-location&gt;Palisades, NY&lt;/pub-location&gt;&lt;publisher&gt;NASA Socioeconomic Data and Applications Center (SEDAC)&lt;/publisher&gt;&lt;urls&gt;&lt;/urls&gt;&lt;electronic-resource-num&gt;10.7927/H40Z716C&lt;/electronic-resource-num&gt;&lt;access-date&gt;03/27/2019&lt;/access-date&gt;&lt;/record&gt;&lt;/Cite&gt;&lt;/EndNote&gt;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[13]</w:t>
            </w:r>
            <w:r>
              <w:rPr>
                <w:rFonts w:ascii="Arial" w:hAnsi="Arial" w:cs="Arial"/>
                <w:color w:val="000000"/>
                <w:sz w:val="16"/>
                <w:szCs w:val="16"/>
              </w:rPr>
              <w:fldChar w:fldCharType="end"/>
            </w:r>
          </w:p>
        </w:tc>
      </w:tr>
      <w:tr w:rsidR="00910757" w:rsidRPr="00CA7BCB" w14:paraId="26C12372" w14:textId="77777777" w:rsidTr="00C13DBB">
        <w:trPr>
          <w:trHeight w:val="216"/>
        </w:trPr>
        <w:tc>
          <w:tcPr>
            <w:tcW w:w="465" w:type="pct"/>
            <w:tcBorders>
              <w:top w:val="nil"/>
              <w:left w:val="nil"/>
              <w:bottom w:val="nil"/>
              <w:right w:val="nil"/>
            </w:tcBorders>
          </w:tcPr>
          <w:p w14:paraId="567CBF20" w14:textId="77777777" w:rsidR="00910757" w:rsidRPr="00CA7BCB"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LBL</w:t>
            </w:r>
          </w:p>
        </w:tc>
        <w:tc>
          <w:tcPr>
            <w:tcW w:w="2570" w:type="pct"/>
            <w:tcBorders>
              <w:top w:val="nil"/>
              <w:left w:val="nil"/>
              <w:bottom w:val="nil"/>
              <w:right w:val="nil"/>
            </w:tcBorders>
            <w:vAlign w:val="bottom"/>
          </w:tcPr>
          <w:p w14:paraId="0ABD0027" w14:textId="77777777" w:rsidR="00910757" w:rsidRPr="00CA7BCB"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Wind r</w:t>
            </w:r>
            <w:r w:rsidRPr="00CA7BCB">
              <w:rPr>
                <w:rFonts w:ascii="Arial" w:hAnsi="Arial" w:cs="Arial"/>
                <w:color w:val="000000"/>
                <w:sz w:val="16"/>
                <w:szCs w:val="16"/>
              </w:rPr>
              <w:t>egions</w:t>
            </w:r>
            <w:r>
              <w:rPr>
                <w:rFonts w:ascii="Arial" w:hAnsi="Arial" w:cs="Arial"/>
                <w:color w:val="000000"/>
                <w:sz w:val="16"/>
                <w:szCs w:val="16"/>
              </w:rPr>
              <w:t xml:space="preserve"> defined by Lawrence Berkeley National Laboratory</w:t>
            </w:r>
          </w:p>
        </w:tc>
        <w:tc>
          <w:tcPr>
            <w:tcW w:w="1965" w:type="pct"/>
            <w:tcBorders>
              <w:top w:val="nil"/>
              <w:left w:val="nil"/>
              <w:bottom w:val="nil"/>
              <w:right w:val="nil"/>
            </w:tcBorders>
          </w:tcPr>
          <w:p w14:paraId="0FBB7D43" w14:textId="1AAB17F0" w:rsidR="00910757" w:rsidRDefault="00910757" w:rsidP="00321166">
            <w:pPr>
              <w:spacing w:line="480" w:lineRule="auto"/>
              <w:contextualSpacing/>
              <w:jc w:val="right"/>
              <w:rPr>
                <w:rFonts w:ascii="Arial" w:hAnsi="Arial" w:cs="Arial"/>
                <w:color w:val="000000"/>
                <w:sz w:val="16"/>
                <w:szCs w:val="16"/>
              </w:rPr>
            </w:pP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&lt;EndNote&gt;&lt;Cite&gt;&lt;Author&gt;EERE&lt;/Author&gt;&lt;Year&gt;2018&lt;/Year&gt;&lt;RecNum&gt;9&lt;/RecNum&gt;&lt;DisplayText&gt;[14]&lt;/DisplayText&gt;&lt;record&gt;&lt;rec-number&gt;9&lt;/rec-number&gt;&lt;foreign-keys&gt;&lt;key app="EN" db-id="xwrdevr9lfe2zkesp9fppw0j0zw9rrwepp95" timestamp="1553806035" guid="5efa54b8-5b5a-40bd-82bf-1d5939d7f973"&gt;9&lt;/key&gt;&lt;key app="ENWeb" db-id=""&gt;0&lt;/key&gt;&lt;/foreign-keys&gt;&lt;ref-type name="Report"&gt;27&lt;/ref-type&gt;&lt;contributors&gt;&lt;authors&gt;&lt;author&gt;DOE EERE&lt;/author&gt;&lt;/authors&gt;&lt;/contributors&gt;&lt;titles&gt;&lt;title&gt;2017 wind technologies market report&lt;/title&gt;&lt;/titles&gt;&lt;dates&gt;&lt;year&gt;2018&lt;/year&gt;&lt;/dates&gt;&lt;pub-location&gt;United States&lt;/pub-location&gt;&lt;publisher&gt;U.S. Department of Energy (DOE) Office of Energy Efficiency and Renewable Energy (EERE)&lt;/publisher&gt;&lt;urls&gt;&lt;/urls&gt;&lt;/record&gt;&lt;/Cite&gt;&lt;/EndNote&gt;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[14]</w:t>
            </w:r>
            <w:r>
              <w:rPr>
                <w:rFonts w:ascii="Arial" w:hAnsi="Arial" w:cs="Arial"/>
                <w:color w:val="000000"/>
                <w:sz w:val="16"/>
                <w:szCs w:val="16"/>
              </w:rPr>
              <w:fldChar w:fldCharType="end"/>
            </w:r>
          </w:p>
        </w:tc>
      </w:tr>
      <w:tr w:rsidR="00910757" w:rsidRPr="00CA7BCB" w14:paraId="2AFD3AB9" w14:textId="77777777" w:rsidTr="00C13DBB">
        <w:trPr>
          <w:trHeight w:val="216"/>
        </w:trPr>
        <w:tc>
          <w:tcPr>
            <w:tcW w:w="465" w:type="pct"/>
            <w:tcBorders>
              <w:top w:val="nil"/>
              <w:left w:val="nil"/>
              <w:bottom w:val="nil"/>
              <w:right w:val="nil"/>
            </w:tcBorders>
          </w:tcPr>
          <w:p w14:paraId="5A79976A"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LC1*</w:t>
            </w:r>
          </w:p>
        </w:tc>
        <w:tc>
          <w:tcPr>
            <w:tcW w:w="2570" w:type="pct"/>
            <w:tcBorders>
              <w:top w:val="nil"/>
              <w:left w:val="nil"/>
              <w:bottom w:val="nil"/>
              <w:right w:val="nil"/>
            </w:tcBorders>
            <w:vAlign w:val="bottom"/>
          </w:tcPr>
          <w:p w14:paraId="05B2B6E5"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water land cover class (unitless)</w:t>
            </w:r>
          </w:p>
        </w:tc>
        <w:tc>
          <w:tcPr>
            <w:tcW w:w="1965" w:type="pct"/>
            <w:tcBorders>
              <w:top w:val="nil"/>
              <w:left w:val="nil"/>
              <w:bottom w:val="nil"/>
              <w:right w:val="nil"/>
            </w:tcBorders>
          </w:tcPr>
          <w:p w14:paraId="341F2C8F" w14:textId="77777777" w:rsidR="00910757" w:rsidRDefault="00910757" w:rsidP="00E46D63">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[3]</w:t>
            </w:r>
            <w:r>
              <w:rPr>
                <w:rFonts w:ascii="Arial" w:hAnsi="Arial" w:cs="Arial"/>
                <w:color w:val="000000"/>
                <w:sz w:val="16"/>
                <w:szCs w:val="16"/>
              </w:rPr>
              <w:fldChar w:fldCharType="end"/>
            </w:r>
          </w:p>
        </w:tc>
      </w:tr>
      <w:tr w:rsidR="00910757" w:rsidRPr="00CA7BCB" w14:paraId="4B99210A" w14:textId="77777777" w:rsidTr="00C13DBB">
        <w:trPr>
          <w:trHeight w:val="216"/>
        </w:trPr>
        <w:tc>
          <w:tcPr>
            <w:tcW w:w="465" w:type="pct"/>
            <w:tcBorders>
              <w:top w:val="nil"/>
              <w:left w:val="nil"/>
              <w:bottom w:val="nil"/>
              <w:right w:val="nil"/>
            </w:tcBorders>
          </w:tcPr>
          <w:p w14:paraId="4FC29DB4"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LC2</w:t>
            </w:r>
          </w:p>
        </w:tc>
        <w:tc>
          <w:tcPr>
            <w:tcW w:w="2570" w:type="pct"/>
            <w:tcBorders>
              <w:top w:val="nil"/>
              <w:left w:val="nil"/>
              <w:bottom w:val="nil"/>
              <w:right w:val="nil"/>
            </w:tcBorders>
            <w:vAlign w:val="bottom"/>
          </w:tcPr>
          <w:p w14:paraId="7828DBB4"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developed land cover class (unitless)</w:t>
            </w:r>
          </w:p>
        </w:tc>
        <w:tc>
          <w:tcPr>
            <w:tcW w:w="1965" w:type="pct"/>
            <w:tcBorders>
              <w:top w:val="nil"/>
              <w:left w:val="nil"/>
              <w:bottom w:val="nil"/>
              <w:right w:val="nil"/>
            </w:tcBorders>
          </w:tcPr>
          <w:p w14:paraId="52817603" w14:textId="77777777" w:rsidR="00910757" w:rsidRDefault="00910757" w:rsidP="001802C9">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[3]</w:t>
            </w:r>
            <w:r>
              <w:rPr>
                <w:rFonts w:ascii="Arial" w:hAnsi="Arial" w:cs="Arial"/>
                <w:color w:val="000000"/>
                <w:sz w:val="16"/>
                <w:szCs w:val="16"/>
              </w:rPr>
              <w:fldChar w:fldCharType="end"/>
            </w:r>
          </w:p>
        </w:tc>
      </w:tr>
      <w:tr w:rsidR="00910757" w:rsidRPr="00CA7BCB" w14:paraId="3277104C" w14:textId="77777777" w:rsidTr="00C13DBB">
        <w:trPr>
          <w:trHeight w:val="216"/>
        </w:trPr>
        <w:tc>
          <w:tcPr>
            <w:tcW w:w="465" w:type="pct"/>
            <w:tcBorders>
              <w:top w:val="nil"/>
              <w:left w:val="nil"/>
              <w:bottom w:val="nil"/>
              <w:right w:val="nil"/>
            </w:tcBorders>
          </w:tcPr>
          <w:p w14:paraId="4C954F34"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LC3</w:t>
            </w:r>
          </w:p>
        </w:tc>
        <w:tc>
          <w:tcPr>
            <w:tcW w:w="2570" w:type="pct"/>
            <w:tcBorders>
              <w:top w:val="nil"/>
              <w:left w:val="nil"/>
              <w:bottom w:val="nil"/>
              <w:right w:val="nil"/>
            </w:tcBorders>
            <w:vAlign w:val="bottom"/>
          </w:tcPr>
          <w:p w14:paraId="170C5E2D"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barren land cover class (unitless)</w:t>
            </w:r>
          </w:p>
        </w:tc>
        <w:tc>
          <w:tcPr>
            <w:tcW w:w="1965" w:type="pct"/>
            <w:tcBorders>
              <w:top w:val="nil"/>
              <w:left w:val="nil"/>
              <w:bottom w:val="nil"/>
              <w:right w:val="nil"/>
            </w:tcBorders>
          </w:tcPr>
          <w:p w14:paraId="5085A77C" w14:textId="77777777" w:rsidR="00910757" w:rsidRDefault="00910757" w:rsidP="001802C9">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[3]</w:t>
            </w:r>
            <w:r>
              <w:rPr>
                <w:rFonts w:ascii="Arial" w:hAnsi="Arial" w:cs="Arial"/>
                <w:color w:val="000000"/>
                <w:sz w:val="16"/>
                <w:szCs w:val="16"/>
              </w:rPr>
              <w:fldChar w:fldCharType="end"/>
            </w:r>
          </w:p>
        </w:tc>
      </w:tr>
      <w:tr w:rsidR="00910757" w:rsidRPr="00CA7BCB" w14:paraId="646F16CA" w14:textId="77777777" w:rsidTr="00C13DBB">
        <w:trPr>
          <w:trHeight w:val="216"/>
        </w:trPr>
        <w:tc>
          <w:tcPr>
            <w:tcW w:w="465" w:type="pct"/>
            <w:tcBorders>
              <w:top w:val="nil"/>
              <w:left w:val="nil"/>
              <w:bottom w:val="nil"/>
              <w:right w:val="nil"/>
            </w:tcBorders>
          </w:tcPr>
          <w:p w14:paraId="1CB8FBB1"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LC4*</w:t>
            </w:r>
          </w:p>
        </w:tc>
        <w:tc>
          <w:tcPr>
            <w:tcW w:w="2570" w:type="pct"/>
            <w:tcBorders>
              <w:top w:val="nil"/>
              <w:left w:val="nil"/>
              <w:bottom w:val="nil"/>
              <w:right w:val="nil"/>
            </w:tcBorders>
            <w:vAlign w:val="bottom"/>
          </w:tcPr>
          <w:p w14:paraId="7F9C8519"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forest land cover class (unitless)</w:t>
            </w:r>
          </w:p>
        </w:tc>
        <w:tc>
          <w:tcPr>
            <w:tcW w:w="1965" w:type="pct"/>
            <w:tcBorders>
              <w:top w:val="nil"/>
              <w:left w:val="nil"/>
              <w:bottom w:val="nil"/>
              <w:right w:val="nil"/>
            </w:tcBorders>
          </w:tcPr>
          <w:p w14:paraId="32AAFB15" w14:textId="77777777" w:rsidR="00910757" w:rsidRDefault="00910757" w:rsidP="001802C9">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[3]</w:t>
            </w:r>
            <w:r>
              <w:rPr>
                <w:rFonts w:ascii="Arial" w:hAnsi="Arial" w:cs="Arial"/>
                <w:color w:val="000000"/>
                <w:sz w:val="16"/>
                <w:szCs w:val="16"/>
              </w:rPr>
              <w:fldChar w:fldCharType="end"/>
            </w:r>
          </w:p>
        </w:tc>
      </w:tr>
      <w:tr w:rsidR="00910757" w:rsidRPr="00CA7BCB" w14:paraId="7741AE10" w14:textId="77777777" w:rsidTr="00C13DBB">
        <w:trPr>
          <w:trHeight w:val="216"/>
        </w:trPr>
        <w:tc>
          <w:tcPr>
            <w:tcW w:w="465" w:type="pct"/>
            <w:tcBorders>
              <w:top w:val="nil"/>
              <w:left w:val="nil"/>
              <w:bottom w:val="nil"/>
              <w:right w:val="nil"/>
            </w:tcBorders>
          </w:tcPr>
          <w:p w14:paraId="14CA2C23"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LC5</w:t>
            </w:r>
          </w:p>
        </w:tc>
        <w:tc>
          <w:tcPr>
            <w:tcW w:w="2570" w:type="pct"/>
            <w:tcBorders>
              <w:top w:val="nil"/>
              <w:left w:val="nil"/>
              <w:bottom w:val="nil"/>
              <w:right w:val="nil"/>
            </w:tcBorders>
            <w:vAlign w:val="bottom"/>
          </w:tcPr>
          <w:p w14:paraId="2B0BEBA5"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shrubland cover class (unitless)</w:t>
            </w:r>
          </w:p>
        </w:tc>
        <w:tc>
          <w:tcPr>
            <w:tcW w:w="1965" w:type="pct"/>
            <w:tcBorders>
              <w:top w:val="nil"/>
              <w:left w:val="nil"/>
              <w:bottom w:val="nil"/>
              <w:right w:val="nil"/>
            </w:tcBorders>
          </w:tcPr>
          <w:p w14:paraId="035BE3E0" w14:textId="77777777" w:rsidR="00910757" w:rsidRDefault="00910757" w:rsidP="001802C9">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[3]</w:t>
            </w:r>
            <w:r>
              <w:rPr>
                <w:rFonts w:ascii="Arial" w:hAnsi="Arial" w:cs="Arial"/>
                <w:color w:val="000000"/>
                <w:sz w:val="16"/>
                <w:szCs w:val="16"/>
              </w:rPr>
              <w:fldChar w:fldCharType="end"/>
            </w:r>
          </w:p>
        </w:tc>
      </w:tr>
      <w:tr w:rsidR="00910757" w:rsidRPr="00CA7BCB" w14:paraId="60C5698F" w14:textId="77777777" w:rsidTr="00C13DBB">
        <w:trPr>
          <w:trHeight w:val="216"/>
        </w:trPr>
        <w:tc>
          <w:tcPr>
            <w:tcW w:w="465" w:type="pct"/>
            <w:tcBorders>
              <w:top w:val="nil"/>
              <w:left w:val="nil"/>
              <w:bottom w:val="nil"/>
              <w:right w:val="nil"/>
            </w:tcBorders>
          </w:tcPr>
          <w:p w14:paraId="2DBF83AA"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LC7</w:t>
            </w:r>
          </w:p>
        </w:tc>
        <w:tc>
          <w:tcPr>
            <w:tcW w:w="2570" w:type="pct"/>
            <w:tcBorders>
              <w:top w:val="nil"/>
              <w:left w:val="nil"/>
              <w:bottom w:val="nil"/>
              <w:right w:val="nil"/>
            </w:tcBorders>
            <w:vAlign w:val="bottom"/>
          </w:tcPr>
          <w:p w14:paraId="272AE14F"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herbaceous land cover class (unitless)</w:t>
            </w:r>
          </w:p>
        </w:tc>
        <w:tc>
          <w:tcPr>
            <w:tcW w:w="1965" w:type="pct"/>
            <w:tcBorders>
              <w:top w:val="nil"/>
              <w:left w:val="nil"/>
              <w:bottom w:val="nil"/>
              <w:right w:val="nil"/>
            </w:tcBorders>
          </w:tcPr>
          <w:p w14:paraId="3312514B" w14:textId="77777777" w:rsidR="00910757" w:rsidRDefault="00910757" w:rsidP="001802C9">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[3]</w:t>
            </w:r>
            <w:r>
              <w:rPr>
                <w:rFonts w:ascii="Arial" w:hAnsi="Arial" w:cs="Arial"/>
                <w:color w:val="000000"/>
                <w:sz w:val="16"/>
                <w:szCs w:val="16"/>
              </w:rPr>
              <w:fldChar w:fldCharType="end"/>
            </w:r>
          </w:p>
        </w:tc>
      </w:tr>
      <w:tr w:rsidR="00910757" w:rsidRPr="00CA7BCB" w14:paraId="0D102E0A" w14:textId="77777777" w:rsidTr="00C13DBB">
        <w:trPr>
          <w:trHeight w:val="216"/>
        </w:trPr>
        <w:tc>
          <w:tcPr>
            <w:tcW w:w="465" w:type="pct"/>
            <w:tcBorders>
              <w:top w:val="nil"/>
              <w:left w:val="nil"/>
              <w:bottom w:val="nil"/>
              <w:right w:val="nil"/>
            </w:tcBorders>
          </w:tcPr>
          <w:p w14:paraId="106F7F73"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LC8*</w:t>
            </w:r>
          </w:p>
        </w:tc>
        <w:tc>
          <w:tcPr>
            <w:tcW w:w="2570" w:type="pct"/>
            <w:tcBorders>
              <w:top w:val="nil"/>
              <w:left w:val="nil"/>
              <w:bottom w:val="nil"/>
              <w:right w:val="nil"/>
            </w:tcBorders>
            <w:vAlign w:val="bottom"/>
          </w:tcPr>
          <w:p w14:paraId="207912DB"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planted/cultivated land cover class (unitless)</w:t>
            </w:r>
          </w:p>
        </w:tc>
        <w:tc>
          <w:tcPr>
            <w:tcW w:w="1965" w:type="pct"/>
            <w:tcBorders>
              <w:top w:val="nil"/>
              <w:left w:val="nil"/>
              <w:bottom w:val="nil"/>
              <w:right w:val="nil"/>
            </w:tcBorders>
          </w:tcPr>
          <w:p w14:paraId="5FD51840" w14:textId="77777777" w:rsidR="00910757" w:rsidRDefault="00910757" w:rsidP="001802C9">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[3]</w:t>
            </w:r>
            <w:r>
              <w:rPr>
                <w:rFonts w:ascii="Arial" w:hAnsi="Arial" w:cs="Arial"/>
                <w:color w:val="000000"/>
                <w:sz w:val="16"/>
                <w:szCs w:val="16"/>
              </w:rPr>
              <w:fldChar w:fldCharType="end"/>
            </w:r>
          </w:p>
        </w:tc>
      </w:tr>
      <w:tr w:rsidR="00910757" w:rsidRPr="00CA7BCB" w14:paraId="56E5A1D4" w14:textId="77777777" w:rsidTr="00C13DBB">
        <w:trPr>
          <w:trHeight w:val="216"/>
        </w:trPr>
        <w:tc>
          <w:tcPr>
            <w:tcW w:w="465" w:type="pct"/>
            <w:tcBorders>
              <w:top w:val="nil"/>
              <w:left w:val="nil"/>
              <w:bottom w:val="nil"/>
              <w:right w:val="nil"/>
            </w:tcBorders>
          </w:tcPr>
          <w:p w14:paraId="40C2E07E"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LC9</w:t>
            </w:r>
          </w:p>
        </w:tc>
        <w:tc>
          <w:tcPr>
            <w:tcW w:w="2570" w:type="pct"/>
            <w:tcBorders>
              <w:top w:val="nil"/>
              <w:left w:val="nil"/>
              <w:bottom w:val="nil"/>
              <w:right w:val="nil"/>
            </w:tcBorders>
            <w:vAlign w:val="bottom"/>
          </w:tcPr>
          <w:p w14:paraId="0F2B17B8"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wetlands land cover class (unitless)</w:t>
            </w:r>
          </w:p>
        </w:tc>
        <w:tc>
          <w:tcPr>
            <w:tcW w:w="1965" w:type="pct"/>
            <w:tcBorders>
              <w:top w:val="nil"/>
              <w:left w:val="nil"/>
              <w:bottom w:val="nil"/>
              <w:right w:val="nil"/>
            </w:tcBorders>
          </w:tcPr>
          <w:p w14:paraId="0339AE70" w14:textId="77777777" w:rsidR="00910757" w:rsidRDefault="00910757" w:rsidP="001802C9">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[3]</w:t>
            </w:r>
            <w:r>
              <w:rPr>
                <w:rFonts w:ascii="Arial" w:hAnsi="Arial" w:cs="Arial"/>
                <w:color w:val="000000"/>
                <w:sz w:val="16"/>
                <w:szCs w:val="16"/>
              </w:rPr>
              <w:fldChar w:fldCharType="end"/>
            </w:r>
          </w:p>
        </w:tc>
      </w:tr>
      <w:tr w:rsidR="00910757" w:rsidRPr="00CA7BCB" w14:paraId="60433F0D" w14:textId="77777777" w:rsidTr="00C13DBB">
        <w:trPr>
          <w:trHeight w:val="216"/>
        </w:trPr>
        <w:tc>
          <w:tcPr>
            <w:tcW w:w="465" w:type="pct"/>
            <w:tcBorders>
              <w:top w:val="nil"/>
              <w:left w:val="nil"/>
              <w:bottom w:val="nil"/>
              <w:right w:val="nil"/>
            </w:tcBorders>
          </w:tcPr>
          <w:p w14:paraId="427E2320"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LFR</w:t>
            </w:r>
            <w:r w:rsidRPr="00074F7D">
              <w:rPr>
                <w:rFonts w:ascii="Arial" w:hAnsi="Arial" w:cs="Arial"/>
                <w:b/>
                <w:color w:val="000000"/>
                <w:sz w:val="16"/>
                <w:szCs w:val="16"/>
              </w:rPr>
              <w:t>*</w:t>
            </w:r>
          </w:p>
        </w:tc>
        <w:tc>
          <w:tcPr>
            <w:tcW w:w="2570" w:type="pct"/>
            <w:tcBorders>
              <w:top w:val="nil"/>
              <w:left w:val="nil"/>
              <w:bottom w:val="nil"/>
              <w:right w:val="nil"/>
            </w:tcBorders>
            <w:vAlign w:val="bottom"/>
          </w:tcPr>
          <w:p w14:paraId="7C165CAF"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Landform regions</w:t>
            </w:r>
          </w:p>
        </w:tc>
        <w:tc>
          <w:tcPr>
            <w:tcW w:w="1965" w:type="pct"/>
            <w:tcBorders>
              <w:top w:val="nil"/>
              <w:left w:val="nil"/>
              <w:bottom w:val="nil"/>
              <w:right w:val="nil"/>
            </w:tcBorders>
          </w:tcPr>
          <w:p w14:paraId="00EEB285" w14:textId="77777777" w:rsidR="00910757" w:rsidRDefault="00910757" w:rsidP="00E46D63">
            <w:pPr>
              <w:spacing w:line="480" w:lineRule="auto"/>
              <w:contextualSpacing/>
              <w:jc w:val="right"/>
              <w:rPr>
                <w:rFonts w:ascii="Arial" w:hAnsi="Arial" w:cs="Arial"/>
                <w:color w:val="000000"/>
                <w:sz w:val="16"/>
                <w:szCs w:val="16"/>
              </w:rPr>
            </w:pPr>
            <w:r>
              <w:rPr>
                <w:rFonts w:ascii="Arial" w:hAnsi="Arial" w:cs="Arial"/>
                <w:color w:val="000000"/>
                <w:sz w:val="16"/>
                <w:szCs w:val="16"/>
              </w:rPr>
              <w:t>Harrison-Atlas (unpublished)</w:t>
            </w:r>
          </w:p>
        </w:tc>
      </w:tr>
      <w:tr w:rsidR="00910757" w:rsidRPr="00CA7BCB" w14:paraId="32EA20F9" w14:textId="77777777" w:rsidTr="00C13DBB">
        <w:trPr>
          <w:trHeight w:val="216"/>
        </w:trPr>
        <w:tc>
          <w:tcPr>
            <w:tcW w:w="465" w:type="pct"/>
            <w:tcBorders>
              <w:top w:val="nil"/>
              <w:left w:val="nil"/>
              <w:bottom w:val="nil"/>
              <w:right w:val="nil"/>
            </w:tcBorders>
          </w:tcPr>
          <w:p w14:paraId="0ED6D268"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LSP</w:t>
            </w:r>
          </w:p>
        </w:tc>
        <w:tc>
          <w:tcPr>
            <w:tcW w:w="2570" w:type="pct"/>
            <w:tcBorders>
              <w:top w:val="nil"/>
              <w:left w:val="nil"/>
              <w:bottom w:val="nil"/>
              <w:right w:val="nil"/>
            </w:tcBorders>
            <w:vAlign w:val="bottom"/>
          </w:tcPr>
          <w:p w14:paraId="6252A84F"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lower slope landform (unitless)</w:t>
            </w:r>
          </w:p>
        </w:tc>
        <w:tc>
          <w:tcPr>
            <w:tcW w:w="1965" w:type="pct"/>
            <w:tcBorders>
              <w:top w:val="nil"/>
              <w:left w:val="nil"/>
              <w:bottom w:val="nil"/>
              <w:right w:val="nil"/>
            </w:tcBorders>
          </w:tcPr>
          <w:p w14:paraId="180FD850" w14:textId="77777777" w:rsidR="00910757" w:rsidRDefault="00910757" w:rsidP="00C87DA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 </w:instrTex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EN.CITE.DATA </w:instrText>
            </w:r>
            <w:r>
              <w:rPr>
                <w:rFonts w:ascii="Arial" w:hAnsi="Arial" w:cs="Arial"/>
                <w:color w:val="000000"/>
                <w:sz w:val="16"/>
                <w:szCs w:val="16"/>
              </w:rPr>
            </w:r>
            <w:r>
              <w:rPr>
                <w:rFonts w:ascii="Arial" w:hAnsi="Arial" w:cs="Arial"/>
                <w:color w:val="000000"/>
                <w:sz w:val="16"/>
                <w:szCs w:val="16"/>
              </w:rPr>
              <w:fldChar w:fldCharType="end"/>
            </w:r>
            <w:r>
              <w:rPr>
                <w:rFonts w:ascii="Arial" w:hAnsi="Arial" w:cs="Arial"/>
                <w:color w:val="000000"/>
                <w:sz w:val="16"/>
                <w:szCs w:val="16"/>
              </w:rPr>
            </w:r>
            <w:r>
              <w:rPr>
                <w:rFonts w:ascii="Arial" w:hAnsi="Arial" w:cs="Arial"/>
                <w:color w:val="000000"/>
                <w:sz w:val="16"/>
                <w:szCs w:val="16"/>
              </w:rPr>
              <w:fldChar w:fldCharType="separate"/>
            </w:r>
            <w:r>
              <w:rPr>
                <w:rFonts w:ascii="Arial" w:hAnsi="Arial" w:cs="Arial"/>
                <w:noProof/>
                <w:color w:val="000000"/>
                <w:sz w:val="16"/>
                <w:szCs w:val="16"/>
              </w:rPr>
              <w:t>[4]</w:t>
            </w:r>
            <w:r>
              <w:rPr>
                <w:rFonts w:ascii="Arial" w:hAnsi="Arial" w:cs="Arial"/>
                <w:color w:val="000000"/>
                <w:sz w:val="16"/>
                <w:szCs w:val="16"/>
              </w:rPr>
              <w:fldChar w:fldCharType="end"/>
            </w:r>
          </w:p>
        </w:tc>
      </w:tr>
      <w:tr w:rsidR="00910757" w:rsidRPr="00CA7BCB" w14:paraId="1099F519" w14:textId="77777777" w:rsidTr="00C13DBB">
        <w:trPr>
          <w:trHeight w:val="216"/>
        </w:trPr>
        <w:tc>
          <w:tcPr>
            <w:tcW w:w="465" w:type="pct"/>
            <w:tcBorders>
              <w:top w:val="nil"/>
              <w:left w:val="nil"/>
              <w:bottom w:val="nil"/>
              <w:right w:val="nil"/>
            </w:tcBorders>
          </w:tcPr>
          <w:p w14:paraId="5AFFB4DE"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LU1</w:t>
            </w:r>
          </w:p>
        </w:tc>
        <w:tc>
          <w:tcPr>
            <w:tcW w:w="2570" w:type="pct"/>
            <w:tcBorders>
              <w:top w:val="nil"/>
              <w:left w:val="nil"/>
              <w:bottom w:val="nil"/>
              <w:right w:val="nil"/>
            </w:tcBorders>
            <w:vAlign w:val="bottom"/>
          </w:tcPr>
          <w:p w14:paraId="1ECA7C45"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Land use class (level I)</w:t>
            </w:r>
          </w:p>
        </w:tc>
        <w:tc>
          <w:tcPr>
            <w:tcW w:w="1965" w:type="pct"/>
            <w:tcBorders>
              <w:top w:val="nil"/>
              <w:left w:val="nil"/>
              <w:bottom w:val="nil"/>
              <w:right w:val="nil"/>
            </w:tcBorders>
          </w:tcPr>
          <w:p w14:paraId="590E31D1" w14:textId="69BDDAFB" w:rsidR="00910757" w:rsidRDefault="00910757" w:rsidP="00E46D63">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&lt;EndNote&gt;&lt;Cite&gt;&lt;Author&gt;Theobald&lt;/Author&gt;&lt;Year&gt;2014&lt;/Year&gt;&lt;RecNum&gt;71&lt;/RecNum&gt;&lt;DisplayText&gt;[15]&lt;/DisplayText&gt;&lt;record&gt;&lt;rec-number&gt;71&lt;/rec-number&gt;&lt;foreign-keys&gt;&lt;key app="EN" db-id="xwrdevr9lfe2zkesp9fppw0j0zw9rrwepp95" timestamp="1578100080" guid="6e4dc602-81a1-473f-b2f3-67983d572193"&gt;71&lt;/key&gt;&lt;key app="ENWeb" db-id=""&gt;0&lt;/key&gt;&lt;/foreign-keys&gt;&lt;ref-type name="Journal Article"&gt;17&lt;/ref-type&gt;&lt;contributors&gt;&lt;authors&gt;&lt;author&gt;Theobald, D. M.&lt;/author&gt;&lt;/authors&gt;&lt;/contributors&gt;&lt;auth-address&gt;Conservation Science Partners, Inc., Fort Collins, Colorado, United States of America; Department of Fish, Wildlife, and Conservation Biology, Colorado State University, Fort Collins, Colorado, United States of America.&lt;/auth-address&gt;&lt;titles&gt;&lt;title&gt;Development and applications of a comprehensive land use classification and map for the US&lt;/title&gt;&lt;secondary-title&gt;PLoS One&lt;/secondary-title&gt;&lt;/titles&gt;&lt;periodical&gt;&lt;full-title&gt;PLoS One&lt;/full-title&gt;&lt;/periodical&gt;&lt;pages&gt;e94628&lt;/pages&gt;&lt;volume&gt;9&lt;/volume&gt;&lt;number&gt;4&lt;/number&gt;&lt;edition&gt;2014/04/15&lt;/edition&gt;&lt;keywords&gt;&lt;keyword&gt;*Agriculture&lt;/keyword&gt;&lt;keyword&gt;*Conservation of Natural Resources&lt;/keyword&gt;&lt;keyword&gt;Datasets as Topic&lt;/keyword&gt;&lt;keyword&gt;*Geographic Mapping&lt;/keyword&gt;&lt;keyword&gt;Humans&lt;/keyword&gt;&lt;keyword&gt;Maps as Topic&lt;/keyword&gt;&lt;keyword&gt;United States&lt;/keyword&gt;&lt;/keywords&gt;&lt;dates&gt;&lt;year&gt;2014&lt;/year&gt;&lt;/dates&gt;&lt;isbn&gt;1932-6203 (Electronic)&amp;#xD;1932-6203 (Linking)&lt;/isbn&gt;&lt;accession-num&gt;24728210&lt;/accession-num&gt;&lt;urls&gt;&lt;related-urls&gt;&lt;url&gt;https://www.ncbi.nlm.nih.gov/pubmed/24728210&lt;/url&gt;&lt;/related-urls&gt;&lt;/urls&gt;&lt;custom2&gt;PMC3984247&lt;/custom2&gt;&lt;electronic-resource-num&gt;10.1371/journal.pone.0094628&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[15]</w:t>
            </w:r>
            <w:r>
              <w:rPr>
                <w:rFonts w:ascii="Arial" w:hAnsi="Arial" w:cs="Arial"/>
                <w:color w:val="000000"/>
                <w:sz w:val="16"/>
                <w:szCs w:val="16"/>
              </w:rPr>
              <w:fldChar w:fldCharType="end"/>
            </w:r>
            <w:r>
              <w:rPr>
                <w:rFonts w:ascii="Arial" w:hAnsi="Arial" w:cs="Arial"/>
                <w:color w:val="000000"/>
                <w:sz w:val="16"/>
                <w:szCs w:val="16"/>
              </w:rPr>
              <w:t xml:space="preserve"> </w:t>
            </w:r>
          </w:p>
        </w:tc>
      </w:tr>
      <w:tr w:rsidR="00910757" w:rsidRPr="00CA7BCB" w14:paraId="36D609A2" w14:textId="77777777" w:rsidTr="00C13DBB">
        <w:trPr>
          <w:trHeight w:val="216"/>
        </w:trPr>
        <w:tc>
          <w:tcPr>
            <w:tcW w:w="465" w:type="pct"/>
            <w:tcBorders>
              <w:top w:val="nil"/>
              <w:left w:val="nil"/>
              <w:bottom w:val="single" w:sz="4" w:space="0" w:color="auto"/>
              <w:right w:val="nil"/>
            </w:tcBorders>
          </w:tcPr>
          <w:p w14:paraId="7D5C6F35"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MWS</w:t>
            </w:r>
          </w:p>
        </w:tc>
        <w:tc>
          <w:tcPr>
            <w:tcW w:w="2570" w:type="pct"/>
            <w:tcBorders>
              <w:top w:val="nil"/>
              <w:left w:val="nil"/>
              <w:bottom w:val="single" w:sz="4" w:space="0" w:color="auto"/>
              <w:right w:val="nil"/>
            </w:tcBorders>
            <w:vAlign w:val="bottom"/>
          </w:tcPr>
          <w:p w14:paraId="5E234E1F"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Mean long-term windspeed at 80-m hub height (m/s)</w:t>
            </w:r>
          </w:p>
        </w:tc>
        <w:tc>
          <w:tcPr>
            <w:tcW w:w="1965" w:type="pct"/>
            <w:tcBorders>
              <w:top w:val="nil"/>
              <w:left w:val="nil"/>
              <w:bottom w:val="single" w:sz="4" w:space="0" w:color="auto"/>
              <w:right w:val="nil"/>
            </w:tcBorders>
          </w:tcPr>
          <w:p w14:paraId="0B78DD7F" w14:textId="77777777" w:rsidR="00910757" w:rsidRPr="00CA7BCB" w:rsidRDefault="00910757" w:rsidP="00E46D63">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&lt;EndNote&gt;&lt;Cite&gt;&lt;Author&gt;Draxl&lt;/Author&gt;&lt;Year&gt;2015&lt;/Year&gt;&lt;RecNum&gt;66&lt;/RecNum&gt;&lt;DisplayText&gt;[2]&lt;/DisplayText&gt;&lt;record&gt;&lt;rec-number&gt;66&lt;/rec-number&gt;&lt;foreign-keys&gt;&lt;key app="EN" db-id="xwrdevr9lfe2zkesp9fppw0j0zw9rrwepp95" timestamp="1578095780" guid="db31e6f6-0154-42a1-b83c-4d5b757b5939"&gt;66&lt;/key&gt;&lt;key app="ENWeb" db-id=""&gt;0&lt;/key&gt;&lt;/foreign-keys&gt;&lt;ref-type name="Journal Article"&gt;17&lt;/ref-type&gt;&lt;contributors&gt;&lt;authors&gt;&lt;author&gt;Draxl, Caroline&lt;/author&gt;&lt;author&gt;Clifton, Andrew&lt;/author&gt;&lt;author&gt;Hodge, Bri-Mathias&lt;/author&gt;&lt;author&gt;McCaa, Jim&lt;/author&gt;&lt;/authors&gt;&lt;/contributors&gt;&lt;titles&gt;&lt;title&gt;The Wind Integration National Dataset (WIND) Toolkit&lt;/title&gt;&lt;secondary-title&gt;Applied Energy&lt;/secondary-title&gt;&lt;/titles&gt;&lt;periodical&gt;&lt;full-title&gt;Applied Energy&lt;/full-title&gt;&lt;/periodical&gt;&lt;pages&gt;355-366&lt;/pages&gt;&lt;volume&gt;151&lt;/volume&gt;&lt;section&gt;355&lt;/section&gt;&lt;dates&gt;&lt;year&gt;2015&lt;/year&gt;&lt;/dates&gt;&lt;isbn&gt;03062619&lt;/isbn&gt;&lt;urls&gt;&lt;/urls&gt;&lt;electronic-resource-num&gt;10.1016/j.apenergy.2015.03.121&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[2]</w:t>
            </w:r>
            <w:r>
              <w:rPr>
                <w:rFonts w:ascii="Arial" w:hAnsi="Arial" w:cs="Arial"/>
                <w:color w:val="000000"/>
                <w:sz w:val="16"/>
                <w:szCs w:val="16"/>
              </w:rPr>
              <w:fldChar w:fldCharType="end"/>
            </w:r>
          </w:p>
        </w:tc>
      </w:tr>
      <w:tr w:rsidR="00910757" w:rsidRPr="00CA7BCB" w14:paraId="57219B98" w14:textId="77777777" w:rsidTr="00C13DBB">
        <w:trPr>
          <w:trHeight w:val="216"/>
        </w:trPr>
        <w:tc>
          <w:tcPr>
            <w:tcW w:w="465" w:type="pct"/>
            <w:tcBorders>
              <w:top w:val="nil"/>
              <w:left w:val="nil"/>
              <w:bottom w:val="nil"/>
              <w:right w:val="nil"/>
            </w:tcBorders>
          </w:tcPr>
          <w:p w14:paraId="4C3C640B"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POP</w:t>
            </w:r>
          </w:p>
        </w:tc>
        <w:tc>
          <w:tcPr>
            <w:tcW w:w="2570" w:type="pct"/>
            <w:tcBorders>
              <w:top w:val="nil"/>
              <w:left w:val="nil"/>
              <w:bottom w:val="nil"/>
              <w:right w:val="nil"/>
            </w:tcBorders>
            <w:vAlign w:val="bottom"/>
          </w:tcPr>
          <w:p w14:paraId="43D6CBD1" w14:textId="77777777" w:rsidR="00910757" w:rsidRPr="005A4044"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Population density (persons/km</w:t>
            </w:r>
            <w:r>
              <w:rPr>
                <w:rFonts w:ascii="Arial" w:hAnsi="Arial" w:cs="Arial"/>
                <w:color w:val="000000"/>
                <w:sz w:val="16"/>
                <w:szCs w:val="16"/>
                <w:vertAlign w:val="superscript"/>
              </w:rPr>
              <w:t>2</w:t>
            </w:r>
            <w:r>
              <w:rPr>
                <w:rFonts w:ascii="Arial" w:hAnsi="Arial" w:cs="Arial"/>
                <w:color w:val="000000"/>
                <w:sz w:val="16"/>
                <w:szCs w:val="16"/>
              </w:rPr>
              <w:t>)</w:t>
            </w:r>
          </w:p>
        </w:tc>
        <w:tc>
          <w:tcPr>
            <w:tcW w:w="1965" w:type="pct"/>
            <w:tcBorders>
              <w:top w:val="nil"/>
              <w:left w:val="nil"/>
              <w:bottom w:val="nil"/>
              <w:right w:val="nil"/>
            </w:tcBorders>
          </w:tcPr>
          <w:p w14:paraId="2255F841" w14:textId="621FB881" w:rsidR="00910757" w:rsidRDefault="00910757" w:rsidP="00E46D63">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&lt;EndNote&gt;&lt;Cite&gt;&lt;Author&gt;Pesaresi&lt;/Author&gt;&lt;Year&gt;2016&lt;/Year&gt;&lt;RecNum&gt;75&lt;/RecNum&gt;&lt;DisplayText&gt;[16]&lt;/DisplayText&gt;&lt;record&gt;&lt;rec-number&gt;75&lt;/rec-number&gt;&lt;foreign-keys&gt;&lt;key app="EN" db-id="xwrdevr9lfe2zkesp9fppw0j0zw9rrwepp95" timestamp="1578102046" guid="b1048c38-aabc-440d-b9de-c54486ec3bac"&gt;75&lt;/key&gt;&lt;/foreign-keys&gt;&lt;ref-type name="Dataset"&gt;59&lt;/ref-type&gt;&lt;contributors&gt;&lt;authors&gt;&lt;author&gt;Pesaresi, Martino&lt;/author&gt;&lt;author&gt;Freire, Sergio &lt;/author&gt;&lt;/authors&gt;&lt;secondary-authors&gt;&lt;author&gt;European Commission, Joint Research Centre (JRC) &lt;/author&gt;&lt;/secondary-authors&gt;&lt;/contributors&gt;&lt;titles&gt;&lt;title&gt;GHS Settlement grid following the REGIO model 2014 in application to GHSL Landsat and CIESIN GPW v4-multitemporal (1975-1990-2000-2015)&lt;/title&gt;&lt;/titles&gt;&lt;dates&gt;&lt;year&gt;2016&lt;/year&gt;&lt;/dates&gt;&lt;urls&gt;&lt;related-urls&gt;&lt;url&gt;http://data.europa.eu/89h/jrc-ghsl-ghs_smod_pop_globe_r2016a&lt;/url&gt;&lt;/related-urls&gt;&lt;/urls&gt;&lt;access-date&gt;3/29/2019&lt;/access-date&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[16]</w:t>
            </w:r>
            <w:r>
              <w:rPr>
                <w:rFonts w:ascii="Arial" w:hAnsi="Arial" w:cs="Arial"/>
                <w:color w:val="000000"/>
                <w:sz w:val="16"/>
                <w:szCs w:val="16"/>
              </w:rPr>
              <w:fldChar w:fldCharType="end"/>
            </w:r>
          </w:p>
        </w:tc>
      </w:tr>
      <w:tr w:rsidR="00910757" w:rsidRPr="00CA7BCB" w14:paraId="7C6D479D" w14:textId="77777777" w:rsidTr="00C13DBB">
        <w:trPr>
          <w:trHeight w:val="216"/>
        </w:trPr>
        <w:tc>
          <w:tcPr>
            <w:tcW w:w="465" w:type="pct"/>
            <w:tcBorders>
              <w:top w:val="nil"/>
              <w:left w:val="nil"/>
              <w:bottom w:val="nil"/>
              <w:right w:val="nil"/>
            </w:tcBorders>
          </w:tcPr>
          <w:p w14:paraId="3F5B0916"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RDG</w:t>
            </w:r>
          </w:p>
        </w:tc>
        <w:tc>
          <w:tcPr>
            <w:tcW w:w="2570" w:type="pct"/>
            <w:tcBorders>
              <w:top w:val="nil"/>
              <w:left w:val="nil"/>
              <w:bottom w:val="nil"/>
              <w:right w:val="nil"/>
            </w:tcBorders>
            <w:vAlign w:val="bottom"/>
          </w:tcPr>
          <w:p w14:paraId="227855EE"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ridge landform (unitless)</w:t>
            </w:r>
          </w:p>
        </w:tc>
        <w:tc>
          <w:tcPr>
            <w:tcW w:w="1965" w:type="pct"/>
            <w:tcBorders>
              <w:top w:val="nil"/>
              <w:left w:val="nil"/>
              <w:bottom w:val="nil"/>
              <w:right w:val="nil"/>
            </w:tcBorders>
          </w:tcPr>
          <w:p w14:paraId="7D854321" w14:textId="77777777" w:rsidR="00910757" w:rsidRDefault="00910757" w:rsidP="00C87DA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 </w:instrTex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EN.CITE.DATA </w:instrText>
            </w:r>
            <w:r>
              <w:rPr>
                <w:rFonts w:ascii="Arial" w:hAnsi="Arial" w:cs="Arial"/>
                <w:color w:val="000000"/>
                <w:sz w:val="16"/>
                <w:szCs w:val="16"/>
              </w:rPr>
            </w:r>
            <w:r>
              <w:rPr>
                <w:rFonts w:ascii="Arial" w:hAnsi="Arial" w:cs="Arial"/>
                <w:color w:val="000000"/>
                <w:sz w:val="16"/>
                <w:szCs w:val="16"/>
              </w:rPr>
              <w:fldChar w:fldCharType="end"/>
            </w:r>
            <w:r>
              <w:rPr>
                <w:rFonts w:ascii="Arial" w:hAnsi="Arial" w:cs="Arial"/>
                <w:color w:val="000000"/>
                <w:sz w:val="16"/>
                <w:szCs w:val="16"/>
              </w:rPr>
            </w:r>
            <w:r>
              <w:rPr>
                <w:rFonts w:ascii="Arial" w:hAnsi="Arial" w:cs="Arial"/>
                <w:color w:val="000000"/>
                <w:sz w:val="16"/>
                <w:szCs w:val="16"/>
              </w:rPr>
              <w:fldChar w:fldCharType="separate"/>
            </w:r>
            <w:r>
              <w:rPr>
                <w:rFonts w:ascii="Arial" w:hAnsi="Arial" w:cs="Arial"/>
                <w:noProof/>
                <w:color w:val="000000"/>
                <w:sz w:val="16"/>
                <w:szCs w:val="16"/>
              </w:rPr>
              <w:t>[4]</w:t>
            </w:r>
            <w:r>
              <w:rPr>
                <w:rFonts w:ascii="Arial" w:hAnsi="Arial" w:cs="Arial"/>
                <w:color w:val="000000"/>
                <w:sz w:val="16"/>
                <w:szCs w:val="16"/>
              </w:rPr>
              <w:fldChar w:fldCharType="end"/>
            </w:r>
          </w:p>
        </w:tc>
      </w:tr>
      <w:tr w:rsidR="00910757" w:rsidRPr="00CA7BCB" w14:paraId="6E4D263F" w14:textId="77777777" w:rsidTr="00C13DBB">
        <w:trPr>
          <w:trHeight w:val="216"/>
        </w:trPr>
        <w:tc>
          <w:tcPr>
            <w:tcW w:w="465" w:type="pct"/>
            <w:tcBorders>
              <w:top w:val="nil"/>
              <w:left w:val="nil"/>
              <w:bottom w:val="nil"/>
              <w:right w:val="nil"/>
            </w:tcBorders>
          </w:tcPr>
          <w:p w14:paraId="07615158" w14:textId="77777777" w:rsidR="00910757" w:rsidRPr="00CA7BCB"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RIX</w:t>
            </w:r>
          </w:p>
        </w:tc>
        <w:tc>
          <w:tcPr>
            <w:tcW w:w="2570" w:type="pct"/>
            <w:tcBorders>
              <w:top w:val="nil"/>
              <w:left w:val="nil"/>
              <w:bottom w:val="nil"/>
              <w:right w:val="nil"/>
            </w:tcBorders>
            <w:vAlign w:val="bottom"/>
          </w:tcPr>
          <w:p w14:paraId="3B7A4176" w14:textId="77777777" w:rsidR="00910757" w:rsidRPr="00CA7BCB" w:rsidRDefault="00910757" w:rsidP="00321166">
            <w:pPr>
              <w:spacing w:line="480" w:lineRule="auto"/>
              <w:contextualSpacing/>
              <w:rPr>
                <w:rFonts w:ascii="Arial" w:hAnsi="Arial" w:cs="Arial"/>
                <w:color w:val="000000"/>
                <w:sz w:val="16"/>
                <w:szCs w:val="16"/>
              </w:rPr>
            </w:pPr>
            <w:r>
              <w:rPr>
                <w:rFonts w:ascii="Arial" w:hAnsi="Arial" w:cs="Arial"/>
                <w:color w:val="000000"/>
                <w:sz w:val="16"/>
                <w:szCs w:val="16"/>
              </w:rPr>
              <w:t>Fractional areal extent exceeding critical slope threshold (unitless)</w:t>
            </w:r>
          </w:p>
        </w:tc>
        <w:tc>
          <w:tcPr>
            <w:tcW w:w="1965" w:type="pct"/>
            <w:tcBorders>
              <w:top w:val="nil"/>
              <w:left w:val="nil"/>
              <w:bottom w:val="nil"/>
              <w:right w:val="nil"/>
            </w:tcBorders>
          </w:tcPr>
          <w:p w14:paraId="5C2E10F3" w14:textId="737195B3" w:rsidR="00910757" w:rsidRDefault="00910757" w:rsidP="0032116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&lt;EndNote&gt;&lt;Cite&gt;&lt;Author&gt;Gesch&lt;/Author&gt;&lt;Year&gt;2002&lt;/Year&gt;&lt;RecNum&gt;76&lt;/RecNum&gt;&lt;DisplayText&gt;[17]&lt;/DisplayText&gt;&lt;record&gt;&lt;rec-number&gt;76&lt;/rec-number&gt;&lt;foreign-keys&gt;&lt;key app="EN" db-id="xwrdevr9lfe2zkesp9fppw0j0zw9rrwepp95" timestamp="1578102645" guid="e39bae81-936d-426d-b0a2-e7956ba1c80d"&gt;76&lt;/key&gt;&lt;/foreign-keys&gt;&lt;ref-type name="Journal Article"&gt;17&lt;/ref-type&gt;&lt;contributors&gt;&lt;authors&gt;&lt;author&gt;Gesch, Dean B.&lt;/author&gt;&lt;author&gt;Oimoen, Michael J.&lt;/author&gt;&lt;author&gt;Greenlee, Susan K.&lt;/author&gt;&lt;author&gt;Nelson, Charles A.&lt;/author&gt;&lt;author&gt;Steuck, Michael J.&lt;/author&gt;&lt;author&gt;Tyler, Dean J.&lt;/author&gt;&lt;/authors&gt;&lt;/contributors&gt;&lt;titles&gt;&lt;title&gt;The national elevation data set&lt;/title&gt;&lt;secondary-title&gt;Photogrammetric Engineering and Remote Sensing&lt;/secondary-title&gt;&lt;/titles&gt;&lt;periodical&gt;&lt;full-title&gt;Photogrammetric Engineering and Remote Sensing&lt;/full-title&gt;&lt;/periodical&gt;&lt;pages&gt;5-11&lt;/pages&gt;&lt;volume&gt;68&lt;/volume&gt;&lt;number&gt;1&lt;/number&gt;&lt;dates&gt;&lt;year&gt;2002&lt;/year&gt;&lt;/dates&gt;&lt;urls&gt;&lt;related-urls&gt;&lt;url&gt;http://pubs.er.usgs.gov/publication/70156331&lt;/url&gt;&lt;/related-urls&gt;&lt;/urls&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[17]</w:t>
            </w:r>
            <w:r>
              <w:rPr>
                <w:rFonts w:ascii="Arial" w:hAnsi="Arial" w:cs="Arial"/>
                <w:color w:val="000000"/>
                <w:sz w:val="16"/>
                <w:szCs w:val="16"/>
              </w:rPr>
              <w:fldChar w:fldCharType="end"/>
            </w:r>
          </w:p>
        </w:tc>
      </w:tr>
      <w:tr w:rsidR="00910757" w:rsidRPr="00CA7BCB" w14:paraId="5725647C" w14:textId="77777777" w:rsidTr="00C13DBB">
        <w:trPr>
          <w:trHeight w:val="216"/>
        </w:trPr>
        <w:tc>
          <w:tcPr>
            <w:tcW w:w="465" w:type="pct"/>
            <w:tcBorders>
              <w:top w:val="nil"/>
              <w:left w:val="nil"/>
              <w:bottom w:val="nil"/>
              <w:right w:val="nil"/>
            </w:tcBorders>
          </w:tcPr>
          <w:p w14:paraId="20C13547"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SLF</w:t>
            </w:r>
          </w:p>
        </w:tc>
        <w:tc>
          <w:tcPr>
            <w:tcW w:w="2570" w:type="pct"/>
            <w:tcBorders>
              <w:top w:val="nil"/>
              <w:left w:val="nil"/>
              <w:bottom w:val="nil"/>
              <w:right w:val="nil"/>
            </w:tcBorders>
            <w:vAlign w:val="bottom"/>
          </w:tcPr>
          <w:p w14:paraId="2F2597F8"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suitable landforms (i.e., not cliff or valley; unitless)</w:t>
            </w:r>
          </w:p>
        </w:tc>
        <w:tc>
          <w:tcPr>
            <w:tcW w:w="1965" w:type="pct"/>
            <w:tcBorders>
              <w:top w:val="nil"/>
              <w:left w:val="nil"/>
              <w:bottom w:val="nil"/>
              <w:right w:val="nil"/>
            </w:tcBorders>
          </w:tcPr>
          <w:p w14:paraId="5043E141" w14:textId="77777777" w:rsidR="00910757" w:rsidRPr="00CA7BCB" w:rsidRDefault="00910757" w:rsidP="00C87DA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 </w:instrTex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EN.CITE.DATA </w:instrText>
            </w:r>
            <w:r>
              <w:rPr>
                <w:rFonts w:ascii="Arial" w:hAnsi="Arial" w:cs="Arial"/>
                <w:color w:val="000000"/>
                <w:sz w:val="16"/>
                <w:szCs w:val="16"/>
              </w:rPr>
            </w:r>
            <w:r>
              <w:rPr>
                <w:rFonts w:ascii="Arial" w:hAnsi="Arial" w:cs="Arial"/>
                <w:color w:val="000000"/>
                <w:sz w:val="16"/>
                <w:szCs w:val="16"/>
              </w:rPr>
              <w:fldChar w:fldCharType="end"/>
            </w:r>
            <w:r>
              <w:rPr>
                <w:rFonts w:ascii="Arial" w:hAnsi="Arial" w:cs="Arial"/>
                <w:color w:val="000000"/>
                <w:sz w:val="16"/>
                <w:szCs w:val="16"/>
              </w:rPr>
            </w:r>
            <w:r>
              <w:rPr>
                <w:rFonts w:ascii="Arial" w:hAnsi="Arial" w:cs="Arial"/>
                <w:color w:val="000000"/>
                <w:sz w:val="16"/>
                <w:szCs w:val="16"/>
              </w:rPr>
              <w:fldChar w:fldCharType="separate"/>
            </w:r>
            <w:r>
              <w:rPr>
                <w:rFonts w:ascii="Arial" w:hAnsi="Arial" w:cs="Arial"/>
                <w:noProof/>
                <w:color w:val="000000"/>
                <w:sz w:val="16"/>
                <w:szCs w:val="16"/>
              </w:rPr>
              <w:t>[4]</w:t>
            </w:r>
            <w:r>
              <w:rPr>
                <w:rFonts w:ascii="Arial" w:hAnsi="Arial" w:cs="Arial"/>
                <w:color w:val="000000"/>
                <w:sz w:val="16"/>
                <w:szCs w:val="16"/>
              </w:rPr>
              <w:fldChar w:fldCharType="end"/>
            </w:r>
          </w:p>
        </w:tc>
      </w:tr>
      <w:tr w:rsidR="00910757" w:rsidRPr="00CA7BCB" w14:paraId="7DBCF65D" w14:textId="77777777" w:rsidTr="00C13DBB">
        <w:trPr>
          <w:trHeight w:val="216"/>
        </w:trPr>
        <w:tc>
          <w:tcPr>
            <w:tcW w:w="465" w:type="pct"/>
            <w:tcBorders>
              <w:top w:val="nil"/>
              <w:left w:val="nil"/>
              <w:bottom w:val="nil"/>
              <w:right w:val="nil"/>
            </w:tcBorders>
          </w:tcPr>
          <w:p w14:paraId="508CDC23"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TRC</w:t>
            </w:r>
          </w:p>
        </w:tc>
        <w:tc>
          <w:tcPr>
            <w:tcW w:w="2570" w:type="pct"/>
            <w:tcBorders>
              <w:top w:val="nil"/>
              <w:left w:val="nil"/>
              <w:bottom w:val="nil"/>
              <w:right w:val="nil"/>
            </w:tcBorders>
            <w:vAlign w:val="bottom"/>
          </w:tcPr>
          <w:p w14:paraId="46E6048E"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 xml:space="preserve">Fractional areal extent of </w:t>
            </w:r>
            <w:r w:rsidRPr="00CA7BCB">
              <w:rPr>
                <w:rFonts w:ascii="Arial" w:hAnsi="Arial" w:cs="Arial"/>
                <w:color w:val="000000"/>
                <w:sz w:val="16"/>
                <w:szCs w:val="16"/>
              </w:rPr>
              <w:t>tree</w:t>
            </w:r>
            <w:r>
              <w:rPr>
                <w:rFonts w:ascii="Arial" w:hAnsi="Arial" w:cs="Arial"/>
                <w:color w:val="000000"/>
                <w:sz w:val="16"/>
                <w:szCs w:val="16"/>
              </w:rPr>
              <w:t xml:space="preserve"> </w:t>
            </w:r>
            <w:r w:rsidRPr="00CA7BCB">
              <w:rPr>
                <w:rFonts w:ascii="Arial" w:hAnsi="Arial" w:cs="Arial"/>
                <w:color w:val="000000"/>
                <w:sz w:val="16"/>
                <w:szCs w:val="16"/>
              </w:rPr>
              <w:t>cover</w:t>
            </w:r>
          </w:p>
        </w:tc>
        <w:tc>
          <w:tcPr>
            <w:tcW w:w="1965" w:type="pct"/>
            <w:tcBorders>
              <w:top w:val="nil"/>
              <w:left w:val="nil"/>
              <w:bottom w:val="nil"/>
              <w:right w:val="nil"/>
            </w:tcBorders>
          </w:tcPr>
          <w:p w14:paraId="01498D43" w14:textId="77777777" w:rsidR="00910757" w:rsidRDefault="00910757" w:rsidP="001802C9">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&lt;EndNote&gt;&lt;Cite&gt;&lt;Author&gt;Homer&lt;/Author&gt;&lt;Year&gt;2015&lt;/Year&gt;&lt;RecNum&gt;72&lt;/RecNum&gt;&lt;DisplayText&gt;[3]&lt;/DisplayText&gt;&lt;record&gt;&lt;rec-number&gt;72&lt;/rec-number&gt;&lt;foreign-keys&gt;&lt;key app="EN" db-id="xwrdevr9lfe2zkesp9fppw0j0zw9rrwepp95" timestamp="1578100254" guid="7f56e351-b2bd-48a7-b1a5-b20bf4bb673e"&gt;72&lt;/key&gt;&lt;key app="ENWeb" db-id=""&gt;0&lt;/key&gt;&lt;/foreign-keys&gt;&lt;ref-type name="Journal Article"&gt;17&lt;/ref-type&gt;&lt;contributors&gt;&lt;authors&gt;&lt;author&gt;Homer, C.&lt;/author&gt;&lt;author&gt;Dewitz, J.&lt;/author&gt;&lt;author&gt;Yang, L.&lt;/author&gt;&lt;author&gt;Jin, S.&lt;/author&gt;&lt;author&gt;Danielson, P.&lt;/author&gt;&lt;author&gt;Xian, G.&lt;/author&gt;&lt;author&gt;Coulston, J.&lt;/author&gt;&lt;author&gt;Herold, N.&lt;/author&gt;&lt;author&gt;Wickham, J.&lt;/author&gt;&lt;author&gt;Megown, K.&lt;/author&gt;&lt;/authors&gt;&lt;/contributors&gt;&lt;titles&gt;&lt;title&gt;Completion of the 2011 National Land Cover Database for the Conterminous United States – Representing a Decade of Land Cover Change Information&lt;/title&gt;&lt;secondary-title&gt;Photogrammetric Engineering and Remote Sensing&lt;/secondary-title&gt;&lt;/titles&gt;&lt;periodical&gt;&lt;full-title&gt;Photogrammetric Engineering and Remote Sensing&lt;/full-title&gt;&lt;/periodical&gt;&lt;pages&gt;345-354&lt;/pages&gt;&lt;volume&gt;81&lt;/volume&gt;&lt;dates&gt;&lt;year&gt;2015&lt;/year&gt;&lt;/dates&gt;&lt;urls&gt;&lt;/urls&gt;&lt;electronic-resource-num&gt;10.14358/PERS.81.5.345&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[3]</w:t>
            </w:r>
            <w:r>
              <w:rPr>
                <w:rFonts w:ascii="Arial" w:hAnsi="Arial" w:cs="Arial"/>
                <w:color w:val="000000"/>
                <w:sz w:val="16"/>
                <w:szCs w:val="16"/>
              </w:rPr>
              <w:fldChar w:fldCharType="end"/>
            </w:r>
          </w:p>
        </w:tc>
      </w:tr>
      <w:tr w:rsidR="00910757" w:rsidRPr="00CA7BCB" w14:paraId="581E8D46" w14:textId="77777777" w:rsidTr="00910757">
        <w:trPr>
          <w:trHeight w:val="66"/>
        </w:trPr>
        <w:tc>
          <w:tcPr>
            <w:tcW w:w="465" w:type="pct"/>
            <w:tcBorders>
              <w:top w:val="nil"/>
              <w:left w:val="nil"/>
              <w:bottom w:val="nil"/>
              <w:right w:val="nil"/>
            </w:tcBorders>
          </w:tcPr>
          <w:p w14:paraId="55444260"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USP</w:t>
            </w:r>
          </w:p>
        </w:tc>
        <w:tc>
          <w:tcPr>
            <w:tcW w:w="2570" w:type="pct"/>
            <w:tcBorders>
              <w:top w:val="nil"/>
              <w:left w:val="nil"/>
              <w:bottom w:val="nil"/>
              <w:right w:val="nil"/>
            </w:tcBorders>
            <w:vAlign w:val="bottom"/>
          </w:tcPr>
          <w:p w14:paraId="36B3342B" w14:textId="77777777" w:rsidR="00910757" w:rsidRPr="00CA7BCB" w:rsidRDefault="00910757" w:rsidP="00C87DA6">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upper slope landform (unitless)</w:t>
            </w:r>
          </w:p>
        </w:tc>
        <w:tc>
          <w:tcPr>
            <w:tcW w:w="1965" w:type="pct"/>
            <w:tcBorders>
              <w:top w:val="nil"/>
              <w:left w:val="nil"/>
              <w:bottom w:val="nil"/>
              <w:right w:val="nil"/>
            </w:tcBorders>
          </w:tcPr>
          <w:p w14:paraId="13E5208D" w14:textId="77777777" w:rsidR="00910757" w:rsidRDefault="00910757" w:rsidP="00C87DA6">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 </w:instrTex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EN.CITE.DATA </w:instrText>
            </w:r>
            <w:r>
              <w:rPr>
                <w:rFonts w:ascii="Arial" w:hAnsi="Arial" w:cs="Arial"/>
                <w:color w:val="000000"/>
                <w:sz w:val="16"/>
                <w:szCs w:val="16"/>
              </w:rPr>
            </w:r>
            <w:r>
              <w:rPr>
                <w:rFonts w:ascii="Arial" w:hAnsi="Arial" w:cs="Arial"/>
                <w:color w:val="000000"/>
                <w:sz w:val="16"/>
                <w:szCs w:val="16"/>
              </w:rPr>
              <w:fldChar w:fldCharType="end"/>
            </w:r>
            <w:r>
              <w:rPr>
                <w:rFonts w:ascii="Arial" w:hAnsi="Arial" w:cs="Arial"/>
                <w:color w:val="000000"/>
                <w:sz w:val="16"/>
                <w:szCs w:val="16"/>
              </w:rPr>
            </w:r>
            <w:r>
              <w:rPr>
                <w:rFonts w:ascii="Arial" w:hAnsi="Arial" w:cs="Arial"/>
                <w:color w:val="000000"/>
                <w:sz w:val="16"/>
                <w:szCs w:val="16"/>
              </w:rPr>
              <w:fldChar w:fldCharType="separate"/>
            </w:r>
            <w:r>
              <w:rPr>
                <w:rFonts w:ascii="Arial" w:hAnsi="Arial" w:cs="Arial"/>
                <w:noProof/>
                <w:color w:val="000000"/>
                <w:sz w:val="16"/>
                <w:szCs w:val="16"/>
              </w:rPr>
              <w:t>[4]</w:t>
            </w:r>
            <w:r>
              <w:rPr>
                <w:rFonts w:ascii="Arial" w:hAnsi="Arial" w:cs="Arial"/>
                <w:color w:val="000000"/>
                <w:sz w:val="16"/>
                <w:szCs w:val="16"/>
              </w:rPr>
              <w:fldChar w:fldCharType="end"/>
            </w:r>
          </w:p>
        </w:tc>
      </w:tr>
      <w:tr w:rsidR="00910757" w:rsidRPr="00CA7BCB" w14:paraId="08198ADE" w14:textId="77777777" w:rsidTr="00C13DBB">
        <w:trPr>
          <w:trHeight w:val="216"/>
        </w:trPr>
        <w:tc>
          <w:tcPr>
            <w:tcW w:w="465" w:type="pct"/>
            <w:tcBorders>
              <w:top w:val="nil"/>
              <w:left w:val="nil"/>
              <w:bottom w:val="nil"/>
              <w:right w:val="nil"/>
            </w:tcBorders>
          </w:tcPr>
          <w:p w14:paraId="271E9E48"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lastRenderedPageBreak/>
              <w:t>VLY</w:t>
            </w:r>
          </w:p>
        </w:tc>
        <w:tc>
          <w:tcPr>
            <w:tcW w:w="2570" w:type="pct"/>
            <w:tcBorders>
              <w:top w:val="nil"/>
              <w:left w:val="nil"/>
              <w:bottom w:val="nil"/>
              <w:right w:val="nil"/>
            </w:tcBorders>
            <w:vAlign w:val="bottom"/>
          </w:tcPr>
          <w:p w14:paraId="5CAB008E"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Fractional areal extent of valley landform (unitless)</w:t>
            </w:r>
          </w:p>
        </w:tc>
        <w:tc>
          <w:tcPr>
            <w:tcW w:w="1965" w:type="pct"/>
            <w:tcBorders>
              <w:top w:val="nil"/>
              <w:left w:val="nil"/>
              <w:bottom w:val="nil"/>
              <w:right w:val="nil"/>
            </w:tcBorders>
          </w:tcPr>
          <w:p w14:paraId="27411D9B" w14:textId="77777777" w:rsidR="00910757" w:rsidRDefault="00910757" w:rsidP="00E46D63">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 </w:instrText>
            </w:r>
            <w:r>
              <w:rPr>
                <w:rFonts w:ascii="Arial" w:hAnsi="Arial" w:cs="Arial"/>
                <w:color w:val="000000"/>
                <w:sz w:val="16"/>
                <w:szCs w:val="16"/>
              </w:rPr>
              <w:fldChar w:fldCharType="begin">
                <w:fldData xml:space="preserve">PEVuZE5vdGU+PENpdGU+PEF1dGhvcj5UaGVvYmFsZDwvQXV0aG9yPjxZZWFyPjIwMTU8L1llYXI+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</w:fldData>
              </w:fldChar>
            </w:r>
            <w:r>
              <w:rPr>
                <w:rFonts w:ascii="Arial" w:hAnsi="Arial" w:cs="Arial"/>
                <w:color w:val="000000"/>
                <w:sz w:val="16"/>
                <w:szCs w:val="16"/>
              </w:rPr>
              <w:instrText xml:space="preserve"> ADDIN EN.CITE.DATA </w:instrText>
            </w:r>
            <w:r>
              <w:rPr>
                <w:rFonts w:ascii="Arial" w:hAnsi="Arial" w:cs="Arial"/>
                <w:color w:val="000000"/>
                <w:sz w:val="16"/>
                <w:szCs w:val="16"/>
              </w:rPr>
            </w:r>
            <w:r>
              <w:rPr>
                <w:rFonts w:ascii="Arial" w:hAnsi="Arial" w:cs="Arial"/>
                <w:color w:val="000000"/>
                <w:sz w:val="16"/>
                <w:szCs w:val="16"/>
              </w:rPr>
              <w:fldChar w:fldCharType="end"/>
            </w:r>
            <w:r>
              <w:rPr>
                <w:rFonts w:ascii="Arial" w:hAnsi="Arial" w:cs="Arial"/>
                <w:color w:val="000000"/>
                <w:sz w:val="16"/>
                <w:szCs w:val="16"/>
              </w:rPr>
            </w:r>
            <w:r>
              <w:rPr>
                <w:rFonts w:ascii="Arial" w:hAnsi="Arial" w:cs="Arial"/>
                <w:color w:val="000000"/>
                <w:sz w:val="16"/>
                <w:szCs w:val="16"/>
              </w:rPr>
              <w:fldChar w:fldCharType="separate"/>
            </w:r>
            <w:r>
              <w:rPr>
                <w:rFonts w:ascii="Arial" w:hAnsi="Arial" w:cs="Arial"/>
                <w:noProof/>
                <w:color w:val="000000"/>
                <w:sz w:val="16"/>
                <w:szCs w:val="16"/>
              </w:rPr>
              <w:t>[4]</w:t>
            </w:r>
            <w:r>
              <w:rPr>
                <w:rFonts w:ascii="Arial" w:hAnsi="Arial" w:cs="Arial"/>
                <w:color w:val="000000"/>
                <w:sz w:val="16"/>
                <w:szCs w:val="16"/>
              </w:rPr>
              <w:fldChar w:fldCharType="end"/>
            </w:r>
          </w:p>
        </w:tc>
      </w:tr>
      <w:tr w:rsidR="00910757" w:rsidRPr="00CA7BCB" w14:paraId="01EA9EB1" w14:textId="77777777" w:rsidTr="00C13DBB">
        <w:trPr>
          <w:trHeight w:val="216"/>
        </w:trPr>
        <w:tc>
          <w:tcPr>
            <w:tcW w:w="465" w:type="pct"/>
            <w:tcBorders>
              <w:top w:val="nil"/>
              <w:left w:val="nil"/>
              <w:bottom w:val="nil"/>
              <w:right w:val="nil"/>
            </w:tcBorders>
          </w:tcPr>
          <w:p w14:paraId="56F12C08"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WEQ*</w:t>
            </w:r>
          </w:p>
        </w:tc>
        <w:tc>
          <w:tcPr>
            <w:tcW w:w="2570" w:type="pct"/>
            <w:tcBorders>
              <w:top w:val="nil"/>
              <w:left w:val="nil"/>
              <w:bottom w:val="nil"/>
              <w:right w:val="nil"/>
            </w:tcBorders>
            <w:vAlign w:val="bottom"/>
          </w:tcPr>
          <w:p w14:paraId="7D331062" w14:textId="77777777" w:rsidR="00910757" w:rsidRPr="00CA7BCB" w:rsidRDefault="00910757" w:rsidP="001802C9">
            <w:pPr>
              <w:spacing w:line="480" w:lineRule="auto"/>
              <w:contextualSpacing/>
              <w:rPr>
                <w:rFonts w:ascii="Arial" w:hAnsi="Arial" w:cs="Arial"/>
                <w:color w:val="000000"/>
                <w:sz w:val="16"/>
                <w:szCs w:val="16"/>
              </w:rPr>
            </w:pPr>
            <w:r>
              <w:rPr>
                <w:rFonts w:ascii="Arial" w:hAnsi="Arial" w:cs="Arial"/>
                <w:color w:val="000000"/>
                <w:sz w:val="16"/>
                <w:szCs w:val="16"/>
              </w:rPr>
              <w:t>Power equitability metric describing the evenness of wind energy contributions at 100m hub height across compass directions</w:t>
            </w:r>
          </w:p>
        </w:tc>
        <w:tc>
          <w:tcPr>
            <w:tcW w:w="1965" w:type="pct"/>
            <w:tcBorders>
              <w:top w:val="nil"/>
              <w:left w:val="nil"/>
              <w:bottom w:val="nil"/>
              <w:right w:val="nil"/>
            </w:tcBorders>
          </w:tcPr>
          <w:p w14:paraId="2B088BDE" w14:textId="77777777" w:rsidR="00910757" w:rsidRDefault="00910757" w:rsidP="001802C9">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&lt;EndNote&gt;&lt;Cite&gt;&lt;Author&gt;Draxl&lt;/Author&gt;&lt;Year&gt;2015&lt;/Year&gt;&lt;RecNum&gt;66&lt;/RecNum&gt;&lt;DisplayText&gt;[2]&lt;/DisplayText&gt;&lt;record&gt;&lt;rec-number&gt;66&lt;/rec-number&gt;&lt;foreign-keys&gt;&lt;key app="EN" db-id="xwrdevr9lfe2zkesp9fppw0j0zw9rrwepp95" timestamp="1578095780" guid="db31e6f6-0154-42a1-b83c-4d5b757b5939"&gt;66&lt;/key&gt;&lt;key app="ENWeb" db-id=""&gt;0&lt;/key&gt;&lt;/foreign-keys&gt;&lt;ref-type name="Journal Article"&gt;17&lt;/ref-type&gt;&lt;contributors&gt;&lt;authors&gt;&lt;author&gt;Draxl, Caroline&lt;/author&gt;&lt;author&gt;Clifton, Andrew&lt;/author&gt;&lt;author&gt;Hodge, Bri-Mathias&lt;/author&gt;&lt;author&gt;McCaa, Jim&lt;/author&gt;&lt;/authors&gt;&lt;/contributors&gt;&lt;titles&gt;&lt;title&gt;The Wind Integration National Dataset (WIND) Toolkit&lt;/title&gt;&lt;secondary-title&gt;Applied Energy&lt;/secondary-title&gt;&lt;/titles&gt;&lt;periodical&gt;&lt;full-title&gt;Applied Energy&lt;/full-title&gt;&lt;/periodical&gt;&lt;pages&gt;355-366&lt;/pages&gt;&lt;volume&gt;151&lt;/volume&gt;&lt;section&gt;355&lt;/section&gt;&lt;dates&gt;&lt;year&gt;2015&lt;/year&gt;&lt;/dates&gt;&lt;isbn&gt;03062619&lt;/isbn&gt;&lt;urls&gt;&lt;/urls&gt;&lt;electronic-resource-num&gt;10.1016/j.apenergy.2015.03.121&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[2]</w:t>
            </w:r>
            <w:r>
              <w:rPr>
                <w:rFonts w:ascii="Arial" w:hAnsi="Arial" w:cs="Arial"/>
                <w:color w:val="000000"/>
                <w:sz w:val="16"/>
                <w:szCs w:val="16"/>
              </w:rPr>
              <w:fldChar w:fldCharType="end"/>
            </w:r>
          </w:p>
        </w:tc>
      </w:tr>
      <w:tr w:rsidR="00910757" w:rsidRPr="00CA7BCB" w14:paraId="29DC1AF3" w14:textId="77777777" w:rsidTr="00C13DBB">
        <w:trPr>
          <w:trHeight w:val="216"/>
        </w:trPr>
        <w:tc>
          <w:tcPr>
            <w:tcW w:w="465" w:type="pct"/>
            <w:tcBorders>
              <w:top w:val="nil"/>
              <w:left w:val="nil"/>
              <w:right w:val="nil"/>
            </w:tcBorders>
          </w:tcPr>
          <w:p w14:paraId="20D69404"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WEX</w:t>
            </w:r>
          </w:p>
        </w:tc>
        <w:tc>
          <w:tcPr>
            <w:tcW w:w="2570" w:type="pct"/>
            <w:tcBorders>
              <w:top w:val="nil"/>
              <w:left w:val="nil"/>
              <w:right w:val="nil"/>
            </w:tcBorders>
            <w:vAlign w:val="bottom"/>
          </w:tcPr>
          <w:p w14:paraId="62F91B45"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 xml:space="preserve">Fractional areal extent of </w:t>
            </w:r>
            <w:r w:rsidRPr="00CA7BCB">
              <w:rPr>
                <w:rFonts w:ascii="Arial" w:hAnsi="Arial" w:cs="Arial"/>
                <w:color w:val="000000"/>
                <w:sz w:val="16"/>
                <w:szCs w:val="16"/>
              </w:rPr>
              <w:t>wind</w:t>
            </w:r>
            <w:r>
              <w:rPr>
                <w:rFonts w:ascii="Arial" w:hAnsi="Arial" w:cs="Arial"/>
                <w:color w:val="000000"/>
                <w:sz w:val="16"/>
                <w:szCs w:val="16"/>
              </w:rPr>
              <w:t xml:space="preserve"> </w:t>
            </w:r>
            <w:r w:rsidRPr="00CA7BCB">
              <w:rPr>
                <w:rFonts w:ascii="Arial" w:hAnsi="Arial" w:cs="Arial"/>
                <w:color w:val="000000"/>
                <w:sz w:val="16"/>
                <w:szCs w:val="16"/>
              </w:rPr>
              <w:t>exclusions</w:t>
            </w:r>
          </w:p>
        </w:tc>
        <w:tc>
          <w:tcPr>
            <w:tcW w:w="1965" w:type="pct"/>
            <w:tcBorders>
              <w:top w:val="nil"/>
              <w:left w:val="nil"/>
              <w:right w:val="nil"/>
            </w:tcBorders>
          </w:tcPr>
          <w:p w14:paraId="0998114B" w14:textId="77777777" w:rsidR="00910757" w:rsidRPr="00CA7BCB" w:rsidRDefault="00910757" w:rsidP="00E46D63">
            <w:pPr>
              <w:spacing w:line="480" w:lineRule="auto"/>
              <w:contextualSpacing/>
              <w:jc w:val="right"/>
              <w:rPr>
                <w:rFonts w:ascii="Arial" w:hAnsi="Arial" w:cs="Arial"/>
                <w:color w:val="000000"/>
                <w:sz w:val="16"/>
                <w:szCs w:val="16"/>
              </w:rPr>
            </w:pPr>
            <w:r>
              <w:rPr>
                <w:rFonts w:ascii="Arial" w:hAnsi="Arial" w:cs="Arial"/>
                <w:color w:val="000000"/>
                <w:sz w:val="16"/>
                <w:szCs w:val="16"/>
              </w:rPr>
              <w:t>Derived from Maclaurin et al. (unpublished)</w:t>
            </w:r>
          </w:p>
        </w:tc>
      </w:tr>
      <w:tr w:rsidR="00910757" w:rsidRPr="00CA7BCB" w14:paraId="535EE114" w14:textId="77777777" w:rsidTr="00C13DBB">
        <w:trPr>
          <w:trHeight w:val="216"/>
        </w:trPr>
        <w:tc>
          <w:tcPr>
            <w:tcW w:w="465" w:type="pct"/>
            <w:tcBorders>
              <w:top w:val="nil"/>
              <w:left w:val="nil"/>
              <w:bottom w:val="nil"/>
              <w:right w:val="nil"/>
            </w:tcBorders>
          </w:tcPr>
          <w:p w14:paraId="7C02B8A9"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WND*</w:t>
            </w:r>
          </w:p>
        </w:tc>
        <w:tc>
          <w:tcPr>
            <w:tcW w:w="2570" w:type="pct"/>
            <w:tcBorders>
              <w:top w:val="nil"/>
              <w:left w:val="nil"/>
              <w:bottom w:val="nil"/>
              <w:right w:val="nil"/>
            </w:tcBorders>
            <w:vAlign w:val="bottom"/>
          </w:tcPr>
          <w:p w14:paraId="0F732A2D" w14:textId="77777777" w:rsidR="00910757" w:rsidRPr="00CA7BCB" w:rsidRDefault="00910757" w:rsidP="00E46D63">
            <w:pPr>
              <w:spacing w:line="480" w:lineRule="auto"/>
              <w:contextualSpacing/>
              <w:rPr>
                <w:rFonts w:ascii="Arial" w:hAnsi="Arial" w:cs="Arial"/>
                <w:color w:val="000000"/>
                <w:sz w:val="16"/>
                <w:szCs w:val="16"/>
              </w:rPr>
            </w:pPr>
            <w:r>
              <w:rPr>
                <w:rFonts w:ascii="Arial" w:hAnsi="Arial" w:cs="Arial"/>
                <w:color w:val="000000"/>
                <w:sz w:val="16"/>
                <w:szCs w:val="16"/>
              </w:rPr>
              <w:t>D</w:t>
            </w:r>
            <w:r w:rsidRPr="00CA7BCB">
              <w:rPr>
                <w:rFonts w:ascii="Arial" w:hAnsi="Arial" w:cs="Arial"/>
                <w:color w:val="000000"/>
                <w:sz w:val="16"/>
                <w:szCs w:val="16"/>
              </w:rPr>
              <w:t>imensionless</w:t>
            </w:r>
            <w:r>
              <w:rPr>
                <w:rFonts w:ascii="Arial" w:hAnsi="Arial" w:cs="Arial"/>
                <w:color w:val="000000"/>
                <w:sz w:val="16"/>
                <w:szCs w:val="16"/>
              </w:rPr>
              <w:t xml:space="preserve"> </w:t>
            </w:r>
            <w:r w:rsidRPr="00CA7BCB">
              <w:rPr>
                <w:rFonts w:ascii="Arial" w:hAnsi="Arial" w:cs="Arial"/>
                <w:color w:val="000000"/>
                <w:sz w:val="16"/>
                <w:szCs w:val="16"/>
              </w:rPr>
              <w:t>wind</w:t>
            </w:r>
            <w:r>
              <w:rPr>
                <w:rFonts w:ascii="Arial" w:hAnsi="Arial" w:cs="Arial"/>
                <w:color w:val="000000"/>
                <w:sz w:val="16"/>
                <w:szCs w:val="16"/>
              </w:rPr>
              <w:t xml:space="preserve"> </w:t>
            </w:r>
            <w:r w:rsidRPr="00CA7BCB">
              <w:rPr>
                <w:rFonts w:ascii="Arial" w:hAnsi="Arial" w:cs="Arial"/>
                <w:color w:val="000000"/>
                <w:sz w:val="16"/>
                <w:szCs w:val="16"/>
              </w:rPr>
              <w:t>energy</w:t>
            </w:r>
            <w:r>
              <w:rPr>
                <w:rFonts w:ascii="Arial" w:hAnsi="Arial" w:cs="Arial"/>
                <w:color w:val="000000"/>
                <w:sz w:val="16"/>
                <w:szCs w:val="16"/>
              </w:rPr>
              <w:t xml:space="preserve"> at </w:t>
            </w:r>
            <w:r w:rsidRPr="00CA7BCB">
              <w:rPr>
                <w:rFonts w:ascii="Arial" w:hAnsi="Arial" w:cs="Arial"/>
                <w:color w:val="000000"/>
                <w:sz w:val="16"/>
                <w:szCs w:val="16"/>
              </w:rPr>
              <w:t>100m</w:t>
            </w:r>
            <w:r>
              <w:rPr>
                <w:rFonts w:ascii="Arial" w:hAnsi="Arial" w:cs="Arial"/>
                <w:color w:val="000000"/>
                <w:sz w:val="16"/>
                <w:szCs w:val="16"/>
              </w:rPr>
              <w:t xml:space="preserve"> hub height (unitless)</w:t>
            </w:r>
          </w:p>
        </w:tc>
        <w:tc>
          <w:tcPr>
            <w:tcW w:w="1965" w:type="pct"/>
            <w:tcBorders>
              <w:top w:val="nil"/>
              <w:left w:val="nil"/>
              <w:bottom w:val="nil"/>
              <w:right w:val="nil"/>
            </w:tcBorders>
          </w:tcPr>
          <w:p w14:paraId="5025C0B6" w14:textId="77777777" w:rsidR="00910757" w:rsidRDefault="00910757" w:rsidP="00E46D63">
            <w:pPr>
              <w:spacing w:line="480" w:lineRule="auto"/>
              <w:contextualSpacing/>
              <w:jc w:val="right"/>
              <w:rPr>
                <w:rFonts w:ascii="Arial" w:hAnsi="Arial" w:cs="Arial"/>
                <w:color w:val="000000"/>
                <w:sz w:val="16"/>
                <w:szCs w:val="16"/>
              </w:rPr>
            </w:pPr>
            <w:r>
              <w:rPr>
                <w:rFonts w:ascii="Arial" w:hAnsi="Arial" w:cs="Arial"/>
                <w:color w:val="000000"/>
                <w:sz w:val="16"/>
                <w:szCs w:val="16"/>
              </w:rPr>
              <w:t xml:space="preserve">Derived from </w:t>
            </w:r>
            <w:r>
              <w:rPr>
                <w:rFonts w:ascii="Arial" w:hAnsi="Arial" w:cs="Arial"/>
                <w:color w:val="000000"/>
                <w:sz w:val="16"/>
                <w:szCs w:val="16"/>
              </w:rPr>
              <w:fldChar w:fldCharType="begin"/>
            </w:r>
            <w:r>
              <w:rPr>
                <w:rFonts w:ascii="Arial" w:hAnsi="Arial" w:cs="Arial"/>
                <w:color w:val="000000"/>
                <w:sz w:val="16"/>
                <w:szCs w:val="16"/>
              </w:rPr>
              <w:instrText xml:space="preserve"> ADDIN EN.CITE &lt;EndNote&gt;&lt;Cite&gt;&lt;Author&gt;Draxl&lt;/Author&gt;&lt;Year&gt;2015&lt;/Year&gt;&lt;RecNum&gt;66&lt;/RecNum&gt;&lt;DisplayText&gt;[2]&lt;/DisplayText&gt;&lt;record&gt;&lt;rec-number&gt;66&lt;/rec-number&gt;&lt;foreign-keys&gt;&lt;key app="EN" db-id="xwrdevr9lfe2zkesp9fppw0j0zw9rrwepp95" timestamp="1578095780" guid="db31e6f6-0154-42a1-b83c-4d5b757b5939"&gt;66&lt;/key&gt;&lt;key app="ENWeb" db-id=""&gt;0&lt;/key&gt;&lt;/foreign-keys&gt;&lt;ref-type name="Journal Article"&gt;17&lt;/ref-type&gt;&lt;contributors&gt;&lt;authors&gt;&lt;author&gt;Draxl, Caroline&lt;/author&gt;&lt;author&gt;Clifton, Andrew&lt;/author&gt;&lt;author&gt;Hodge, Bri-Mathias&lt;/author&gt;&lt;author&gt;McCaa, Jim&lt;/author&gt;&lt;/authors&gt;&lt;/contributors&gt;&lt;titles&gt;&lt;title&gt;The Wind Integration National Dataset (WIND) Toolkit&lt;/title&gt;&lt;secondary-title&gt;Applied Energy&lt;/secondary-title&gt;&lt;/titles&gt;&lt;periodical&gt;&lt;full-title&gt;Applied Energy&lt;/full-title&gt;&lt;/periodical&gt;&lt;pages&gt;355-366&lt;/pages&gt;&lt;volume&gt;151&lt;/volume&gt;&lt;section&gt;355&lt;/section&gt;&lt;dates&gt;&lt;year&gt;2015&lt;/year&gt;&lt;/dates&gt;&lt;isbn&gt;03062619&lt;/isbn&gt;&lt;urls&gt;&lt;/urls&gt;&lt;electronic-resource-num&gt;10.1016/j.apenergy.2015.03.121&lt;/electronic-resource-num&gt;&lt;/record&gt;&lt;/Cite&gt;&lt;/EndNote&gt;</w:instrText>
            </w:r>
            <w:r>
              <w:rPr>
                <w:rFonts w:ascii="Arial" w:hAnsi="Arial" w:cs="Arial"/>
                <w:color w:val="000000"/>
                <w:sz w:val="16"/>
                <w:szCs w:val="16"/>
              </w:rPr>
              <w:fldChar w:fldCharType="separate"/>
            </w:r>
            <w:r>
              <w:rPr>
                <w:rFonts w:ascii="Arial" w:hAnsi="Arial" w:cs="Arial"/>
                <w:noProof/>
                <w:color w:val="000000"/>
                <w:sz w:val="16"/>
                <w:szCs w:val="16"/>
              </w:rPr>
              <w:t>[2]</w:t>
            </w:r>
            <w:r>
              <w:rPr>
                <w:rFonts w:ascii="Arial" w:hAnsi="Arial" w:cs="Arial"/>
                <w:color w:val="000000"/>
                <w:sz w:val="16"/>
                <w:szCs w:val="16"/>
              </w:rPr>
              <w:fldChar w:fldCharType="end"/>
            </w:r>
          </w:p>
        </w:tc>
      </w:tr>
    </w:tbl>
    <w:p w14:paraId="30BA9B39" w14:textId="0153F076" w:rsidR="00E3394F" w:rsidRDefault="00E3394F"/>
    <w:p w14:paraId="24D49EFE" w14:textId="4998995F" w:rsidR="001802C9" w:rsidRDefault="001802C9" w:rsidP="00F84280"/>
    <w:p w14:paraId="67F49509" w14:textId="2D067202" w:rsidR="000A34D0" w:rsidRDefault="000A34D0" w:rsidP="00D7692D">
      <w:pPr>
        <w:rPr>
          <w:rFonts w:ascii="Arial" w:hAnsi="Arial" w:cs="Arial"/>
          <w:color w:val="000000"/>
          <w:sz w:val="16"/>
          <w:szCs w:val="16"/>
        </w:rPr>
      </w:pPr>
    </w:p>
    <w:p w14:paraId="3F61F2A8" w14:textId="6D6EF7D1" w:rsidR="00D7692D" w:rsidRDefault="00D7692D" w:rsidP="00F84280"/>
    <w:p w14:paraId="52D57660" w14:textId="77777777" w:rsidR="00910757" w:rsidRDefault="00910757">
      <w:pPr>
        <w:rPr>
          <w:b/>
          <w:bCs/>
        </w:rPr>
        <w:sectPr w:rsidR="00910757" w:rsidSect="00910757">
          <w:pgSz w:w="12240" w:h="15840"/>
          <w:pgMar w:top="1440" w:right="1440" w:bottom="1440" w:left="1440" w:header="720" w:footer="720" w:gutter="0"/>
          <w:cols w:space="720"/>
          <w:docGrid w:linePitch="360"/>
        </w:sectPr>
      </w:pPr>
    </w:p>
    <w:p w14:paraId="3FF4B36F" w14:textId="3B62A80B" w:rsidR="00E0423D" w:rsidRPr="00C87DA6" w:rsidRDefault="00C87DA6">
      <w:pPr>
        <w:rPr>
          <w:b/>
          <w:bCs/>
        </w:rPr>
      </w:pPr>
      <w:r w:rsidRPr="00C87DA6">
        <w:rPr>
          <w:b/>
          <w:bCs/>
        </w:rPr>
        <w:lastRenderedPageBreak/>
        <w:t>References</w:t>
      </w:r>
    </w:p>
    <w:p w14:paraId="3EE0B1CE" w14:textId="77777777" w:rsidR="00E0423D" w:rsidRDefault="00E0423D"/>
    <w:p w14:paraId="4CA3508D" w14:textId="77777777" w:rsidR="00910757" w:rsidRPr="00910757" w:rsidRDefault="00E0423D" w:rsidP="00910757">
      <w:pPr>
        <w:pStyle w:val="EndNoteBibliography"/>
        <w:ind w:left="720" w:hanging="720"/>
        <w:rPr>
          <w:noProof/>
        </w:rPr>
      </w:pPr>
      <w:r>
        <w:fldChar w:fldCharType="begin"/>
      </w:r>
      <w:r>
        <w:instrText xml:space="preserve"> ADDIN EN.REFLIST </w:instrText>
      </w:r>
      <w:r>
        <w:fldChar w:fldCharType="separate"/>
      </w:r>
      <w:r w:rsidR="00910757" w:rsidRPr="00910757">
        <w:rPr>
          <w:noProof/>
        </w:rPr>
        <w:t>1.</w:t>
      </w:r>
      <w:r w:rsidR="00910757" w:rsidRPr="00910757">
        <w:rPr>
          <w:noProof/>
        </w:rPr>
        <w:tab/>
        <w:t xml:space="preserve">Gorelick, N., et al., </w:t>
      </w:r>
      <w:r w:rsidR="00910757" w:rsidRPr="00910757">
        <w:rPr>
          <w:i/>
          <w:noProof/>
        </w:rPr>
        <w:t>Google Earth Engine: Planetary-scale geospatial analysis for everyone.</w:t>
      </w:r>
      <w:r w:rsidR="00910757" w:rsidRPr="00910757">
        <w:rPr>
          <w:noProof/>
        </w:rPr>
        <w:t xml:space="preserve"> Remote Sensing of Environment, 2017. </w:t>
      </w:r>
      <w:r w:rsidR="00910757" w:rsidRPr="00910757">
        <w:rPr>
          <w:b/>
          <w:noProof/>
        </w:rPr>
        <w:t>202</w:t>
      </w:r>
      <w:r w:rsidR="00910757" w:rsidRPr="00910757">
        <w:rPr>
          <w:noProof/>
        </w:rPr>
        <w:t>: p. 18-27.</w:t>
      </w:r>
    </w:p>
    <w:p w14:paraId="36D9BF99" w14:textId="77777777" w:rsidR="00910757" w:rsidRPr="00910757" w:rsidRDefault="00910757" w:rsidP="00910757">
      <w:pPr>
        <w:pStyle w:val="EndNoteBibliography"/>
        <w:ind w:left="720" w:hanging="720"/>
        <w:rPr>
          <w:noProof/>
        </w:rPr>
      </w:pPr>
      <w:r w:rsidRPr="00910757">
        <w:rPr>
          <w:noProof/>
        </w:rPr>
        <w:t>2.</w:t>
      </w:r>
      <w:r w:rsidRPr="00910757">
        <w:rPr>
          <w:noProof/>
        </w:rPr>
        <w:tab/>
        <w:t xml:space="preserve">Draxl, C., et al., </w:t>
      </w:r>
      <w:r w:rsidRPr="00910757">
        <w:rPr>
          <w:i/>
          <w:noProof/>
        </w:rPr>
        <w:t>The Wind Integration National Dataset (WIND) Toolkit.</w:t>
      </w:r>
      <w:r w:rsidRPr="00910757">
        <w:rPr>
          <w:noProof/>
        </w:rPr>
        <w:t xml:space="preserve"> Applied Energy, 2015. </w:t>
      </w:r>
      <w:r w:rsidRPr="00910757">
        <w:rPr>
          <w:b/>
          <w:noProof/>
        </w:rPr>
        <w:t>151</w:t>
      </w:r>
      <w:r w:rsidRPr="00910757">
        <w:rPr>
          <w:noProof/>
        </w:rPr>
        <w:t>: p. 355-366.</w:t>
      </w:r>
    </w:p>
    <w:p w14:paraId="1BCB3575" w14:textId="77777777" w:rsidR="00910757" w:rsidRPr="00910757" w:rsidRDefault="00910757" w:rsidP="00910757">
      <w:pPr>
        <w:pStyle w:val="EndNoteBibliography"/>
        <w:ind w:left="720" w:hanging="720"/>
        <w:rPr>
          <w:noProof/>
        </w:rPr>
      </w:pPr>
      <w:r w:rsidRPr="00910757">
        <w:rPr>
          <w:noProof/>
        </w:rPr>
        <w:t>3.</w:t>
      </w:r>
      <w:r w:rsidRPr="00910757">
        <w:rPr>
          <w:noProof/>
        </w:rPr>
        <w:tab/>
        <w:t xml:space="preserve">Homer, C., et al., </w:t>
      </w:r>
      <w:r w:rsidRPr="00910757">
        <w:rPr>
          <w:i/>
          <w:noProof/>
        </w:rPr>
        <w:t>Completion of the 2011 National Land Cover Database for the Conterminous United States – Representing a Decade of Land Cover Change Information.</w:t>
      </w:r>
      <w:r w:rsidRPr="00910757">
        <w:rPr>
          <w:noProof/>
        </w:rPr>
        <w:t xml:space="preserve"> Photogrammetric Engineering and Remote Sensing, 2015. </w:t>
      </w:r>
      <w:r w:rsidRPr="00910757">
        <w:rPr>
          <w:b/>
          <w:noProof/>
        </w:rPr>
        <w:t>81</w:t>
      </w:r>
      <w:r w:rsidRPr="00910757">
        <w:rPr>
          <w:noProof/>
        </w:rPr>
        <w:t>: p. 345-354.</w:t>
      </w:r>
    </w:p>
    <w:p w14:paraId="2477E33F" w14:textId="77777777" w:rsidR="00910757" w:rsidRPr="00910757" w:rsidRDefault="00910757" w:rsidP="00910757">
      <w:pPr>
        <w:pStyle w:val="EndNoteBibliography"/>
        <w:ind w:left="720" w:hanging="720"/>
        <w:rPr>
          <w:noProof/>
        </w:rPr>
      </w:pPr>
      <w:r w:rsidRPr="00910757">
        <w:rPr>
          <w:noProof/>
        </w:rPr>
        <w:t>4.</w:t>
      </w:r>
      <w:r w:rsidRPr="00910757">
        <w:rPr>
          <w:noProof/>
        </w:rPr>
        <w:tab/>
        <w:t xml:space="preserve">Theobald, D.M., et al., </w:t>
      </w:r>
      <w:r w:rsidRPr="00910757">
        <w:rPr>
          <w:i/>
          <w:noProof/>
        </w:rPr>
        <w:t>Ecologically-Relevant Maps of Landforms and Physiographic Diversity for Climate Adaptation Planning.</w:t>
      </w:r>
      <w:r w:rsidRPr="00910757">
        <w:rPr>
          <w:noProof/>
        </w:rPr>
        <w:t xml:space="preserve"> PLoS One, 2015. </w:t>
      </w:r>
      <w:r w:rsidRPr="00910757">
        <w:rPr>
          <w:b/>
          <w:noProof/>
        </w:rPr>
        <w:t>10</w:t>
      </w:r>
      <w:r w:rsidRPr="00910757">
        <w:rPr>
          <w:noProof/>
        </w:rPr>
        <w:t>(12): p. e0143619.</w:t>
      </w:r>
    </w:p>
    <w:p w14:paraId="3DE13C45" w14:textId="77777777" w:rsidR="00910757" w:rsidRPr="00910757" w:rsidRDefault="00910757" w:rsidP="00910757">
      <w:pPr>
        <w:pStyle w:val="EndNoteBibliography"/>
        <w:ind w:left="720" w:hanging="720"/>
        <w:rPr>
          <w:noProof/>
        </w:rPr>
      </w:pPr>
      <w:r w:rsidRPr="00910757">
        <w:rPr>
          <w:noProof/>
        </w:rPr>
        <w:t>5.</w:t>
      </w:r>
      <w:r w:rsidRPr="00910757">
        <w:rPr>
          <w:noProof/>
        </w:rPr>
        <w:tab/>
        <w:t xml:space="preserve">Abadi, M., et al. </w:t>
      </w:r>
      <w:r w:rsidRPr="00910757">
        <w:rPr>
          <w:i/>
          <w:noProof/>
        </w:rPr>
        <w:t>TensorFlow: a system for large-scale machine learning</w:t>
      </w:r>
      <w:r w:rsidRPr="00910757">
        <w:rPr>
          <w:noProof/>
        </w:rPr>
        <w:t xml:space="preserve">. in </w:t>
      </w:r>
      <w:r w:rsidRPr="00910757">
        <w:rPr>
          <w:i/>
          <w:noProof/>
        </w:rPr>
        <w:t>Proceedings of the 12th USENIX conference on Operating Systems Design and Implementation</w:t>
      </w:r>
      <w:r w:rsidRPr="00910757">
        <w:rPr>
          <w:noProof/>
        </w:rPr>
        <w:t>. 2016. Savannah, GA, USA: USENIX Association.</w:t>
      </w:r>
    </w:p>
    <w:p w14:paraId="048A3CDB" w14:textId="77777777" w:rsidR="00910757" w:rsidRPr="00910757" w:rsidRDefault="00910757" w:rsidP="00910757">
      <w:pPr>
        <w:pStyle w:val="EndNoteBibliography"/>
        <w:ind w:left="720" w:hanging="720"/>
        <w:rPr>
          <w:noProof/>
        </w:rPr>
      </w:pPr>
      <w:r w:rsidRPr="00910757">
        <w:rPr>
          <w:noProof/>
        </w:rPr>
        <w:t>6.</w:t>
      </w:r>
      <w:r w:rsidRPr="00910757">
        <w:rPr>
          <w:noProof/>
        </w:rPr>
        <w:tab/>
        <w:t xml:space="preserve">Shannon, C.E. and W. Weaver, </w:t>
      </w:r>
      <w:r w:rsidRPr="00910757">
        <w:rPr>
          <w:i/>
          <w:noProof/>
        </w:rPr>
        <w:t>The mathematical theory of communication</w:t>
      </w:r>
      <w:r w:rsidRPr="00910757">
        <w:rPr>
          <w:noProof/>
        </w:rPr>
        <w:t>. 1949, Urbana, Illinois: University of Illinois Press.</w:t>
      </w:r>
    </w:p>
    <w:p w14:paraId="7AD6235A" w14:textId="77777777" w:rsidR="00910757" w:rsidRPr="00910757" w:rsidRDefault="00910757" w:rsidP="00910757">
      <w:pPr>
        <w:pStyle w:val="EndNoteBibliography"/>
        <w:ind w:left="720" w:hanging="720"/>
        <w:rPr>
          <w:noProof/>
        </w:rPr>
      </w:pPr>
      <w:r w:rsidRPr="00910757">
        <w:rPr>
          <w:noProof/>
        </w:rPr>
        <w:t>7.</w:t>
      </w:r>
      <w:r w:rsidRPr="00910757">
        <w:rPr>
          <w:noProof/>
        </w:rPr>
        <w:tab/>
        <w:t xml:space="preserve">Lopez, A., et al., </w:t>
      </w:r>
      <w:r w:rsidRPr="00910757">
        <w:rPr>
          <w:i/>
          <w:noProof/>
        </w:rPr>
        <w:t>U.S. Renewable Energy Technical Potentials: A GIS-based analysis</w:t>
      </w:r>
      <w:r w:rsidRPr="00910757">
        <w:rPr>
          <w:noProof/>
        </w:rPr>
        <w:t>. 2012, National Renewable Energy Laboratory: Golden, CO.</w:t>
      </w:r>
    </w:p>
    <w:p w14:paraId="2B7EC42D" w14:textId="77777777" w:rsidR="00910757" w:rsidRPr="00910757" w:rsidRDefault="00910757" w:rsidP="00910757">
      <w:pPr>
        <w:pStyle w:val="EndNoteBibliography"/>
        <w:ind w:left="720" w:hanging="720"/>
        <w:rPr>
          <w:noProof/>
        </w:rPr>
      </w:pPr>
      <w:r w:rsidRPr="00910757">
        <w:rPr>
          <w:noProof/>
        </w:rPr>
        <w:t>8.</w:t>
      </w:r>
      <w:r w:rsidRPr="00910757">
        <w:rPr>
          <w:noProof/>
        </w:rPr>
        <w:tab/>
        <w:t xml:space="preserve">Karagulle, D., et al., </w:t>
      </w:r>
      <w:r w:rsidRPr="00910757">
        <w:rPr>
          <w:i/>
          <w:noProof/>
        </w:rPr>
        <w:t>Modeling global Hammond landform regions from 250-m elevation data.</w:t>
      </w:r>
      <w:r w:rsidRPr="00910757">
        <w:rPr>
          <w:noProof/>
        </w:rPr>
        <w:t xml:space="preserve"> Transactions in GIS, 2017. </w:t>
      </w:r>
      <w:r w:rsidRPr="00910757">
        <w:rPr>
          <w:b/>
          <w:noProof/>
        </w:rPr>
        <w:t>21</w:t>
      </w:r>
      <w:r w:rsidRPr="00910757">
        <w:rPr>
          <w:noProof/>
        </w:rPr>
        <w:t>(5): p. 1040-1060.</w:t>
      </w:r>
    </w:p>
    <w:p w14:paraId="4ECB0F7A" w14:textId="77777777" w:rsidR="00910757" w:rsidRPr="00910757" w:rsidRDefault="00910757" w:rsidP="00910757">
      <w:pPr>
        <w:pStyle w:val="EndNoteBibliography"/>
        <w:ind w:left="720" w:hanging="720"/>
        <w:rPr>
          <w:noProof/>
        </w:rPr>
      </w:pPr>
      <w:r w:rsidRPr="00910757">
        <w:rPr>
          <w:noProof/>
        </w:rPr>
        <w:t>9.</w:t>
      </w:r>
      <w:r w:rsidRPr="00910757">
        <w:rPr>
          <w:noProof/>
        </w:rPr>
        <w:tab/>
        <w:t xml:space="preserve">Farr, T.G., et al., </w:t>
      </w:r>
      <w:r w:rsidRPr="00910757">
        <w:rPr>
          <w:i/>
          <w:noProof/>
        </w:rPr>
        <w:t>The Shuttle Radar Topography Mission.</w:t>
      </w:r>
      <w:r w:rsidRPr="00910757">
        <w:rPr>
          <w:noProof/>
        </w:rPr>
        <w:t xml:space="preserve"> Reviews of Geophysics, 2007. </w:t>
      </w:r>
      <w:r w:rsidRPr="00910757">
        <w:rPr>
          <w:b/>
          <w:noProof/>
        </w:rPr>
        <w:t>45</w:t>
      </w:r>
      <w:r w:rsidRPr="00910757">
        <w:rPr>
          <w:noProof/>
        </w:rPr>
        <w:t>(2).</w:t>
      </w:r>
    </w:p>
    <w:p w14:paraId="20DFADE2" w14:textId="77777777" w:rsidR="00910757" w:rsidRPr="00910757" w:rsidRDefault="00910757" w:rsidP="00910757">
      <w:pPr>
        <w:pStyle w:val="EndNoteBibliography"/>
        <w:ind w:left="720" w:hanging="720"/>
        <w:rPr>
          <w:noProof/>
        </w:rPr>
      </w:pPr>
      <w:r w:rsidRPr="00910757">
        <w:rPr>
          <w:noProof/>
        </w:rPr>
        <w:t>10.</w:t>
      </w:r>
      <w:r w:rsidRPr="00910757">
        <w:rPr>
          <w:noProof/>
        </w:rPr>
        <w:tab/>
        <w:t xml:space="preserve">Weiss, D.J., et al., </w:t>
      </w:r>
      <w:r w:rsidRPr="00910757">
        <w:rPr>
          <w:i/>
          <w:noProof/>
        </w:rPr>
        <w:t>A global map of travel time to cities to assess inequalities in accessibility in 2015.</w:t>
      </w:r>
      <w:r w:rsidRPr="00910757">
        <w:rPr>
          <w:noProof/>
        </w:rPr>
        <w:t xml:space="preserve"> Nature, 2018. </w:t>
      </w:r>
      <w:r w:rsidRPr="00910757">
        <w:rPr>
          <w:b/>
          <w:noProof/>
        </w:rPr>
        <w:t>553</w:t>
      </w:r>
      <w:r w:rsidRPr="00910757">
        <w:rPr>
          <w:noProof/>
        </w:rPr>
        <w:t>(7688): p. 333-336.</w:t>
      </w:r>
    </w:p>
    <w:p w14:paraId="6CE53F2A" w14:textId="77777777" w:rsidR="00910757" w:rsidRPr="00910757" w:rsidRDefault="00910757" w:rsidP="00910757">
      <w:pPr>
        <w:pStyle w:val="EndNoteBibliography"/>
        <w:ind w:left="720" w:hanging="720"/>
        <w:rPr>
          <w:noProof/>
        </w:rPr>
      </w:pPr>
      <w:r w:rsidRPr="00910757">
        <w:rPr>
          <w:noProof/>
        </w:rPr>
        <w:t>11.</w:t>
      </w:r>
      <w:r w:rsidRPr="00910757">
        <w:rPr>
          <w:noProof/>
        </w:rPr>
        <w:tab/>
        <w:t xml:space="preserve">Leyk, S. and J.H. Uhl, </w:t>
      </w:r>
      <w:r w:rsidRPr="00910757">
        <w:rPr>
          <w:i/>
          <w:noProof/>
        </w:rPr>
        <w:t>HISDAC-US, historical settlement data compilation for the conterminous United States over 200 years.</w:t>
      </w:r>
      <w:r w:rsidRPr="00910757">
        <w:rPr>
          <w:noProof/>
        </w:rPr>
        <w:t xml:space="preserve"> Sci Data, 2018. </w:t>
      </w:r>
      <w:r w:rsidRPr="00910757">
        <w:rPr>
          <w:b/>
          <w:noProof/>
        </w:rPr>
        <w:t>5</w:t>
      </w:r>
      <w:r w:rsidRPr="00910757">
        <w:rPr>
          <w:noProof/>
        </w:rPr>
        <w:t>: p. 180175.</w:t>
      </w:r>
    </w:p>
    <w:p w14:paraId="0F0F8E0E" w14:textId="77777777" w:rsidR="00910757" w:rsidRPr="00910757" w:rsidRDefault="00910757" w:rsidP="00910757">
      <w:pPr>
        <w:pStyle w:val="EndNoteBibliography"/>
        <w:ind w:left="720" w:hanging="720"/>
        <w:rPr>
          <w:noProof/>
        </w:rPr>
      </w:pPr>
      <w:r w:rsidRPr="00910757">
        <w:rPr>
          <w:noProof/>
        </w:rPr>
        <w:t>12.</w:t>
      </w:r>
      <w:r w:rsidRPr="00910757">
        <w:rPr>
          <w:noProof/>
        </w:rPr>
        <w:tab/>
        <w:t xml:space="preserve">GAP, U.S.G.S., </w:t>
      </w:r>
      <w:r w:rsidRPr="00910757">
        <w:rPr>
          <w:i/>
          <w:noProof/>
        </w:rPr>
        <w:t>Protected areas database of the United States (PADUS)</w:t>
      </w:r>
      <w:r w:rsidRPr="00910757">
        <w:rPr>
          <w:noProof/>
        </w:rPr>
        <w:t>, U.S.G.S. GAP, Editor. 2019.</w:t>
      </w:r>
    </w:p>
    <w:p w14:paraId="635B3A09" w14:textId="77777777" w:rsidR="00910757" w:rsidRPr="00910757" w:rsidRDefault="00910757" w:rsidP="00910757">
      <w:pPr>
        <w:pStyle w:val="EndNoteBibliography"/>
        <w:ind w:left="720" w:hanging="720"/>
        <w:rPr>
          <w:noProof/>
        </w:rPr>
      </w:pPr>
      <w:r w:rsidRPr="00910757">
        <w:rPr>
          <w:noProof/>
        </w:rPr>
        <w:t>13.</w:t>
      </w:r>
      <w:r w:rsidRPr="00910757">
        <w:rPr>
          <w:noProof/>
        </w:rPr>
        <w:tab/>
        <w:t xml:space="preserve">CIESIN, </w:t>
      </w:r>
      <w:r w:rsidRPr="00910757">
        <w:rPr>
          <w:i/>
          <w:noProof/>
        </w:rPr>
        <w:t>U.S. Census Grids (Summary File 1)</w:t>
      </w:r>
      <w:r w:rsidRPr="00910757">
        <w:rPr>
          <w:noProof/>
        </w:rPr>
        <w:t>, C.f.I.E.S.I.N.-C.-C. University, Editor. 2017, NASA Socioeconomic Data and Applications Center (SEDAC): Palisades, NY.</w:t>
      </w:r>
    </w:p>
    <w:p w14:paraId="184C693D" w14:textId="77777777" w:rsidR="00910757" w:rsidRPr="00910757" w:rsidRDefault="00910757" w:rsidP="00910757">
      <w:pPr>
        <w:pStyle w:val="EndNoteBibliography"/>
        <w:ind w:left="720" w:hanging="720"/>
        <w:rPr>
          <w:noProof/>
        </w:rPr>
      </w:pPr>
      <w:r w:rsidRPr="00910757">
        <w:rPr>
          <w:noProof/>
        </w:rPr>
        <w:t>14.</w:t>
      </w:r>
      <w:r w:rsidRPr="00910757">
        <w:rPr>
          <w:noProof/>
        </w:rPr>
        <w:tab/>
        <w:t xml:space="preserve">EERE, D., </w:t>
      </w:r>
      <w:r w:rsidRPr="00910757">
        <w:rPr>
          <w:i/>
          <w:noProof/>
        </w:rPr>
        <w:t>2017 wind technologies market report</w:t>
      </w:r>
      <w:r w:rsidRPr="00910757">
        <w:rPr>
          <w:noProof/>
        </w:rPr>
        <w:t>. 2018, U.S. Department of Energy (DOE) Office of Energy Efficiency and Renewable Energy (EERE): United States.</w:t>
      </w:r>
    </w:p>
    <w:p w14:paraId="041D2F6B" w14:textId="77777777" w:rsidR="00910757" w:rsidRPr="00910757" w:rsidRDefault="00910757" w:rsidP="00910757">
      <w:pPr>
        <w:pStyle w:val="EndNoteBibliography"/>
        <w:ind w:left="720" w:hanging="720"/>
        <w:rPr>
          <w:noProof/>
        </w:rPr>
      </w:pPr>
      <w:r w:rsidRPr="00910757">
        <w:rPr>
          <w:noProof/>
        </w:rPr>
        <w:t>15.</w:t>
      </w:r>
      <w:r w:rsidRPr="00910757">
        <w:rPr>
          <w:noProof/>
        </w:rPr>
        <w:tab/>
        <w:t xml:space="preserve">Theobald, D.M., </w:t>
      </w:r>
      <w:r w:rsidRPr="00910757">
        <w:rPr>
          <w:i/>
          <w:noProof/>
        </w:rPr>
        <w:t>Development and applications of a comprehensive land use classification and map for the US.</w:t>
      </w:r>
      <w:r w:rsidRPr="00910757">
        <w:rPr>
          <w:noProof/>
        </w:rPr>
        <w:t xml:space="preserve"> PLoS One, 2014. </w:t>
      </w:r>
      <w:r w:rsidRPr="00910757">
        <w:rPr>
          <w:b/>
          <w:noProof/>
        </w:rPr>
        <w:t>9</w:t>
      </w:r>
      <w:r w:rsidRPr="00910757">
        <w:rPr>
          <w:noProof/>
        </w:rPr>
        <w:t>(4): p. e94628.</w:t>
      </w:r>
    </w:p>
    <w:p w14:paraId="26A7B2EF" w14:textId="77777777" w:rsidR="00910757" w:rsidRPr="00910757" w:rsidRDefault="00910757" w:rsidP="00910757">
      <w:pPr>
        <w:pStyle w:val="EndNoteBibliography"/>
        <w:ind w:left="720" w:hanging="720"/>
        <w:rPr>
          <w:noProof/>
        </w:rPr>
      </w:pPr>
      <w:r w:rsidRPr="00910757">
        <w:rPr>
          <w:noProof/>
        </w:rPr>
        <w:t>16.</w:t>
      </w:r>
      <w:r w:rsidRPr="00910757">
        <w:rPr>
          <w:noProof/>
        </w:rPr>
        <w:tab/>
        <w:t xml:space="preserve">Pesaresi, M. and S. Freire, </w:t>
      </w:r>
      <w:r w:rsidRPr="00910757">
        <w:rPr>
          <w:i/>
          <w:noProof/>
        </w:rPr>
        <w:t>GHS Settlement grid following the REGIO model 2014 in application to GHSL Landsat and CIESIN GPW v4-multitemporal (1975-1990-2000-2015)</w:t>
      </w:r>
      <w:r w:rsidRPr="00910757">
        <w:rPr>
          <w:noProof/>
        </w:rPr>
        <w:t>, J.R.C.J. European Commission, Editor. 2016.</w:t>
      </w:r>
    </w:p>
    <w:p w14:paraId="3E93DFAC" w14:textId="77777777" w:rsidR="00910757" w:rsidRPr="00910757" w:rsidRDefault="00910757" w:rsidP="00910757">
      <w:pPr>
        <w:pStyle w:val="EndNoteBibliography"/>
        <w:ind w:left="720" w:hanging="720"/>
        <w:rPr>
          <w:noProof/>
        </w:rPr>
      </w:pPr>
      <w:r w:rsidRPr="00910757">
        <w:rPr>
          <w:noProof/>
        </w:rPr>
        <w:t>17.</w:t>
      </w:r>
      <w:r w:rsidRPr="00910757">
        <w:rPr>
          <w:noProof/>
        </w:rPr>
        <w:tab/>
        <w:t xml:space="preserve">Gesch, D.B., et al., </w:t>
      </w:r>
      <w:r w:rsidRPr="00910757">
        <w:rPr>
          <w:i/>
          <w:noProof/>
        </w:rPr>
        <w:t>The national elevation data set.</w:t>
      </w:r>
      <w:r w:rsidRPr="00910757">
        <w:rPr>
          <w:noProof/>
        </w:rPr>
        <w:t xml:space="preserve"> Photogrammetric Engineering and Remote Sensing, 2002. </w:t>
      </w:r>
      <w:r w:rsidRPr="00910757">
        <w:rPr>
          <w:b/>
          <w:noProof/>
        </w:rPr>
        <w:t>68</w:t>
      </w:r>
      <w:r w:rsidRPr="00910757">
        <w:rPr>
          <w:noProof/>
        </w:rPr>
        <w:t>(1): p. 5-11.</w:t>
      </w:r>
    </w:p>
    <w:p w14:paraId="4D6A5D4F" w14:textId="621C42C2" w:rsidR="00F84280" w:rsidRDefault="00E0423D">
      <w:r>
        <w:fldChar w:fldCharType="end"/>
      </w:r>
    </w:p>
    <w:sectPr w:rsidR="00F84280" w:rsidSect="0091075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4"/>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wrdevr9lfe2zkesp9fppw0j0zw9rrwepp95&quot;&gt;My EndNote Library&lt;record-ids&gt;&lt;item&gt;9&lt;/item&gt;&lt;item&gt;18&lt;/item&gt;&lt;item&gt;30&lt;/item&gt;&lt;item&gt;31&lt;/item&gt;&lt;item&gt;34&lt;/item&gt;&lt;item&gt;48&lt;/item&gt;&lt;item&gt;62&lt;/item&gt;&lt;item&gt;66&lt;/item&gt;&lt;item&gt;67&lt;/item&gt;&lt;item&gt;68&lt;/item&gt;&lt;item&gt;69&lt;/item&gt;&lt;item&gt;70&lt;/item&gt;&lt;item&gt;71&lt;/item&gt;&lt;item&gt;72&lt;/item&gt;&lt;item&gt;73&lt;/item&gt;&lt;item&gt;75&lt;/item&gt;&lt;item&gt;76&lt;/item&gt;&lt;/record-ids&gt;&lt;/item&gt;&lt;/Libraries&gt;"/>
  </w:docVars>
  <w:rsids>
    <w:rsidRoot w:val="00E3394F"/>
    <w:rsid w:val="000253CD"/>
    <w:rsid w:val="00081683"/>
    <w:rsid w:val="00097FE4"/>
    <w:rsid w:val="000A34D0"/>
    <w:rsid w:val="000A611F"/>
    <w:rsid w:val="000F45D5"/>
    <w:rsid w:val="001802C9"/>
    <w:rsid w:val="00187523"/>
    <w:rsid w:val="001C1C5E"/>
    <w:rsid w:val="002721E8"/>
    <w:rsid w:val="00295D44"/>
    <w:rsid w:val="002E5911"/>
    <w:rsid w:val="00385D6B"/>
    <w:rsid w:val="003D5E26"/>
    <w:rsid w:val="004220D7"/>
    <w:rsid w:val="004544D4"/>
    <w:rsid w:val="00463413"/>
    <w:rsid w:val="004F6316"/>
    <w:rsid w:val="00567964"/>
    <w:rsid w:val="005D53D2"/>
    <w:rsid w:val="005E4F4A"/>
    <w:rsid w:val="00654B99"/>
    <w:rsid w:val="006A2DD7"/>
    <w:rsid w:val="006B180F"/>
    <w:rsid w:val="006B63C6"/>
    <w:rsid w:val="006B7413"/>
    <w:rsid w:val="00730EA2"/>
    <w:rsid w:val="00883FA1"/>
    <w:rsid w:val="008A4D7D"/>
    <w:rsid w:val="008C2AF9"/>
    <w:rsid w:val="008E6650"/>
    <w:rsid w:val="00902EA2"/>
    <w:rsid w:val="00910757"/>
    <w:rsid w:val="0096328A"/>
    <w:rsid w:val="00AB6D78"/>
    <w:rsid w:val="00AF31FA"/>
    <w:rsid w:val="00B3503D"/>
    <w:rsid w:val="00B3677E"/>
    <w:rsid w:val="00B4325A"/>
    <w:rsid w:val="00B84E78"/>
    <w:rsid w:val="00C060E0"/>
    <w:rsid w:val="00C13DBB"/>
    <w:rsid w:val="00C326E3"/>
    <w:rsid w:val="00C434E2"/>
    <w:rsid w:val="00C46859"/>
    <w:rsid w:val="00C7545A"/>
    <w:rsid w:val="00C87DA6"/>
    <w:rsid w:val="00CA6100"/>
    <w:rsid w:val="00CC4C86"/>
    <w:rsid w:val="00CD1015"/>
    <w:rsid w:val="00D7692D"/>
    <w:rsid w:val="00DC3300"/>
    <w:rsid w:val="00E0423D"/>
    <w:rsid w:val="00E3394F"/>
    <w:rsid w:val="00E36A50"/>
    <w:rsid w:val="00E46D63"/>
    <w:rsid w:val="00E85B47"/>
    <w:rsid w:val="00EA0060"/>
    <w:rsid w:val="00F0321D"/>
    <w:rsid w:val="00F626C4"/>
    <w:rsid w:val="00F842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203136"/>
  <w14:defaultImageDpi w14:val="32767"/>
  <w15:chartTrackingRefBased/>
  <w15:docId w15:val="{3A63E15F-E8EF-7543-A111-529C413DCC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D7692D"/>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F84280"/>
    <w:rPr>
      <w:color w:val="0000FF"/>
      <w:u w:val="single"/>
    </w:rPr>
  </w:style>
  <w:style w:type="paragraph" w:styleId="Caption">
    <w:name w:val="caption"/>
    <w:basedOn w:val="Normal"/>
    <w:next w:val="Normal"/>
    <w:uiPriority w:val="35"/>
    <w:unhideWhenUsed/>
    <w:qFormat/>
    <w:rsid w:val="00C13DBB"/>
    <w:pPr>
      <w:spacing w:after="200"/>
    </w:pPr>
    <w:rPr>
      <w:i/>
      <w:iCs/>
      <w:color w:val="44546A" w:themeColor="text2"/>
      <w:sz w:val="18"/>
      <w:szCs w:val="18"/>
    </w:rPr>
  </w:style>
  <w:style w:type="paragraph" w:styleId="BalloonText">
    <w:name w:val="Balloon Text"/>
    <w:basedOn w:val="Normal"/>
    <w:link w:val="BalloonTextChar"/>
    <w:uiPriority w:val="99"/>
    <w:semiHidden/>
    <w:unhideWhenUsed/>
    <w:rsid w:val="000A34D0"/>
    <w:rPr>
      <w:sz w:val="18"/>
      <w:szCs w:val="18"/>
    </w:rPr>
  </w:style>
  <w:style w:type="character" w:customStyle="1" w:styleId="BalloonTextChar">
    <w:name w:val="Balloon Text Char"/>
    <w:basedOn w:val="DefaultParagraphFont"/>
    <w:link w:val="BalloonText"/>
    <w:uiPriority w:val="99"/>
    <w:semiHidden/>
    <w:rsid w:val="000A34D0"/>
    <w:rPr>
      <w:rFonts w:ascii="Times New Roman" w:eastAsia="Times New Roman" w:hAnsi="Times New Roman" w:cs="Times New Roman"/>
      <w:sz w:val="18"/>
      <w:szCs w:val="18"/>
    </w:rPr>
  </w:style>
  <w:style w:type="paragraph" w:customStyle="1" w:styleId="EndNoteBibliographyTitle">
    <w:name w:val="EndNote Bibliography Title"/>
    <w:basedOn w:val="Normal"/>
    <w:link w:val="EndNoteBibliographyTitleChar"/>
    <w:rsid w:val="00E0423D"/>
    <w:pPr>
      <w:jc w:val="center"/>
    </w:pPr>
  </w:style>
  <w:style w:type="character" w:customStyle="1" w:styleId="EndNoteBibliographyTitleChar">
    <w:name w:val="EndNote Bibliography Title Char"/>
    <w:basedOn w:val="DefaultParagraphFont"/>
    <w:link w:val="EndNoteBibliographyTitle"/>
    <w:rsid w:val="00E0423D"/>
    <w:rPr>
      <w:rFonts w:ascii="Times New Roman" w:eastAsia="Times New Roman" w:hAnsi="Times New Roman" w:cs="Times New Roman"/>
    </w:rPr>
  </w:style>
  <w:style w:type="paragraph" w:customStyle="1" w:styleId="EndNoteBibliography">
    <w:name w:val="EndNote Bibliography"/>
    <w:basedOn w:val="Normal"/>
    <w:link w:val="EndNoteBibliographyChar"/>
    <w:rsid w:val="00E0423D"/>
  </w:style>
  <w:style w:type="character" w:customStyle="1" w:styleId="EndNoteBibliographyChar">
    <w:name w:val="EndNote Bibliography Char"/>
    <w:basedOn w:val="DefaultParagraphFont"/>
    <w:link w:val="EndNoteBibliography"/>
    <w:rsid w:val="00E0423D"/>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4F6316"/>
    <w:rPr>
      <w:color w:val="954F72" w:themeColor="followedHyperlink"/>
      <w:u w:val="single"/>
    </w:rPr>
  </w:style>
  <w:style w:type="character" w:styleId="CommentReference">
    <w:name w:val="annotation reference"/>
    <w:basedOn w:val="DefaultParagraphFont"/>
    <w:uiPriority w:val="99"/>
    <w:semiHidden/>
    <w:unhideWhenUsed/>
    <w:rsid w:val="003D5E26"/>
    <w:rPr>
      <w:sz w:val="16"/>
      <w:szCs w:val="16"/>
    </w:rPr>
  </w:style>
  <w:style w:type="paragraph" w:styleId="CommentText">
    <w:name w:val="annotation text"/>
    <w:basedOn w:val="Normal"/>
    <w:link w:val="CommentTextChar"/>
    <w:uiPriority w:val="99"/>
    <w:semiHidden/>
    <w:unhideWhenUsed/>
    <w:rsid w:val="003D5E26"/>
    <w:rPr>
      <w:sz w:val="20"/>
      <w:szCs w:val="20"/>
    </w:rPr>
  </w:style>
  <w:style w:type="character" w:customStyle="1" w:styleId="CommentTextChar">
    <w:name w:val="Comment Text Char"/>
    <w:basedOn w:val="DefaultParagraphFont"/>
    <w:link w:val="CommentText"/>
    <w:uiPriority w:val="99"/>
    <w:semiHidden/>
    <w:rsid w:val="003D5E2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D5E26"/>
    <w:rPr>
      <w:b/>
      <w:bCs/>
    </w:rPr>
  </w:style>
  <w:style w:type="character" w:customStyle="1" w:styleId="CommentSubjectChar">
    <w:name w:val="Comment Subject Char"/>
    <w:basedOn w:val="CommentTextChar"/>
    <w:link w:val="CommentSubject"/>
    <w:uiPriority w:val="99"/>
    <w:semiHidden/>
    <w:rsid w:val="003D5E26"/>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9440412">
      <w:bodyDiv w:val="1"/>
      <w:marLeft w:val="0"/>
      <w:marRight w:val="0"/>
      <w:marTop w:val="0"/>
      <w:marBottom w:val="0"/>
      <w:divBdr>
        <w:top w:val="none" w:sz="0" w:space="0" w:color="auto"/>
        <w:left w:val="none" w:sz="0" w:space="0" w:color="auto"/>
        <w:bottom w:val="none" w:sz="0" w:space="0" w:color="auto"/>
        <w:right w:val="none" w:sz="0" w:space="0" w:color="auto"/>
      </w:divBdr>
    </w:div>
    <w:div w:id="475416807">
      <w:bodyDiv w:val="1"/>
      <w:marLeft w:val="0"/>
      <w:marRight w:val="0"/>
      <w:marTop w:val="0"/>
      <w:marBottom w:val="0"/>
      <w:divBdr>
        <w:top w:val="none" w:sz="0" w:space="0" w:color="auto"/>
        <w:left w:val="none" w:sz="0" w:space="0" w:color="auto"/>
        <w:bottom w:val="none" w:sz="0" w:space="0" w:color="auto"/>
        <w:right w:val="none" w:sz="0" w:space="0" w:color="auto"/>
      </w:divBdr>
    </w:div>
    <w:div w:id="535432446">
      <w:bodyDiv w:val="1"/>
      <w:marLeft w:val="0"/>
      <w:marRight w:val="0"/>
      <w:marTop w:val="0"/>
      <w:marBottom w:val="0"/>
      <w:divBdr>
        <w:top w:val="none" w:sz="0" w:space="0" w:color="auto"/>
        <w:left w:val="none" w:sz="0" w:space="0" w:color="auto"/>
        <w:bottom w:val="none" w:sz="0" w:space="0" w:color="auto"/>
        <w:right w:val="none" w:sz="0" w:space="0" w:color="auto"/>
      </w:divBdr>
    </w:div>
    <w:div w:id="1130519032">
      <w:bodyDiv w:val="1"/>
      <w:marLeft w:val="0"/>
      <w:marRight w:val="0"/>
      <w:marTop w:val="0"/>
      <w:marBottom w:val="0"/>
      <w:divBdr>
        <w:top w:val="none" w:sz="0" w:space="0" w:color="auto"/>
        <w:left w:val="none" w:sz="0" w:space="0" w:color="auto"/>
        <w:bottom w:val="none" w:sz="0" w:space="0" w:color="auto"/>
        <w:right w:val="none" w:sz="0" w:space="0" w:color="auto"/>
      </w:divBdr>
    </w:div>
    <w:div w:id="1553736314">
      <w:bodyDiv w:val="1"/>
      <w:marLeft w:val="0"/>
      <w:marRight w:val="0"/>
      <w:marTop w:val="0"/>
      <w:marBottom w:val="0"/>
      <w:divBdr>
        <w:top w:val="none" w:sz="0" w:space="0" w:color="auto"/>
        <w:left w:val="none" w:sz="0" w:space="0" w:color="auto"/>
        <w:bottom w:val="none" w:sz="0" w:space="0" w:color="auto"/>
        <w:right w:val="none" w:sz="0" w:space="0" w:color="auto"/>
      </w:divBdr>
    </w:div>
    <w:div w:id="1932156878">
      <w:bodyDiv w:val="1"/>
      <w:marLeft w:val="0"/>
      <w:marRight w:val="0"/>
      <w:marTop w:val="0"/>
      <w:marBottom w:val="0"/>
      <w:divBdr>
        <w:top w:val="none" w:sz="0" w:space="0" w:color="auto"/>
        <w:left w:val="none" w:sz="0" w:space="0" w:color="auto"/>
        <w:bottom w:val="none" w:sz="0" w:space="0" w:color="auto"/>
        <w:right w:val="none" w:sz="0" w:space="0" w:color="auto"/>
      </w:divBdr>
    </w:div>
    <w:div w:id="2072844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hyperlink" Target="http://www.umass.edu/landeco/research/fragstats/documents/Metrics/Contagion%20-%20Interspersion%20Metrics/Metrics/L115%20-%20CONTAG.htm" TargetMode="Externa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230EB8-1EF9-B840-8A62-D5AD2F629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8</Pages>
  <Words>7028</Words>
  <Characters>40066</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Harrison-Atlas, Dylan</dc:creator>
  <cp:keywords/>
  <dc:description/>
  <cp:lastModifiedBy>Harrison-Atlas, Dylan</cp:lastModifiedBy>
  <cp:revision>9</cp:revision>
  <dcterms:created xsi:type="dcterms:W3CDTF">2021-01-01T00:21:00Z</dcterms:created>
  <dcterms:modified xsi:type="dcterms:W3CDTF">2021-04-20T13:54:00Z</dcterms:modified>
</cp:coreProperties>
</file>