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818A457" w14:textId="77777777" w:rsidR="00C72888" w:rsidRDefault="009B46F2">
      <w:pPr>
        <w:pStyle w:val="Heading1"/>
      </w:pPr>
      <w:bookmarkStart w:id="0" w:name="_t3129cew2f2o" w:colFirst="0" w:colLast="0"/>
      <w:bookmarkStart w:id="1" w:name="_GoBack"/>
      <w:bookmarkEnd w:id="0"/>
      <w:r>
        <w:t>Repository Features to Help Researchers</w:t>
      </w:r>
      <w:bookmarkEnd w:id="1"/>
      <w:r>
        <w:t>: An invitation to a dialogue</w:t>
      </w:r>
    </w:p>
    <w:p w14:paraId="746579B1" w14:textId="0E8634CF" w:rsidR="00C72888" w:rsidRDefault="009B46F2">
      <w:r>
        <w:rPr>
          <w:b/>
        </w:rPr>
        <w:t xml:space="preserve">Publishers </w:t>
      </w:r>
      <w:r w:rsidRPr="00C83403">
        <w:t>(repocriteria@googlegroups.com)</w:t>
      </w:r>
      <w:r w:rsidRPr="00C83403">
        <w:t>:</w:t>
      </w:r>
      <w:r>
        <w:t xml:space="preserve"> Matthew Cannon</w:t>
      </w:r>
      <w:r>
        <w:rPr>
          <w:vertAlign w:val="superscript"/>
        </w:rPr>
        <w:t>1</w:t>
      </w:r>
      <w:r>
        <w:t xml:space="preserve"> (</w:t>
      </w:r>
      <w:r>
        <w:rPr>
          <w:highlight w:val="white"/>
        </w:rPr>
        <w:t>0000-00</w:t>
      </w:r>
      <w:r>
        <w:rPr>
          <w:highlight w:val="white"/>
        </w:rPr>
        <w:t xml:space="preserve">02-1496-8392), </w:t>
      </w:r>
      <w:r>
        <w:t>Chris Graf</w:t>
      </w:r>
      <w:r>
        <w:rPr>
          <w:vertAlign w:val="superscript"/>
        </w:rPr>
        <w:t>2</w:t>
      </w:r>
      <w:r>
        <w:t xml:space="preserve"> (</w:t>
      </w:r>
      <w:r>
        <w:rPr>
          <w:highlight w:val="white"/>
        </w:rPr>
        <w:t>0000-0002-4699-4333), Kiera McNeice</w:t>
      </w:r>
      <w:r>
        <w:rPr>
          <w:vertAlign w:val="superscript"/>
        </w:rPr>
        <w:t>3</w:t>
      </w:r>
      <w:r>
        <w:rPr>
          <w:highlight w:val="white"/>
        </w:rPr>
        <w:t xml:space="preserve"> (0000-0003-2839-4067), </w:t>
      </w:r>
      <w:r>
        <w:t xml:space="preserve">Wei </w:t>
      </w:r>
      <w:proofErr w:type="spellStart"/>
      <w:r>
        <w:t>Mun</w:t>
      </w:r>
      <w:proofErr w:type="spellEnd"/>
      <w:r>
        <w:t xml:space="preserve"> Chan</w:t>
      </w:r>
      <w:r>
        <w:rPr>
          <w:vertAlign w:val="superscript"/>
        </w:rPr>
        <w:t>4</w:t>
      </w:r>
      <w:r>
        <w:t xml:space="preserve"> (0000-0002-9971-813X), </w:t>
      </w:r>
      <w:r>
        <w:rPr>
          <w:highlight w:val="white"/>
        </w:rPr>
        <w:t>Sarah Callaghan</w:t>
      </w:r>
      <w:r>
        <w:rPr>
          <w:vertAlign w:val="superscript"/>
        </w:rPr>
        <w:t>5</w:t>
      </w:r>
      <w:r>
        <w:rPr>
          <w:highlight w:val="white"/>
        </w:rPr>
        <w:t xml:space="preserve"> (0000-0002-0517-1031), Ilaria Carnevale</w:t>
      </w:r>
      <w:r>
        <w:rPr>
          <w:vertAlign w:val="superscript"/>
        </w:rPr>
        <w:t>5</w:t>
      </w:r>
      <w:r>
        <w:rPr>
          <w:highlight w:val="white"/>
        </w:rPr>
        <w:t xml:space="preserve"> (0000-0001-8509-0495), </w:t>
      </w:r>
      <w:r>
        <w:t>Imogen Cranston</w:t>
      </w:r>
      <w:r>
        <w:rPr>
          <w:vertAlign w:val="superscript"/>
        </w:rPr>
        <w:t>6</w:t>
      </w:r>
      <w:r>
        <w:t xml:space="preserve"> (0000-0002-7134-499X), Scott C. E</w:t>
      </w:r>
      <w:r>
        <w:t>dmunds</w:t>
      </w:r>
      <w:r>
        <w:rPr>
          <w:vertAlign w:val="superscript"/>
        </w:rPr>
        <w:t>7</w:t>
      </w:r>
      <w:r>
        <w:t xml:space="preserve"> (0000-0001-6444-1436), Nicholas Everitt</w:t>
      </w:r>
      <w:r>
        <w:rPr>
          <w:vertAlign w:val="superscript"/>
        </w:rPr>
        <w:t>1</w:t>
      </w:r>
      <w:r>
        <w:t xml:space="preserve"> (0000-0001-8343-8910), Emma Ganley</w:t>
      </w:r>
      <w:r>
        <w:rPr>
          <w:vertAlign w:val="superscript"/>
        </w:rPr>
        <w:t>8,9</w:t>
      </w:r>
      <w:r>
        <w:t xml:space="preserve"> (0000-0002-2557-6204),</w:t>
      </w:r>
      <w:r>
        <w:rPr>
          <w:highlight w:val="white"/>
        </w:rPr>
        <w:t xml:space="preserve"> </w:t>
      </w:r>
      <w:r>
        <w:t>Iain Hrynaszkiewicz</w:t>
      </w:r>
      <w:r>
        <w:rPr>
          <w:vertAlign w:val="superscript"/>
        </w:rPr>
        <w:t>8</w:t>
      </w:r>
      <w:r>
        <w:t xml:space="preserve"> (</w:t>
      </w:r>
      <w:r>
        <w:rPr>
          <w:highlight w:val="white"/>
        </w:rPr>
        <w:t>0000-0002-9673-5559), Varsha K. Khodiyar</w:t>
      </w:r>
      <w:r>
        <w:rPr>
          <w:vertAlign w:val="superscript"/>
        </w:rPr>
        <w:t>10</w:t>
      </w:r>
      <w:r>
        <w:rPr>
          <w:highlight w:val="white"/>
        </w:rPr>
        <w:t xml:space="preserve"> (0000-0002-2743-6918), Adam Leary</w:t>
      </w:r>
      <w:r>
        <w:rPr>
          <w:vertAlign w:val="superscript"/>
        </w:rPr>
        <w:t>11</w:t>
      </w:r>
      <w:r>
        <w:rPr>
          <w:highlight w:val="white"/>
        </w:rPr>
        <w:t xml:space="preserve"> (0000-0002-9147-8397), Thomas Lemberger</w:t>
      </w:r>
      <w:r>
        <w:rPr>
          <w:vertAlign w:val="superscript"/>
        </w:rPr>
        <w:t>12</w:t>
      </w:r>
      <w:r>
        <w:rPr>
          <w:highlight w:val="white"/>
        </w:rPr>
        <w:t xml:space="preserve"> (00</w:t>
      </w:r>
      <w:r>
        <w:rPr>
          <w:highlight w:val="white"/>
        </w:rPr>
        <w:t xml:space="preserve">00-0002-2499-4025), </w:t>
      </w:r>
      <w:r>
        <w:t>Catriona J. MacCallum</w:t>
      </w:r>
      <w:r>
        <w:rPr>
          <w:vertAlign w:val="superscript"/>
        </w:rPr>
        <w:t>13</w:t>
      </w:r>
      <w:r>
        <w:t xml:space="preserve"> (0000-0001-9623-2225), </w:t>
      </w:r>
      <w:proofErr w:type="spellStart"/>
      <w:r>
        <w:rPr>
          <w:highlight w:val="white"/>
        </w:rPr>
        <w:t>Hollydawn</w:t>
      </w:r>
      <w:proofErr w:type="spellEnd"/>
      <w:r>
        <w:rPr>
          <w:highlight w:val="white"/>
        </w:rPr>
        <w:t xml:space="preserve"> Murray</w:t>
      </w:r>
      <w:r>
        <w:rPr>
          <w:vertAlign w:val="superscript"/>
        </w:rPr>
        <w:t xml:space="preserve">6,14 </w:t>
      </w:r>
      <w:r>
        <w:rPr>
          <w:highlight w:val="white"/>
        </w:rPr>
        <w:t>(0000-0002-8243-2493), Kathryn Sharples</w:t>
      </w:r>
      <w:r>
        <w:rPr>
          <w:vertAlign w:val="superscript"/>
        </w:rPr>
        <w:t>2</w:t>
      </w:r>
      <w:r>
        <w:rPr>
          <w:highlight w:val="white"/>
        </w:rPr>
        <w:t xml:space="preserve"> (0000-0003-2809-6828), Marina Soares E Silva</w:t>
      </w:r>
      <w:r>
        <w:rPr>
          <w:vertAlign w:val="superscript"/>
        </w:rPr>
        <w:t>5</w:t>
      </w:r>
      <w:r>
        <w:rPr>
          <w:highlight w:val="white"/>
        </w:rPr>
        <w:t xml:space="preserve"> (0000-0001-9530-627X)</w:t>
      </w:r>
      <w:r>
        <w:t xml:space="preserve">, </w:t>
      </w:r>
      <w:r>
        <w:t>Guillaume Wright</w:t>
      </w:r>
      <w:r>
        <w:rPr>
          <w:vertAlign w:val="superscript"/>
        </w:rPr>
        <w:t xml:space="preserve">6 </w:t>
      </w:r>
      <w:r>
        <w:t xml:space="preserve"> (0000-0003-0166-9200).</w:t>
      </w:r>
    </w:p>
    <w:p w14:paraId="73FA5E34" w14:textId="77777777" w:rsidR="00C72888" w:rsidRDefault="00C72888"/>
    <w:p w14:paraId="66FCE819" w14:textId="35B8674F" w:rsidR="00C72888" w:rsidRDefault="009B46F2">
      <w:r>
        <w:rPr>
          <w:b/>
        </w:rPr>
        <w:t>Moderators</w:t>
      </w:r>
      <w:r>
        <w:t>: Susanna-Assunta Sansone</w:t>
      </w:r>
      <w:r>
        <w:rPr>
          <w:vertAlign w:val="superscript"/>
        </w:rPr>
        <w:t>1</w:t>
      </w:r>
      <w:r w:rsidR="00701DC7">
        <w:rPr>
          <w:vertAlign w:val="superscript"/>
        </w:rPr>
        <w:t>5</w:t>
      </w:r>
      <w:r>
        <w:t xml:space="preserve"> (0000-0001-5306-5690), Peter McQuilton</w:t>
      </w:r>
      <w:r>
        <w:rPr>
          <w:vertAlign w:val="superscript"/>
        </w:rPr>
        <w:t>1</w:t>
      </w:r>
      <w:r w:rsidR="00701DC7">
        <w:rPr>
          <w:vertAlign w:val="superscript"/>
        </w:rPr>
        <w:t>5</w:t>
      </w:r>
      <w:r>
        <w:t xml:space="preserve"> (0000-0003-2687-1982)</w:t>
      </w:r>
    </w:p>
    <w:p w14:paraId="0F6106FD" w14:textId="77777777" w:rsidR="00C72888" w:rsidRDefault="00C72888"/>
    <w:p w14:paraId="1855CDB6" w14:textId="77777777" w:rsidR="00C72888" w:rsidRDefault="009B46F2">
      <w:pPr>
        <w:numPr>
          <w:ilvl w:val="0"/>
          <w:numId w:val="4"/>
        </w:numPr>
      </w:pPr>
      <w:r>
        <w:t>Taylor &amp; Francis, Park Square, Milton Park, Abingdon, OX14 4RN, UK.</w:t>
      </w:r>
    </w:p>
    <w:p w14:paraId="2EC182A1" w14:textId="77777777" w:rsidR="00C72888" w:rsidRDefault="009B46F2">
      <w:pPr>
        <w:numPr>
          <w:ilvl w:val="0"/>
          <w:numId w:val="4"/>
        </w:numPr>
      </w:pPr>
      <w:r>
        <w:rPr>
          <w:highlight w:val="white"/>
        </w:rPr>
        <w:t xml:space="preserve">Wiley, 9600 </w:t>
      </w:r>
      <w:proofErr w:type="spellStart"/>
      <w:r>
        <w:rPr>
          <w:highlight w:val="white"/>
        </w:rPr>
        <w:t>Garsington</w:t>
      </w:r>
      <w:proofErr w:type="spellEnd"/>
      <w:r>
        <w:rPr>
          <w:highlight w:val="white"/>
        </w:rPr>
        <w:t xml:space="preserve"> Road, Oxford, OX4 2DQ, UK.</w:t>
      </w:r>
    </w:p>
    <w:p w14:paraId="50BD2737" w14:textId="77777777" w:rsidR="00C72888" w:rsidRDefault="009B46F2">
      <w:pPr>
        <w:numPr>
          <w:ilvl w:val="0"/>
          <w:numId w:val="4"/>
        </w:numPr>
        <w:rPr>
          <w:highlight w:val="white"/>
        </w:rPr>
      </w:pPr>
      <w:r>
        <w:rPr>
          <w:highlight w:val="white"/>
        </w:rPr>
        <w:t>Cambridge University Press, Shaftesbury Rd, Cambridge, CB2 8BS, UK.</w:t>
      </w:r>
    </w:p>
    <w:p w14:paraId="039642D3" w14:textId="77777777" w:rsidR="00C72888" w:rsidRDefault="009B46F2">
      <w:pPr>
        <w:numPr>
          <w:ilvl w:val="0"/>
          <w:numId w:val="4"/>
        </w:numPr>
      </w:pPr>
      <w:proofErr w:type="spellStart"/>
      <w:r>
        <w:t>eLife</w:t>
      </w:r>
      <w:proofErr w:type="spellEnd"/>
      <w:r>
        <w:t xml:space="preserve"> Sciences Publications, Ltd, Westbrook Centre, Milton Road, Cambridge, CB4 1YG, UK.</w:t>
      </w:r>
    </w:p>
    <w:p w14:paraId="368E43F6" w14:textId="77777777" w:rsidR="00C72888" w:rsidRDefault="009B46F2">
      <w:pPr>
        <w:numPr>
          <w:ilvl w:val="0"/>
          <w:numId w:val="4"/>
        </w:numPr>
      </w:pPr>
      <w:r>
        <w:t xml:space="preserve">Elsevier, </w:t>
      </w:r>
      <w:proofErr w:type="spellStart"/>
      <w:r>
        <w:t>Radarweg</w:t>
      </w:r>
      <w:proofErr w:type="spellEnd"/>
      <w:r>
        <w:t xml:space="preserve"> 29, 1043NX, Amsterdam, The Net</w:t>
      </w:r>
      <w:r>
        <w:t>herlands.</w:t>
      </w:r>
    </w:p>
    <w:p w14:paraId="0AD20DC3" w14:textId="77777777" w:rsidR="00C72888" w:rsidRDefault="009B46F2">
      <w:pPr>
        <w:numPr>
          <w:ilvl w:val="0"/>
          <w:numId w:val="4"/>
        </w:numPr>
      </w:pPr>
      <w:r>
        <w:rPr>
          <w:highlight w:val="white"/>
        </w:rPr>
        <w:t>F1000 Research Ltd, 5 Howick Place, London, SW1P 1WG.</w:t>
      </w:r>
    </w:p>
    <w:p w14:paraId="376699B4" w14:textId="77777777" w:rsidR="00C72888" w:rsidRDefault="009B46F2">
      <w:pPr>
        <w:numPr>
          <w:ilvl w:val="0"/>
          <w:numId w:val="4"/>
        </w:numPr>
      </w:pPr>
      <w:proofErr w:type="spellStart"/>
      <w:r>
        <w:t>GigaScience</w:t>
      </w:r>
      <w:proofErr w:type="spellEnd"/>
      <w:r>
        <w:t xml:space="preserve">, BGI Hong Kong Tech Co Ltd., 26F A Kings Wing Plaza, 1 On Kwan St, </w:t>
      </w:r>
      <w:proofErr w:type="spellStart"/>
      <w:r>
        <w:t>Shek</w:t>
      </w:r>
      <w:proofErr w:type="spellEnd"/>
      <w:r>
        <w:t xml:space="preserve"> </w:t>
      </w:r>
      <w:proofErr w:type="spellStart"/>
      <w:r>
        <w:t>Mun</w:t>
      </w:r>
      <w:proofErr w:type="spellEnd"/>
      <w:r>
        <w:t>, N.T., Hong Kong, China.</w:t>
      </w:r>
    </w:p>
    <w:p w14:paraId="76235A24" w14:textId="77777777" w:rsidR="00C72888" w:rsidRDefault="009B46F2">
      <w:pPr>
        <w:numPr>
          <w:ilvl w:val="0"/>
          <w:numId w:val="4"/>
        </w:numPr>
      </w:pPr>
      <w:r>
        <w:rPr>
          <w:highlight w:val="white"/>
        </w:rPr>
        <w:t>PLOS (Public Library of Science), Carlyle House, Carlyle Road, Cambridge CB4 3D</w:t>
      </w:r>
      <w:r>
        <w:rPr>
          <w:highlight w:val="white"/>
        </w:rPr>
        <w:t>N, UK.</w:t>
      </w:r>
    </w:p>
    <w:p w14:paraId="4546096B" w14:textId="77777777" w:rsidR="00C72888" w:rsidRDefault="009B46F2">
      <w:pPr>
        <w:numPr>
          <w:ilvl w:val="0"/>
          <w:numId w:val="4"/>
        </w:numPr>
      </w:pPr>
      <w:r>
        <w:rPr>
          <w:highlight w:val="white"/>
        </w:rPr>
        <w:t>(present address) protocols.io, 2120 University Ave, Suite 625, Berkeley, CA, USA.</w:t>
      </w:r>
    </w:p>
    <w:p w14:paraId="2AE42EE8" w14:textId="77777777" w:rsidR="00C72888" w:rsidRDefault="009B46F2">
      <w:pPr>
        <w:numPr>
          <w:ilvl w:val="0"/>
          <w:numId w:val="4"/>
        </w:numPr>
      </w:pPr>
      <w:r>
        <w:rPr>
          <w:highlight w:val="white"/>
        </w:rPr>
        <w:t xml:space="preserve">Springer Nature, 4 </w:t>
      </w:r>
      <w:proofErr w:type="spellStart"/>
      <w:r>
        <w:t>Crinan</w:t>
      </w:r>
      <w:proofErr w:type="spellEnd"/>
      <w:r>
        <w:t xml:space="preserve"> Street, London, N1 9XW, UK.</w:t>
      </w:r>
    </w:p>
    <w:p w14:paraId="0EE83661" w14:textId="77777777" w:rsidR="00C72888" w:rsidRDefault="009B46F2">
      <w:pPr>
        <w:numPr>
          <w:ilvl w:val="0"/>
          <w:numId w:val="4"/>
        </w:numPr>
      </w:pPr>
      <w:r>
        <w:t>Oxford University Press, Great Clarendon Street, Oxford, OX2 6DP, UK.</w:t>
      </w:r>
    </w:p>
    <w:p w14:paraId="7D7ACE46" w14:textId="77777777" w:rsidR="00C72888" w:rsidRDefault="009B46F2">
      <w:pPr>
        <w:numPr>
          <w:ilvl w:val="0"/>
          <w:numId w:val="4"/>
        </w:numPr>
      </w:pPr>
      <w:r>
        <w:rPr>
          <w:highlight w:val="white"/>
        </w:rPr>
        <w:t xml:space="preserve">EMBO Press, </w:t>
      </w:r>
      <w:proofErr w:type="spellStart"/>
      <w:r>
        <w:rPr>
          <w:highlight w:val="white"/>
        </w:rPr>
        <w:t>Meyerhofstrasse</w:t>
      </w:r>
      <w:proofErr w:type="spellEnd"/>
      <w:r>
        <w:rPr>
          <w:highlight w:val="white"/>
        </w:rPr>
        <w:t xml:space="preserve"> 1, 69117 Heide</w:t>
      </w:r>
      <w:r>
        <w:rPr>
          <w:highlight w:val="white"/>
        </w:rPr>
        <w:t>lberg, Germany.</w:t>
      </w:r>
    </w:p>
    <w:p w14:paraId="6B48459E" w14:textId="77777777" w:rsidR="00C72888" w:rsidRDefault="009B46F2">
      <w:pPr>
        <w:numPr>
          <w:ilvl w:val="0"/>
          <w:numId w:val="4"/>
        </w:numPr>
      </w:pPr>
      <w:proofErr w:type="spellStart"/>
      <w:r>
        <w:rPr>
          <w:highlight w:val="white"/>
        </w:rPr>
        <w:t>Hindawi</w:t>
      </w:r>
      <w:proofErr w:type="spellEnd"/>
      <w:r>
        <w:rPr>
          <w:highlight w:val="white"/>
        </w:rPr>
        <w:t xml:space="preserve"> Ltd, 1 Fitzroy Square, London, W1T 5HF, UK.</w:t>
      </w:r>
    </w:p>
    <w:p w14:paraId="4EA3B7B5" w14:textId="77777777" w:rsidR="00C72888" w:rsidRDefault="009B46F2">
      <w:pPr>
        <w:numPr>
          <w:ilvl w:val="0"/>
          <w:numId w:val="4"/>
        </w:numPr>
      </w:pPr>
      <w:r>
        <w:rPr>
          <w:highlight w:val="white"/>
        </w:rPr>
        <w:t xml:space="preserve">(present address) HDR UK </w:t>
      </w:r>
    </w:p>
    <w:p w14:paraId="0DB7B7B9" w14:textId="06BCE00E" w:rsidR="00C72888" w:rsidRPr="00C83403" w:rsidRDefault="009B46F2" w:rsidP="00C83403">
      <w:pPr>
        <w:numPr>
          <w:ilvl w:val="0"/>
          <w:numId w:val="4"/>
        </w:numPr>
      </w:pPr>
      <w:r>
        <w:t>Oxford e-Research Centre, Department of Engineering Science, University of Oxford, Oxford, OX1 3QG, UK</w:t>
      </w:r>
    </w:p>
    <w:p w14:paraId="004221C9" w14:textId="77777777" w:rsidR="00C83403" w:rsidRDefault="00C83403">
      <w:pPr>
        <w:pStyle w:val="Heading2"/>
        <w:keepNext w:val="0"/>
        <w:keepLines w:val="0"/>
        <w:spacing w:after="80"/>
        <w:rPr>
          <w:b/>
          <w:sz w:val="34"/>
          <w:szCs w:val="34"/>
        </w:rPr>
      </w:pPr>
      <w:bookmarkStart w:id="2" w:name="_gng40w7482b1" w:colFirst="0" w:colLast="0"/>
      <w:bookmarkEnd w:id="2"/>
    </w:p>
    <w:p w14:paraId="5C0FDBFE" w14:textId="16EC3F39" w:rsidR="00C72888" w:rsidRDefault="009B46F2">
      <w:pPr>
        <w:pStyle w:val="Heading2"/>
        <w:keepNext w:val="0"/>
        <w:keepLines w:val="0"/>
        <w:spacing w:after="80"/>
        <w:rPr>
          <w:b/>
          <w:sz w:val="34"/>
          <w:szCs w:val="34"/>
        </w:rPr>
      </w:pPr>
      <w:r>
        <w:rPr>
          <w:b/>
          <w:sz w:val="34"/>
          <w:szCs w:val="34"/>
        </w:rPr>
        <w:lastRenderedPageBreak/>
        <w:t>Background and Motivation</w:t>
      </w:r>
    </w:p>
    <w:p w14:paraId="67778A6B" w14:textId="77777777" w:rsidR="00C72888" w:rsidRDefault="009B46F2">
      <w:pPr>
        <w:spacing w:before="240" w:after="240"/>
      </w:pPr>
      <w:r>
        <w:t>The data re</w:t>
      </w:r>
      <w:r>
        <w:t>pository landscape is broad and complex, with several thousand repositories currently in existence. These range from generalist to discipline- or data-specific; from open to restricted; from non-profit to commercial; and they may be run by academic institu</w:t>
      </w:r>
      <w:r>
        <w:t>tions, governments, companies, or others. Some data repositories are open to deposition from all researchers with relevant datasets, whilst others will only accept data from researchers affiliated with a specific institution, project, funder or from a part</w:t>
      </w:r>
      <w:r>
        <w:t>icular nation. To support the Findability, Accessibility, Interoperability and Reusability of data, many data repositories are beginning to incorporate the FAIR Principles</w:t>
      </w:r>
      <w:r>
        <w:rPr>
          <w:vertAlign w:val="superscript"/>
        </w:rPr>
        <w:footnoteReference w:id="1"/>
      </w:r>
      <w:r>
        <w:t xml:space="preserve"> in their policies and implement the necessary technical enhancements. </w:t>
      </w:r>
    </w:p>
    <w:p w14:paraId="70062155" w14:textId="387B41ED" w:rsidR="00C72888" w:rsidRDefault="009B46F2">
      <w:pPr>
        <w:spacing w:before="240" w:after="240"/>
      </w:pPr>
      <w:r>
        <w:t xml:space="preserve">However, we are acutely aware of the inequity this has the potential to create, especially in </w:t>
      </w:r>
      <w:r w:rsidR="00701DC7">
        <w:t>low- and middle-income</w:t>
      </w:r>
      <w:r>
        <w:t xml:space="preserve"> countries, unless there is appropriate support from all stakeholders at national, </w:t>
      </w:r>
      <w:proofErr w:type="gramStart"/>
      <w:r>
        <w:t>international</w:t>
      </w:r>
      <w:proofErr w:type="gramEnd"/>
      <w:r>
        <w:t xml:space="preserve"> and global levels to implement enhancements </w:t>
      </w:r>
      <w:r>
        <w:t xml:space="preserve">to comply with the FAIR principles. These issues must be addressed in tandem as standards such as FAIR become more accepted in for example Western Europe and the US, where most of the </w:t>
      </w:r>
      <w:proofErr w:type="spellStart"/>
      <w:r>
        <w:t>organisations</w:t>
      </w:r>
      <w:proofErr w:type="spellEnd"/>
      <w:r>
        <w:t xml:space="preserve"> co-authoring this article are based. As we transition to a</w:t>
      </w:r>
      <w:r>
        <w:t xml:space="preserve"> global and interoperable infrastructure for open research, it is important that appropriate support and resources are given to those who are beginning to develop policies and a roadmap for their own context. All data repositories play a key role in ensuri</w:t>
      </w:r>
      <w:r>
        <w:t xml:space="preserve">ng greater transparency and preservation of the information that underpins research findings – goals that are of great importance to funders, governments, and all proponents of good research practice. </w:t>
      </w:r>
    </w:p>
    <w:p w14:paraId="36399A63" w14:textId="6D012218" w:rsidR="00C72888" w:rsidRDefault="009B46F2">
      <w:pPr>
        <w:spacing w:before="240" w:after="240"/>
      </w:pPr>
      <w:r>
        <w:t>Although there are several factors researchers may nee</w:t>
      </w:r>
      <w:r>
        <w:t>d to consider when choosing how to share their data, including institutional or funder policies, publishers are also regularly approached by researchers asking for advice about which repository they should use for their data</w:t>
      </w:r>
      <w:r>
        <w:rPr>
          <w:vertAlign w:val="superscript"/>
        </w:rPr>
        <w:footnoteReference w:id="2"/>
      </w:r>
      <w:r>
        <w:t>. As publishers are committed t</w:t>
      </w:r>
      <w:r>
        <w:t>o playing their part in the evolution of a more open research landscape, many are developing policies that encourage researchers to make data and other digital materials accessible via appropriate repositories, and encourage the formal declaration of these</w:t>
      </w:r>
      <w:r>
        <w:t xml:space="preserve"> scholarly outputs in articles</w:t>
      </w:r>
      <w:r>
        <w:rPr>
          <w:vertAlign w:val="superscript"/>
        </w:rPr>
        <w:footnoteReference w:id="3"/>
      </w:r>
      <w:r>
        <w:t xml:space="preserve">. </w:t>
      </w:r>
      <w:r w:rsidR="00701DC7">
        <w:t>However,</w:t>
      </w:r>
      <w:r>
        <w:t xml:space="preserve"> given the complexity of the data repository landscape, the question of what constitutes an “appropriate repository” for a given set of digital materials is often non-trivial.</w:t>
      </w:r>
    </w:p>
    <w:p w14:paraId="5AE4A001" w14:textId="77777777" w:rsidR="00C72888" w:rsidRDefault="009B46F2">
      <w:pPr>
        <w:spacing w:before="240" w:after="240"/>
      </w:pPr>
      <w:r>
        <w:t>To date publishers have adopted a variet</w:t>
      </w:r>
      <w:r>
        <w:t xml:space="preserve">y of approaches to supporting researchers in this context. Some have maintained manually-curated lists of repositories appropriate to specific journals or disciplines. Sometimes journals have incorporated into policy the recommendations of their editorial </w:t>
      </w:r>
      <w:r>
        <w:t>boards about appropriate repositories for particular domains or data types.</w:t>
      </w:r>
      <w:r>
        <w:rPr>
          <w:vertAlign w:val="superscript"/>
        </w:rPr>
        <w:footnoteReference w:id="4"/>
      </w:r>
      <w:r>
        <w:t xml:space="preserve"> Others maintain more general guidance about considerations </w:t>
      </w:r>
      <w:r>
        <w:lastRenderedPageBreak/>
        <w:t>authors may have when choosing a repository, including existing initiatives to assess and certify the quality of reposit</w:t>
      </w:r>
      <w:r>
        <w:t xml:space="preserve">ories. </w:t>
      </w:r>
      <w:proofErr w:type="gramStart"/>
      <w:r>
        <w:t>However</w:t>
      </w:r>
      <w:proofErr w:type="gramEnd"/>
      <w:r>
        <w:t xml:space="preserve"> with thousands of repository options available, and variation among the communities each publisher serves, the result has been a fragmented landscape of inconsistent publisher advice</w:t>
      </w:r>
      <w:r>
        <w:rPr>
          <w:vertAlign w:val="superscript"/>
        </w:rPr>
        <w:footnoteReference w:id="5"/>
      </w:r>
      <w:r>
        <w:t xml:space="preserve"> provided to authors, creating additional complexity and c</w:t>
      </w:r>
      <w:r>
        <w:t>onfusion for researchers.</w:t>
      </w:r>
    </w:p>
    <w:p w14:paraId="0FDB309D" w14:textId="77777777" w:rsidR="00C72888" w:rsidRDefault="009B46F2">
      <w:pPr>
        <w:spacing w:before="240" w:after="240"/>
        <w:rPr>
          <w:b/>
          <w:sz w:val="34"/>
          <w:szCs w:val="34"/>
        </w:rPr>
      </w:pPr>
      <w:proofErr w:type="spellStart"/>
      <w:r>
        <w:t>Recognising</w:t>
      </w:r>
      <w:proofErr w:type="spellEnd"/>
      <w:r>
        <w:t xml:space="preserve"> this, the publishers and authors of this paper came together to discuss how we could reduce complexity and inconsistency in publisher advice to better support researchers in selecting an appropriate data repository. It</w:t>
      </w:r>
      <w:r>
        <w:t xml:space="preserve"> is a shared goal among publishers and other stakeholders to increase repository use – which remains far from optimal – and we assume that helping researchers find a suitable repository more easily will help achieve this. This </w:t>
      </w:r>
      <w:proofErr w:type="spellStart"/>
      <w:r>
        <w:t>harmonisation</w:t>
      </w:r>
      <w:proofErr w:type="spellEnd"/>
      <w:r>
        <w:t xml:space="preserve"> is critical and</w:t>
      </w:r>
      <w:r>
        <w:t xml:space="preserve"> timely, particularly during the unfolding health emergency of the COVID-19 pandemic, which has seen increased demand from funders and publishers for rapid results and sharing of </w:t>
      </w:r>
      <w:proofErr w:type="spellStart"/>
      <w:r>
        <w:t>data</w:t>
      </w:r>
      <w:r>
        <w:rPr>
          <w:vertAlign w:val="superscript"/>
        </w:rPr>
        <w:t>e.g</w:t>
      </w:r>
      <w:proofErr w:type="spellEnd"/>
      <w:r>
        <w:rPr>
          <w:vertAlign w:val="superscript"/>
        </w:rPr>
        <w:t>.,</w:t>
      </w:r>
      <w:r>
        <w:rPr>
          <w:vertAlign w:val="superscript"/>
        </w:rPr>
        <w:footnoteReference w:id="6"/>
      </w:r>
      <w:r>
        <w:rPr>
          <w:vertAlign w:val="superscript"/>
        </w:rPr>
        <w:t>,</w:t>
      </w:r>
      <w:r>
        <w:rPr>
          <w:vertAlign w:val="superscript"/>
        </w:rPr>
        <w:footnoteReference w:id="7"/>
      </w:r>
      <w:r>
        <w:rPr>
          <w:vertAlign w:val="superscript"/>
        </w:rPr>
        <w:t>,</w:t>
      </w:r>
      <w:r>
        <w:rPr>
          <w:vertAlign w:val="superscript"/>
        </w:rPr>
        <w:footnoteReference w:id="8"/>
      </w:r>
      <w:r>
        <w:t>. Expedited data-sharing should not however happen at the expen</w:t>
      </w:r>
      <w:r>
        <w:t>se of reusability, and the key to ensuring data quality control and sustained access is the deposition of data in appropriate repositories.</w:t>
      </w:r>
    </w:p>
    <w:p w14:paraId="66E4C03D" w14:textId="77777777" w:rsidR="00C72888" w:rsidRDefault="009B46F2">
      <w:pPr>
        <w:spacing w:before="240" w:after="240"/>
        <w:rPr>
          <w:b/>
          <w:sz w:val="26"/>
          <w:szCs w:val="26"/>
        </w:rPr>
      </w:pPr>
      <w:r>
        <w:rPr>
          <w:b/>
          <w:sz w:val="26"/>
          <w:szCs w:val="26"/>
        </w:rPr>
        <w:t xml:space="preserve">The role of the RDA </w:t>
      </w:r>
      <w:proofErr w:type="spellStart"/>
      <w:r>
        <w:rPr>
          <w:b/>
          <w:sz w:val="26"/>
          <w:szCs w:val="26"/>
        </w:rPr>
        <w:t>FAIRsharing</w:t>
      </w:r>
      <w:proofErr w:type="spellEnd"/>
      <w:r>
        <w:rPr>
          <w:b/>
          <w:sz w:val="26"/>
          <w:szCs w:val="26"/>
        </w:rPr>
        <w:t xml:space="preserve"> WG</w:t>
      </w:r>
    </w:p>
    <w:p w14:paraId="70AFCFC1" w14:textId="402A94E7" w:rsidR="00C72888" w:rsidRDefault="009B46F2">
      <w:pPr>
        <w:spacing w:before="240" w:after="240"/>
      </w:pPr>
      <w:r>
        <w:t xml:space="preserve">The impetus for this work began in 2017 with a discussion between </w:t>
      </w:r>
      <w:r w:rsidR="00701DC7">
        <w:t>publishers</w:t>
      </w:r>
      <w:r w:rsidR="00CB766A">
        <w:t xml:space="preserve"> and</w:t>
      </w:r>
      <w:r w:rsidR="00701DC7">
        <w:t xml:space="preserve"> </w:t>
      </w:r>
      <w:r>
        <w:t>memb</w:t>
      </w:r>
      <w:r>
        <w:t xml:space="preserve">ers of the </w:t>
      </w:r>
      <w:r>
        <w:t>FORCE11 Data Citation Implementation Pilot (DCIP) group</w:t>
      </w:r>
      <w:r>
        <w:rPr>
          <w:shd w:val="clear" w:color="auto" w:fill="FDFDFD"/>
          <w:vertAlign w:val="superscript"/>
        </w:rPr>
        <w:footnoteReference w:id="9"/>
      </w:r>
      <w:r>
        <w:rPr>
          <w:shd w:val="clear" w:color="auto" w:fill="FDFDFD"/>
          <w:vertAlign w:val="superscript"/>
        </w:rPr>
        <w:t>,</w:t>
      </w:r>
      <w:r>
        <w:rPr>
          <w:shd w:val="clear" w:color="auto" w:fill="FDFDFD"/>
          <w:vertAlign w:val="superscript"/>
        </w:rPr>
        <w:footnoteReference w:id="10"/>
      </w:r>
      <w:r>
        <w:rPr>
          <w:shd w:val="clear" w:color="auto" w:fill="FDFDFD"/>
          <w:vertAlign w:val="superscript"/>
        </w:rPr>
        <w:t xml:space="preserve"> </w:t>
      </w:r>
      <w:r>
        <w:t xml:space="preserve">, and of the joint FORCE11 and RDA </w:t>
      </w:r>
      <w:proofErr w:type="spellStart"/>
      <w:r>
        <w:t>FAIRsharing</w:t>
      </w:r>
      <w:proofErr w:type="spellEnd"/>
      <w:r>
        <w:t xml:space="preserve"> Working Group (WG)</w:t>
      </w:r>
      <w:r>
        <w:rPr>
          <w:shd w:val="clear" w:color="auto" w:fill="FDFDFD"/>
          <w:vertAlign w:val="superscript"/>
        </w:rPr>
        <w:footnoteReference w:id="11"/>
      </w:r>
      <w:r>
        <w:t xml:space="preserve"> on the question of developing a shared list of recommended data deposition repositories. The work commenced in Janu</w:t>
      </w:r>
      <w:r>
        <w:t xml:space="preserve">ary 2018, and representatives of the Force11/RDA </w:t>
      </w:r>
      <w:proofErr w:type="spellStart"/>
      <w:r>
        <w:t>FAIRsharing</w:t>
      </w:r>
      <w:proofErr w:type="spellEnd"/>
      <w:r>
        <w:t xml:space="preserve"> WG’s chairs acted as neutral coordinators, facilitating discussions to find common ground, and helping reaching out to other stakeholders. </w:t>
      </w:r>
    </w:p>
    <w:p w14:paraId="23C21906" w14:textId="77777777" w:rsidR="00C72888" w:rsidRDefault="009B46F2">
      <w:pPr>
        <w:spacing w:before="240" w:after="240"/>
      </w:pPr>
      <w:r>
        <w:t xml:space="preserve">The Force11/RDA </w:t>
      </w:r>
      <w:proofErr w:type="spellStart"/>
      <w:r>
        <w:t>FAIRsharing</w:t>
      </w:r>
      <w:proofErr w:type="spellEnd"/>
      <w:r>
        <w:t xml:space="preserve"> WG has operated under RDA s</w:t>
      </w:r>
      <w:r>
        <w:t>ince 2015, the group was set up to foster a culture change where the use of standards, databases and repositories is pervasive and seamless. Matured under the RDA</w:t>
      </w:r>
      <w:r>
        <w:rPr>
          <w:shd w:val="clear" w:color="auto" w:fill="FDFDFD"/>
        </w:rPr>
        <w:t xml:space="preserve">, the </w:t>
      </w:r>
      <w:proofErr w:type="spellStart"/>
      <w:r>
        <w:rPr>
          <w:shd w:val="clear" w:color="auto" w:fill="FDFDFD"/>
        </w:rPr>
        <w:t>FAIRsharing</w:t>
      </w:r>
      <w:proofErr w:type="spellEnd"/>
      <w:r>
        <w:rPr>
          <w:shd w:val="clear" w:color="auto" w:fill="FDFDFD"/>
        </w:rPr>
        <w:t xml:space="preserve"> registry</w:t>
      </w:r>
      <w:r>
        <w:rPr>
          <w:vertAlign w:val="superscript"/>
        </w:rPr>
        <w:footnoteReference w:id="12"/>
      </w:r>
      <w:r>
        <w:t xml:space="preserve"> is the key output of the Force11/RDA </w:t>
      </w:r>
      <w:proofErr w:type="spellStart"/>
      <w:r>
        <w:t>FAIRsharing</w:t>
      </w:r>
      <w:proofErr w:type="spellEnd"/>
      <w:r>
        <w:t xml:space="preserve"> WG. </w:t>
      </w:r>
      <w:proofErr w:type="spellStart"/>
      <w:r>
        <w:rPr>
          <w:shd w:val="clear" w:color="auto" w:fill="FDFDFD"/>
        </w:rPr>
        <w:t>FAIRsharing</w:t>
      </w:r>
      <w:proofErr w:type="spellEnd"/>
      <w:r>
        <w:rPr>
          <w:shd w:val="clear" w:color="auto" w:fill="FDFDFD"/>
        </w:rPr>
        <w:t xml:space="preserve"> </w:t>
      </w:r>
      <w:r>
        <w:t>d</w:t>
      </w:r>
      <w:r>
        <w:t>escribes data and metadata standards (for citation and reporting), repositories (databases and knowledgebases) and data policies, and captures their interrelations to: enable (</w:t>
      </w:r>
      <w:proofErr w:type="spellStart"/>
      <w:r>
        <w:t>i</w:t>
      </w:r>
      <w:proofErr w:type="spellEnd"/>
      <w:r>
        <w:t xml:space="preserve">) consumers to discover, select and use these resources with </w:t>
      </w:r>
      <w:r>
        <w:lastRenderedPageBreak/>
        <w:t>confidence, and (i</w:t>
      </w:r>
      <w:r>
        <w:t xml:space="preserve">i) the producers of these resources to make them more discoverable, adopted and cited. Nowadays </w:t>
      </w:r>
      <w:proofErr w:type="spellStart"/>
      <w:r>
        <w:rPr>
          <w:shd w:val="clear" w:color="auto" w:fill="FDFDFD"/>
        </w:rPr>
        <w:t>FAIRsharing</w:t>
      </w:r>
      <w:proofErr w:type="spellEnd"/>
      <w:r>
        <w:rPr>
          <w:shd w:val="clear" w:color="auto" w:fill="FDFDFD"/>
        </w:rPr>
        <w:t xml:space="preserve"> is r</w:t>
      </w:r>
      <w:r>
        <w:t>ecommended and used by many stakeholders in data management and scholarly communication</w:t>
      </w:r>
      <w:r>
        <w:rPr>
          <w:vertAlign w:val="superscript"/>
        </w:rPr>
        <w:footnoteReference w:id="13"/>
      </w:r>
      <w:r>
        <w:t xml:space="preserve">. </w:t>
      </w:r>
    </w:p>
    <w:p w14:paraId="6846C309" w14:textId="6FCD9F9F" w:rsidR="00C72888" w:rsidRDefault="009B46F2">
      <w:r>
        <w:t xml:space="preserve">From the RDA </w:t>
      </w:r>
      <w:proofErr w:type="spellStart"/>
      <w:r>
        <w:t>FAIRsharing</w:t>
      </w:r>
      <w:proofErr w:type="spellEnd"/>
      <w:r>
        <w:t xml:space="preserve"> WG point of view, the ultimate objective is to map repository features across initiatives, and to identify a common core set of metadata fields that all stakeholders want to see in the </w:t>
      </w:r>
      <w:proofErr w:type="spellStart"/>
      <w:r>
        <w:t>FAIRsharing</w:t>
      </w:r>
      <w:proofErr w:type="spellEnd"/>
      <w:r>
        <w:t xml:space="preserve"> registry. The </w:t>
      </w:r>
      <w:proofErr w:type="spellStart"/>
      <w:r>
        <w:t>FAIRsharing</w:t>
      </w:r>
      <w:proofErr w:type="spellEnd"/>
      <w:r>
        <w:t xml:space="preserve"> registry</w:t>
      </w:r>
      <w:r>
        <w:t xml:space="preserve"> is agnostic as to the selection process of standards, </w:t>
      </w:r>
      <w:r w:rsidR="00CB766A">
        <w:t>repositories,</w:t>
      </w:r>
      <w:r>
        <w:t xml:space="preserve"> and policies. As part of its commitment to working with and for all stakeholder groups, </w:t>
      </w:r>
      <w:proofErr w:type="spellStart"/>
      <w:r>
        <w:t>FAIRsharing</w:t>
      </w:r>
      <w:proofErr w:type="spellEnd"/>
      <w:r>
        <w:t xml:space="preserve"> will implement these common metadata fields progressively to help users, including resea</w:t>
      </w:r>
      <w:r>
        <w:t>rchers and the people who advise them, to better understand the features of each repository, and assist repository maintainers to evaluate and improve (where necessary) their current operations.</w:t>
      </w:r>
    </w:p>
    <w:p w14:paraId="7DB51186" w14:textId="77777777" w:rsidR="00C72888" w:rsidRDefault="00C72888"/>
    <w:p w14:paraId="266E390B" w14:textId="77777777" w:rsidR="00C72888" w:rsidRDefault="009B46F2">
      <w:pPr>
        <w:spacing w:before="240" w:after="240"/>
        <w:rPr>
          <w:b/>
          <w:sz w:val="34"/>
          <w:szCs w:val="34"/>
        </w:rPr>
      </w:pPr>
      <w:r>
        <w:rPr>
          <w:b/>
          <w:sz w:val="34"/>
          <w:szCs w:val="34"/>
        </w:rPr>
        <w:t>Community Engagement, Approach and Timeline</w:t>
      </w:r>
    </w:p>
    <w:p w14:paraId="6D8F1C1B" w14:textId="77777777" w:rsidR="00C72888" w:rsidRDefault="009B46F2">
      <w:pPr>
        <w:spacing w:before="240" w:after="240"/>
      </w:pPr>
      <w:r>
        <w:t>A key concern fr</w:t>
      </w:r>
      <w:r>
        <w:t>om the beginning of this work was to be mindful and supportive of existing and new initiatives, some of which emerged during the period that this discussion among publishers was progressing. When the work started the only existing published guidelines were</w:t>
      </w:r>
      <w:r>
        <w:t xml:space="preserve"> </w:t>
      </w:r>
      <w:r>
        <w:rPr>
          <w:highlight w:val="white"/>
        </w:rPr>
        <w:t>criteria to recommend and evaluate the trustworthiness of data repositories</w:t>
      </w:r>
      <w:r>
        <w:rPr>
          <w:highlight w:val="white"/>
          <w:vertAlign w:val="superscript"/>
        </w:rPr>
        <w:footnoteReference w:id="14"/>
      </w:r>
      <w:r>
        <w:rPr>
          <w:highlight w:val="white"/>
        </w:rPr>
        <w:t xml:space="preserve">, and </w:t>
      </w:r>
      <w:r>
        <w:t>the domain-specific ELIXIR Deposition Repositories, published in 2017</w:t>
      </w:r>
      <w:r>
        <w:rPr>
          <w:vertAlign w:val="superscript"/>
        </w:rPr>
        <w:footnoteReference w:id="15"/>
      </w:r>
      <w:r>
        <w:rPr>
          <w:highlight w:val="white"/>
        </w:rPr>
        <w:t xml:space="preserve">. Subsequently, the domain-agnostic </w:t>
      </w:r>
      <w:proofErr w:type="spellStart"/>
      <w:r>
        <w:t>CoreTrustSeal</w:t>
      </w:r>
      <w:proofErr w:type="spellEnd"/>
      <w:r>
        <w:t xml:space="preserve"> (CTS) was set an as entity in 2018</w:t>
      </w:r>
      <w:r>
        <w:rPr>
          <w:vertAlign w:val="superscript"/>
        </w:rPr>
        <w:footnoteReference w:id="16"/>
      </w:r>
      <w:r>
        <w:t xml:space="preserve">, and in 2020 the </w:t>
      </w:r>
      <w:r>
        <w:t>TRUST principles were published</w:t>
      </w:r>
      <w:r>
        <w:rPr>
          <w:vertAlign w:val="superscript"/>
        </w:rPr>
        <w:footnoteReference w:id="17"/>
      </w:r>
      <w:r>
        <w:t>, along with the COAR guidelines</w:t>
      </w:r>
      <w:r>
        <w:rPr>
          <w:vertAlign w:val="superscript"/>
        </w:rPr>
        <w:footnoteReference w:id="18"/>
      </w:r>
      <w:r>
        <w:t>; in 2021 the funder-specific guidance from the USA National Institutes of Health were released</w:t>
      </w:r>
      <w:r>
        <w:rPr>
          <w:vertAlign w:val="superscript"/>
        </w:rPr>
        <w:footnoteReference w:id="19"/>
      </w:r>
      <w:r>
        <w:t>, along with the Science Europe criteria for selection of trustworthy repositories</w:t>
      </w:r>
      <w:r>
        <w:rPr>
          <w:vertAlign w:val="superscript"/>
        </w:rPr>
        <w:footnoteReference w:id="20"/>
      </w:r>
      <w:r>
        <w:t xml:space="preserve">. </w:t>
      </w:r>
    </w:p>
    <w:p w14:paraId="26363218" w14:textId="77777777" w:rsidR="00C72888" w:rsidRDefault="009B46F2">
      <w:pPr>
        <w:spacing w:before="240" w:after="240"/>
      </w:pPr>
      <w:r>
        <w:t>Such diversity of parallel efforts shows that this issue is important to a number of stakeholders who have been working within their own communities, and tackling the challenge from their own viewpoints. In many cases publishers also highlighted these effo</w:t>
      </w:r>
      <w:r>
        <w:t>rts as part of their existing guidance for researchers on repository selection. Additionally, publishers and authors of these papers have also contributed to some of these nascent initiatives, in particular the TRUST principles and the Science Europe guide</w:t>
      </w:r>
      <w:r>
        <w:t>lines.</w:t>
      </w:r>
    </w:p>
    <w:p w14:paraId="082C86FB" w14:textId="77777777" w:rsidR="00C72888" w:rsidRDefault="009B46F2">
      <w:pPr>
        <w:spacing w:before="240" w:after="240"/>
      </w:pPr>
      <w:r>
        <w:lastRenderedPageBreak/>
        <w:t xml:space="preserve">Universal standards that would be appropriate to all researchers in all situations have yet to emerge from these multiple initiatives, and so there remains a need for greater consistency and transparency in the </w:t>
      </w:r>
      <w:proofErr w:type="gramStart"/>
      <w:r>
        <w:t>recommendations</w:t>
      </w:r>
      <w:proofErr w:type="gramEnd"/>
      <w:r>
        <w:t xml:space="preserve"> publishers make regard</w:t>
      </w:r>
      <w:r>
        <w:t xml:space="preserve">ing data repositories. A key goal of this work was therefore to identify and agree on the </w:t>
      </w:r>
      <w:proofErr w:type="gramStart"/>
      <w:r>
        <w:t>features</w:t>
      </w:r>
      <w:proofErr w:type="gramEnd"/>
      <w:r>
        <w:t xml:space="preserve"> publishers recommend considering when advising authors on how best to select a data repository, within the context of the current data repository landscape.</w:t>
      </w:r>
    </w:p>
    <w:p w14:paraId="2F4310DE" w14:textId="73E7254B" w:rsidR="00C72888" w:rsidRDefault="009B46F2">
      <w:pPr>
        <w:spacing w:before="240" w:after="240"/>
      </w:pPr>
      <w:r>
        <w:t xml:space="preserve">As described above, in 2017 publisher members of the FORCE11 DCIP group, and of the joint FORCE11 and RDA </w:t>
      </w:r>
      <w:proofErr w:type="spellStart"/>
      <w:r>
        <w:t>FAIRsharing</w:t>
      </w:r>
      <w:proofErr w:type="spellEnd"/>
      <w:r>
        <w:t xml:space="preserve"> WG began discussing a shared list of recommended data deposition repositories, which led to the first phase of this work </w:t>
      </w:r>
      <w:r w:rsidR="00CB766A">
        <w:t>focused</w:t>
      </w:r>
      <w:r>
        <w:t xml:space="preserve"> on defin</w:t>
      </w:r>
      <w:r>
        <w:t>ing our objectives and relations with other efforts, and on teasing out an initial list of features from the needs and views of the represented journals and publishers. This list was presented at the 12th and 13th RDA Plenaries (2018 and 2019) and shared i</w:t>
      </w:r>
      <w:r>
        <w:t xml:space="preserve">nternally within the participating </w:t>
      </w:r>
      <w:proofErr w:type="spellStart"/>
      <w:r>
        <w:t>organisations</w:t>
      </w:r>
      <w:proofErr w:type="spellEnd"/>
      <w:r>
        <w:t>. Concurrently, an article</w:t>
      </w:r>
      <w:r>
        <w:rPr>
          <w:vertAlign w:val="superscript"/>
        </w:rPr>
        <w:footnoteReference w:id="21"/>
      </w:r>
      <w:r>
        <w:t xml:space="preserve"> authored by the over 60 </w:t>
      </w:r>
      <w:proofErr w:type="spellStart"/>
      <w:r>
        <w:t>FAIRsharing</w:t>
      </w:r>
      <w:proofErr w:type="spellEnd"/>
      <w:r>
        <w:t xml:space="preserve"> adopters (including funders, </w:t>
      </w:r>
      <w:r w:rsidR="00CB766A">
        <w:t>repositories,</w:t>
      </w:r>
      <w:r>
        <w:t xml:space="preserve"> and standards developers, as well as research infrastructures and publishers) delivered an analysis of</w:t>
      </w:r>
      <w:r>
        <w:t xml:space="preserve"> the data policies of major data-</w:t>
      </w:r>
      <w:r w:rsidR="00CB766A">
        <w:t>focused</w:t>
      </w:r>
      <w:r>
        <w:t xml:space="preserve"> journals and publishers operating in the life sciences, and the repositories and standards they recommend. The results confirmed discrepancies in resource recommendations across the data policies.</w:t>
      </w:r>
    </w:p>
    <w:p w14:paraId="3AEAEBA4" w14:textId="77777777" w:rsidR="00C72888" w:rsidRDefault="009B46F2">
      <w:pPr>
        <w:spacing w:before="240" w:after="240"/>
        <w:rPr>
          <w:color w:val="FF0000"/>
        </w:rPr>
      </w:pPr>
      <w:r>
        <w:t>The draft list of</w:t>
      </w:r>
      <w:r>
        <w:t xml:space="preserve"> features was reviewed and refined iteratively by the kickoff group. This process was further refined through a collaboration</w:t>
      </w:r>
      <w:r>
        <w:rPr>
          <w:vertAlign w:val="superscript"/>
        </w:rPr>
        <w:footnoteReference w:id="22"/>
      </w:r>
      <w:r>
        <w:t xml:space="preserve"> between </w:t>
      </w:r>
      <w:proofErr w:type="spellStart"/>
      <w:r>
        <w:t>FAIRsharing</w:t>
      </w:r>
      <w:proofErr w:type="spellEnd"/>
      <w:r>
        <w:t xml:space="preserve"> and </w:t>
      </w:r>
      <w:proofErr w:type="spellStart"/>
      <w:r>
        <w:t>DataCite</w:t>
      </w:r>
      <w:proofErr w:type="spellEnd"/>
      <w:r>
        <w:t xml:space="preserve"> and the participation of more publisher representatives, all of whom are actively implementing d</w:t>
      </w:r>
      <w:r>
        <w:t xml:space="preserve">ata policies and recommending data repositories to researchers.  </w:t>
      </w:r>
    </w:p>
    <w:p w14:paraId="615EC7FF" w14:textId="49191A74" w:rsidR="00C72888" w:rsidRDefault="009B46F2">
      <w:pPr>
        <w:spacing w:before="240" w:after="240"/>
        <w:rPr>
          <w:sz w:val="20"/>
          <w:szCs w:val="20"/>
        </w:rPr>
      </w:pPr>
      <w:r>
        <w:t>In October 2019, the group published the work as v1 and v2</w:t>
      </w:r>
      <w:r>
        <w:rPr>
          <w:vertAlign w:val="superscript"/>
        </w:rPr>
        <w:footnoteReference w:id="23"/>
      </w:r>
      <w:r>
        <w:t xml:space="preserve"> and presented it at the 14th RDA Plenary, in a joint session between the </w:t>
      </w:r>
      <w:proofErr w:type="spellStart"/>
      <w:r>
        <w:t>FAIRsharing</w:t>
      </w:r>
      <w:proofErr w:type="spellEnd"/>
      <w:r>
        <w:t xml:space="preserve"> WG, the RDA/WDS Certification of Digital Repo</w:t>
      </w:r>
      <w:r>
        <w:t xml:space="preserve">sitories IG, and the Data Policy </w:t>
      </w:r>
      <w:proofErr w:type="spellStart"/>
      <w:r>
        <w:t>Standardisation</w:t>
      </w:r>
      <w:proofErr w:type="spellEnd"/>
      <w:r>
        <w:t xml:space="preserve"> and Implementation IG. In November 2019, a survey was organized to explicitly solicit community comments. The survey was disseminated via RDA and other email lists, as well as via social media channels and b</w:t>
      </w:r>
      <w:r>
        <w:t xml:space="preserve">log posts by </w:t>
      </w:r>
      <w:proofErr w:type="spellStart"/>
      <w:r>
        <w:t>DataCite</w:t>
      </w:r>
      <w:proofErr w:type="spellEnd"/>
      <w:r>
        <w:rPr>
          <w:vertAlign w:val="superscript"/>
        </w:rPr>
        <w:footnoteReference w:id="24"/>
      </w:r>
      <w:r>
        <w:t xml:space="preserve"> and the publishers</w:t>
      </w:r>
      <w:r>
        <w:rPr>
          <w:vertAlign w:val="superscript"/>
        </w:rPr>
        <w:footnoteReference w:id="25"/>
      </w:r>
      <w:r>
        <w:t xml:space="preserve">. This resulted in 52 responses, 67.9% of which were repository </w:t>
      </w:r>
      <w:r>
        <w:lastRenderedPageBreak/>
        <w:t xml:space="preserve">maintainers. Others were individuals and relevant </w:t>
      </w:r>
      <w:proofErr w:type="spellStart"/>
      <w:r>
        <w:t>organisations</w:t>
      </w:r>
      <w:proofErr w:type="spellEnd"/>
      <w:r>
        <w:t xml:space="preserve"> such as CTS and ELIXIR. In February 2020, 120 comments were extracted from the respons</w:t>
      </w:r>
      <w:r>
        <w:t xml:space="preserve">es, </w:t>
      </w:r>
      <w:r w:rsidR="00CB766A">
        <w:t>classified,</w:t>
      </w:r>
      <w:r>
        <w:t xml:space="preserve"> and triaged. The vast majority of responses were positive, suggesting clarifications and improvements to the presentation of the activity and the list of features. These comments were addressed in a revised preprint published in October 2020</w:t>
      </w:r>
      <w:r>
        <w:rPr>
          <w:vertAlign w:val="superscript"/>
        </w:rPr>
        <w:footnoteReference w:id="26"/>
      </w:r>
      <w:r>
        <w:t>. In November 2020, the group presented this work at the 16th RDA Plenary</w:t>
      </w:r>
      <w:r>
        <w:rPr>
          <w:vertAlign w:val="superscript"/>
        </w:rPr>
        <w:footnoteReference w:id="27"/>
      </w:r>
      <w:r>
        <w:t>.</w:t>
      </w:r>
    </w:p>
    <w:p w14:paraId="0C2B5E2D" w14:textId="77777777" w:rsidR="00C72888" w:rsidRDefault="009B46F2">
      <w:pPr>
        <w:spacing w:before="240" w:after="240"/>
        <w:rPr>
          <w:b/>
          <w:sz w:val="34"/>
          <w:szCs w:val="34"/>
        </w:rPr>
      </w:pPr>
      <w:r>
        <w:t>Based on further feedback and concerns raised by the community in late 2020 and early 2021, notably from COAR</w:t>
      </w:r>
      <w:r>
        <w:rPr>
          <w:vertAlign w:val="superscript"/>
        </w:rPr>
        <w:footnoteReference w:id="28"/>
      </w:r>
      <w:r>
        <w:t xml:space="preserve"> (signed by other </w:t>
      </w:r>
      <w:proofErr w:type="spellStart"/>
      <w:r>
        <w:t>organisations</w:t>
      </w:r>
      <w:proofErr w:type="spellEnd"/>
      <w:r>
        <w:t xml:space="preserve"> such as LIBSENSE and Science Europe) </w:t>
      </w:r>
      <w:r>
        <w:t xml:space="preserve">and the </w:t>
      </w:r>
      <w:proofErr w:type="spellStart"/>
      <w:r>
        <w:t>FAIRsFAIR</w:t>
      </w:r>
      <w:proofErr w:type="spellEnd"/>
      <w:r>
        <w:t xml:space="preserve"> project</w:t>
      </w:r>
      <w:r>
        <w:rPr>
          <w:vertAlign w:val="superscript"/>
        </w:rPr>
        <w:footnoteReference w:id="29"/>
      </w:r>
      <w:r>
        <w:t>, the publishers have published a response</w:t>
      </w:r>
      <w:r>
        <w:rPr>
          <w:vertAlign w:val="superscript"/>
        </w:rPr>
        <w:footnoteReference w:id="30"/>
      </w:r>
      <w:r>
        <w:t xml:space="preserve"> to clarify their motivation and this preprint has been further revised to clarify the motivations and goals of publisher representatives in this work.</w:t>
      </w:r>
    </w:p>
    <w:p w14:paraId="76C8A455" w14:textId="77777777" w:rsidR="00C72888" w:rsidRDefault="009B46F2">
      <w:pPr>
        <w:pStyle w:val="Heading2"/>
        <w:keepNext w:val="0"/>
        <w:keepLines w:val="0"/>
        <w:spacing w:after="80"/>
        <w:rPr>
          <w:b/>
          <w:sz w:val="34"/>
          <w:szCs w:val="34"/>
        </w:rPr>
      </w:pPr>
      <w:bookmarkStart w:id="3" w:name="_4ies4e9qc3zn" w:colFirst="0" w:colLast="0"/>
      <w:bookmarkEnd w:id="3"/>
      <w:r>
        <w:rPr>
          <w:b/>
          <w:sz w:val="34"/>
          <w:szCs w:val="34"/>
        </w:rPr>
        <w:t>Core Repository Features</w:t>
      </w:r>
    </w:p>
    <w:p w14:paraId="0A5555BB" w14:textId="77777777" w:rsidR="00C72888" w:rsidRDefault="009B46F2">
      <w:pPr>
        <w:spacing w:before="240" w:after="240"/>
      </w:pPr>
      <w:r>
        <w:t xml:space="preserve">The below </w:t>
      </w:r>
      <w:r>
        <w:t>table outlines a list of features that should be considered by researchers when choosing a data repository. For each feature the table outlines:</w:t>
      </w:r>
    </w:p>
    <w:p w14:paraId="06C69C5C" w14:textId="77777777" w:rsidR="00C72888" w:rsidRDefault="009B46F2">
      <w:pPr>
        <w:numPr>
          <w:ilvl w:val="0"/>
          <w:numId w:val="5"/>
        </w:numPr>
        <w:spacing w:before="240"/>
      </w:pPr>
      <w:r>
        <w:t>A brief definition of the feature, and what information or functionality it provides.</w:t>
      </w:r>
    </w:p>
    <w:p w14:paraId="0C693C75" w14:textId="77777777" w:rsidR="00C72888" w:rsidRDefault="009B46F2">
      <w:pPr>
        <w:numPr>
          <w:ilvl w:val="0"/>
          <w:numId w:val="5"/>
        </w:numPr>
        <w:spacing w:after="240"/>
      </w:pPr>
      <w:r>
        <w:t>Values to describe the st</w:t>
      </w:r>
      <w:r>
        <w:t>atus of each feature for a given repository. For example, the possible values for a feature might be “Yes” or “No” to indicate the presence or absence of that feature.</w:t>
      </w:r>
    </w:p>
    <w:p w14:paraId="3C410F79" w14:textId="77777777" w:rsidR="00C72888" w:rsidRDefault="009B46F2">
      <w:pPr>
        <w:spacing w:before="240" w:after="240"/>
      </w:pPr>
      <w:r>
        <w:t xml:space="preserve">This list of features is intended as a framework within which publishers can make </w:t>
      </w:r>
      <w:r>
        <w:rPr>
          <w:i/>
        </w:rPr>
        <w:t>recomm</w:t>
      </w:r>
      <w:r>
        <w:rPr>
          <w:i/>
        </w:rPr>
        <w:t xml:space="preserve">endations </w:t>
      </w:r>
      <w:r>
        <w:t xml:space="preserve">to researchers, not as a way to restrict which repositories researchers may choose for their data. This feature list also serves as a framework for registries of repositories, such as the </w:t>
      </w:r>
      <w:proofErr w:type="spellStart"/>
      <w:r>
        <w:t>FAIRsharing</w:t>
      </w:r>
      <w:proofErr w:type="spellEnd"/>
      <w:r>
        <w:t xml:space="preserve"> registry, to organize and index repositories a</w:t>
      </w:r>
      <w:r>
        <w:t xml:space="preserve">ccording to a core set of attributes that are relevant to both researchers and publishers. </w:t>
      </w:r>
    </w:p>
    <w:p w14:paraId="26FB6CED" w14:textId="32FC49AD" w:rsidR="00C72888" w:rsidRDefault="00CB766A">
      <w:pPr>
        <w:spacing w:before="240" w:after="240"/>
      </w:pPr>
      <w:r>
        <w:t>Generally,</w:t>
      </w:r>
      <w:r w:rsidR="009B46F2">
        <w:t xml:space="preserve"> by agreeing on a finite list of features for consideration, publishers can reduce inconsistencies and complexity when developing data sharing policies to </w:t>
      </w:r>
      <w:r w:rsidR="009B46F2">
        <w:t xml:space="preserve">support open research. The aim especially is to raise awareness of data stewardship to researchers not yet familiar with data repositories or policies around data sharing and to provide some consistency in the guidelines they are likely to encounter among </w:t>
      </w:r>
      <w:r w:rsidR="009B46F2">
        <w:t xml:space="preserve">publishers. A </w:t>
      </w:r>
      <w:r w:rsidR="009B46F2">
        <w:lastRenderedPageBreak/>
        <w:t xml:space="preserve">common, openly-available list also enables publishers to be more transparent about which features are considered when making recommendations. Our ultimate aim is to enable FAIR data, and </w:t>
      </w:r>
      <w:proofErr w:type="spellStart"/>
      <w:r w:rsidR="009B46F2">
        <w:t>standardising</w:t>
      </w:r>
      <w:proofErr w:type="spellEnd"/>
      <w:r w:rsidR="009B46F2">
        <w:t xml:space="preserve"> how publishers recommend repositories wil</w:t>
      </w:r>
      <w:r w:rsidR="009B46F2">
        <w:t>l reinforce the use and value of repositories and bring us closer to this goal.</w:t>
      </w:r>
    </w:p>
    <w:p w14:paraId="168E7D04" w14:textId="77777777" w:rsidR="00C72888" w:rsidRDefault="009B46F2">
      <w:pPr>
        <w:pStyle w:val="Heading3"/>
        <w:keepNext w:val="0"/>
        <w:keepLines w:val="0"/>
        <w:spacing w:before="280"/>
        <w:rPr>
          <w:b/>
          <w:color w:val="000000"/>
          <w:sz w:val="26"/>
          <w:szCs w:val="26"/>
        </w:rPr>
      </w:pPr>
      <w:bookmarkStart w:id="4" w:name="_5orwn4wj7fou" w:colFirst="0" w:colLast="0"/>
      <w:bookmarkEnd w:id="4"/>
      <w:r>
        <w:rPr>
          <w:b/>
          <w:color w:val="000000"/>
          <w:sz w:val="26"/>
          <w:szCs w:val="26"/>
        </w:rPr>
        <w:t>Addressing community concerns</w:t>
      </w:r>
    </w:p>
    <w:p w14:paraId="735ECFC7" w14:textId="77777777" w:rsidR="00C72888" w:rsidRDefault="009B46F2">
      <w:pPr>
        <w:spacing w:before="240" w:after="240"/>
      </w:pPr>
      <w:r>
        <w:t xml:space="preserve">The authors acknowledge that concerns have been raised by the community about the scope and specificity of this list of features. We </w:t>
      </w:r>
      <w:proofErr w:type="spellStart"/>
      <w:r>
        <w:t>recognise</w:t>
      </w:r>
      <w:proofErr w:type="spellEnd"/>
      <w:r>
        <w:t xml:space="preserve"> tha</w:t>
      </w:r>
      <w:r>
        <w:t xml:space="preserve">t in many cases while the listed features are desirable, their adoption is not yet widespread enough for it to be sensible or practical to recommend only those repositories which have implemented them. </w:t>
      </w:r>
    </w:p>
    <w:p w14:paraId="1755F085" w14:textId="7F415F9A" w:rsidR="00C72888" w:rsidRDefault="009B46F2">
      <w:pPr>
        <w:spacing w:before="240" w:after="240"/>
      </w:pPr>
      <w:r>
        <w:t>Furthermore, in most cases the agreed “ideal” value f</w:t>
      </w:r>
      <w:r>
        <w:t xml:space="preserve">or filtering is simply the presence of information. For </w:t>
      </w:r>
      <w:r w:rsidR="00CB766A">
        <w:t>example,</w:t>
      </w:r>
      <w:r>
        <w:t xml:space="preserve"> the ideal value we recommend for Data Access Condition is “Yes” to indicate the </w:t>
      </w:r>
      <w:r>
        <w:rPr>
          <w:i/>
        </w:rPr>
        <w:t xml:space="preserve">presence of clearly stated information </w:t>
      </w:r>
      <w:r>
        <w:t xml:space="preserve">about data access conditions and processes, rather than any expectations </w:t>
      </w:r>
      <w:r>
        <w:t>regarding what the actual conditions or processes are. We believe that having transparent information about what those conditions are will help researchers make an informed decision.</w:t>
      </w:r>
    </w:p>
    <w:p w14:paraId="56F8CF18" w14:textId="15311E45" w:rsidR="00C72888" w:rsidRDefault="009B46F2">
      <w:pPr>
        <w:spacing w:before="240" w:after="240"/>
      </w:pPr>
      <w:r>
        <w:t>The features we highlight here are very much those that capture the conce</w:t>
      </w:r>
      <w:r>
        <w:t>rns of publishers trying to implement data sharing policies whilst providing guidance to researchers in a very complex landscape. Our intention is that the features we highlight will act to initiate engagement and collaboration among publishers, repositori</w:t>
      </w:r>
      <w:r>
        <w:t>es and the RPOs, government and funders that ultimately make the policies around Open Research. The list of features is intended to start a dialogue, and is not proposed as a set of criteria</w:t>
      </w:r>
      <w:r>
        <w:rPr>
          <w:vertAlign w:val="superscript"/>
        </w:rPr>
        <w:footnoteReference w:id="31"/>
      </w:r>
      <w:r>
        <w:t xml:space="preserve"> to be immediately implemented. As we start this conversation, it</w:t>
      </w:r>
      <w:r>
        <w:t xml:space="preserve"> is important that we act together with other stakeholders to raise awareness of the challenges involved around FAIR data and to prevent any perverse consequences. The features we have highlighted are those that some publishers believe are important for re</w:t>
      </w:r>
      <w:r>
        <w:t xml:space="preserve">positories to make transparent, enabling researchers to consider aspects such as domain relevance, </w:t>
      </w:r>
      <w:r w:rsidR="00CB766A">
        <w:t>funder,</w:t>
      </w:r>
      <w:r>
        <w:t xml:space="preserve"> and institutional requirements, in order to select the most suitable data repository for their needs. This does not mean that repositories without the</w:t>
      </w:r>
      <w:r>
        <w:t>se features should not be supported. Our aim is to highlight those features that are most relevant to publishers developing and implementing data sharing policies to support open research, and that map onto existing guidelines elsewhere.</w:t>
      </w:r>
    </w:p>
    <w:p w14:paraId="222DAF13" w14:textId="77777777" w:rsidR="00C72888" w:rsidRDefault="009B46F2">
      <w:pPr>
        <w:spacing w:before="240" w:after="240"/>
        <w:rPr>
          <w:b/>
        </w:rPr>
      </w:pPr>
      <w:r>
        <w:t>As appropriate, fe</w:t>
      </w:r>
      <w:r>
        <w:t xml:space="preserve">atures have also been mapped to the relevant TRUST principles, the CTS requirements, the COAR guidelines, the NIH and the ELIXIR feature lists (see </w:t>
      </w:r>
      <w:hyperlink r:id="rId7" w:anchor="gid=0">
        <w:r>
          <w:rPr>
            <w:color w:val="1155CC"/>
            <w:u w:val="single"/>
          </w:rPr>
          <w:t>Mapping file</w:t>
        </w:r>
      </w:hyperlink>
      <w:r>
        <w:t>). Many of our proposed features match the existing framework, except for two features: “Data Access for Pre-Publication Review” and “Data Deposition Condition”.</w:t>
      </w:r>
    </w:p>
    <w:tbl>
      <w:tblPr>
        <w:tblStyle w:val="a"/>
        <w:tblW w:w="13845" w:type="dxa"/>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464"/>
        <w:gridCol w:w="6301"/>
        <w:gridCol w:w="4080"/>
      </w:tblGrid>
      <w:tr w:rsidR="00C72888" w14:paraId="105FD94F" w14:textId="77777777" w:rsidTr="00CB766A">
        <w:tc>
          <w:tcPr>
            <w:tcW w:w="3464" w:type="dxa"/>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tcPr>
          <w:p w14:paraId="4DA24032" w14:textId="77777777" w:rsidR="00C72888" w:rsidRDefault="009B46F2">
            <w:pPr>
              <w:widowControl w:val="0"/>
              <w:rPr>
                <w:b/>
              </w:rPr>
            </w:pPr>
            <w:r>
              <w:rPr>
                <w:b/>
              </w:rPr>
              <w:lastRenderedPageBreak/>
              <w:t>FEATURE</w:t>
            </w:r>
          </w:p>
        </w:tc>
        <w:tc>
          <w:tcPr>
            <w:tcW w:w="6301" w:type="dxa"/>
            <w:tcBorders>
              <w:top w:val="single" w:sz="8" w:space="0" w:color="000000"/>
              <w:left w:val="nil"/>
              <w:bottom w:val="single" w:sz="8" w:space="0" w:color="000000"/>
              <w:right w:val="single" w:sz="8" w:space="0" w:color="000000"/>
            </w:tcBorders>
            <w:shd w:val="clear" w:color="auto" w:fill="C9DAF8"/>
            <w:tcMar>
              <w:top w:w="100" w:type="dxa"/>
              <w:left w:w="100" w:type="dxa"/>
              <w:bottom w:w="100" w:type="dxa"/>
              <w:right w:w="100" w:type="dxa"/>
            </w:tcMar>
          </w:tcPr>
          <w:p w14:paraId="6485A543" w14:textId="77777777" w:rsidR="00C72888" w:rsidRDefault="009B46F2">
            <w:pPr>
              <w:widowControl w:val="0"/>
              <w:rPr>
                <w:b/>
              </w:rPr>
            </w:pPr>
            <w:r>
              <w:rPr>
                <w:b/>
              </w:rPr>
              <w:t>DEFINITION</w:t>
            </w:r>
          </w:p>
        </w:tc>
        <w:tc>
          <w:tcPr>
            <w:tcW w:w="4080" w:type="dxa"/>
            <w:tcBorders>
              <w:top w:val="single" w:sz="8" w:space="0" w:color="000000"/>
              <w:left w:val="nil"/>
              <w:bottom w:val="single" w:sz="8" w:space="0" w:color="000000"/>
              <w:right w:val="single" w:sz="8" w:space="0" w:color="000000"/>
            </w:tcBorders>
            <w:shd w:val="clear" w:color="auto" w:fill="C9DAF8"/>
            <w:tcMar>
              <w:top w:w="100" w:type="dxa"/>
              <w:left w:w="100" w:type="dxa"/>
              <w:bottom w:w="100" w:type="dxa"/>
              <w:right w:w="100" w:type="dxa"/>
            </w:tcMar>
          </w:tcPr>
          <w:p w14:paraId="7621F924" w14:textId="18630BAB" w:rsidR="00C72888" w:rsidRDefault="009B46F2">
            <w:pPr>
              <w:widowControl w:val="0"/>
              <w:rPr>
                <w:b/>
              </w:rPr>
            </w:pPr>
            <w:r>
              <w:rPr>
                <w:b/>
              </w:rPr>
              <w:t xml:space="preserve">VALUES IN </w:t>
            </w:r>
            <w:r>
              <w:rPr>
                <w:b/>
              </w:rPr>
              <w:t>REPOSITORY INDEXING METADATA FIELD</w:t>
            </w:r>
          </w:p>
        </w:tc>
      </w:tr>
      <w:tr w:rsidR="00C72888" w14:paraId="1F687692" w14:textId="77777777">
        <w:trPr>
          <w:trHeight w:val="400"/>
        </w:trPr>
        <w:tc>
          <w:tcPr>
            <w:tcW w:w="13845" w:type="dxa"/>
            <w:gridSpan w:val="3"/>
            <w:tcBorders>
              <w:top w:val="nil"/>
              <w:left w:val="single" w:sz="8" w:space="0" w:color="000000"/>
              <w:bottom w:val="single" w:sz="8" w:space="0" w:color="000000"/>
              <w:right w:val="single" w:sz="8" w:space="0" w:color="000000"/>
            </w:tcBorders>
            <w:shd w:val="clear" w:color="auto" w:fill="93C47D"/>
            <w:tcMar>
              <w:top w:w="100" w:type="dxa"/>
              <w:left w:w="100" w:type="dxa"/>
              <w:bottom w:w="100" w:type="dxa"/>
              <w:right w:w="100" w:type="dxa"/>
            </w:tcMar>
          </w:tcPr>
          <w:p w14:paraId="48206FA9" w14:textId="77777777" w:rsidR="00C72888" w:rsidRDefault="009B46F2">
            <w:pPr>
              <w:widowControl w:val="0"/>
              <w:rPr>
                <w:b/>
                <w:sz w:val="20"/>
                <w:szCs w:val="20"/>
              </w:rPr>
            </w:pPr>
            <w:r>
              <w:rPr>
                <w:b/>
                <w:sz w:val="20"/>
                <w:szCs w:val="20"/>
              </w:rPr>
              <w:t xml:space="preserve">Repository-level </w:t>
            </w:r>
          </w:p>
        </w:tc>
      </w:tr>
      <w:tr w:rsidR="00C72888" w14:paraId="05C1CD58" w14:textId="77777777" w:rsidTr="00CB766A">
        <w:tc>
          <w:tcPr>
            <w:tcW w:w="3464"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998028" w14:textId="77777777" w:rsidR="00C72888" w:rsidRDefault="009B46F2">
            <w:pPr>
              <w:widowControl w:val="0"/>
              <w:rPr>
                <w:b/>
                <w:sz w:val="20"/>
                <w:szCs w:val="20"/>
              </w:rPr>
            </w:pPr>
            <w:r>
              <w:rPr>
                <w:b/>
                <w:sz w:val="20"/>
                <w:szCs w:val="20"/>
              </w:rPr>
              <w:t>Certification and Community Badge</w:t>
            </w:r>
            <w:r>
              <w:rPr>
                <w:b/>
                <w:sz w:val="20"/>
                <w:szCs w:val="20"/>
                <w:vertAlign w:val="superscript"/>
              </w:rPr>
              <w:footnoteReference w:id="32"/>
            </w:r>
            <w:r>
              <w:rPr>
                <w:b/>
                <w:sz w:val="20"/>
                <w:szCs w:val="20"/>
                <w:vertAlign w:val="superscript"/>
              </w:rPr>
              <w:t>,</w:t>
            </w:r>
            <w:r>
              <w:rPr>
                <w:b/>
                <w:sz w:val="20"/>
                <w:szCs w:val="20"/>
                <w:vertAlign w:val="superscript"/>
              </w:rPr>
              <w:footnoteReference w:id="33"/>
            </w:r>
          </w:p>
        </w:tc>
        <w:tc>
          <w:tcPr>
            <w:tcW w:w="6301" w:type="dxa"/>
            <w:tcBorders>
              <w:top w:val="nil"/>
              <w:left w:val="nil"/>
              <w:bottom w:val="single" w:sz="8" w:space="0" w:color="000000"/>
              <w:right w:val="single" w:sz="8" w:space="0" w:color="000000"/>
            </w:tcBorders>
            <w:tcMar>
              <w:top w:w="100" w:type="dxa"/>
              <w:left w:w="100" w:type="dxa"/>
              <w:bottom w:w="100" w:type="dxa"/>
              <w:right w:w="100" w:type="dxa"/>
            </w:tcMar>
          </w:tcPr>
          <w:p w14:paraId="6CD62C16" w14:textId="77777777" w:rsidR="00C72888" w:rsidRDefault="009B46F2">
            <w:pPr>
              <w:widowControl w:val="0"/>
              <w:rPr>
                <w:sz w:val="20"/>
                <w:szCs w:val="20"/>
              </w:rPr>
            </w:pPr>
            <w:r>
              <w:rPr>
                <w:sz w:val="20"/>
                <w:szCs w:val="20"/>
              </w:rPr>
              <w:t>Certification schemes and/or community badges that assess certain aspects of the repository (e.g., its fitness, trustworthiness, adoption):</w:t>
            </w:r>
          </w:p>
          <w:p w14:paraId="6F66329D" w14:textId="77777777" w:rsidR="00C72888" w:rsidRDefault="009B46F2">
            <w:pPr>
              <w:widowControl w:val="0"/>
              <w:rPr>
                <w:sz w:val="20"/>
                <w:szCs w:val="20"/>
              </w:rPr>
            </w:pPr>
            <w:r>
              <w:rPr>
                <w:sz w:val="20"/>
                <w:szCs w:val="20"/>
              </w:rPr>
              <w:t>Does the repository have a certification or community badge?</w:t>
            </w:r>
          </w:p>
        </w:tc>
        <w:tc>
          <w:tcPr>
            <w:tcW w:w="4080" w:type="dxa"/>
            <w:tcBorders>
              <w:top w:val="nil"/>
              <w:left w:val="nil"/>
              <w:bottom w:val="single" w:sz="8" w:space="0" w:color="000000"/>
              <w:right w:val="single" w:sz="8" w:space="0" w:color="000000"/>
            </w:tcBorders>
            <w:tcMar>
              <w:top w:w="100" w:type="dxa"/>
              <w:left w:w="100" w:type="dxa"/>
              <w:bottom w:w="100" w:type="dxa"/>
              <w:right w:w="100" w:type="dxa"/>
            </w:tcMar>
          </w:tcPr>
          <w:p w14:paraId="3EB09D28" w14:textId="77777777" w:rsidR="00C72888" w:rsidRDefault="009B46F2">
            <w:pPr>
              <w:widowControl w:val="0"/>
              <w:rPr>
                <w:sz w:val="20"/>
                <w:szCs w:val="20"/>
                <w:highlight w:val="white"/>
              </w:rPr>
            </w:pPr>
            <w:r>
              <w:rPr>
                <w:sz w:val="20"/>
                <w:szCs w:val="20"/>
                <w:highlight w:val="white"/>
              </w:rPr>
              <w:t xml:space="preserve">- Presence ‘yes’, or absence ‘no’. </w:t>
            </w:r>
          </w:p>
          <w:p w14:paraId="1889E592" w14:textId="77777777" w:rsidR="00C72888" w:rsidRDefault="009B46F2">
            <w:pPr>
              <w:widowControl w:val="0"/>
              <w:rPr>
                <w:sz w:val="20"/>
                <w:szCs w:val="20"/>
              </w:rPr>
            </w:pPr>
            <w:r>
              <w:rPr>
                <w:sz w:val="20"/>
                <w:szCs w:val="20"/>
              </w:rPr>
              <w:t>- Type of certification or badge.</w:t>
            </w:r>
          </w:p>
          <w:p w14:paraId="7D38C3F0" w14:textId="77777777" w:rsidR="00C72888" w:rsidRDefault="009B46F2">
            <w:pPr>
              <w:widowControl w:val="0"/>
              <w:rPr>
                <w:sz w:val="20"/>
                <w:szCs w:val="20"/>
              </w:rPr>
            </w:pPr>
            <w:r>
              <w:rPr>
                <w:sz w:val="20"/>
                <w:szCs w:val="20"/>
              </w:rPr>
              <w:t>- URL to the certification or badge.</w:t>
            </w:r>
          </w:p>
        </w:tc>
      </w:tr>
      <w:tr w:rsidR="00C72888" w14:paraId="37C042D7" w14:textId="77777777" w:rsidTr="00CB766A">
        <w:tc>
          <w:tcPr>
            <w:tcW w:w="3464"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6EF65E2" w14:textId="77777777" w:rsidR="00C72888" w:rsidRDefault="009B46F2">
            <w:pPr>
              <w:widowControl w:val="0"/>
              <w:rPr>
                <w:b/>
                <w:sz w:val="20"/>
                <w:szCs w:val="20"/>
              </w:rPr>
            </w:pPr>
            <w:r>
              <w:rPr>
                <w:b/>
                <w:sz w:val="20"/>
                <w:szCs w:val="20"/>
              </w:rPr>
              <w:t>Data Access Condition</w:t>
            </w:r>
            <w:r>
              <w:rPr>
                <w:b/>
                <w:sz w:val="20"/>
                <w:szCs w:val="20"/>
                <w:vertAlign w:val="superscript"/>
              </w:rPr>
              <w:footnoteReference w:id="34"/>
            </w:r>
            <w:r>
              <w:rPr>
                <w:b/>
                <w:sz w:val="20"/>
                <w:szCs w:val="20"/>
                <w:vertAlign w:val="superscript"/>
              </w:rPr>
              <w:t>,</w:t>
            </w:r>
            <w:r>
              <w:rPr>
                <w:b/>
                <w:sz w:val="20"/>
                <w:szCs w:val="20"/>
                <w:vertAlign w:val="superscript"/>
              </w:rPr>
              <w:footnoteReference w:id="35"/>
            </w:r>
          </w:p>
        </w:tc>
        <w:tc>
          <w:tcPr>
            <w:tcW w:w="6301" w:type="dxa"/>
            <w:tcBorders>
              <w:top w:val="nil"/>
              <w:left w:val="nil"/>
              <w:bottom w:val="single" w:sz="8" w:space="0" w:color="000000"/>
              <w:right w:val="single" w:sz="8" w:space="0" w:color="000000"/>
            </w:tcBorders>
            <w:tcMar>
              <w:top w:w="100" w:type="dxa"/>
              <w:left w:w="100" w:type="dxa"/>
              <w:bottom w:w="100" w:type="dxa"/>
              <w:right w:w="100" w:type="dxa"/>
            </w:tcMar>
          </w:tcPr>
          <w:p w14:paraId="592482CA" w14:textId="77777777" w:rsidR="00C72888" w:rsidRDefault="009B46F2">
            <w:pPr>
              <w:widowControl w:val="0"/>
              <w:rPr>
                <w:sz w:val="20"/>
                <w:szCs w:val="20"/>
              </w:rPr>
            </w:pPr>
            <w:r>
              <w:rPr>
                <w:sz w:val="20"/>
                <w:szCs w:val="20"/>
              </w:rPr>
              <w:t xml:space="preserve">Data access mechanisms and terms to define access at repository and/or dataset level. </w:t>
            </w:r>
          </w:p>
          <w:p w14:paraId="68BA6A9A" w14:textId="77777777" w:rsidR="00C72888" w:rsidRDefault="009B46F2">
            <w:pPr>
              <w:widowControl w:val="0"/>
              <w:rPr>
                <w:sz w:val="20"/>
                <w:szCs w:val="20"/>
              </w:rPr>
            </w:pPr>
            <w:r>
              <w:rPr>
                <w:sz w:val="20"/>
                <w:szCs w:val="20"/>
              </w:rPr>
              <w:t xml:space="preserve">Does the repository explicitly state data access conditions on dataset landing pages?  </w:t>
            </w:r>
          </w:p>
        </w:tc>
        <w:tc>
          <w:tcPr>
            <w:tcW w:w="4080" w:type="dxa"/>
            <w:tcBorders>
              <w:top w:val="nil"/>
              <w:left w:val="nil"/>
              <w:bottom w:val="single" w:sz="8" w:space="0" w:color="000000"/>
              <w:right w:val="single" w:sz="8" w:space="0" w:color="000000"/>
            </w:tcBorders>
            <w:tcMar>
              <w:top w:w="100" w:type="dxa"/>
              <w:left w:w="100" w:type="dxa"/>
              <w:bottom w:w="100" w:type="dxa"/>
              <w:right w:w="100" w:type="dxa"/>
            </w:tcMar>
          </w:tcPr>
          <w:p w14:paraId="52989360" w14:textId="77777777" w:rsidR="00C72888" w:rsidRDefault="009B46F2">
            <w:pPr>
              <w:widowControl w:val="0"/>
              <w:rPr>
                <w:sz w:val="20"/>
                <w:szCs w:val="20"/>
              </w:rPr>
            </w:pPr>
            <w:r>
              <w:rPr>
                <w:sz w:val="20"/>
                <w:szCs w:val="20"/>
                <w:highlight w:val="white"/>
              </w:rPr>
              <w:t xml:space="preserve">- Presence ‘yes’, or absence ‘no’. </w:t>
            </w:r>
          </w:p>
          <w:p w14:paraId="425AA643" w14:textId="77777777" w:rsidR="00C72888" w:rsidRDefault="009B46F2">
            <w:pPr>
              <w:widowControl w:val="0"/>
              <w:rPr>
                <w:sz w:val="20"/>
                <w:szCs w:val="20"/>
              </w:rPr>
            </w:pPr>
            <w:r>
              <w:rPr>
                <w:sz w:val="20"/>
                <w:szCs w:val="20"/>
              </w:rPr>
              <w:t>- Types of data access conditions the repository is able to facilitate, e.g. ‘open’, ‘controlled’</w:t>
            </w:r>
          </w:p>
          <w:p w14:paraId="2AA930C2" w14:textId="77777777" w:rsidR="00C72888" w:rsidRDefault="009B46F2">
            <w:pPr>
              <w:widowControl w:val="0"/>
              <w:rPr>
                <w:b/>
                <w:sz w:val="20"/>
                <w:szCs w:val="20"/>
                <w:highlight w:val="white"/>
              </w:rPr>
            </w:pPr>
            <w:r>
              <w:rPr>
                <w:sz w:val="20"/>
                <w:szCs w:val="20"/>
              </w:rPr>
              <w:t>- URL to the condition information</w:t>
            </w:r>
            <w:r>
              <w:rPr>
                <w:sz w:val="20"/>
                <w:szCs w:val="20"/>
              </w:rPr>
              <w:t>.</w:t>
            </w:r>
          </w:p>
        </w:tc>
      </w:tr>
      <w:tr w:rsidR="00C72888" w14:paraId="7323A7A3" w14:textId="77777777" w:rsidTr="00CB766A">
        <w:tc>
          <w:tcPr>
            <w:tcW w:w="3464"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5D10D11" w14:textId="77777777" w:rsidR="00C72888" w:rsidRDefault="009B46F2">
            <w:pPr>
              <w:widowControl w:val="0"/>
              <w:rPr>
                <w:b/>
                <w:sz w:val="20"/>
                <w:szCs w:val="20"/>
              </w:rPr>
            </w:pPr>
            <w:r>
              <w:rPr>
                <w:b/>
                <w:sz w:val="20"/>
                <w:szCs w:val="20"/>
              </w:rPr>
              <w:t>Data Access for Pre-Publication Review</w:t>
            </w:r>
          </w:p>
        </w:tc>
        <w:tc>
          <w:tcPr>
            <w:tcW w:w="6301" w:type="dxa"/>
            <w:tcBorders>
              <w:top w:val="nil"/>
              <w:left w:val="nil"/>
              <w:bottom w:val="single" w:sz="8" w:space="0" w:color="000000"/>
              <w:right w:val="single" w:sz="8" w:space="0" w:color="000000"/>
            </w:tcBorders>
            <w:tcMar>
              <w:top w:w="100" w:type="dxa"/>
              <w:left w:w="100" w:type="dxa"/>
              <w:bottom w:w="100" w:type="dxa"/>
              <w:right w:w="100" w:type="dxa"/>
            </w:tcMar>
          </w:tcPr>
          <w:p w14:paraId="1FEF32A6" w14:textId="77777777" w:rsidR="00C72888" w:rsidRDefault="009B46F2">
            <w:pPr>
              <w:widowControl w:val="0"/>
              <w:rPr>
                <w:sz w:val="20"/>
                <w:szCs w:val="20"/>
              </w:rPr>
            </w:pPr>
            <w:r>
              <w:rPr>
                <w:sz w:val="20"/>
                <w:szCs w:val="20"/>
              </w:rPr>
              <w:t>Mechanism and process for sharing deposited data via a link anonymously (or otherwise depending on journal policy regarding open/closed review).</w:t>
            </w:r>
          </w:p>
          <w:p w14:paraId="3676CC3E" w14:textId="77777777" w:rsidR="00C72888" w:rsidRDefault="009B46F2">
            <w:pPr>
              <w:widowControl w:val="0"/>
              <w:rPr>
                <w:sz w:val="20"/>
                <w:szCs w:val="20"/>
                <w:highlight w:val="white"/>
              </w:rPr>
            </w:pPr>
            <w:r>
              <w:rPr>
                <w:sz w:val="20"/>
                <w:szCs w:val="20"/>
              </w:rPr>
              <w:t>Does the repository have a mechanism to facilitate peer review of emb</w:t>
            </w:r>
            <w:r>
              <w:rPr>
                <w:sz w:val="20"/>
                <w:szCs w:val="20"/>
              </w:rPr>
              <w:t xml:space="preserve">argoed data? </w:t>
            </w:r>
          </w:p>
        </w:tc>
        <w:tc>
          <w:tcPr>
            <w:tcW w:w="4080" w:type="dxa"/>
            <w:tcBorders>
              <w:top w:val="nil"/>
              <w:left w:val="nil"/>
              <w:bottom w:val="single" w:sz="8" w:space="0" w:color="000000"/>
              <w:right w:val="single" w:sz="8" w:space="0" w:color="000000"/>
            </w:tcBorders>
            <w:tcMar>
              <w:top w:w="100" w:type="dxa"/>
              <w:left w:w="100" w:type="dxa"/>
              <w:bottom w:w="100" w:type="dxa"/>
              <w:right w:w="100" w:type="dxa"/>
            </w:tcMar>
          </w:tcPr>
          <w:p w14:paraId="06863A5F" w14:textId="77777777" w:rsidR="00C72888" w:rsidRDefault="009B46F2">
            <w:pPr>
              <w:widowControl w:val="0"/>
              <w:rPr>
                <w:sz w:val="20"/>
                <w:szCs w:val="20"/>
                <w:highlight w:val="white"/>
              </w:rPr>
            </w:pPr>
            <w:r>
              <w:rPr>
                <w:sz w:val="20"/>
                <w:szCs w:val="20"/>
                <w:highlight w:val="white"/>
              </w:rPr>
              <w:t xml:space="preserve">- Presence ‘yes’, or absence ‘no’. </w:t>
            </w:r>
          </w:p>
          <w:p w14:paraId="667A0BCD" w14:textId="77777777" w:rsidR="00C72888" w:rsidRDefault="009B46F2">
            <w:pPr>
              <w:widowControl w:val="0"/>
              <w:rPr>
                <w:sz w:val="20"/>
                <w:szCs w:val="20"/>
                <w:highlight w:val="white"/>
              </w:rPr>
            </w:pPr>
            <w:r>
              <w:rPr>
                <w:sz w:val="20"/>
                <w:szCs w:val="20"/>
                <w:highlight w:val="white"/>
              </w:rPr>
              <w:t>- Type of mechanism (e.g. private reviewer URLs).</w:t>
            </w:r>
          </w:p>
        </w:tc>
      </w:tr>
      <w:tr w:rsidR="00C72888" w14:paraId="1DF21421" w14:textId="77777777" w:rsidTr="00CB766A">
        <w:tc>
          <w:tcPr>
            <w:tcW w:w="3464"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9E31532" w14:textId="77777777" w:rsidR="00C72888" w:rsidRDefault="009B46F2">
            <w:pPr>
              <w:widowControl w:val="0"/>
              <w:rPr>
                <w:b/>
                <w:sz w:val="20"/>
                <w:szCs w:val="20"/>
              </w:rPr>
            </w:pPr>
            <w:r>
              <w:rPr>
                <w:b/>
                <w:sz w:val="20"/>
                <w:szCs w:val="20"/>
              </w:rPr>
              <w:t>Data and Metadata Standards</w:t>
            </w:r>
            <w:r>
              <w:rPr>
                <w:b/>
                <w:sz w:val="20"/>
                <w:szCs w:val="20"/>
                <w:vertAlign w:val="superscript"/>
              </w:rPr>
              <w:footnoteReference w:id="36"/>
            </w:r>
            <w:r>
              <w:rPr>
                <w:b/>
                <w:sz w:val="20"/>
                <w:szCs w:val="20"/>
                <w:vertAlign w:val="superscript"/>
              </w:rPr>
              <w:t>,</w:t>
            </w:r>
            <w:r>
              <w:rPr>
                <w:b/>
                <w:sz w:val="20"/>
                <w:szCs w:val="20"/>
                <w:vertAlign w:val="superscript"/>
              </w:rPr>
              <w:footnoteReference w:id="37"/>
            </w:r>
            <w:r>
              <w:rPr>
                <w:b/>
                <w:sz w:val="20"/>
                <w:szCs w:val="20"/>
                <w:vertAlign w:val="superscript"/>
              </w:rPr>
              <w:t>,</w:t>
            </w:r>
            <w:r>
              <w:rPr>
                <w:b/>
                <w:sz w:val="20"/>
                <w:szCs w:val="20"/>
                <w:vertAlign w:val="superscript"/>
              </w:rPr>
              <w:footnoteReference w:id="38"/>
            </w:r>
          </w:p>
        </w:tc>
        <w:tc>
          <w:tcPr>
            <w:tcW w:w="6301" w:type="dxa"/>
            <w:tcBorders>
              <w:left w:val="nil"/>
              <w:bottom w:val="single" w:sz="8" w:space="0" w:color="000000"/>
              <w:right w:val="single" w:sz="8" w:space="0" w:color="000000"/>
            </w:tcBorders>
            <w:tcMar>
              <w:top w:w="100" w:type="dxa"/>
              <w:left w:w="100" w:type="dxa"/>
              <w:bottom w:w="100" w:type="dxa"/>
              <w:right w:w="100" w:type="dxa"/>
            </w:tcMar>
          </w:tcPr>
          <w:p w14:paraId="57B0F81A" w14:textId="77777777" w:rsidR="00C72888" w:rsidRDefault="009B46F2">
            <w:pPr>
              <w:widowControl w:val="0"/>
              <w:rPr>
                <w:color w:val="191919"/>
                <w:sz w:val="20"/>
                <w:szCs w:val="20"/>
              </w:rPr>
            </w:pPr>
            <w:r>
              <w:rPr>
                <w:color w:val="191919"/>
                <w:sz w:val="20"/>
                <w:szCs w:val="20"/>
              </w:rPr>
              <w:t xml:space="preserve">The community-defined standards the repository implements to enable the representation of data and/or metadata in a consistent, machine readable form (e.g. via models, formats, schemas, </w:t>
            </w:r>
            <w:r>
              <w:rPr>
                <w:color w:val="191919"/>
                <w:sz w:val="20"/>
                <w:szCs w:val="20"/>
              </w:rPr>
              <w:lastRenderedPageBreak/>
              <w:t>vocabularies, ontologies). These standards facilitate the discovery an</w:t>
            </w:r>
            <w:r>
              <w:rPr>
                <w:color w:val="191919"/>
                <w:sz w:val="20"/>
                <w:szCs w:val="20"/>
              </w:rPr>
              <w:t>d interpretation of data and/or metadata.</w:t>
            </w:r>
          </w:p>
          <w:p w14:paraId="3B2AEE96" w14:textId="77777777" w:rsidR="00C72888" w:rsidRDefault="009B46F2">
            <w:pPr>
              <w:widowControl w:val="0"/>
              <w:rPr>
                <w:color w:val="191919"/>
                <w:sz w:val="20"/>
                <w:szCs w:val="20"/>
              </w:rPr>
            </w:pPr>
            <w:r>
              <w:rPr>
                <w:color w:val="191919"/>
                <w:sz w:val="20"/>
                <w:szCs w:val="20"/>
              </w:rPr>
              <w:t>Which data and metadata standards (if any) has the repository implemented?</w:t>
            </w:r>
          </w:p>
        </w:tc>
        <w:tc>
          <w:tcPr>
            <w:tcW w:w="4080" w:type="dxa"/>
            <w:tcBorders>
              <w:left w:val="nil"/>
              <w:bottom w:val="single" w:sz="8" w:space="0" w:color="000000"/>
              <w:right w:val="single" w:sz="8" w:space="0" w:color="000000"/>
            </w:tcBorders>
            <w:tcMar>
              <w:top w:w="100" w:type="dxa"/>
              <w:left w:w="100" w:type="dxa"/>
              <w:bottom w:w="100" w:type="dxa"/>
              <w:right w:w="100" w:type="dxa"/>
            </w:tcMar>
          </w:tcPr>
          <w:p w14:paraId="790FD4F8" w14:textId="77777777" w:rsidR="00C72888" w:rsidRDefault="009B46F2">
            <w:pPr>
              <w:widowControl w:val="0"/>
              <w:rPr>
                <w:b/>
                <w:sz w:val="20"/>
                <w:szCs w:val="20"/>
              </w:rPr>
            </w:pPr>
            <w:r>
              <w:rPr>
                <w:sz w:val="20"/>
                <w:szCs w:val="20"/>
                <w:highlight w:val="white"/>
              </w:rPr>
              <w:lastRenderedPageBreak/>
              <w:t xml:space="preserve">- Presence ‘yes’, or absence ‘no’. </w:t>
            </w:r>
          </w:p>
          <w:p w14:paraId="6F6A1E2F" w14:textId="77777777" w:rsidR="00C72888" w:rsidRDefault="009B46F2">
            <w:pPr>
              <w:widowControl w:val="0"/>
              <w:rPr>
                <w:sz w:val="20"/>
                <w:szCs w:val="20"/>
              </w:rPr>
            </w:pPr>
            <w:r>
              <w:rPr>
                <w:sz w:val="20"/>
                <w:szCs w:val="20"/>
              </w:rPr>
              <w:t>- Type of standards.</w:t>
            </w:r>
          </w:p>
          <w:p w14:paraId="5514E716" w14:textId="77777777" w:rsidR="00C72888" w:rsidRDefault="009B46F2">
            <w:pPr>
              <w:widowControl w:val="0"/>
              <w:rPr>
                <w:sz w:val="20"/>
                <w:szCs w:val="20"/>
              </w:rPr>
            </w:pPr>
            <w:r>
              <w:rPr>
                <w:sz w:val="20"/>
                <w:szCs w:val="20"/>
              </w:rPr>
              <w:t xml:space="preserve">- Relations between types of standards, </w:t>
            </w:r>
            <w:r>
              <w:rPr>
                <w:sz w:val="20"/>
                <w:szCs w:val="20"/>
              </w:rPr>
              <w:lastRenderedPageBreak/>
              <w:t>and between standards and repositories (to</w:t>
            </w:r>
            <w:r>
              <w:rPr>
                <w:sz w:val="20"/>
                <w:szCs w:val="20"/>
              </w:rPr>
              <w:t xml:space="preserve"> track their use and adoption).</w:t>
            </w:r>
          </w:p>
        </w:tc>
      </w:tr>
      <w:tr w:rsidR="00C72888" w14:paraId="6BAA140B" w14:textId="77777777" w:rsidTr="00CB766A">
        <w:tc>
          <w:tcPr>
            <w:tcW w:w="3464"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AFB075C" w14:textId="77777777" w:rsidR="00C72888" w:rsidRDefault="009B46F2">
            <w:pPr>
              <w:widowControl w:val="0"/>
              <w:rPr>
                <w:b/>
                <w:sz w:val="20"/>
                <w:szCs w:val="20"/>
              </w:rPr>
            </w:pPr>
            <w:r>
              <w:rPr>
                <w:b/>
                <w:sz w:val="20"/>
                <w:szCs w:val="20"/>
              </w:rPr>
              <w:lastRenderedPageBreak/>
              <w:t>Data Curation</w:t>
            </w:r>
            <w:r>
              <w:rPr>
                <w:b/>
                <w:sz w:val="20"/>
                <w:szCs w:val="20"/>
                <w:vertAlign w:val="superscript"/>
              </w:rPr>
              <w:footnoteReference w:id="39"/>
            </w:r>
            <w:r>
              <w:rPr>
                <w:b/>
                <w:sz w:val="20"/>
                <w:szCs w:val="20"/>
                <w:vertAlign w:val="superscript"/>
              </w:rPr>
              <w:t>,</w:t>
            </w:r>
            <w:r>
              <w:rPr>
                <w:b/>
                <w:sz w:val="20"/>
                <w:szCs w:val="20"/>
                <w:vertAlign w:val="superscript"/>
              </w:rPr>
              <w:footnoteReference w:id="40"/>
            </w:r>
            <w:r>
              <w:rPr>
                <w:b/>
                <w:sz w:val="20"/>
                <w:szCs w:val="20"/>
                <w:vertAlign w:val="superscript"/>
              </w:rPr>
              <w:t>,</w:t>
            </w:r>
            <w:r>
              <w:rPr>
                <w:b/>
                <w:sz w:val="20"/>
                <w:szCs w:val="20"/>
                <w:vertAlign w:val="superscript"/>
              </w:rPr>
              <w:footnoteReference w:id="41"/>
            </w:r>
            <w:r>
              <w:rPr>
                <w:b/>
                <w:sz w:val="20"/>
                <w:szCs w:val="20"/>
                <w:vertAlign w:val="superscript"/>
              </w:rPr>
              <w:t>,</w:t>
            </w:r>
            <w:r>
              <w:rPr>
                <w:b/>
                <w:sz w:val="20"/>
                <w:szCs w:val="20"/>
                <w:vertAlign w:val="superscript"/>
              </w:rPr>
              <w:footnoteReference w:id="42"/>
            </w:r>
          </w:p>
        </w:tc>
        <w:tc>
          <w:tcPr>
            <w:tcW w:w="6301" w:type="dxa"/>
            <w:tcBorders>
              <w:top w:val="nil"/>
              <w:left w:val="nil"/>
              <w:bottom w:val="single" w:sz="8" w:space="0" w:color="000000"/>
              <w:right w:val="single" w:sz="8" w:space="0" w:color="000000"/>
            </w:tcBorders>
            <w:tcMar>
              <w:top w:w="100" w:type="dxa"/>
              <w:left w:w="100" w:type="dxa"/>
              <w:bottom w:w="100" w:type="dxa"/>
              <w:right w:w="100" w:type="dxa"/>
            </w:tcMar>
          </w:tcPr>
          <w:p w14:paraId="3B56384D" w14:textId="77777777" w:rsidR="00C72888" w:rsidRDefault="009B46F2">
            <w:pPr>
              <w:widowControl w:val="0"/>
              <w:rPr>
                <w:sz w:val="20"/>
                <w:szCs w:val="20"/>
              </w:rPr>
            </w:pPr>
            <w:r>
              <w:rPr>
                <w:sz w:val="20"/>
                <w:szCs w:val="20"/>
                <w:highlight w:val="white"/>
              </w:rPr>
              <w:t xml:space="preserve">Review and annotation of the data performed by the repository (e.g. via a data submission tool that enforces some curation, or </w:t>
            </w:r>
            <w:r>
              <w:rPr>
                <w:sz w:val="20"/>
                <w:szCs w:val="20"/>
              </w:rPr>
              <w:t>by its curation team).</w:t>
            </w:r>
          </w:p>
          <w:p w14:paraId="75BAC0C1" w14:textId="77777777" w:rsidR="00C72888" w:rsidRDefault="009B46F2">
            <w:pPr>
              <w:widowControl w:val="0"/>
              <w:rPr>
                <w:sz w:val="20"/>
                <w:szCs w:val="20"/>
              </w:rPr>
            </w:pPr>
            <w:r>
              <w:rPr>
                <w:sz w:val="20"/>
                <w:szCs w:val="20"/>
              </w:rPr>
              <w:t>Does the repository curate its holdings?</w:t>
            </w:r>
          </w:p>
        </w:tc>
        <w:tc>
          <w:tcPr>
            <w:tcW w:w="4080" w:type="dxa"/>
            <w:tcBorders>
              <w:top w:val="nil"/>
              <w:left w:val="nil"/>
              <w:bottom w:val="single" w:sz="8" w:space="0" w:color="000000"/>
              <w:right w:val="single" w:sz="8" w:space="0" w:color="000000"/>
            </w:tcBorders>
            <w:tcMar>
              <w:top w:w="100" w:type="dxa"/>
              <w:left w:w="100" w:type="dxa"/>
              <w:bottom w:w="100" w:type="dxa"/>
              <w:right w:w="100" w:type="dxa"/>
            </w:tcMar>
          </w:tcPr>
          <w:p w14:paraId="1881A3B4" w14:textId="77777777" w:rsidR="00C72888" w:rsidRDefault="009B46F2">
            <w:pPr>
              <w:widowControl w:val="0"/>
              <w:rPr>
                <w:sz w:val="20"/>
                <w:szCs w:val="20"/>
                <w:highlight w:val="white"/>
              </w:rPr>
            </w:pPr>
            <w:r>
              <w:rPr>
                <w:sz w:val="20"/>
                <w:szCs w:val="20"/>
                <w:highlight w:val="white"/>
              </w:rPr>
              <w:t>- Presence ‘yes’, or absence ‘no’.</w:t>
            </w:r>
          </w:p>
          <w:p w14:paraId="4071DFF8" w14:textId="77777777" w:rsidR="00C72888" w:rsidRDefault="009B46F2">
            <w:pPr>
              <w:widowControl w:val="0"/>
              <w:rPr>
                <w:sz w:val="20"/>
                <w:szCs w:val="20"/>
              </w:rPr>
            </w:pPr>
            <w:r>
              <w:rPr>
                <w:sz w:val="20"/>
                <w:szCs w:val="20"/>
                <w:highlight w:val="white"/>
              </w:rPr>
              <w:t xml:space="preserve">- </w:t>
            </w:r>
            <w:r>
              <w:rPr>
                <w:sz w:val="20"/>
                <w:szCs w:val="20"/>
              </w:rPr>
              <w:t>URL to the curation information.</w:t>
            </w:r>
          </w:p>
        </w:tc>
      </w:tr>
      <w:tr w:rsidR="00C72888" w14:paraId="10576831" w14:textId="77777777" w:rsidTr="00CB766A">
        <w:tc>
          <w:tcPr>
            <w:tcW w:w="3464"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6CFD9DC" w14:textId="77777777" w:rsidR="00C72888" w:rsidRDefault="009B46F2">
            <w:pPr>
              <w:widowControl w:val="0"/>
              <w:rPr>
                <w:b/>
                <w:sz w:val="20"/>
                <w:szCs w:val="20"/>
              </w:rPr>
            </w:pPr>
            <w:r>
              <w:rPr>
                <w:b/>
                <w:sz w:val="20"/>
                <w:szCs w:val="20"/>
              </w:rPr>
              <w:t>Funding</w:t>
            </w:r>
            <w:r>
              <w:rPr>
                <w:b/>
                <w:sz w:val="20"/>
                <w:szCs w:val="20"/>
                <w:vertAlign w:val="superscript"/>
              </w:rPr>
              <w:footnoteReference w:id="43"/>
            </w:r>
          </w:p>
        </w:tc>
        <w:tc>
          <w:tcPr>
            <w:tcW w:w="6301" w:type="dxa"/>
            <w:tcBorders>
              <w:top w:val="nil"/>
              <w:left w:val="nil"/>
              <w:bottom w:val="single" w:sz="8" w:space="0" w:color="000000"/>
              <w:right w:val="single" w:sz="8" w:space="0" w:color="000000"/>
            </w:tcBorders>
            <w:tcMar>
              <w:top w:w="100" w:type="dxa"/>
              <w:left w:w="100" w:type="dxa"/>
              <w:bottom w:w="100" w:type="dxa"/>
              <w:right w:w="100" w:type="dxa"/>
            </w:tcMar>
          </w:tcPr>
          <w:p w14:paraId="1EE5D478" w14:textId="77777777" w:rsidR="00C72888" w:rsidRDefault="009B46F2">
            <w:pPr>
              <w:widowControl w:val="0"/>
              <w:rPr>
                <w:sz w:val="20"/>
                <w:szCs w:val="20"/>
              </w:rPr>
            </w:pPr>
            <w:r>
              <w:rPr>
                <w:sz w:val="20"/>
                <w:szCs w:val="20"/>
              </w:rPr>
              <w:t xml:space="preserve">The type of funding (e.g. grants, donations, memberships) and the </w:t>
            </w:r>
            <w:proofErr w:type="spellStart"/>
            <w:r>
              <w:rPr>
                <w:sz w:val="20"/>
                <w:szCs w:val="20"/>
              </w:rPr>
              <w:t>organisation</w:t>
            </w:r>
            <w:proofErr w:type="spellEnd"/>
            <w:r>
              <w:rPr>
                <w:sz w:val="20"/>
                <w:szCs w:val="20"/>
              </w:rPr>
              <w:t xml:space="preserve">(s) that fund the repository. </w:t>
            </w:r>
          </w:p>
          <w:p w14:paraId="7214C9B2" w14:textId="77777777" w:rsidR="00C72888" w:rsidRDefault="009B46F2">
            <w:pPr>
              <w:widowControl w:val="0"/>
              <w:rPr>
                <w:sz w:val="20"/>
                <w:szCs w:val="20"/>
              </w:rPr>
            </w:pPr>
            <w:r>
              <w:rPr>
                <w:sz w:val="20"/>
                <w:szCs w:val="20"/>
              </w:rPr>
              <w:t>Who funds the operation of the repository?</w:t>
            </w:r>
          </w:p>
        </w:tc>
        <w:tc>
          <w:tcPr>
            <w:tcW w:w="4080" w:type="dxa"/>
            <w:tcBorders>
              <w:top w:val="nil"/>
              <w:left w:val="nil"/>
              <w:bottom w:val="single" w:sz="8" w:space="0" w:color="000000"/>
              <w:right w:val="single" w:sz="8" w:space="0" w:color="000000"/>
            </w:tcBorders>
            <w:tcMar>
              <w:top w:w="100" w:type="dxa"/>
              <w:left w:w="100" w:type="dxa"/>
              <w:bottom w:w="100" w:type="dxa"/>
              <w:right w:w="100" w:type="dxa"/>
            </w:tcMar>
          </w:tcPr>
          <w:p w14:paraId="228AA428" w14:textId="77777777" w:rsidR="00C72888" w:rsidRDefault="009B46F2">
            <w:pPr>
              <w:widowControl w:val="0"/>
              <w:rPr>
                <w:sz w:val="20"/>
                <w:szCs w:val="20"/>
              </w:rPr>
            </w:pPr>
            <w:r>
              <w:rPr>
                <w:sz w:val="20"/>
                <w:szCs w:val="20"/>
              </w:rPr>
              <w:t>- Types of funding</w:t>
            </w:r>
          </w:p>
          <w:p w14:paraId="3BC85AFD" w14:textId="77777777" w:rsidR="00C72888" w:rsidRDefault="009B46F2">
            <w:pPr>
              <w:widowControl w:val="0"/>
              <w:rPr>
                <w:sz w:val="20"/>
                <w:szCs w:val="20"/>
              </w:rPr>
            </w:pPr>
            <w:r>
              <w:rPr>
                <w:sz w:val="20"/>
                <w:szCs w:val="20"/>
              </w:rPr>
              <w:t xml:space="preserve">- Name of the funding organization (e.g. using </w:t>
            </w:r>
            <w:proofErr w:type="spellStart"/>
            <w:r>
              <w:rPr>
                <w:sz w:val="20"/>
                <w:szCs w:val="20"/>
              </w:rPr>
              <w:t>FundRef</w:t>
            </w:r>
            <w:proofErr w:type="spellEnd"/>
            <w:r>
              <w:rPr>
                <w:sz w:val="20"/>
                <w:szCs w:val="20"/>
              </w:rPr>
              <w:t>)</w:t>
            </w:r>
          </w:p>
        </w:tc>
      </w:tr>
      <w:tr w:rsidR="00C72888" w14:paraId="7B1DAC09" w14:textId="77777777" w:rsidTr="00CB766A">
        <w:tc>
          <w:tcPr>
            <w:tcW w:w="3464"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444CFD5" w14:textId="77777777" w:rsidR="00C72888" w:rsidRDefault="009B46F2">
            <w:pPr>
              <w:widowControl w:val="0"/>
              <w:rPr>
                <w:b/>
                <w:sz w:val="20"/>
                <w:szCs w:val="20"/>
              </w:rPr>
            </w:pPr>
            <w:r>
              <w:rPr>
                <w:b/>
                <w:sz w:val="20"/>
                <w:szCs w:val="20"/>
              </w:rPr>
              <w:t>Persistent Identifiers for Data</w:t>
            </w:r>
            <w:r>
              <w:rPr>
                <w:b/>
                <w:sz w:val="20"/>
                <w:szCs w:val="20"/>
                <w:vertAlign w:val="superscript"/>
              </w:rPr>
              <w:footnoteReference w:id="44"/>
            </w:r>
            <w:r>
              <w:rPr>
                <w:b/>
                <w:sz w:val="20"/>
                <w:szCs w:val="20"/>
                <w:vertAlign w:val="superscript"/>
              </w:rPr>
              <w:t>,</w:t>
            </w:r>
            <w:r>
              <w:rPr>
                <w:b/>
                <w:sz w:val="20"/>
                <w:szCs w:val="20"/>
                <w:vertAlign w:val="superscript"/>
              </w:rPr>
              <w:footnoteReference w:id="45"/>
            </w:r>
          </w:p>
        </w:tc>
        <w:tc>
          <w:tcPr>
            <w:tcW w:w="6301" w:type="dxa"/>
            <w:tcBorders>
              <w:top w:val="nil"/>
              <w:left w:val="nil"/>
              <w:bottom w:val="single" w:sz="8" w:space="0" w:color="000000"/>
              <w:right w:val="single" w:sz="8" w:space="0" w:color="000000"/>
            </w:tcBorders>
            <w:tcMar>
              <w:top w:w="100" w:type="dxa"/>
              <w:left w:w="100" w:type="dxa"/>
              <w:bottom w:w="100" w:type="dxa"/>
              <w:right w:w="100" w:type="dxa"/>
            </w:tcMar>
          </w:tcPr>
          <w:p w14:paraId="5EE5E26A" w14:textId="77777777" w:rsidR="00C72888" w:rsidRDefault="009B46F2">
            <w:pPr>
              <w:widowControl w:val="0"/>
              <w:rPr>
                <w:sz w:val="20"/>
                <w:szCs w:val="20"/>
              </w:rPr>
            </w:pPr>
            <w:r>
              <w:rPr>
                <w:sz w:val="20"/>
                <w:szCs w:val="20"/>
              </w:rPr>
              <w:t xml:space="preserve">Globally unique and Persistent </w:t>
            </w:r>
            <w:proofErr w:type="spellStart"/>
            <w:r>
              <w:rPr>
                <w:sz w:val="20"/>
                <w:szCs w:val="20"/>
              </w:rPr>
              <w:t>IDentifiers</w:t>
            </w:r>
            <w:proofErr w:type="spellEnd"/>
            <w:r>
              <w:rPr>
                <w:sz w:val="20"/>
                <w:szCs w:val="20"/>
              </w:rPr>
              <w:t xml:space="preserve"> (PIDs).</w:t>
            </w:r>
          </w:p>
          <w:p w14:paraId="342BD3A7" w14:textId="77777777" w:rsidR="00C72888" w:rsidRDefault="009B46F2">
            <w:pPr>
              <w:widowControl w:val="0"/>
              <w:rPr>
                <w:sz w:val="20"/>
                <w:szCs w:val="20"/>
              </w:rPr>
            </w:pPr>
            <w:r>
              <w:rPr>
                <w:sz w:val="20"/>
                <w:szCs w:val="20"/>
              </w:rPr>
              <w:t xml:space="preserve">Does the repository assign PIDs to </w:t>
            </w:r>
            <w:proofErr w:type="spellStart"/>
            <w:proofErr w:type="gramStart"/>
            <w:r>
              <w:rPr>
                <w:sz w:val="20"/>
                <w:szCs w:val="20"/>
              </w:rPr>
              <w:t>it’s</w:t>
            </w:r>
            <w:proofErr w:type="spellEnd"/>
            <w:proofErr w:type="gramEnd"/>
            <w:r>
              <w:rPr>
                <w:sz w:val="20"/>
                <w:szCs w:val="20"/>
              </w:rPr>
              <w:t xml:space="preserve"> holdings? If so, which PID schema has been implemented? </w:t>
            </w:r>
          </w:p>
        </w:tc>
        <w:tc>
          <w:tcPr>
            <w:tcW w:w="4080" w:type="dxa"/>
            <w:tcBorders>
              <w:top w:val="nil"/>
              <w:left w:val="nil"/>
              <w:bottom w:val="single" w:sz="8" w:space="0" w:color="000000"/>
              <w:right w:val="single" w:sz="8" w:space="0" w:color="000000"/>
            </w:tcBorders>
            <w:tcMar>
              <w:top w:w="100" w:type="dxa"/>
              <w:left w:w="100" w:type="dxa"/>
              <w:bottom w:w="100" w:type="dxa"/>
              <w:right w:w="100" w:type="dxa"/>
            </w:tcMar>
          </w:tcPr>
          <w:p w14:paraId="10636AAA" w14:textId="77777777" w:rsidR="00C72888" w:rsidRDefault="009B46F2">
            <w:pPr>
              <w:widowControl w:val="0"/>
              <w:rPr>
                <w:b/>
                <w:sz w:val="20"/>
                <w:szCs w:val="20"/>
              </w:rPr>
            </w:pPr>
            <w:r>
              <w:rPr>
                <w:sz w:val="20"/>
                <w:szCs w:val="20"/>
                <w:highlight w:val="white"/>
              </w:rPr>
              <w:t>- Presence ‘yes’</w:t>
            </w:r>
            <w:r>
              <w:rPr>
                <w:sz w:val="20"/>
                <w:szCs w:val="20"/>
                <w:highlight w:val="white"/>
              </w:rPr>
              <w:t xml:space="preserve">, or absence ‘no’. </w:t>
            </w:r>
          </w:p>
          <w:p w14:paraId="50FFA9B0" w14:textId="77777777" w:rsidR="00C72888" w:rsidRDefault="009B46F2">
            <w:pPr>
              <w:widowControl w:val="0"/>
              <w:rPr>
                <w:sz w:val="20"/>
                <w:szCs w:val="20"/>
              </w:rPr>
            </w:pPr>
            <w:r>
              <w:rPr>
                <w:sz w:val="20"/>
                <w:szCs w:val="20"/>
              </w:rPr>
              <w:t>- Type of PID schema.</w:t>
            </w:r>
          </w:p>
        </w:tc>
      </w:tr>
      <w:tr w:rsidR="00C72888" w14:paraId="0EB8CF2D" w14:textId="77777777" w:rsidTr="00CB766A">
        <w:tc>
          <w:tcPr>
            <w:tcW w:w="3464"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5DD313" w14:textId="77777777" w:rsidR="00C72888" w:rsidRDefault="009B46F2">
            <w:pPr>
              <w:widowControl w:val="0"/>
              <w:rPr>
                <w:b/>
                <w:sz w:val="20"/>
                <w:szCs w:val="20"/>
              </w:rPr>
            </w:pPr>
            <w:r>
              <w:rPr>
                <w:b/>
                <w:sz w:val="20"/>
                <w:szCs w:val="20"/>
              </w:rPr>
              <w:t>Repository Coverage</w:t>
            </w:r>
            <w:r>
              <w:rPr>
                <w:b/>
                <w:sz w:val="20"/>
                <w:szCs w:val="20"/>
                <w:vertAlign w:val="superscript"/>
              </w:rPr>
              <w:footnoteReference w:id="46"/>
            </w:r>
            <w:r>
              <w:rPr>
                <w:b/>
                <w:sz w:val="20"/>
                <w:szCs w:val="20"/>
                <w:vertAlign w:val="superscript"/>
              </w:rPr>
              <w:t>,</w:t>
            </w:r>
            <w:r>
              <w:rPr>
                <w:b/>
                <w:sz w:val="20"/>
                <w:szCs w:val="20"/>
                <w:vertAlign w:val="superscript"/>
              </w:rPr>
              <w:footnoteReference w:id="47"/>
            </w:r>
          </w:p>
        </w:tc>
        <w:tc>
          <w:tcPr>
            <w:tcW w:w="6301" w:type="dxa"/>
            <w:tcBorders>
              <w:top w:val="nil"/>
              <w:left w:val="nil"/>
              <w:bottom w:val="single" w:sz="8" w:space="0" w:color="000000"/>
              <w:right w:val="single" w:sz="8" w:space="0" w:color="000000"/>
            </w:tcBorders>
            <w:tcMar>
              <w:top w:w="100" w:type="dxa"/>
              <w:left w:w="100" w:type="dxa"/>
              <w:bottom w:w="100" w:type="dxa"/>
              <w:right w:w="100" w:type="dxa"/>
            </w:tcMar>
          </w:tcPr>
          <w:p w14:paraId="767758D7" w14:textId="77777777" w:rsidR="00C72888" w:rsidRDefault="009B46F2">
            <w:pPr>
              <w:widowControl w:val="0"/>
              <w:rPr>
                <w:sz w:val="20"/>
                <w:szCs w:val="20"/>
              </w:rPr>
            </w:pPr>
            <w:r>
              <w:rPr>
                <w:sz w:val="20"/>
                <w:szCs w:val="20"/>
              </w:rPr>
              <w:t xml:space="preserve">The higher-level subject areas/disciplines the repository covers, as well as cross-disciplinary domains, such as the types or data, </w:t>
            </w:r>
            <w:proofErr w:type="gramStart"/>
            <w:r>
              <w:rPr>
                <w:sz w:val="20"/>
                <w:szCs w:val="20"/>
              </w:rPr>
              <w:t>technology</w:t>
            </w:r>
            <w:proofErr w:type="gramEnd"/>
            <w:r>
              <w:rPr>
                <w:sz w:val="20"/>
                <w:szCs w:val="20"/>
              </w:rPr>
              <w:t xml:space="preserve"> and study.</w:t>
            </w:r>
          </w:p>
          <w:p w14:paraId="5B98213F" w14:textId="77777777" w:rsidR="00C72888" w:rsidRDefault="009B46F2">
            <w:pPr>
              <w:widowControl w:val="0"/>
              <w:rPr>
                <w:sz w:val="20"/>
                <w:szCs w:val="20"/>
              </w:rPr>
            </w:pPr>
            <w:r>
              <w:rPr>
                <w:sz w:val="20"/>
                <w:szCs w:val="20"/>
              </w:rPr>
              <w:lastRenderedPageBreak/>
              <w:t xml:space="preserve">What is the disciplinary scope of the repository? </w:t>
            </w:r>
          </w:p>
        </w:tc>
        <w:tc>
          <w:tcPr>
            <w:tcW w:w="4080" w:type="dxa"/>
            <w:tcBorders>
              <w:top w:val="nil"/>
              <w:left w:val="nil"/>
              <w:bottom w:val="single" w:sz="8" w:space="0" w:color="000000"/>
              <w:right w:val="single" w:sz="8" w:space="0" w:color="000000"/>
            </w:tcBorders>
            <w:tcMar>
              <w:top w:w="100" w:type="dxa"/>
              <w:left w:w="100" w:type="dxa"/>
              <w:bottom w:w="100" w:type="dxa"/>
              <w:right w:w="100" w:type="dxa"/>
            </w:tcMar>
          </w:tcPr>
          <w:p w14:paraId="76405283" w14:textId="77777777" w:rsidR="00C72888" w:rsidRDefault="009B46F2">
            <w:pPr>
              <w:widowControl w:val="0"/>
              <w:rPr>
                <w:sz w:val="20"/>
                <w:szCs w:val="20"/>
                <w:highlight w:val="white"/>
              </w:rPr>
            </w:pPr>
            <w:r>
              <w:rPr>
                <w:sz w:val="20"/>
                <w:szCs w:val="20"/>
                <w:highlight w:val="white"/>
              </w:rPr>
              <w:lastRenderedPageBreak/>
              <w:t>- Type of disciplines</w:t>
            </w:r>
          </w:p>
          <w:p w14:paraId="1CAA699F" w14:textId="77777777" w:rsidR="00C72888" w:rsidRDefault="009B46F2">
            <w:pPr>
              <w:widowControl w:val="0"/>
              <w:rPr>
                <w:sz w:val="20"/>
                <w:szCs w:val="20"/>
              </w:rPr>
            </w:pPr>
            <w:r>
              <w:rPr>
                <w:sz w:val="20"/>
                <w:szCs w:val="20"/>
                <w:highlight w:val="white"/>
              </w:rPr>
              <w:t xml:space="preserve">- Type of </w:t>
            </w:r>
            <w:r>
              <w:rPr>
                <w:sz w:val="20"/>
                <w:szCs w:val="20"/>
              </w:rPr>
              <w:t>domains</w:t>
            </w:r>
          </w:p>
          <w:p w14:paraId="50A2C051" w14:textId="77777777" w:rsidR="00C72888" w:rsidRDefault="009B46F2">
            <w:pPr>
              <w:widowControl w:val="0"/>
              <w:rPr>
                <w:sz w:val="20"/>
                <w:szCs w:val="20"/>
              </w:rPr>
            </w:pPr>
            <w:r>
              <w:rPr>
                <w:sz w:val="20"/>
                <w:szCs w:val="20"/>
              </w:rPr>
              <w:t>- Taxonomic range, if applicable</w:t>
            </w:r>
          </w:p>
        </w:tc>
      </w:tr>
      <w:tr w:rsidR="00C72888" w14:paraId="5749B5DF" w14:textId="77777777" w:rsidTr="00CB766A">
        <w:tc>
          <w:tcPr>
            <w:tcW w:w="3464"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2F0AC77" w14:textId="77777777" w:rsidR="00C72888" w:rsidRDefault="009B46F2">
            <w:pPr>
              <w:widowControl w:val="0"/>
              <w:rPr>
                <w:b/>
                <w:sz w:val="20"/>
                <w:szCs w:val="20"/>
              </w:rPr>
            </w:pPr>
            <w:r>
              <w:rPr>
                <w:b/>
                <w:sz w:val="20"/>
                <w:szCs w:val="20"/>
              </w:rPr>
              <w:t>Repository Status</w:t>
            </w:r>
            <w:r>
              <w:rPr>
                <w:b/>
                <w:sz w:val="20"/>
                <w:szCs w:val="20"/>
                <w:vertAlign w:val="superscript"/>
              </w:rPr>
              <w:footnoteReference w:id="48"/>
            </w:r>
          </w:p>
        </w:tc>
        <w:tc>
          <w:tcPr>
            <w:tcW w:w="6301" w:type="dxa"/>
            <w:tcBorders>
              <w:top w:val="nil"/>
              <w:left w:val="nil"/>
              <w:bottom w:val="single" w:sz="8" w:space="0" w:color="000000"/>
              <w:right w:val="single" w:sz="8" w:space="0" w:color="000000"/>
            </w:tcBorders>
            <w:tcMar>
              <w:top w:w="100" w:type="dxa"/>
              <w:left w:w="100" w:type="dxa"/>
              <w:bottom w:w="100" w:type="dxa"/>
              <w:right w:w="100" w:type="dxa"/>
            </w:tcMar>
          </w:tcPr>
          <w:p w14:paraId="46153722" w14:textId="77777777" w:rsidR="00C72888" w:rsidRDefault="009B46F2">
            <w:pPr>
              <w:widowControl w:val="0"/>
              <w:rPr>
                <w:sz w:val="20"/>
                <w:szCs w:val="20"/>
              </w:rPr>
            </w:pPr>
            <w:r>
              <w:rPr>
                <w:sz w:val="20"/>
                <w:szCs w:val="20"/>
              </w:rPr>
              <w:t xml:space="preserve">The life cycle status of the repository Repositories may be undergoing (re)development, </w:t>
            </w:r>
            <w:proofErr w:type="gramStart"/>
            <w:r>
              <w:rPr>
                <w:sz w:val="20"/>
                <w:szCs w:val="20"/>
              </w:rPr>
              <w:t>enhancement</w:t>
            </w:r>
            <w:proofErr w:type="gramEnd"/>
            <w:r>
              <w:rPr>
                <w:sz w:val="20"/>
                <w:szCs w:val="20"/>
              </w:rPr>
              <w:t xml:space="preserve"> or maintenance, as happens in any mature system. </w:t>
            </w:r>
          </w:p>
          <w:p w14:paraId="36F0EE64" w14:textId="77777777" w:rsidR="00C72888" w:rsidRDefault="009B46F2">
            <w:pPr>
              <w:widowControl w:val="0"/>
              <w:rPr>
                <w:sz w:val="20"/>
                <w:szCs w:val="20"/>
              </w:rPr>
            </w:pPr>
            <w:r>
              <w:rPr>
                <w:sz w:val="20"/>
                <w:szCs w:val="20"/>
              </w:rPr>
              <w:t>Is the repository currently accepting data submissions? Is the repository under development? Has the repos</w:t>
            </w:r>
            <w:r>
              <w:rPr>
                <w:sz w:val="20"/>
                <w:szCs w:val="20"/>
              </w:rPr>
              <w:t>itory been deprecated?</w:t>
            </w:r>
          </w:p>
        </w:tc>
        <w:tc>
          <w:tcPr>
            <w:tcW w:w="4080" w:type="dxa"/>
            <w:tcBorders>
              <w:top w:val="nil"/>
              <w:left w:val="nil"/>
              <w:bottom w:val="single" w:sz="8" w:space="0" w:color="000000"/>
              <w:right w:val="single" w:sz="8" w:space="0" w:color="000000"/>
            </w:tcBorders>
            <w:tcMar>
              <w:top w:w="100" w:type="dxa"/>
              <w:left w:w="100" w:type="dxa"/>
              <w:bottom w:w="100" w:type="dxa"/>
              <w:right w:w="100" w:type="dxa"/>
            </w:tcMar>
          </w:tcPr>
          <w:p w14:paraId="53F64067" w14:textId="77777777" w:rsidR="00C72888" w:rsidRDefault="009B46F2">
            <w:pPr>
              <w:widowControl w:val="0"/>
              <w:rPr>
                <w:sz w:val="20"/>
                <w:szCs w:val="20"/>
              </w:rPr>
            </w:pPr>
            <w:proofErr w:type="gramStart"/>
            <w:r>
              <w:rPr>
                <w:sz w:val="20"/>
                <w:szCs w:val="20"/>
              </w:rPr>
              <w:t>-‘</w:t>
            </w:r>
            <w:proofErr w:type="gramEnd"/>
            <w:r>
              <w:rPr>
                <w:sz w:val="20"/>
                <w:szCs w:val="20"/>
              </w:rPr>
              <w:t>Ready’ (production-level).</w:t>
            </w:r>
          </w:p>
          <w:p w14:paraId="29119399" w14:textId="77777777" w:rsidR="00C72888" w:rsidRDefault="009B46F2">
            <w:pPr>
              <w:widowControl w:val="0"/>
              <w:rPr>
                <w:sz w:val="20"/>
                <w:szCs w:val="20"/>
              </w:rPr>
            </w:pPr>
            <w:r>
              <w:rPr>
                <w:sz w:val="20"/>
                <w:szCs w:val="20"/>
              </w:rPr>
              <w:t>- ‘In development’ (actively being developed but still not ready for use).</w:t>
            </w:r>
          </w:p>
          <w:p w14:paraId="225828CE" w14:textId="77777777" w:rsidR="00C72888" w:rsidRDefault="009B46F2">
            <w:pPr>
              <w:widowControl w:val="0"/>
              <w:rPr>
                <w:sz w:val="20"/>
                <w:szCs w:val="20"/>
              </w:rPr>
            </w:pPr>
            <w:r>
              <w:rPr>
                <w:sz w:val="20"/>
                <w:szCs w:val="20"/>
              </w:rPr>
              <w:t>- ‘Deprecated’ (</w:t>
            </w:r>
            <w:r>
              <w:rPr>
                <w:sz w:val="20"/>
                <w:szCs w:val="20"/>
                <w:highlight w:val="white"/>
              </w:rPr>
              <w:t>no longer maintained or superseded).</w:t>
            </w:r>
          </w:p>
          <w:p w14:paraId="2B22209B" w14:textId="77777777" w:rsidR="00C72888" w:rsidRDefault="009B46F2">
            <w:pPr>
              <w:widowControl w:val="0"/>
              <w:rPr>
                <w:sz w:val="20"/>
                <w:szCs w:val="20"/>
              </w:rPr>
            </w:pPr>
            <w:r>
              <w:rPr>
                <w:sz w:val="20"/>
                <w:szCs w:val="20"/>
              </w:rPr>
              <w:t>- ‘Uncertain’ (when the life cycle position is unclear).</w:t>
            </w:r>
          </w:p>
        </w:tc>
      </w:tr>
      <w:tr w:rsidR="00C72888" w14:paraId="65E7A708" w14:textId="77777777" w:rsidTr="00CB766A">
        <w:tc>
          <w:tcPr>
            <w:tcW w:w="3464"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1D30481" w14:textId="77777777" w:rsidR="00C72888" w:rsidRDefault="009B46F2">
            <w:pPr>
              <w:widowControl w:val="0"/>
              <w:rPr>
                <w:b/>
                <w:sz w:val="20"/>
                <w:szCs w:val="20"/>
              </w:rPr>
            </w:pPr>
            <w:r>
              <w:rPr>
                <w:b/>
                <w:sz w:val="20"/>
                <w:szCs w:val="20"/>
              </w:rPr>
              <w:t>Resource Sustainab</w:t>
            </w:r>
            <w:r>
              <w:rPr>
                <w:b/>
                <w:sz w:val="20"/>
                <w:szCs w:val="20"/>
              </w:rPr>
              <w:t>ility</w:t>
            </w:r>
            <w:r>
              <w:rPr>
                <w:b/>
                <w:sz w:val="20"/>
                <w:szCs w:val="20"/>
                <w:vertAlign w:val="superscript"/>
              </w:rPr>
              <w:footnoteReference w:id="49"/>
            </w:r>
            <w:r>
              <w:rPr>
                <w:b/>
                <w:sz w:val="20"/>
                <w:szCs w:val="20"/>
                <w:vertAlign w:val="superscript"/>
              </w:rPr>
              <w:t>,</w:t>
            </w:r>
            <w:r>
              <w:rPr>
                <w:b/>
                <w:sz w:val="20"/>
                <w:szCs w:val="20"/>
                <w:vertAlign w:val="superscript"/>
              </w:rPr>
              <w:footnoteReference w:id="50"/>
            </w:r>
          </w:p>
        </w:tc>
        <w:tc>
          <w:tcPr>
            <w:tcW w:w="6301" w:type="dxa"/>
            <w:tcBorders>
              <w:top w:val="nil"/>
              <w:left w:val="nil"/>
              <w:bottom w:val="single" w:sz="8" w:space="0" w:color="000000"/>
              <w:right w:val="single" w:sz="8" w:space="0" w:color="000000"/>
            </w:tcBorders>
            <w:tcMar>
              <w:top w:w="100" w:type="dxa"/>
              <w:left w:w="100" w:type="dxa"/>
              <w:bottom w:w="100" w:type="dxa"/>
              <w:right w:w="100" w:type="dxa"/>
            </w:tcMar>
          </w:tcPr>
          <w:p w14:paraId="57609032" w14:textId="77777777" w:rsidR="00C72888" w:rsidRDefault="009B46F2">
            <w:pPr>
              <w:widowControl w:val="0"/>
              <w:rPr>
                <w:sz w:val="20"/>
                <w:szCs w:val="20"/>
              </w:rPr>
            </w:pPr>
            <w:r>
              <w:rPr>
                <w:sz w:val="20"/>
                <w:szCs w:val="20"/>
              </w:rPr>
              <w:t xml:space="preserve">Plan that </w:t>
            </w:r>
            <w:r>
              <w:rPr>
                <w:color w:val="191919"/>
                <w:sz w:val="20"/>
                <w:szCs w:val="20"/>
              </w:rPr>
              <w:t>gives information about sustainability plans</w:t>
            </w:r>
            <w:r>
              <w:rPr>
                <w:sz w:val="20"/>
                <w:szCs w:val="20"/>
              </w:rPr>
              <w:t xml:space="preserve"> for the repository.</w:t>
            </w:r>
          </w:p>
          <w:p w14:paraId="2E88A502" w14:textId="77777777" w:rsidR="00C72888" w:rsidRDefault="009B46F2">
            <w:pPr>
              <w:widowControl w:val="0"/>
              <w:rPr>
                <w:color w:val="191919"/>
                <w:sz w:val="20"/>
                <w:szCs w:val="20"/>
              </w:rPr>
            </w:pPr>
            <w:r>
              <w:rPr>
                <w:sz w:val="20"/>
                <w:szCs w:val="20"/>
              </w:rPr>
              <w:t xml:space="preserve">Does the repository provide information on </w:t>
            </w:r>
            <w:proofErr w:type="spellStart"/>
            <w:proofErr w:type="gramStart"/>
            <w:r>
              <w:rPr>
                <w:sz w:val="20"/>
                <w:szCs w:val="20"/>
              </w:rPr>
              <w:t>it’s</w:t>
            </w:r>
            <w:proofErr w:type="spellEnd"/>
            <w:proofErr w:type="gramEnd"/>
            <w:r>
              <w:rPr>
                <w:sz w:val="20"/>
                <w:szCs w:val="20"/>
              </w:rPr>
              <w:t xml:space="preserve"> sustainability plans?</w:t>
            </w:r>
          </w:p>
        </w:tc>
        <w:tc>
          <w:tcPr>
            <w:tcW w:w="4080" w:type="dxa"/>
            <w:tcBorders>
              <w:top w:val="nil"/>
              <w:left w:val="nil"/>
              <w:bottom w:val="single" w:sz="8" w:space="0" w:color="000000"/>
              <w:right w:val="single" w:sz="8" w:space="0" w:color="000000"/>
            </w:tcBorders>
            <w:tcMar>
              <w:top w:w="100" w:type="dxa"/>
              <w:left w:w="100" w:type="dxa"/>
              <w:bottom w:w="100" w:type="dxa"/>
              <w:right w:w="100" w:type="dxa"/>
            </w:tcMar>
          </w:tcPr>
          <w:p w14:paraId="4B2F0535" w14:textId="77777777" w:rsidR="00C72888" w:rsidRDefault="009B46F2">
            <w:pPr>
              <w:widowControl w:val="0"/>
              <w:rPr>
                <w:rFonts w:ascii="Roboto" w:eastAsia="Roboto" w:hAnsi="Roboto" w:cs="Roboto"/>
                <w:sz w:val="21"/>
                <w:szCs w:val="21"/>
                <w:highlight w:val="white"/>
              </w:rPr>
            </w:pPr>
            <w:r>
              <w:rPr>
                <w:sz w:val="20"/>
                <w:szCs w:val="20"/>
                <w:highlight w:val="white"/>
              </w:rPr>
              <w:t xml:space="preserve">- Presence ‘yes’, or absence ‘no’. </w:t>
            </w:r>
          </w:p>
        </w:tc>
      </w:tr>
      <w:tr w:rsidR="00C72888" w14:paraId="497DB7DC" w14:textId="77777777" w:rsidTr="00CB766A">
        <w:tc>
          <w:tcPr>
            <w:tcW w:w="3464"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2FFC383" w14:textId="77777777" w:rsidR="00C72888" w:rsidRDefault="009B46F2">
            <w:pPr>
              <w:widowControl w:val="0"/>
              <w:rPr>
                <w:b/>
                <w:sz w:val="20"/>
                <w:szCs w:val="20"/>
              </w:rPr>
            </w:pPr>
            <w:r>
              <w:rPr>
                <w:b/>
                <w:sz w:val="20"/>
                <w:szCs w:val="20"/>
              </w:rPr>
              <w:t>User Support</w:t>
            </w:r>
            <w:r>
              <w:rPr>
                <w:b/>
                <w:sz w:val="20"/>
                <w:szCs w:val="20"/>
                <w:vertAlign w:val="superscript"/>
              </w:rPr>
              <w:footnoteReference w:id="51"/>
            </w:r>
          </w:p>
        </w:tc>
        <w:tc>
          <w:tcPr>
            <w:tcW w:w="6301" w:type="dxa"/>
            <w:tcBorders>
              <w:top w:val="nil"/>
              <w:left w:val="nil"/>
              <w:bottom w:val="single" w:sz="8" w:space="0" w:color="000000"/>
              <w:right w:val="single" w:sz="8" w:space="0" w:color="000000"/>
            </w:tcBorders>
            <w:tcMar>
              <w:top w:w="100" w:type="dxa"/>
              <w:left w:w="100" w:type="dxa"/>
              <w:bottom w:w="100" w:type="dxa"/>
              <w:right w:w="100" w:type="dxa"/>
            </w:tcMar>
          </w:tcPr>
          <w:p w14:paraId="28FC37C2" w14:textId="77777777" w:rsidR="00C72888" w:rsidRDefault="009B46F2">
            <w:pPr>
              <w:widowControl w:val="0"/>
              <w:rPr>
                <w:sz w:val="20"/>
                <w:szCs w:val="20"/>
                <w:highlight w:val="white"/>
              </w:rPr>
            </w:pPr>
            <w:r>
              <w:rPr>
                <w:sz w:val="20"/>
                <w:szCs w:val="20"/>
                <w:highlight w:val="white"/>
              </w:rPr>
              <w:t>Support to users during or after submission.</w:t>
            </w:r>
          </w:p>
          <w:p w14:paraId="6EF3C5AC" w14:textId="77777777" w:rsidR="00C72888" w:rsidRDefault="009B46F2">
            <w:pPr>
              <w:widowControl w:val="0"/>
              <w:rPr>
                <w:sz w:val="20"/>
                <w:szCs w:val="20"/>
                <w:highlight w:val="white"/>
              </w:rPr>
            </w:pPr>
            <w:r>
              <w:rPr>
                <w:sz w:val="20"/>
                <w:szCs w:val="20"/>
                <w:highlight w:val="white"/>
              </w:rPr>
              <w:t xml:space="preserve">Does the repository have a contact point (e.g. helpdesk email or contact form) to assist data depositors and data users? </w:t>
            </w:r>
          </w:p>
        </w:tc>
        <w:tc>
          <w:tcPr>
            <w:tcW w:w="4080" w:type="dxa"/>
            <w:tcBorders>
              <w:top w:val="nil"/>
              <w:left w:val="nil"/>
              <w:bottom w:val="single" w:sz="8" w:space="0" w:color="000000"/>
              <w:right w:val="single" w:sz="8" w:space="0" w:color="000000"/>
            </w:tcBorders>
            <w:tcMar>
              <w:top w:w="100" w:type="dxa"/>
              <w:left w:w="100" w:type="dxa"/>
              <w:bottom w:w="100" w:type="dxa"/>
              <w:right w:w="100" w:type="dxa"/>
            </w:tcMar>
          </w:tcPr>
          <w:p w14:paraId="18F3512C" w14:textId="77777777" w:rsidR="00C72888" w:rsidRDefault="009B46F2">
            <w:pPr>
              <w:widowControl w:val="0"/>
              <w:rPr>
                <w:sz w:val="20"/>
                <w:szCs w:val="20"/>
              </w:rPr>
            </w:pPr>
            <w:r>
              <w:rPr>
                <w:sz w:val="20"/>
                <w:szCs w:val="20"/>
                <w:highlight w:val="white"/>
              </w:rPr>
              <w:t xml:space="preserve">- Presence ‘yes’, or absence ‘no’. </w:t>
            </w:r>
          </w:p>
        </w:tc>
      </w:tr>
      <w:tr w:rsidR="00C72888" w14:paraId="06EE3ABD" w14:textId="77777777" w:rsidTr="00CB766A">
        <w:tc>
          <w:tcPr>
            <w:tcW w:w="3464"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7035992" w14:textId="77777777" w:rsidR="00C72888" w:rsidRDefault="009B46F2">
            <w:pPr>
              <w:widowControl w:val="0"/>
              <w:rPr>
                <w:b/>
                <w:sz w:val="20"/>
                <w:szCs w:val="20"/>
              </w:rPr>
            </w:pPr>
            <w:r>
              <w:rPr>
                <w:b/>
                <w:sz w:val="20"/>
                <w:szCs w:val="20"/>
              </w:rPr>
              <w:t>Record Maintainer</w:t>
            </w:r>
            <w:r>
              <w:rPr>
                <w:b/>
                <w:sz w:val="20"/>
                <w:szCs w:val="20"/>
                <w:vertAlign w:val="superscript"/>
              </w:rPr>
              <w:footnoteReference w:id="52"/>
            </w:r>
          </w:p>
        </w:tc>
        <w:tc>
          <w:tcPr>
            <w:tcW w:w="6301" w:type="dxa"/>
            <w:tcBorders>
              <w:left w:val="nil"/>
              <w:bottom w:val="single" w:sz="8" w:space="0" w:color="000000"/>
              <w:right w:val="single" w:sz="8" w:space="0" w:color="000000"/>
            </w:tcBorders>
            <w:tcMar>
              <w:top w:w="100" w:type="dxa"/>
              <w:left w:w="100" w:type="dxa"/>
              <w:bottom w:w="100" w:type="dxa"/>
              <w:right w:w="100" w:type="dxa"/>
            </w:tcMar>
          </w:tcPr>
          <w:p w14:paraId="56903065" w14:textId="77777777" w:rsidR="00C72888" w:rsidRDefault="009B46F2">
            <w:pPr>
              <w:widowControl w:val="0"/>
              <w:rPr>
                <w:sz w:val="20"/>
                <w:szCs w:val="20"/>
              </w:rPr>
            </w:pPr>
            <w:r>
              <w:rPr>
                <w:sz w:val="20"/>
                <w:szCs w:val="20"/>
              </w:rPr>
              <w:t>Contact (person or organization) for the record in a registry that describes t</w:t>
            </w:r>
            <w:r>
              <w:rPr>
                <w:sz w:val="20"/>
                <w:szCs w:val="20"/>
              </w:rPr>
              <w:t>he repository. The participation of the owner or maintainer of the repository helps verify the information in the registry.</w:t>
            </w:r>
          </w:p>
          <w:p w14:paraId="749D845B" w14:textId="77777777" w:rsidR="00C72888" w:rsidRDefault="009B46F2">
            <w:pPr>
              <w:widowControl w:val="0"/>
              <w:rPr>
                <w:sz w:val="20"/>
                <w:szCs w:val="20"/>
              </w:rPr>
            </w:pPr>
            <w:r>
              <w:rPr>
                <w:sz w:val="20"/>
                <w:szCs w:val="20"/>
              </w:rPr>
              <w:t xml:space="preserve">Has the owner or maintainer of the repository claimed the registry record? </w:t>
            </w:r>
          </w:p>
        </w:tc>
        <w:tc>
          <w:tcPr>
            <w:tcW w:w="4080" w:type="dxa"/>
            <w:tcBorders>
              <w:left w:val="nil"/>
              <w:bottom w:val="single" w:sz="8" w:space="0" w:color="000000"/>
              <w:right w:val="single" w:sz="8" w:space="0" w:color="000000"/>
            </w:tcBorders>
            <w:tcMar>
              <w:top w:w="100" w:type="dxa"/>
              <w:left w:w="100" w:type="dxa"/>
              <w:bottom w:w="100" w:type="dxa"/>
              <w:right w:w="100" w:type="dxa"/>
            </w:tcMar>
          </w:tcPr>
          <w:p w14:paraId="59EB85F4" w14:textId="77777777" w:rsidR="00C72888" w:rsidRDefault="009B46F2">
            <w:pPr>
              <w:widowControl w:val="0"/>
              <w:rPr>
                <w:sz w:val="20"/>
                <w:szCs w:val="20"/>
                <w:highlight w:val="white"/>
              </w:rPr>
            </w:pPr>
            <w:r>
              <w:rPr>
                <w:sz w:val="20"/>
                <w:szCs w:val="20"/>
                <w:highlight w:val="white"/>
              </w:rPr>
              <w:t xml:space="preserve">- Presence ‘yes’, or absence ‘no’. </w:t>
            </w:r>
          </w:p>
          <w:p w14:paraId="3B7EB4E3" w14:textId="77777777" w:rsidR="00C72888" w:rsidRDefault="009B46F2">
            <w:pPr>
              <w:widowControl w:val="0"/>
              <w:rPr>
                <w:sz w:val="20"/>
                <w:szCs w:val="20"/>
                <w:highlight w:val="white"/>
              </w:rPr>
            </w:pPr>
            <w:r>
              <w:rPr>
                <w:sz w:val="20"/>
                <w:szCs w:val="20"/>
                <w:highlight w:val="white"/>
              </w:rPr>
              <w:t>- Contact details (incl. ORCID).</w:t>
            </w:r>
          </w:p>
        </w:tc>
      </w:tr>
      <w:tr w:rsidR="00C72888" w14:paraId="2A446B29" w14:textId="77777777">
        <w:trPr>
          <w:trHeight w:val="400"/>
        </w:trPr>
        <w:tc>
          <w:tcPr>
            <w:tcW w:w="13845" w:type="dxa"/>
            <w:gridSpan w:val="3"/>
            <w:tcBorders>
              <w:top w:val="nil"/>
              <w:left w:val="single" w:sz="8" w:space="0" w:color="000000"/>
              <w:bottom w:val="single" w:sz="8" w:space="0" w:color="000000"/>
              <w:right w:val="single" w:sz="8" w:space="0" w:color="000000"/>
            </w:tcBorders>
            <w:shd w:val="clear" w:color="auto" w:fill="93C47D"/>
            <w:tcMar>
              <w:top w:w="100" w:type="dxa"/>
              <w:left w:w="100" w:type="dxa"/>
              <w:bottom w:w="100" w:type="dxa"/>
              <w:right w:w="100" w:type="dxa"/>
            </w:tcMar>
          </w:tcPr>
          <w:p w14:paraId="7C502911" w14:textId="77777777" w:rsidR="00C72888" w:rsidRDefault="009B46F2">
            <w:pPr>
              <w:widowControl w:val="0"/>
              <w:rPr>
                <w:b/>
                <w:sz w:val="20"/>
                <w:szCs w:val="20"/>
              </w:rPr>
            </w:pPr>
            <w:r>
              <w:rPr>
                <w:b/>
                <w:sz w:val="20"/>
                <w:szCs w:val="20"/>
              </w:rPr>
              <w:t>Dataset-level</w:t>
            </w:r>
          </w:p>
        </w:tc>
      </w:tr>
      <w:tr w:rsidR="00C72888" w14:paraId="344B9DF9" w14:textId="77777777" w:rsidTr="00CB766A">
        <w:tc>
          <w:tcPr>
            <w:tcW w:w="3464"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DCFD2A6" w14:textId="77777777" w:rsidR="00C72888" w:rsidRDefault="009B46F2">
            <w:pPr>
              <w:widowControl w:val="0"/>
              <w:rPr>
                <w:b/>
                <w:sz w:val="20"/>
                <w:szCs w:val="20"/>
              </w:rPr>
            </w:pPr>
            <w:r>
              <w:rPr>
                <w:b/>
                <w:sz w:val="20"/>
                <w:szCs w:val="20"/>
              </w:rPr>
              <w:t>Citation to related publications</w:t>
            </w:r>
          </w:p>
        </w:tc>
        <w:tc>
          <w:tcPr>
            <w:tcW w:w="6301" w:type="dxa"/>
            <w:tcBorders>
              <w:top w:val="nil"/>
              <w:left w:val="nil"/>
              <w:bottom w:val="single" w:sz="8" w:space="0" w:color="000000"/>
              <w:right w:val="single" w:sz="8" w:space="0" w:color="000000"/>
            </w:tcBorders>
            <w:tcMar>
              <w:top w:w="100" w:type="dxa"/>
              <w:left w:w="100" w:type="dxa"/>
              <w:bottom w:w="100" w:type="dxa"/>
              <w:right w:w="100" w:type="dxa"/>
            </w:tcMar>
          </w:tcPr>
          <w:p w14:paraId="48D0DA1C" w14:textId="77777777" w:rsidR="00C72888" w:rsidRDefault="009B46F2">
            <w:pPr>
              <w:widowControl w:val="0"/>
              <w:rPr>
                <w:sz w:val="20"/>
                <w:szCs w:val="20"/>
              </w:rPr>
            </w:pPr>
            <w:r>
              <w:rPr>
                <w:sz w:val="20"/>
                <w:szCs w:val="20"/>
                <w:highlight w:val="white"/>
              </w:rPr>
              <w:t xml:space="preserve">A mechanism to </w:t>
            </w:r>
            <w:r>
              <w:rPr>
                <w:sz w:val="20"/>
                <w:szCs w:val="20"/>
              </w:rPr>
              <w:t>link datasets to related articles or pre-prints.</w:t>
            </w:r>
          </w:p>
          <w:p w14:paraId="0F4C39AB" w14:textId="77777777" w:rsidR="00C72888" w:rsidRDefault="009B46F2">
            <w:pPr>
              <w:widowControl w:val="0"/>
              <w:rPr>
                <w:sz w:val="20"/>
                <w:szCs w:val="20"/>
                <w:highlight w:val="white"/>
              </w:rPr>
            </w:pPr>
            <w:r>
              <w:rPr>
                <w:sz w:val="20"/>
                <w:szCs w:val="20"/>
                <w:highlight w:val="white"/>
              </w:rPr>
              <w:t xml:space="preserve">Does the repository enable data to article linking?  At what stage of data deposition is article information required? </w:t>
            </w:r>
          </w:p>
        </w:tc>
        <w:tc>
          <w:tcPr>
            <w:tcW w:w="4080" w:type="dxa"/>
            <w:tcBorders>
              <w:top w:val="nil"/>
              <w:left w:val="nil"/>
              <w:bottom w:val="single" w:sz="8" w:space="0" w:color="000000"/>
              <w:right w:val="single" w:sz="8" w:space="0" w:color="000000"/>
            </w:tcBorders>
            <w:tcMar>
              <w:top w:w="100" w:type="dxa"/>
              <w:left w:w="100" w:type="dxa"/>
              <w:bottom w:w="100" w:type="dxa"/>
              <w:right w:w="100" w:type="dxa"/>
            </w:tcMar>
          </w:tcPr>
          <w:p w14:paraId="7A4D1242" w14:textId="77777777" w:rsidR="00C72888" w:rsidRDefault="009B46F2">
            <w:pPr>
              <w:widowControl w:val="0"/>
              <w:rPr>
                <w:sz w:val="20"/>
                <w:szCs w:val="20"/>
                <w:highlight w:val="white"/>
              </w:rPr>
            </w:pPr>
            <w:r>
              <w:rPr>
                <w:sz w:val="20"/>
                <w:szCs w:val="20"/>
                <w:highlight w:val="white"/>
              </w:rPr>
              <w:t xml:space="preserve">- Presence ‘yes’, or absence ‘no’. </w:t>
            </w:r>
          </w:p>
          <w:p w14:paraId="79C27691" w14:textId="77777777" w:rsidR="00C72888" w:rsidRDefault="009B46F2">
            <w:pPr>
              <w:widowControl w:val="0"/>
              <w:rPr>
                <w:sz w:val="20"/>
                <w:szCs w:val="20"/>
                <w:highlight w:val="white"/>
              </w:rPr>
            </w:pPr>
            <w:r>
              <w:rPr>
                <w:sz w:val="20"/>
                <w:szCs w:val="20"/>
                <w:highlight w:val="white"/>
              </w:rPr>
              <w:t>- Type of mechanism.</w:t>
            </w:r>
          </w:p>
        </w:tc>
      </w:tr>
      <w:tr w:rsidR="00C72888" w14:paraId="17593630" w14:textId="77777777" w:rsidTr="00CB766A">
        <w:tc>
          <w:tcPr>
            <w:tcW w:w="3464"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3F838B1" w14:textId="77777777" w:rsidR="00C72888" w:rsidRDefault="009B46F2">
            <w:pPr>
              <w:widowControl w:val="0"/>
              <w:rPr>
                <w:b/>
                <w:sz w:val="20"/>
                <w:szCs w:val="20"/>
              </w:rPr>
            </w:pPr>
            <w:r>
              <w:rPr>
                <w:b/>
                <w:sz w:val="20"/>
                <w:szCs w:val="20"/>
              </w:rPr>
              <w:lastRenderedPageBreak/>
              <w:t xml:space="preserve">Data Contact Information </w:t>
            </w:r>
          </w:p>
        </w:tc>
        <w:tc>
          <w:tcPr>
            <w:tcW w:w="6301" w:type="dxa"/>
            <w:tcBorders>
              <w:top w:val="nil"/>
              <w:left w:val="nil"/>
              <w:bottom w:val="single" w:sz="8" w:space="0" w:color="000000"/>
              <w:right w:val="single" w:sz="8" w:space="0" w:color="000000"/>
            </w:tcBorders>
            <w:tcMar>
              <w:top w:w="100" w:type="dxa"/>
              <w:left w:w="100" w:type="dxa"/>
              <w:bottom w:w="100" w:type="dxa"/>
              <w:right w:w="100" w:type="dxa"/>
            </w:tcMar>
          </w:tcPr>
          <w:p w14:paraId="74A3B2F8" w14:textId="77777777" w:rsidR="00C72888" w:rsidRDefault="009B46F2">
            <w:pPr>
              <w:widowControl w:val="0"/>
              <w:rPr>
                <w:sz w:val="20"/>
                <w:szCs w:val="20"/>
              </w:rPr>
            </w:pPr>
            <w:r>
              <w:rPr>
                <w:sz w:val="20"/>
                <w:szCs w:val="20"/>
              </w:rPr>
              <w:t xml:space="preserve">Contact info (for the person, depositor, </w:t>
            </w:r>
            <w:proofErr w:type="gramStart"/>
            <w:r>
              <w:rPr>
                <w:sz w:val="20"/>
                <w:szCs w:val="20"/>
              </w:rPr>
              <w:t>producer</w:t>
            </w:r>
            <w:proofErr w:type="gramEnd"/>
            <w:r>
              <w:rPr>
                <w:sz w:val="20"/>
                <w:szCs w:val="20"/>
              </w:rPr>
              <w:t xml:space="preserve"> or owner, ideally with ORCID; or organization) of the data.</w:t>
            </w:r>
          </w:p>
          <w:p w14:paraId="4715B7AC" w14:textId="77777777" w:rsidR="00C72888" w:rsidRDefault="009B46F2">
            <w:pPr>
              <w:widowControl w:val="0"/>
              <w:rPr>
                <w:sz w:val="20"/>
                <w:szCs w:val="20"/>
              </w:rPr>
            </w:pPr>
            <w:r>
              <w:rPr>
                <w:sz w:val="20"/>
                <w:szCs w:val="20"/>
              </w:rPr>
              <w:t>Does the repository show data depositor contact information on dataset landing pages?</w:t>
            </w:r>
          </w:p>
        </w:tc>
        <w:tc>
          <w:tcPr>
            <w:tcW w:w="4080" w:type="dxa"/>
            <w:tcBorders>
              <w:top w:val="nil"/>
              <w:left w:val="nil"/>
              <w:bottom w:val="single" w:sz="8" w:space="0" w:color="000000"/>
              <w:right w:val="single" w:sz="8" w:space="0" w:color="000000"/>
            </w:tcBorders>
            <w:tcMar>
              <w:top w:w="100" w:type="dxa"/>
              <w:left w:w="100" w:type="dxa"/>
              <w:bottom w:w="100" w:type="dxa"/>
              <w:right w:w="100" w:type="dxa"/>
            </w:tcMar>
          </w:tcPr>
          <w:p w14:paraId="27342AC3" w14:textId="77777777" w:rsidR="00C72888" w:rsidRDefault="009B46F2">
            <w:pPr>
              <w:widowControl w:val="0"/>
              <w:rPr>
                <w:sz w:val="20"/>
                <w:szCs w:val="20"/>
                <w:highlight w:val="white"/>
              </w:rPr>
            </w:pPr>
            <w:r>
              <w:rPr>
                <w:sz w:val="20"/>
                <w:szCs w:val="20"/>
                <w:highlight w:val="white"/>
              </w:rPr>
              <w:t xml:space="preserve">- Presence ‘yes’, or absence ‘no’. </w:t>
            </w:r>
          </w:p>
        </w:tc>
      </w:tr>
      <w:tr w:rsidR="00C72888" w14:paraId="3479E5FA" w14:textId="77777777" w:rsidTr="00CB766A">
        <w:tc>
          <w:tcPr>
            <w:tcW w:w="3464"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4807D84" w14:textId="77777777" w:rsidR="00C72888" w:rsidRDefault="009B46F2">
            <w:pPr>
              <w:widowControl w:val="0"/>
              <w:rPr>
                <w:b/>
                <w:sz w:val="20"/>
                <w:szCs w:val="20"/>
              </w:rPr>
            </w:pPr>
            <w:r>
              <w:rPr>
                <w:b/>
                <w:sz w:val="20"/>
                <w:szCs w:val="20"/>
              </w:rPr>
              <w:t>Data Deposition Conditi</w:t>
            </w:r>
            <w:r>
              <w:rPr>
                <w:b/>
                <w:sz w:val="20"/>
                <w:szCs w:val="20"/>
              </w:rPr>
              <w:t>on</w:t>
            </w:r>
          </w:p>
        </w:tc>
        <w:tc>
          <w:tcPr>
            <w:tcW w:w="6301" w:type="dxa"/>
            <w:tcBorders>
              <w:top w:val="nil"/>
              <w:left w:val="nil"/>
              <w:bottom w:val="single" w:sz="8" w:space="0" w:color="000000"/>
              <w:right w:val="single" w:sz="8" w:space="0" w:color="000000"/>
            </w:tcBorders>
            <w:tcMar>
              <w:top w:w="100" w:type="dxa"/>
              <w:left w:w="100" w:type="dxa"/>
              <w:bottom w:w="100" w:type="dxa"/>
              <w:right w:w="100" w:type="dxa"/>
            </w:tcMar>
          </w:tcPr>
          <w:p w14:paraId="605C25FD" w14:textId="77777777" w:rsidR="00C72888" w:rsidRDefault="009B46F2">
            <w:pPr>
              <w:widowControl w:val="0"/>
              <w:rPr>
                <w:sz w:val="20"/>
                <w:szCs w:val="20"/>
              </w:rPr>
            </w:pPr>
            <w:r>
              <w:rPr>
                <w:sz w:val="20"/>
                <w:szCs w:val="20"/>
              </w:rPr>
              <w:t>Deposition of data.</w:t>
            </w:r>
          </w:p>
          <w:p w14:paraId="4A2A5079" w14:textId="77777777" w:rsidR="00C72888" w:rsidRDefault="009B46F2">
            <w:pPr>
              <w:widowControl w:val="0"/>
              <w:rPr>
                <w:sz w:val="20"/>
                <w:szCs w:val="20"/>
              </w:rPr>
            </w:pPr>
            <w:r>
              <w:rPr>
                <w:sz w:val="20"/>
                <w:szCs w:val="20"/>
              </w:rPr>
              <w:t>Who can deposit data into the repository?</w:t>
            </w:r>
          </w:p>
        </w:tc>
        <w:tc>
          <w:tcPr>
            <w:tcW w:w="4080" w:type="dxa"/>
            <w:tcBorders>
              <w:top w:val="nil"/>
              <w:left w:val="nil"/>
              <w:bottom w:val="single" w:sz="8" w:space="0" w:color="000000"/>
              <w:right w:val="single" w:sz="8" w:space="0" w:color="000000"/>
            </w:tcBorders>
            <w:tcMar>
              <w:top w:w="100" w:type="dxa"/>
              <w:left w:w="100" w:type="dxa"/>
              <w:bottom w:w="100" w:type="dxa"/>
              <w:right w:w="100" w:type="dxa"/>
            </w:tcMar>
          </w:tcPr>
          <w:p w14:paraId="545E0B92" w14:textId="77777777" w:rsidR="00C72888" w:rsidRDefault="009B46F2">
            <w:pPr>
              <w:widowControl w:val="0"/>
              <w:rPr>
                <w:sz w:val="20"/>
                <w:szCs w:val="20"/>
              </w:rPr>
            </w:pPr>
            <w:r>
              <w:rPr>
                <w:sz w:val="20"/>
                <w:szCs w:val="20"/>
                <w:highlight w:val="white"/>
              </w:rPr>
              <w:t xml:space="preserve">- Presence ‘yes’, or absence ‘no’. </w:t>
            </w:r>
          </w:p>
          <w:p w14:paraId="36EEC32C" w14:textId="77777777" w:rsidR="00C72888" w:rsidRDefault="009B46F2">
            <w:pPr>
              <w:widowControl w:val="0"/>
              <w:rPr>
                <w:sz w:val="20"/>
                <w:szCs w:val="20"/>
              </w:rPr>
            </w:pPr>
            <w:r>
              <w:rPr>
                <w:sz w:val="20"/>
                <w:szCs w:val="20"/>
              </w:rPr>
              <w:t>- Type of condition.</w:t>
            </w:r>
          </w:p>
          <w:p w14:paraId="00C22E61" w14:textId="77777777" w:rsidR="00C72888" w:rsidRDefault="009B46F2">
            <w:pPr>
              <w:widowControl w:val="0"/>
              <w:rPr>
                <w:sz w:val="20"/>
                <w:szCs w:val="20"/>
              </w:rPr>
            </w:pPr>
            <w:r>
              <w:rPr>
                <w:sz w:val="20"/>
                <w:szCs w:val="20"/>
              </w:rPr>
              <w:t>- URL to the condition information.</w:t>
            </w:r>
          </w:p>
        </w:tc>
      </w:tr>
      <w:tr w:rsidR="00C72888" w14:paraId="4F0C5940" w14:textId="77777777" w:rsidTr="00CB766A">
        <w:tc>
          <w:tcPr>
            <w:tcW w:w="3464"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3787E24" w14:textId="77777777" w:rsidR="00C72888" w:rsidRDefault="009B46F2">
            <w:pPr>
              <w:widowControl w:val="0"/>
              <w:rPr>
                <w:b/>
                <w:sz w:val="20"/>
                <w:szCs w:val="20"/>
              </w:rPr>
            </w:pPr>
            <w:r>
              <w:rPr>
                <w:b/>
                <w:sz w:val="20"/>
                <w:szCs w:val="20"/>
              </w:rPr>
              <w:t>Data Preservation Policy</w:t>
            </w:r>
            <w:r>
              <w:rPr>
                <w:b/>
                <w:sz w:val="20"/>
                <w:szCs w:val="20"/>
                <w:vertAlign w:val="superscript"/>
              </w:rPr>
              <w:footnoteReference w:id="53"/>
            </w:r>
            <w:r>
              <w:rPr>
                <w:b/>
                <w:sz w:val="20"/>
                <w:szCs w:val="20"/>
                <w:vertAlign w:val="superscript"/>
              </w:rPr>
              <w:t>,</w:t>
            </w:r>
            <w:r>
              <w:rPr>
                <w:b/>
                <w:sz w:val="20"/>
                <w:szCs w:val="20"/>
                <w:vertAlign w:val="superscript"/>
              </w:rPr>
              <w:footnoteReference w:id="54"/>
            </w:r>
            <w:r>
              <w:rPr>
                <w:b/>
                <w:sz w:val="20"/>
                <w:szCs w:val="20"/>
              </w:rPr>
              <w:t>,</w:t>
            </w:r>
            <w:r>
              <w:rPr>
                <w:b/>
                <w:sz w:val="20"/>
                <w:szCs w:val="20"/>
                <w:vertAlign w:val="superscript"/>
              </w:rPr>
              <w:footnoteReference w:id="55"/>
            </w:r>
          </w:p>
        </w:tc>
        <w:tc>
          <w:tcPr>
            <w:tcW w:w="6301" w:type="dxa"/>
            <w:tcBorders>
              <w:top w:val="nil"/>
              <w:left w:val="nil"/>
              <w:bottom w:val="single" w:sz="8" w:space="0" w:color="000000"/>
              <w:right w:val="single" w:sz="8" w:space="0" w:color="000000"/>
            </w:tcBorders>
            <w:tcMar>
              <w:top w:w="100" w:type="dxa"/>
              <w:left w:w="100" w:type="dxa"/>
              <w:bottom w:w="100" w:type="dxa"/>
              <w:right w:w="100" w:type="dxa"/>
            </w:tcMar>
          </w:tcPr>
          <w:p w14:paraId="008BF3A6" w14:textId="77777777" w:rsidR="00C72888" w:rsidRDefault="009B46F2">
            <w:pPr>
              <w:widowControl w:val="0"/>
              <w:rPr>
                <w:sz w:val="20"/>
                <w:szCs w:val="20"/>
              </w:rPr>
            </w:pPr>
            <w:r>
              <w:rPr>
                <w:sz w:val="20"/>
                <w:szCs w:val="20"/>
              </w:rPr>
              <w:t>Policy that details how the preservation of the data is ensured.</w:t>
            </w:r>
          </w:p>
          <w:p w14:paraId="140EEAE5" w14:textId="77777777" w:rsidR="00C72888" w:rsidRDefault="009B46F2">
            <w:pPr>
              <w:widowControl w:val="0"/>
              <w:rPr>
                <w:sz w:val="20"/>
                <w:szCs w:val="20"/>
              </w:rPr>
            </w:pPr>
            <w:r>
              <w:rPr>
                <w:sz w:val="20"/>
                <w:szCs w:val="20"/>
              </w:rPr>
              <w:t>Does the repository provide information on its data preservation policies?</w:t>
            </w:r>
          </w:p>
        </w:tc>
        <w:tc>
          <w:tcPr>
            <w:tcW w:w="4080" w:type="dxa"/>
            <w:tcBorders>
              <w:top w:val="nil"/>
              <w:left w:val="nil"/>
              <w:bottom w:val="single" w:sz="8" w:space="0" w:color="000000"/>
              <w:right w:val="single" w:sz="8" w:space="0" w:color="000000"/>
            </w:tcBorders>
            <w:tcMar>
              <w:top w:w="100" w:type="dxa"/>
              <w:left w:w="100" w:type="dxa"/>
              <w:bottom w:w="100" w:type="dxa"/>
              <w:right w:w="100" w:type="dxa"/>
            </w:tcMar>
          </w:tcPr>
          <w:p w14:paraId="1B560087" w14:textId="77777777" w:rsidR="00C72888" w:rsidRDefault="009B46F2">
            <w:pPr>
              <w:widowControl w:val="0"/>
              <w:rPr>
                <w:sz w:val="20"/>
                <w:szCs w:val="20"/>
              </w:rPr>
            </w:pPr>
            <w:r>
              <w:rPr>
                <w:sz w:val="20"/>
                <w:szCs w:val="20"/>
                <w:highlight w:val="white"/>
              </w:rPr>
              <w:t xml:space="preserve">- Presence ‘yes’, or absence ‘no’. </w:t>
            </w:r>
          </w:p>
          <w:p w14:paraId="4D5EF5E6" w14:textId="77777777" w:rsidR="00C72888" w:rsidRDefault="009B46F2">
            <w:pPr>
              <w:widowControl w:val="0"/>
              <w:rPr>
                <w:sz w:val="20"/>
                <w:szCs w:val="20"/>
              </w:rPr>
            </w:pPr>
            <w:r>
              <w:rPr>
                <w:sz w:val="20"/>
                <w:szCs w:val="20"/>
              </w:rPr>
              <w:t>- URL to the policy.</w:t>
            </w:r>
          </w:p>
        </w:tc>
      </w:tr>
      <w:tr w:rsidR="00C72888" w14:paraId="5484C93B" w14:textId="77777777" w:rsidTr="00CB766A">
        <w:tc>
          <w:tcPr>
            <w:tcW w:w="3464"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7C8C292" w14:textId="77777777" w:rsidR="00C72888" w:rsidRDefault="009B46F2">
            <w:pPr>
              <w:widowControl w:val="0"/>
              <w:rPr>
                <w:b/>
                <w:sz w:val="20"/>
                <w:szCs w:val="20"/>
              </w:rPr>
            </w:pPr>
            <w:r>
              <w:rPr>
                <w:b/>
                <w:sz w:val="20"/>
                <w:szCs w:val="20"/>
              </w:rPr>
              <w:t>Data Reuse Condition</w:t>
            </w:r>
            <w:r>
              <w:rPr>
                <w:b/>
                <w:sz w:val="20"/>
                <w:szCs w:val="20"/>
                <w:vertAlign w:val="superscript"/>
              </w:rPr>
              <w:footnoteReference w:id="56"/>
            </w:r>
            <w:r>
              <w:rPr>
                <w:b/>
                <w:sz w:val="20"/>
                <w:szCs w:val="20"/>
                <w:vertAlign w:val="superscript"/>
              </w:rPr>
              <w:t>,</w:t>
            </w:r>
            <w:r>
              <w:rPr>
                <w:b/>
                <w:sz w:val="20"/>
                <w:szCs w:val="20"/>
                <w:vertAlign w:val="superscript"/>
              </w:rPr>
              <w:footnoteReference w:id="57"/>
            </w:r>
          </w:p>
        </w:tc>
        <w:tc>
          <w:tcPr>
            <w:tcW w:w="6301" w:type="dxa"/>
            <w:tcBorders>
              <w:top w:val="nil"/>
              <w:left w:val="nil"/>
              <w:bottom w:val="single" w:sz="8" w:space="0" w:color="000000"/>
              <w:right w:val="single" w:sz="8" w:space="0" w:color="000000"/>
            </w:tcBorders>
            <w:tcMar>
              <w:top w:w="100" w:type="dxa"/>
              <w:left w:w="100" w:type="dxa"/>
              <w:bottom w:w="100" w:type="dxa"/>
              <w:right w:w="100" w:type="dxa"/>
            </w:tcMar>
          </w:tcPr>
          <w:p w14:paraId="5BDD181B" w14:textId="77777777" w:rsidR="00C72888" w:rsidRDefault="009B46F2">
            <w:pPr>
              <w:widowControl w:val="0"/>
              <w:rPr>
                <w:sz w:val="20"/>
                <w:szCs w:val="20"/>
              </w:rPr>
            </w:pPr>
            <w:proofErr w:type="spellStart"/>
            <w:r>
              <w:rPr>
                <w:sz w:val="20"/>
                <w:szCs w:val="20"/>
              </w:rPr>
              <w:t>Licence</w:t>
            </w:r>
            <w:proofErr w:type="spellEnd"/>
            <w:r>
              <w:rPr>
                <w:sz w:val="20"/>
                <w:szCs w:val="20"/>
              </w:rPr>
              <w:t xml:space="preserve"> or terms of use for reuse of existing data in the repository; these can be the same for eve</w:t>
            </w:r>
            <w:r>
              <w:rPr>
                <w:sz w:val="20"/>
                <w:szCs w:val="20"/>
              </w:rPr>
              <w:t>ry dataset in the repository, or vary from dataset to dataset.</w:t>
            </w:r>
          </w:p>
          <w:p w14:paraId="4BF29F12" w14:textId="77777777" w:rsidR="00C72888" w:rsidRDefault="009B46F2">
            <w:pPr>
              <w:widowControl w:val="0"/>
              <w:rPr>
                <w:sz w:val="20"/>
                <w:szCs w:val="20"/>
              </w:rPr>
            </w:pPr>
            <w:r>
              <w:rPr>
                <w:sz w:val="20"/>
                <w:szCs w:val="20"/>
              </w:rPr>
              <w:t xml:space="preserve">What are the range of data </w:t>
            </w:r>
            <w:proofErr w:type="gramStart"/>
            <w:r>
              <w:rPr>
                <w:sz w:val="20"/>
                <w:szCs w:val="20"/>
              </w:rPr>
              <w:t>reuse  conditions</w:t>
            </w:r>
            <w:proofErr w:type="gramEnd"/>
            <w:r>
              <w:rPr>
                <w:sz w:val="20"/>
                <w:szCs w:val="20"/>
              </w:rPr>
              <w:t xml:space="preserve"> which may be applied to the data holdings?</w:t>
            </w:r>
          </w:p>
        </w:tc>
        <w:tc>
          <w:tcPr>
            <w:tcW w:w="4080" w:type="dxa"/>
            <w:tcBorders>
              <w:top w:val="nil"/>
              <w:left w:val="nil"/>
              <w:bottom w:val="single" w:sz="8" w:space="0" w:color="000000"/>
              <w:right w:val="single" w:sz="8" w:space="0" w:color="000000"/>
            </w:tcBorders>
            <w:tcMar>
              <w:top w:w="100" w:type="dxa"/>
              <w:left w:w="100" w:type="dxa"/>
              <w:bottom w:w="100" w:type="dxa"/>
              <w:right w:w="100" w:type="dxa"/>
            </w:tcMar>
          </w:tcPr>
          <w:p w14:paraId="35CD5885" w14:textId="77777777" w:rsidR="00C72888" w:rsidRDefault="009B46F2">
            <w:pPr>
              <w:widowControl w:val="0"/>
              <w:rPr>
                <w:sz w:val="20"/>
                <w:szCs w:val="20"/>
              </w:rPr>
            </w:pPr>
            <w:r>
              <w:rPr>
                <w:sz w:val="20"/>
                <w:szCs w:val="20"/>
                <w:highlight w:val="white"/>
              </w:rPr>
              <w:t xml:space="preserve">- Presence ‘yes’, or absence ‘no’. </w:t>
            </w:r>
          </w:p>
          <w:p w14:paraId="21C9BE22" w14:textId="77777777" w:rsidR="00C72888" w:rsidRDefault="009B46F2">
            <w:pPr>
              <w:widowControl w:val="0"/>
              <w:rPr>
                <w:sz w:val="20"/>
                <w:szCs w:val="20"/>
              </w:rPr>
            </w:pPr>
            <w:r>
              <w:rPr>
                <w:sz w:val="20"/>
                <w:szCs w:val="20"/>
              </w:rPr>
              <w:t>- Type of condition.</w:t>
            </w:r>
          </w:p>
          <w:p w14:paraId="538FF3B2" w14:textId="77777777" w:rsidR="00C72888" w:rsidRDefault="009B46F2">
            <w:pPr>
              <w:widowControl w:val="0"/>
              <w:rPr>
                <w:sz w:val="20"/>
                <w:szCs w:val="20"/>
              </w:rPr>
            </w:pPr>
            <w:r>
              <w:rPr>
                <w:sz w:val="20"/>
                <w:szCs w:val="20"/>
              </w:rPr>
              <w:t>- URL to the condition information.</w:t>
            </w:r>
          </w:p>
        </w:tc>
      </w:tr>
      <w:tr w:rsidR="00C72888" w14:paraId="73220BE9" w14:textId="77777777" w:rsidTr="00CB766A">
        <w:tc>
          <w:tcPr>
            <w:tcW w:w="3464"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528C6E9" w14:textId="77777777" w:rsidR="00C72888" w:rsidRDefault="009B46F2">
            <w:pPr>
              <w:widowControl w:val="0"/>
              <w:rPr>
                <w:b/>
                <w:sz w:val="20"/>
                <w:szCs w:val="20"/>
              </w:rPr>
            </w:pPr>
            <w:r>
              <w:rPr>
                <w:b/>
                <w:sz w:val="20"/>
                <w:szCs w:val="20"/>
              </w:rPr>
              <w:t>Data Versioning</w:t>
            </w:r>
            <w:r>
              <w:rPr>
                <w:b/>
                <w:sz w:val="20"/>
                <w:szCs w:val="20"/>
                <w:vertAlign w:val="superscript"/>
              </w:rPr>
              <w:footnoteReference w:id="58"/>
            </w:r>
          </w:p>
        </w:tc>
        <w:tc>
          <w:tcPr>
            <w:tcW w:w="6301" w:type="dxa"/>
            <w:tcBorders>
              <w:left w:val="nil"/>
              <w:bottom w:val="single" w:sz="8" w:space="0" w:color="000000"/>
              <w:right w:val="single" w:sz="8" w:space="0" w:color="000000"/>
            </w:tcBorders>
            <w:tcMar>
              <w:top w:w="100" w:type="dxa"/>
              <w:left w:w="100" w:type="dxa"/>
              <w:bottom w:w="100" w:type="dxa"/>
              <w:right w:w="100" w:type="dxa"/>
            </w:tcMar>
          </w:tcPr>
          <w:p w14:paraId="08639065" w14:textId="77777777" w:rsidR="00C72888" w:rsidRDefault="009B46F2">
            <w:pPr>
              <w:widowControl w:val="0"/>
              <w:rPr>
                <w:sz w:val="20"/>
                <w:szCs w:val="20"/>
              </w:rPr>
            </w:pPr>
            <w:r>
              <w:rPr>
                <w:sz w:val="20"/>
                <w:szCs w:val="20"/>
                <w:highlight w:val="white"/>
              </w:rPr>
              <w:t>Mechanism</w:t>
            </w:r>
            <w:r>
              <w:rPr>
                <w:sz w:val="20"/>
                <w:szCs w:val="20"/>
              </w:rPr>
              <w:t xml:space="preserve"> and process to make and track edits to a dataset after deposition.</w:t>
            </w:r>
          </w:p>
          <w:p w14:paraId="6EA72B8F" w14:textId="77777777" w:rsidR="00C72888" w:rsidRDefault="009B46F2">
            <w:pPr>
              <w:widowControl w:val="0"/>
              <w:rPr>
                <w:sz w:val="20"/>
                <w:szCs w:val="20"/>
              </w:rPr>
            </w:pPr>
            <w:r>
              <w:rPr>
                <w:sz w:val="20"/>
                <w:szCs w:val="20"/>
              </w:rPr>
              <w:t>Does the repository enable modifications to published data (e.g., to correct it or append additional information)? Is there a process to distinguish, link and acc</w:t>
            </w:r>
            <w:r>
              <w:rPr>
                <w:sz w:val="20"/>
                <w:szCs w:val="20"/>
              </w:rPr>
              <w:t>ess all public versions of the data?</w:t>
            </w:r>
          </w:p>
        </w:tc>
        <w:tc>
          <w:tcPr>
            <w:tcW w:w="4080" w:type="dxa"/>
            <w:tcBorders>
              <w:left w:val="nil"/>
              <w:bottom w:val="single" w:sz="8" w:space="0" w:color="000000"/>
              <w:right w:val="single" w:sz="8" w:space="0" w:color="000000"/>
            </w:tcBorders>
            <w:tcMar>
              <w:top w:w="100" w:type="dxa"/>
              <w:left w:w="100" w:type="dxa"/>
              <w:bottom w:w="100" w:type="dxa"/>
              <w:right w:w="100" w:type="dxa"/>
            </w:tcMar>
          </w:tcPr>
          <w:p w14:paraId="1E3F07FC" w14:textId="77777777" w:rsidR="00C72888" w:rsidRDefault="009B46F2">
            <w:pPr>
              <w:widowControl w:val="0"/>
              <w:rPr>
                <w:sz w:val="20"/>
                <w:szCs w:val="20"/>
              </w:rPr>
            </w:pPr>
            <w:r>
              <w:rPr>
                <w:sz w:val="20"/>
                <w:szCs w:val="20"/>
                <w:highlight w:val="white"/>
              </w:rPr>
              <w:t xml:space="preserve">- Presence ‘yes’, or absence ‘no’. </w:t>
            </w:r>
          </w:p>
        </w:tc>
      </w:tr>
    </w:tbl>
    <w:p w14:paraId="7C2FE0C7" w14:textId="77777777" w:rsidR="00C72888" w:rsidRDefault="009B46F2">
      <w:pPr>
        <w:pStyle w:val="Heading2"/>
        <w:keepNext w:val="0"/>
        <w:keepLines w:val="0"/>
        <w:spacing w:after="80"/>
        <w:rPr>
          <w:b/>
          <w:sz w:val="34"/>
          <w:szCs w:val="34"/>
        </w:rPr>
      </w:pPr>
      <w:bookmarkStart w:id="5" w:name="_2hcr6gdokob3" w:colFirst="0" w:colLast="0"/>
      <w:bookmarkEnd w:id="5"/>
      <w:r>
        <w:rPr>
          <w:b/>
          <w:sz w:val="34"/>
          <w:szCs w:val="34"/>
        </w:rPr>
        <w:lastRenderedPageBreak/>
        <w:t>C</w:t>
      </w:r>
      <w:r>
        <w:rPr>
          <w:b/>
          <w:sz w:val="34"/>
          <w:szCs w:val="34"/>
        </w:rPr>
        <w:t>hallenges and Future Work</w:t>
      </w:r>
    </w:p>
    <w:p w14:paraId="53CF2B4D" w14:textId="77777777" w:rsidR="00C72888" w:rsidRDefault="009B46F2">
      <w:pPr>
        <w:spacing w:before="240" w:after="240"/>
      </w:pPr>
      <w:r>
        <w:t>This work and the feedback we have received from the community have highlighted a number of challenges that must be addressed, but we consider out of scope for this work:</w:t>
      </w:r>
    </w:p>
    <w:p w14:paraId="4DBD104C" w14:textId="77777777" w:rsidR="00C72888" w:rsidRDefault="009B46F2">
      <w:pPr>
        <w:numPr>
          <w:ilvl w:val="0"/>
          <w:numId w:val="3"/>
        </w:numPr>
        <w:spacing w:before="240"/>
      </w:pPr>
      <w:r>
        <w:rPr>
          <w:rFonts w:ascii="Times New Roman" w:eastAsia="Times New Roman" w:hAnsi="Times New Roman" w:cs="Times New Roman"/>
          <w:sz w:val="14"/>
          <w:szCs w:val="14"/>
        </w:rPr>
        <w:t xml:space="preserve"> </w:t>
      </w:r>
      <w:proofErr w:type="spellStart"/>
      <w:r>
        <w:rPr>
          <w:i/>
        </w:rPr>
        <w:t>Licence</w:t>
      </w:r>
      <w:proofErr w:type="spellEnd"/>
      <w:r>
        <w:rPr>
          <w:i/>
        </w:rPr>
        <w:t xml:space="preserve"> equivalence:</w:t>
      </w:r>
      <w:r>
        <w:t xml:space="preserve"> many repositories do not use Creative Commons (CC) </w:t>
      </w:r>
      <w:proofErr w:type="spellStart"/>
      <w:r>
        <w:t>licences</w:t>
      </w:r>
      <w:proofErr w:type="spellEnd"/>
      <w:r>
        <w:t xml:space="preserve"> but</w:t>
      </w:r>
      <w:r>
        <w:t xml:space="preserve"> state they either use something ‘equivalent’, or have custom </w:t>
      </w:r>
      <w:proofErr w:type="spellStart"/>
      <w:r>
        <w:t>licences</w:t>
      </w:r>
      <w:proofErr w:type="spellEnd"/>
      <w:r>
        <w:t xml:space="preserve">. However, this equivalence is difficult to measure and is something we need to be able to represent to allow comparison between different terms and conditions. Standard </w:t>
      </w:r>
      <w:proofErr w:type="spellStart"/>
      <w:r>
        <w:t>licences</w:t>
      </w:r>
      <w:proofErr w:type="spellEnd"/>
      <w:r>
        <w:t xml:space="preserve"> and com</w:t>
      </w:r>
      <w:r>
        <w:t xml:space="preserve">prehensive </w:t>
      </w:r>
      <w:proofErr w:type="spellStart"/>
      <w:r>
        <w:t>licence</w:t>
      </w:r>
      <w:proofErr w:type="spellEnd"/>
      <w:r>
        <w:t xml:space="preserve"> mapping would help reduce the number of </w:t>
      </w:r>
      <w:proofErr w:type="spellStart"/>
      <w:r>
        <w:t>licences</w:t>
      </w:r>
      <w:proofErr w:type="spellEnd"/>
      <w:r>
        <w:t xml:space="preserve"> data users need to deal with, and overall aid with interoperability and automation issues.</w:t>
      </w:r>
    </w:p>
    <w:p w14:paraId="69271FF4" w14:textId="77777777" w:rsidR="00C72888" w:rsidRDefault="009B46F2">
      <w:pPr>
        <w:numPr>
          <w:ilvl w:val="0"/>
          <w:numId w:val="3"/>
        </w:numPr>
      </w:pPr>
      <w:r>
        <w:rPr>
          <w:i/>
        </w:rPr>
        <w:t>File size and cost associated with deposition:</w:t>
      </w:r>
      <w:r>
        <w:t xml:space="preserve"> this is key information for journals and publisher</w:t>
      </w:r>
      <w:r>
        <w:t>s, as well as for funders and researchers, but is hard to collect as often this information is not publicly available, or may differ for different repository users (e.g., academic versus commercial rates and special deals).</w:t>
      </w:r>
    </w:p>
    <w:p w14:paraId="1D01C682" w14:textId="3C365FB7" w:rsidR="00C72888" w:rsidRDefault="009B46F2">
      <w:pPr>
        <w:numPr>
          <w:ilvl w:val="0"/>
          <w:numId w:val="3"/>
        </w:numPr>
      </w:pPr>
      <w:r>
        <w:rPr>
          <w:i/>
        </w:rPr>
        <w:t>Institutional repositories:</w:t>
      </w:r>
      <w:r>
        <w:t xml:space="preserve"> the </w:t>
      </w:r>
      <w:r>
        <w:t xml:space="preserve">authors believe that institutional repositories should be considered and assessed in the same way as any other repository by researchers looking for an appropriate place to deposit data. </w:t>
      </w:r>
      <w:r w:rsidR="00BB494D">
        <w:t>However,</w:t>
      </w:r>
      <w:r>
        <w:t xml:space="preserve"> ensuring equal visibility and relevance of institutional repo</w:t>
      </w:r>
      <w:r>
        <w:t>sitories to a publisher’s international audience of researchers may be difficult in practice.</w:t>
      </w:r>
    </w:p>
    <w:p w14:paraId="68292E29" w14:textId="77777777" w:rsidR="00C72888" w:rsidRDefault="009B46F2">
      <w:pPr>
        <w:numPr>
          <w:ilvl w:val="0"/>
          <w:numId w:val="3"/>
        </w:numPr>
      </w:pPr>
      <w:r>
        <w:rPr>
          <w:i/>
        </w:rPr>
        <w:t>Data/dataset citation:</w:t>
      </w:r>
      <w:r>
        <w:t xml:space="preserve"> whether and how a deposition repository follows the data citation principles and has sufficient metadata in each dataset’s landing page are</w:t>
      </w:r>
      <w:r>
        <w:t xml:space="preserve"> other ideal features, but currently this information is not easily collected.</w:t>
      </w:r>
    </w:p>
    <w:p w14:paraId="0EDCB8EF" w14:textId="77777777" w:rsidR="00C72888" w:rsidRDefault="009B46F2">
      <w:pPr>
        <w:numPr>
          <w:ilvl w:val="0"/>
          <w:numId w:val="3"/>
        </w:numPr>
        <w:spacing w:after="240"/>
      </w:pPr>
      <w:r>
        <w:rPr>
          <w:i/>
        </w:rPr>
        <w:t>Data usage:</w:t>
      </w:r>
      <w:r>
        <w:t xml:space="preserve"> metrics to assess data use in the repository to allow researchers insight into data reuse. Whether it is feasible or technically possible for a repository to provide</w:t>
      </w:r>
      <w:r>
        <w:t xml:space="preserve"> this information.</w:t>
      </w:r>
    </w:p>
    <w:p w14:paraId="44AF5ABA" w14:textId="77777777" w:rsidR="00C72888" w:rsidRDefault="009B46F2">
      <w:pPr>
        <w:pStyle w:val="Heading2"/>
        <w:spacing w:before="240" w:after="240"/>
        <w:rPr>
          <w:b/>
          <w:sz w:val="34"/>
          <w:szCs w:val="34"/>
        </w:rPr>
      </w:pPr>
      <w:bookmarkStart w:id="6" w:name="_i1mj0c7nqcfo" w:colFirst="0" w:colLast="0"/>
      <w:bookmarkEnd w:id="6"/>
      <w:r>
        <w:rPr>
          <w:b/>
          <w:sz w:val="34"/>
          <w:szCs w:val="34"/>
        </w:rPr>
        <w:t>Next Steps</w:t>
      </w:r>
    </w:p>
    <w:p w14:paraId="16386A5D" w14:textId="77777777" w:rsidR="00C72888" w:rsidRDefault="009B46F2">
      <w:pPr>
        <w:spacing w:before="240" w:after="240"/>
      </w:pPr>
      <w:r>
        <w:t>Although the authors have sought and responded to feedback from the wider data-sharing community during the course of this work, we acknowledge that it still primarily represents the perspective of publishers, who are by no me</w:t>
      </w:r>
      <w:r>
        <w:t>ans the only stakeholders when it comes to recommending data repositories. While we did attempt to use our networks to solicit feedback we understand that some subject fields have been better represented than others, and we are keen to work to address this</w:t>
      </w:r>
      <w:r>
        <w:t xml:space="preserve">. </w:t>
      </w:r>
    </w:p>
    <w:p w14:paraId="0D552EA1" w14:textId="77777777" w:rsidR="00C72888" w:rsidRDefault="009B46F2">
      <w:pPr>
        <w:spacing w:before="240" w:after="240"/>
      </w:pPr>
      <w:r>
        <w:t xml:space="preserve">The main goal of the authors of this work remains consistency and transparency in the </w:t>
      </w:r>
      <w:proofErr w:type="gramStart"/>
      <w:r>
        <w:t>recommendations</w:t>
      </w:r>
      <w:proofErr w:type="gramEnd"/>
      <w:r>
        <w:t xml:space="preserve"> publishers make about repositories. We believe this goal will reduce complexity and confusion for researchers navigating the data-sharing landscape, le</w:t>
      </w:r>
      <w:r>
        <w:t xml:space="preserve">ading to greater use of repositories and thereby </w:t>
      </w:r>
      <w:proofErr w:type="spellStart"/>
      <w:r>
        <w:t>FAIRer</w:t>
      </w:r>
      <w:proofErr w:type="spellEnd"/>
      <w:r>
        <w:t xml:space="preserve"> data. We </w:t>
      </w:r>
      <w:proofErr w:type="spellStart"/>
      <w:r>
        <w:t>recognise</w:t>
      </w:r>
      <w:proofErr w:type="spellEnd"/>
      <w:r>
        <w:t xml:space="preserve"> that this goal must be pursued in close collaboration with other stakeholders to ensure that our work benefits the data-sharing community as a whole. Therefore, we invite a wide, mu</w:t>
      </w:r>
      <w:r>
        <w:t xml:space="preserve">lti-stakeholder consultation to ensure that we can collectively </w:t>
      </w:r>
      <w:r>
        <w:lastRenderedPageBreak/>
        <w:t>arrive at recommendations that speak for and can be endorsed by the whole community, and ultimately will clarify and improve the guidance that is offered to researchers.</w:t>
      </w:r>
    </w:p>
    <w:p w14:paraId="17EA9CD9" w14:textId="77777777" w:rsidR="00C72888" w:rsidRDefault="009B46F2">
      <w:pPr>
        <w:spacing w:before="240" w:after="240"/>
      </w:pPr>
      <w:r>
        <w:t>Our immediate next ste</w:t>
      </w:r>
      <w:r>
        <w:t>p will be to engage directly with the wider data-sharing community at a session in the upcoming 17th RDA plenary. The session</w:t>
      </w:r>
      <w:r>
        <w:rPr>
          <w:vertAlign w:val="superscript"/>
        </w:rPr>
        <w:footnoteReference w:id="59"/>
      </w:r>
      <w:r>
        <w:t xml:space="preserve">, organized by the RDA </w:t>
      </w:r>
      <w:proofErr w:type="spellStart"/>
      <w:r>
        <w:t>FAIRsharing</w:t>
      </w:r>
      <w:proofErr w:type="spellEnd"/>
      <w:r>
        <w:t xml:space="preserve"> WG, aims to map the landscape of these initiatives, bring them together, raise awareness, under</w:t>
      </w:r>
      <w:r>
        <w:t xml:space="preserve">stand their scope and motivation, and see if and how they are connected or complementary. The RDA </w:t>
      </w:r>
      <w:proofErr w:type="spellStart"/>
      <w:r>
        <w:t>FAIRsharing</w:t>
      </w:r>
      <w:proofErr w:type="spellEnd"/>
      <w:r>
        <w:t xml:space="preserve"> WG email list will also be used to continue the discussion and we invite interested parties to join in</w:t>
      </w:r>
      <w:r>
        <w:rPr>
          <w:vertAlign w:val="superscript"/>
        </w:rPr>
        <w:footnoteReference w:id="60"/>
      </w:r>
      <w:r>
        <w:t xml:space="preserve">. </w:t>
      </w:r>
    </w:p>
    <w:p w14:paraId="1E8FF9D1" w14:textId="77777777" w:rsidR="00C72888" w:rsidRDefault="00C72888">
      <w:pPr>
        <w:spacing w:before="240" w:after="240"/>
      </w:pPr>
    </w:p>
    <w:p w14:paraId="146F7742" w14:textId="77777777" w:rsidR="00C72888" w:rsidRDefault="009B46F2">
      <w:pPr>
        <w:pStyle w:val="Heading2"/>
        <w:spacing w:before="240" w:after="240"/>
        <w:rPr>
          <w:b/>
          <w:sz w:val="34"/>
          <w:szCs w:val="34"/>
        </w:rPr>
      </w:pPr>
      <w:bookmarkStart w:id="7" w:name="_q6n6gta47ehq" w:colFirst="0" w:colLast="0"/>
      <w:bookmarkEnd w:id="7"/>
      <w:r>
        <w:rPr>
          <w:b/>
          <w:sz w:val="34"/>
          <w:szCs w:val="34"/>
        </w:rPr>
        <w:t>Acknowledgements</w:t>
      </w:r>
    </w:p>
    <w:p w14:paraId="005AEF1A" w14:textId="5EF2BDD8" w:rsidR="00C72888" w:rsidRDefault="009B46F2">
      <w:r>
        <w:t xml:space="preserve">We would like to thank </w:t>
      </w:r>
      <w:proofErr w:type="spellStart"/>
      <w:r>
        <w:t>DataCite</w:t>
      </w:r>
      <w:proofErr w:type="spellEnd"/>
      <w:r>
        <w:t xml:space="preserve">, represented by Helena </w:t>
      </w:r>
      <w:proofErr w:type="spellStart"/>
      <w:r>
        <w:t>Cousijn</w:t>
      </w:r>
      <w:proofErr w:type="spellEnd"/>
      <w:r>
        <w:t xml:space="preserve">, for their participation in and contributions to this project, David </w:t>
      </w:r>
      <w:proofErr w:type="spellStart"/>
      <w:r>
        <w:t>Carr</w:t>
      </w:r>
      <w:proofErr w:type="spellEnd"/>
      <w:r>
        <w:t xml:space="preserve"> from </w:t>
      </w:r>
      <w:proofErr w:type="spellStart"/>
      <w:r>
        <w:t>Wellcome</w:t>
      </w:r>
      <w:proofErr w:type="spellEnd"/>
      <w:r>
        <w:t xml:space="preserve"> who also participated in discussions. </w:t>
      </w:r>
    </w:p>
    <w:sectPr w:rsidR="00C72888">
      <w:headerReference w:type="even" r:id="rId8"/>
      <w:headerReference w:type="default" r:id="rId9"/>
      <w:footerReference w:type="even" r:id="rId10"/>
      <w:footerReference w:type="default" r:id="rId11"/>
      <w:headerReference w:type="first" r:id="rId12"/>
      <w:footerReference w:type="first" r:id="rId13"/>
      <w:pgSz w:w="16838" w:h="11906" w:orient="landscape"/>
      <w:pgMar w:top="1296" w:right="1296" w:bottom="1296" w:left="1296"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2509DD" w14:textId="77777777" w:rsidR="009B46F2" w:rsidRDefault="009B46F2">
      <w:pPr>
        <w:spacing w:line="240" w:lineRule="auto"/>
      </w:pPr>
      <w:r>
        <w:separator/>
      </w:r>
    </w:p>
  </w:endnote>
  <w:endnote w:type="continuationSeparator" w:id="0">
    <w:p w14:paraId="14876F39" w14:textId="77777777" w:rsidR="009B46F2" w:rsidRDefault="009B46F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Roboto">
    <w:altName w:val="Arial"/>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0EF4C7" w14:textId="77777777" w:rsidR="006316A8" w:rsidRDefault="006316A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FFDEF3" w14:textId="77777777" w:rsidR="00C72888" w:rsidRDefault="009B46F2">
    <w:pPr>
      <w:jc w:val="right"/>
    </w:pPr>
    <w:r>
      <w:fldChar w:fldCharType="begin"/>
    </w:r>
    <w:r>
      <w:instrText>PAGE</w:instrText>
    </w:r>
    <w:r w:rsidR="006316A8">
      <w:fldChar w:fldCharType="separate"/>
    </w:r>
    <w:r w:rsidR="006316A8">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2ECF5A" w14:textId="77777777" w:rsidR="006316A8" w:rsidRDefault="006316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E4DD6E" w14:textId="77777777" w:rsidR="009B46F2" w:rsidRDefault="009B46F2">
      <w:pPr>
        <w:spacing w:line="240" w:lineRule="auto"/>
      </w:pPr>
      <w:r>
        <w:separator/>
      </w:r>
    </w:p>
  </w:footnote>
  <w:footnote w:type="continuationSeparator" w:id="0">
    <w:p w14:paraId="1D67D54E" w14:textId="77777777" w:rsidR="009B46F2" w:rsidRDefault="009B46F2">
      <w:pPr>
        <w:spacing w:line="240" w:lineRule="auto"/>
      </w:pPr>
      <w:r>
        <w:continuationSeparator/>
      </w:r>
    </w:p>
  </w:footnote>
  <w:footnote w:id="1">
    <w:p w14:paraId="409BF8CC" w14:textId="77777777" w:rsidR="00C72888" w:rsidRDefault="009B46F2">
      <w:pPr>
        <w:spacing w:line="240" w:lineRule="auto"/>
        <w:rPr>
          <w:sz w:val="20"/>
          <w:szCs w:val="20"/>
          <w:highlight w:val="white"/>
        </w:rPr>
      </w:pPr>
      <w:r>
        <w:rPr>
          <w:vertAlign w:val="superscript"/>
        </w:rPr>
        <w:footnoteRef/>
      </w:r>
      <w:r>
        <w:rPr>
          <w:sz w:val="20"/>
          <w:szCs w:val="20"/>
        </w:rPr>
        <w:t xml:space="preserve"> </w:t>
      </w:r>
      <w:hyperlink r:id="rId1">
        <w:r>
          <w:rPr>
            <w:color w:val="1155CC"/>
            <w:sz w:val="20"/>
            <w:szCs w:val="20"/>
            <w:highlight w:val="white"/>
            <w:u w:val="single"/>
          </w:rPr>
          <w:t>https://doi.org/10.1038/sdata.2016.18</w:t>
        </w:r>
      </w:hyperlink>
      <w:r>
        <w:rPr>
          <w:sz w:val="20"/>
          <w:szCs w:val="20"/>
          <w:highlight w:val="white"/>
        </w:rPr>
        <w:t xml:space="preserve"> </w:t>
      </w:r>
    </w:p>
  </w:footnote>
  <w:footnote w:id="2">
    <w:p w14:paraId="3AA4738A" w14:textId="77777777" w:rsidR="00C72888" w:rsidRDefault="009B46F2">
      <w:pPr>
        <w:spacing w:line="240" w:lineRule="auto"/>
        <w:rPr>
          <w:sz w:val="20"/>
          <w:szCs w:val="20"/>
        </w:rPr>
      </w:pPr>
      <w:r>
        <w:rPr>
          <w:vertAlign w:val="superscript"/>
        </w:rPr>
        <w:footnoteRef/>
      </w:r>
      <w:r>
        <w:rPr>
          <w:sz w:val="20"/>
          <w:szCs w:val="20"/>
        </w:rPr>
        <w:t xml:space="preserve"> </w:t>
      </w:r>
      <w:hyperlink r:id="rId2">
        <w:r>
          <w:rPr>
            <w:color w:val="1155CC"/>
            <w:sz w:val="20"/>
            <w:szCs w:val="20"/>
            <w:u w:val="single"/>
          </w:rPr>
          <w:t>https://doi.org/10.6084/m9.figshare.13227875.v2</w:t>
        </w:r>
      </w:hyperlink>
      <w:r>
        <w:rPr>
          <w:sz w:val="20"/>
          <w:szCs w:val="20"/>
        </w:rPr>
        <w:t xml:space="preserve"> </w:t>
      </w:r>
    </w:p>
  </w:footnote>
  <w:footnote w:id="3">
    <w:p w14:paraId="51F14F45" w14:textId="77777777" w:rsidR="00C72888" w:rsidRDefault="009B46F2">
      <w:pPr>
        <w:spacing w:line="240" w:lineRule="auto"/>
        <w:rPr>
          <w:sz w:val="20"/>
          <w:szCs w:val="20"/>
        </w:rPr>
      </w:pPr>
      <w:r>
        <w:rPr>
          <w:vertAlign w:val="superscript"/>
        </w:rPr>
        <w:footnoteRef/>
      </w:r>
      <w:r>
        <w:rPr>
          <w:sz w:val="20"/>
          <w:szCs w:val="20"/>
        </w:rPr>
        <w:t xml:space="preserve"> </w:t>
      </w:r>
      <w:hyperlink r:id="rId3">
        <w:r>
          <w:rPr>
            <w:color w:val="1155CC"/>
            <w:sz w:val="20"/>
            <w:szCs w:val="20"/>
            <w:u w:val="single"/>
          </w:rPr>
          <w:t>http://doi.org/10.5334/dsj-2020-005</w:t>
        </w:r>
      </w:hyperlink>
      <w:r>
        <w:rPr>
          <w:sz w:val="20"/>
          <w:szCs w:val="20"/>
        </w:rPr>
        <w:t xml:space="preserve">  </w:t>
      </w:r>
    </w:p>
  </w:footnote>
  <w:footnote w:id="4">
    <w:p w14:paraId="317AF79D" w14:textId="77777777" w:rsidR="00C72888" w:rsidRDefault="009B46F2">
      <w:pPr>
        <w:spacing w:line="240" w:lineRule="auto"/>
        <w:rPr>
          <w:sz w:val="20"/>
          <w:szCs w:val="20"/>
        </w:rPr>
      </w:pPr>
      <w:r>
        <w:rPr>
          <w:vertAlign w:val="superscript"/>
        </w:rPr>
        <w:footnoteRef/>
      </w:r>
      <w:r>
        <w:rPr>
          <w:sz w:val="20"/>
          <w:szCs w:val="20"/>
        </w:rPr>
        <w:t xml:space="preserve"> See for example, the Joint Data Archiving Policy adopted by a number of journals</w:t>
      </w:r>
      <w:r>
        <w:rPr>
          <w:sz w:val="20"/>
          <w:szCs w:val="20"/>
        </w:rPr>
        <w:t xml:space="preserve"> in evolutionary biology and ecology in support of the Dryad Data Repository: </w:t>
      </w:r>
      <w:hyperlink r:id="rId4">
        <w:r>
          <w:rPr>
            <w:sz w:val="20"/>
            <w:szCs w:val="20"/>
          </w:rPr>
          <w:t>https://datadryad.org/docs/JointDataArchivingPolicy.pdf</w:t>
        </w:r>
      </w:hyperlink>
      <w:r>
        <w:rPr>
          <w:sz w:val="20"/>
          <w:szCs w:val="20"/>
        </w:rPr>
        <w:t xml:space="preserve"> </w:t>
      </w:r>
    </w:p>
  </w:footnote>
  <w:footnote w:id="5">
    <w:p w14:paraId="557A0AF0" w14:textId="77777777" w:rsidR="00C72888" w:rsidRDefault="009B46F2">
      <w:pPr>
        <w:spacing w:line="240" w:lineRule="auto"/>
        <w:rPr>
          <w:sz w:val="20"/>
          <w:szCs w:val="20"/>
        </w:rPr>
      </w:pPr>
      <w:r>
        <w:rPr>
          <w:vertAlign w:val="superscript"/>
        </w:rPr>
        <w:footnoteRef/>
      </w:r>
      <w:r>
        <w:rPr>
          <w:sz w:val="20"/>
          <w:szCs w:val="20"/>
        </w:rPr>
        <w:t xml:space="preserve"> </w:t>
      </w:r>
      <w:hyperlink r:id="rId5">
        <w:r>
          <w:rPr>
            <w:color w:val="1155CC"/>
            <w:sz w:val="20"/>
            <w:szCs w:val="20"/>
            <w:u w:val="single"/>
          </w:rPr>
          <w:t>https://fairsharing.org/recommendations/</w:t>
        </w:r>
      </w:hyperlink>
      <w:r>
        <w:rPr>
          <w:sz w:val="20"/>
          <w:szCs w:val="20"/>
        </w:rPr>
        <w:t xml:space="preserve"> </w:t>
      </w:r>
    </w:p>
  </w:footnote>
  <w:footnote w:id="6">
    <w:p w14:paraId="46028F46" w14:textId="77777777" w:rsidR="00C72888" w:rsidRDefault="009B46F2">
      <w:pPr>
        <w:spacing w:line="240" w:lineRule="auto"/>
        <w:rPr>
          <w:sz w:val="20"/>
          <w:szCs w:val="20"/>
        </w:rPr>
      </w:pPr>
      <w:r>
        <w:rPr>
          <w:vertAlign w:val="superscript"/>
        </w:rPr>
        <w:footnoteRef/>
      </w:r>
      <w:r>
        <w:rPr>
          <w:sz w:val="20"/>
          <w:szCs w:val="20"/>
        </w:rPr>
        <w:t xml:space="preserve"> </w:t>
      </w:r>
      <w:hyperlink r:id="rId6">
        <w:r>
          <w:rPr>
            <w:color w:val="1155CC"/>
            <w:sz w:val="20"/>
            <w:szCs w:val="20"/>
            <w:u w:val="single"/>
          </w:rPr>
          <w:t>https://wellcome.ac.uk/coronavirus-covid-19/open-data</w:t>
        </w:r>
      </w:hyperlink>
      <w:r>
        <w:rPr>
          <w:sz w:val="20"/>
          <w:szCs w:val="20"/>
        </w:rPr>
        <w:t xml:space="preserve"> </w:t>
      </w:r>
    </w:p>
  </w:footnote>
  <w:footnote w:id="7">
    <w:p w14:paraId="6B3F5475" w14:textId="77777777" w:rsidR="00C72888" w:rsidRDefault="009B46F2">
      <w:pPr>
        <w:spacing w:line="240" w:lineRule="auto"/>
        <w:rPr>
          <w:sz w:val="20"/>
          <w:szCs w:val="20"/>
        </w:rPr>
      </w:pPr>
      <w:r>
        <w:rPr>
          <w:vertAlign w:val="superscript"/>
        </w:rPr>
        <w:footnoteRef/>
      </w:r>
      <w:r>
        <w:rPr>
          <w:sz w:val="20"/>
          <w:szCs w:val="20"/>
        </w:rPr>
        <w:t xml:space="preserve"> </w:t>
      </w:r>
      <w:hyperlink r:id="rId7">
        <w:r>
          <w:rPr>
            <w:color w:val="1155CC"/>
            <w:sz w:val="20"/>
            <w:szCs w:val="20"/>
            <w:u w:val="single"/>
          </w:rPr>
          <w:t>https://ec.europa.eu/research/participants/data/ref/h2020/other/hi/o</w:t>
        </w:r>
        <w:r>
          <w:rPr>
            <w:color w:val="1155CC"/>
            <w:sz w:val="20"/>
            <w:szCs w:val="20"/>
            <w:u w:val="single"/>
          </w:rPr>
          <w:t>a-pilot/h2020-guidelines-oa-covid-19_en.pdf</w:t>
        </w:r>
      </w:hyperlink>
      <w:r>
        <w:rPr>
          <w:sz w:val="20"/>
          <w:szCs w:val="20"/>
        </w:rPr>
        <w:t xml:space="preserve"> </w:t>
      </w:r>
    </w:p>
  </w:footnote>
  <w:footnote w:id="8">
    <w:p w14:paraId="7797F926" w14:textId="77777777" w:rsidR="00C72888" w:rsidRDefault="009B46F2">
      <w:pPr>
        <w:spacing w:line="240" w:lineRule="auto"/>
        <w:rPr>
          <w:sz w:val="20"/>
          <w:szCs w:val="20"/>
        </w:rPr>
      </w:pPr>
      <w:r>
        <w:rPr>
          <w:vertAlign w:val="superscript"/>
        </w:rPr>
        <w:footnoteRef/>
      </w:r>
      <w:r>
        <w:rPr>
          <w:sz w:val="20"/>
          <w:szCs w:val="20"/>
        </w:rPr>
        <w:t xml:space="preserve"> C19 Rapid</w:t>
      </w:r>
      <w:r>
        <w:rPr>
          <w:sz w:val="20"/>
          <w:szCs w:val="20"/>
        </w:rPr>
        <w:t xml:space="preserve"> Review Initiative: </w:t>
      </w:r>
      <w:hyperlink r:id="rId8">
        <w:r>
          <w:rPr>
            <w:color w:val="1155CC"/>
            <w:sz w:val="20"/>
            <w:szCs w:val="20"/>
            <w:u w:val="single"/>
          </w:rPr>
          <w:t>https://oaspa.org/data-deposition-required-for-all-c19-rapid-review-publishers</w:t>
        </w:r>
      </w:hyperlink>
      <w:r>
        <w:rPr>
          <w:sz w:val="20"/>
          <w:szCs w:val="20"/>
        </w:rPr>
        <w:t xml:space="preserve"> </w:t>
      </w:r>
    </w:p>
  </w:footnote>
  <w:footnote w:id="9">
    <w:p w14:paraId="1C3E0F55" w14:textId="77777777" w:rsidR="00C72888" w:rsidRDefault="009B46F2">
      <w:pPr>
        <w:spacing w:line="240" w:lineRule="auto"/>
        <w:rPr>
          <w:sz w:val="20"/>
          <w:szCs w:val="20"/>
        </w:rPr>
      </w:pPr>
      <w:r>
        <w:rPr>
          <w:vertAlign w:val="superscript"/>
        </w:rPr>
        <w:footnoteRef/>
      </w:r>
      <w:r>
        <w:rPr>
          <w:sz w:val="20"/>
          <w:szCs w:val="20"/>
        </w:rPr>
        <w:t xml:space="preserve"> </w:t>
      </w:r>
      <w:hyperlink r:id="rId9">
        <w:r>
          <w:rPr>
            <w:color w:val="1155CC"/>
            <w:sz w:val="20"/>
            <w:szCs w:val="20"/>
            <w:u w:val="single"/>
          </w:rPr>
          <w:t>https://www.force11.org/group/dcip</w:t>
        </w:r>
      </w:hyperlink>
      <w:r>
        <w:rPr>
          <w:sz w:val="20"/>
          <w:szCs w:val="20"/>
        </w:rPr>
        <w:t xml:space="preserve"> </w:t>
      </w:r>
    </w:p>
  </w:footnote>
  <w:footnote w:id="10">
    <w:p w14:paraId="13DEF258" w14:textId="77777777" w:rsidR="00C72888" w:rsidRDefault="009B46F2">
      <w:pPr>
        <w:spacing w:line="240" w:lineRule="auto"/>
        <w:rPr>
          <w:sz w:val="20"/>
          <w:szCs w:val="20"/>
        </w:rPr>
      </w:pPr>
      <w:r>
        <w:rPr>
          <w:vertAlign w:val="superscript"/>
        </w:rPr>
        <w:footnoteRef/>
      </w:r>
      <w:r>
        <w:rPr>
          <w:sz w:val="20"/>
          <w:szCs w:val="20"/>
        </w:rPr>
        <w:t xml:space="preserve"> </w:t>
      </w:r>
      <w:hyperlink r:id="rId10">
        <w:r>
          <w:rPr>
            <w:color w:val="1155CC"/>
            <w:sz w:val="20"/>
            <w:szCs w:val="20"/>
            <w:u w:val="single"/>
          </w:rPr>
          <w:t>http://dx.doi.org/10.1038/s41597-019-0031-8</w:t>
        </w:r>
      </w:hyperlink>
      <w:r>
        <w:rPr>
          <w:sz w:val="20"/>
          <w:szCs w:val="20"/>
        </w:rPr>
        <w:t xml:space="preserve"> </w:t>
      </w:r>
    </w:p>
  </w:footnote>
  <w:footnote w:id="11">
    <w:p w14:paraId="6B03D1DD" w14:textId="77777777" w:rsidR="00C72888" w:rsidRDefault="009B46F2">
      <w:pPr>
        <w:spacing w:line="240" w:lineRule="auto"/>
        <w:rPr>
          <w:sz w:val="20"/>
          <w:szCs w:val="20"/>
        </w:rPr>
      </w:pPr>
      <w:r>
        <w:rPr>
          <w:vertAlign w:val="superscript"/>
        </w:rPr>
        <w:footnoteRef/>
      </w:r>
      <w:r>
        <w:rPr>
          <w:sz w:val="20"/>
          <w:szCs w:val="20"/>
        </w:rPr>
        <w:t xml:space="preserve"> </w:t>
      </w:r>
      <w:hyperlink r:id="rId11">
        <w:r>
          <w:rPr>
            <w:color w:val="1155CC"/>
            <w:sz w:val="20"/>
            <w:szCs w:val="20"/>
            <w:u w:val="single"/>
          </w:rPr>
          <w:t>https://rd-alliance.org/group/fairsharing-registry-connecting-data-policies-standards-databases.html</w:t>
        </w:r>
      </w:hyperlink>
      <w:r>
        <w:rPr>
          <w:sz w:val="20"/>
          <w:szCs w:val="20"/>
        </w:rPr>
        <w:t xml:space="preserve"> </w:t>
      </w:r>
    </w:p>
  </w:footnote>
  <w:footnote w:id="12">
    <w:p w14:paraId="0C96F876" w14:textId="77777777" w:rsidR="00C72888" w:rsidRDefault="009B46F2">
      <w:pPr>
        <w:spacing w:line="240" w:lineRule="auto"/>
        <w:rPr>
          <w:sz w:val="20"/>
          <w:szCs w:val="20"/>
        </w:rPr>
      </w:pPr>
      <w:r>
        <w:rPr>
          <w:vertAlign w:val="superscript"/>
        </w:rPr>
        <w:footnoteRef/>
      </w:r>
      <w:r>
        <w:rPr>
          <w:sz w:val="20"/>
          <w:szCs w:val="20"/>
        </w:rPr>
        <w:t xml:space="preserve"> </w:t>
      </w:r>
      <w:hyperlink r:id="rId12">
        <w:r>
          <w:rPr>
            <w:color w:val="1155CC"/>
            <w:sz w:val="20"/>
            <w:szCs w:val="20"/>
            <w:u w:val="single"/>
          </w:rPr>
          <w:t>https://fairsharing.org</w:t>
        </w:r>
      </w:hyperlink>
      <w:r>
        <w:rPr>
          <w:sz w:val="20"/>
          <w:szCs w:val="20"/>
        </w:rPr>
        <w:t xml:space="preserve"> </w:t>
      </w:r>
    </w:p>
  </w:footnote>
  <w:footnote w:id="13">
    <w:p w14:paraId="16C66D02" w14:textId="77777777" w:rsidR="00C72888" w:rsidRDefault="009B46F2">
      <w:pPr>
        <w:spacing w:line="240" w:lineRule="auto"/>
        <w:rPr>
          <w:sz w:val="20"/>
          <w:szCs w:val="20"/>
        </w:rPr>
      </w:pPr>
      <w:r>
        <w:rPr>
          <w:vertAlign w:val="superscript"/>
        </w:rPr>
        <w:footnoteRef/>
      </w:r>
      <w:r>
        <w:rPr>
          <w:sz w:val="20"/>
          <w:szCs w:val="20"/>
        </w:rPr>
        <w:t xml:space="preserve"> </w:t>
      </w:r>
      <w:hyperlink r:id="rId13" w:anchor="adopters">
        <w:r>
          <w:rPr>
            <w:color w:val="1155CC"/>
            <w:sz w:val="20"/>
            <w:szCs w:val="20"/>
            <w:u w:val="single"/>
          </w:rPr>
          <w:t>https://fairsharing.org/communities#adopters</w:t>
        </w:r>
      </w:hyperlink>
      <w:r>
        <w:rPr>
          <w:sz w:val="20"/>
          <w:szCs w:val="20"/>
        </w:rPr>
        <w:t xml:space="preserve"> </w:t>
      </w:r>
    </w:p>
  </w:footnote>
  <w:footnote w:id="14">
    <w:p w14:paraId="5550AAA9" w14:textId="77777777" w:rsidR="00C72888" w:rsidRDefault="009B46F2">
      <w:pPr>
        <w:spacing w:line="240" w:lineRule="auto"/>
        <w:rPr>
          <w:sz w:val="20"/>
          <w:szCs w:val="20"/>
        </w:rPr>
      </w:pPr>
      <w:r>
        <w:rPr>
          <w:vertAlign w:val="superscript"/>
        </w:rPr>
        <w:footnoteRef/>
      </w:r>
      <w:r>
        <w:rPr>
          <w:sz w:val="20"/>
          <w:szCs w:val="20"/>
        </w:rPr>
        <w:t xml:space="preserve"> </w:t>
      </w:r>
      <w:hyperlink r:id="rId14">
        <w:r>
          <w:rPr>
            <w:color w:val="1155CC"/>
            <w:sz w:val="20"/>
            <w:szCs w:val="20"/>
            <w:highlight w:val="white"/>
            <w:u w:val="single"/>
          </w:rPr>
          <w:t>https://doi.org/10.2218/ijdc.v9i1.309</w:t>
        </w:r>
      </w:hyperlink>
      <w:r>
        <w:rPr>
          <w:sz w:val="20"/>
          <w:szCs w:val="20"/>
          <w:highlight w:val="white"/>
        </w:rPr>
        <w:t xml:space="preserve"> </w:t>
      </w:r>
      <w:r>
        <w:rPr>
          <w:sz w:val="20"/>
          <w:szCs w:val="20"/>
        </w:rPr>
        <w:t xml:space="preserve">  </w:t>
      </w:r>
    </w:p>
  </w:footnote>
  <w:footnote w:id="15">
    <w:p w14:paraId="12AFF36F" w14:textId="77777777" w:rsidR="00C72888" w:rsidRDefault="009B46F2">
      <w:pPr>
        <w:spacing w:line="240" w:lineRule="auto"/>
        <w:rPr>
          <w:sz w:val="20"/>
          <w:szCs w:val="20"/>
        </w:rPr>
      </w:pPr>
      <w:r>
        <w:rPr>
          <w:vertAlign w:val="superscript"/>
        </w:rPr>
        <w:footnoteRef/>
      </w:r>
      <w:r>
        <w:rPr>
          <w:sz w:val="20"/>
          <w:szCs w:val="20"/>
        </w:rPr>
        <w:t xml:space="preserve"> </w:t>
      </w:r>
      <w:hyperlink r:id="rId15">
        <w:r>
          <w:rPr>
            <w:color w:val="1155CC"/>
            <w:sz w:val="20"/>
            <w:szCs w:val="20"/>
            <w:u w:val="single"/>
          </w:rPr>
          <w:t>https://elixir-europe.org/platforms/data/elixir-deposition-databases</w:t>
        </w:r>
      </w:hyperlink>
      <w:r>
        <w:rPr>
          <w:sz w:val="20"/>
          <w:szCs w:val="20"/>
        </w:rPr>
        <w:t xml:space="preserve"> </w:t>
      </w:r>
    </w:p>
  </w:footnote>
  <w:footnote w:id="16">
    <w:p w14:paraId="031A9B3B" w14:textId="77777777" w:rsidR="00C72888" w:rsidRDefault="009B46F2">
      <w:pPr>
        <w:spacing w:line="240" w:lineRule="auto"/>
        <w:rPr>
          <w:sz w:val="20"/>
          <w:szCs w:val="20"/>
        </w:rPr>
      </w:pPr>
      <w:r>
        <w:rPr>
          <w:vertAlign w:val="superscript"/>
        </w:rPr>
        <w:footnoteRef/>
      </w:r>
      <w:r>
        <w:rPr>
          <w:sz w:val="20"/>
          <w:szCs w:val="20"/>
        </w:rPr>
        <w:t xml:space="preserve"> </w:t>
      </w:r>
      <w:hyperlink r:id="rId16">
        <w:r>
          <w:rPr>
            <w:color w:val="1155CC"/>
            <w:sz w:val="20"/>
            <w:szCs w:val="20"/>
            <w:u w:val="single"/>
          </w:rPr>
          <w:t>https://www.coretrustseal.org</w:t>
        </w:r>
      </w:hyperlink>
      <w:r>
        <w:rPr>
          <w:sz w:val="20"/>
          <w:szCs w:val="20"/>
        </w:rPr>
        <w:t xml:space="preserve"> </w:t>
      </w:r>
    </w:p>
  </w:footnote>
  <w:footnote w:id="17">
    <w:p w14:paraId="2EC1D8DD" w14:textId="77777777" w:rsidR="00C72888" w:rsidRDefault="009B46F2">
      <w:pPr>
        <w:spacing w:line="240" w:lineRule="auto"/>
        <w:rPr>
          <w:sz w:val="20"/>
          <w:szCs w:val="20"/>
        </w:rPr>
      </w:pPr>
      <w:r>
        <w:rPr>
          <w:vertAlign w:val="superscript"/>
        </w:rPr>
        <w:footnoteRef/>
      </w:r>
      <w:r>
        <w:rPr>
          <w:sz w:val="20"/>
          <w:szCs w:val="20"/>
        </w:rPr>
        <w:t xml:space="preserve"> </w:t>
      </w:r>
      <w:hyperlink r:id="rId17">
        <w:r>
          <w:rPr>
            <w:color w:val="1155CC"/>
            <w:sz w:val="20"/>
            <w:szCs w:val="20"/>
            <w:u w:val="single"/>
          </w:rPr>
          <w:t>https://doi.org/10.1038/s41597-020-0486-7</w:t>
        </w:r>
      </w:hyperlink>
      <w:r>
        <w:rPr>
          <w:sz w:val="20"/>
          <w:szCs w:val="20"/>
        </w:rPr>
        <w:t xml:space="preserve"> </w:t>
      </w:r>
    </w:p>
  </w:footnote>
  <w:footnote w:id="18">
    <w:p w14:paraId="5DA95321" w14:textId="77777777" w:rsidR="00C72888" w:rsidRDefault="009B46F2">
      <w:pPr>
        <w:spacing w:line="240" w:lineRule="auto"/>
        <w:rPr>
          <w:sz w:val="20"/>
          <w:szCs w:val="20"/>
        </w:rPr>
      </w:pPr>
      <w:r>
        <w:rPr>
          <w:vertAlign w:val="superscript"/>
        </w:rPr>
        <w:footnoteRef/>
      </w:r>
      <w:r>
        <w:rPr>
          <w:sz w:val="20"/>
          <w:szCs w:val="20"/>
        </w:rPr>
        <w:t xml:space="preserve"> </w:t>
      </w:r>
      <w:hyperlink r:id="rId18">
        <w:r>
          <w:rPr>
            <w:color w:val="1155CC"/>
            <w:sz w:val="20"/>
            <w:szCs w:val="20"/>
            <w:u w:val="single"/>
          </w:rPr>
          <w:t>https://doi.org/10.5281/zenodo.4110829</w:t>
        </w:r>
      </w:hyperlink>
      <w:r>
        <w:rPr>
          <w:sz w:val="20"/>
          <w:szCs w:val="20"/>
        </w:rPr>
        <w:t xml:space="preserve"> </w:t>
      </w:r>
    </w:p>
  </w:footnote>
  <w:footnote w:id="19">
    <w:p w14:paraId="43E6F659" w14:textId="77777777" w:rsidR="00C72888" w:rsidRDefault="009B46F2">
      <w:pPr>
        <w:spacing w:line="240" w:lineRule="auto"/>
        <w:rPr>
          <w:sz w:val="20"/>
          <w:szCs w:val="20"/>
        </w:rPr>
      </w:pPr>
      <w:r>
        <w:rPr>
          <w:vertAlign w:val="superscript"/>
        </w:rPr>
        <w:footnoteRef/>
      </w:r>
      <w:r>
        <w:rPr>
          <w:sz w:val="20"/>
          <w:szCs w:val="20"/>
        </w:rPr>
        <w:t xml:space="preserve"> </w:t>
      </w:r>
      <w:hyperlink r:id="rId19">
        <w:r>
          <w:rPr>
            <w:color w:val="1155CC"/>
            <w:sz w:val="20"/>
            <w:szCs w:val="20"/>
            <w:u w:val="single"/>
          </w:rPr>
          <w:t>https://www.nlm.nih.gov/NIHbmic/nih_data_sharing_repositories.html</w:t>
        </w:r>
      </w:hyperlink>
      <w:r>
        <w:rPr>
          <w:sz w:val="20"/>
          <w:szCs w:val="20"/>
        </w:rPr>
        <w:t xml:space="preserve"> </w:t>
      </w:r>
    </w:p>
  </w:footnote>
  <w:footnote w:id="20">
    <w:p w14:paraId="0E859A9D" w14:textId="77777777" w:rsidR="00C72888" w:rsidRDefault="009B46F2">
      <w:pPr>
        <w:spacing w:line="240" w:lineRule="auto"/>
        <w:rPr>
          <w:sz w:val="20"/>
          <w:szCs w:val="20"/>
        </w:rPr>
      </w:pPr>
      <w:r>
        <w:rPr>
          <w:vertAlign w:val="superscript"/>
        </w:rPr>
        <w:footnoteRef/>
      </w:r>
      <w:r>
        <w:rPr>
          <w:sz w:val="20"/>
          <w:szCs w:val="20"/>
        </w:rPr>
        <w:t xml:space="preserve"> </w:t>
      </w:r>
      <w:hyperlink r:id="rId20">
        <w:r>
          <w:rPr>
            <w:color w:val="1155CC"/>
            <w:sz w:val="20"/>
            <w:szCs w:val="20"/>
            <w:u w:val="single"/>
          </w:rPr>
          <w:t>htt</w:t>
        </w:r>
        <w:r>
          <w:rPr>
            <w:color w:val="1155CC"/>
            <w:sz w:val="20"/>
            <w:szCs w:val="20"/>
            <w:u w:val="single"/>
          </w:rPr>
          <w:t>ps://scienceeurope.org/our-priorities/research-data/research-data-management</w:t>
        </w:r>
      </w:hyperlink>
      <w:r>
        <w:rPr>
          <w:sz w:val="20"/>
          <w:szCs w:val="20"/>
        </w:rPr>
        <w:t xml:space="preserve"> </w:t>
      </w:r>
    </w:p>
  </w:footnote>
  <w:footnote w:id="21">
    <w:p w14:paraId="36892A30" w14:textId="77777777" w:rsidR="00C72888" w:rsidRDefault="009B46F2">
      <w:pPr>
        <w:spacing w:line="240" w:lineRule="auto"/>
        <w:rPr>
          <w:sz w:val="20"/>
          <w:szCs w:val="20"/>
        </w:rPr>
      </w:pPr>
      <w:r>
        <w:rPr>
          <w:vertAlign w:val="superscript"/>
        </w:rPr>
        <w:footnoteRef/>
      </w:r>
      <w:r>
        <w:rPr>
          <w:sz w:val="20"/>
          <w:szCs w:val="20"/>
        </w:rPr>
        <w:t xml:space="preserve"> </w:t>
      </w:r>
      <w:hyperlink r:id="rId21">
        <w:r>
          <w:rPr>
            <w:color w:val="1155CC"/>
            <w:sz w:val="20"/>
            <w:szCs w:val="20"/>
            <w:u w:val="single"/>
          </w:rPr>
          <w:t>https://doi.org/10.1038/s41587-019-0080-8</w:t>
        </w:r>
      </w:hyperlink>
      <w:r>
        <w:rPr>
          <w:sz w:val="20"/>
          <w:szCs w:val="20"/>
        </w:rPr>
        <w:t xml:space="preserve"> </w:t>
      </w:r>
    </w:p>
  </w:footnote>
  <w:footnote w:id="22">
    <w:p w14:paraId="47245345" w14:textId="77777777" w:rsidR="00C72888" w:rsidRDefault="009B46F2">
      <w:pPr>
        <w:spacing w:line="240" w:lineRule="auto"/>
        <w:rPr>
          <w:sz w:val="20"/>
          <w:szCs w:val="20"/>
        </w:rPr>
      </w:pPr>
      <w:r>
        <w:rPr>
          <w:vertAlign w:val="superscript"/>
        </w:rPr>
        <w:footnoteRef/>
      </w:r>
      <w:r>
        <w:rPr>
          <w:sz w:val="20"/>
          <w:szCs w:val="20"/>
        </w:rPr>
        <w:t xml:space="preserve"> https://doi.org/10.5438/z32p-wj46 </w:t>
      </w:r>
    </w:p>
  </w:footnote>
  <w:footnote w:id="23">
    <w:p w14:paraId="579B641E" w14:textId="77777777" w:rsidR="00C72888" w:rsidRDefault="009B46F2">
      <w:pPr>
        <w:spacing w:line="240" w:lineRule="auto"/>
        <w:rPr>
          <w:sz w:val="20"/>
          <w:szCs w:val="20"/>
        </w:rPr>
      </w:pPr>
      <w:r>
        <w:rPr>
          <w:vertAlign w:val="superscript"/>
        </w:rPr>
        <w:footnoteRef/>
      </w:r>
      <w:r>
        <w:rPr>
          <w:sz w:val="20"/>
          <w:szCs w:val="20"/>
        </w:rPr>
        <w:t xml:space="preserve"> </w:t>
      </w:r>
      <w:hyperlink r:id="rId22">
        <w:r>
          <w:rPr>
            <w:color w:val="1155CC"/>
            <w:sz w:val="20"/>
            <w:szCs w:val="20"/>
            <w:u w:val="single"/>
          </w:rPr>
          <w:t>https://osf.io/m2bce/?show=revision</w:t>
        </w:r>
      </w:hyperlink>
      <w:r>
        <w:rPr>
          <w:sz w:val="20"/>
          <w:szCs w:val="20"/>
        </w:rPr>
        <w:t xml:space="preserve">  </w:t>
      </w:r>
    </w:p>
  </w:footnote>
  <w:footnote w:id="24">
    <w:p w14:paraId="7F5CBBDF" w14:textId="77777777" w:rsidR="00C72888" w:rsidRDefault="009B46F2">
      <w:pPr>
        <w:spacing w:line="240" w:lineRule="auto"/>
        <w:rPr>
          <w:sz w:val="20"/>
          <w:szCs w:val="20"/>
        </w:rPr>
      </w:pPr>
      <w:r>
        <w:rPr>
          <w:vertAlign w:val="superscript"/>
        </w:rPr>
        <w:footnoteRef/>
      </w:r>
      <w:r>
        <w:rPr>
          <w:sz w:val="20"/>
          <w:szCs w:val="20"/>
        </w:rPr>
        <w:t xml:space="preserve"> </w:t>
      </w:r>
      <w:proofErr w:type="spellStart"/>
      <w:r>
        <w:rPr>
          <w:sz w:val="20"/>
          <w:szCs w:val="20"/>
        </w:rPr>
        <w:t>Datacite</w:t>
      </w:r>
      <w:proofErr w:type="spellEnd"/>
      <w:r>
        <w:rPr>
          <w:sz w:val="20"/>
          <w:szCs w:val="20"/>
        </w:rPr>
        <w:t xml:space="preserve"> (</w:t>
      </w:r>
      <w:hyperlink r:id="rId23">
        <w:r>
          <w:rPr>
            <w:color w:val="1155CC"/>
            <w:sz w:val="20"/>
            <w:szCs w:val="20"/>
            <w:u w:val="single"/>
          </w:rPr>
          <w:t>https://doi.org/10.5438/mbs5-tz08</w:t>
        </w:r>
      </w:hyperlink>
      <w:r>
        <w:rPr>
          <w:sz w:val="20"/>
          <w:szCs w:val="20"/>
        </w:rPr>
        <w:t xml:space="preserve">) </w:t>
      </w:r>
    </w:p>
  </w:footnote>
  <w:footnote w:id="25">
    <w:p w14:paraId="23A04636" w14:textId="77777777" w:rsidR="00C72888" w:rsidRDefault="009B46F2">
      <w:pPr>
        <w:spacing w:line="240" w:lineRule="auto"/>
        <w:rPr>
          <w:sz w:val="20"/>
          <w:szCs w:val="20"/>
        </w:rPr>
      </w:pPr>
      <w:r>
        <w:rPr>
          <w:vertAlign w:val="superscript"/>
        </w:rPr>
        <w:footnoteRef/>
      </w:r>
      <w:r>
        <w:rPr>
          <w:sz w:val="20"/>
          <w:szCs w:val="20"/>
        </w:rPr>
        <w:t xml:space="preserve"> Cambridge University Press (</w:t>
      </w:r>
      <w:hyperlink r:id="rId24">
        <w:r>
          <w:rPr>
            <w:color w:val="1155CC"/>
            <w:sz w:val="20"/>
            <w:szCs w:val="20"/>
            <w:u w:val="single"/>
          </w:rPr>
          <w:t>https://www.cambridge.org/core/blog/2019/12/10/openresearch-selecting-a-data-repository-criteria-that-matter</w:t>
        </w:r>
      </w:hyperlink>
      <w:r>
        <w:rPr>
          <w:sz w:val="20"/>
          <w:szCs w:val="20"/>
        </w:rPr>
        <w:t xml:space="preserve">); </w:t>
      </w:r>
      <w:proofErr w:type="spellStart"/>
      <w:r>
        <w:rPr>
          <w:sz w:val="20"/>
          <w:szCs w:val="20"/>
        </w:rPr>
        <w:t>eLife</w:t>
      </w:r>
      <w:proofErr w:type="spellEnd"/>
      <w:r>
        <w:rPr>
          <w:sz w:val="20"/>
          <w:szCs w:val="20"/>
        </w:rPr>
        <w:t xml:space="preserve"> (</w:t>
      </w:r>
      <w:hyperlink r:id="rId25">
        <w:r>
          <w:rPr>
            <w:color w:val="1155CC"/>
            <w:sz w:val="20"/>
            <w:szCs w:val="20"/>
            <w:u w:val="single"/>
          </w:rPr>
          <w:t>https://elifesciences.org/inside-elife/7b9ba7ef/elife-latest-criteria-for-data-repository-selection</w:t>
        </w:r>
      </w:hyperlink>
      <w:r>
        <w:rPr>
          <w:sz w:val="20"/>
          <w:szCs w:val="20"/>
        </w:rPr>
        <w:t>); Elsevier (</w:t>
      </w:r>
      <w:hyperlink r:id="rId26">
        <w:r>
          <w:rPr>
            <w:color w:val="1155CC"/>
            <w:sz w:val="20"/>
            <w:szCs w:val="20"/>
            <w:u w:val="single"/>
          </w:rPr>
          <w:t>https://www.elsevier.com/connect/share-your-thoughts-to-make-data-sharing-simpler-and-more-efficient</w:t>
        </w:r>
      </w:hyperlink>
      <w:r>
        <w:rPr>
          <w:sz w:val="20"/>
          <w:szCs w:val="20"/>
        </w:rPr>
        <w:t>); F1000Research (</w:t>
      </w:r>
      <w:hyperlink r:id="rId27">
        <w:r>
          <w:rPr>
            <w:color w:val="1155CC"/>
            <w:sz w:val="20"/>
            <w:szCs w:val="20"/>
            <w:u w:val="single"/>
          </w:rPr>
          <w:t>https://blog.f1000.com/2019/11/29/data-repository-selection-criteria-that-matter-request-for-comments</w:t>
        </w:r>
      </w:hyperlink>
      <w:r>
        <w:rPr>
          <w:sz w:val="20"/>
          <w:szCs w:val="20"/>
        </w:rPr>
        <w:t xml:space="preserve">); </w:t>
      </w:r>
      <w:proofErr w:type="spellStart"/>
      <w:r>
        <w:rPr>
          <w:sz w:val="20"/>
          <w:szCs w:val="20"/>
        </w:rPr>
        <w:t>GigaScience</w:t>
      </w:r>
      <w:proofErr w:type="spellEnd"/>
      <w:r>
        <w:rPr>
          <w:sz w:val="20"/>
          <w:szCs w:val="20"/>
        </w:rPr>
        <w:t xml:space="preserve"> (</w:t>
      </w:r>
      <w:hyperlink r:id="rId28">
        <w:r>
          <w:rPr>
            <w:color w:val="1155CC"/>
            <w:sz w:val="20"/>
            <w:szCs w:val="20"/>
            <w:u w:val="single"/>
          </w:rPr>
          <w:t>http://gigasciencejournal.com/blog/fairshari</w:t>
        </w:r>
        <w:r>
          <w:rPr>
            <w:color w:val="1155CC"/>
            <w:sz w:val="20"/>
            <w:szCs w:val="20"/>
            <w:u w:val="single"/>
          </w:rPr>
          <w:t>ng-data-repository-selection</w:t>
        </w:r>
      </w:hyperlink>
      <w:r>
        <w:rPr>
          <w:sz w:val="20"/>
          <w:szCs w:val="20"/>
        </w:rPr>
        <w:t xml:space="preserve">); </w:t>
      </w:r>
      <w:proofErr w:type="spellStart"/>
      <w:r>
        <w:rPr>
          <w:sz w:val="20"/>
          <w:szCs w:val="20"/>
        </w:rPr>
        <w:t>Hindawi</w:t>
      </w:r>
      <w:proofErr w:type="spellEnd"/>
      <w:r>
        <w:rPr>
          <w:sz w:val="20"/>
          <w:szCs w:val="20"/>
        </w:rPr>
        <w:t xml:space="preserve"> (</w:t>
      </w:r>
      <w:hyperlink r:id="rId29">
        <w:r>
          <w:rPr>
            <w:color w:val="1155CC"/>
            <w:sz w:val="20"/>
            <w:szCs w:val="20"/>
            <w:u w:val="single"/>
          </w:rPr>
          <w:t>https://about.hindawi.com/blog/data-repository-selection-criteria-that-matter-request-for-comments</w:t>
        </w:r>
      </w:hyperlink>
      <w:r>
        <w:rPr>
          <w:sz w:val="20"/>
          <w:szCs w:val="20"/>
        </w:rPr>
        <w:t>); PLOS (</w:t>
      </w:r>
      <w:hyperlink r:id="rId30">
        <w:r>
          <w:rPr>
            <w:color w:val="1155CC"/>
            <w:sz w:val="20"/>
            <w:szCs w:val="20"/>
            <w:u w:val="single"/>
          </w:rPr>
          <w:t>https://blogs.plos.org/plos/2019/11/request-for-comments-on-data-repository-selection-criteria-that-matter</w:t>
        </w:r>
      </w:hyperlink>
      <w:r>
        <w:rPr>
          <w:sz w:val="20"/>
          <w:szCs w:val="20"/>
        </w:rPr>
        <w:t>); Springer Nature (</w:t>
      </w:r>
      <w:hyperlink r:id="rId31">
        <w:r>
          <w:rPr>
            <w:color w:val="1155CC"/>
            <w:sz w:val="20"/>
            <w:szCs w:val="20"/>
            <w:u w:val="single"/>
          </w:rPr>
          <w:t>https://researchdata.springernature.com/users/69696-varsha-khodiyar/posts/57690-data-repos</w:t>
        </w:r>
        <w:r>
          <w:rPr>
            <w:color w:val="1155CC"/>
            <w:sz w:val="20"/>
            <w:szCs w:val="20"/>
            <w:u w:val="single"/>
          </w:rPr>
          <w:t>itory-selection-request-for-comments</w:t>
        </w:r>
      </w:hyperlink>
      <w:r>
        <w:rPr>
          <w:sz w:val="20"/>
          <w:szCs w:val="20"/>
        </w:rPr>
        <w:t>); Taylor and Francis (</w:t>
      </w:r>
      <w:hyperlink r:id="rId32">
        <w:r>
          <w:rPr>
            <w:color w:val="1155CC"/>
            <w:sz w:val="20"/>
            <w:szCs w:val="20"/>
            <w:u w:val="single"/>
          </w:rPr>
          <w:t>https://librarianresources.taylorandfrancis.com/data-repository-selection-criteria-</w:t>
        </w:r>
        <w:r>
          <w:rPr>
            <w:color w:val="1155CC"/>
            <w:sz w:val="20"/>
            <w:szCs w:val="20"/>
            <w:u w:val="single"/>
          </w:rPr>
          <w:t>that-matter</w:t>
        </w:r>
      </w:hyperlink>
      <w:r>
        <w:rPr>
          <w:sz w:val="20"/>
          <w:szCs w:val="20"/>
        </w:rPr>
        <w:t>); Wiley (</w:t>
      </w:r>
      <w:hyperlink r:id="rId33">
        <w:r>
          <w:rPr>
            <w:color w:val="1155CC"/>
            <w:sz w:val="20"/>
            <w:szCs w:val="20"/>
            <w:u w:val="single"/>
          </w:rPr>
          <w:t>https://www.wiley.com/network/researchers/latest-content/data-repository-selection-crit</w:t>
        </w:r>
        <w:r>
          <w:rPr>
            <w:color w:val="1155CC"/>
            <w:sz w:val="20"/>
            <w:szCs w:val="20"/>
            <w:u w:val="single"/>
          </w:rPr>
          <w:t>eria-that-matter-we-want-to-hear-from-you</w:t>
        </w:r>
      </w:hyperlink>
      <w:r>
        <w:rPr>
          <w:sz w:val="20"/>
          <w:szCs w:val="20"/>
        </w:rPr>
        <w:t xml:space="preserve">). </w:t>
      </w:r>
    </w:p>
  </w:footnote>
  <w:footnote w:id="26">
    <w:p w14:paraId="56B2442E" w14:textId="77777777" w:rsidR="00C72888" w:rsidRDefault="009B46F2">
      <w:pPr>
        <w:spacing w:line="240" w:lineRule="auto"/>
        <w:rPr>
          <w:sz w:val="20"/>
          <w:szCs w:val="20"/>
        </w:rPr>
      </w:pPr>
      <w:r>
        <w:rPr>
          <w:vertAlign w:val="superscript"/>
        </w:rPr>
        <w:footnoteRef/>
      </w:r>
      <w:r>
        <w:rPr>
          <w:sz w:val="20"/>
          <w:szCs w:val="20"/>
        </w:rPr>
        <w:t xml:space="preserve"> </w:t>
      </w:r>
      <w:hyperlink r:id="rId34">
        <w:r>
          <w:rPr>
            <w:color w:val="1155CC"/>
            <w:sz w:val="20"/>
            <w:szCs w:val="20"/>
            <w:u w:val="single"/>
          </w:rPr>
          <w:t>https://doi.org/10.5281/zenodo.4084763</w:t>
        </w:r>
      </w:hyperlink>
      <w:r>
        <w:rPr>
          <w:sz w:val="20"/>
          <w:szCs w:val="20"/>
        </w:rPr>
        <w:t xml:space="preserve"> </w:t>
      </w:r>
    </w:p>
  </w:footnote>
  <w:footnote w:id="27">
    <w:p w14:paraId="0FEE8C41" w14:textId="77777777" w:rsidR="00C72888" w:rsidRDefault="009B46F2">
      <w:pPr>
        <w:spacing w:line="240" w:lineRule="auto"/>
        <w:rPr>
          <w:sz w:val="20"/>
          <w:szCs w:val="20"/>
        </w:rPr>
      </w:pPr>
      <w:r>
        <w:rPr>
          <w:vertAlign w:val="superscript"/>
        </w:rPr>
        <w:footnoteRef/>
      </w:r>
      <w:r>
        <w:rPr>
          <w:sz w:val="20"/>
          <w:szCs w:val="20"/>
        </w:rPr>
        <w:t xml:space="preserve"> In a Funders policy session led by the Research Funders and Stakeholders on Open Research and Data Management Policies and Practices IG.</w:t>
      </w:r>
    </w:p>
  </w:footnote>
  <w:footnote w:id="28">
    <w:p w14:paraId="4D875089" w14:textId="77777777" w:rsidR="00C72888" w:rsidRDefault="009B46F2">
      <w:pPr>
        <w:spacing w:line="240" w:lineRule="auto"/>
        <w:rPr>
          <w:sz w:val="20"/>
          <w:szCs w:val="20"/>
        </w:rPr>
      </w:pPr>
      <w:r>
        <w:rPr>
          <w:vertAlign w:val="superscript"/>
        </w:rPr>
        <w:footnoteRef/>
      </w:r>
      <w:r>
        <w:rPr>
          <w:sz w:val="20"/>
          <w:szCs w:val="20"/>
        </w:rPr>
        <w:t xml:space="preserve"> </w:t>
      </w:r>
      <w:hyperlink r:id="rId35">
        <w:r>
          <w:rPr>
            <w:color w:val="1155CC"/>
            <w:sz w:val="20"/>
            <w:szCs w:val="20"/>
            <w:u w:val="single"/>
          </w:rPr>
          <w:t>https://www.coar-repositories.org/news-updates/input-to-data-repository-selection-criteria-that-matter</w:t>
        </w:r>
      </w:hyperlink>
      <w:r>
        <w:rPr>
          <w:sz w:val="20"/>
          <w:szCs w:val="20"/>
        </w:rPr>
        <w:t xml:space="preserve"> </w:t>
      </w:r>
    </w:p>
  </w:footnote>
  <w:footnote w:id="29">
    <w:p w14:paraId="5B297714" w14:textId="77777777" w:rsidR="00C72888" w:rsidRDefault="009B46F2">
      <w:pPr>
        <w:spacing w:line="240" w:lineRule="auto"/>
        <w:rPr>
          <w:sz w:val="20"/>
          <w:szCs w:val="20"/>
        </w:rPr>
      </w:pPr>
      <w:r>
        <w:rPr>
          <w:vertAlign w:val="superscript"/>
        </w:rPr>
        <w:footnoteRef/>
      </w:r>
      <w:r>
        <w:rPr>
          <w:sz w:val="20"/>
          <w:szCs w:val="20"/>
        </w:rPr>
        <w:t xml:space="preserve"> </w:t>
      </w:r>
      <w:hyperlink r:id="rId36">
        <w:r>
          <w:rPr>
            <w:color w:val="1155CC"/>
            <w:sz w:val="20"/>
            <w:szCs w:val="20"/>
            <w:u w:val="single"/>
          </w:rPr>
          <w:t>https://doi.org/10.5281/zenodo.4630588</w:t>
        </w:r>
      </w:hyperlink>
      <w:r>
        <w:rPr>
          <w:sz w:val="20"/>
          <w:szCs w:val="20"/>
        </w:rPr>
        <w:t xml:space="preserve"> </w:t>
      </w:r>
    </w:p>
  </w:footnote>
  <w:footnote w:id="30">
    <w:p w14:paraId="60CA15E7" w14:textId="77777777" w:rsidR="00C72888" w:rsidRDefault="009B46F2">
      <w:pPr>
        <w:spacing w:line="240" w:lineRule="auto"/>
        <w:rPr>
          <w:sz w:val="18"/>
          <w:szCs w:val="18"/>
        </w:rPr>
      </w:pPr>
      <w:r>
        <w:rPr>
          <w:vertAlign w:val="superscript"/>
        </w:rPr>
        <w:footnoteRef/>
      </w:r>
      <w:r>
        <w:rPr>
          <w:sz w:val="20"/>
          <w:szCs w:val="20"/>
        </w:rPr>
        <w:t xml:space="preserve"> </w:t>
      </w:r>
      <w:hyperlink r:id="rId37">
        <w:r>
          <w:rPr>
            <w:color w:val="1155CC"/>
            <w:sz w:val="20"/>
            <w:szCs w:val="20"/>
            <w:u w:val="single"/>
          </w:rPr>
          <w:t>https://doi.org/10.5281/zenodo.4458082</w:t>
        </w:r>
      </w:hyperlink>
      <w:r>
        <w:rPr>
          <w:sz w:val="20"/>
          <w:szCs w:val="20"/>
        </w:rPr>
        <w:t xml:space="preserve"> </w:t>
      </w:r>
    </w:p>
  </w:footnote>
  <w:footnote w:id="31">
    <w:p w14:paraId="43B71E60" w14:textId="77777777" w:rsidR="00C72888" w:rsidRDefault="009B46F2">
      <w:pPr>
        <w:spacing w:line="240" w:lineRule="auto"/>
        <w:rPr>
          <w:sz w:val="20"/>
          <w:szCs w:val="20"/>
        </w:rPr>
      </w:pPr>
      <w:r>
        <w:rPr>
          <w:vertAlign w:val="superscript"/>
        </w:rPr>
        <w:footnoteRef/>
      </w:r>
      <w:r>
        <w:rPr>
          <w:sz w:val="20"/>
          <w:szCs w:val="20"/>
        </w:rPr>
        <w:t xml:space="preserve"> The authors </w:t>
      </w:r>
      <w:proofErr w:type="spellStart"/>
      <w:r>
        <w:rPr>
          <w:sz w:val="20"/>
          <w:szCs w:val="20"/>
        </w:rPr>
        <w:t>recognise</w:t>
      </w:r>
      <w:proofErr w:type="spellEnd"/>
      <w:r>
        <w:rPr>
          <w:sz w:val="20"/>
          <w:szCs w:val="20"/>
        </w:rPr>
        <w:t xml:space="preserve"> that the title of a previous </w:t>
      </w:r>
      <w:r>
        <w:rPr>
          <w:sz w:val="20"/>
          <w:szCs w:val="20"/>
        </w:rPr>
        <w:t>version of the pre-print ‘Criteria that Matter’ raised concerns and obscured the intentions of the piece in starting a discussion on how to improve guidance for researchers.</w:t>
      </w:r>
    </w:p>
  </w:footnote>
  <w:footnote w:id="32">
    <w:p w14:paraId="63153272" w14:textId="77777777" w:rsidR="00C72888" w:rsidRDefault="009B46F2">
      <w:pPr>
        <w:spacing w:line="240" w:lineRule="auto"/>
        <w:rPr>
          <w:sz w:val="20"/>
          <w:szCs w:val="20"/>
        </w:rPr>
      </w:pPr>
      <w:r>
        <w:rPr>
          <w:vertAlign w:val="superscript"/>
        </w:rPr>
        <w:footnoteRef/>
      </w:r>
      <w:r>
        <w:rPr>
          <w:sz w:val="20"/>
          <w:szCs w:val="20"/>
        </w:rPr>
        <w:t xml:space="preserve"> TRUST principle - Responsibility: to be responsible for ensuring the a</w:t>
      </w:r>
      <w:r>
        <w:rPr>
          <w:sz w:val="20"/>
          <w:szCs w:val="20"/>
        </w:rPr>
        <w:t>uthenticity and integrity of data holdings and for the reliability and persistence of its service.</w:t>
      </w:r>
    </w:p>
  </w:footnote>
  <w:footnote w:id="33">
    <w:p w14:paraId="3F3D3CFF" w14:textId="77777777" w:rsidR="00C72888" w:rsidRDefault="009B46F2">
      <w:pPr>
        <w:spacing w:line="240" w:lineRule="auto"/>
        <w:rPr>
          <w:sz w:val="20"/>
          <w:szCs w:val="20"/>
        </w:rPr>
      </w:pPr>
      <w:r>
        <w:rPr>
          <w:vertAlign w:val="superscript"/>
        </w:rPr>
        <w:footnoteRef/>
      </w:r>
      <w:r>
        <w:rPr>
          <w:sz w:val="20"/>
          <w:szCs w:val="20"/>
        </w:rPr>
        <w:t xml:space="preserve"> These include CTS, ELIXIR Deposition Repositories, and the funder-specific guidance such as those from the USA NIH. </w:t>
      </w:r>
    </w:p>
  </w:footnote>
  <w:footnote w:id="34">
    <w:p w14:paraId="2B59C699" w14:textId="77777777" w:rsidR="00C72888" w:rsidRDefault="009B46F2">
      <w:pPr>
        <w:spacing w:line="240" w:lineRule="auto"/>
        <w:rPr>
          <w:sz w:val="20"/>
          <w:szCs w:val="20"/>
        </w:rPr>
      </w:pPr>
      <w:r>
        <w:rPr>
          <w:vertAlign w:val="superscript"/>
        </w:rPr>
        <w:footnoteRef/>
      </w:r>
      <w:r>
        <w:rPr>
          <w:sz w:val="20"/>
          <w:szCs w:val="20"/>
        </w:rPr>
        <w:t xml:space="preserve"> CTS R2 requirement - </w:t>
      </w:r>
      <w:proofErr w:type="spellStart"/>
      <w:r>
        <w:rPr>
          <w:sz w:val="20"/>
          <w:szCs w:val="20"/>
        </w:rPr>
        <w:t>Licence</w:t>
      </w:r>
      <w:proofErr w:type="spellEnd"/>
      <w:r>
        <w:rPr>
          <w:sz w:val="20"/>
          <w:szCs w:val="20"/>
        </w:rPr>
        <w:t>:  the r</w:t>
      </w:r>
      <w:r>
        <w:rPr>
          <w:sz w:val="20"/>
          <w:szCs w:val="20"/>
        </w:rPr>
        <w:t>epository maintains all applicable licenses covering data access and use and monitors compliance.</w:t>
      </w:r>
    </w:p>
  </w:footnote>
  <w:footnote w:id="35">
    <w:p w14:paraId="2E24ABC2" w14:textId="77777777" w:rsidR="00C72888" w:rsidRDefault="009B46F2">
      <w:pPr>
        <w:spacing w:line="240" w:lineRule="auto"/>
        <w:rPr>
          <w:sz w:val="20"/>
          <w:szCs w:val="20"/>
        </w:rPr>
      </w:pPr>
      <w:r>
        <w:rPr>
          <w:vertAlign w:val="superscript"/>
        </w:rPr>
        <w:footnoteRef/>
      </w:r>
      <w:r>
        <w:rPr>
          <w:sz w:val="20"/>
          <w:szCs w:val="20"/>
        </w:rPr>
        <w:t xml:space="preserve"> CTS R4 requirement - Confidentiality/Ethics: the repository ensures, to the extent possible, that data are created, curated, accessed, and used in complianc</w:t>
      </w:r>
      <w:r>
        <w:rPr>
          <w:sz w:val="20"/>
          <w:szCs w:val="20"/>
        </w:rPr>
        <w:t>e with disciplinary and ethical norms.</w:t>
      </w:r>
    </w:p>
  </w:footnote>
  <w:footnote w:id="36">
    <w:p w14:paraId="4FDDF297" w14:textId="77777777" w:rsidR="00C72888" w:rsidRDefault="009B46F2">
      <w:pPr>
        <w:spacing w:line="240" w:lineRule="auto"/>
        <w:rPr>
          <w:sz w:val="20"/>
          <w:szCs w:val="20"/>
        </w:rPr>
      </w:pPr>
      <w:r>
        <w:rPr>
          <w:vertAlign w:val="superscript"/>
        </w:rPr>
        <w:footnoteRef/>
      </w:r>
      <w:r>
        <w:rPr>
          <w:sz w:val="20"/>
          <w:szCs w:val="20"/>
        </w:rPr>
        <w:t xml:space="preserve"> CTS R7 requirement - Data integrity and authenticity: the repository guarantees the integrity and authenticity of the data.</w:t>
      </w:r>
    </w:p>
  </w:footnote>
  <w:footnote w:id="37">
    <w:p w14:paraId="10B05EC7" w14:textId="77777777" w:rsidR="00C72888" w:rsidRDefault="009B46F2">
      <w:pPr>
        <w:spacing w:line="240" w:lineRule="auto"/>
        <w:rPr>
          <w:sz w:val="20"/>
          <w:szCs w:val="20"/>
        </w:rPr>
      </w:pPr>
      <w:r>
        <w:rPr>
          <w:vertAlign w:val="superscript"/>
        </w:rPr>
        <w:footnoteRef/>
      </w:r>
      <w:r>
        <w:rPr>
          <w:sz w:val="20"/>
          <w:szCs w:val="20"/>
        </w:rPr>
        <w:t xml:space="preserve"> CTS R8 requirement - Appraisal: the repository accepts data and metadata based on defined</w:t>
      </w:r>
      <w:r>
        <w:rPr>
          <w:sz w:val="20"/>
          <w:szCs w:val="20"/>
        </w:rPr>
        <w:t xml:space="preserve"> criteria to ensure relevance and understandability for data users.</w:t>
      </w:r>
    </w:p>
  </w:footnote>
  <w:footnote w:id="38">
    <w:p w14:paraId="5930BC8D" w14:textId="77777777" w:rsidR="00C72888" w:rsidRDefault="009B46F2">
      <w:pPr>
        <w:spacing w:line="240" w:lineRule="auto"/>
        <w:rPr>
          <w:sz w:val="20"/>
          <w:szCs w:val="20"/>
        </w:rPr>
      </w:pPr>
      <w:r>
        <w:rPr>
          <w:vertAlign w:val="superscript"/>
        </w:rPr>
        <w:footnoteRef/>
      </w:r>
      <w:r>
        <w:rPr>
          <w:sz w:val="20"/>
          <w:szCs w:val="20"/>
        </w:rPr>
        <w:t xml:space="preserve"> CTS R14 requirement - Data reuse: the repository enables reuse of the data over time, ensuring that appropriate metadata are available to support the understanding and use of the data.</w:t>
      </w:r>
    </w:p>
  </w:footnote>
  <w:footnote w:id="39">
    <w:p w14:paraId="3DBE5945" w14:textId="77777777" w:rsidR="00C72888" w:rsidRDefault="009B46F2">
      <w:pPr>
        <w:spacing w:line="240" w:lineRule="auto"/>
        <w:rPr>
          <w:sz w:val="20"/>
          <w:szCs w:val="20"/>
          <w:vertAlign w:val="superscript"/>
        </w:rPr>
      </w:pPr>
      <w:r>
        <w:rPr>
          <w:vertAlign w:val="superscript"/>
        </w:rPr>
        <w:footnoteRef/>
      </w:r>
      <w:r>
        <w:rPr>
          <w:sz w:val="20"/>
          <w:szCs w:val="20"/>
          <w:vertAlign w:val="superscript"/>
        </w:rPr>
        <w:t xml:space="preserve"> </w:t>
      </w:r>
      <w:r>
        <w:rPr>
          <w:sz w:val="20"/>
          <w:szCs w:val="20"/>
        </w:rPr>
        <w:t>TRUST principle - Responsibility: to be responsible for ensuring the authenticity and integrity of data holdings and for the reliability and persistence of its service.</w:t>
      </w:r>
    </w:p>
  </w:footnote>
  <w:footnote w:id="40">
    <w:p w14:paraId="4A73830F" w14:textId="77777777" w:rsidR="00C72888" w:rsidRDefault="009B46F2">
      <w:pPr>
        <w:spacing w:line="240" w:lineRule="auto"/>
        <w:rPr>
          <w:sz w:val="20"/>
          <w:szCs w:val="20"/>
          <w:vertAlign w:val="superscript"/>
        </w:rPr>
      </w:pPr>
      <w:r>
        <w:rPr>
          <w:vertAlign w:val="superscript"/>
        </w:rPr>
        <w:footnoteRef/>
      </w:r>
      <w:r>
        <w:rPr>
          <w:sz w:val="20"/>
          <w:szCs w:val="20"/>
          <w:vertAlign w:val="superscript"/>
        </w:rPr>
        <w:t xml:space="preserve"> </w:t>
      </w:r>
      <w:r>
        <w:rPr>
          <w:sz w:val="20"/>
          <w:szCs w:val="20"/>
        </w:rPr>
        <w:t>CTS R0 requirement - Context: the repository level of curation</w:t>
      </w:r>
    </w:p>
  </w:footnote>
  <w:footnote w:id="41">
    <w:p w14:paraId="4C77ABDE" w14:textId="77777777" w:rsidR="00C72888" w:rsidRDefault="009B46F2">
      <w:pPr>
        <w:spacing w:line="240" w:lineRule="auto"/>
        <w:rPr>
          <w:sz w:val="20"/>
          <w:szCs w:val="20"/>
        </w:rPr>
      </w:pPr>
      <w:r>
        <w:rPr>
          <w:vertAlign w:val="superscript"/>
        </w:rPr>
        <w:footnoteRef/>
      </w:r>
      <w:r>
        <w:rPr>
          <w:sz w:val="20"/>
          <w:szCs w:val="20"/>
        </w:rPr>
        <w:t xml:space="preserve"> CTS R8 requirement </w:t>
      </w:r>
      <w:r>
        <w:rPr>
          <w:sz w:val="20"/>
          <w:szCs w:val="20"/>
        </w:rPr>
        <w:t>- Appraisal: the repository accepts data and metadata based on defined criteria to ensure relevance and understandability for data users.</w:t>
      </w:r>
    </w:p>
  </w:footnote>
  <w:footnote w:id="42">
    <w:p w14:paraId="26094030" w14:textId="77777777" w:rsidR="00C72888" w:rsidRDefault="009B46F2">
      <w:pPr>
        <w:spacing w:line="240" w:lineRule="auto"/>
        <w:rPr>
          <w:sz w:val="20"/>
          <w:szCs w:val="20"/>
        </w:rPr>
      </w:pPr>
      <w:r>
        <w:rPr>
          <w:vertAlign w:val="superscript"/>
        </w:rPr>
        <w:footnoteRef/>
      </w:r>
      <w:r>
        <w:rPr>
          <w:sz w:val="20"/>
          <w:szCs w:val="20"/>
        </w:rPr>
        <w:t xml:space="preserve"> CTS R11 requirement - Data quality: the repository has appropriate expertise to address technical data and metadata </w:t>
      </w:r>
      <w:r>
        <w:rPr>
          <w:sz w:val="20"/>
          <w:szCs w:val="20"/>
        </w:rPr>
        <w:t>quality and ensures that sufficient information is available for end users to make quality- related evaluations.</w:t>
      </w:r>
    </w:p>
  </w:footnote>
  <w:footnote w:id="43">
    <w:p w14:paraId="4BF0316D" w14:textId="77777777" w:rsidR="00C72888" w:rsidRDefault="009B46F2">
      <w:pPr>
        <w:spacing w:line="240" w:lineRule="auto"/>
        <w:rPr>
          <w:sz w:val="20"/>
          <w:szCs w:val="20"/>
        </w:rPr>
      </w:pPr>
      <w:r>
        <w:rPr>
          <w:vertAlign w:val="superscript"/>
        </w:rPr>
        <w:footnoteRef/>
      </w:r>
      <w:r>
        <w:rPr>
          <w:sz w:val="20"/>
          <w:szCs w:val="20"/>
        </w:rPr>
        <w:t xml:space="preserve"> CTS R5 requirement - Organizational infrastructure: the repository has adequate funding (and sufficient numbers of qualified staff managed through a clear system of governance to effectively carry out the mission).</w:t>
      </w:r>
    </w:p>
  </w:footnote>
  <w:footnote w:id="44">
    <w:p w14:paraId="58A50115" w14:textId="77777777" w:rsidR="00C72888" w:rsidRDefault="009B46F2">
      <w:pPr>
        <w:spacing w:line="240" w:lineRule="auto"/>
        <w:rPr>
          <w:sz w:val="20"/>
          <w:szCs w:val="20"/>
          <w:vertAlign w:val="superscript"/>
        </w:rPr>
      </w:pPr>
      <w:r>
        <w:rPr>
          <w:vertAlign w:val="superscript"/>
        </w:rPr>
        <w:footnoteRef/>
      </w:r>
      <w:r>
        <w:rPr>
          <w:sz w:val="20"/>
          <w:szCs w:val="20"/>
          <w:vertAlign w:val="superscript"/>
        </w:rPr>
        <w:t xml:space="preserve"> </w:t>
      </w:r>
      <w:r>
        <w:rPr>
          <w:sz w:val="20"/>
          <w:szCs w:val="20"/>
        </w:rPr>
        <w:t>TRUST principle - Responsibility: to b</w:t>
      </w:r>
      <w:r>
        <w:rPr>
          <w:sz w:val="20"/>
          <w:szCs w:val="20"/>
        </w:rPr>
        <w:t>e responsible for ensuring the authenticity and integrity of data holdings and for the reliability and persistence of its service.</w:t>
      </w:r>
    </w:p>
  </w:footnote>
  <w:footnote w:id="45">
    <w:p w14:paraId="4D275E57" w14:textId="77777777" w:rsidR="00C72888" w:rsidRDefault="009B46F2">
      <w:pPr>
        <w:spacing w:line="240" w:lineRule="auto"/>
        <w:rPr>
          <w:sz w:val="20"/>
          <w:szCs w:val="20"/>
        </w:rPr>
      </w:pPr>
      <w:r>
        <w:rPr>
          <w:vertAlign w:val="superscript"/>
        </w:rPr>
        <w:footnoteRef/>
      </w:r>
      <w:r>
        <w:rPr>
          <w:sz w:val="20"/>
          <w:szCs w:val="20"/>
        </w:rPr>
        <w:t xml:space="preserve"> CTS R0 requirement - Data discovery and identification: the repository enables users to discover the data and refer to them</w:t>
      </w:r>
      <w:r>
        <w:rPr>
          <w:sz w:val="20"/>
          <w:szCs w:val="20"/>
        </w:rPr>
        <w:t xml:space="preserve"> in a persistent way through proper citation.</w:t>
      </w:r>
    </w:p>
  </w:footnote>
  <w:footnote w:id="46">
    <w:p w14:paraId="7A5B1607" w14:textId="77777777" w:rsidR="00C72888" w:rsidRDefault="009B46F2">
      <w:pPr>
        <w:spacing w:line="240" w:lineRule="auto"/>
        <w:rPr>
          <w:sz w:val="20"/>
          <w:szCs w:val="20"/>
        </w:rPr>
      </w:pPr>
      <w:r>
        <w:rPr>
          <w:vertAlign w:val="superscript"/>
        </w:rPr>
        <w:footnoteRef/>
      </w:r>
      <w:r>
        <w:rPr>
          <w:sz w:val="20"/>
          <w:szCs w:val="20"/>
        </w:rPr>
        <w:t xml:space="preserve"> TRUST principle - Transparency: to be transparent about specific repository services and data holdings that are verifiable by publicly accessible evidence. </w:t>
      </w:r>
    </w:p>
  </w:footnote>
  <w:footnote w:id="47">
    <w:p w14:paraId="1369165D" w14:textId="77777777" w:rsidR="00C72888" w:rsidRDefault="009B46F2">
      <w:pPr>
        <w:spacing w:line="240" w:lineRule="auto"/>
        <w:rPr>
          <w:sz w:val="20"/>
          <w:szCs w:val="20"/>
        </w:rPr>
      </w:pPr>
      <w:r>
        <w:rPr>
          <w:vertAlign w:val="superscript"/>
        </w:rPr>
        <w:footnoteRef/>
      </w:r>
      <w:r>
        <w:rPr>
          <w:sz w:val="20"/>
          <w:szCs w:val="20"/>
        </w:rPr>
        <w:t xml:space="preserve"> CTS R0 requirement - Context: the repository type</w:t>
      </w:r>
    </w:p>
  </w:footnote>
  <w:footnote w:id="48">
    <w:p w14:paraId="418B9F2A" w14:textId="77777777" w:rsidR="00C72888" w:rsidRDefault="009B46F2">
      <w:pPr>
        <w:spacing w:line="240" w:lineRule="auto"/>
        <w:rPr>
          <w:sz w:val="20"/>
          <w:szCs w:val="20"/>
        </w:rPr>
      </w:pPr>
      <w:r>
        <w:rPr>
          <w:vertAlign w:val="superscript"/>
        </w:rPr>
        <w:footnoteRef/>
      </w:r>
      <w:r>
        <w:rPr>
          <w:sz w:val="20"/>
          <w:szCs w:val="20"/>
        </w:rPr>
        <w:t xml:space="preserve"> TRUST principle - Technology: to provide infrastructure and capabilities to support secure, persistent, and reliable services. </w:t>
      </w:r>
    </w:p>
  </w:footnote>
  <w:footnote w:id="49">
    <w:p w14:paraId="2465DCA3" w14:textId="77777777" w:rsidR="00C72888" w:rsidRDefault="009B46F2">
      <w:pPr>
        <w:spacing w:line="240" w:lineRule="auto"/>
        <w:rPr>
          <w:sz w:val="20"/>
          <w:szCs w:val="20"/>
        </w:rPr>
      </w:pPr>
      <w:r>
        <w:rPr>
          <w:vertAlign w:val="superscript"/>
        </w:rPr>
        <w:footnoteRef/>
      </w:r>
      <w:r>
        <w:rPr>
          <w:sz w:val="20"/>
          <w:szCs w:val="20"/>
        </w:rPr>
        <w:t xml:space="preserve"> TRUST principle - Sustainability: to sustain services and preserve data holdings for the long-term.</w:t>
      </w:r>
    </w:p>
  </w:footnote>
  <w:footnote w:id="50">
    <w:p w14:paraId="72CE0C8A" w14:textId="77777777" w:rsidR="00C72888" w:rsidRDefault="009B46F2">
      <w:pPr>
        <w:spacing w:line="240" w:lineRule="auto"/>
        <w:rPr>
          <w:sz w:val="20"/>
          <w:szCs w:val="20"/>
        </w:rPr>
      </w:pPr>
      <w:r>
        <w:rPr>
          <w:vertAlign w:val="superscript"/>
        </w:rPr>
        <w:footnoteRef/>
      </w:r>
      <w:r>
        <w:rPr>
          <w:sz w:val="20"/>
          <w:szCs w:val="20"/>
        </w:rPr>
        <w:t xml:space="preserve"> CTS R3 requirement - Continuity of Access: the repository has a continuity plan to ensure ongoing access to and preservation of its holdings.</w:t>
      </w:r>
    </w:p>
  </w:footnote>
  <w:footnote w:id="51">
    <w:p w14:paraId="65C3F43B" w14:textId="77777777" w:rsidR="00C72888" w:rsidRDefault="009B46F2">
      <w:pPr>
        <w:spacing w:line="240" w:lineRule="auto"/>
        <w:rPr>
          <w:sz w:val="20"/>
          <w:szCs w:val="20"/>
        </w:rPr>
      </w:pPr>
      <w:r>
        <w:rPr>
          <w:vertAlign w:val="superscript"/>
        </w:rPr>
        <w:footnoteRef/>
      </w:r>
      <w:r>
        <w:rPr>
          <w:sz w:val="20"/>
          <w:szCs w:val="20"/>
        </w:rPr>
        <w:t xml:space="preserve"> TRUST principle - User Focus: to ensure that the data management norms and expectations of target user communit</w:t>
      </w:r>
      <w:r>
        <w:rPr>
          <w:sz w:val="20"/>
          <w:szCs w:val="20"/>
        </w:rPr>
        <w:t>ies are met.</w:t>
      </w:r>
    </w:p>
  </w:footnote>
  <w:footnote w:id="52">
    <w:p w14:paraId="297D5D11" w14:textId="77777777" w:rsidR="00C72888" w:rsidRDefault="009B46F2">
      <w:pPr>
        <w:spacing w:line="240" w:lineRule="auto"/>
        <w:rPr>
          <w:sz w:val="20"/>
          <w:szCs w:val="20"/>
          <w:vertAlign w:val="superscript"/>
        </w:rPr>
      </w:pPr>
      <w:r>
        <w:rPr>
          <w:vertAlign w:val="superscript"/>
        </w:rPr>
        <w:footnoteRef/>
      </w:r>
      <w:r>
        <w:rPr>
          <w:sz w:val="20"/>
          <w:szCs w:val="20"/>
          <w:vertAlign w:val="superscript"/>
        </w:rPr>
        <w:t xml:space="preserve"> </w:t>
      </w:r>
      <w:r>
        <w:rPr>
          <w:sz w:val="20"/>
          <w:szCs w:val="20"/>
        </w:rPr>
        <w:t xml:space="preserve"> TRUST principle - Transparency: to be transparent about specific repository services and data holdings that are verifiable by publicly accessible evidence. </w:t>
      </w:r>
    </w:p>
  </w:footnote>
  <w:footnote w:id="53">
    <w:p w14:paraId="496822A7" w14:textId="77777777" w:rsidR="00C72888" w:rsidRDefault="009B46F2">
      <w:pPr>
        <w:spacing w:line="240" w:lineRule="auto"/>
        <w:rPr>
          <w:sz w:val="20"/>
          <w:szCs w:val="20"/>
        </w:rPr>
      </w:pPr>
      <w:r>
        <w:rPr>
          <w:vertAlign w:val="superscript"/>
        </w:rPr>
        <w:footnoteRef/>
      </w:r>
      <w:r>
        <w:rPr>
          <w:sz w:val="20"/>
          <w:szCs w:val="20"/>
        </w:rPr>
        <w:t xml:space="preserve"> CTS R7 requirement - Data integrity and authenticity: the repository guarantees t</w:t>
      </w:r>
      <w:r>
        <w:rPr>
          <w:sz w:val="20"/>
          <w:szCs w:val="20"/>
        </w:rPr>
        <w:t>he integrity and authenticity of the data.</w:t>
      </w:r>
    </w:p>
  </w:footnote>
  <w:footnote w:id="54">
    <w:p w14:paraId="3B063377" w14:textId="67571BD4" w:rsidR="00C72888" w:rsidRDefault="009B46F2">
      <w:pPr>
        <w:spacing w:line="240" w:lineRule="auto"/>
        <w:rPr>
          <w:sz w:val="20"/>
          <w:szCs w:val="20"/>
        </w:rPr>
      </w:pPr>
      <w:r>
        <w:rPr>
          <w:vertAlign w:val="superscript"/>
        </w:rPr>
        <w:footnoteRef/>
      </w:r>
      <w:r>
        <w:rPr>
          <w:sz w:val="20"/>
          <w:szCs w:val="20"/>
        </w:rPr>
        <w:t xml:space="preserve"> CTS R9 requirement - </w:t>
      </w:r>
      <w:r>
        <w:rPr>
          <w:sz w:val="20"/>
          <w:szCs w:val="20"/>
        </w:rPr>
        <w:t>Documented storage procedures: the repository applies documented processes and procedures in managing archival storage of the data.</w:t>
      </w:r>
    </w:p>
  </w:footnote>
  <w:footnote w:id="55">
    <w:p w14:paraId="77F12B0D" w14:textId="77777777" w:rsidR="00C72888" w:rsidRDefault="009B46F2">
      <w:pPr>
        <w:spacing w:line="240" w:lineRule="auto"/>
        <w:rPr>
          <w:sz w:val="20"/>
          <w:szCs w:val="20"/>
        </w:rPr>
      </w:pPr>
      <w:r>
        <w:rPr>
          <w:vertAlign w:val="superscript"/>
        </w:rPr>
        <w:footnoteRef/>
      </w:r>
      <w:r>
        <w:rPr>
          <w:sz w:val="20"/>
          <w:szCs w:val="20"/>
        </w:rPr>
        <w:t xml:space="preserve"> CTS R10 requirement - Preservation plan: the repository</w:t>
      </w:r>
      <w:r>
        <w:rPr>
          <w:sz w:val="20"/>
          <w:szCs w:val="20"/>
        </w:rPr>
        <w:t xml:space="preserve"> assumes responsibility for long-term preservation and manages this function in a planned and documented way.</w:t>
      </w:r>
    </w:p>
  </w:footnote>
  <w:footnote w:id="56">
    <w:p w14:paraId="7A0D9538" w14:textId="77777777" w:rsidR="00C72888" w:rsidRDefault="009B46F2">
      <w:pPr>
        <w:spacing w:line="240" w:lineRule="auto"/>
        <w:rPr>
          <w:sz w:val="20"/>
          <w:szCs w:val="20"/>
        </w:rPr>
      </w:pPr>
      <w:r>
        <w:rPr>
          <w:vertAlign w:val="superscript"/>
        </w:rPr>
        <w:footnoteRef/>
      </w:r>
      <w:r>
        <w:rPr>
          <w:sz w:val="20"/>
          <w:szCs w:val="20"/>
        </w:rPr>
        <w:t xml:space="preserve"> CTS R2 requirement - </w:t>
      </w:r>
      <w:proofErr w:type="spellStart"/>
      <w:r>
        <w:rPr>
          <w:sz w:val="20"/>
          <w:szCs w:val="20"/>
        </w:rPr>
        <w:t>Licence</w:t>
      </w:r>
      <w:proofErr w:type="spellEnd"/>
      <w:r>
        <w:rPr>
          <w:sz w:val="20"/>
          <w:szCs w:val="20"/>
        </w:rPr>
        <w:t xml:space="preserve">:  the repository maintains all applicable licenses covering data access and use and monitors compliance. </w:t>
      </w:r>
    </w:p>
  </w:footnote>
  <w:footnote w:id="57">
    <w:p w14:paraId="76227D27" w14:textId="77777777" w:rsidR="00C72888" w:rsidRDefault="009B46F2">
      <w:pPr>
        <w:spacing w:line="240" w:lineRule="auto"/>
        <w:rPr>
          <w:sz w:val="20"/>
          <w:szCs w:val="20"/>
        </w:rPr>
      </w:pPr>
      <w:r>
        <w:rPr>
          <w:vertAlign w:val="superscript"/>
        </w:rPr>
        <w:footnoteRef/>
      </w:r>
      <w:r>
        <w:rPr>
          <w:sz w:val="20"/>
          <w:szCs w:val="20"/>
        </w:rPr>
        <w:t xml:space="preserve"> CTS R4 </w:t>
      </w:r>
      <w:r>
        <w:rPr>
          <w:sz w:val="20"/>
          <w:szCs w:val="20"/>
        </w:rPr>
        <w:t>requirement - Confidentiality/Ethics: the repository ensures, to the extent possible, that data are created, curated, accessed, and used in compliance with disciplinary and ethical norms.</w:t>
      </w:r>
    </w:p>
  </w:footnote>
  <w:footnote w:id="58">
    <w:p w14:paraId="24282C18" w14:textId="77777777" w:rsidR="00C72888" w:rsidRDefault="009B46F2">
      <w:pPr>
        <w:spacing w:line="240" w:lineRule="auto"/>
        <w:rPr>
          <w:sz w:val="20"/>
          <w:szCs w:val="20"/>
        </w:rPr>
      </w:pPr>
      <w:r>
        <w:rPr>
          <w:vertAlign w:val="superscript"/>
        </w:rPr>
        <w:footnoteRef/>
      </w:r>
      <w:r>
        <w:rPr>
          <w:sz w:val="20"/>
          <w:szCs w:val="20"/>
        </w:rPr>
        <w:t xml:space="preserve"> CTS R7 requirement - Data integrity and authenticity: the reposito</w:t>
      </w:r>
      <w:r>
        <w:rPr>
          <w:sz w:val="20"/>
          <w:szCs w:val="20"/>
        </w:rPr>
        <w:t>ry guarantees the integrity and authenticity of the data.</w:t>
      </w:r>
    </w:p>
  </w:footnote>
  <w:footnote w:id="59">
    <w:p w14:paraId="34304FFD" w14:textId="77777777" w:rsidR="00C72888" w:rsidRDefault="009B46F2">
      <w:pPr>
        <w:spacing w:line="240" w:lineRule="auto"/>
        <w:rPr>
          <w:sz w:val="20"/>
          <w:szCs w:val="20"/>
        </w:rPr>
      </w:pPr>
      <w:r>
        <w:rPr>
          <w:vertAlign w:val="superscript"/>
        </w:rPr>
        <w:footnoteRef/>
      </w:r>
      <w:r>
        <w:rPr>
          <w:sz w:val="20"/>
          <w:szCs w:val="20"/>
        </w:rPr>
        <w:t xml:space="preserve">  </w:t>
      </w:r>
      <w:hyperlink r:id="rId38">
        <w:r>
          <w:rPr>
            <w:color w:val="1155CC"/>
            <w:sz w:val="20"/>
            <w:szCs w:val="20"/>
            <w:u w:val="single"/>
          </w:rPr>
          <w:t>https://www.rd-alliance.org/plenaries/rda-17th-plenary-meeting-edinburgh-virtual/repository-features-across-initiativ</w:t>
        </w:r>
        <w:r>
          <w:rPr>
            <w:color w:val="1155CC"/>
            <w:sz w:val="20"/>
            <w:szCs w:val="20"/>
            <w:u w:val="single"/>
          </w:rPr>
          <w:t>es-0</w:t>
        </w:r>
      </w:hyperlink>
      <w:r>
        <w:rPr>
          <w:sz w:val="20"/>
          <w:szCs w:val="20"/>
        </w:rPr>
        <w:t xml:space="preserve">  </w:t>
      </w:r>
    </w:p>
  </w:footnote>
  <w:footnote w:id="60">
    <w:p w14:paraId="3C796A63" w14:textId="77777777" w:rsidR="00C72888" w:rsidRDefault="009B46F2">
      <w:pPr>
        <w:spacing w:line="240" w:lineRule="auto"/>
        <w:rPr>
          <w:sz w:val="20"/>
          <w:szCs w:val="20"/>
        </w:rPr>
      </w:pPr>
      <w:r>
        <w:rPr>
          <w:vertAlign w:val="superscript"/>
        </w:rPr>
        <w:footnoteRef/>
      </w:r>
      <w:r>
        <w:rPr>
          <w:sz w:val="20"/>
          <w:szCs w:val="20"/>
        </w:rPr>
        <w:t xml:space="preserve"> </w:t>
      </w:r>
      <w:hyperlink r:id="rId39">
        <w:r>
          <w:rPr>
            <w:color w:val="1155CC"/>
            <w:sz w:val="20"/>
            <w:szCs w:val="20"/>
            <w:u w:val="single"/>
          </w:rPr>
          <w:t>https://rd-alliance.org/user/login?destination=group/node/44787/subscribe/og_user_node</w:t>
        </w:r>
      </w:hyperlink>
      <w:r>
        <w:rPr>
          <w:sz w:val="20"/>
          <w:szCs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D1DCA5" w14:textId="77777777" w:rsidR="006316A8" w:rsidRDefault="006316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DB2F9A" w14:textId="77777777" w:rsidR="006316A8" w:rsidRDefault="006316A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016031" w14:textId="77777777" w:rsidR="006316A8" w:rsidRDefault="006316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B5617"/>
    <w:multiLevelType w:val="multilevel"/>
    <w:tmpl w:val="F2AE9C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74A6308"/>
    <w:multiLevelType w:val="multilevel"/>
    <w:tmpl w:val="EE62E9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6CC4118"/>
    <w:multiLevelType w:val="multilevel"/>
    <w:tmpl w:val="EEAA75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AD20D67"/>
    <w:multiLevelType w:val="multilevel"/>
    <w:tmpl w:val="9C74A7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EC76501"/>
    <w:multiLevelType w:val="multilevel"/>
    <w:tmpl w:val="67A0BD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61C04547"/>
    <w:multiLevelType w:val="multilevel"/>
    <w:tmpl w:val="FC865C5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4"/>
  </w:num>
  <w:num w:numId="2">
    <w:abstractNumId w:val="0"/>
  </w:num>
  <w:num w:numId="3">
    <w:abstractNumId w:val="3"/>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888"/>
    <w:rsid w:val="00614434"/>
    <w:rsid w:val="006316A8"/>
    <w:rsid w:val="00701DC7"/>
    <w:rsid w:val="009B46F2"/>
    <w:rsid w:val="00B3178D"/>
    <w:rsid w:val="00BB494D"/>
    <w:rsid w:val="00C72888"/>
    <w:rsid w:val="00C83403"/>
    <w:rsid w:val="00CB76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9AB190"/>
  <w15:docId w15:val="{B40D9932-A2FE-B047-ACDB-7D658EC1E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6316A8"/>
    <w:pPr>
      <w:tabs>
        <w:tab w:val="center" w:pos="4513"/>
        <w:tab w:val="right" w:pos="9026"/>
      </w:tabs>
      <w:spacing w:line="240" w:lineRule="auto"/>
    </w:pPr>
  </w:style>
  <w:style w:type="character" w:customStyle="1" w:styleId="HeaderChar">
    <w:name w:val="Header Char"/>
    <w:basedOn w:val="DefaultParagraphFont"/>
    <w:link w:val="Header"/>
    <w:uiPriority w:val="99"/>
    <w:rsid w:val="006316A8"/>
  </w:style>
  <w:style w:type="paragraph" w:styleId="Footer">
    <w:name w:val="footer"/>
    <w:basedOn w:val="Normal"/>
    <w:link w:val="FooterChar"/>
    <w:uiPriority w:val="99"/>
    <w:unhideWhenUsed/>
    <w:rsid w:val="006316A8"/>
    <w:pPr>
      <w:tabs>
        <w:tab w:val="center" w:pos="4513"/>
        <w:tab w:val="right" w:pos="9026"/>
      </w:tabs>
      <w:spacing w:line="240" w:lineRule="auto"/>
    </w:pPr>
  </w:style>
  <w:style w:type="character" w:customStyle="1" w:styleId="FooterChar">
    <w:name w:val="Footer Char"/>
    <w:basedOn w:val="DefaultParagraphFont"/>
    <w:link w:val="Footer"/>
    <w:uiPriority w:val="99"/>
    <w:rsid w:val="006316A8"/>
  </w:style>
  <w:style w:type="paragraph" w:styleId="BalloonText">
    <w:name w:val="Balloon Text"/>
    <w:basedOn w:val="Normal"/>
    <w:link w:val="BalloonTextChar"/>
    <w:uiPriority w:val="99"/>
    <w:semiHidden/>
    <w:unhideWhenUsed/>
    <w:rsid w:val="006316A8"/>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316A8"/>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docs.google.com/spreadsheets/d/19bptRYOBdlsEg6Hwv7m2gO1Z1EHJPeLYan1AuRRUmNA/ed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3" Type="http://schemas.openxmlformats.org/officeDocument/2006/relationships/hyperlink" Target="https://fairsharing.org/communities" TargetMode="External"/><Relationship Id="rId18" Type="http://schemas.openxmlformats.org/officeDocument/2006/relationships/hyperlink" Target="https://doi.org/10.5281/zenodo.4110829" TargetMode="External"/><Relationship Id="rId26" Type="http://schemas.openxmlformats.org/officeDocument/2006/relationships/hyperlink" Target="https://www.elsevier.com/connect/share-your-thoughts-to-make-data-sharing-simpler-and-more-efficient" TargetMode="External"/><Relationship Id="rId39" Type="http://schemas.openxmlformats.org/officeDocument/2006/relationships/hyperlink" Target="https://rd-alliance.org/user/login?destination=group/node/44787/subscribe/og_user_node" TargetMode="External"/><Relationship Id="rId21" Type="http://schemas.openxmlformats.org/officeDocument/2006/relationships/hyperlink" Target="https://doi.org/10.1038/s41587-019-0080-8" TargetMode="External"/><Relationship Id="rId34" Type="http://schemas.openxmlformats.org/officeDocument/2006/relationships/hyperlink" Target="https://doi.org/10.5281/zenodo.4084763" TargetMode="External"/><Relationship Id="rId7" Type="http://schemas.openxmlformats.org/officeDocument/2006/relationships/hyperlink" Target="https://ec.europa.eu/research/participants/data/ref/h2020/other/hi/oa-pilot/h2020-guidelines-oa-covid-19_en.pdf" TargetMode="External"/><Relationship Id="rId12" Type="http://schemas.openxmlformats.org/officeDocument/2006/relationships/hyperlink" Target="https://fairsharing.org" TargetMode="External"/><Relationship Id="rId17" Type="http://schemas.openxmlformats.org/officeDocument/2006/relationships/hyperlink" Target="https://doi.org/10.1038/s41597-020-0486-7" TargetMode="External"/><Relationship Id="rId25" Type="http://schemas.openxmlformats.org/officeDocument/2006/relationships/hyperlink" Target="https://elifesciences.org/inside-elife/7b9ba7ef/elife-latest-criteria-for-data-repository-selection" TargetMode="External"/><Relationship Id="rId33" Type="http://schemas.openxmlformats.org/officeDocument/2006/relationships/hyperlink" Target="https://www.wiley.com/network/researchers/latest-content/data-repository-selection-criteria-that-matter-we-want-to-hear-from-you" TargetMode="External"/><Relationship Id="rId38" Type="http://schemas.openxmlformats.org/officeDocument/2006/relationships/hyperlink" Target="https://www.rd-alliance.org/plenaries/rda-17th-plenary-meeting-edinburgh-virtual/repository-features-across-initiatives-0" TargetMode="External"/><Relationship Id="rId2" Type="http://schemas.openxmlformats.org/officeDocument/2006/relationships/hyperlink" Target="https://doi.org/10.6084/m9.figshare.13227875.v2" TargetMode="External"/><Relationship Id="rId16" Type="http://schemas.openxmlformats.org/officeDocument/2006/relationships/hyperlink" Target="https://www.coretrustseal.org" TargetMode="External"/><Relationship Id="rId20" Type="http://schemas.openxmlformats.org/officeDocument/2006/relationships/hyperlink" Target="https://scienceeurope.org/our-priorities/research-data/research-data-management" TargetMode="External"/><Relationship Id="rId29" Type="http://schemas.openxmlformats.org/officeDocument/2006/relationships/hyperlink" Target="https://about.hindawi.com/blog/data-repository-selection-criteria-that-matter-request-for-comments" TargetMode="External"/><Relationship Id="rId1" Type="http://schemas.openxmlformats.org/officeDocument/2006/relationships/hyperlink" Target="https://doi.org/10.1038/sdata.2016.18" TargetMode="External"/><Relationship Id="rId6" Type="http://schemas.openxmlformats.org/officeDocument/2006/relationships/hyperlink" Target="https://wellcome.ac.uk/coronavirus-covid-19/open-data" TargetMode="External"/><Relationship Id="rId11" Type="http://schemas.openxmlformats.org/officeDocument/2006/relationships/hyperlink" Target="https://rd-alliance.org/group/fairsharing-registry-connecting-data-policies-standards-databases.html" TargetMode="External"/><Relationship Id="rId24" Type="http://schemas.openxmlformats.org/officeDocument/2006/relationships/hyperlink" Target="https://www.cambridge.org/core/blog/2019/12/10/openresearch-selecting-a-data-repository-criteria-that-matter" TargetMode="External"/><Relationship Id="rId32" Type="http://schemas.openxmlformats.org/officeDocument/2006/relationships/hyperlink" Target="https://librarianresources.taylorandfrancis.com/data-repository-selection-criteria-that-matter" TargetMode="External"/><Relationship Id="rId37" Type="http://schemas.openxmlformats.org/officeDocument/2006/relationships/hyperlink" Target="https://doi.org/10.5281/zenodo.4458082" TargetMode="External"/><Relationship Id="rId5" Type="http://schemas.openxmlformats.org/officeDocument/2006/relationships/hyperlink" Target="https://fairsharing.org/recommendations/" TargetMode="External"/><Relationship Id="rId15" Type="http://schemas.openxmlformats.org/officeDocument/2006/relationships/hyperlink" Target="https://elixir-europe.org/platforms/data/elixir-deposition-databases" TargetMode="External"/><Relationship Id="rId23" Type="http://schemas.openxmlformats.org/officeDocument/2006/relationships/hyperlink" Target="https://doi.org/10.5438/mbs5-tz08" TargetMode="External"/><Relationship Id="rId28" Type="http://schemas.openxmlformats.org/officeDocument/2006/relationships/hyperlink" Target="http://gigasciencejournal.com/blog/fairsharing-data-repository-selection" TargetMode="External"/><Relationship Id="rId36" Type="http://schemas.openxmlformats.org/officeDocument/2006/relationships/hyperlink" Target="https://doi.org/10.5281/zenodo.4630588" TargetMode="External"/><Relationship Id="rId10" Type="http://schemas.openxmlformats.org/officeDocument/2006/relationships/hyperlink" Target="http://dx.doi.org/10.1038/s41597-019-0031-8" TargetMode="External"/><Relationship Id="rId19" Type="http://schemas.openxmlformats.org/officeDocument/2006/relationships/hyperlink" Target="https://www.nlm.nih.gov/NIHbmic/nih_data_sharing_repositories.html" TargetMode="External"/><Relationship Id="rId31" Type="http://schemas.openxmlformats.org/officeDocument/2006/relationships/hyperlink" Target="https://researchdata.springernature.com/users/69696-varsha-khodiyar/posts/57690-data-repository-selection-request-for-comments" TargetMode="External"/><Relationship Id="rId4" Type="http://schemas.openxmlformats.org/officeDocument/2006/relationships/hyperlink" Target="https://datadryad.org/docs/JointDataArchivingPolicy.pdf" TargetMode="External"/><Relationship Id="rId9" Type="http://schemas.openxmlformats.org/officeDocument/2006/relationships/hyperlink" Target="https://www.force11.org/group/dcip" TargetMode="External"/><Relationship Id="rId14" Type="http://schemas.openxmlformats.org/officeDocument/2006/relationships/hyperlink" Target="https://doi.org/10.2218/ijdc.v9i1.309" TargetMode="External"/><Relationship Id="rId22" Type="http://schemas.openxmlformats.org/officeDocument/2006/relationships/hyperlink" Target="https://osf.io/m2bce/?show=revision" TargetMode="External"/><Relationship Id="rId27" Type="http://schemas.openxmlformats.org/officeDocument/2006/relationships/hyperlink" Target="https://blog.f1000.com/2019/11/29/data-repository-selection-criteria-that-matter-request-for-comments" TargetMode="External"/><Relationship Id="rId30" Type="http://schemas.openxmlformats.org/officeDocument/2006/relationships/hyperlink" Target="https://blogs.plos.org/plos/2019/11/request-for-comments-on-data-repository-selection-criteria-that-matter" TargetMode="External"/><Relationship Id="rId35" Type="http://schemas.openxmlformats.org/officeDocument/2006/relationships/hyperlink" Target="https://www.coar-repositories.org/news-updates/input-to-data-repository-selection-criteria-that-matter" TargetMode="External"/><Relationship Id="rId8" Type="http://schemas.openxmlformats.org/officeDocument/2006/relationships/hyperlink" Target="https://oaspa.org/data-deposition-required-for-all-c19-rapid-review-publishers" TargetMode="External"/><Relationship Id="rId3" Type="http://schemas.openxmlformats.org/officeDocument/2006/relationships/hyperlink" Target="http://doi.org/10.5334/dsj-2020-00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4003</Words>
  <Characters>22822</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Susanna-A Sansone</cp:lastModifiedBy>
  <cp:revision>2</cp:revision>
  <dcterms:created xsi:type="dcterms:W3CDTF">2021-04-13T14:39:00Z</dcterms:created>
  <dcterms:modified xsi:type="dcterms:W3CDTF">2021-04-13T14:39:00Z</dcterms:modified>
</cp:coreProperties>
</file>