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D08CB19" w14:textId="235D4073" w:rsidR="0074190F" w:rsidRPr="005A24AB" w:rsidRDefault="000C4877" w:rsidP="00634D4F">
      <w:pPr>
        <w:pStyle w:val="Title"/>
      </w:pPr>
      <w:r w:rsidRPr="000C4877">
        <w:t xml:space="preserve">Novel methodology </w:t>
      </w:r>
      <w:r w:rsidRPr="00E54AB9">
        <w:t>and platform</w:t>
      </w:r>
      <w:r>
        <w:t xml:space="preserve"> </w:t>
      </w:r>
      <w:r w:rsidRPr="000C4877">
        <w:t>for NZEB renovation of residential buildings</w:t>
      </w:r>
      <w:r w:rsidR="0074190F" w:rsidRPr="006803EB">
        <w:t xml:space="preserve"> </w:t>
      </w:r>
    </w:p>
    <w:p w14:paraId="0D08CB1A" w14:textId="638C97DB" w:rsidR="0074190F" w:rsidRDefault="000C4877" w:rsidP="00F44727">
      <w:pPr>
        <w:pStyle w:val="BodyText"/>
        <w:ind w:right="-7"/>
        <w:jc w:val="center"/>
        <w:rPr>
          <w:rFonts w:ascii="Arial" w:hAnsi="Arial" w:cs="Arial"/>
          <w:sz w:val="22"/>
          <w:szCs w:val="22"/>
          <w:lang w:val="en-US"/>
        </w:rPr>
      </w:pPr>
      <w:r w:rsidRPr="00F44727">
        <w:rPr>
          <w:rFonts w:ascii="Arial" w:hAnsi="Arial" w:cs="Arial"/>
          <w:sz w:val="22"/>
          <w:szCs w:val="22"/>
          <w:lang w:val="en-US"/>
        </w:rPr>
        <w:t>Yovko Ivanov Antonov</w:t>
      </w:r>
      <w:r w:rsidRPr="00F44727">
        <w:rPr>
          <w:rFonts w:ascii="Arial" w:hAnsi="Arial" w:cs="Arial"/>
          <w:sz w:val="22"/>
          <w:szCs w:val="22"/>
          <w:vertAlign w:val="superscript"/>
          <w:lang w:val="en-US"/>
        </w:rPr>
        <w:t>1</w:t>
      </w:r>
      <w:r w:rsidR="00492446" w:rsidRPr="00F44727">
        <w:rPr>
          <w:rFonts w:ascii="Arial" w:hAnsi="Arial" w:cs="Arial"/>
          <w:sz w:val="22"/>
          <w:szCs w:val="22"/>
          <w:lang w:val="en-US"/>
        </w:rPr>
        <w:t xml:space="preserve">, </w:t>
      </w:r>
      <w:r w:rsidRPr="00F44727">
        <w:rPr>
          <w:rFonts w:ascii="Arial" w:hAnsi="Arial" w:cs="Arial"/>
          <w:sz w:val="22"/>
          <w:szCs w:val="22"/>
          <w:lang w:val="en-US"/>
        </w:rPr>
        <w:t>Per Heiselberg</w:t>
      </w:r>
      <w:r w:rsidRPr="00F44727">
        <w:rPr>
          <w:rFonts w:ascii="Arial" w:hAnsi="Arial" w:cs="Arial"/>
          <w:sz w:val="22"/>
          <w:szCs w:val="22"/>
          <w:vertAlign w:val="superscript"/>
          <w:lang w:val="en-US"/>
        </w:rPr>
        <w:t>1</w:t>
      </w:r>
      <w:r w:rsidR="008A1C67">
        <w:rPr>
          <w:rFonts w:ascii="Arial" w:hAnsi="Arial" w:cs="Arial"/>
          <w:sz w:val="22"/>
          <w:szCs w:val="22"/>
          <w:lang w:val="en-US"/>
        </w:rPr>
        <w:t>,</w:t>
      </w:r>
      <w:r w:rsidRPr="00F44727">
        <w:rPr>
          <w:rFonts w:ascii="Arial" w:hAnsi="Arial" w:cs="Arial"/>
          <w:sz w:val="22"/>
          <w:szCs w:val="22"/>
          <w:lang w:val="en-US"/>
        </w:rPr>
        <w:t xml:space="preserve"> </w:t>
      </w:r>
      <w:r w:rsidR="00F44727" w:rsidRPr="00F44727">
        <w:rPr>
          <w:rFonts w:ascii="Arial" w:hAnsi="Arial" w:cs="Arial"/>
          <w:sz w:val="22"/>
          <w:szCs w:val="22"/>
          <w:lang w:val="en-US"/>
        </w:rPr>
        <w:t>Julien Egger</w:t>
      </w:r>
      <w:r w:rsidR="00F44727" w:rsidRPr="00F44727">
        <w:rPr>
          <w:rFonts w:ascii="Arial" w:hAnsi="Arial" w:cs="Arial"/>
          <w:sz w:val="22"/>
          <w:szCs w:val="22"/>
          <w:vertAlign w:val="superscript"/>
          <w:lang w:val="en-US"/>
        </w:rPr>
        <w:t xml:space="preserve"> </w:t>
      </w:r>
      <w:r w:rsidRPr="000C4877">
        <w:rPr>
          <w:rFonts w:ascii="Arial" w:hAnsi="Arial" w:cs="Arial"/>
          <w:sz w:val="22"/>
          <w:szCs w:val="22"/>
          <w:vertAlign w:val="superscript"/>
          <w:lang w:val="en-US"/>
        </w:rPr>
        <w:t>2</w:t>
      </w:r>
      <w:r>
        <w:rPr>
          <w:rFonts w:ascii="Arial" w:hAnsi="Arial" w:cs="Arial"/>
          <w:sz w:val="22"/>
          <w:szCs w:val="22"/>
          <w:lang w:val="en-US"/>
        </w:rPr>
        <w:t xml:space="preserve">, </w:t>
      </w:r>
      <w:r w:rsidR="007B7C29" w:rsidRPr="007B7C29">
        <w:rPr>
          <w:rFonts w:ascii="Arial" w:hAnsi="Arial" w:cs="Arial"/>
          <w:sz w:val="22"/>
          <w:szCs w:val="22"/>
          <w:lang w:val="en-US"/>
        </w:rPr>
        <w:t>Flourentzou Flourentzos</w:t>
      </w:r>
      <w:r w:rsidRPr="000C4877">
        <w:rPr>
          <w:rFonts w:ascii="Arial" w:hAnsi="Arial" w:cs="Arial"/>
          <w:sz w:val="22"/>
          <w:szCs w:val="22"/>
          <w:vertAlign w:val="superscript"/>
          <w:lang w:val="en-US"/>
        </w:rPr>
        <w:t>3</w:t>
      </w:r>
      <w:r w:rsidR="007A155A">
        <w:rPr>
          <w:rFonts w:ascii="Arial" w:hAnsi="Arial" w:cs="Arial"/>
          <w:sz w:val="22"/>
          <w:szCs w:val="22"/>
          <w:lang w:val="en-US"/>
        </w:rPr>
        <w:t xml:space="preserve"> and </w:t>
      </w:r>
      <w:r>
        <w:rPr>
          <w:rFonts w:ascii="Arial" w:hAnsi="Arial" w:cs="Arial"/>
          <w:sz w:val="22"/>
          <w:szCs w:val="22"/>
          <w:lang w:val="en-US"/>
        </w:rPr>
        <w:t>Michal Pomianowski</w:t>
      </w:r>
      <w:r w:rsidRPr="000C4877">
        <w:rPr>
          <w:rFonts w:ascii="Arial" w:hAnsi="Arial" w:cs="Arial"/>
          <w:sz w:val="22"/>
          <w:szCs w:val="22"/>
          <w:vertAlign w:val="superscript"/>
          <w:lang w:val="en-US"/>
        </w:rPr>
        <w:t>1</w:t>
      </w:r>
      <w:r w:rsidR="00BE6CA6">
        <w:rPr>
          <w:rFonts w:ascii="Arial" w:hAnsi="Arial" w:cs="Arial"/>
          <w:sz w:val="22"/>
          <w:szCs w:val="22"/>
          <w:lang w:val="en-US"/>
        </w:rPr>
        <w:t xml:space="preserve"> </w:t>
      </w:r>
    </w:p>
    <w:p w14:paraId="0D08CB1C" w14:textId="4A3B5199" w:rsidR="0074190F" w:rsidRDefault="00F44727" w:rsidP="0074190F">
      <w:pPr>
        <w:pStyle w:val="BodyText"/>
        <w:ind w:right="-7"/>
        <w:jc w:val="center"/>
        <w:rPr>
          <w:rFonts w:ascii="Arial" w:hAnsi="Arial" w:cs="Arial"/>
          <w:sz w:val="22"/>
          <w:szCs w:val="22"/>
        </w:rPr>
      </w:pPr>
      <w:r w:rsidRPr="00F44727">
        <w:rPr>
          <w:rFonts w:ascii="Arial" w:hAnsi="Arial" w:cs="Arial"/>
          <w:sz w:val="22"/>
          <w:szCs w:val="22"/>
          <w:vertAlign w:val="superscript"/>
        </w:rPr>
        <w:t>1</w:t>
      </w:r>
      <w:r w:rsidR="0074190F" w:rsidRPr="002B1EA5">
        <w:rPr>
          <w:rFonts w:ascii="Arial" w:hAnsi="Arial" w:cs="Arial"/>
          <w:sz w:val="22"/>
          <w:szCs w:val="22"/>
        </w:rPr>
        <w:t>Department</w:t>
      </w:r>
      <w:r w:rsidR="00492446">
        <w:rPr>
          <w:rFonts w:ascii="Arial" w:hAnsi="Arial" w:cs="Arial"/>
          <w:sz w:val="22"/>
          <w:szCs w:val="22"/>
        </w:rPr>
        <w:t xml:space="preserve"> of </w:t>
      </w:r>
      <w:r w:rsidR="000C4877">
        <w:rPr>
          <w:rFonts w:ascii="Arial" w:hAnsi="Arial" w:cs="Arial"/>
          <w:sz w:val="22"/>
          <w:szCs w:val="22"/>
        </w:rPr>
        <w:t>the Build</w:t>
      </w:r>
      <w:r w:rsidR="00492446">
        <w:rPr>
          <w:rFonts w:ascii="Arial" w:hAnsi="Arial" w:cs="Arial"/>
          <w:sz w:val="22"/>
          <w:szCs w:val="22"/>
        </w:rPr>
        <w:t xml:space="preserve"> </w:t>
      </w:r>
      <w:r w:rsidR="000C4877">
        <w:rPr>
          <w:rFonts w:ascii="Arial" w:hAnsi="Arial" w:cs="Arial"/>
          <w:sz w:val="22"/>
          <w:szCs w:val="22"/>
        </w:rPr>
        <w:t>Environment</w:t>
      </w:r>
      <w:r w:rsidR="0074190F" w:rsidRPr="002B1EA5">
        <w:rPr>
          <w:rFonts w:ascii="Arial" w:hAnsi="Arial" w:cs="Arial"/>
          <w:sz w:val="22"/>
          <w:szCs w:val="22"/>
        </w:rPr>
        <w:t xml:space="preserve">, </w:t>
      </w:r>
      <w:r w:rsidR="000C4877">
        <w:rPr>
          <w:rFonts w:ascii="Arial" w:hAnsi="Arial" w:cs="Arial"/>
          <w:sz w:val="22"/>
          <w:szCs w:val="22"/>
        </w:rPr>
        <w:t xml:space="preserve">Aalborg </w:t>
      </w:r>
      <w:r w:rsidR="00492446">
        <w:rPr>
          <w:rFonts w:ascii="Arial" w:hAnsi="Arial" w:cs="Arial"/>
          <w:sz w:val="22"/>
          <w:szCs w:val="22"/>
        </w:rPr>
        <w:t>University</w:t>
      </w:r>
      <w:r w:rsidR="0074190F">
        <w:rPr>
          <w:rFonts w:ascii="Arial" w:hAnsi="Arial" w:cs="Arial"/>
          <w:sz w:val="22"/>
          <w:szCs w:val="22"/>
        </w:rPr>
        <w:t>,</w:t>
      </w:r>
      <w:r w:rsidR="000C4877">
        <w:rPr>
          <w:rFonts w:ascii="Arial" w:hAnsi="Arial" w:cs="Arial"/>
          <w:sz w:val="22"/>
          <w:szCs w:val="22"/>
        </w:rPr>
        <w:t xml:space="preserve"> Aalborg,</w:t>
      </w:r>
      <w:r w:rsidR="0074190F">
        <w:rPr>
          <w:rFonts w:ascii="Arial" w:hAnsi="Arial" w:cs="Arial"/>
          <w:sz w:val="22"/>
          <w:szCs w:val="22"/>
        </w:rPr>
        <w:t xml:space="preserve"> </w:t>
      </w:r>
      <w:r w:rsidR="000C4877">
        <w:rPr>
          <w:rFonts w:ascii="Arial" w:hAnsi="Arial" w:cs="Arial"/>
          <w:sz w:val="22"/>
          <w:szCs w:val="22"/>
        </w:rPr>
        <w:t>Denmark</w:t>
      </w:r>
      <w:r w:rsidR="00492446">
        <w:rPr>
          <w:rFonts w:ascii="Arial" w:hAnsi="Arial" w:cs="Arial"/>
          <w:sz w:val="22"/>
          <w:szCs w:val="22"/>
        </w:rPr>
        <w:t xml:space="preserve">, </w:t>
      </w:r>
      <w:hyperlink r:id="rId11" w:history="1">
        <w:r w:rsidRPr="00E33930">
          <w:rPr>
            <w:rStyle w:val="Hyperlink"/>
            <w:rFonts w:ascii="Arial" w:hAnsi="Arial" w:cs="Arial"/>
            <w:sz w:val="22"/>
            <w:szCs w:val="22"/>
          </w:rPr>
          <w:t>yia@civil.aau.dk</w:t>
        </w:r>
      </w:hyperlink>
    </w:p>
    <w:p w14:paraId="0D08CB1D" w14:textId="2FFB8E2E" w:rsidR="0074190F" w:rsidRPr="00E54AB9" w:rsidRDefault="00F44727" w:rsidP="00F44727">
      <w:pPr>
        <w:pStyle w:val="BodyText"/>
        <w:ind w:right="-7"/>
        <w:jc w:val="center"/>
        <w:rPr>
          <w:rFonts w:ascii="Arial" w:hAnsi="Arial" w:cs="Arial"/>
          <w:sz w:val="20"/>
          <w:lang w:val="fr-FR"/>
        </w:rPr>
      </w:pPr>
      <w:r w:rsidRPr="00E54AB9">
        <w:rPr>
          <w:rFonts w:ascii="Arial" w:hAnsi="Arial" w:cs="Arial"/>
          <w:sz w:val="22"/>
          <w:szCs w:val="22"/>
          <w:vertAlign w:val="superscript"/>
          <w:lang w:val="fr-FR"/>
        </w:rPr>
        <w:t>2</w:t>
      </w:r>
      <w:r w:rsidRPr="00E54AB9">
        <w:rPr>
          <w:lang w:val="fr-FR"/>
        </w:rPr>
        <w:t xml:space="preserve">Groupe E Greenwatt SA, Granges-Paccot, Switzerland, </w:t>
      </w:r>
      <w:r w:rsidRPr="00E54AB9">
        <w:rPr>
          <w:vertAlign w:val="superscript"/>
          <w:lang w:val="fr-FR"/>
        </w:rPr>
        <w:t>3</w:t>
      </w:r>
      <w:r w:rsidRPr="00E54AB9">
        <w:rPr>
          <w:lang w:val="fr-FR"/>
        </w:rPr>
        <w:t xml:space="preserve">Estia SA, Lausanne, Switzerland </w:t>
      </w:r>
    </w:p>
    <w:p w14:paraId="0D08CB1E" w14:textId="77777777" w:rsidR="00FB22DB" w:rsidRPr="00E54AB9" w:rsidRDefault="00FB22DB" w:rsidP="0074190F">
      <w:pPr>
        <w:pStyle w:val="BodyText"/>
        <w:ind w:right="-7"/>
        <w:rPr>
          <w:rFonts w:ascii="Arial" w:hAnsi="Arial" w:cs="Arial"/>
          <w:sz w:val="20"/>
          <w:lang w:val="fr-FR"/>
        </w:rPr>
      </w:pPr>
    </w:p>
    <w:p w14:paraId="3AC2B2D8" w14:textId="1C423323" w:rsidR="001F7EC4" w:rsidRDefault="0074190F" w:rsidP="00015049">
      <w:pPr>
        <w:pStyle w:val="SummaryHead"/>
        <w:spacing w:line="240" w:lineRule="auto"/>
        <w:ind w:right="-7"/>
      </w:pPr>
      <w:r w:rsidRPr="00775B4D">
        <w:rPr>
          <w:rFonts w:ascii="Arial" w:hAnsi="Arial" w:cs="Arial"/>
          <w:kern w:val="28"/>
          <w:sz w:val="24"/>
          <w:szCs w:val="24"/>
          <w:lang w:val="en-US"/>
        </w:rPr>
        <w:t>Abstract</w:t>
      </w:r>
    </w:p>
    <w:p w14:paraId="69F59279" w14:textId="45E1EC10" w:rsidR="001F7EC4" w:rsidRDefault="002A1539" w:rsidP="00015049">
      <w:pPr>
        <w:ind w:right="-108"/>
        <w:jc w:val="both"/>
        <w:rPr>
          <w:rFonts w:ascii="Arial" w:hAnsi="Arial" w:cs="Arial"/>
        </w:rPr>
      </w:pPr>
      <w:r>
        <w:rPr>
          <w:rFonts w:ascii="Arial" w:hAnsi="Arial" w:cs="Arial"/>
        </w:rPr>
        <w:t>Renovation of the existing building stock is a vital part of reaching upcoming energy savings and CO</w:t>
      </w:r>
      <w:r w:rsidRPr="00015049">
        <w:rPr>
          <w:rFonts w:ascii="Arial" w:hAnsi="Arial" w:cs="Arial"/>
          <w:vertAlign w:val="subscript"/>
        </w:rPr>
        <w:t>2</w:t>
      </w:r>
      <w:r>
        <w:rPr>
          <w:rFonts w:ascii="Arial" w:hAnsi="Arial" w:cs="Arial"/>
        </w:rPr>
        <w:t xml:space="preserve"> emission targets. The </w:t>
      </w:r>
      <w:r w:rsidR="00D56477">
        <w:rPr>
          <w:rFonts w:ascii="Arial" w:hAnsi="Arial" w:cs="Arial"/>
        </w:rPr>
        <w:t>European Union (</w:t>
      </w:r>
      <w:r>
        <w:rPr>
          <w:rFonts w:ascii="Arial" w:hAnsi="Arial" w:cs="Arial"/>
        </w:rPr>
        <w:t>EU</w:t>
      </w:r>
      <w:r w:rsidR="00D56477">
        <w:rPr>
          <w:rFonts w:ascii="Arial" w:hAnsi="Arial" w:cs="Arial"/>
        </w:rPr>
        <w:t>)</w:t>
      </w:r>
      <w:r>
        <w:rPr>
          <w:rFonts w:ascii="Arial" w:hAnsi="Arial" w:cs="Arial"/>
        </w:rPr>
        <w:t xml:space="preserve"> continuously </w:t>
      </w:r>
      <w:r w:rsidR="00D56477">
        <w:rPr>
          <w:rFonts w:ascii="Arial" w:hAnsi="Arial" w:cs="Arial"/>
        </w:rPr>
        <w:t>publishes</w:t>
      </w:r>
      <w:r>
        <w:rPr>
          <w:rFonts w:ascii="Arial" w:hAnsi="Arial" w:cs="Arial"/>
        </w:rPr>
        <w:t xml:space="preserve"> directives and guidance to support the transition of existing buildings to nearly-Zero Energy Buildings. </w:t>
      </w:r>
      <w:r w:rsidR="00D56477">
        <w:rPr>
          <w:rFonts w:ascii="Arial" w:hAnsi="Arial" w:cs="Arial"/>
        </w:rPr>
        <w:t xml:space="preserve">A method for calculation of cost-optimal levels for minimum energy performance was introduced in 2012. Its aim is to compare and select different renovation alternatives, based on energy savings and global costs. It has been successfully applied on a package </w:t>
      </w:r>
      <w:r w:rsidR="0031262D">
        <w:rPr>
          <w:rFonts w:ascii="Arial" w:hAnsi="Arial" w:cs="Arial"/>
        </w:rPr>
        <w:t>level;</w:t>
      </w:r>
      <w:r w:rsidR="00D56477">
        <w:rPr>
          <w:rFonts w:ascii="Arial" w:hAnsi="Arial" w:cs="Arial"/>
        </w:rPr>
        <w:t xml:space="preserve"> however</w:t>
      </w:r>
      <w:r w:rsidR="005538D2">
        <w:rPr>
          <w:rFonts w:ascii="Arial" w:hAnsi="Arial" w:cs="Arial"/>
        </w:rPr>
        <w:t xml:space="preserve">, its complexity </w:t>
      </w:r>
      <w:r w:rsidR="00D56477">
        <w:rPr>
          <w:rFonts w:ascii="Arial" w:hAnsi="Arial" w:cs="Arial"/>
        </w:rPr>
        <w:t xml:space="preserve">has restricted it from being used for comparing renovation alternatives between </w:t>
      </w:r>
      <w:r w:rsidR="007570E4">
        <w:rPr>
          <w:rFonts w:ascii="Arial" w:hAnsi="Arial" w:cs="Arial"/>
        </w:rPr>
        <w:t xml:space="preserve">single components </w:t>
      </w:r>
      <w:r w:rsidR="00D56477">
        <w:rPr>
          <w:rFonts w:ascii="Arial" w:hAnsi="Arial" w:cs="Arial"/>
        </w:rPr>
        <w:t>with the same and different function</w:t>
      </w:r>
      <w:r w:rsidR="005538D2">
        <w:rPr>
          <w:rFonts w:ascii="Arial" w:hAnsi="Arial" w:cs="Arial"/>
        </w:rPr>
        <w:t>s</w:t>
      </w:r>
      <w:r w:rsidR="00D56477">
        <w:rPr>
          <w:rFonts w:ascii="Arial" w:hAnsi="Arial" w:cs="Arial"/>
        </w:rPr>
        <w:t xml:space="preserve">. </w:t>
      </w:r>
      <w:r w:rsidR="00DC5D5B">
        <w:rPr>
          <w:rFonts w:ascii="Arial" w:hAnsi="Arial" w:cs="Arial"/>
        </w:rPr>
        <w:t xml:space="preserve">This paper presents a methodology for determination of a simplified value linking economical and efficiency parameters on a component level. The value allows for fast overview of cost-benefit of different renovation alternatives between components and systems. It serves a decision-making aid for compilation of renovation packages, which are further evaluated with the cost-optimal approach. </w:t>
      </w:r>
      <w:r w:rsidR="0031262D">
        <w:rPr>
          <w:rFonts w:ascii="Arial" w:hAnsi="Arial" w:cs="Arial"/>
        </w:rPr>
        <w:t xml:space="preserve">The paper also introduces novel refurbishment assessment platform that can assist decision makers </w:t>
      </w:r>
      <w:r w:rsidR="00B87CD7">
        <w:rPr>
          <w:rFonts w:ascii="Arial" w:hAnsi="Arial" w:cs="Arial"/>
        </w:rPr>
        <w:t xml:space="preserve">with fast </w:t>
      </w:r>
      <w:r w:rsidR="0031262D">
        <w:rPr>
          <w:rFonts w:ascii="Arial" w:hAnsi="Arial" w:cs="Arial"/>
        </w:rPr>
        <w:t xml:space="preserve">compilation of refurbishment packages incorporating key aspects of the presented methodology. The current functionality of the platform is </w:t>
      </w:r>
      <w:r w:rsidR="00F11158">
        <w:rPr>
          <w:rFonts w:ascii="Arial" w:hAnsi="Arial" w:cs="Arial"/>
        </w:rPr>
        <w:t>showcased</w:t>
      </w:r>
      <w:r w:rsidR="007570E4">
        <w:rPr>
          <w:rFonts w:ascii="Arial" w:hAnsi="Arial" w:cs="Arial"/>
        </w:rPr>
        <w:t xml:space="preserve"> at the end of the paper</w:t>
      </w:r>
      <w:r w:rsidR="00F11158">
        <w:rPr>
          <w:rFonts w:ascii="Arial" w:hAnsi="Arial" w:cs="Arial"/>
        </w:rPr>
        <w:t xml:space="preserve"> </w:t>
      </w:r>
      <w:r w:rsidR="0031262D">
        <w:rPr>
          <w:rFonts w:ascii="Arial" w:hAnsi="Arial" w:cs="Arial"/>
        </w:rPr>
        <w:t xml:space="preserve">by a </w:t>
      </w:r>
      <w:r w:rsidR="00B87CD7">
        <w:rPr>
          <w:rFonts w:ascii="Arial" w:hAnsi="Arial" w:cs="Arial"/>
        </w:rPr>
        <w:t>case study</w:t>
      </w:r>
      <w:r w:rsidR="00F11158">
        <w:rPr>
          <w:rFonts w:ascii="Arial" w:hAnsi="Arial" w:cs="Arial"/>
        </w:rPr>
        <w:t>.</w:t>
      </w:r>
    </w:p>
    <w:p w14:paraId="0D08CB25" w14:textId="77777777" w:rsidR="0074190F" w:rsidRPr="00542CC9" w:rsidRDefault="004A70C9" w:rsidP="008062E4">
      <w:pPr>
        <w:pStyle w:val="Heading1"/>
        <w:spacing w:line="240" w:lineRule="auto"/>
        <w:ind w:right="-7"/>
        <w:rPr>
          <w:rFonts w:ascii="Arial" w:hAnsi="Arial" w:cs="Arial"/>
          <w:sz w:val="24"/>
          <w:szCs w:val="24"/>
          <w:lang w:val="en-US"/>
        </w:rPr>
      </w:pPr>
      <w:r>
        <w:rPr>
          <w:rFonts w:ascii="Arial" w:hAnsi="Arial" w:cs="Arial"/>
          <w:sz w:val="24"/>
          <w:szCs w:val="24"/>
          <w:lang w:val="en-US"/>
        </w:rPr>
        <w:t>Introduction</w:t>
      </w:r>
    </w:p>
    <w:p w14:paraId="0C6ABD51" w14:textId="57DCF84B" w:rsidR="00F434F6" w:rsidRDefault="00860588" w:rsidP="008062E4">
      <w:pPr>
        <w:pStyle w:val="BodyText"/>
        <w:spacing w:line="240" w:lineRule="auto"/>
        <w:ind w:right="-6"/>
        <w:jc w:val="both"/>
        <w:rPr>
          <w:rFonts w:ascii="Arial" w:hAnsi="Arial" w:cs="Arial"/>
          <w:sz w:val="20"/>
        </w:rPr>
      </w:pPr>
      <w:r>
        <w:rPr>
          <w:rFonts w:ascii="Arial" w:hAnsi="Arial" w:cs="Arial"/>
          <w:sz w:val="20"/>
        </w:rPr>
        <w:t xml:space="preserve">Buildings are a major </w:t>
      </w:r>
      <w:r w:rsidR="00952FE7">
        <w:rPr>
          <w:rFonts w:ascii="Arial" w:hAnsi="Arial" w:cs="Arial"/>
          <w:sz w:val="20"/>
        </w:rPr>
        <w:t>factor</w:t>
      </w:r>
      <w:r>
        <w:rPr>
          <w:rFonts w:ascii="Arial" w:hAnsi="Arial" w:cs="Arial"/>
          <w:sz w:val="20"/>
        </w:rPr>
        <w:t xml:space="preserve"> in the transition of clean energy as they account for 36% of the final energy use and 40% of carbon emissions</w:t>
      </w:r>
      <w:r w:rsidR="00952FE7">
        <w:rPr>
          <w:rFonts w:ascii="Arial" w:hAnsi="Arial" w:cs="Arial"/>
          <w:sz w:val="20"/>
        </w:rPr>
        <w:t xml:space="preserve"> globally </w:t>
      </w:r>
      <w:r w:rsidR="00952FE7">
        <w:rPr>
          <w:rFonts w:ascii="Arial" w:hAnsi="Arial" w:cs="Arial"/>
          <w:sz w:val="20"/>
        </w:rPr>
        <w:fldChar w:fldCharType="begin" w:fldLock="1"/>
      </w:r>
      <w:r w:rsidR="00952FE7">
        <w:rPr>
          <w:rFonts w:ascii="Arial" w:hAnsi="Arial" w:cs="Arial"/>
          <w:sz w:val="20"/>
        </w:rPr>
        <w:instrText>ADDIN CSL_CITATION {"citationItems":[{"id":"ITEM-1","itemData":{"DOI":"https://doi.org/10.1038/s41370</w:instrText>
      </w:r>
      <w:r w:rsidR="00952FE7">
        <w:rPr>
          <w:rFonts w:ascii="Cambria Math" w:hAnsi="Cambria Math" w:cs="Cambria Math"/>
          <w:sz w:val="20"/>
        </w:rPr>
        <w:instrText>‐</w:instrText>
      </w:r>
      <w:r w:rsidR="00952FE7">
        <w:rPr>
          <w:rFonts w:ascii="Arial" w:hAnsi="Arial" w:cs="Arial"/>
          <w:sz w:val="20"/>
        </w:rPr>
        <w:instrText>017</w:instrText>
      </w:r>
      <w:r w:rsidR="00952FE7">
        <w:rPr>
          <w:rFonts w:ascii="Cambria Math" w:hAnsi="Cambria Math" w:cs="Cambria Math"/>
          <w:sz w:val="20"/>
        </w:rPr>
        <w:instrText>‐</w:instrText>
      </w:r>
      <w:r w:rsidR="00952FE7">
        <w:rPr>
          <w:rFonts w:ascii="Arial" w:hAnsi="Arial" w:cs="Arial"/>
          <w:sz w:val="20"/>
        </w:rPr>
        <w:instrText>0014</w:instrText>
      </w:r>
      <w:r w:rsidR="00952FE7">
        <w:rPr>
          <w:rFonts w:ascii="Cambria Math" w:hAnsi="Cambria Math" w:cs="Cambria Math"/>
          <w:sz w:val="20"/>
        </w:rPr>
        <w:instrText>‐</w:instrText>
      </w:r>
      <w:r w:rsidR="00952FE7">
        <w:rPr>
          <w:rFonts w:ascii="Arial" w:hAnsi="Arial" w:cs="Arial"/>
          <w:sz w:val="20"/>
        </w:rPr>
        <w:instrText>9","ISBN":"9789280737684","ISSN":"09596526","abstract":"Towards a zero-emission, efficient and resilient buildings and construction sector","author":[{"dropping-particle":"","family":"IEA","given":"","non-dropping-particle":"","parse-names":false,"suffix":""}],"container-title":"UN Enviroment programme","id":"ITEM-1","issued":{"date-parts":[["2019"]]},"number-of-pages":"41","title":"2019 Global Status Report for Buildings and Construction Towards a zero-emissions, efficient and resilient buildings and construction sector","type":"book","volume":"224"},"uris":["http://www.mendeley.com/documents/?uuid=1d8b4700-78b8-4eb8-ba7e-2ab165943c99"]}],"mendeley":{"formattedCitation":"[1]","plainTextFormattedCitation":"[1]","previouslyFormattedCitation":"[1]"},"properties":{"noteIndex":0},"schema":"https://github.com/citation-style-language/schema/raw/master/csl-citation.json"}</w:instrText>
      </w:r>
      <w:r w:rsidR="00952FE7">
        <w:rPr>
          <w:rFonts w:ascii="Arial" w:hAnsi="Arial" w:cs="Arial"/>
          <w:sz w:val="20"/>
        </w:rPr>
        <w:fldChar w:fldCharType="separate"/>
      </w:r>
      <w:r w:rsidR="00952FE7" w:rsidRPr="00952FE7">
        <w:rPr>
          <w:rFonts w:ascii="Arial" w:hAnsi="Arial" w:cs="Arial"/>
          <w:noProof/>
          <w:sz w:val="20"/>
        </w:rPr>
        <w:t>[1]</w:t>
      </w:r>
      <w:r w:rsidR="00952FE7">
        <w:rPr>
          <w:rFonts w:ascii="Arial" w:hAnsi="Arial" w:cs="Arial"/>
          <w:sz w:val="20"/>
        </w:rPr>
        <w:fldChar w:fldCharType="end"/>
      </w:r>
      <w:r>
        <w:rPr>
          <w:rFonts w:ascii="Arial" w:hAnsi="Arial" w:cs="Arial"/>
          <w:sz w:val="20"/>
        </w:rPr>
        <w:t>.</w:t>
      </w:r>
      <w:r w:rsidR="00F434F6">
        <w:rPr>
          <w:rFonts w:ascii="Arial" w:hAnsi="Arial" w:cs="Arial"/>
          <w:sz w:val="20"/>
        </w:rPr>
        <w:t xml:space="preserve"> </w:t>
      </w:r>
      <w:r w:rsidR="00E14B8D">
        <w:rPr>
          <w:rFonts w:ascii="Arial" w:hAnsi="Arial" w:cs="Arial"/>
          <w:sz w:val="20"/>
        </w:rPr>
        <w:t xml:space="preserve">To </w:t>
      </w:r>
      <w:r w:rsidR="0021599F">
        <w:rPr>
          <w:rFonts w:ascii="Arial" w:hAnsi="Arial" w:cs="Arial"/>
          <w:sz w:val="20"/>
        </w:rPr>
        <w:t xml:space="preserve">reduce </w:t>
      </w:r>
      <w:r w:rsidR="00946BFD">
        <w:rPr>
          <w:rFonts w:ascii="Arial" w:hAnsi="Arial" w:cs="Arial"/>
          <w:sz w:val="20"/>
        </w:rPr>
        <w:t>building related energy use</w:t>
      </w:r>
      <w:r w:rsidR="00E14B8D">
        <w:rPr>
          <w:rFonts w:ascii="Arial" w:hAnsi="Arial" w:cs="Arial"/>
          <w:sz w:val="20"/>
        </w:rPr>
        <w:t xml:space="preserve"> and emission</w:t>
      </w:r>
      <w:r w:rsidR="00946BFD">
        <w:rPr>
          <w:rFonts w:ascii="Arial" w:hAnsi="Arial" w:cs="Arial"/>
          <w:sz w:val="20"/>
        </w:rPr>
        <w:t>s</w:t>
      </w:r>
      <w:r w:rsidR="0021599F">
        <w:rPr>
          <w:rFonts w:ascii="Arial" w:hAnsi="Arial" w:cs="Arial"/>
          <w:sz w:val="20"/>
        </w:rPr>
        <w:t>,</w:t>
      </w:r>
      <w:r w:rsidR="00E14B8D">
        <w:rPr>
          <w:rFonts w:ascii="Arial" w:hAnsi="Arial" w:cs="Arial"/>
          <w:sz w:val="20"/>
        </w:rPr>
        <w:t xml:space="preserve"> </w:t>
      </w:r>
      <w:r w:rsidR="0021599F">
        <w:rPr>
          <w:rFonts w:ascii="Arial" w:hAnsi="Arial" w:cs="Arial"/>
          <w:sz w:val="20"/>
        </w:rPr>
        <w:t>t</w:t>
      </w:r>
      <w:r>
        <w:rPr>
          <w:rFonts w:ascii="Arial" w:hAnsi="Arial" w:cs="Arial"/>
          <w:sz w:val="20"/>
        </w:rPr>
        <w:t>he European Union (</w:t>
      </w:r>
      <w:r w:rsidR="007A0694">
        <w:rPr>
          <w:rFonts w:ascii="Arial" w:hAnsi="Arial" w:cs="Arial"/>
          <w:sz w:val="20"/>
        </w:rPr>
        <w:t>EU</w:t>
      </w:r>
      <w:r>
        <w:rPr>
          <w:rFonts w:ascii="Arial" w:hAnsi="Arial" w:cs="Arial"/>
          <w:sz w:val="20"/>
        </w:rPr>
        <w:t>)</w:t>
      </w:r>
      <w:r w:rsidR="007A0694">
        <w:rPr>
          <w:rFonts w:ascii="Arial" w:hAnsi="Arial" w:cs="Arial"/>
          <w:sz w:val="20"/>
        </w:rPr>
        <w:t xml:space="preserve"> </w:t>
      </w:r>
      <w:r w:rsidR="00F434F6">
        <w:rPr>
          <w:rFonts w:ascii="Arial" w:hAnsi="Arial" w:cs="Arial"/>
          <w:sz w:val="20"/>
        </w:rPr>
        <w:t xml:space="preserve">has implemented number of </w:t>
      </w:r>
      <w:r w:rsidR="00946BFD">
        <w:rPr>
          <w:rFonts w:ascii="Arial" w:hAnsi="Arial" w:cs="Arial"/>
          <w:sz w:val="20"/>
        </w:rPr>
        <w:t xml:space="preserve">directives </w:t>
      </w:r>
      <w:r w:rsidR="00F434F6">
        <w:rPr>
          <w:rFonts w:ascii="Arial" w:hAnsi="Arial" w:cs="Arial"/>
          <w:sz w:val="20"/>
        </w:rPr>
        <w:t xml:space="preserve">as the </w:t>
      </w:r>
      <w:r w:rsidR="00B87CD7">
        <w:rPr>
          <w:rFonts w:ascii="Arial" w:hAnsi="Arial" w:cs="Arial"/>
          <w:sz w:val="20"/>
        </w:rPr>
        <w:t>recast of Energy Performance of Buildings Directive (</w:t>
      </w:r>
      <w:r w:rsidR="00946BFD">
        <w:rPr>
          <w:rFonts w:ascii="Arial" w:hAnsi="Arial" w:cs="Arial"/>
          <w:sz w:val="20"/>
        </w:rPr>
        <w:t>EPBD</w:t>
      </w:r>
      <w:r w:rsidR="00B87CD7">
        <w:rPr>
          <w:rFonts w:ascii="Arial" w:hAnsi="Arial" w:cs="Arial"/>
          <w:sz w:val="20"/>
        </w:rPr>
        <w:t>)</w:t>
      </w:r>
      <w:r w:rsidR="00B16B06">
        <w:rPr>
          <w:rFonts w:ascii="Arial" w:hAnsi="Arial" w:cs="Arial"/>
          <w:sz w:val="20"/>
        </w:rPr>
        <w:t xml:space="preserve"> </w:t>
      </w:r>
      <w:r w:rsidR="00946BFD">
        <w:rPr>
          <w:rFonts w:ascii="Arial" w:hAnsi="Arial" w:cs="Arial"/>
          <w:sz w:val="20"/>
        </w:rPr>
        <w:t xml:space="preserve">and </w:t>
      </w:r>
      <w:r w:rsidR="00B87CD7">
        <w:rPr>
          <w:rFonts w:ascii="Arial" w:hAnsi="Arial" w:cs="Arial"/>
          <w:sz w:val="20"/>
        </w:rPr>
        <w:t>Energy Efficiency Directive (</w:t>
      </w:r>
      <w:r w:rsidR="00946BFD">
        <w:rPr>
          <w:rFonts w:ascii="Arial" w:hAnsi="Arial" w:cs="Arial"/>
          <w:sz w:val="20"/>
        </w:rPr>
        <w:t>EED</w:t>
      </w:r>
      <w:r w:rsidR="00B87CD7">
        <w:rPr>
          <w:rFonts w:ascii="Arial" w:hAnsi="Arial" w:cs="Arial"/>
          <w:sz w:val="20"/>
        </w:rPr>
        <w:t>)</w:t>
      </w:r>
      <w:r w:rsidR="00946BFD">
        <w:rPr>
          <w:rFonts w:ascii="Arial" w:hAnsi="Arial" w:cs="Arial"/>
          <w:sz w:val="20"/>
        </w:rPr>
        <w:t xml:space="preserve"> </w:t>
      </w:r>
      <w:r w:rsidR="00F434F6">
        <w:rPr>
          <w:rFonts w:ascii="Arial" w:hAnsi="Arial" w:cs="Arial"/>
          <w:sz w:val="20"/>
        </w:rPr>
        <w:t xml:space="preserve">to drive the improvement of EU </w:t>
      </w:r>
      <w:r w:rsidR="00332750">
        <w:rPr>
          <w:rFonts w:ascii="Arial" w:hAnsi="Arial" w:cs="Arial"/>
          <w:sz w:val="20"/>
        </w:rPr>
        <w:t>buildings</w:t>
      </w:r>
      <w:r w:rsidR="00F434F6">
        <w:rPr>
          <w:rFonts w:ascii="Arial" w:hAnsi="Arial" w:cs="Arial"/>
          <w:sz w:val="20"/>
        </w:rPr>
        <w:t>.</w:t>
      </w:r>
      <w:r w:rsidR="00332750">
        <w:rPr>
          <w:rFonts w:ascii="Arial" w:hAnsi="Arial" w:cs="Arial"/>
          <w:sz w:val="20"/>
        </w:rPr>
        <w:t xml:space="preserve"> Those two well-known directives have been amended</w:t>
      </w:r>
      <w:r w:rsidR="00F434F6">
        <w:rPr>
          <w:rFonts w:ascii="Arial" w:hAnsi="Arial" w:cs="Arial"/>
          <w:sz w:val="20"/>
        </w:rPr>
        <w:t xml:space="preserve"> </w:t>
      </w:r>
      <w:r w:rsidR="00946BFD">
        <w:rPr>
          <w:rFonts w:ascii="Arial" w:hAnsi="Arial" w:cs="Arial"/>
          <w:sz w:val="20"/>
        </w:rPr>
        <w:t>by</w:t>
      </w:r>
      <w:r w:rsidR="00F434F6">
        <w:rPr>
          <w:rFonts w:ascii="Arial" w:hAnsi="Arial" w:cs="Arial"/>
          <w:sz w:val="20"/>
        </w:rPr>
        <w:t xml:space="preserve"> </w:t>
      </w:r>
      <w:r w:rsidR="00F434F6" w:rsidRPr="00F434F6">
        <w:rPr>
          <w:rFonts w:ascii="Arial" w:hAnsi="Arial" w:cs="Arial"/>
          <w:sz w:val="20"/>
        </w:rPr>
        <w:t>DIRECTIVE (EU) 2018/844</w:t>
      </w:r>
      <w:r w:rsidR="00F434F6">
        <w:rPr>
          <w:rFonts w:ascii="Arial" w:hAnsi="Arial" w:cs="Arial"/>
          <w:sz w:val="20"/>
        </w:rPr>
        <w:t xml:space="preserve"> </w:t>
      </w:r>
      <w:r w:rsidR="00F434F6">
        <w:rPr>
          <w:rFonts w:ascii="Arial" w:hAnsi="Arial" w:cs="Arial"/>
          <w:sz w:val="20"/>
        </w:rPr>
        <w:fldChar w:fldCharType="begin" w:fldLock="1"/>
      </w:r>
      <w:r w:rsidR="008C0F16">
        <w:rPr>
          <w:rFonts w:ascii="Arial" w:hAnsi="Arial" w:cs="Arial"/>
          <w:sz w:val="20"/>
        </w:rPr>
        <w:instrText>ADDIN CSL_CITATION {"citationItems":[{"id":"ITEM-1","itemData":{"id":"ITEM-1","issued":{"date-parts":[["2018"]]},"title":"DIRECTIVE (EU) 2018/844 OF THE EUROPEAN PARLIAMENT AND OF THE COUNCIL of 30 May 2018 amending Directive 2010/31/EU on the energy performance of buildings and Directive 2012/27/EU on energy efficiency","type":"bill"},"uris":["http://www.mendeley.com/documents/?uuid=a80716a1-3221-45b2-8073-b8b3803f5712"]}],"mendeley":{"formattedCitation":"[2]","plainTextFormattedCitation":"[2]","previouslyFormattedCitation":"[2]"},"properties":{"noteIndex":0},"schema":"https://github.com/citation-style-language/schema/raw/master/csl-citation.json"}</w:instrText>
      </w:r>
      <w:r w:rsidR="00F434F6">
        <w:rPr>
          <w:rFonts w:ascii="Arial" w:hAnsi="Arial" w:cs="Arial"/>
          <w:sz w:val="20"/>
        </w:rPr>
        <w:fldChar w:fldCharType="separate"/>
      </w:r>
      <w:r w:rsidR="00952FE7" w:rsidRPr="00952FE7">
        <w:rPr>
          <w:rFonts w:ascii="Arial" w:hAnsi="Arial" w:cs="Arial"/>
          <w:noProof/>
          <w:sz w:val="20"/>
        </w:rPr>
        <w:t>[2]</w:t>
      </w:r>
      <w:r w:rsidR="00F434F6">
        <w:rPr>
          <w:rFonts w:ascii="Arial" w:hAnsi="Arial" w:cs="Arial"/>
          <w:sz w:val="20"/>
        </w:rPr>
        <w:fldChar w:fldCharType="end"/>
      </w:r>
      <w:r w:rsidR="00F434F6">
        <w:rPr>
          <w:rFonts w:ascii="Arial" w:hAnsi="Arial" w:cs="Arial"/>
          <w:sz w:val="20"/>
        </w:rPr>
        <w:t>,</w:t>
      </w:r>
      <w:r w:rsidR="00946BFD">
        <w:rPr>
          <w:rFonts w:ascii="Arial" w:hAnsi="Arial" w:cs="Arial"/>
          <w:sz w:val="20"/>
        </w:rPr>
        <w:t xml:space="preserve"> </w:t>
      </w:r>
      <w:r w:rsidR="00F434F6">
        <w:rPr>
          <w:rFonts w:ascii="Arial" w:hAnsi="Arial" w:cs="Arial"/>
          <w:sz w:val="20"/>
        </w:rPr>
        <w:t xml:space="preserve">requiring Member States to develop and implement long-term renovation strategies for cost-effective transformation of the existing building stock to nearly-Zero Energy Buildings (NZEB). Two of the mentioned obligations under the new </w:t>
      </w:r>
      <w:r w:rsidR="00F434F6" w:rsidRPr="00015049">
        <w:rPr>
          <w:rFonts w:ascii="Arial" w:hAnsi="Arial" w:cs="Arial"/>
          <w:i/>
          <w:sz w:val="20"/>
        </w:rPr>
        <w:t>Article 2a</w:t>
      </w:r>
      <w:r w:rsidR="00F434F6">
        <w:rPr>
          <w:rFonts w:ascii="Arial" w:hAnsi="Arial" w:cs="Arial"/>
          <w:sz w:val="20"/>
        </w:rPr>
        <w:t xml:space="preserve"> are approaches for cost-effective renovation and, transparent and assessable advisory tools for customers and designers. </w:t>
      </w:r>
    </w:p>
    <w:p w14:paraId="65B49F51" w14:textId="59F725F8" w:rsidR="00AC01E1" w:rsidRDefault="008C0F16" w:rsidP="008062E4">
      <w:pPr>
        <w:pStyle w:val="BodyText"/>
        <w:spacing w:line="240" w:lineRule="auto"/>
        <w:ind w:right="-6"/>
        <w:jc w:val="both"/>
        <w:rPr>
          <w:rFonts w:ascii="Arial" w:hAnsi="Arial" w:cs="Arial"/>
          <w:sz w:val="20"/>
        </w:rPr>
      </w:pPr>
      <w:r>
        <w:rPr>
          <w:rFonts w:ascii="Arial" w:hAnsi="Arial" w:cs="Arial"/>
          <w:sz w:val="20"/>
        </w:rPr>
        <w:t xml:space="preserve">In 2012 the EU established a comparative framework for calculation of cost-optimal levels for minimum energy performance requirements for buildings and building elements </w:t>
      </w:r>
      <w:r>
        <w:rPr>
          <w:rFonts w:ascii="Arial" w:hAnsi="Arial" w:cs="Arial"/>
          <w:sz w:val="20"/>
        </w:rPr>
        <w:fldChar w:fldCharType="begin" w:fldLock="1"/>
      </w:r>
      <w:r w:rsidR="00B250B8">
        <w:rPr>
          <w:rFonts w:ascii="Arial" w:hAnsi="Arial" w:cs="Arial"/>
          <w:sz w:val="20"/>
        </w:rPr>
        <w:instrText>ADDIN CSL_CITATION {"citationItems":[{"id":"ITEM-1","itemData":{"author":[{"dropping-particle":"","family":"European Commission","given":"","non-dropping-particle":"","parse-names":false,"suffix":""}],"id":"ITEM-1","issued":{"date-parts":[["2012"]]},"page":"1-28","title":"Guidelines accompanying Commission Delegated Regulation (EU) No 244/2012 of 16 January 2012 supplementing Directive 2010/31/EU of the European Parliament and of the Council on the energy performance of buildings by establishing a comparative methodology f","type":"bill"},"uris":["http://www.mendeley.com/documents/?uuid=a59bd70f-11d3-4367-88b4-b4dbd52ef0a3"]}],"mendeley":{"formattedCitation":"[3]","plainTextFormattedCitation":"[3]","previouslyFormattedCitation":"[3]"},"properties":{"noteIndex":0},"schema":"https://github.com/citation-style-language/schema/raw/master/csl-citation.json"}</w:instrText>
      </w:r>
      <w:r>
        <w:rPr>
          <w:rFonts w:ascii="Arial" w:hAnsi="Arial" w:cs="Arial"/>
          <w:sz w:val="20"/>
        </w:rPr>
        <w:fldChar w:fldCharType="separate"/>
      </w:r>
      <w:r w:rsidRPr="008C0F16">
        <w:rPr>
          <w:rFonts w:ascii="Arial" w:hAnsi="Arial" w:cs="Arial"/>
          <w:noProof/>
          <w:sz w:val="20"/>
        </w:rPr>
        <w:t>[3]</w:t>
      </w:r>
      <w:r>
        <w:rPr>
          <w:rFonts w:ascii="Arial" w:hAnsi="Arial" w:cs="Arial"/>
          <w:sz w:val="20"/>
        </w:rPr>
        <w:fldChar w:fldCharType="end"/>
      </w:r>
      <w:r>
        <w:rPr>
          <w:rFonts w:ascii="Arial" w:hAnsi="Arial" w:cs="Arial"/>
          <w:sz w:val="20"/>
        </w:rPr>
        <w:t>.</w:t>
      </w:r>
      <w:r w:rsidR="00E716E6">
        <w:rPr>
          <w:rFonts w:ascii="Arial" w:hAnsi="Arial" w:cs="Arial"/>
          <w:sz w:val="20"/>
        </w:rPr>
        <w:t xml:space="preserve"> </w:t>
      </w:r>
      <w:r w:rsidR="00DD1015">
        <w:rPr>
          <w:rFonts w:ascii="Arial" w:hAnsi="Arial" w:cs="Arial"/>
          <w:sz w:val="20"/>
        </w:rPr>
        <w:t>The methodology employs energy saving and</w:t>
      </w:r>
      <w:r w:rsidR="00DD1015" w:rsidRPr="00DD1015">
        <w:rPr>
          <w:rFonts w:ascii="Arial" w:hAnsi="Arial" w:cs="Arial"/>
          <w:sz w:val="20"/>
        </w:rPr>
        <w:t xml:space="preserve"> </w:t>
      </w:r>
      <w:r w:rsidR="00DD1015">
        <w:rPr>
          <w:rFonts w:ascii="Arial" w:hAnsi="Arial" w:cs="Arial"/>
          <w:sz w:val="20"/>
        </w:rPr>
        <w:t>Life Cycle Cost (LCC)</w:t>
      </w:r>
      <w:r w:rsidR="00D23A00">
        <w:rPr>
          <w:rFonts w:ascii="Arial" w:hAnsi="Arial" w:cs="Arial"/>
          <w:sz w:val="20"/>
        </w:rPr>
        <w:t xml:space="preserve"> calculations</w:t>
      </w:r>
      <w:r w:rsidR="00DD1015">
        <w:rPr>
          <w:rFonts w:ascii="Arial" w:hAnsi="Arial" w:cs="Arial"/>
          <w:sz w:val="20"/>
        </w:rPr>
        <w:t xml:space="preserve"> </w:t>
      </w:r>
      <w:r w:rsidR="00E716E6">
        <w:rPr>
          <w:rFonts w:ascii="Arial" w:hAnsi="Arial" w:cs="Arial"/>
          <w:sz w:val="20"/>
        </w:rPr>
        <w:t xml:space="preserve">to </w:t>
      </w:r>
      <w:r w:rsidR="00D23A00">
        <w:rPr>
          <w:rFonts w:ascii="Arial" w:hAnsi="Arial" w:cs="Arial"/>
          <w:sz w:val="20"/>
        </w:rPr>
        <w:t>evaluate</w:t>
      </w:r>
      <w:r w:rsidR="00E716E6">
        <w:rPr>
          <w:rFonts w:ascii="Arial" w:hAnsi="Arial" w:cs="Arial"/>
          <w:sz w:val="20"/>
        </w:rPr>
        <w:t xml:space="preserve"> efficiency measures, renewable energy sources and packages applied to reference buildings with the aim of identifying cost-optimal levels for minimum energy performance requirements. </w:t>
      </w:r>
      <w:r w:rsidR="00B250B8">
        <w:rPr>
          <w:rFonts w:ascii="Arial" w:hAnsi="Arial" w:cs="Arial"/>
          <w:sz w:val="20"/>
        </w:rPr>
        <w:t xml:space="preserve">While the aim of this methodology was to set minimum requirements for cost-optimal levels, literature review in </w:t>
      </w:r>
      <w:r w:rsidR="00B250B8">
        <w:rPr>
          <w:rFonts w:ascii="Arial" w:hAnsi="Arial" w:cs="Arial"/>
          <w:sz w:val="20"/>
        </w:rPr>
        <w:fldChar w:fldCharType="begin" w:fldLock="1"/>
      </w:r>
      <w:r w:rsidR="00B250B8">
        <w:rPr>
          <w:rFonts w:ascii="Arial" w:hAnsi="Arial" w:cs="Arial"/>
          <w:sz w:val="20"/>
        </w:rPr>
        <w:instrText>ADDIN CSL_CITATION {"citationItems":[{"id":"ITEM-1","itemData":{"DOI":"10.3390/buildings10060102","ISSN":"2075-5309","abstract":"&lt;p&gt;Renovation of existing buildings is an indispensable part of achieving European efficiency and environmental targets. This paper applies different assessment methodologies to find optimal renovation, given different evaluation criteria. The performed literature study identifies the cost-optimal methodology employing Life Cycle Cost (LCC) calculation as one of the most common assessment methods. This paper proposes a new renovation assessment method targeted to the early design phases of specific building projects. The method has a simple structure, and can be used as a roadmap of necessary activities for obtaining solid building knowledge and required energy and cost calculations. The methodology is based on linking economic and energy efficiency parameters into defined cost-effective value, calculated for all investigated renovation actions. The cost-effectiveness value is used for ranking and selecting the most appropriate single renovation actions to form renovation packages, which can be further examined in detail (for example, with LCC). To demonstrate the method, evaluate the strengths, and identify the weaknesses, it is applied to case study buildings in Denmark and Switzerland. The results show that, in the initial stage, the proposed cost-effectiveness representation can be used successfully to compare and evaluate different envelope elements and systems. Cost-effectiveness also provides rational results on a package level. Further work is still required in the area of evaluation of energy supply and renewable energy production systems.&lt;/p&gt;","author":[{"dropping-particle":"","family":"Antonov","given":"Yovko Ivanov","non-dropping-particle":"","parse-names":false,"suffix":""},{"dropping-particle":"","family":"Heiselberg","given":"Per","non-dropping-particle":"","parse-names":false,"suffix":""},{"dropping-particle":"","family":"Flourentzou","given":"Flourentzos","non-dropping-particle":"","parse-names":false,"suffix":""},{"dropping-particle":"","family":"Pomianowski","given":"Michal Zbigniew","non-dropping-particle":"","parse-names":false,"suffix":""}],"container-title":"Buildings","id":"ITEM-1","issue":"6","issued":{"date-parts":[["2020","5","31"]]},"page":"102","title":"Methodology for Evaluation and Development of Refurbishment Scenarios for Multi-Story Apartment Buildings, Applied to Two Buildings in Denmark and Switzerland","type":"article-journal","volume":"10"},"uris":["http://www.mendeley.com/documents/?uuid=3ae05e4f-ac84-3c57-b9b7-4c2f81d8559c"]}],"mendeley":{"formattedCitation":"[4]","plainTextFormattedCitation":"[4]"},"properties":{"noteIndex":0},"schema":"https://github.com/citation-style-language/schema/raw/master/csl-citation.json"}</w:instrText>
      </w:r>
      <w:r w:rsidR="00B250B8">
        <w:rPr>
          <w:rFonts w:ascii="Arial" w:hAnsi="Arial" w:cs="Arial"/>
          <w:sz w:val="20"/>
        </w:rPr>
        <w:fldChar w:fldCharType="separate"/>
      </w:r>
      <w:r w:rsidR="00B250B8" w:rsidRPr="00B250B8">
        <w:rPr>
          <w:rFonts w:ascii="Arial" w:hAnsi="Arial" w:cs="Arial"/>
          <w:noProof/>
          <w:sz w:val="20"/>
        </w:rPr>
        <w:t>[4]</w:t>
      </w:r>
      <w:r w:rsidR="00B250B8">
        <w:rPr>
          <w:rFonts w:ascii="Arial" w:hAnsi="Arial" w:cs="Arial"/>
          <w:sz w:val="20"/>
        </w:rPr>
        <w:fldChar w:fldCharType="end"/>
      </w:r>
      <w:r w:rsidR="00B250B8">
        <w:rPr>
          <w:rFonts w:ascii="Arial" w:hAnsi="Arial" w:cs="Arial"/>
          <w:sz w:val="20"/>
        </w:rPr>
        <w:t xml:space="preserve"> showed that it </w:t>
      </w:r>
      <w:r w:rsidR="00D23A00">
        <w:rPr>
          <w:rFonts w:ascii="Arial" w:hAnsi="Arial" w:cs="Arial"/>
          <w:sz w:val="20"/>
        </w:rPr>
        <w:t xml:space="preserve">has </w:t>
      </w:r>
      <w:r w:rsidR="00B250B8">
        <w:rPr>
          <w:rFonts w:ascii="Arial" w:hAnsi="Arial" w:cs="Arial"/>
          <w:sz w:val="20"/>
        </w:rPr>
        <w:t>be</w:t>
      </w:r>
      <w:r w:rsidR="00D23A00">
        <w:rPr>
          <w:rFonts w:ascii="Arial" w:hAnsi="Arial" w:cs="Arial"/>
          <w:sz w:val="20"/>
        </w:rPr>
        <w:t>en</w:t>
      </w:r>
      <w:r w:rsidR="00B250B8">
        <w:rPr>
          <w:rFonts w:ascii="Arial" w:hAnsi="Arial" w:cs="Arial"/>
          <w:sz w:val="20"/>
        </w:rPr>
        <w:t xml:space="preserve"> applied for evaluation of single buildings.</w:t>
      </w:r>
      <w:r w:rsidR="007C1E02">
        <w:rPr>
          <w:rFonts w:ascii="Arial" w:hAnsi="Arial" w:cs="Arial"/>
          <w:sz w:val="20"/>
        </w:rPr>
        <w:t xml:space="preserve"> Even though the framework for the cost-optimal methodology can be applied on a single element, it is mostly applied on a </w:t>
      </w:r>
      <w:r w:rsidR="00B250B8">
        <w:rPr>
          <w:rFonts w:ascii="Arial" w:hAnsi="Arial" w:cs="Arial"/>
          <w:sz w:val="20"/>
        </w:rPr>
        <w:t>package level</w:t>
      </w:r>
      <w:r w:rsidR="007C1E02">
        <w:rPr>
          <w:rFonts w:ascii="Arial" w:hAnsi="Arial" w:cs="Arial"/>
          <w:sz w:val="20"/>
        </w:rPr>
        <w:t>.</w:t>
      </w:r>
      <w:r w:rsidR="00B250B8">
        <w:rPr>
          <w:rFonts w:ascii="Arial" w:hAnsi="Arial" w:cs="Arial"/>
          <w:sz w:val="20"/>
        </w:rPr>
        <w:t xml:space="preserve"> </w:t>
      </w:r>
      <w:r w:rsidR="007C1E02">
        <w:rPr>
          <w:rFonts w:ascii="Arial" w:hAnsi="Arial" w:cs="Arial"/>
          <w:sz w:val="20"/>
        </w:rPr>
        <w:t xml:space="preserve">This could be </w:t>
      </w:r>
      <w:r w:rsidR="00D23A00">
        <w:rPr>
          <w:rFonts w:ascii="Arial" w:hAnsi="Arial" w:cs="Arial"/>
          <w:sz w:val="20"/>
        </w:rPr>
        <w:t xml:space="preserve">due to the </w:t>
      </w:r>
      <w:r w:rsidR="007C1E02">
        <w:rPr>
          <w:rFonts w:ascii="Arial" w:hAnsi="Arial" w:cs="Arial"/>
          <w:sz w:val="20"/>
        </w:rPr>
        <w:t xml:space="preserve">rather tiresome amount of parameters </w:t>
      </w:r>
      <w:r w:rsidR="00D23A00">
        <w:rPr>
          <w:rFonts w:ascii="Arial" w:hAnsi="Arial" w:cs="Arial"/>
          <w:sz w:val="20"/>
        </w:rPr>
        <w:t xml:space="preserve">and complexity of </w:t>
      </w:r>
      <w:r w:rsidR="007C1E02">
        <w:rPr>
          <w:rFonts w:ascii="Arial" w:hAnsi="Arial" w:cs="Arial"/>
          <w:sz w:val="20"/>
        </w:rPr>
        <w:t>LCC calculations</w:t>
      </w:r>
      <w:r w:rsidR="00D23A00">
        <w:rPr>
          <w:rFonts w:ascii="Arial" w:hAnsi="Arial" w:cs="Arial"/>
          <w:sz w:val="20"/>
        </w:rPr>
        <w:t xml:space="preserve"> </w:t>
      </w:r>
      <w:r w:rsidR="00B87CD7">
        <w:rPr>
          <w:rFonts w:ascii="Arial" w:hAnsi="Arial" w:cs="Arial"/>
          <w:sz w:val="20"/>
        </w:rPr>
        <w:t>when analysing a single element</w:t>
      </w:r>
      <w:r w:rsidR="007C1E02">
        <w:rPr>
          <w:rFonts w:ascii="Arial" w:hAnsi="Arial" w:cs="Arial"/>
          <w:sz w:val="20"/>
        </w:rPr>
        <w:t xml:space="preserve">. Moreover, cost calculations and energy savings are typically estimated in different software and combined in spreadsheets </w:t>
      </w:r>
      <w:r w:rsidR="00DC3D22">
        <w:rPr>
          <w:rFonts w:ascii="Arial" w:hAnsi="Arial" w:cs="Arial"/>
          <w:sz w:val="20"/>
        </w:rPr>
        <w:t>like</w:t>
      </w:r>
      <w:r w:rsidR="007C1E02">
        <w:rPr>
          <w:rFonts w:ascii="Arial" w:hAnsi="Arial" w:cs="Arial"/>
          <w:sz w:val="20"/>
        </w:rPr>
        <w:t xml:space="preserve"> e.g. </w:t>
      </w:r>
      <w:r w:rsidR="00DC3D22">
        <w:rPr>
          <w:rFonts w:ascii="Arial" w:hAnsi="Arial" w:cs="Arial"/>
          <w:sz w:val="20"/>
        </w:rPr>
        <w:t>Excel</w:t>
      </w:r>
      <w:r w:rsidR="00D23A00">
        <w:rPr>
          <w:rFonts w:ascii="Arial" w:hAnsi="Arial" w:cs="Arial"/>
          <w:sz w:val="20"/>
        </w:rPr>
        <w:t>, requiring great deal of bookkeeping.</w:t>
      </w:r>
    </w:p>
    <w:p w14:paraId="0D08CB2A" w14:textId="306E0DAC" w:rsidR="00FA1830" w:rsidRDefault="00D23A00" w:rsidP="008062E4">
      <w:pPr>
        <w:pStyle w:val="BodyText"/>
        <w:spacing w:line="240" w:lineRule="auto"/>
        <w:ind w:right="-6"/>
        <w:jc w:val="both"/>
        <w:rPr>
          <w:rFonts w:ascii="Arial" w:hAnsi="Arial" w:cs="Arial"/>
          <w:sz w:val="20"/>
        </w:rPr>
      </w:pPr>
      <w:r>
        <w:rPr>
          <w:rFonts w:ascii="Arial" w:hAnsi="Arial" w:cs="Arial"/>
          <w:sz w:val="20"/>
        </w:rPr>
        <w:t xml:space="preserve">The </w:t>
      </w:r>
      <w:r w:rsidR="00A808B7">
        <w:rPr>
          <w:rFonts w:ascii="Arial" w:hAnsi="Arial" w:cs="Arial"/>
          <w:sz w:val="20"/>
        </w:rPr>
        <w:t>work presented in this</w:t>
      </w:r>
      <w:r>
        <w:rPr>
          <w:rFonts w:ascii="Arial" w:hAnsi="Arial" w:cs="Arial"/>
          <w:sz w:val="20"/>
        </w:rPr>
        <w:t xml:space="preserve"> paper is twofold. First</w:t>
      </w:r>
      <w:r w:rsidR="00A808B7">
        <w:rPr>
          <w:rFonts w:ascii="Arial" w:hAnsi="Arial" w:cs="Arial"/>
          <w:sz w:val="20"/>
        </w:rPr>
        <w:t>,</w:t>
      </w:r>
      <w:r>
        <w:rPr>
          <w:rFonts w:ascii="Arial" w:hAnsi="Arial" w:cs="Arial"/>
          <w:sz w:val="20"/>
        </w:rPr>
        <w:t xml:space="preserve"> a </w:t>
      </w:r>
      <w:r w:rsidR="00A808B7">
        <w:rPr>
          <w:rFonts w:ascii="Arial" w:hAnsi="Arial" w:cs="Arial"/>
          <w:sz w:val="20"/>
        </w:rPr>
        <w:t xml:space="preserve">presentation of </w:t>
      </w:r>
      <w:r>
        <w:rPr>
          <w:rFonts w:ascii="Arial" w:hAnsi="Arial" w:cs="Arial"/>
          <w:sz w:val="20"/>
        </w:rPr>
        <w:t xml:space="preserve">novel renovation </w:t>
      </w:r>
      <w:r w:rsidR="00645A02">
        <w:rPr>
          <w:rFonts w:ascii="Arial" w:hAnsi="Arial" w:cs="Arial"/>
          <w:sz w:val="20"/>
        </w:rPr>
        <w:t xml:space="preserve">methodology </w:t>
      </w:r>
      <w:r w:rsidR="00A808B7">
        <w:rPr>
          <w:rFonts w:ascii="Arial" w:hAnsi="Arial" w:cs="Arial"/>
          <w:sz w:val="20"/>
        </w:rPr>
        <w:t xml:space="preserve">for evaluation of single actions and their compilation in renovation packages. The method </w:t>
      </w:r>
      <w:r>
        <w:rPr>
          <w:rFonts w:ascii="Arial" w:hAnsi="Arial" w:cs="Arial"/>
          <w:sz w:val="20"/>
        </w:rPr>
        <w:t xml:space="preserve">proposes simplified economic evaluation for single renovation actions </w:t>
      </w:r>
      <w:r w:rsidR="00A808B7">
        <w:rPr>
          <w:rFonts w:ascii="Arial" w:hAnsi="Arial" w:cs="Arial"/>
          <w:sz w:val="20"/>
        </w:rPr>
        <w:t xml:space="preserve">as a pre-step </w:t>
      </w:r>
      <w:r>
        <w:rPr>
          <w:rFonts w:ascii="Arial" w:hAnsi="Arial" w:cs="Arial"/>
          <w:sz w:val="20"/>
        </w:rPr>
        <w:t xml:space="preserve">to the well-established </w:t>
      </w:r>
      <w:r w:rsidR="00A808B7">
        <w:rPr>
          <w:rFonts w:ascii="Arial" w:hAnsi="Arial" w:cs="Arial"/>
          <w:sz w:val="20"/>
        </w:rPr>
        <w:t>cost-optimal method, incorporating LCC</w:t>
      </w:r>
      <w:r>
        <w:rPr>
          <w:rFonts w:ascii="Arial" w:hAnsi="Arial" w:cs="Arial"/>
          <w:sz w:val="20"/>
        </w:rPr>
        <w:t>.</w:t>
      </w:r>
      <w:r w:rsidR="00A808B7">
        <w:rPr>
          <w:rFonts w:ascii="Arial" w:hAnsi="Arial" w:cs="Arial"/>
          <w:sz w:val="20"/>
        </w:rPr>
        <w:t xml:space="preserve"> Secondly, </w:t>
      </w:r>
      <w:r w:rsidR="00102CA7">
        <w:rPr>
          <w:rFonts w:ascii="Arial" w:hAnsi="Arial" w:cs="Arial"/>
          <w:sz w:val="20"/>
        </w:rPr>
        <w:t xml:space="preserve">a novel </w:t>
      </w:r>
      <w:r w:rsidR="00FE1758">
        <w:rPr>
          <w:rFonts w:ascii="Arial" w:hAnsi="Arial" w:cs="Arial"/>
          <w:sz w:val="20"/>
        </w:rPr>
        <w:lastRenderedPageBreak/>
        <w:t>r</w:t>
      </w:r>
      <w:r w:rsidR="00102CA7">
        <w:rPr>
          <w:rFonts w:ascii="Arial" w:hAnsi="Arial" w:cs="Arial"/>
          <w:sz w:val="20"/>
        </w:rPr>
        <w:t xml:space="preserve">efurbishment </w:t>
      </w:r>
      <w:r w:rsidR="00FE1758">
        <w:rPr>
          <w:rFonts w:ascii="Arial" w:hAnsi="Arial" w:cs="Arial"/>
          <w:sz w:val="20"/>
        </w:rPr>
        <w:t>a</w:t>
      </w:r>
      <w:r w:rsidR="00102CA7">
        <w:rPr>
          <w:rFonts w:ascii="Arial" w:hAnsi="Arial" w:cs="Arial"/>
          <w:sz w:val="20"/>
        </w:rPr>
        <w:t xml:space="preserve">ssessment </w:t>
      </w:r>
      <w:r w:rsidR="00FE1758">
        <w:rPr>
          <w:rFonts w:ascii="Arial" w:hAnsi="Arial" w:cs="Arial"/>
          <w:sz w:val="20"/>
        </w:rPr>
        <w:t>platform</w:t>
      </w:r>
      <w:r w:rsidR="00102CA7">
        <w:rPr>
          <w:rFonts w:ascii="Arial" w:hAnsi="Arial" w:cs="Arial"/>
          <w:sz w:val="20"/>
        </w:rPr>
        <w:t xml:space="preserve"> is </w:t>
      </w:r>
      <w:r w:rsidR="00861AE5">
        <w:rPr>
          <w:rFonts w:ascii="Arial" w:hAnsi="Arial" w:cs="Arial"/>
          <w:sz w:val="20"/>
        </w:rPr>
        <w:t>introdu</w:t>
      </w:r>
      <w:r w:rsidR="00102CA7">
        <w:rPr>
          <w:rFonts w:ascii="Arial" w:hAnsi="Arial" w:cs="Arial"/>
          <w:sz w:val="20"/>
        </w:rPr>
        <w:t xml:space="preserve">ced </w:t>
      </w:r>
      <w:r w:rsidR="00FF25EA">
        <w:rPr>
          <w:rFonts w:ascii="Arial" w:hAnsi="Arial" w:cs="Arial"/>
          <w:sz w:val="20"/>
        </w:rPr>
        <w:t xml:space="preserve">and </w:t>
      </w:r>
      <w:r w:rsidR="00102CA7">
        <w:rPr>
          <w:rFonts w:ascii="Arial" w:hAnsi="Arial" w:cs="Arial"/>
          <w:sz w:val="20"/>
        </w:rPr>
        <w:t xml:space="preserve">showcased by a case study. The </w:t>
      </w:r>
      <w:r w:rsidR="00F733A3">
        <w:rPr>
          <w:rFonts w:ascii="Arial" w:hAnsi="Arial" w:cs="Arial"/>
          <w:sz w:val="20"/>
        </w:rPr>
        <w:t>platform</w:t>
      </w:r>
      <w:r w:rsidR="00A808B7">
        <w:rPr>
          <w:rFonts w:ascii="Arial" w:hAnsi="Arial" w:cs="Arial"/>
          <w:sz w:val="20"/>
        </w:rPr>
        <w:t xml:space="preserve"> </w:t>
      </w:r>
      <w:r w:rsidR="00102CA7">
        <w:rPr>
          <w:rFonts w:ascii="Arial" w:hAnsi="Arial" w:cs="Arial"/>
          <w:sz w:val="20"/>
        </w:rPr>
        <w:t xml:space="preserve">can collect </w:t>
      </w:r>
      <w:r w:rsidR="00861AE5">
        <w:rPr>
          <w:rFonts w:ascii="Arial" w:hAnsi="Arial" w:cs="Arial"/>
          <w:sz w:val="20"/>
        </w:rPr>
        <w:t xml:space="preserve">results from </w:t>
      </w:r>
      <w:r w:rsidR="00A808B7">
        <w:rPr>
          <w:rFonts w:ascii="Arial" w:hAnsi="Arial" w:cs="Arial"/>
          <w:sz w:val="20"/>
        </w:rPr>
        <w:t xml:space="preserve">energy saving and economic </w:t>
      </w:r>
      <w:r w:rsidR="00861AE5">
        <w:rPr>
          <w:rFonts w:ascii="Arial" w:hAnsi="Arial" w:cs="Arial"/>
          <w:sz w:val="20"/>
        </w:rPr>
        <w:t xml:space="preserve">calculations </w:t>
      </w:r>
      <w:r w:rsidR="00102CA7">
        <w:rPr>
          <w:rFonts w:ascii="Arial" w:hAnsi="Arial" w:cs="Arial"/>
          <w:sz w:val="20"/>
        </w:rPr>
        <w:t xml:space="preserve">performed in </w:t>
      </w:r>
      <w:r w:rsidR="00A808B7">
        <w:rPr>
          <w:rFonts w:ascii="Arial" w:hAnsi="Arial" w:cs="Arial"/>
          <w:sz w:val="20"/>
        </w:rPr>
        <w:t>different software</w:t>
      </w:r>
      <w:r w:rsidR="00861AE5">
        <w:rPr>
          <w:rFonts w:ascii="Arial" w:hAnsi="Arial" w:cs="Arial"/>
          <w:sz w:val="20"/>
        </w:rPr>
        <w:t>.</w:t>
      </w:r>
      <w:r w:rsidR="00FF25EA">
        <w:rPr>
          <w:rFonts w:ascii="Arial" w:hAnsi="Arial" w:cs="Arial"/>
          <w:sz w:val="20"/>
        </w:rPr>
        <w:t xml:space="preserve"> In spite of its early stage of development, the platform allows for fast and easy compilation and comparison of renovation scenarios, based on data from energy audits, energy and cost analysis for each individual renovation action. The data can </w:t>
      </w:r>
      <w:r w:rsidR="008F1C63">
        <w:rPr>
          <w:rFonts w:ascii="Arial" w:hAnsi="Arial" w:cs="Arial"/>
          <w:sz w:val="20"/>
        </w:rPr>
        <w:t>be either</w:t>
      </w:r>
      <w:r w:rsidR="00FF25EA">
        <w:rPr>
          <w:rFonts w:ascii="Arial" w:hAnsi="Arial" w:cs="Arial"/>
          <w:sz w:val="20"/>
        </w:rPr>
        <w:t xml:space="preserve"> imported via common JSON file format, or typed in manually, making it independent and flexible.</w:t>
      </w:r>
    </w:p>
    <w:p w14:paraId="0D08CB2C" w14:textId="007A4B74" w:rsidR="00B1200A" w:rsidRPr="00AB1540" w:rsidRDefault="00B1200A" w:rsidP="009A2058">
      <w:pPr>
        <w:pStyle w:val="Heading1"/>
        <w:spacing w:line="240" w:lineRule="auto"/>
        <w:ind w:left="431" w:right="-6" w:hanging="431"/>
        <w:rPr>
          <w:rFonts w:ascii="Arial" w:hAnsi="Arial" w:cs="Arial"/>
          <w:sz w:val="24"/>
          <w:szCs w:val="24"/>
          <w:lang w:val="en-NZ"/>
        </w:rPr>
      </w:pPr>
      <w:r w:rsidRPr="00AB1540">
        <w:rPr>
          <w:rFonts w:ascii="Arial" w:hAnsi="Arial" w:cs="Arial"/>
          <w:sz w:val="24"/>
          <w:szCs w:val="24"/>
          <w:lang w:val="en-NZ"/>
        </w:rPr>
        <w:tab/>
      </w:r>
      <w:r w:rsidR="00054DCC">
        <w:rPr>
          <w:rFonts w:ascii="Arial" w:hAnsi="Arial" w:cs="Arial"/>
          <w:sz w:val="24"/>
          <w:szCs w:val="24"/>
          <w:lang w:val="en-NZ"/>
        </w:rPr>
        <w:t>Low cost renovation to NZEB</w:t>
      </w:r>
      <w:r w:rsidR="002F6C1C">
        <w:rPr>
          <w:rFonts w:ascii="Arial" w:hAnsi="Arial" w:cs="Arial"/>
          <w:sz w:val="24"/>
          <w:szCs w:val="24"/>
          <w:lang w:val="en-NZ"/>
        </w:rPr>
        <w:t xml:space="preserve"> </w:t>
      </w:r>
    </w:p>
    <w:p w14:paraId="1C70E2D5" w14:textId="610A3E76" w:rsidR="00270FFD" w:rsidRPr="00270FFD" w:rsidRDefault="00270FFD" w:rsidP="00270FFD">
      <w:pPr>
        <w:pStyle w:val="MainText"/>
        <w:rPr>
          <w:rFonts w:ascii="Arial" w:hAnsi="Arial" w:cs="Arial"/>
          <w:sz w:val="20"/>
          <w:szCs w:val="20"/>
        </w:rPr>
      </w:pPr>
      <w:r w:rsidRPr="00270FFD">
        <w:rPr>
          <w:rFonts w:ascii="Arial" w:hAnsi="Arial" w:cs="Arial"/>
          <w:sz w:val="20"/>
          <w:szCs w:val="20"/>
        </w:rPr>
        <w:t xml:space="preserve">Overview of the complete process, included in the methodology is presented in </w:t>
      </w:r>
      <w:r w:rsidRPr="00F01401">
        <w:rPr>
          <w:rFonts w:ascii="Arial" w:hAnsi="Arial" w:cs="Arial"/>
          <w:i/>
          <w:sz w:val="20"/>
          <w:szCs w:val="20"/>
        </w:rPr>
        <w:fldChar w:fldCharType="begin"/>
      </w:r>
      <w:r w:rsidRPr="00F01401">
        <w:rPr>
          <w:rFonts w:ascii="Arial" w:hAnsi="Arial" w:cs="Arial"/>
          <w:i/>
          <w:sz w:val="20"/>
          <w:szCs w:val="20"/>
        </w:rPr>
        <w:instrText xml:space="preserve"> REF _Ref34118871 \h  \* MERGEFORMAT </w:instrText>
      </w:r>
      <w:r w:rsidRPr="00F01401">
        <w:rPr>
          <w:rFonts w:ascii="Arial" w:hAnsi="Arial" w:cs="Arial"/>
          <w:i/>
          <w:sz w:val="20"/>
          <w:szCs w:val="20"/>
        </w:rPr>
      </w:r>
      <w:r w:rsidRPr="00F01401">
        <w:rPr>
          <w:rFonts w:ascii="Arial" w:hAnsi="Arial" w:cs="Arial"/>
          <w:i/>
          <w:sz w:val="20"/>
          <w:szCs w:val="20"/>
        </w:rPr>
        <w:fldChar w:fldCharType="separate"/>
      </w:r>
      <w:r w:rsidR="00015207" w:rsidRPr="00015207">
        <w:rPr>
          <w:rFonts w:ascii="Arial" w:hAnsi="Arial" w:cs="Arial"/>
          <w:i/>
          <w:sz w:val="20"/>
          <w:szCs w:val="20"/>
        </w:rPr>
        <w:t xml:space="preserve">Figure </w:t>
      </w:r>
      <w:r w:rsidR="00015207" w:rsidRPr="00015207">
        <w:rPr>
          <w:rFonts w:ascii="Arial" w:hAnsi="Arial" w:cs="Arial"/>
          <w:i/>
          <w:noProof/>
          <w:sz w:val="20"/>
          <w:szCs w:val="20"/>
        </w:rPr>
        <w:t>1</w:t>
      </w:r>
      <w:r w:rsidRPr="00F01401">
        <w:rPr>
          <w:rFonts w:ascii="Arial" w:hAnsi="Arial" w:cs="Arial"/>
          <w:i/>
          <w:sz w:val="20"/>
          <w:szCs w:val="20"/>
        </w:rPr>
        <w:fldChar w:fldCharType="end"/>
      </w:r>
      <w:r w:rsidRPr="00270FFD">
        <w:rPr>
          <w:rFonts w:ascii="Arial" w:hAnsi="Arial" w:cs="Arial"/>
          <w:sz w:val="20"/>
          <w:szCs w:val="20"/>
        </w:rPr>
        <w:t xml:space="preserve">. The procedure considers a renovation project with an owner of </w:t>
      </w:r>
      <w:r w:rsidR="00B87CD7">
        <w:rPr>
          <w:rFonts w:ascii="Arial" w:hAnsi="Arial" w:cs="Arial"/>
          <w:sz w:val="20"/>
          <w:szCs w:val="20"/>
        </w:rPr>
        <w:t xml:space="preserve">a </w:t>
      </w:r>
      <w:r w:rsidRPr="00270FFD">
        <w:rPr>
          <w:rFonts w:ascii="Arial" w:hAnsi="Arial" w:cs="Arial"/>
          <w:sz w:val="20"/>
          <w:szCs w:val="20"/>
        </w:rPr>
        <w:t xml:space="preserve">specific building(s) and associated renovation targets. The method does not include securing of financing schemes, however, when in place the specifics of such can be accounted for. The methodology is </w:t>
      </w:r>
      <w:r w:rsidR="00A9700F">
        <w:rPr>
          <w:rFonts w:ascii="Arial" w:hAnsi="Arial" w:cs="Arial"/>
          <w:sz w:val="20"/>
          <w:szCs w:val="20"/>
        </w:rPr>
        <w:t>structured</w:t>
      </w:r>
      <w:r w:rsidRPr="00270FFD">
        <w:rPr>
          <w:rFonts w:ascii="Arial" w:hAnsi="Arial" w:cs="Arial"/>
          <w:sz w:val="20"/>
          <w:szCs w:val="20"/>
        </w:rPr>
        <w:t xml:space="preserve"> as a flowchart with three main sections</w:t>
      </w:r>
      <w:r w:rsidR="00A9700F">
        <w:rPr>
          <w:rFonts w:ascii="Arial" w:hAnsi="Arial" w:cs="Arial"/>
          <w:sz w:val="20"/>
          <w:szCs w:val="20"/>
        </w:rPr>
        <w:t xml:space="preserve"> –</w:t>
      </w:r>
      <w:r w:rsidRPr="00270FFD">
        <w:rPr>
          <w:rFonts w:ascii="Arial" w:hAnsi="Arial" w:cs="Arial"/>
          <w:sz w:val="20"/>
          <w:szCs w:val="20"/>
        </w:rPr>
        <w:t xml:space="preserve"> </w:t>
      </w:r>
      <w:r w:rsidR="00A9700F">
        <w:rPr>
          <w:rFonts w:ascii="Arial" w:hAnsi="Arial" w:cs="Arial"/>
          <w:sz w:val="20"/>
          <w:szCs w:val="20"/>
        </w:rPr>
        <w:t xml:space="preserve">1) </w:t>
      </w:r>
      <w:r w:rsidRPr="00270FFD">
        <w:rPr>
          <w:rFonts w:ascii="Arial" w:hAnsi="Arial" w:cs="Arial"/>
          <w:sz w:val="20"/>
          <w:szCs w:val="20"/>
        </w:rPr>
        <w:t xml:space="preserve">project definition, </w:t>
      </w:r>
      <w:r w:rsidR="00A9700F">
        <w:rPr>
          <w:rFonts w:ascii="Arial" w:hAnsi="Arial" w:cs="Arial"/>
          <w:sz w:val="20"/>
          <w:szCs w:val="20"/>
        </w:rPr>
        <w:t xml:space="preserve">2) </w:t>
      </w:r>
      <w:r w:rsidRPr="00270FFD">
        <w:rPr>
          <w:rFonts w:ascii="Arial" w:hAnsi="Arial" w:cs="Arial"/>
          <w:sz w:val="20"/>
          <w:szCs w:val="20"/>
        </w:rPr>
        <w:t>evaluation of the applicable single actions</w:t>
      </w:r>
      <w:r w:rsidR="00A9700F">
        <w:rPr>
          <w:rFonts w:ascii="Arial" w:hAnsi="Arial" w:cs="Arial"/>
          <w:sz w:val="20"/>
          <w:szCs w:val="20"/>
        </w:rPr>
        <w:t>, 3)</w:t>
      </w:r>
      <w:r w:rsidRPr="00270FFD">
        <w:rPr>
          <w:rFonts w:ascii="Arial" w:hAnsi="Arial" w:cs="Arial"/>
          <w:sz w:val="20"/>
          <w:szCs w:val="20"/>
        </w:rPr>
        <w:t xml:space="preserve"> evaluation of selected renovation packages (scenarios). Detail design of the selected renovation package is beyond the scope of the proposed method. Each section and corresponding tasks and activities within are explained in the following subsections. </w:t>
      </w:r>
    </w:p>
    <w:p w14:paraId="63B9F693" w14:textId="77777777" w:rsidR="00270FFD" w:rsidRDefault="00270FFD" w:rsidP="00270FFD">
      <w:pPr>
        <w:keepNext/>
      </w:pPr>
      <w:r>
        <w:rPr>
          <w:noProof/>
          <w:lang w:val="en-US" w:eastAsia="en-US"/>
        </w:rPr>
        <w:drawing>
          <wp:inline distT="0" distB="0" distL="0" distR="0" wp14:anchorId="591B7413" wp14:editId="72AB391E">
            <wp:extent cx="6120130" cy="6180566"/>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Method_figure_Artboard 3-09.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6120130" cy="6180566"/>
                    </a:xfrm>
                    <a:prstGeom prst="rect">
                      <a:avLst/>
                    </a:prstGeom>
                  </pic:spPr>
                </pic:pic>
              </a:graphicData>
            </a:graphic>
          </wp:inline>
        </w:drawing>
      </w:r>
    </w:p>
    <w:p w14:paraId="703543E2" w14:textId="01C24078" w:rsidR="00270FFD" w:rsidRPr="004A5D75" w:rsidRDefault="00270FFD" w:rsidP="00270FFD">
      <w:pPr>
        <w:pStyle w:val="Caption"/>
        <w:rPr>
          <w:rFonts w:ascii="Arial" w:hAnsi="Arial" w:cs="Arial"/>
          <w:i/>
          <w:sz w:val="20"/>
        </w:rPr>
      </w:pPr>
      <w:bookmarkStart w:id="0" w:name="_Ref34118871"/>
      <w:r w:rsidRPr="004A5D75">
        <w:rPr>
          <w:rFonts w:ascii="Arial" w:hAnsi="Arial" w:cs="Arial"/>
          <w:i/>
          <w:sz w:val="20"/>
        </w:rPr>
        <w:t xml:space="preserve">Figure </w:t>
      </w:r>
      <w:r w:rsidRPr="004A5D75">
        <w:rPr>
          <w:rFonts w:ascii="Arial" w:hAnsi="Arial" w:cs="Arial"/>
          <w:i/>
          <w:sz w:val="20"/>
        </w:rPr>
        <w:fldChar w:fldCharType="begin"/>
      </w:r>
      <w:r w:rsidRPr="004A5D75">
        <w:rPr>
          <w:rFonts w:ascii="Arial" w:hAnsi="Arial" w:cs="Arial"/>
          <w:i/>
          <w:sz w:val="20"/>
        </w:rPr>
        <w:instrText xml:space="preserve"> SEQ Figure \* ARABIC </w:instrText>
      </w:r>
      <w:r w:rsidRPr="004A5D75">
        <w:rPr>
          <w:rFonts w:ascii="Arial" w:hAnsi="Arial" w:cs="Arial"/>
          <w:i/>
          <w:sz w:val="20"/>
        </w:rPr>
        <w:fldChar w:fldCharType="separate"/>
      </w:r>
      <w:r w:rsidR="00E46138">
        <w:rPr>
          <w:rFonts w:ascii="Arial" w:hAnsi="Arial" w:cs="Arial"/>
          <w:i/>
          <w:noProof/>
          <w:sz w:val="20"/>
        </w:rPr>
        <w:t>1</w:t>
      </w:r>
      <w:r w:rsidRPr="004A5D75">
        <w:rPr>
          <w:rFonts w:ascii="Arial" w:hAnsi="Arial" w:cs="Arial"/>
          <w:i/>
          <w:sz w:val="20"/>
        </w:rPr>
        <w:fldChar w:fldCharType="end"/>
      </w:r>
      <w:bookmarkEnd w:id="0"/>
      <w:r w:rsidRPr="004A5D75">
        <w:rPr>
          <w:rFonts w:ascii="Arial" w:hAnsi="Arial" w:cs="Arial"/>
          <w:i/>
          <w:sz w:val="20"/>
        </w:rPr>
        <w:t xml:space="preserve"> Overview of methodology for obtaining least-cost renovation scenarios for specific building projects. </w:t>
      </w:r>
    </w:p>
    <w:p w14:paraId="467A372D" w14:textId="77777777" w:rsidR="00270FFD" w:rsidRDefault="00270FFD" w:rsidP="00270FFD">
      <w:pPr>
        <w:pStyle w:val="Heading2"/>
        <w:rPr>
          <w:lang w:val="en-US"/>
        </w:rPr>
      </w:pPr>
      <w:bookmarkStart w:id="1" w:name="_Toc34996387"/>
      <w:r>
        <w:rPr>
          <w:lang w:val="en-US"/>
        </w:rPr>
        <w:t>Project definition</w:t>
      </w:r>
      <w:bookmarkEnd w:id="1"/>
      <w:r>
        <w:rPr>
          <w:lang w:val="en-US"/>
        </w:rPr>
        <w:t xml:space="preserve"> </w:t>
      </w:r>
    </w:p>
    <w:p w14:paraId="59A39FC6" w14:textId="1A7132F3" w:rsidR="00270FFD" w:rsidRPr="00270FFD" w:rsidRDefault="00591AAF" w:rsidP="00270FFD">
      <w:pPr>
        <w:spacing w:after="240"/>
        <w:jc w:val="both"/>
        <w:rPr>
          <w:rFonts w:ascii="Arial" w:hAnsi="Arial" w:cs="Arial"/>
        </w:rPr>
      </w:pPr>
      <w:bookmarkStart w:id="2" w:name="_Toc34996388"/>
      <w:r>
        <w:rPr>
          <w:rFonts w:ascii="Arial" w:hAnsi="Arial" w:cs="Arial"/>
        </w:rPr>
        <w:t xml:space="preserve">The project definition </w:t>
      </w:r>
      <w:r w:rsidR="00270FFD" w:rsidRPr="00270FFD">
        <w:rPr>
          <w:rFonts w:ascii="Arial" w:hAnsi="Arial" w:cs="Arial"/>
        </w:rPr>
        <w:t xml:space="preserve">stage </w:t>
      </w:r>
      <w:r>
        <w:rPr>
          <w:rFonts w:ascii="Arial" w:hAnsi="Arial" w:cs="Arial"/>
        </w:rPr>
        <w:t xml:space="preserve">of the methodology is </w:t>
      </w:r>
      <w:r w:rsidR="00270FFD" w:rsidRPr="00270FFD">
        <w:rPr>
          <w:rFonts w:ascii="Arial" w:hAnsi="Arial" w:cs="Arial"/>
        </w:rPr>
        <w:t xml:space="preserve">where the designer </w:t>
      </w:r>
      <w:r>
        <w:rPr>
          <w:rFonts w:ascii="Arial" w:hAnsi="Arial" w:cs="Arial"/>
        </w:rPr>
        <w:t>is aquatinted</w:t>
      </w:r>
      <w:r w:rsidRPr="00270FFD">
        <w:rPr>
          <w:rFonts w:ascii="Arial" w:hAnsi="Arial" w:cs="Arial"/>
        </w:rPr>
        <w:t xml:space="preserve"> </w:t>
      </w:r>
      <w:r w:rsidR="00270FFD" w:rsidRPr="00270FFD">
        <w:rPr>
          <w:rFonts w:ascii="Arial" w:hAnsi="Arial" w:cs="Arial"/>
        </w:rPr>
        <w:t xml:space="preserve">with </w:t>
      </w:r>
      <w:r>
        <w:rPr>
          <w:rFonts w:ascii="Arial" w:hAnsi="Arial" w:cs="Arial"/>
        </w:rPr>
        <w:t xml:space="preserve">the </w:t>
      </w:r>
      <w:r w:rsidR="00270FFD" w:rsidRPr="00270FFD">
        <w:rPr>
          <w:rFonts w:ascii="Arial" w:hAnsi="Arial" w:cs="Arial"/>
        </w:rPr>
        <w:t xml:space="preserve">general project information as age, type, size, function of the building, etc. At the same time the owner’s primary, secondary targets and motivations for renovation are set. </w:t>
      </w:r>
    </w:p>
    <w:p w14:paraId="2F893F2F" w14:textId="7980AF69" w:rsidR="00FE2360" w:rsidRPr="00270FFD" w:rsidRDefault="00591AAF" w:rsidP="00270FFD">
      <w:pPr>
        <w:spacing w:after="240"/>
        <w:jc w:val="both"/>
        <w:rPr>
          <w:rFonts w:ascii="Arial" w:hAnsi="Arial" w:cs="Arial"/>
        </w:rPr>
      </w:pPr>
      <w:r>
        <w:rPr>
          <w:rFonts w:ascii="Arial" w:hAnsi="Arial" w:cs="Arial"/>
        </w:rPr>
        <w:lastRenderedPageBreak/>
        <w:t>T</w:t>
      </w:r>
      <w:r w:rsidR="00270FFD" w:rsidRPr="00270FFD">
        <w:rPr>
          <w:rFonts w:ascii="Arial" w:hAnsi="Arial" w:cs="Arial"/>
        </w:rPr>
        <w:t xml:space="preserve">he method is focused on reaching NZEB, </w:t>
      </w:r>
      <w:r>
        <w:rPr>
          <w:rFonts w:ascii="Arial" w:hAnsi="Arial" w:cs="Arial"/>
        </w:rPr>
        <w:t xml:space="preserve">therefore, it is important to establish </w:t>
      </w:r>
      <w:r w:rsidR="00270FFD" w:rsidRPr="00270FFD">
        <w:rPr>
          <w:rFonts w:ascii="Arial" w:hAnsi="Arial" w:cs="Arial"/>
        </w:rPr>
        <w:t xml:space="preserve">the specific NZEB definition. This plays an important role in </w:t>
      </w:r>
      <w:r w:rsidR="004C5B6D">
        <w:rPr>
          <w:rFonts w:ascii="Arial" w:hAnsi="Arial" w:cs="Arial"/>
        </w:rPr>
        <w:t xml:space="preserve">the </w:t>
      </w:r>
      <w:r w:rsidR="00270FFD" w:rsidRPr="00270FFD">
        <w:rPr>
          <w:rFonts w:ascii="Arial" w:hAnsi="Arial" w:cs="Arial"/>
        </w:rPr>
        <w:t xml:space="preserve">actions to be included and the focus of the optimization. </w:t>
      </w:r>
      <w:r w:rsidR="004C5B6D">
        <w:rPr>
          <w:rFonts w:ascii="Arial" w:hAnsi="Arial" w:cs="Arial"/>
        </w:rPr>
        <w:t>A</w:t>
      </w:r>
      <w:r w:rsidR="00270FFD" w:rsidRPr="00270FFD">
        <w:rPr>
          <w:rFonts w:ascii="Arial" w:hAnsi="Arial" w:cs="Arial"/>
        </w:rPr>
        <w:t>c</w:t>
      </w:r>
      <w:r w:rsidR="00FE2360">
        <w:rPr>
          <w:rFonts w:ascii="Arial" w:hAnsi="Arial" w:cs="Arial"/>
        </w:rPr>
        <w:t>cording</w:t>
      </w:r>
      <w:r w:rsidR="00270FFD" w:rsidRPr="00270FFD">
        <w:rPr>
          <w:rFonts w:ascii="Arial" w:hAnsi="Arial" w:cs="Arial"/>
        </w:rPr>
        <w:t xml:space="preserve"> to the definition</w:t>
      </w:r>
      <w:r w:rsidR="004C5B6D">
        <w:rPr>
          <w:rFonts w:ascii="Arial" w:hAnsi="Arial" w:cs="Arial"/>
        </w:rPr>
        <w:t xml:space="preserve"> provided in the EPBD</w:t>
      </w:r>
      <w:r w:rsidR="00270FFD" w:rsidRPr="00270FFD">
        <w:rPr>
          <w:rFonts w:ascii="Arial" w:hAnsi="Arial" w:cs="Arial"/>
        </w:rPr>
        <w:t xml:space="preserve">, an NZEB is a building with low amount of energy, covered mainly by renewables </w:t>
      </w:r>
      <w:r w:rsidR="00270FFD" w:rsidRPr="00270FFD">
        <w:rPr>
          <w:rFonts w:ascii="Arial" w:hAnsi="Arial" w:cs="Arial"/>
        </w:rPr>
        <w:fldChar w:fldCharType="begin" w:fldLock="1"/>
      </w:r>
      <w:r w:rsidR="00B250B8">
        <w:rPr>
          <w:rFonts w:ascii="Arial" w:hAnsi="Arial" w:cs="Arial"/>
        </w:rPr>
        <w:instrText>ADDIN CSL_CITATION {"citationItems":[{"id":"ITEM-1","itemData":{"id":"ITEM-1","issued":{"date-parts":[["2010"]]},"publisher":"European Union","title":"DIRECTIVE 2010/31/EU OF THE EUROPEAN PARLIAMENT AND OF THE COUNCIL of 19 May 2010 on the energy performance of buildings (recast)","type":"bill"},"uris":["http://www.mendeley.com/documents/?uuid=4556e005-9fe2-4bde-a8b8-aee2a4a806b6"]}],"mendeley":{"formattedCitation":"[5]","plainTextFormattedCitation":"[5]","previouslyFormattedCitation":"[4]"},"properties":{"noteIndex":0},"schema":"https://github.com/citation-style-language/schema/raw/master/csl-citation.json"}</w:instrText>
      </w:r>
      <w:r w:rsidR="00270FFD" w:rsidRPr="00270FFD">
        <w:rPr>
          <w:rFonts w:ascii="Arial" w:hAnsi="Arial" w:cs="Arial"/>
        </w:rPr>
        <w:fldChar w:fldCharType="separate"/>
      </w:r>
      <w:r w:rsidR="00B250B8" w:rsidRPr="00B250B8">
        <w:rPr>
          <w:rFonts w:ascii="Arial" w:hAnsi="Arial" w:cs="Arial"/>
          <w:noProof/>
        </w:rPr>
        <w:t>[5]</w:t>
      </w:r>
      <w:r w:rsidR="00270FFD" w:rsidRPr="00270FFD">
        <w:rPr>
          <w:rFonts w:ascii="Arial" w:hAnsi="Arial" w:cs="Arial"/>
        </w:rPr>
        <w:fldChar w:fldCharType="end"/>
      </w:r>
      <w:r w:rsidR="00270FFD" w:rsidRPr="00270FFD">
        <w:rPr>
          <w:rFonts w:ascii="Arial" w:hAnsi="Arial" w:cs="Arial"/>
        </w:rPr>
        <w:t xml:space="preserve">. </w:t>
      </w:r>
      <w:r w:rsidR="003B5C86">
        <w:rPr>
          <w:rFonts w:ascii="Arial" w:hAnsi="Arial" w:cs="Arial"/>
        </w:rPr>
        <w:t xml:space="preserve">In most Member States, maximum limit of primary energy is used as main determining factor </w:t>
      </w:r>
      <w:r w:rsidR="00FE2360">
        <w:rPr>
          <w:rFonts w:ascii="Arial" w:hAnsi="Arial" w:cs="Arial"/>
        </w:rPr>
        <w:t xml:space="preserve">for </w:t>
      </w:r>
      <w:r w:rsidR="003B5C86">
        <w:rPr>
          <w:rFonts w:ascii="Arial" w:hAnsi="Arial" w:cs="Arial"/>
        </w:rPr>
        <w:t>reaching NZEB</w:t>
      </w:r>
      <w:r w:rsidR="00270FFD" w:rsidRPr="00270FFD">
        <w:rPr>
          <w:rFonts w:ascii="Arial" w:hAnsi="Arial" w:cs="Arial"/>
        </w:rPr>
        <w:t xml:space="preserve">. </w:t>
      </w:r>
      <w:r w:rsidR="003B5C86">
        <w:rPr>
          <w:rFonts w:ascii="Arial" w:hAnsi="Arial" w:cs="Arial"/>
        </w:rPr>
        <w:t xml:space="preserve">The </w:t>
      </w:r>
      <w:r w:rsidR="00270FFD" w:rsidRPr="00270FFD">
        <w:rPr>
          <w:rFonts w:ascii="Arial" w:hAnsi="Arial" w:cs="Arial"/>
        </w:rPr>
        <w:t xml:space="preserve">maximum limit value varies in magnitude and the way that </w:t>
      </w:r>
      <w:r w:rsidR="003B5C86">
        <w:rPr>
          <w:rFonts w:ascii="Arial" w:hAnsi="Arial" w:cs="Arial"/>
        </w:rPr>
        <w:t xml:space="preserve">it is </w:t>
      </w:r>
      <w:r w:rsidR="00270FFD" w:rsidRPr="00270FFD">
        <w:rPr>
          <w:rFonts w:ascii="Arial" w:hAnsi="Arial" w:cs="Arial"/>
        </w:rPr>
        <w:t>determined</w:t>
      </w:r>
      <w:r w:rsidR="003B5C86">
        <w:rPr>
          <w:rFonts w:ascii="Arial" w:hAnsi="Arial" w:cs="Arial"/>
        </w:rPr>
        <w:t xml:space="preserve"> </w:t>
      </w:r>
      <w:r w:rsidR="003B5C86" w:rsidRPr="00270FFD">
        <w:rPr>
          <w:rFonts w:ascii="Arial" w:hAnsi="Arial" w:cs="Arial"/>
        </w:rPr>
        <w:t>from country to country</w:t>
      </w:r>
      <w:r w:rsidR="00270FFD" w:rsidRPr="00270FFD">
        <w:rPr>
          <w:rFonts w:ascii="Arial" w:hAnsi="Arial" w:cs="Arial"/>
        </w:rPr>
        <w:t xml:space="preserve">. In few cases the indicator is determined via non-dimensional parameter, relative to a reference building </w:t>
      </w:r>
      <w:r w:rsidR="00270FFD" w:rsidRPr="00270FFD">
        <w:rPr>
          <w:rFonts w:ascii="Arial" w:hAnsi="Arial" w:cs="Arial"/>
        </w:rPr>
        <w:fldChar w:fldCharType="begin" w:fldLock="1"/>
      </w:r>
      <w:r w:rsidR="00B250B8">
        <w:rPr>
          <w:rFonts w:ascii="Arial" w:hAnsi="Arial" w:cs="Arial"/>
        </w:rPr>
        <w:instrText>ADDIN CSL_CITATION {"citationItems":[{"id":"ITEM-1","itemData":{"abstract":"This factsheet summarises the current status (as of April 2015) of different approaches and indicators used by Member States (and Norway) for the nZEB definition of new and existing buildings. It highlights the link between the establishment of a definition and its gradual implementation and promotion on the market. The factsheet is to a large extent based on the findings of the EU-funded project EPISCOPE.","author":[{"dropping-particle":"","family":"Building Performance Institute Europe (BPIE)","given":"","non-dropping-particle":"","parse-names":false,"suffix":""}],"id":"ITEM-1","issue":"aprill","issued":{"date-parts":[["2015"]]},"page":"18-22","title":"Nearly Zero Energy Buildings definitions across europe","type":"article"},"uris":["http://www.mendeley.com/documents/?uuid=388a8d51-b646-4371-b585-af410758f91c"]}],"mendeley":{"formattedCitation":"[6]","plainTextFormattedCitation":"[6]","previouslyFormattedCitation":"[5]"},"properties":{"noteIndex":0},"schema":"https://github.com/citation-style-language/schema/raw/master/csl-citation.json"}</w:instrText>
      </w:r>
      <w:r w:rsidR="00270FFD" w:rsidRPr="00270FFD">
        <w:rPr>
          <w:rFonts w:ascii="Arial" w:hAnsi="Arial" w:cs="Arial"/>
        </w:rPr>
        <w:fldChar w:fldCharType="separate"/>
      </w:r>
      <w:r w:rsidR="00B250B8" w:rsidRPr="00B250B8">
        <w:rPr>
          <w:rFonts w:ascii="Arial" w:hAnsi="Arial" w:cs="Arial"/>
          <w:noProof/>
        </w:rPr>
        <w:t>[6]</w:t>
      </w:r>
      <w:r w:rsidR="00270FFD" w:rsidRPr="00270FFD">
        <w:rPr>
          <w:rFonts w:ascii="Arial" w:hAnsi="Arial" w:cs="Arial"/>
        </w:rPr>
        <w:fldChar w:fldCharType="end"/>
      </w:r>
      <w:r w:rsidR="00270FFD" w:rsidRPr="00270FFD">
        <w:rPr>
          <w:rFonts w:ascii="Arial" w:hAnsi="Arial" w:cs="Arial"/>
        </w:rPr>
        <w:t xml:space="preserve">. </w:t>
      </w:r>
      <w:r w:rsidR="00A91B1D">
        <w:rPr>
          <w:rFonts w:ascii="Arial" w:hAnsi="Arial" w:cs="Arial"/>
        </w:rPr>
        <w:t>O</w:t>
      </w:r>
      <w:r w:rsidR="003B5C86">
        <w:rPr>
          <w:rFonts w:ascii="Arial" w:hAnsi="Arial" w:cs="Arial"/>
        </w:rPr>
        <w:t xml:space="preserve">ther </w:t>
      </w:r>
      <w:r w:rsidR="00270FFD" w:rsidRPr="00270FFD">
        <w:rPr>
          <w:rFonts w:ascii="Arial" w:hAnsi="Arial" w:cs="Arial"/>
        </w:rPr>
        <w:t>Member States,</w:t>
      </w:r>
      <w:r w:rsidR="00A91B1D">
        <w:rPr>
          <w:rFonts w:ascii="Arial" w:hAnsi="Arial" w:cs="Arial"/>
        </w:rPr>
        <w:t xml:space="preserve"> apply </w:t>
      </w:r>
      <w:r w:rsidR="00270FFD" w:rsidRPr="00270FFD">
        <w:rPr>
          <w:rFonts w:ascii="Arial" w:hAnsi="Arial" w:cs="Arial"/>
        </w:rPr>
        <w:t>carbon emissions</w:t>
      </w:r>
      <w:r w:rsidR="00A91B1D">
        <w:rPr>
          <w:rFonts w:ascii="Arial" w:hAnsi="Arial" w:cs="Arial"/>
        </w:rPr>
        <w:t xml:space="preserve"> as indicator</w:t>
      </w:r>
      <w:r w:rsidR="00270FFD" w:rsidRPr="00270FFD">
        <w:rPr>
          <w:rFonts w:ascii="Arial" w:hAnsi="Arial" w:cs="Arial"/>
        </w:rPr>
        <w:t xml:space="preserve">, while in </w:t>
      </w:r>
      <w:r w:rsidR="00A91B1D">
        <w:rPr>
          <w:rFonts w:ascii="Arial" w:hAnsi="Arial" w:cs="Arial"/>
        </w:rPr>
        <w:t>third</w:t>
      </w:r>
      <w:r w:rsidR="00270FFD" w:rsidRPr="00270FFD">
        <w:rPr>
          <w:rFonts w:ascii="Arial" w:hAnsi="Arial" w:cs="Arial"/>
        </w:rPr>
        <w:t xml:space="preserve">, emissions are </w:t>
      </w:r>
      <w:r w:rsidR="00A91B1D">
        <w:rPr>
          <w:rFonts w:ascii="Arial" w:hAnsi="Arial" w:cs="Arial"/>
        </w:rPr>
        <w:t>used in combination with primary energy</w:t>
      </w:r>
      <w:r w:rsidR="00270FFD" w:rsidRPr="00270FFD">
        <w:rPr>
          <w:rFonts w:ascii="Arial" w:hAnsi="Arial" w:cs="Arial"/>
        </w:rPr>
        <w:t xml:space="preserve"> </w:t>
      </w:r>
      <w:r w:rsidR="00270FFD" w:rsidRPr="00270FFD">
        <w:rPr>
          <w:rFonts w:ascii="Arial" w:hAnsi="Arial" w:cs="Arial"/>
        </w:rPr>
        <w:fldChar w:fldCharType="begin" w:fldLock="1"/>
      </w:r>
      <w:r w:rsidR="00B250B8">
        <w:rPr>
          <w:rFonts w:ascii="Arial" w:hAnsi="Arial" w:cs="Arial"/>
        </w:rPr>
        <w:instrText>ADDIN CSL_CITATION {"citationItems":[{"id":"ITEM-1","itemData":{"abstract":"This factsheet summarises the current status (as of April 2015) of different approaches and indicators used by Member States (and Norway) for the nZEB definition of new and existing buildings. It highlights the link between the establishment of a definition and its gradual implementation and promotion on the market. The factsheet is to a large extent based on the findings of the EU-funded project EPISCOPE.","author":[{"dropping-particle":"","family":"Building Performance Institute Europe (BPIE)","given":"","non-dropping-particle":"","parse-names":false,"suffix":""}],"id":"ITEM-1","issue":"aprill","issued":{"date-parts":[["2015"]]},"page":"18-22","title":"Nearly Zero Energy Buildings definitions across europe","type":"article"},"uris":["http://www.mendeley.com/documents/?uuid=388a8d51-b646-4371-b585-af410758f91c"]}],"mendeley":{"formattedCitation":"[6]","plainTextFormattedCitation":"[6]","previouslyFormattedCitation":"[5]"},"properties":{"noteIndex":0},"schema":"https://github.com/citation-style-language/schema/raw/master/csl-citation.json"}</w:instrText>
      </w:r>
      <w:r w:rsidR="00270FFD" w:rsidRPr="00270FFD">
        <w:rPr>
          <w:rFonts w:ascii="Arial" w:hAnsi="Arial" w:cs="Arial"/>
        </w:rPr>
        <w:fldChar w:fldCharType="separate"/>
      </w:r>
      <w:r w:rsidR="00B250B8" w:rsidRPr="00B250B8">
        <w:rPr>
          <w:rFonts w:ascii="Arial" w:hAnsi="Arial" w:cs="Arial"/>
          <w:noProof/>
        </w:rPr>
        <w:t>[6]</w:t>
      </w:r>
      <w:r w:rsidR="00270FFD" w:rsidRPr="00270FFD">
        <w:rPr>
          <w:rFonts w:ascii="Arial" w:hAnsi="Arial" w:cs="Arial"/>
        </w:rPr>
        <w:fldChar w:fldCharType="end"/>
      </w:r>
      <w:r w:rsidR="00270FFD" w:rsidRPr="00270FFD">
        <w:rPr>
          <w:rFonts w:ascii="Arial" w:hAnsi="Arial" w:cs="Arial"/>
        </w:rPr>
        <w:t>. Since the release of the EPBD</w:t>
      </w:r>
      <w:r w:rsidR="00A91B1D">
        <w:rPr>
          <w:rFonts w:ascii="Arial" w:hAnsi="Arial" w:cs="Arial"/>
        </w:rPr>
        <w:t>,</w:t>
      </w:r>
      <w:r w:rsidR="00270FFD" w:rsidRPr="00270FFD">
        <w:rPr>
          <w:rFonts w:ascii="Arial" w:hAnsi="Arial" w:cs="Arial"/>
        </w:rPr>
        <w:t xml:space="preserve"> various </w:t>
      </w:r>
      <w:r w:rsidR="00A91B1D">
        <w:rPr>
          <w:rFonts w:ascii="Arial" w:hAnsi="Arial" w:cs="Arial"/>
        </w:rPr>
        <w:t>interpretations</w:t>
      </w:r>
      <w:r w:rsidR="00A91B1D" w:rsidRPr="00270FFD">
        <w:rPr>
          <w:rFonts w:ascii="Arial" w:hAnsi="Arial" w:cs="Arial"/>
        </w:rPr>
        <w:t xml:space="preserve"> </w:t>
      </w:r>
      <w:r w:rsidR="00270FFD" w:rsidRPr="00270FFD">
        <w:rPr>
          <w:rFonts w:ascii="Arial" w:hAnsi="Arial" w:cs="Arial"/>
        </w:rPr>
        <w:t xml:space="preserve">and calculation methods for NZEB have been </w:t>
      </w:r>
      <w:r w:rsidR="00A91B1D">
        <w:rPr>
          <w:rFonts w:ascii="Arial" w:hAnsi="Arial" w:cs="Arial"/>
        </w:rPr>
        <w:t xml:space="preserve">illustrated </w:t>
      </w:r>
      <w:r w:rsidR="00270FFD" w:rsidRPr="00270FFD">
        <w:rPr>
          <w:rFonts w:ascii="Arial" w:hAnsi="Arial" w:cs="Arial"/>
        </w:rPr>
        <w:fldChar w:fldCharType="begin" w:fldLock="1"/>
      </w:r>
      <w:r w:rsidR="00B250B8">
        <w:rPr>
          <w:rFonts w:ascii="Arial" w:hAnsi="Arial" w:cs="Arial"/>
        </w:rPr>
        <w:instrText>ADDIN CSL_CITATION {"citationItems":[{"id":"ITEM-1","itemData":{"DOI":"10.1016/j.enbuild.2010.12.022","ISSN":"03787788","abstract":"The concept of Zero Energy Building (ZEB) has gained wide international attention during last few years and is now seen as the future target for the design of buildings. However, before being fully implemented in the national building codes and international standards, the ZEB concept requires clear and consistent definition and a commonly agreed energy calculation methodology. The most important issues that should be given special attention before developing a new ZEB definition are: (1) the metric of the balance, (2) the balancing period, (3) the type of energy use included in the balance, (4) the type of energy balance, (5) the accepted renewable energy supply options, (6) the connection to the energy infrastructure and (7) the requirements for the energy efficiency, the indoor climate and in case of gird connected ZEB for the building-grid interaction. This paper focuses on the review of the most of the existing ZEB definitions and the various approaches towards possible ZEB calculation methodologies. It presents and discusses possible answers to the abovementioned issues in order to facilitate the development of a consistent ZEB definition and a robust energy calculation methodology. © 2011 Elsevier B.V. All rights reserved.","author":[{"dropping-particle":"","family":"Marszal","given":"A. J.","non-dropping-particle":"","parse-names":false,"suffix":""},{"dropping-particle":"","family":"Heiselberg","given":"P.","non-dropping-particle":"","parse-names":false,"suffix":""},{"dropping-particle":"","family":"Bourrelle","given":"J. S.","non-dropping-particle":"","parse-names":false,"suffix":""},{"dropping-particle":"","family":"Musall","given":"E.","non-dropping-particle":"","parse-names":false,"suffix":""},{"dropping-particle":"","family":"Voss","given":"K.","non-dropping-particle":"","parse-names":false,"suffix":""},{"dropping-particle":"","family":"Sartori","given":"I.","non-dropping-particle":"","parse-names":false,"suffix":""},{"dropping-particle":"","family":"Napolitano","given":"A.","non-dropping-particle":"","parse-names":false,"suffix":""}],"container-title":"Energy and Buildings","id":"ITEM-1","issue":"4","issued":{"date-parts":[["2011"]]},"page":"971-979","title":"Zero Energy Building - A review of definitions and calculation methodologies","type":"article-journal","volume":"43"},"uris":["http://www.mendeley.com/documents/?uuid=87abc770-5d50-4467-98e3-359892d50586"]}],"mendeley":{"formattedCitation":"[7]","plainTextFormattedCitation":"[7]","previouslyFormattedCitation":"[6]"},"properties":{"noteIndex":0},"schema":"https://github.com/citation-style-language/schema/raw/master/csl-citation.json"}</w:instrText>
      </w:r>
      <w:r w:rsidR="00270FFD" w:rsidRPr="00270FFD">
        <w:rPr>
          <w:rFonts w:ascii="Arial" w:hAnsi="Arial" w:cs="Arial"/>
        </w:rPr>
        <w:fldChar w:fldCharType="separate"/>
      </w:r>
      <w:r w:rsidR="00B250B8" w:rsidRPr="00B250B8">
        <w:rPr>
          <w:rFonts w:ascii="Arial" w:hAnsi="Arial" w:cs="Arial"/>
          <w:noProof/>
        </w:rPr>
        <w:t>[7]</w:t>
      </w:r>
      <w:r w:rsidR="00270FFD" w:rsidRPr="00270FFD">
        <w:rPr>
          <w:rFonts w:ascii="Arial" w:hAnsi="Arial" w:cs="Arial"/>
        </w:rPr>
        <w:fldChar w:fldCharType="end"/>
      </w:r>
      <w:r w:rsidR="00270FFD" w:rsidRPr="00270FFD">
        <w:rPr>
          <w:rFonts w:ascii="Arial" w:hAnsi="Arial" w:cs="Arial"/>
        </w:rPr>
        <w:t xml:space="preserve">. Some </w:t>
      </w:r>
      <w:r w:rsidR="003423C4">
        <w:rPr>
          <w:rFonts w:ascii="Arial" w:hAnsi="Arial" w:cs="Arial"/>
        </w:rPr>
        <w:t>interpretations</w:t>
      </w:r>
      <w:r w:rsidR="003423C4" w:rsidRPr="00270FFD">
        <w:rPr>
          <w:rFonts w:ascii="Arial" w:hAnsi="Arial" w:cs="Arial"/>
        </w:rPr>
        <w:t xml:space="preserve"> </w:t>
      </w:r>
      <w:r w:rsidR="00270FFD" w:rsidRPr="00270FFD">
        <w:rPr>
          <w:rFonts w:ascii="Arial" w:hAnsi="Arial" w:cs="Arial"/>
        </w:rPr>
        <w:t xml:space="preserve">throughout literature have defined NZEB depending on the considered boundary (e.g. at the building – Site NZEB or at the supplier – source  NZEB), the emissions or by the cost of the energy </w:t>
      </w:r>
      <w:r w:rsidR="00270FFD" w:rsidRPr="00270FFD">
        <w:rPr>
          <w:rFonts w:ascii="Arial" w:hAnsi="Arial" w:cs="Arial"/>
        </w:rPr>
        <w:fldChar w:fldCharType="begin" w:fldLock="1"/>
      </w:r>
      <w:r w:rsidR="00B250B8">
        <w:rPr>
          <w:rFonts w:ascii="Arial" w:hAnsi="Arial" w:cs="Arial"/>
        </w:rPr>
        <w:instrText>ADDIN CSL_CITATION {"citationItems":[{"id":"ITEM-1","itemData":{"DOI":"10.1016/S1471-0846(02)80045-2","ISBN":"NREL/CP-550-39833","ISSN":"14710846","abstract":"A net zero-energy building (ZEB) is a residential or commercial building with greatly reduced energy needs through efficiency gains such that the balance of energy needs can be supplied with renewable technologies. Despite the excitement over the phrase “zero energy,” we lack a common definition, or even a common understanding, of what it means. In this paper, we use a sample of current generation low-energy buildings to explore the concept of zero energy: what it means, why a clear and measurable definition is needed, and how we have progressed toward the ZEB goal. The way the zero energy goal is defined affects the choices designers make to achieve this goal and whether they can claim success. The ZEB definition can emphasize demand-side or supply strategies and whether fuel switching and conversion accounting are appropriate to meet a ZEB goal. Four well-documented definitions—net-zero site energy, net-zero source energy, net-zero energy costs, and net-zero energy emissions—are studied; pluses and minuses of each are discussed. These definitions are applied to a set of low-energy buildings for which extensive energy data are available. This study shows the design impacts of the definition used for ZEB and the large difference between definitions. It also looks at sample utility rate structures and their impact on the zero energy scenarios.","author":[{"dropping-particle":"","family":"Torcellini","given":"P","non-dropping-particle":"","parse-names":false,"suffix":""},{"dropping-particle":"","family":"Pless","given":"S","non-dropping-particle":"","parse-names":false,"suffix":""},{"dropping-particle":"","family":"Deru","given":"M","non-dropping-particle":"","parse-names":false,"suffix":""},{"dropping-particle":"","family":"Crawley","given":"D.","non-dropping-particle":"","parse-names":false,"suffix":""}],"container-title":"ACEEE Summer Study Pacific Grove","id":"ITEM-1","issued":{"date-parts":[["2006"]]},"page":"15","title":"Zero Energy Buildings: A Critical Look at the Definition","type":"article-journal"},"uris":["http://www.mendeley.com/documents/?uuid=25aa362a-bf21-4294-a096-77b24e0efd49"]}],"mendeley":{"formattedCitation":"[8]","plainTextFormattedCitation":"[8]","previouslyFormattedCitation":"[7]"},"properties":{"noteIndex":0},"schema":"https://github.com/citation-style-language/schema/raw/master/csl-citation.json"}</w:instrText>
      </w:r>
      <w:r w:rsidR="00270FFD" w:rsidRPr="00270FFD">
        <w:rPr>
          <w:rFonts w:ascii="Arial" w:hAnsi="Arial" w:cs="Arial"/>
        </w:rPr>
        <w:fldChar w:fldCharType="separate"/>
      </w:r>
      <w:r w:rsidR="00B250B8" w:rsidRPr="00B250B8">
        <w:rPr>
          <w:rFonts w:ascii="Arial" w:hAnsi="Arial" w:cs="Arial"/>
          <w:noProof/>
        </w:rPr>
        <w:t>[8]</w:t>
      </w:r>
      <w:r w:rsidR="00270FFD" w:rsidRPr="00270FFD">
        <w:rPr>
          <w:rFonts w:ascii="Arial" w:hAnsi="Arial" w:cs="Arial"/>
        </w:rPr>
        <w:fldChar w:fldCharType="end"/>
      </w:r>
      <w:r w:rsidR="00270FFD" w:rsidRPr="00270FFD">
        <w:rPr>
          <w:rFonts w:ascii="Arial" w:hAnsi="Arial" w:cs="Arial"/>
        </w:rPr>
        <w:t xml:space="preserve">. </w:t>
      </w:r>
      <w:r w:rsidR="003423C4">
        <w:rPr>
          <w:rFonts w:ascii="Arial" w:hAnsi="Arial" w:cs="Arial"/>
        </w:rPr>
        <w:t>Due to</w:t>
      </w:r>
      <w:r w:rsidR="00270FFD" w:rsidRPr="00270FFD">
        <w:rPr>
          <w:rFonts w:ascii="Arial" w:hAnsi="Arial" w:cs="Arial"/>
        </w:rPr>
        <w:t xml:space="preserve"> the evolving nature of the NZEB definition the methodology presented on </w:t>
      </w:r>
      <w:r w:rsidR="00270FFD" w:rsidRPr="00124D50">
        <w:rPr>
          <w:rFonts w:ascii="Arial" w:hAnsi="Arial" w:cs="Arial"/>
          <w:i/>
        </w:rPr>
        <w:fldChar w:fldCharType="begin"/>
      </w:r>
      <w:r w:rsidR="00270FFD" w:rsidRPr="00124D50">
        <w:rPr>
          <w:rFonts w:ascii="Arial" w:hAnsi="Arial" w:cs="Arial"/>
          <w:i/>
        </w:rPr>
        <w:instrText xml:space="preserve"> REF _Ref34118871 \h  \* MERGEFORMAT </w:instrText>
      </w:r>
      <w:r w:rsidR="00270FFD" w:rsidRPr="00124D50">
        <w:rPr>
          <w:rFonts w:ascii="Arial" w:hAnsi="Arial" w:cs="Arial"/>
          <w:i/>
        </w:rPr>
      </w:r>
      <w:r w:rsidR="00270FFD" w:rsidRPr="00124D50">
        <w:rPr>
          <w:rFonts w:ascii="Arial" w:hAnsi="Arial" w:cs="Arial"/>
          <w:i/>
        </w:rPr>
        <w:fldChar w:fldCharType="separate"/>
      </w:r>
      <w:r w:rsidR="00015207" w:rsidRPr="004A5D75">
        <w:rPr>
          <w:rFonts w:ascii="Arial" w:hAnsi="Arial" w:cs="Arial"/>
          <w:i/>
        </w:rPr>
        <w:t xml:space="preserve">Figure </w:t>
      </w:r>
      <w:r w:rsidR="00015207">
        <w:rPr>
          <w:rFonts w:ascii="Arial" w:hAnsi="Arial" w:cs="Arial"/>
          <w:i/>
          <w:noProof/>
        </w:rPr>
        <w:t>1</w:t>
      </w:r>
      <w:r w:rsidR="00270FFD" w:rsidRPr="00124D50">
        <w:rPr>
          <w:rFonts w:ascii="Arial" w:hAnsi="Arial" w:cs="Arial"/>
          <w:i/>
        </w:rPr>
        <w:fldChar w:fldCharType="end"/>
      </w:r>
      <w:r w:rsidR="00270FFD" w:rsidRPr="00270FFD">
        <w:rPr>
          <w:rFonts w:ascii="Arial" w:hAnsi="Arial" w:cs="Arial"/>
        </w:rPr>
        <w:t xml:space="preserve"> is not targeted to </w:t>
      </w:r>
      <w:r w:rsidR="00C32508">
        <w:rPr>
          <w:rFonts w:ascii="Arial" w:hAnsi="Arial" w:cs="Arial"/>
        </w:rPr>
        <w:t xml:space="preserve">a specific </w:t>
      </w:r>
      <w:r w:rsidR="00270FFD" w:rsidRPr="00270FFD">
        <w:rPr>
          <w:rFonts w:ascii="Arial" w:hAnsi="Arial" w:cs="Arial"/>
        </w:rPr>
        <w:t>NZEB definition or main indicator, rather designed in a way to assess the necessary building parameters in order to fulfil a given NZEB requirement.</w:t>
      </w:r>
    </w:p>
    <w:p w14:paraId="1E5DDB9E" w14:textId="3174865F" w:rsidR="00CF08BB" w:rsidRDefault="00C32508" w:rsidP="00FE2360">
      <w:pPr>
        <w:spacing w:after="240"/>
        <w:jc w:val="both"/>
        <w:rPr>
          <w:rFonts w:ascii="Arial" w:hAnsi="Arial" w:cs="Arial"/>
        </w:rPr>
      </w:pPr>
      <w:r w:rsidRPr="00015049">
        <w:rPr>
          <w:rFonts w:ascii="Arial" w:hAnsi="Arial" w:cs="Arial"/>
        </w:rPr>
        <w:t>T</w:t>
      </w:r>
      <w:r w:rsidR="00270FFD" w:rsidRPr="00015049">
        <w:rPr>
          <w:rFonts w:ascii="Arial" w:hAnsi="Arial" w:cs="Arial"/>
        </w:rPr>
        <w:t>he owner may also have secondary targets</w:t>
      </w:r>
      <w:r w:rsidRPr="00015049">
        <w:rPr>
          <w:rFonts w:ascii="Arial" w:hAnsi="Arial" w:cs="Arial"/>
        </w:rPr>
        <w:t>, besides reaching NZEB</w:t>
      </w:r>
      <w:r w:rsidR="00270FFD" w:rsidRPr="00015049">
        <w:rPr>
          <w:rFonts w:ascii="Arial" w:hAnsi="Arial" w:cs="Arial"/>
        </w:rPr>
        <w:t xml:space="preserve">. Those can be </w:t>
      </w:r>
      <w:r w:rsidR="001F5391" w:rsidRPr="00015049">
        <w:rPr>
          <w:rFonts w:ascii="Arial" w:hAnsi="Arial" w:cs="Arial"/>
        </w:rPr>
        <w:t>of varying nature, for example</w:t>
      </w:r>
      <w:r w:rsidR="005C7E25">
        <w:rPr>
          <w:rFonts w:ascii="Arial" w:hAnsi="Arial" w:cs="Arial"/>
        </w:rPr>
        <w:t>,</w:t>
      </w:r>
      <w:r w:rsidR="001F5391" w:rsidRPr="00015049">
        <w:rPr>
          <w:rFonts w:ascii="Arial" w:hAnsi="Arial" w:cs="Arial"/>
        </w:rPr>
        <w:t xml:space="preserve"> improvement of indoor comfort, addition of extra living space, low environmental profile, etc.</w:t>
      </w:r>
      <w:r w:rsidR="00270FFD" w:rsidRPr="00015049">
        <w:rPr>
          <w:rFonts w:ascii="Arial" w:hAnsi="Arial" w:cs="Arial"/>
        </w:rPr>
        <w:t xml:space="preserve"> Some of those may also be imposed by the local regulations</w:t>
      </w:r>
      <w:r w:rsidR="00FE2360">
        <w:rPr>
          <w:rFonts w:ascii="Arial" w:hAnsi="Arial" w:cs="Arial"/>
        </w:rPr>
        <w:t>, which are set by the location of the building</w:t>
      </w:r>
      <w:r w:rsidR="00270FFD" w:rsidRPr="00015049">
        <w:rPr>
          <w:rFonts w:ascii="Arial" w:hAnsi="Arial" w:cs="Arial"/>
        </w:rPr>
        <w:t xml:space="preserve">. Depending on the country/region, requirements for renovation can be defined on </w:t>
      </w:r>
      <w:r w:rsidR="00FE2360">
        <w:rPr>
          <w:rFonts w:ascii="Arial" w:hAnsi="Arial" w:cs="Arial"/>
        </w:rPr>
        <w:t xml:space="preserve">a </w:t>
      </w:r>
      <w:r w:rsidR="00270FFD" w:rsidRPr="00015049">
        <w:rPr>
          <w:rFonts w:ascii="Arial" w:hAnsi="Arial" w:cs="Arial"/>
        </w:rPr>
        <w:t>component or building level or combination of both.</w:t>
      </w:r>
      <w:r w:rsidR="00270FFD" w:rsidRPr="00270FFD">
        <w:rPr>
          <w:rFonts w:ascii="Arial" w:hAnsi="Arial" w:cs="Arial"/>
        </w:rPr>
        <w:t xml:space="preserve"> </w:t>
      </w:r>
      <w:r w:rsidR="004B43BA">
        <w:rPr>
          <w:rFonts w:ascii="Arial" w:hAnsi="Arial" w:cs="Arial"/>
        </w:rPr>
        <w:t>If the building is with historic or cultural value</w:t>
      </w:r>
      <w:r w:rsidR="00270FFD" w:rsidRPr="00270FFD">
        <w:rPr>
          <w:rFonts w:ascii="Arial" w:hAnsi="Arial" w:cs="Arial"/>
        </w:rPr>
        <w:t xml:space="preserve"> one or more elements </w:t>
      </w:r>
      <w:r w:rsidR="004B43BA">
        <w:rPr>
          <w:rFonts w:ascii="Arial" w:hAnsi="Arial" w:cs="Arial"/>
        </w:rPr>
        <w:t>may be protected and not allowed to be changed</w:t>
      </w:r>
      <w:r w:rsidR="00270FFD" w:rsidRPr="00270FFD">
        <w:rPr>
          <w:rFonts w:ascii="Arial" w:hAnsi="Arial" w:cs="Arial"/>
        </w:rPr>
        <w:t>.</w:t>
      </w:r>
    </w:p>
    <w:p w14:paraId="1E97E252" w14:textId="46159966" w:rsidR="00BB3670" w:rsidRDefault="00CF08BB" w:rsidP="00FE2360">
      <w:pPr>
        <w:spacing w:after="240"/>
        <w:jc w:val="both"/>
        <w:rPr>
          <w:rFonts w:ascii="Arial" w:hAnsi="Arial" w:cs="Arial"/>
        </w:rPr>
      </w:pPr>
      <w:r>
        <w:rPr>
          <w:rFonts w:ascii="Arial" w:hAnsi="Arial" w:cs="Arial"/>
        </w:rPr>
        <w:t xml:space="preserve">A reference calculation determining the existing energy demand is necessary in order to estimate </w:t>
      </w:r>
      <w:r w:rsidR="00270FFD" w:rsidRPr="00270FFD">
        <w:rPr>
          <w:rFonts w:ascii="Arial" w:hAnsi="Arial" w:cs="Arial"/>
        </w:rPr>
        <w:t xml:space="preserve">the potential energy savings of a component or complete renovation package. </w:t>
      </w:r>
      <w:r>
        <w:rPr>
          <w:rFonts w:ascii="Arial" w:hAnsi="Arial" w:cs="Arial"/>
        </w:rPr>
        <w:t>This calculation can be performed either with steady-state or dynamic methods</w:t>
      </w:r>
      <w:r w:rsidR="00BC1B67">
        <w:rPr>
          <w:rFonts w:ascii="Arial" w:hAnsi="Arial" w:cs="Arial"/>
        </w:rPr>
        <w:t xml:space="preserve">. The selection of the method is up to the designer, </w:t>
      </w:r>
      <w:r w:rsidR="00E373D3">
        <w:rPr>
          <w:rFonts w:ascii="Arial" w:hAnsi="Arial" w:cs="Arial"/>
        </w:rPr>
        <w:t>however, there may be specific</w:t>
      </w:r>
      <w:r w:rsidR="00BC1B67">
        <w:rPr>
          <w:rFonts w:ascii="Arial" w:hAnsi="Arial" w:cs="Arial"/>
        </w:rPr>
        <w:t xml:space="preserve"> regulatory framework and</w:t>
      </w:r>
      <w:r w:rsidR="00E373D3">
        <w:rPr>
          <w:rFonts w:ascii="Arial" w:hAnsi="Arial" w:cs="Arial"/>
        </w:rPr>
        <w:t>/or</w:t>
      </w:r>
      <w:r w:rsidR="00BC1B67">
        <w:rPr>
          <w:rFonts w:ascii="Arial" w:hAnsi="Arial" w:cs="Arial"/>
        </w:rPr>
        <w:t xml:space="preserve"> the project specific </w:t>
      </w:r>
      <w:r w:rsidR="00E373D3">
        <w:rPr>
          <w:rFonts w:ascii="Arial" w:hAnsi="Arial" w:cs="Arial"/>
        </w:rPr>
        <w:t>needs</w:t>
      </w:r>
      <w:r w:rsidR="00BC1B67">
        <w:rPr>
          <w:rFonts w:ascii="Arial" w:hAnsi="Arial" w:cs="Arial"/>
        </w:rPr>
        <w:t>.</w:t>
      </w:r>
    </w:p>
    <w:p w14:paraId="6DF83A5B" w14:textId="6F2E648D" w:rsidR="00B656F0" w:rsidRPr="00270FFD" w:rsidRDefault="00BB3670" w:rsidP="00FE2360">
      <w:pPr>
        <w:spacing w:after="240"/>
        <w:jc w:val="both"/>
        <w:rPr>
          <w:rFonts w:ascii="Arial" w:hAnsi="Arial" w:cs="Arial"/>
        </w:rPr>
      </w:pPr>
      <w:r>
        <w:rPr>
          <w:rFonts w:ascii="Arial" w:hAnsi="Arial" w:cs="Arial"/>
        </w:rPr>
        <w:t>R</w:t>
      </w:r>
      <w:r w:rsidRPr="00270FFD">
        <w:rPr>
          <w:rFonts w:ascii="Arial" w:hAnsi="Arial" w:cs="Arial"/>
        </w:rPr>
        <w:t xml:space="preserve">eference calculation models </w:t>
      </w:r>
      <w:r>
        <w:rPr>
          <w:rFonts w:ascii="Arial" w:hAnsi="Arial" w:cs="Arial"/>
        </w:rPr>
        <w:t>provide theoretical</w:t>
      </w:r>
      <w:r w:rsidRPr="00270FFD">
        <w:rPr>
          <w:rFonts w:ascii="Arial" w:hAnsi="Arial" w:cs="Arial"/>
        </w:rPr>
        <w:t xml:space="preserve"> estimate of </w:t>
      </w:r>
      <w:r>
        <w:rPr>
          <w:rFonts w:ascii="Arial" w:hAnsi="Arial" w:cs="Arial"/>
        </w:rPr>
        <w:t xml:space="preserve">the </w:t>
      </w:r>
      <w:r w:rsidRPr="00270FFD">
        <w:rPr>
          <w:rFonts w:ascii="Arial" w:hAnsi="Arial" w:cs="Arial"/>
        </w:rPr>
        <w:t xml:space="preserve">energy performance of a building, </w:t>
      </w:r>
      <w:r>
        <w:rPr>
          <w:rFonts w:ascii="Arial" w:hAnsi="Arial" w:cs="Arial"/>
        </w:rPr>
        <w:t xml:space="preserve">while </w:t>
      </w:r>
      <w:r w:rsidRPr="00270FFD">
        <w:rPr>
          <w:rFonts w:ascii="Arial" w:hAnsi="Arial" w:cs="Arial"/>
        </w:rPr>
        <w:t xml:space="preserve">an energy audit can provide knowledge for the actual energy use under real conditions. </w:t>
      </w:r>
      <w:r>
        <w:rPr>
          <w:rFonts w:ascii="Arial" w:hAnsi="Arial" w:cs="Arial"/>
        </w:rPr>
        <w:t>If available, t</w:t>
      </w:r>
      <w:r w:rsidRPr="00270FFD">
        <w:rPr>
          <w:rFonts w:ascii="Arial" w:hAnsi="Arial" w:cs="Arial"/>
        </w:rPr>
        <w:t>he histor</w:t>
      </w:r>
      <w:r>
        <w:rPr>
          <w:rFonts w:ascii="Arial" w:hAnsi="Arial" w:cs="Arial"/>
        </w:rPr>
        <w:t>ical energy use of the building</w:t>
      </w:r>
      <w:r w:rsidRPr="00270FFD">
        <w:rPr>
          <w:rFonts w:ascii="Arial" w:hAnsi="Arial" w:cs="Arial"/>
        </w:rPr>
        <w:t xml:space="preserve"> can be used to calibrate the reference energy models</w:t>
      </w:r>
      <w:r>
        <w:rPr>
          <w:rFonts w:ascii="Arial" w:hAnsi="Arial" w:cs="Arial"/>
        </w:rPr>
        <w:t xml:space="preserve">. Calibrated models can yield </w:t>
      </w:r>
      <w:r w:rsidRPr="00270FFD">
        <w:rPr>
          <w:rFonts w:ascii="Arial" w:hAnsi="Arial" w:cs="Arial"/>
        </w:rPr>
        <w:t xml:space="preserve">more realistic results for potential energy savings from different renovation interventions. </w:t>
      </w:r>
      <w:r>
        <w:rPr>
          <w:rFonts w:ascii="Arial" w:hAnsi="Arial" w:cs="Arial"/>
        </w:rPr>
        <w:t xml:space="preserve">While performing the </w:t>
      </w:r>
      <w:r w:rsidRPr="00270FFD">
        <w:rPr>
          <w:rFonts w:ascii="Arial" w:hAnsi="Arial" w:cs="Arial"/>
        </w:rPr>
        <w:t>audit</w:t>
      </w:r>
      <w:r>
        <w:rPr>
          <w:rFonts w:ascii="Arial" w:hAnsi="Arial" w:cs="Arial"/>
        </w:rPr>
        <w:t>,</w:t>
      </w:r>
      <w:r w:rsidRPr="00270FFD">
        <w:rPr>
          <w:rFonts w:ascii="Arial" w:hAnsi="Arial" w:cs="Arial"/>
        </w:rPr>
        <w:t xml:space="preserve"> the designer can also assess the state of </w:t>
      </w:r>
      <w:r>
        <w:rPr>
          <w:rFonts w:ascii="Arial" w:hAnsi="Arial" w:cs="Arial"/>
        </w:rPr>
        <w:t>different building parts</w:t>
      </w:r>
      <w:r w:rsidR="00FE2360">
        <w:rPr>
          <w:rFonts w:ascii="Arial" w:hAnsi="Arial" w:cs="Arial"/>
        </w:rPr>
        <w:t xml:space="preserve"> and systems</w:t>
      </w:r>
      <w:r w:rsidRPr="00270FFD">
        <w:rPr>
          <w:rFonts w:ascii="Arial" w:hAnsi="Arial" w:cs="Arial"/>
        </w:rPr>
        <w:t xml:space="preserve">, and if those </w:t>
      </w:r>
      <w:r>
        <w:rPr>
          <w:rFonts w:ascii="Arial" w:hAnsi="Arial" w:cs="Arial"/>
        </w:rPr>
        <w:t xml:space="preserve">are in </w:t>
      </w:r>
      <w:r w:rsidRPr="00270FFD">
        <w:rPr>
          <w:rFonts w:ascii="Arial" w:hAnsi="Arial" w:cs="Arial"/>
        </w:rPr>
        <w:t xml:space="preserve">need </w:t>
      </w:r>
      <w:r>
        <w:rPr>
          <w:rFonts w:ascii="Arial" w:hAnsi="Arial" w:cs="Arial"/>
        </w:rPr>
        <w:t xml:space="preserve">of </w:t>
      </w:r>
      <w:r w:rsidRPr="00270FFD">
        <w:rPr>
          <w:rFonts w:ascii="Arial" w:hAnsi="Arial" w:cs="Arial"/>
        </w:rPr>
        <w:t>replacement, renovation to a given extend or readjustment of set-points and operation parameters. Furthermore, ideas and considerations of the possible solutions for each building part can be initiated and discussed with the property manager and/or building users.</w:t>
      </w:r>
    </w:p>
    <w:p w14:paraId="553DD229" w14:textId="4203E4EA" w:rsidR="00270FFD" w:rsidRPr="00270FFD" w:rsidRDefault="00B656F0" w:rsidP="00270FFD">
      <w:pPr>
        <w:jc w:val="both"/>
        <w:rPr>
          <w:rFonts w:ascii="Arial" w:hAnsi="Arial" w:cs="Arial"/>
        </w:rPr>
      </w:pPr>
      <w:r>
        <w:rPr>
          <w:rFonts w:ascii="Arial" w:hAnsi="Arial" w:cs="Arial"/>
        </w:rPr>
        <w:t>To obtain grounds for financial comparison between investigated renovation scenarios and state of the building before renovation</w:t>
      </w:r>
      <w:r w:rsidR="00FE2360">
        <w:rPr>
          <w:rFonts w:ascii="Arial" w:hAnsi="Arial" w:cs="Arial"/>
        </w:rPr>
        <w:t>,</w:t>
      </w:r>
      <w:r>
        <w:rPr>
          <w:rFonts w:ascii="Arial" w:hAnsi="Arial" w:cs="Arial"/>
        </w:rPr>
        <w:t xml:space="preserve"> it is necessary to know the </w:t>
      </w:r>
      <w:r w:rsidR="00270FFD" w:rsidRPr="00270FFD">
        <w:rPr>
          <w:rFonts w:ascii="Arial" w:hAnsi="Arial" w:cs="Arial"/>
        </w:rPr>
        <w:t>running, operation and maintenance cost of the building in its existing state</w:t>
      </w:r>
      <w:r>
        <w:rPr>
          <w:rFonts w:ascii="Arial" w:hAnsi="Arial" w:cs="Arial"/>
        </w:rPr>
        <w:t>.</w:t>
      </w:r>
      <w:r w:rsidR="00270FFD" w:rsidRPr="00270FFD">
        <w:rPr>
          <w:rFonts w:ascii="Arial" w:hAnsi="Arial" w:cs="Arial"/>
        </w:rPr>
        <w:t xml:space="preserve"> </w:t>
      </w:r>
      <w:r w:rsidR="002A3591">
        <w:rPr>
          <w:rFonts w:ascii="Arial" w:hAnsi="Arial" w:cs="Arial"/>
        </w:rPr>
        <w:t xml:space="preserve">This information is valuable, yet </w:t>
      </w:r>
      <w:r w:rsidR="00270FFD" w:rsidRPr="00270FFD">
        <w:rPr>
          <w:rFonts w:ascii="Arial" w:hAnsi="Arial" w:cs="Arial"/>
        </w:rPr>
        <w:t xml:space="preserve">rather hard to </w:t>
      </w:r>
      <w:r>
        <w:rPr>
          <w:rFonts w:ascii="Arial" w:hAnsi="Arial" w:cs="Arial"/>
        </w:rPr>
        <w:t>obtain</w:t>
      </w:r>
      <w:r w:rsidR="00270FFD" w:rsidRPr="00270FFD">
        <w:rPr>
          <w:rFonts w:ascii="Arial" w:hAnsi="Arial" w:cs="Arial"/>
        </w:rPr>
        <w:t xml:space="preserve">. </w:t>
      </w:r>
      <w:r w:rsidR="009819E9">
        <w:rPr>
          <w:rFonts w:ascii="Arial" w:hAnsi="Arial" w:cs="Arial"/>
        </w:rPr>
        <w:t>A good source for such information (if it is not recoded explicitly) is the property manager</w:t>
      </w:r>
      <w:r w:rsidR="009819E9">
        <w:rPr>
          <w:rFonts w:ascii="Arial" w:hAnsi="Arial" w:cs="Arial"/>
          <w:lang w:val="en-US"/>
        </w:rPr>
        <w:t>, as h</w:t>
      </w:r>
      <w:r w:rsidR="009819E9">
        <w:rPr>
          <w:rFonts w:ascii="Arial" w:hAnsi="Arial" w:cs="Arial"/>
        </w:rPr>
        <w:t xml:space="preserve">e/she is responsible for the daily operations or the building and performing day-to-day </w:t>
      </w:r>
      <w:r w:rsidR="00270FFD" w:rsidRPr="00270FFD">
        <w:rPr>
          <w:rFonts w:ascii="Arial" w:hAnsi="Arial" w:cs="Arial"/>
        </w:rPr>
        <w:t>maintenance tasks.</w:t>
      </w:r>
    </w:p>
    <w:p w14:paraId="3FB442AA" w14:textId="77777777" w:rsidR="00270FFD" w:rsidRPr="00270FFD" w:rsidRDefault="00270FFD" w:rsidP="00270FFD">
      <w:pPr>
        <w:pStyle w:val="Heading2"/>
      </w:pPr>
      <w:r w:rsidRPr="00270FFD">
        <w:t>Evaluation of single actions</w:t>
      </w:r>
      <w:bookmarkEnd w:id="2"/>
    </w:p>
    <w:p w14:paraId="016E5073" w14:textId="4E5D72D6" w:rsidR="00270FFD" w:rsidRPr="00270FFD" w:rsidRDefault="00367D30" w:rsidP="00270FFD">
      <w:pPr>
        <w:pStyle w:val="MainText"/>
        <w:rPr>
          <w:rFonts w:ascii="Arial" w:hAnsi="Arial" w:cs="Arial"/>
          <w:sz w:val="20"/>
          <w:szCs w:val="20"/>
          <w:lang w:val="en-GB"/>
        </w:rPr>
      </w:pPr>
      <w:r>
        <w:rPr>
          <w:rFonts w:ascii="Arial" w:hAnsi="Arial" w:cs="Arial"/>
          <w:sz w:val="20"/>
          <w:szCs w:val="20"/>
          <w:lang w:val="en-GB"/>
        </w:rPr>
        <w:t>I</w:t>
      </w:r>
      <w:r w:rsidRPr="00270FFD">
        <w:rPr>
          <w:rFonts w:ascii="Arial" w:hAnsi="Arial" w:cs="Arial"/>
          <w:sz w:val="20"/>
          <w:szCs w:val="20"/>
          <w:lang w:val="en-GB"/>
        </w:rPr>
        <w:t xml:space="preserve">t is proposed that </w:t>
      </w:r>
      <w:r>
        <w:rPr>
          <w:rFonts w:ascii="Arial" w:hAnsi="Arial" w:cs="Arial"/>
          <w:sz w:val="20"/>
          <w:szCs w:val="20"/>
          <w:lang w:val="en-GB"/>
        </w:rPr>
        <w:t xml:space="preserve">after </w:t>
      </w:r>
      <w:r w:rsidR="00270FFD" w:rsidRPr="00270FFD">
        <w:rPr>
          <w:rFonts w:ascii="Arial" w:hAnsi="Arial" w:cs="Arial"/>
          <w:sz w:val="20"/>
          <w:szCs w:val="20"/>
          <w:lang w:val="en-GB"/>
        </w:rPr>
        <w:t xml:space="preserve">completion of the project definition stage, </w:t>
      </w:r>
      <w:r>
        <w:rPr>
          <w:rFonts w:ascii="Arial" w:hAnsi="Arial" w:cs="Arial"/>
          <w:sz w:val="20"/>
          <w:szCs w:val="20"/>
          <w:lang w:val="en-GB"/>
        </w:rPr>
        <w:t xml:space="preserve">the </w:t>
      </w:r>
      <w:r w:rsidR="00270FFD" w:rsidRPr="00270FFD">
        <w:rPr>
          <w:rFonts w:ascii="Arial" w:hAnsi="Arial" w:cs="Arial"/>
          <w:sz w:val="20"/>
          <w:szCs w:val="20"/>
          <w:lang w:val="en-GB"/>
        </w:rPr>
        <w:t xml:space="preserve">applicable single renovation actions are evaluated </w:t>
      </w:r>
      <w:r>
        <w:rPr>
          <w:rFonts w:ascii="Arial" w:hAnsi="Arial" w:cs="Arial"/>
          <w:sz w:val="20"/>
          <w:szCs w:val="20"/>
          <w:lang w:val="en-GB"/>
        </w:rPr>
        <w:t>independently</w:t>
      </w:r>
      <w:r w:rsidR="00270FFD" w:rsidRPr="00270FFD">
        <w:rPr>
          <w:rFonts w:ascii="Arial" w:hAnsi="Arial" w:cs="Arial"/>
          <w:sz w:val="20"/>
          <w:szCs w:val="20"/>
          <w:lang w:val="en-GB"/>
        </w:rPr>
        <w:t xml:space="preserve">. The goal is to obtain an overview and compare how the different actions, applicable to the specific building, perform both in terms of potential energy savings and costs. The methodology used to evaluate and rank energy efficiency actions is </w:t>
      </w:r>
      <w:r w:rsidR="00FA33A3">
        <w:rPr>
          <w:rFonts w:ascii="Arial" w:hAnsi="Arial" w:cs="Arial"/>
          <w:sz w:val="20"/>
          <w:szCs w:val="20"/>
          <w:lang w:val="en-GB"/>
        </w:rPr>
        <w:t>presented and tested</w:t>
      </w:r>
      <w:r w:rsidR="00FA33A3" w:rsidRPr="00270FFD">
        <w:rPr>
          <w:rFonts w:ascii="Arial" w:hAnsi="Arial" w:cs="Arial"/>
          <w:sz w:val="20"/>
          <w:szCs w:val="20"/>
          <w:lang w:val="en-GB"/>
        </w:rPr>
        <w:t xml:space="preserve"> </w:t>
      </w:r>
      <w:r w:rsidR="00270FFD" w:rsidRPr="00270FFD">
        <w:rPr>
          <w:rFonts w:ascii="Arial" w:hAnsi="Arial" w:cs="Arial"/>
          <w:sz w:val="20"/>
          <w:szCs w:val="20"/>
          <w:lang w:val="en-GB"/>
        </w:rPr>
        <w:t xml:space="preserve">in detail in </w:t>
      </w:r>
      <w:r w:rsidR="00270FFD" w:rsidRPr="00270FFD">
        <w:rPr>
          <w:rFonts w:ascii="Arial" w:hAnsi="Arial" w:cs="Arial"/>
          <w:sz w:val="20"/>
          <w:szCs w:val="20"/>
        </w:rPr>
        <w:fldChar w:fldCharType="begin" w:fldLock="1"/>
      </w:r>
      <w:r w:rsidR="00B250B8">
        <w:rPr>
          <w:rFonts w:ascii="Arial" w:hAnsi="Arial" w:cs="Arial"/>
          <w:sz w:val="20"/>
          <w:szCs w:val="20"/>
        </w:rPr>
        <w:instrText>ADDIN CSL_CITATION {"citationItems":[{"id":"ITEM-1","itemData":{"DOI":"10.3390/buildings10060102","ISSN":"2075-5309","abstract":"&lt;p&gt;Renovation of existing buildings is an indispensable part of achieving European efficiency and environmental targets. This paper applies different assessment methodologies to find optimal renovation, given different evaluation criteria. The performed literature study identifies the cost-optimal methodology employing Life Cycle Cost (LCC) calculation as one of the most common assessment methods. This paper proposes a new renovation assessment method targeted to the early design phases of specific building projects. The method has a simple structure, and can be used as a roadmap of necessary activities for obtaining solid building knowledge and required energy and cost calculations. The methodology is based on linking economic and energy efficiency parameters into defined cost-effective value, calculated for all investigated renovation actions. The cost-effectiveness value is used for ranking and selecting the most appropriate single renovation actions to form renovation packages, which can be further examined in detail (for example, with LCC). To demonstrate the method, evaluate the strengths, and identify the weaknesses, it is applied to case study buildings in Denmark and Switzerland. The results show that, in the initial stage, the proposed cost-effectiveness representation can be used successfully to compare and evaluate different envelope elements and systems. Cost-effectiveness also provides rational results on a package level. Further work is still required in the area of evaluation of energy supply and renewable energy production systems.&lt;/p&gt;","author":[{"dropping-particle":"","family":"Antonov","given":"Yovko Ivanov","non-dropping-particle":"","parse-names":false,"suffix":""},{"dropping-particle":"","family":"Heiselberg","given":"Per","non-dropping-particle":"","parse-names":false,"suffix":""},{"dropping-particle":"","family":"Flourentzou","given":"Flourentzos","non-dropping-particle":"","parse-names":false,"suffix":""},{"dropping-particle":"","family":"Pomianowski","given":"Michal Zbigniew","non-dropping-particle":"","parse-names":false,"suffix":""}],"container-title":"Buildings","id":"ITEM-1","issue":"6","issued":{"date-parts":[["2020","5","31"]]},"page":"102","title":"Methodology for Evaluation and Development of Refurbishment Scenarios for Multi-Story Apartment Buildings, Applied to Two Buildings in Denmark and Switzerland","type":"article-journal","volume":"10"},"uris":["http://www.mendeley.com/documents/?uuid=3ae05e4f-ac84-3c57-b9b7-4c2f81d8559c"]}],"mendeley":{"formattedCitation":"[4]","plainTextFormattedCitation":"[4]","previouslyFormattedCitation":"[8]"},"properties":{"noteIndex":0},"schema":"https://github.com/citation-style-language/schema/raw/master/csl-citation.json"}</w:instrText>
      </w:r>
      <w:r w:rsidR="00270FFD" w:rsidRPr="00270FFD">
        <w:rPr>
          <w:rFonts w:ascii="Arial" w:hAnsi="Arial" w:cs="Arial"/>
          <w:sz w:val="20"/>
          <w:szCs w:val="20"/>
        </w:rPr>
        <w:fldChar w:fldCharType="separate"/>
      </w:r>
      <w:r w:rsidR="00B250B8" w:rsidRPr="00B250B8">
        <w:rPr>
          <w:rFonts w:ascii="Arial" w:hAnsi="Arial" w:cs="Arial"/>
          <w:noProof/>
          <w:sz w:val="20"/>
          <w:szCs w:val="20"/>
        </w:rPr>
        <w:t>[4]</w:t>
      </w:r>
      <w:r w:rsidR="00270FFD" w:rsidRPr="00270FFD">
        <w:rPr>
          <w:rFonts w:ascii="Arial" w:hAnsi="Arial" w:cs="Arial"/>
          <w:sz w:val="20"/>
          <w:szCs w:val="20"/>
        </w:rPr>
        <w:fldChar w:fldCharType="end"/>
      </w:r>
      <w:r w:rsidR="00270FFD" w:rsidRPr="00270FFD">
        <w:rPr>
          <w:rFonts w:ascii="Arial" w:hAnsi="Arial" w:cs="Arial"/>
          <w:sz w:val="20"/>
          <w:szCs w:val="20"/>
        </w:rPr>
        <w:t xml:space="preserve"> and briefly explained further. </w:t>
      </w:r>
    </w:p>
    <w:p w14:paraId="0010F358" w14:textId="64E4A221" w:rsidR="00270FFD" w:rsidRDefault="00270FFD" w:rsidP="00270FFD">
      <w:pPr>
        <w:pStyle w:val="MainText"/>
      </w:pPr>
      <w:r w:rsidRPr="00270FFD">
        <w:rPr>
          <w:rFonts w:ascii="Arial" w:hAnsi="Arial" w:cs="Arial"/>
          <w:sz w:val="20"/>
          <w:szCs w:val="20"/>
        </w:rPr>
        <w:t>Investments in energy efficiency are evaluated based on a value termed cost</w:t>
      </w:r>
      <w:r w:rsidRPr="00270FFD">
        <w:rPr>
          <w:rFonts w:ascii="Cambria Math" w:hAnsi="Cambria Math" w:cs="Cambria Math"/>
          <w:sz w:val="20"/>
          <w:szCs w:val="20"/>
        </w:rPr>
        <w:t>‐</w:t>
      </w:r>
      <w:r w:rsidRPr="00270FFD">
        <w:rPr>
          <w:rFonts w:ascii="Arial" w:hAnsi="Arial" w:cs="Arial"/>
          <w:sz w:val="20"/>
          <w:szCs w:val="20"/>
        </w:rPr>
        <w:t>effectiveness, linking implementation cost, primary energy savings and lifespan of the evaluated actions. The cost</w:t>
      </w:r>
      <w:r w:rsidRPr="00270FFD">
        <w:rPr>
          <w:rFonts w:ascii="Cambria Math" w:hAnsi="Cambria Math" w:cs="Cambria Math"/>
          <w:sz w:val="20"/>
          <w:szCs w:val="20"/>
        </w:rPr>
        <w:t>‐</w:t>
      </w:r>
      <w:r w:rsidRPr="00270FFD">
        <w:rPr>
          <w:rFonts w:ascii="Arial" w:hAnsi="Arial" w:cs="Arial"/>
          <w:sz w:val="20"/>
          <w:szCs w:val="20"/>
        </w:rPr>
        <w:t xml:space="preserve">effectiveness of each action is calculated using the equation (1) and represents the cost of saved kWh primary energy </w:t>
      </w:r>
      <w:r w:rsidR="00252616">
        <w:rPr>
          <w:rFonts w:ascii="Arial" w:hAnsi="Arial" w:cs="Arial"/>
          <w:sz w:val="20"/>
          <w:szCs w:val="20"/>
        </w:rPr>
        <w:t>for</w:t>
      </w:r>
      <w:r w:rsidR="00252616" w:rsidRPr="00270FFD">
        <w:rPr>
          <w:rFonts w:ascii="Arial" w:hAnsi="Arial" w:cs="Arial"/>
          <w:sz w:val="20"/>
          <w:szCs w:val="20"/>
        </w:rPr>
        <w:t xml:space="preserve"> </w:t>
      </w:r>
      <w:r w:rsidRPr="00270FFD">
        <w:rPr>
          <w:rFonts w:ascii="Arial" w:hAnsi="Arial" w:cs="Arial"/>
          <w:sz w:val="20"/>
          <w:szCs w:val="20"/>
        </w:rPr>
        <w:t xml:space="preserve">the different actions. The lifespan of investigated improvements is taken into account by dividing the implementation cost by the expected </w:t>
      </w:r>
      <w:r w:rsidRPr="00270FFD">
        <w:rPr>
          <w:rFonts w:ascii="Arial" w:hAnsi="Arial" w:cs="Arial"/>
          <w:sz w:val="20"/>
          <w:szCs w:val="20"/>
        </w:rPr>
        <w:lastRenderedPageBreak/>
        <w:t xml:space="preserve">lifespan of the action in question. The implementation cost at this stage </w:t>
      </w:r>
      <w:r w:rsidR="00252616">
        <w:rPr>
          <w:rFonts w:ascii="Arial" w:hAnsi="Arial" w:cs="Arial"/>
          <w:sz w:val="20"/>
          <w:szCs w:val="20"/>
        </w:rPr>
        <w:t xml:space="preserve">of the method </w:t>
      </w:r>
      <w:r w:rsidRPr="00270FFD">
        <w:rPr>
          <w:rFonts w:ascii="Arial" w:hAnsi="Arial" w:cs="Arial"/>
          <w:sz w:val="20"/>
          <w:szCs w:val="20"/>
        </w:rPr>
        <w:t>include all cost necessary to implement an action (removal and disposal of old materials, equipment</w:t>
      </w:r>
      <w:r w:rsidR="00403CA6">
        <w:rPr>
          <w:rFonts w:ascii="Arial" w:hAnsi="Arial" w:cs="Arial"/>
          <w:sz w:val="20"/>
          <w:szCs w:val="20"/>
        </w:rPr>
        <w:t>,</w:t>
      </w:r>
      <w:r w:rsidRPr="00270FFD">
        <w:rPr>
          <w:rFonts w:ascii="Arial" w:hAnsi="Arial" w:cs="Arial"/>
          <w:sz w:val="20"/>
          <w:szCs w:val="20"/>
        </w:rPr>
        <w:t xml:space="preserve"> </w:t>
      </w:r>
      <w:r w:rsidR="00403CA6">
        <w:rPr>
          <w:rFonts w:ascii="Arial" w:hAnsi="Arial" w:cs="Arial"/>
          <w:sz w:val="20"/>
          <w:szCs w:val="20"/>
        </w:rPr>
        <w:t xml:space="preserve">labor </w:t>
      </w:r>
      <w:r w:rsidRPr="00270FFD">
        <w:rPr>
          <w:rFonts w:ascii="Arial" w:hAnsi="Arial" w:cs="Arial"/>
          <w:sz w:val="20"/>
          <w:szCs w:val="20"/>
        </w:rPr>
        <w:t xml:space="preserve">and investment for the new materials or components). In this way, a building owner obtains a direct overview of the required investment to implement a given action at the beginning </w:t>
      </w:r>
      <w:r w:rsidR="00130EAE">
        <w:rPr>
          <w:rFonts w:ascii="Arial" w:hAnsi="Arial" w:cs="Arial"/>
          <w:sz w:val="20"/>
          <w:szCs w:val="20"/>
        </w:rPr>
        <w:t>o</w:t>
      </w:r>
      <w:r w:rsidRPr="00270FFD">
        <w:rPr>
          <w:rFonts w:ascii="Arial" w:hAnsi="Arial" w:cs="Arial"/>
          <w:sz w:val="20"/>
          <w:szCs w:val="20"/>
        </w:rPr>
        <w:t>f the renovation process.</w:t>
      </w:r>
    </w:p>
    <w:tbl>
      <w:tblPr>
        <w:tblStyle w:val="TableGrid"/>
        <w:tblW w:w="0" w:type="auto"/>
        <w:tblInd w:w="36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566"/>
        <w:gridCol w:w="702"/>
      </w:tblGrid>
      <w:tr w:rsidR="00270FFD" w:rsidRPr="00AA49CF" w14:paraId="01D356F4" w14:textId="77777777" w:rsidTr="005B6BE2">
        <w:trPr>
          <w:trHeight w:val="801"/>
        </w:trPr>
        <w:tc>
          <w:tcPr>
            <w:tcW w:w="8566" w:type="dxa"/>
            <w:vAlign w:val="center"/>
          </w:tcPr>
          <w:p w14:paraId="255426DA" w14:textId="77777777" w:rsidR="00270FFD" w:rsidRPr="009819E9" w:rsidRDefault="00270FFD" w:rsidP="00AA49CF">
            <w:pPr>
              <w:pStyle w:val="MainText"/>
              <w:spacing w:after="0"/>
              <w:ind w:left="-468"/>
              <w:jc w:val="center"/>
              <w:rPr>
                <w:rFonts w:ascii="Arial" w:hAnsi="Arial" w:cs="Arial"/>
                <w:sz w:val="20"/>
                <w:szCs w:val="20"/>
              </w:rPr>
            </w:pPr>
            <m:oMathPara>
              <m:oMath>
                <m:r>
                  <w:rPr>
                    <w:rFonts w:ascii="Cambria Math" w:hAnsi="Cambria Math" w:cs="Arial"/>
                    <w:sz w:val="20"/>
                    <w:szCs w:val="20"/>
                  </w:rPr>
                  <m:t>Cost</m:t>
                </m:r>
                <m:r>
                  <m:rPr>
                    <m:sty m:val="p"/>
                  </m:rPr>
                  <w:rPr>
                    <w:rFonts w:ascii="Cambria Math" w:hAnsi="Cambria Math" w:cs="Arial"/>
                    <w:sz w:val="20"/>
                    <w:szCs w:val="20"/>
                  </w:rPr>
                  <m:t>‐</m:t>
                </m:r>
                <m:r>
                  <w:rPr>
                    <w:rFonts w:ascii="Cambria Math" w:hAnsi="Cambria Math" w:cs="Arial"/>
                    <w:sz w:val="20"/>
                    <w:szCs w:val="20"/>
                  </w:rPr>
                  <m:t>effectiveness</m:t>
                </m:r>
                <m:r>
                  <m:rPr>
                    <m:sty m:val="p"/>
                  </m:rPr>
                  <w:rPr>
                    <w:rFonts w:ascii="Cambria Math" w:hAnsi="Cambria Math" w:cs="Arial"/>
                    <w:sz w:val="20"/>
                    <w:szCs w:val="20"/>
                  </w:rPr>
                  <m:t xml:space="preserve"> [</m:t>
                </m:r>
                <m:f>
                  <m:fPr>
                    <m:ctrlPr>
                      <w:rPr>
                        <w:rFonts w:ascii="Cambria Math" w:hAnsi="Cambria Math" w:cs="Arial"/>
                        <w:sz w:val="20"/>
                        <w:szCs w:val="20"/>
                      </w:rPr>
                    </m:ctrlPr>
                  </m:fPr>
                  <m:num>
                    <m:r>
                      <m:rPr>
                        <m:sty m:val="p"/>
                      </m:rPr>
                      <w:rPr>
                        <w:rFonts w:ascii="Cambria Math" w:hAnsi="Cambria Math" w:cs="Arial"/>
                        <w:sz w:val="20"/>
                        <w:szCs w:val="20"/>
                      </w:rPr>
                      <m:t>€</m:t>
                    </m:r>
                  </m:num>
                  <m:den>
                    <m:r>
                      <w:rPr>
                        <w:rFonts w:ascii="Cambria Math" w:hAnsi="Cambria Math" w:cs="Arial"/>
                        <w:sz w:val="20"/>
                        <w:szCs w:val="20"/>
                      </w:rPr>
                      <m:t>saved</m:t>
                    </m:r>
                    <m:r>
                      <m:rPr>
                        <m:sty m:val="p"/>
                      </m:rPr>
                      <w:rPr>
                        <w:rFonts w:ascii="Cambria Math" w:hAnsi="Cambria Math" w:cs="Arial"/>
                        <w:sz w:val="20"/>
                        <w:szCs w:val="20"/>
                      </w:rPr>
                      <m:t xml:space="preserve"> </m:t>
                    </m:r>
                    <m:r>
                      <w:rPr>
                        <w:rFonts w:ascii="Cambria Math" w:hAnsi="Cambria Math" w:cs="Arial"/>
                        <w:sz w:val="20"/>
                        <w:szCs w:val="20"/>
                      </w:rPr>
                      <m:t>kWh</m:t>
                    </m:r>
                  </m:den>
                </m:f>
                <m:r>
                  <m:rPr>
                    <m:sty m:val="p"/>
                  </m:rPr>
                  <w:rPr>
                    <w:rFonts w:ascii="Cambria Math" w:hAnsi="Cambria Math" w:cs="Arial"/>
                    <w:sz w:val="20"/>
                    <w:szCs w:val="20"/>
                  </w:rPr>
                  <m:t>] =</m:t>
                </m:r>
                <m:f>
                  <m:fPr>
                    <m:ctrlPr>
                      <w:rPr>
                        <w:rFonts w:ascii="Cambria Math" w:hAnsi="Cambria Math" w:cs="Arial"/>
                        <w:sz w:val="20"/>
                        <w:szCs w:val="20"/>
                      </w:rPr>
                    </m:ctrlPr>
                  </m:fPr>
                  <m:num>
                    <m:r>
                      <w:rPr>
                        <w:rFonts w:ascii="Cambria Math" w:hAnsi="Cambria Math" w:cs="Arial"/>
                        <w:sz w:val="20"/>
                        <w:szCs w:val="20"/>
                      </w:rPr>
                      <m:t>Annual</m:t>
                    </m:r>
                    <m:r>
                      <m:rPr>
                        <m:sty m:val="p"/>
                      </m:rPr>
                      <w:rPr>
                        <w:rFonts w:ascii="Cambria Math" w:hAnsi="Cambria Math" w:cs="Arial"/>
                        <w:sz w:val="20"/>
                        <w:szCs w:val="20"/>
                      </w:rPr>
                      <m:t xml:space="preserve"> </m:t>
                    </m:r>
                    <m:r>
                      <w:rPr>
                        <w:rFonts w:ascii="Cambria Math" w:hAnsi="Cambria Math" w:cs="Arial"/>
                        <w:sz w:val="20"/>
                        <w:szCs w:val="20"/>
                      </w:rPr>
                      <m:t>investment</m:t>
                    </m:r>
                    <m:r>
                      <m:rPr>
                        <m:sty m:val="p"/>
                      </m:rPr>
                      <w:rPr>
                        <w:rFonts w:ascii="Cambria Math" w:hAnsi="Cambria Math" w:cs="Arial"/>
                        <w:sz w:val="20"/>
                        <w:szCs w:val="20"/>
                      </w:rPr>
                      <m:t xml:space="preserve"> [€/</m:t>
                    </m:r>
                    <m:r>
                      <w:rPr>
                        <w:rFonts w:ascii="Cambria Math" w:hAnsi="Cambria Math" w:cs="Arial"/>
                        <w:sz w:val="20"/>
                        <w:szCs w:val="20"/>
                      </w:rPr>
                      <m:t>y</m:t>
                    </m:r>
                    <m:r>
                      <m:rPr>
                        <m:sty m:val="p"/>
                      </m:rPr>
                      <w:rPr>
                        <w:rFonts w:ascii="Cambria Math" w:hAnsi="Cambria Math" w:cs="Arial"/>
                        <w:sz w:val="20"/>
                        <w:szCs w:val="20"/>
                      </w:rPr>
                      <m:t>]</m:t>
                    </m:r>
                  </m:num>
                  <m:den>
                    <m:r>
                      <w:rPr>
                        <w:rFonts w:ascii="Cambria Math" w:hAnsi="Cambria Math" w:cs="Arial"/>
                        <w:sz w:val="20"/>
                        <w:szCs w:val="20"/>
                      </w:rPr>
                      <m:t>Saved</m:t>
                    </m:r>
                    <m:r>
                      <m:rPr>
                        <m:sty m:val="p"/>
                      </m:rPr>
                      <w:rPr>
                        <w:rFonts w:ascii="Cambria Math" w:hAnsi="Cambria Math" w:cs="Arial"/>
                        <w:sz w:val="20"/>
                        <w:szCs w:val="20"/>
                      </w:rPr>
                      <m:t xml:space="preserve"> </m:t>
                    </m:r>
                    <m:r>
                      <w:rPr>
                        <w:rFonts w:ascii="Cambria Math" w:hAnsi="Cambria Math" w:cs="Arial"/>
                        <w:sz w:val="20"/>
                        <w:szCs w:val="20"/>
                      </w:rPr>
                      <m:t>energy</m:t>
                    </m:r>
                    <m:r>
                      <m:rPr>
                        <m:sty m:val="p"/>
                      </m:rPr>
                      <w:rPr>
                        <w:rFonts w:ascii="Cambria Math" w:hAnsi="Cambria Math" w:cs="Arial"/>
                        <w:sz w:val="20"/>
                        <w:szCs w:val="20"/>
                      </w:rPr>
                      <m:t xml:space="preserve"> [</m:t>
                    </m:r>
                    <m:r>
                      <w:rPr>
                        <w:rFonts w:ascii="Cambria Math" w:hAnsi="Cambria Math" w:cs="Arial"/>
                        <w:sz w:val="20"/>
                        <w:szCs w:val="20"/>
                      </w:rPr>
                      <m:t>kWh</m:t>
                    </m:r>
                    <m:r>
                      <m:rPr>
                        <m:sty m:val="p"/>
                      </m:rPr>
                      <w:rPr>
                        <w:rFonts w:ascii="Cambria Math" w:hAnsi="Cambria Math" w:cs="Arial"/>
                        <w:sz w:val="20"/>
                        <w:szCs w:val="20"/>
                      </w:rPr>
                      <m:t>/</m:t>
                    </m:r>
                    <m:r>
                      <w:rPr>
                        <w:rFonts w:ascii="Cambria Math" w:hAnsi="Cambria Math" w:cs="Arial"/>
                        <w:sz w:val="20"/>
                        <w:szCs w:val="20"/>
                      </w:rPr>
                      <m:t>y</m:t>
                    </m:r>
                    <m:r>
                      <m:rPr>
                        <m:sty m:val="p"/>
                      </m:rPr>
                      <w:rPr>
                        <w:rFonts w:ascii="Cambria Math" w:hAnsi="Cambria Math" w:cs="Arial"/>
                        <w:sz w:val="20"/>
                        <w:szCs w:val="20"/>
                      </w:rPr>
                      <m:t>]</m:t>
                    </m:r>
                  </m:den>
                </m:f>
              </m:oMath>
            </m:oMathPara>
          </w:p>
        </w:tc>
        <w:tc>
          <w:tcPr>
            <w:tcW w:w="702" w:type="dxa"/>
            <w:vAlign w:val="center"/>
          </w:tcPr>
          <w:p w14:paraId="28633ACB" w14:textId="77777777" w:rsidR="00270FFD" w:rsidRPr="00AA49CF" w:rsidRDefault="00270FFD" w:rsidP="005B6BE2">
            <w:pPr>
              <w:pStyle w:val="MainText"/>
              <w:spacing w:after="0"/>
              <w:jc w:val="center"/>
              <w:rPr>
                <w:rFonts w:ascii="Arial" w:hAnsi="Arial" w:cs="Arial"/>
                <w:sz w:val="20"/>
                <w:szCs w:val="20"/>
              </w:rPr>
            </w:pPr>
            <w:r w:rsidRPr="00AA49CF">
              <w:rPr>
                <w:rFonts w:ascii="Arial" w:hAnsi="Arial" w:cs="Arial"/>
                <w:sz w:val="20"/>
                <w:szCs w:val="20"/>
              </w:rPr>
              <w:t>(1)</w:t>
            </w:r>
          </w:p>
        </w:tc>
      </w:tr>
    </w:tbl>
    <w:p w14:paraId="23BB7844" w14:textId="68C588B8" w:rsidR="00270FFD" w:rsidRPr="00270FFD" w:rsidRDefault="00270FFD" w:rsidP="00270FFD">
      <w:pPr>
        <w:pStyle w:val="MainText"/>
        <w:rPr>
          <w:rFonts w:ascii="Arial" w:hAnsi="Arial" w:cs="Arial"/>
          <w:sz w:val="20"/>
          <w:szCs w:val="20"/>
        </w:rPr>
      </w:pPr>
      <w:bookmarkStart w:id="3" w:name="_Toc34996389"/>
      <w:r w:rsidRPr="00270FFD">
        <w:rPr>
          <w:rFonts w:ascii="Arial" w:hAnsi="Arial" w:cs="Arial"/>
          <w:sz w:val="20"/>
          <w:szCs w:val="20"/>
        </w:rPr>
        <w:t>It is proposed that the cost-effective parameter for investments in renewable energy production and storage is with the same unit as the cost</w:t>
      </w:r>
      <w:r w:rsidRPr="00270FFD">
        <w:rPr>
          <w:rFonts w:ascii="Cambria Math" w:hAnsi="Cambria Math" w:cs="Cambria Math"/>
          <w:sz w:val="20"/>
          <w:szCs w:val="20"/>
        </w:rPr>
        <w:t>‐</w:t>
      </w:r>
      <w:r w:rsidRPr="00270FFD">
        <w:rPr>
          <w:rFonts w:ascii="Arial" w:hAnsi="Arial" w:cs="Arial"/>
          <w:sz w:val="20"/>
          <w:szCs w:val="20"/>
        </w:rPr>
        <w:t>effectiveness of investments in energy efficiency measures. This is done with the aim of obtaining grounds for direct comparison of cost</w:t>
      </w:r>
      <w:r w:rsidRPr="00270FFD">
        <w:rPr>
          <w:rFonts w:ascii="Cambria Math" w:hAnsi="Cambria Math" w:cs="Cambria Math"/>
          <w:sz w:val="20"/>
          <w:szCs w:val="20"/>
        </w:rPr>
        <w:t>‐</w:t>
      </w:r>
      <w:r w:rsidRPr="00270FFD">
        <w:rPr>
          <w:rFonts w:ascii="Arial" w:hAnsi="Arial" w:cs="Arial"/>
          <w:sz w:val="20"/>
          <w:szCs w:val="20"/>
        </w:rPr>
        <w:t xml:space="preserve">effectiveness between energy producing systems and energy efficiency improvements. </w:t>
      </w:r>
      <w:r w:rsidR="00EE7A93">
        <w:rPr>
          <w:rFonts w:ascii="Arial" w:hAnsi="Arial" w:cs="Arial"/>
          <w:sz w:val="20"/>
          <w:szCs w:val="20"/>
        </w:rPr>
        <w:t>I</w:t>
      </w:r>
      <w:r w:rsidRPr="00270FFD">
        <w:rPr>
          <w:rFonts w:ascii="Arial" w:hAnsi="Arial" w:cs="Arial"/>
          <w:sz w:val="20"/>
          <w:szCs w:val="20"/>
        </w:rPr>
        <w:t xml:space="preserve">mprovements in energy efficiency and energy production are different by nature and thus </w:t>
      </w:r>
      <w:r w:rsidR="00EE7A93">
        <w:rPr>
          <w:rFonts w:ascii="Arial" w:hAnsi="Arial" w:cs="Arial"/>
          <w:sz w:val="20"/>
          <w:szCs w:val="20"/>
        </w:rPr>
        <w:t>cannot be</w:t>
      </w:r>
      <w:r w:rsidR="001753A8">
        <w:rPr>
          <w:rFonts w:ascii="Arial" w:hAnsi="Arial" w:cs="Arial"/>
          <w:sz w:val="20"/>
          <w:szCs w:val="20"/>
        </w:rPr>
        <w:t xml:space="preserve"> evaluated in</w:t>
      </w:r>
      <w:r w:rsidR="00EE7A93">
        <w:rPr>
          <w:rFonts w:ascii="Arial" w:hAnsi="Arial" w:cs="Arial"/>
          <w:sz w:val="20"/>
          <w:szCs w:val="20"/>
        </w:rPr>
        <w:t xml:space="preserve"> the same </w:t>
      </w:r>
      <w:r w:rsidR="001753A8">
        <w:rPr>
          <w:rFonts w:ascii="Arial" w:hAnsi="Arial" w:cs="Arial"/>
          <w:sz w:val="20"/>
          <w:szCs w:val="20"/>
        </w:rPr>
        <w:t xml:space="preserve">way </w:t>
      </w:r>
      <w:r w:rsidR="00EE7A93">
        <w:rPr>
          <w:rFonts w:ascii="Arial" w:hAnsi="Arial" w:cs="Arial"/>
          <w:sz w:val="20"/>
          <w:szCs w:val="20"/>
        </w:rPr>
        <w:t xml:space="preserve">and </w:t>
      </w:r>
      <w:r w:rsidR="001753A8">
        <w:rPr>
          <w:rFonts w:ascii="Arial" w:hAnsi="Arial" w:cs="Arial"/>
          <w:sz w:val="20"/>
          <w:szCs w:val="20"/>
        </w:rPr>
        <w:t>require different approach</w:t>
      </w:r>
      <w:r w:rsidRPr="00270FFD">
        <w:rPr>
          <w:rFonts w:ascii="Arial" w:hAnsi="Arial" w:cs="Arial"/>
          <w:sz w:val="20"/>
          <w:szCs w:val="20"/>
        </w:rPr>
        <w:t xml:space="preserve"> for estimating the</w:t>
      </w:r>
      <w:r w:rsidR="00AA49CF">
        <w:rPr>
          <w:rFonts w:ascii="Arial" w:hAnsi="Arial" w:cs="Arial"/>
          <w:sz w:val="20"/>
          <w:szCs w:val="20"/>
        </w:rPr>
        <w:t>ir benefits and level of costs.</w:t>
      </w:r>
    </w:p>
    <w:p w14:paraId="6A018B94" w14:textId="3EE0C62E" w:rsidR="00270FFD" w:rsidRPr="00270FFD" w:rsidRDefault="00270FFD" w:rsidP="00270FFD">
      <w:pPr>
        <w:pStyle w:val="MainText"/>
        <w:rPr>
          <w:rFonts w:ascii="Arial" w:hAnsi="Arial" w:cs="Arial"/>
          <w:sz w:val="20"/>
          <w:szCs w:val="20"/>
        </w:rPr>
      </w:pPr>
      <w:r w:rsidRPr="00270FFD">
        <w:rPr>
          <w:rFonts w:ascii="Arial" w:hAnsi="Arial" w:cs="Arial"/>
          <w:sz w:val="20"/>
          <w:szCs w:val="20"/>
        </w:rPr>
        <w:t xml:space="preserve">The annual investment is obtained </w:t>
      </w:r>
      <w:r w:rsidR="005841AF">
        <w:rPr>
          <w:rFonts w:ascii="Arial" w:hAnsi="Arial" w:cs="Arial"/>
          <w:sz w:val="20"/>
          <w:szCs w:val="20"/>
        </w:rPr>
        <w:t xml:space="preserve">in the same way as for the energy efficiency actions - </w:t>
      </w:r>
      <w:r w:rsidRPr="00270FFD">
        <w:rPr>
          <w:rFonts w:ascii="Arial" w:hAnsi="Arial" w:cs="Arial"/>
          <w:sz w:val="20"/>
          <w:szCs w:val="20"/>
        </w:rPr>
        <w:t>by dividing the total costs by the expected lifetime of the system</w:t>
      </w:r>
      <w:r w:rsidR="005841AF">
        <w:rPr>
          <w:rFonts w:ascii="Arial" w:hAnsi="Arial" w:cs="Arial"/>
          <w:sz w:val="20"/>
          <w:szCs w:val="20"/>
        </w:rPr>
        <w:t>. T</w:t>
      </w:r>
      <w:r w:rsidRPr="00270FFD">
        <w:rPr>
          <w:rFonts w:ascii="Arial" w:hAnsi="Arial" w:cs="Arial"/>
          <w:sz w:val="20"/>
          <w:szCs w:val="20"/>
        </w:rPr>
        <w:t xml:space="preserve">he considered costs </w:t>
      </w:r>
      <w:r w:rsidR="005841AF">
        <w:rPr>
          <w:rFonts w:ascii="Arial" w:hAnsi="Arial" w:cs="Arial"/>
          <w:sz w:val="20"/>
          <w:szCs w:val="20"/>
        </w:rPr>
        <w:t>for cost-effectiveness of production systems are</w:t>
      </w:r>
      <w:r w:rsidRPr="00270FFD">
        <w:rPr>
          <w:rFonts w:ascii="Arial" w:hAnsi="Arial" w:cs="Arial"/>
          <w:sz w:val="20"/>
          <w:szCs w:val="20"/>
        </w:rPr>
        <w:t xml:space="preserve"> </w:t>
      </w:r>
      <w:r w:rsidR="005841AF">
        <w:rPr>
          <w:rFonts w:ascii="Arial" w:hAnsi="Arial" w:cs="Arial"/>
          <w:sz w:val="20"/>
          <w:szCs w:val="20"/>
        </w:rPr>
        <w:t>t</w:t>
      </w:r>
      <w:r w:rsidRPr="00270FFD">
        <w:rPr>
          <w:rFonts w:ascii="Arial" w:hAnsi="Arial" w:cs="Arial"/>
          <w:sz w:val="20"/>
          <w:szCs w:val="20"/>
        </w:rPr>
        <w:t xml:space="preserve">he </w:t>
      </w:r>
      <w:r w:rsidR="005841AF">
        <w:rPr>
          <w:rFonts w:ascii="Arial" w:hAnsi="Arial" w:cs="Arial"/>
          <w:sz w:val="20"/>
          <w:szCs w:val="20"/>
        </w:rPr>
        <w:t xml:space="preserve">investment, installation, </w:t>
      </w:r>
      <w:r w:rsidR="005841AF" w:rsidRPr="00270FFD">
        <w:rPr>
          <w:rFonts w:ascii="Arial" w:hAnsi="Arial" w:cs="Arial"/>
          <w:sz w:val="20"/>
          <w:szCs w:val="20"/>
        </w:rPr>
        <w:t>operation</w:t>
      </w:r>
      <w:r w:rsidR="005841AF">
        <w:rPr>
          <w:rFonts w:ascii="Arial" w:hAnsi="Arial" w:cs="Arial"/>
          <w:sz w:val="20"/>
          <w:szCs w:val="20"/>
        </w:rPr>
        <w:t>,</w:t>
      </w:r>
      <w:r w:rsidRPr="00270FFD">
        <w:rPr>
          <w:rFonts w:ascii="Arial" w:hAnsi="Arial" w:cs="Arial"/>
          <w:sz w:val="20"/>
          <w:szCs w:val="20"/>
        </w:rPr>
        <w:t xml:space="preserve"> maintenance</w:t>
      </w:r>
      <w:r w:rsidR="005841AF">
        <w:rPr>
          <w:rFonts w:ascii="Arial" w:hAnsi="Arial" w:cs="Arial"/>
          <w:sz w:val="20"/>
          <w:szCs w:val="20"/>
        </w:rPr>
        <w:t>,</w:t>
      </w:r>
      <w:r w:rsidRPr="00270FFD">
        <w:rPr>
          <w:rFonts w:ascii="Arial" w:hAnsi="Arial" w:cs="Arial"/>
          <w:sz w:val="20"/>
          <w:szCs w:val="20"/>
        </w:rPr>
        <w:t xml:space="preserve"> variable </w:t>
      </w:r>
      <w:r w:rsidR="005841AF">
        <w:rPr>
          <w:rFonts w:ascii="Arial" w:hAnsi="Arial" w:cs="Arial"/>
          <w:sz w:val="20"/>
          <w:szCs w:val="20"/>
        </w:rPr>
        <w:t>and fuel costs.</w:t>
      </w:r>
    </w:p>
    <w:p w14:paraId="58548ECF" w14:textId="446B8734" w:rsidR="00270FFD" w:rsidRPr="00270FFD" w:rsidRDefault="00270FFD" w:rsidP="00270FFD">
      <w:pPr>
        <w:pStyle w:val="MainText"/>
        <w:rPr>
          <w:rFonts w:ascii="Arial" w:hAnsi="Arial" w:cs="Arial"/>
          <w:sz w:val="20"/>
          <w:szCs w:val="20"/>
        </w:rPr>
      </w:pPr>
      <w:r w:rsidRPr="00270FFD">
        <w:rPr>
          <w:rFonts w:ascii="Arial" w:hAnsi="Arial" w:cs="Arial"/>
          <w:sz w:val="20"/>
          <w:szCs w:val="20"/>
        </w:rPr>
        <w:t xml:space="preserve">The </w:t>
      </w:r>
      <w:r w:rsidR="00696107">
        <w:rPr>
          <w:rFonts w:ascii="Arial" w:hAnsi="Arial" w:cs="Arial"/>
          <w:sz w:val="20"/>
          <w:szCs w:val="20"/>
        </w:rPr>
        <w:t xml:space="preserve">total </w:t>
      </w:r>
      <w:r w:rsidRPr="00270FFD">
        <w:rPr>
          <w:rFonts w:ascii="Arial" w:hAnsi="Arial" w:cs="Arial"/>
          <w:sz w:val="20"/>
          <w:szCs w:val="20"/>
        </w:rPr>
        <w:t>fuel costs can be estimated based on the energy demand of the building</w:t>
      </w:r>
      <w:r w:rsidR="00696107">
        <w:rPr>
          <w:rFonts w:ascii="Arial" w:hAnsi="Arial" w:cs="Arial"/>
          <w:sz w:val="20"/>
          <w:szCs w:val="20"/>
        </w:rPr>
        <w:t>, total amount of fuel needed to cover the demand (estimated with calorific value for the fuel in question),</w:t>
      </w:r>
      <w:r w:rsidRPr="00270FFD">
        <w:rPr>
          <w:rFonts w:ascii="Arial" w:hAnsi="Arial" w:cs="Arial"/>
          <w:sz w:val="20"/>
          <w:szCs w:val="20"/>
        </w:rPr>
        <w:t xml:space="preserve"> the cost of the fuel</w:t>
      </w:r>
      <w:r w:rsidR="00696107">
        <w:rPr>
          <w:rFonts w:ascii="Arial" w:hAnsi="Arial" w:cs="Arial"/>
          <w:sz w:val="20"/>
          <w:szCs w:val="20"/>
        </w:rPr>
        <w:t xml:space="preserve"> and </w:t>
      </w:r>
      <w:r w:rsidRPr="00270FFD">
        <w:rPr>
          <w:rFonts w:ascii="Arial" w:hAnsi="Arial" w:cs="Arial"/>
          <w:sz w:val="20"/>
          <w:szCs w:val="20"/>
        </w:rPr>
        <w:t xml:space="preserve">technological specifications of the system. </w:t>
      </w:r>
    </w:p>
    <w:p w14:paraId="3EF77BDB" w14:textId="3132F5FC" w:rsidR="00270FFD" w:rsidRPr="00270FFD" w:rsidRDefault="00270FFD" w:rsidP="00270FFD">
      <w:pPr>
        <w:pStyle w:val="MainText"/>
        <w:rPr>
          <w:rFonts w:ascii="Arial" w:hAnsi="Arial" w:cs="Arial"/>
          <w:sz w:val="20"/>
          <w:szCs w:val="20"/>
        </w:rPr>
      </w:pPr>
      <w:r w:rsidRPr="00270FFD">
        <w:rPr>
          <w:rFonts w:ascii="Arial" w:hAnsi="Arial" w:cs="Arial"/>
          <w:sz w:val="20"/>
          <w:szCs w:val="20"/>
        </w:rPr>
        <w:t xml:space="preserve">The investment cost of a system is dependent on its production capacity. In the present methodology, </w:t>
      </w:r>
      <w:r w:rsidR="00A80683">
        <w:rPr>
          <w:rFonts w:ascii="Arial" w:hAnsi="Arial" w:cs="Arial"/>
          <w:sz w:val="20"/>
          <w:szCs w:val="20"/>
        </w:rPr>
        <w:t>the required capacity</w:t>
      </w:r>
      <w:r w:rsidR="00A80683" w:rsidRPr="00270FFD">
        <w:rPr>
          <w:rFonts w:ascii="Arial" w:hAnsi="Arial" w:cs="Arial"/>
          <w:sz w:val="20"/>
          <w:szCs w:val="20"/>
        </w:rPr>
        <w:t xml:space="preserve"> </w:t>
      </w:r>
      <w:r w:rsidR="00BF3206">
        <w:rPr>
          <w:rFonts w:ascii="Arial" w:hAnsi="Arial" w:cs="Arial"/>
          <w:sz w:val="20"/>
          <w:szCs w:val="20"/>
        </w:rPr>
        <w:t>is</w:t>
      </w:r>
      <w:r w:rsidRPr="00270FFD">
        <w:rPr>
          <w:rFonts w:ascii="Arial" w:hAnsi="Arial" w:cs="Arial"/>
          <w:sz w:val="20"/>
          <w:szCs w:val="20"/>
        </w:rPr>
        <w:t xml:space="preserve"> determined during the project definition via the reference calculation. In principle, the capacity of a system</w:t>
      </w:r>
      <w:r w:rsidR="00A04B45">
        <w:rPr>
          <w:rFonts w:ascii="Arial" w:hAnsi="Arial" w:cs="Arial"/>
          <w:sz w:val="20"/>
          <w:szCs w:val="20"/>
        </w:rPr>
        <w:t>,</w:t>
      </w:r>
      <w:r w:rsidR="00BF3206">
        <w:rPr>
          <w:rFonts w:ascii="Arial" w:hAnsi="Arial" w:cs="Arial"/>
          <w:sz w:val="20"/>
          <w:szCs w:val="20"/>
        </w:rPr>
        <w:t xml:space="preserve"> </w:t>
      </w:r>
      <w:r w:rsidRPr="00270FFD">
        <w:rPr>
          <w:rFonts w:ascii="Arial" w:hAnsi="Arial" w:cs="Arial"/>
          <w:sz w:val="20"/>
          <w:szCs w:val="20"/>
        </w:rPr>
        <w:t xml:space="preserve">dimensioned </w:t>
      </w:r>
      <w:r w:rsidR="00A04B45">
        <w:rPr>
          <w:rFonts w:ascii="Arial" w:hAnsi="Arial" w:cs="Arial"/>
          <w:sz w:val="20"/>
          <w:szCs w:val="20"/>
        </w:rPr>
        <w:t>according to</w:t>
      </w:r>
      <w:r w:rsidRPr="00270FFD">
        <w:rPr>
          <w:rFonts w:ascii="Arial" w:hAnsi="Arial" w:cs="Arial"/>
          <w:sz w:val="20"/>
          <w:szCs w:val="20"/>
        </w:rPr>
        <w:t xml:space="preserve"> the existing </w:t>
      </w:r>
      <w:r w:rsidR="00A04B45">
        <w:rPr>
          <w:rFonts w:ascii="Arial" w:hAnsi="Arial" w:cs="Arial"/>
          <w:sz w:val="20"/>
          <w:szCs w:val="20"/>
        </w:rPr>
        <w:t xml:space="preserve">heating </w:t>
      </w:r>
      <w:r w:rsidRPr="00270FFD">
        <w:rPr>
          <w:rFonts w:ascii="Arial" w:hAnsi="Arial" w:cs="Arial"/>
          <w:sz w:val="20"/>
          <w:szCs w:val="20"/>
        </w:rPr>
        <w:t xml:space="preserve">demand would be able to cover the demand of the building prior renovation. It is possible to reduce that </w:t>
      </w:r>
      <w:r w:rsidR="00A04B45">
        <w:rPr>
          <w:rFonts w:ascii="Arial" w:hAnsi="Arial" w:cs="Arial"/>
          <w:sz w:val="20"/>
          <w:szCs w:val="20"/>
        </w:rPr>
        <w:t>when</w:t>
      </w:r>
      <w:r w:rsidR="00A04B45" w:rsidRPr="00270FFD">
        <w:rPr>
          <w:rFonts w:ascii="Arial" w:hAnsi="Arial" w:cs="Arial"/>
          <w:sz w:val="20"/>
          <w:szCs w:val="20"/>
        </w:rPr>
        <w:t xml:space="preserve"> </w:t>
      </w:r>
      <w:r w:rsidRPr="00270FFD">
        <w:rPr>
          <w:rFonts w:ascii="Arial" w:hAnsi="Arial" w:cs="Arial"/>
          <w:sz w:val="20"/>
          <w:szCs w:val="20"/>
        </w:rPr>
        <w:t xml:space="preserve">applying energy efficiency measures to the building. However, for cases where the energy producing system is outdated, while other building parts are not, the energy demand of the existing building would be the appropriate for dimensioning of the new system. The idea is that </w:t>
      </w:r>
      <w:r w:rsidR="00A04B45">
        <w:rPr>
          <w:rFonts w:ascii="Arial" w:hAnsi="Arial" w:cs="Arial"/>
          <w:sz w:val="20"/>
          <w:szCs w:val="20"/>
        </w:rPr>
        <w:t xml:space="preserve">the comparison of </w:t>
      </w:r>
      <w:r w:rsidRPr="00270FFD">
        <w:rPr>
          <w:rFonts w:ascii="Arial" w:hAnsi="Arial" w:cs="Arial"/>
          <w:sz w:val="20"/>
          <w:szCs w:val="20"/>
        </w:rPr>
        <w:t xml:space="preserve">all </w:t>
      </w:r>
      <w:r w:rsidR="00A04B45">
        <w:rPr>
          <w:rFonts w:ascii="Arial" w:hAnsi="Arial" w:cs="Arial"/>
          <w:sz w:val="20"/>
          <w:szCs w:val="20"/>
        </w:rPr>
        <w:t xml:space="preserve">applicable </w:t>
      </w:r>
      <w:r w:rsidRPr="00270FFD">
        <w:rPr>
          <w:rFonts w:ascii="Arial" w:hAnsi="Arial" w:cs="Arial"/>
          <w:sz w:val="20"/>
          <w:szCs w:val="20"/>
        </w:rPr>
        <w:t xml:space="preserve">systems </w:t>
      </w:r>
      <w:r w:rsidR="00A04B45">
        <w:rPr>
          <w:rFonts w:ascii="Arial" w:hAnsi="Arial" w:cs="Arial"/>
          <w:sz w:val="20"/>
          <w:szCs w:val="20"/>
        </w:rPr>
        <w:t>is</w:t>
      </w:r>
      <w:r w:rsidRPr="00270FFD">
        <w:rPr>
          <w:rFonts w:ascii="Arial" w:hAnsi="Arial" w:cs="Arial"/>
          <w:sz w:val="20"/>
          <w:szCs w:val="20"/>
        </w:rPr>
        <w:t xml:space="preserve"> based on the same demand </w:t>
      </w:r>
      <w:r w:rsidR="00A04B45">
        <w:rPr>
          <w:rFonts w:ascii="Arial" w:hAnsi="Arial" w:cs="Arial"/>
          <w:sz w:val="20"/>
          <w:szCs w:val="20"/>
        </w:rPr>
        <w:t xml:space="preserve">in order </w:t>
      </w:r>
      <w:r w:rsidRPr="00270FFD">
        <w:rPr>
          <w:rFonts w:ascii="Arial" w:hAnsi="Arial" w:cs="Arial"/>
          <w:sz w:val="20"/>
          <w:szCs w:val="20"/>
        </w:rPr>
        <w:t>to obtain a relative comparison between the options. The correct system parameters</w:t>
      </w:r>
      <w:r w:rsidR="00A04B45">
        <w:rPr>
          <w:rFonts w:ascii="Arial" w:hAnsi="Arial" w:cs="Arial"/>
          <w:sz w:val="20"/>
          <w:szCs w:val="20"/>
        </w:rPr>
        <w:t>, dimensioning</w:t>
      </w:r>
      <w:r w:rsidRPr="00270FFD">
        <w:rPr>
          <w:rFonts w:ascii="Arial" w:hAnsi="Arial" w:cs="Arial"/>
          <w:sz w:val="20"/>
          <w:szCs w:val="20"/>
        </w:rPr>
        <w:t xml:space="preserve"> and its costs are taken into consideration in the next stage when all efficiency actions are selected. </w:t>
      </w:r>
    </w:p>
    <w:p w14:paraId="37576689" w14:textId="77777777" w:rsidR="00270FFD" w:rsidRPr="00270FFD" w:rsidRDefault="00270FFD" w:rsidP="00270FFD">
      <w:pPr>
        <w:pStyle w:val="MainText"/>
        <w:rPr>
          <w:rFonts w:ascii="Arial" w:hAnsi="Arial" w:cs="Arial"/>
          <w:sz w:val="20"/>
          <w:szCs w:val="20"/>
        </w:rPr>
      </w:pPr>
      <w:r w:rsidRPr="00270FFD">
        <w:rPr>
          <w:rFonts w:ascii="Arial" w:hAnsi="Arial" w:cs="Arial"/>
          <w:sz w:val="20"/>
          <w:szCs w:val="20"/>
        </w:rPr>
        <w:t>While the value of cost</w:t>
      </w:r>
      <w:r w:rsidRPr="00270FFD">
        <w:rPr>
          <w:rFonts w:ascii="Cambria Math" w:hAnsi="Cambria Math" w:cs="Cambria Math"/>
          <w:sz w:val="20"/>
          <w:szCs w:val="20"/>
        </w:rPr>
        <w:t>‐</w:t>
      </w:r>
      <w:r w:rsidRPr="00270FFD">
        <w:rPr>
          <w:rFonts w:ascii="Arial" w:hAnsi="Arial" w:cs="Arial"/>
          <w:sz w:val="20"/>
          <w:szCs w:val="20"/>
        </w:rPr>
        <w:t xml:space="preserve">effectiveness considers the total costs throughout the lifetime of the considered systems, it does not take into account the price increase of fuel with time and inflation, as it is done in LCC calculations. This simplification however, provides grounds for comparison between multiple systems, and energy production systems energy efficiency actions. Moreover, the process acquires solid background of all parameters necessary for LCC calculations, performed in the next step of the method on package level. </w:t>
      </w:r>
    </w:p>
    <w:p w14:paraId="2F0577C7" w14:textId="3F9CF02E" w:rsidR="00270FFD" w:rsidRPr="00270FFD" w:rsidRDefault="00270FFD" w:rsidP="00270FFD">
      <w:pPr>
        <w:pStyle w:val="Heading2"/>
      </w:pPr>
      <w:r w:rsidRPr="00270FFD">
        <w:t>Balancing energy efficiency and energy production</w:t>
      </w:r>
      <w:bookmarkEnd w:id="3"/>
    </w:p>
    <w:p w14:paraId="358C6FE6" w14:textId="6D37CC3B" w:rsidR="00270FFD" w:rsidRDefault="008068F3" w:rsidP="00015049">
      <w:pPr>
        <w:pStyle w:val="MainText"/>
        <w:keepNext/>
      </w:pPr>
      <w:r>
        <w:rPr>
          <w:noProof/>
          <w:sz w:val="16"/>
          <w:szCs w:val="16"/>
        </w:rPr>
        <w:drawing>
          <wp:anchor distT="0" distB="0" distL="114300" distR="114300" simplePos="0" relativeHeight="251650048" behindDoc="1" locked="0" layoutInCell="1" allowOverlap="1" wp14:anchorId="3F04523F" wp14:editId="27E78501">
            <wp:simplePos x="0" y="0"/>
            <wp:positionH relativeFrom="column">
              <wp:posOffset>2292985</wp:posOffset>
            </wp:positionH>
            <wp:positionV relativeFrom="paragraph">
              <wp:posOffset>64135</wp:posOffset>
            </wp:positionV>
            <wp:extent cx="3890010" cy="2355850"/>
            <wp:effectExtent l="0" t="0" r="0" b="6350"/>
            <wp:wrapTight wrapText="bothSides">
              <wp:wrapPolygon edited="0">
                <wp:start x="0" y="0"/>
                <wp:lineTo x="0" y="21484"/>
                <wp:lineTo x="21473" y="21484"/>
                <wp:lineTo x="21473" y="0"/>
                <wp:lineTo x="0" y="0"/>
              </wp:wrapPolygon>
            </wp:wrapTight>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X-Y-NET-ZERO-05.png"/>
                    <pic:cNvPicPr/>
                  </pic:nvPicPr>
                  <pic:blipFill rotWithShape="1">
                    <a:blip r:embed="rId13" cstate="print">
                      <a:extLst>
                        <a:ext uri="{28A0092B-C50C-407E-A947-70E740481C1C}">
                          <a14:useLocalDpi xmlns:a14="http://schemas.microsoft.com/office/drawing/2010/main" val="0"/>
                        </a:ext>
                      </a:extLst>
                    </a:blip>
                    <a:srcRect l="6585" r="10752"/>
                    <a:stretch/>
                  </pic:blipFill>
                  <pic:spPr bwMode="auto">
                    <a:xfrm>
                      <a:off x="0" y="0"/>
                      <a:ext cx="3890010" cy="235585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270FFD" w:rsidRPr="00270FFD">
        <w:rPr>
          <w:rFonts w:ascii="Arial" w:hAnsi="Arial" w:cs="Arial"/>
          <w:sz w:val="20"/>
          <w:szCs w:val="20"/>
          <w:lang w:val="en-GB"/>
        </w:rPr>
        <w:t xml:space="preserve">Achieving balance of investments in energy efficiency and renewable production in accordance with the budget of the project is sought by using the schematic chart represented </w:t>
      </w:r>
      <w:r w:rsidR="00270FFD" w:rsidRPr="00F07C6C">
        <w:rPr>
          <w:rFonts w:ascii="Arial" w:hAnsi="Arial" w:cs="Arial"/>
          <w:sz w:val="20"/>
          <w:szCs w:val="20"/>
          <w:lang w:val="en-GB"/>
        </w:rPr>
        <w:t xml:space="preserve">in </w:t>
      </w:r>
      <w:r w:rsidR="00F07C6C" w:rsidRPr="004A5D75">
        <w:rPr>
          <w:rFonts w:ascii="Arial" w:hAnsi="Arial" w:cs="Arial"/>
          <w:i/>
          <w:sz w:val="20"/>
          <w:szCs w:val="20"/>
        </w:rPr>
        <w:t>Figure 2</w:t>
      </w:r>
      <w:r w:rsidR="00270FFD" w:rsidRPr="00270FFD">
        <w:rPr>
          <w:rFonts w:ascii="Arial" w:hAnsi="Arial" w:cs="Arial"/>
          <w:sz w:val="20"/>
          <w:szCs w:val="20"/>
          <w:lang w:val="en-GB"/>
        </w:rPr>
        <w:t>. Knowing what is the demand of the building prior renovation, the cost</w:t>
      </w:r>
      <w:r w:rsidR="00270FFD" w:rsidRPr="00270FFD">
        <w:rPr>
          <w:rFonts w:ascii="Cambria Math" w:hAnsi="Cambria Math" w:cs="Cambria Math"/>
          <w:sz w:val="20"/>
          <w:szCs w:val="20"/>
        </w:rPr>
        <w:t>‐</w:t>
      </w:r>
      <w:r w:rsidR="00270FFD" w:rsidRPr="00270FFD">
        <w:rPr>
          <w:rFonts w:ascii="Arial" w:hAnsi="Arial" w:cs="Arial"/>
          <w:sz w:val="20"/>
          <w:szCs w:val="20"/>
          <w:lang w:val="en-GB"/>
        </w:rPr>
        <w:t xml:space="preserve">effectiveness of produced and/or saved energy by each action; one can use the chart to assess the different ways to reach the NZEB standard, while considering their cost. </w:t>
      </w:r>
    </w:p>
    <w:p w14:paraId="67ADA404" w14:textId="5FF76B9D" w:rsidR="00270FFD" w:rsidRPr="00270FFD" w:rsidRDefault="008068F3" w:rsidP="00270FFD">
      <w:pPr>
        <w:pStyle w:val="MainText"/>
        <w:rPr>
          <w:rFonts w:ascii="Arial" w:hAnsi="Arial" w:cs="Arial"/>
          <w:sz w:val="20"/>
          <w:szCs w:val="20"/>
          <w:lang w:val="en-GB"/>
        </w:rPr>
      </w:pPr>
      <w:r>
        <w:rPr>
          <w:noProof/>
        </w:rPr>
        <mc:AlternateContent>
          <mc:Choice Requires="wps">
            <w:drawing>
              <wp:anchor distT="0" distB="0" distL="114300" distR="114300" simplePos="0" relativeHeight="251654144" behindDoc="1" locked="0" layoutInCell="1" allowOverlap="1" wp14:anchorId="7394B00F" wp14:editId="10F6583F">
                <wp:simplePos x="0" y="0"/>
                <wp:positionH relativeFrom="column">
                  <wp:posOffset>2226310</wp:posOffset>
                </wp:positionH>
                <wp:positionV relativeFrom="paragraph">
                  <wp:posOffset>645795</wp:posOffset>
                </wp:positionV>
                <wp:extent cx="3890010" cy="635"/>
                <wp:effectExtent l="0" t="0" r="0" b="0"/>
                <wp:wrapTight wrapText="bothSides">
                  <wp:wrapPolygon edited="0">
                    <wp:start x="0" y="0"/>
                    <wp:lineTo x="0" y="21600"/>
                    <wp:lineTo x="21600" y="21600"/>
                    <wp:lineTo x="21600" y="0"/>
                  </wp:wrapPolygon>
                </wp:wrapTight>
                <wp:docPr id="6" name="Text Box 6"/>
                <wp:cNvGraphicFramePr/>
                <a:graphic xmlns:a="http://schemas.openxmlformats.org/drawingml/2006/main">
                  <a:graphicData uri="http://schemas.microsoft.com/office/word/2010/wordprocessingShape">
                    <wps:wsp>
                      <wps:cNvSpPr txBox="1"/>
                      <wps:spPr>
                        <a:xfrm>
                          <a:off x="0" y="0"/>
                          <a:ext cx="3890010" cy="635"/>
                        </a:xfrm>
                        <a:prstGeom prst="rect">
                          <a:avLst/>
                        </a:prstGeom>
                        <a:solidFill>
                          <a:prstClr val="white"/>
                        </a:solidFill>
                        <a:ln>
                          <a:noFill/>
                        </a:ln>
                      </wps:spPr>
                      <wps:txbx>
                        <w:txbxContent>
                          <w:p w14:paraId="3680D318" w14:textId="24DD8FB1" w:rsidR="00225A74" w:rsidRPr="004A5D75" w:rsidRDefault="00225A74" w:rsidP="00015049">
                            <w:pPr>
                              <w:pStyle w:val="Caption"/>
                              <w:rPr>
                                <w:rFonts w:ascii="Arial" w:hAnsi="Arial" w:cs="Arial"/>
                                <w:i/>
                                <w:sz w:val="20"/>
                              </w:rPr>
                            </w:pPr>
                            <w:r w:rsidRPr="004A5D75">
                              <w:rPr>
                                <w:rFonts w:ascii="Arial" w:hAnsi="Arial" w:cs="Arial"/>
                                <w:i/>
                                <w:sz w:val="20"/>
                              </w:rPr>
                              <w:t xml:space="preserve">Figure </w:t>
                            </w:r>
                            <w:r w:rsidRPr="004A5D75">
                              <w:rPr>
                                <w:rFonts w:ascii="Arial" w:hAnsi="Arial" w:cs="Arial"/>
                                <w:i/>
                                <w:sz w:val="20"/>
                              </w:rPr>
                              <w:fldChar w:fldCharType="begin"/>
                            </w:r>
                            <w:r w:rsidRPr="004A5D75">
                              <w:rPr>
                                <w:rFonts w:ascii="Arial" w:hAnsi="Arial" w:cs="Arial"/>
                                <w:i/>
                                <w:sz w:val="20"/>
                              </w:rPr>
                              <w:instrText xml:space="preserve"> SEQ Figure \* ARABIC </w:instrText>
                            </w:r>
                            <w:r w:rsidRPr="004A5D75">
                              <w:rPr>
                                <w:rFonts w:ascii="Arial" w:hAnsi="Arial" w:cs="Arial"/>
                                <w:i/>
                                <w:sz w:val="20"/>
                              </w:rPr>
                              <w:fldChar w:fldCharType="separate"/>
                            </w:r>
                            <w:r w:rsidR="00E46138">
                              <w:rPr>
                                <w:rFonts w:ascii="Arial" w:hAnsi="Arial" w:cs="Arial"/>
                                <w:i/>
                                <w:noProof/>
                                <w:sz w:val="20"/>
                              </w:rPr>
                              <w:t>2</w:t>
                            </w:r>
                            <w:r w:rsidRPr="004A5D75">
                              <w:rPr>
                                <w:rFonts w:ascii="Arial" w:hAnsi="Arial" w:cs="Arial"/>
                                <w:i/>
                                <w:sz w:val="20"/>
                              </w:rPr>
                              <w:fldChar w:fldCharType="end"/>
                            </w:r>
                            <w:r w:rsidRPr="004A5D75">
                              <w:rPr>
                                <w:rFonts w:ascii="Arial" w:hAnsi="Arial" w:cs="Arial"/>
                                <w:i/>
                                <w:sz w:val="20"/>
                              </w:rPr>
                              <w:t xml:space="preserve"> Schematic representation for balancing energy efficiency improvements and renewable energy production, adapted from </w:t>
                            </w:r>
                            <w:r w:rsidRPr="004A5D75">
                              <w:rPr>
                                <w:rFonts w:ascii="Arial" w:hAnsi="Arial" w:cs="Arial"/>
                                <w:i/>
                                <w:sz w:val="20"/>
                              </w:rPr>
                              <w:fldChar w:fldCharType="begin" w:fldLock="1"/>
                            </w:r>
                            <w:r w:rsidRPr="004A5D75">
                              <w:rPr>
                                <w:rFonts w:ascii="Arial" w:hAnsi="Arial" w:cs="Arial"/>
                                <w:i/>
                                <w:sz w:val="20"/>
                              </w:rPr>
                              <w:instrText>ADDIN CSL_CITATION {"citationItems":[{"id":"ITEM-1","itemData":{"DOI":"10.18086/eurosun.2010.06.21","ISBN":"978-3-901425-13-4","abstract":"The idea of a Net Zero Energy Building (Net ZEB) is understood conceptually, as it is understood that the way a Net ZEB is defined affects significantly the way it is designed in order to achieve the goal. However, little agreement exists on a common definition; the term is used commercially without a clear understanding and countries are enacting policies and national targets based on the concept without a clear definition in place. This paper presents a harmonised framework for describing the relevant characteristics of Net ZEBs in a series of criteria. Evaluation of the criteria and selection of the related options becomes a methodology for elaborating sound Net ZEB definitions in a formal, systematic and comprehensive way, creating the basis for legislations and action plans to effectively achieve the political targets. The common denominator for the different possible Net ZEB definitions in the harmonised framework is the balance between delivered and feed-in energy and associated credits. Additionally, other indicators than the mere balance over a period of time may be given in order to add qualified information on the overall “goodness of design” of a Net ZEB. Finally, the monitoring procedure is considered as an integral part of the definition.","author":[{"dropping-particle":"","family":"Sartori","given":"Igor","non-dropping-particle":"","parse-names":false,"suffix":""},{"dropping-particle":"","family":"Napolitano","given":"Assunta","non-dropping-particle":"","parse-names":false,"suffix":""},{"dropping-particle":"","family":"Marszal","given":"Anna","non-dropping-particle":"","parse-names":false,"suffix":""},{"dropping-particle":"","family":"Pless","given":"Shanti","non-dropping-particle":"","parse-names":false,"suffix":""},{"dropping-particle":"","family":"Torcellini","given":"Paul","non-dropping-particle":"","parse-names":false,"suffix":""},{"dropping-particle":"","family":"Voss","given":"Karsten","non-dropping-particle":"","parse-names":false,"suffix":""}],"container-title":"Proceedings of the EuroSun 2010 Conference","id":"ITEM-1","issue":"July 2014","issued":{"date-parts":[["2010"]]},"page":"1-8","publisher":"International Solar Energy Society","publisher-place":"Freiburg, Germany","title":"Criteria for Definition of Net Zero Energy Buildings","type":"paper-conference"},"uris":["http://www.mendeley.com/documents/?uuid=2838b6fa-3cb1-4f5b-8e76-2eb9c5fb37c9"]}],"mendeley":{"formattedCitation":"[9]","plainTextFormattedCitation":"[9]","previouslyFormattedCitation":"[9]"},"properties":{"noteIndex":0},"schema":"https://github.com/citation-style-language/schema/raw/master/csl-citation.json"}</w:instrText>
                            </w:r>
                            <w:r w:rsidRPr="004A5D75">
                              <w:rPr>
                                <w:rFonts w:ascii="Arial" w:hAnsi="Arial" w:cs="Arial"/>
                                <w:i/>
                                <w:sz w:val="20"/>
                              </w:rPr>
                              <w:fldChar w:fldCharType="separate"/>
                            </w:r>
                            <w:r w:rsidRPr="004A5D75">
                              <w:rPr>
                                <w:rFonts w:ascii="Arial" w:hAnsi="Arial" w:cs="Arial"/>
                                <w:i/>
                                <w:noProof/>
                                <w:sz w:val="20"/>
                              </w:rPr>
                              <w:t>[9]</w:t>
                            </w:r>
                            <w:r w:rsidRPr="004A5D75">
                              <w:rPr>
                                <w:rFonts w:ascii="Arial" w:hAnsi="Arial" w:cs="Arial"/>
                                <w:i/>
                                <w:sz w:val="20"/>
                              </w:rPr>
                              <w:fldChar w:fldCharType="end"/>
                            </w:r>
                            <w:r w:rsidRPr="004A5D75">
                              <w:rPr>
                                <w:rFonts w:ascii="Arial" w:hAnsi="Arial" w:cs="Arial"/>
                                <w:i/>
                                <w:sz w:val="20"/>
                              </w:rPr>
                              <w:t>.</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type w14:anchorId="7394B00F" id="_x0000_t202" coordsize="21600,21600" o:spt="202" path="m,l,21600r21600,l21600,xe">
                <v:stroke joinstyle="miter"/>
                <v:path gradientshapeok="t" o:connecttype="rect"/>
              </v:shapetype>
              <v:shape id="Text Box 6" o:spid="_x0000_s1026" type="#_x0000_t202" style="position:absolute;left:0;text-align:left;margin-left:175.3pt;margin-top:50.85pt;width:306.3pt;height:.05pt;z-index:-25166233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v80BKgIAAF0EAAAOAAAAZHJzL2Uyb0RvYy54bWysVE1vGjEQvVfqf7B8LwuJitIVS0SJqCqh&#10;JBJUORuvl7Vke9yxYZf++o73g7RpT1UvZjwzft733pjFfWsNOysMGlzBZ5MpZ8pJKLU7FvzbfvPh&#10;jrMQhSuFAacKflGB3y/fv1s0Plc3UIMpFTICcSFvfMHrGH2eZUHWyoowAa8cFStAKyJt8ZiVKBpC&#10;tya7mU7nWQNYegSpQqDsQ1/kyw6/qpSMT1UVVGSm4PRtsVuxWw9pzZYLkR9R+FrL4TPEP3yFFdrR&#10;pVeoBxEFO6H+A8pqiRCgihMJNoOq0lJ1HIjNbPqGza4WXnVcSJzgrzKF/wcrH8/PyHRZ8DlnTliy&#10;aK/ayD5Dy+ZJncaHnJp2ntpiS2lyecwHSibSbYU2/RIdRnXS+XLVNoFJSt7efZoSQ84k1ea3HxNG&#10;9nrUY4hfFFiWgoIjGdfpKc7bEPvWsSXdFMDocqONSZtUWBtkZ0EmN7WOagD/rcu41OsgneoBUyZL&#10;/HoeKYrtoR1IH6C8EGeEfmaClxtNF21FiM8CaUiICw1+fKKlMtAUHIaIsxrwx9/yqZ+8oypnDQ1d&#10;wcP3k0DFmfnqyNU0oWOAY3AYA3eyayCKM3pSXnYhHcBoxrBCsC/0HlbpFioJJ+mugscxXMd+9Ok9&#10;SbVadU00h17Erdt5maBHQffti0A/2BHJxUcYx1Hkb1zpeztf/OoUSeLOsiRor+KgM81wZ/rw3tIj&#10;+XXfdb3+Kyx/AgAA//8DAFBLAwQUAAYACAAAACEAcZ1t0OEAAAALAQAADwAAAGRycy9kb3ducmV2&#10;LnhtbEyPsU7DMBCGdyTewTokFtTabUooIU5VVTDQpSLtwubG1zgQn6PYacPbY1hgvPs//fddvhpt&#10;y87Y+8aRhNlUAEOqnG6olnDYv0yWwHxQpFXrCCV8oYdVcX2Vq0y7C73huQw1iyXkMyXBhNBlnPvK&#10;oFV+6jqkmJ1cb1WIY19z3atLLLctnwuRcqsaiheM6nBjsPosBytht3jfmbvh9LxdL5L+9TBs0o+6&#10;lPL2Zlw/AQs4hj8YfvSjOhTR6egG0p61EpJ7kUY0BmL2ACwSj2kyB3b83SyBFzn//0PxDQAA//8D&#10;AFBLAQItABQABgAIAAAAIQC2gziS/gAAAOEBAAATAAAAAAAAAAAAAAAAAAAAAABbQ29udGVudF9U&#10;eXBlc10ueG1sUEsBAi0AFAAGAAgAAAAhADj9If/WAAAAlAEAAAsAAAAAAAAAAAAAAAAALwEAAF9y&#10;ZWxzLy5yZWxzUEsBAi0AFAAGAAgAAAAhAF2/zQEqAgAAXQQAAA4AAAAAAAAAAAAAAAAALgIAAGRy&#10;cy9lMm9Eb2MueG1sUEsBAi0AFAAGAAgAAAAhAHGdbdDhAAAACwEAAA8AAAAAAAAAAAAAAAAAhAQA&#10;AGRycy9kb3ducmV2LnhtbFBLBQYAAAAABAAEAPMAAACSBQAAAAA=&#10;" stroked="f">
                <v:textbox style="mso-fit-shape-to-text:t" inset="0,0,0,0">
                  <w:txbxContent>
                    <w:p w14:paraId="3680D318" w14:textId="24DD8FB1" w:rsidR="00225A74" w:rsidRPr="004A5D75" w:rsidRDefault="00225A74" w:rsidP="00015049">
                      <w:pPr>
                        <w:pStyle w:val="Caption"/>
                        <w:rPr>
                          <w:rFonts w:ascii="Arial" w:hAnsi="Arial" w:cs="Arial"/>
                          <w:i/>
                          <w:sz w:val="20"/>
                        </w:rPr>
                      </w:pPr>
                      <w:r w:rsidRPr="004A5D75">
                        <w:rPr>
                          <w:rFonts w:ascii="Arial" w:hAnsi="Arial" w:cs="Arial"/>
                          <w:i/>
                          <w:sz w:val="20"/>
                        </w:rPr>
                        <w:t xml:space="preserve">Figure </w:t>
                      </w:r>
                      <w:r w:rsidRPr="004A5D75">
                        <w:rPr>
                          <w:rFonts w:ascii="Arial" w:hAnsi="Arial" w:cs="Arial"/>
                          <w:i/>
                          <w:sz w:val="20"/>
                        </w:rPr>
                        <w:fldChar w:fldCharType="begin"/>
                      </w:r>
                      <w:r w:rsidRPr="004A5D75">
                        <w:rPr>
                          <w:rFonts w:ascii="Arial" w:hAnsi="Arial" w:cs="Arial"/>
                          <w:i/>
                          <w:sz w:val="20"/>
                        </w:rPr>
                        <w:instrText xml:space="preserve"> SEQ Figure \* ARABIC </w:instrText>
                      </w:r>
                      <w:r w:rsidRPr="004A5D75">
                        <w:rPr>
                          <w:rFonts w:ascii="Arial" w:hAnsi="Arial" w:cs="Arial"/>
                          <w:i/>
                          <w:sz w:val="20"/>
                        </w:rPr>
                        <w:fldChar w:fldCharType="separate"/>
                      </w:r>
                      <w:r w:rsidR="00E46138">
                        <w:rPr>
                          <w:rFonts w:ascii="Arial" w:hAnsi="Arial" w:cs="Arial"/>
                          <w:i/>
                          <w:noProof/>
                          <w:sz w:val="20"/>
                        </w:rPr>
                        <w:t>2</w:t>
                      </w:r>
                      <w:r w:rsidRPr="004A5D75">
                        <w:rPr>
                          <w:rFonts w:ascii="Arial" w:hAnsi="Arial" w:cs="Arial"/>
                          <w:i/>
                          <w:sz w:val="20"/>
                        </w:rPr>
                        <w:fldChar w:fldCharType="end"/>
                      </w:r>
                      <w:r w:rsidRPr="004A5D75">
                        <w:rPr>
                          <w:rFonts w:ascii="Arial" w:hAnsi="Arial" w:cs="Arial"/>
                          <w:i/>
                          <w:sz w:val="20"/>
                        </w:rPr>
                        <w:t xml:space="preserve"> Schematic representation for balancing energy efficiency improvements and renewable energy production, adapted from </w:t>
                      </w:r>
                      <w:r w:rsidRPr="004A5D75">
                        <w:rPr>
                          <w:rFonts w:ascii="Arial" w:hAnsi="Arial" w:cs="Arial"/>
                          <w:i/>
                          <w:sz w:val="20"/>
                        </w:rPr>
                        <w:fldChar w:fldCharType="begin" w:fldLock="1"/>
                      </w:r>
                      <w:r w:rsidRPr="004A5D75">
                        <w:rPr>
                          <w:rFonts w:ascii="Arial" w:hAnsi="Arial" w:cs="Arial"/>
                          <w:i/>
                          <w:sz w:val="20"/>
                        </w:rPr>
                        <w:instrText>ADDIN CSL_CITATION {"citationItems":[{"id":"ITEM-1","itemData":{"DOI":"10.18086/eurosun.2010.06.21","ISBN":"978-3-901425-13-4","abstract":"The idea of a Net Zero Energy Building (Net ZEB) is understood conceptually, as it is understood that the way a Net ZEB is defined affects significantly the way it is designed in order to achieve the goal. However, little agreement exists on a common definition; the term is used commercially without a clear understanding and countries are enacting policies and national targets based on the concept without a clear definition in place. This paper presents a harmonised framework for describing the relevant characteristics of Net ZEBs in a series of criteria. Evaluation of the criteria and selection of the related options becomes a methodology for elaborating sound Net ZEB definitions in a formal, systematic and comprehensive way, creating the basis for legislations and action plans to effectively achieve the political targets. The common denominator for the different possible Net ZEB definitions in the harmonised framework is the balance between delivered and feed-in energy and associated credits. Additionally, other indicators than the mere balance over a period of time may be given in order to add qualified information on the overall “goodness of design” of a Net ZEB. Finally, the monitoring procedure is considered as an integral part of the definition.","author":[{"dropping-particle":"","family":"Sartori","given":"Igor","non-dropping-particle":"","parse-names":false,"suffix":""},{"dropping-particle":"","family":"Napolitano","given":"Assunta","non-dropping-particle":"","parse-names":false,"suffix":""},{"dropping-particle":"","family":"Marszal","given":"Anna","non-dropping-particle":"","parse-names":false,"suffix":""},{"dropping-particle":"","family":"Pless","given":"Shanti","non-dropping-particle":"","parse-names":false,"suffix":""},{"dropping-particle":"","family":"Torcellini","given":"Paul","non-dropping-particle":"","parse-names":false,"suffix":""},{"dropping-particle":"","family":"Voss","given":"Karsten","non-dropping-particle":"","parse-names":false,"suffix":""}],"container-title":"Proceedings of the EuroSun 2010 Conference","id":"ITEM-1","issue":"July 2014","issued":{"date-parts":[["2010"]]},"page":"1-8","publisher":"International Solar Energy Society","publisher-place":"Freiburg, Germany","title":"Criteria for Definition of Net Zero Energy Buildings","type":"paper-conference"},"uris":["http://www.mendeley.com/documents/?uuid=2838b6fa-3cb1-4f5b-8e76-2eb9c5fb37c9"]}],"mendeley":{"formattedCitation":"[9]","plainTextFormattedCitation":"[9]","previouslyFormattedCitation":"[9]"},"properties":{"noteIndex":0},"schema":"https://github.com/citation-style-language/schema/raw/master/csl-citation.json"}</w:instrText>
                      </w:r>
                      <w:r w:rsidRPr="004A5D75">
                        <w:rPr>
                          <w:rFonts w:ascii="Arial" w:hAnsi="Arial" w:cs="Arial"/>
                          <w:i/>
                          <w:sz w:val="20"/>
                        </w:rPr>
                        <w:fldChar w:fldCharType="separate"/>
                      </w:r>
                      <w:r w:rsidRPr="004A5D75">
                        <w:rPr>
                          <w:rFonts w:ascii="Arial" w:hAnsi="Arial" w:cs="Arial"/>
                          <w:i/>
                          <w:noProof/>
                          <w:sz w:val="20"/>
                        </w:rPr>
                        <w:t>[9]</w:t>
                      </w:r>
                      <w:r w:rsidRPr="004A5D75">
                        <w:rPr>
                          <w:rFonts w:ascii="Arial" w:hAnsi="Arial" w:cs="Arial"/>
                          <w:i/>
                          <w:sz w:val="20"/>
                        </w:rPr>
                        <w:fldChar w:fldCharType="end"/>
                      </w:r>
                      <w:r w:rsidRPr="004A5D75">
                        <w:rPr>
                          <w:rFonts w:ascii="Arial" w:hAnsi="Arial" w:cs="Arial"/>
                          <w:i/>
                          <w:sz w:val="20"/>
                        </w:rPr>
                        <w:t>.</w:t>
                      </w:r>
                    </w:p>
                  </w:txbxContent>
                </v:textbox>
                <w10:wrap type="tight"/>
              </v:shape>
            </w:pict>
          </mc:Fallback>
        </mc:AlternateContent>
      </w:r>
      <w:r w:rsidR="00270FFD" w:rsidRPr="00270FFD">
        <w:rPr>
          <w:rFonts w:ascii="Arial" w:hAnsi="Arial" w:cs="Arial"/>
          <w:sz w:val="20"/>
          <w:szCs w:val="20"/>
          <w:lang w:val="en-GB"/>
        </w:rPr>
        <w:t xml:space="preserve">The chart shows the Net zero balance line, where the energy use and renewable production are equal for a given period. However, as discussed above, Member states have imposed different NZEB standards. In countries where the only requirement is </w:t>
      </w:r>
      <w:r w:rsidR="00270FFD" w:rsidRPr="00270FFD">
        <w:rPr>
          <w:rFonts w:ascii="Arial" w:hAnsi="Arial" w:cs="Arial"/>
          <w:sz w:val="20"/>
          <w:szCs w:val="20"/>
          <w:lang w:val="en-GB"/>
        </w:rPr>
        <w:lastRenderedPageBreak/>
        <w:t>primary energy the limit value is above zero, thereby there would be solutions satisfying NZEB requirements, which are not exactly on the net zero balance line. Higher limit values for energy demand would increase the solution spa</w:t>
      </w:r>
      <w:r w:rsidR="00F01401">
        <w:rPr>
          <w:rFonts w:ascii="Arial" w:hAnsi="Arial" w:cs="Arial"/>
          <w:sz w:val="20"/>
          <w:szCs w:val="20"/>
          <w:lang w:val="en-GB"/>
        </w:rPr>
        <w:t>ce for NZEB (indicated in grey i</w:t>
      </w:r>
      <w:r w:rsidR="00270FFD" w:rsidRPr="00270FFD">
        <w:rPr>
          <w:rFonts w:ascii="Arial" w:hAnsi="Arial" w:cs="Arial"/>
          <w:sz w:val="20"/>
          <w:szCs w:val="20"/>
          <w:lang w:val="en-GB"/>
        </w:rPr>
        <w:t xml:space="preserve">n </w:t>
      </w:r>
      <w:r w:rsidR="00F07C6C" w:rsidRPr="004767E1">
        <w:rPr>
          <w:rFonts w:ascii="Arial" w:hAnsi="Arial" w:cs="Arial"/>
          <w:i/>
          <w:sz w:val="20"/>
          <w:szCs w:val="20"/>
        </w:rPr>
        <w:t>Figure 2</w:t>
      </w:r>
      <w:r w:rsidR="00270FFD" w:rsidRPr="00270FFD">
        <w:rPr>
          <w:rFonts w:ascii="Arial" w:hAnsi="Arial" w:cs="Arial"/>
          <w:sz w:val="20"/>
          <w:szCs w:val="20"/>
          <w:lang w:val="en-GB"/>
        </w:rPr>
        <w:t xml:space="preserve">). </w:t>
      </w:r>
    </w:p>
    <w:p w14:paraId="0B7A2903" w14:textId="2E66A1A3" w:rsidR="00270FFD" w:rsidRPr="00270FFD" w:rsidRDefault="00270FFD" w:rsidP="00270FFD">
      <w:pPr>
        <w:pStyle w:val="MainText"/>
        <w:rPr>
          <w:rFonts w:ascii="Arial" w:hAnsi="Arial" w:cs="Arial"/>
          <w:sz w:val="20"/>
          <w:szCs w:val="20"/>
          <w:lang w:val="en-GB"/>
        </w:rPr>
      </w:pPr>
      <w:r w:rsidRPr="00270FFD">
        <w:rPr>
          <w:rFonts w:ascii="Arial" w:hAnsi="Arial" w:cs="Arial"/>
          <w:sz w:val="20"/>
          <w:szCs w:val="20"/>
          <w:lang w:val="en-GB"/>
        </w:rPr>
        <w:t xml:space="preserve">Depending on criteria and targets set in the project definition stage, one can estimate the required amount of efficiency actions and the resulting required renewable energy production, necessity to reach NZEB. In principle if the complete demand is covered by own renewable production, a building may be </w:t>
      </w:r>
      <w:r w:rsidR="00194EEC">
        <w:rPr>
          <w:rFonts w:ascii="Arial" w:hAnsi="Arial" w:cs="Arial"/>
          <w:sz w:val="20"/>
          <w:szCs w:val="20"/>
          <w:lang w:val="en-GB"/>
        </w:rPr>
        <w:t>z</w:t>
      </w:r>
      <w:r w:rsidRPr="00270FFD">
        <w:rPr>
          <w:rFonts w:ascii="Arial" w:hAnsi="Arial" w:cs="Arial"/>
          <w:sz w:val="20"/>
          <w:szCs w:val="20"/>
          <w:lang w:val="en-GB"/>
        </w:rPr>
        <w:t xml:space="preserve">ero energy for. However, the definition in EPBD and local regulatory requirements set comfort and efficiency requirements as well. This means that if those are covered the NZEB may be reached by simply suppling the demand by renewable production. Otherwise, some actions have to be taken to satisfy comfort and efficiency requirements, besides providing renewable production. Overall, there are many different ways to reach NZEB and their cost can differ considerably. Thereby, this should be checked on the package level by applying the well-established LCC approach, where </w:t>
      </w:r>
      <w:r w:rsidR="00E5598B">
        <w:rPr>
          <w:rFonts w:ascii="Arial" w:hAnsi="Arial" w:cs="Arial"/>
          <w:sz w:val="20"/>
          <w:szCs w:val="20"/>
          <w:lang w:val="en-GB"/>
        </w:rPr>
        <w:t>number of various</w:t>
      </w:r>
      <w:r w:rsidRPr="00270FFD">
        <w:rPr>
          <w:rFonts w:ascii="Arial" w:hAnsi="Arial" w:cs="Arial"/>
          <w:sz w:val="20"/>
          <w:szCs w:val="20"/>
          <w:lang w:val="en-GB"/>
        </w:rPr>
        <w:t xml:space="preserve"> packages, </w:t>
      </w:r>
      <w:r w:rsidRPr="00270FFD">
        <w:rPr>
          <w:rFonts w:ascii="Arial" w:hAnsi="Arial" w:cs="Arial"/>
          <w:sz w:val="20"/>
          <w:szCs w:val="20"/>
        </w:rPr>
        <w:t>compliant with the specific project at hand are compared.</w:t>
      </w:r>
    </w:p>
    <w:p w14:paraId="68841FB8" w14:textId="4884B726" w:rsidR="00270FFD" w:rsidRPr="00270FFD" w:rsidRDefault="00270FFD" w:rsidP="00270FFD">
      <w:pPr>
        <w:pStyle w:val="MainText"/>
        <w:rPr>
          <w:rFonts w:ascii="Arial" w:hAnsi="Arial" w:cs="Arial"/>
          <w:sz w:val="20"/>
          <w:szCs w:val="20"/>
          <w:lang w:val="en-GB"/>
        </w:rPr>
      </w:pPr>
      <w:r w:rsidRPr="00270FFD">
        <w:rPr>
          <w:rFonts w:ascii="Arial" w:hAnsi="Arial" w:cs="Arial"/>
          <w:sz w:val="20"/>
          <w:szCs w:val="20"/>
          <w:lang w:val="en-GB"/>
        </w:rPr>
        <w:t>This is the pivotal point of the methodology as all information acquired</w:t>
      </w:r>
      <w:r w:rsidR="00E54AB9">
        <w:rPr>
          <w:rFonts w:ascii="Arial" w:hAnsi="Arial" w:cs="Arial"/>
          <w:sz w:val="20"/>
          <w:szCs w:val="20"/>
          <w:lang w:val="en-GB"/>
        </w:rPr>
        <w:t xml:space="preserve"> in project definition and single action stages</w:t>
      </w:r>
      <w:r w:rsidRPr="00270FFD">
        <w:rPr>
          <w:rFonts w:ascii="Arial" w:hAnsi="Arial" w:cs="Arial"/>
          <w:sz w:val="20"/>
          <w:szCs w:val="20"/>
          <w:lang w:val="en-GB"/>
        </w:rPr>
        <w:t xml:space="preserve"> is segregated in making viable package solutions. Besides obtaining NZEB standard, the designer has to take into account synergy of actions, the targets and finances of the project, dependence of actions on the result as well as other unforeseeable factors as rebound effect of the packages, implementation complexity, time, etc.</w:t>
      </w:r>
    </w:p>
    <w:p w14:paraId="2FC1C88F" w14:textId="77777777" w:rsidR="00270FFD" w:rsidRPr="00270FFD" w:rsidRDefault="00270FFD" w:rsidP="00270FFD">
      <w:pPr>
        <w:pStyle w:val="Heading2"/>
      </w:pPr>
      <w:bookmarkStart w:id="4" w:name="_Toc34996390"/>
      <w:r w:rsidRPr="00270FFD">
        <w:t>Evaluation of renovation packages</w:t>
      </w:r>
      <w:bookmarkEnd w:id="4"/>
    </w:p>
    <w:p w14:paraId="3837F350" w14:textId="357CAAA8" w:rsidR="00270FFD" w:rsidRPr="00270FFD" w:rsidRDefault="00270FFD" w:rsidP="00270FFD">
      <w:pPr>
        <w:jc w:val="both"/>
        <w:rPr>
          <w:rFonts w:ascii="Arial" w:hAnsi="Arial" w:cs="Arial"/>
        </w:rPr>
      </w:pPr>
      <w:bookmarkStart w:id="5" w:name="_Ref27074839"/>
      <w:bookmarkEnd w:id="5"/>
      <w:r w:rsidRPr="00270FFD">
        <w:rPr>
          <w:rFonts w:ascii="Arial" w:hAnsi="Arial" w:cs="Arial"/>
        </w:rPr>
        <w:t>The last stage of the method consists of comparing the “balanced” renovation packages using LCC calculations. For consistency and comparability reasons throughout the EU, those are to be done  in accordance to the cost</w:t>
      </w:r>
      <w:r w:rsidRPr="00270FFD">
        <w:rPr>
          <w:rFonts w:ascii="Cambria Math" w:hAnsi="Cambria Math" w:cs="Cambria Math"/>
        </w:rPr>
        <w:t>‐</w:t>
      </w:r>
      <w:r w:rsidRPr="00270FFD">
        <w:rPr>
          <w:rFonts w:ascii="Arial" w:hAnsi="Arial" w:cs="Arial"/>
        </w:rPr>
        <w:t xml:space="preserve">optimal methodology, introduced in the EPBD </w:t>
      </w:r>
      <w:r w:rsidRPr="00270FFD">
        <w:rPr>
          <w:rFonts w:ascii="Arial" w:hAnsi="Arial" w:cs="Arial"/>
        </w:rPr>
        <w:fldChar w:fldCharType="begin" w:fldLock="1"/>
      </w:r>
      <w:r w:rsidR="00B250B8">
        <w:rPr>
          <w:rFonts w:ascii="Arial" w:hAnsi="Arial" w:cs="Arial"/>
        </w:rPr>
        <w:instrText>ADDIN CSL_CITATION {"citationItems":[{"id":"ITEM-1","itemData":{"id":"ITEM-1","issued":{"date-parts":[["2010"]]},"publisher":"European Union","title":"DIRECTIVE 2010/31/EU OF THE EUROPEAN PARLIAMENT AND OF THE COUNCIL of 19 May 2010 on the energy performance of buildings (recast)","type":"bill"},"uris":["http://www.mendeley.com/documents/?uuid=4556e005-9fe2-4bde-a8b8-aee2a4a806b6"]}],"mendeley":{"formattedCitation":"[5]","plainTextFormattedCitation":"[5]","previouslyFormattedCitation":"[4]"},"properties":{"noteIndex":0},"schema":"https://github.com/citation-style-language/schema/raw/master/csl-citation.json"}</w:instrText>
      </w:r>
      <w:r w:rsidRPr="00270FFD">
        <w:rPr>
          <w:rFonts w:ascii="Arial" w:hAnsi="Arial" w:cs="Arial"/>
        </w:rPr>
        <w:fldChar w:fldCharType="separate"/>
      </w:r>
      <w:r w:rsidR="00B250B8" w:rsidRPr="00B250B8">
        <w:rPr>
          <w:rFonts w:ascii="Arial" w:hAnsi="Arial" w:cs="Arial"/>
          <w:noProof/>
        </w:rPr>
        <w:t>[5]</w:t>
      </w:r>
      <w:r w:rsidRPr="00270FFD">
        <w:rPr>
          <w:rFonts w:ascii="Arial" w:hAnsi="Arial" w:cs="Arial"/>
        </w:rPr>
        <w:fldChar w:fldCharType="end"/>
      </w:r>
      <w:r w:rsidRPr="00270FFD">
        <w:rPr>
          <w:rFonts w:ascii="Arial" w:hAnsi="Arial" w:cs="Arial"/>
        </w:rPr>
        <w:t xml:space="preserve">. While the method was imposed by the </w:t>
      </w:r>
      <w:r w:rsidR="00194EEC">
        <w:rPr>
          <w:rFonts w:ascii="Arial" w:hAnsi="Arial" w:cs="Arial"/>
        </w:rPr>
        <w:t>EPBD</w:t>
      </w:r>
      <w:r w:rsidRPr="00270FFD">
        <w:rPr>
          <w:rFonts w:ascii="Arial" w:hAnsi="Arial" w:cs="Arial"/>
        </w:rPr>
        <w:t xml:space="preserve"> for regulation of national building standards it has been shown throughout literature that it can be successfully applied to single buildings with various functions (cf. Literature review provided in </w:t>
      </w:r>
      <w:r w:rsidRPr="00270FFD">
        <w:rPr>
          <w:rFonts w:ascii="Arial" w:hAnsi="Arial" w:cs="Arial"/>
        </w:rPr>
        <w:fldChar w:fldCharType="begin" w:fldLock="1"/>
      </w:r>
      <w:r w:rsidR="00B250B8">
        <w:rPr>
          <w:rFonts w:ascii="Arial" w:hAnsi="Arial" w:cs="Arial"/>
        </w:rPr>
        <w:instrText>ADDIN CSL_CITATION {"citationItems":[{"id":"ITEM-1","itemData":{"DOI":"10.3390/buildings10060102","ISSN":"2075-5309","abstract":"&lt;p&gt;Renovation of existing buildings is an indispensable part of achieving European efficiency and environmental targets. This paper applies different assessment methodologies to find optimal renovation, given different evaluation criteria. The performed literature study identifies the cost-optimal methodology employing Life Cycle Cost (LCC) calculation as one of the most common assessment methods. This paper proposes a new renovation assessment method targeted to the early design phases of specific building projects. The method has a simple structure, and can be used as a roadmap of necessary activities for obtaining solid building knowledge and required energy and cost calculations. The methodology is based on linking economic and energy efficiency parameters into defined cost-effective value, calculated for all investigated renovation actions. The cost-effectiveness value is used for ranking and selecting the most appropriate single renovation actions to form renovation packages, which can be further examined in detail (for example, with LCC). To demonstrate the method, evaluate the strengths, and identify the weaknesses, it is applied to case study buildings in Denmark and Switzerland. The results show that, in the initial stage, the proposed cost-effectiveness representation can be used successfully to compare and evaluate different envelope elements and systems. Cost-effectiveness also provides rational results on a package level. Further work is still required in the area of evaluation of energy supply and renewable energy production systems.&lt;/p&gt;","author":[{"dropping-particle":"","family":"Antonov","given":"Yovko Ivanov","non-dropping-particle":"","parse-names":false,"suffix":""},{"dropping-particle":"","family":"Heiselberg","given":"Per","non-dropping-particle":"","parse-names":false,"suffix":""},{"dropping-particle":"","family":"Flourentzou","given":"Flourentzos","non-dropping-particle":"","parse-names":false,"suffix":""},{"dropping-particle":"","family":"Pomianowski","given":"Michal Zbigniew","non-dropping-particle":"","parse-names":false,"suffix":""}],"container-title":"Buildings","id":"ITEM-1","issue":"6","issued":{"date-parts":[["2020","5","31"]]},"page":"102","title":"Methodology for Evaluation and Development of Refurbishment Scenarios for Multi-Story Apartment Buildings, Applied to Two Buildings in Denmark and Switzerland","type":"article-journal","volume":"10"},"uris":["http://www.mendeley.com/documents/?uuid=3ae05e4f-ac84-3c57-b9b7-4c2f81d8559c"]}],"mendeley":{"formattedCitation":"[4]","plainTextFormattedCitation":"[4]","previouslyFormattedCitation":"[8]"},"properties":{"noteIndex":0},"schema":"https://github.com/citation-style-language/schema/raw/master/csl-citation.json"}</w:instrText>
      </w:r>
      <w:r w:rsidRPr="00270FFD">
        <w:rPr>
          <w:rFonts w:ascii="Arial" w:hAnsi="Arial" w:cs="Arial"/>
        </w:rPr>
        <w:fldChar w:fldCharType="separate"/>
      </w:r>
      <w:r w:rsidR="00B250B8" w:rsidRPr="00B250B8">
        <w:rPr>
          <w:rFonts w:ascii="Arial" w:hAnsi="Arial" w:cs="Arial"/>
          <w:noProof/>
        </w:rPr>
        <w:t>[4]</w:t>
      </w:r>
      <w:r w:rsidRPr="00270FFD">
        <w:rPr>
          <w:rFonts w:ascii="Arial" w:hAnsi="Arial" w:cs="Arial"/>
        </w:rPr>
        <w:fldChar w:fldCharType="end"/>
      </w:r>
      <w:r w:rsidRPr="00270FFD">
        <w:rPr>
          <w:rFonts w:ascii="Arial" w:hAnsi="Arial" w:cs="Arial"/>
        </w:rPr>
        <w:t xml:space="preserve">). </w:t>
      </w:r>
    </w:p>
    <w:p w14:paraId="557E03FA" w14:textId="417EC156" w:rsidR="00270FFD" w:rsidRPr="00270FFD" w:rsidRDefault="00270FFD" w:rsidP="00270FFD">
      <w:pPr>
        <w:jc w:val="both"/>
        <w:rPr>
          <w:rFonts w:ascii="Arial" w:hAnsi="Arial" w:cs="Arial"/>
        </w:rPr>
      </w:pPr>
      <w:r w:rsidRPr="00270FFD">
        <w:rPr>
          <w:rFonts w:ascii="Arial" w:hAnsi="Arial" w:cs="Arial"/>
        </w:rPr>
        <w:t xml:space="preserve">The method consists of obtaining an overview of energy and financial performance of each selected package and plotting the resulting global cost </w:t>
      </w:r>
      <w:r w:rsidR="00403CA6">
        <w:rPr>
          <w:rFonts w:ascii="Arial" w:hAnsi="Arial" w:cs="Arial"/>
        </w:rPr>
        <w:t>as a function of</w:t>
      </w:r>
      <w:r w:rsidRPr="00270FFD">
        <w:rPr>
          <w:rFonts w:ascii="Arial" w:hAnsi="Arial" w:cs="Arial"/>
        </w:rPr>
        <w:t xml:space="preserve"> the energy performance of each package as</w:t>
      </w:r>
      <w:r w:rsidR="00F01401">
        <w:rPr>
          <w:rFonts w:ascii="Arial" w:hAnsi="Arial" w:cs="Arial"/>
        </w:rPr>
        <w:t xml:space="preserve"> indicated in the bottom part in</w:t>
      </w:r>
      <w:r w:rsidRPr="00270FFD">
        <w:rPr>
          <w:rFonts w:ascii="Arial" w:hAnsi="Arial" w:cs="Arial"/>
        </w:rPr>
        <w:t xml:space="preserve"> </w:t>
      </w:r>
      <w:r w:rsidRPr="00124D50">
        <w:rPr>
          <w:rFonts w:ascii="Arial" w:hAnsi="Arial" w:cs="Arial"/>
          <w:i/>
        </w:rPr>
        <w:fldChar w:fldCharType="begin"/>
      </w:r>
      <w:r w:rsidRPr="00124D50">
        <w:rPr>
          <w:rFonts w:ascii="Arial" w:hAnsi="Arial" w:cs="Arial"/>
          <w:i/>
        </w:rPr>
        <w:instrText xml:space="preserve"> REF _Ref34118871 \h  \* MERGEFORMAT </w:instrText>
      </w:r>
      <w:r w:rsidRPr="00124D50">
        <w:rPr>
          <w:rFonts w:ascii="Arial" w:hAnsi="Arial" w:cs="Arial"/>
          <w:i/>
        </w:rPr>
      </w:r>
      <w:r w:rsidRPr="00124D50">
        <w:rPr>
          <w:rFonts w:ascii="Arial" w:hAnsi="Arial" w:cs="Arial"/>
          <w:i/>
        </w:rPr>
        <w:fldChar w:fldCharType="separate"/>
      </w:r>
      <w:r w:rsidR="00015207" w:rsidRPr="004A5D75">
        <w:rPr>
          <w:rFonts w:ascii="Arial" w:hAnsi="Arial" w:cs="Arial"/>
          <w:i/>
        </w:rPr>
        <w:t xml:space="preserve">Figure </w:t>
      </w:r>
      <w:r w:rsidR="00015207">
        <w:rPr>
          <w:rFonts w:ascii="Arial" w:hAnsi="Arial" w:cs="Arial"/>
          <w:i/>
          <w:noProof/>
        </w:rPr>
        <w:t>1</w:t>
      </w:r>
      <w:r w:rsidRPr="00124D50">
        <w:rPr>
          <w:rFonts w:ascii="Arial" w:hAnsi="Arial" w:cs="Arial"/>
          <w:i/>
        </w:rPr>
        <w:fldChar w:fldCharType="end"/>
      </w:r>
      <w:r w:rsidRPr="00270FFD">
        <w:rPr>
          <w:rFonts w:ascii="Arial" w:hAnsi="Arial" w:cs="Arial"/>
        </w:rPr>
        <w:t xml:space="preserve">. This visualization allows the designer to </w:t>
      </w:r>
      <w:r w:rsidR="003B737A">
        <w:rPr>
          <w:rFonts w:ascii="Arial" w:hAnsi="Arial" w:cs="Arial"/>
        </w:rPr>
        <w:t>compare</w:t>
      </w:r>
      <w:r w:rsidR="00E54AB9">
        <w:rPr>
          <w:rFonts w:ascii="Arial" w:hAnsi="Arial" w:cs="Arial"/>
        </w:rPr>
        <w:t xml:space="preserve"> </w:t>
      </w:r>
      <w:r w:rsidRPr="00270FFD">
        <w:rPr>
          <w:rFonts w:ascii="Arial" w:hAnsi="Arial" w:cs="Arial"/>
        </w:rPr>
        <w:t xml:space="preserve">different packages in terms of </w:t>
      </w:r>
      <w:r w:rsidR="00194EEC">
        <w:rPr>
          <w:rFonts w:ascii="Arial" w:hAnsi="Arial" w:cs="Arial"/>
        </w:rPr>
        <w:t xml:space="preserve">global costs </w:t>
      </w:r>
      <w:r w:rsidRPr="00270FFD">
        <w:rPr>
          <w:rFonts w:ascii="Arial" w:hAnsi="Arial" w:cs="Arial"/>
        </w:rPr>
        <w:t xml:space="preserve">and if they satisfy the NZEB demands or not. </w:t>
      </w:r>
      <w:r w:rsidRPr="00124D50">
        <w:rPr>
          <w:rFonts w:ascii="Arial" w:hAnsi="Arial" w:cs="Arial"/>
          <w:i/>
        </w:rPr>
        <w:fldChar w:fldCharType="begin"/>
      </w:r>
      <w:r w:rsidRPr="00124D50">
        <w:rPr>
          <w:rFonts w:ascii="Arial" w:hAnsi="Arial" w:cs="Arial"/>
          <w:i/>
        </w:rPr>
        <w:instrText xml:space="preserve"> REF _Ref34118871 \h  \* MERGEFORMAT </w:instrText>
      </w:r>
      <w:r w:rsidRPr="00124D50">
        <w:rPr>
          <w:rFonts w:ascii="Arial" w:hAnsi="Arial" w:cs="Arial"/>
          <w:i/>
        </w:rPr>
      </w:r>
      <w:r w:rsidRPr="00124D50">
        <w:rPr>
          <w:rFonts w:ascii="Arial" w:hAnsi="Arial" w:cs="Arial"/>
          <w:i/>
        </w:rPr>
        <w:fldChar w:fldCharType="separate"/>
      </w:r>
      <w:r w:rsidR="00015207" w:rsidRPr="004A5D75">
        <w:rPr>
          <w:rFonts w:ascii="Arial" w:hAnsi="Arial" w:cs="Arial"/>
          <w:i/>
        </w:rPr>
        <w:t xml:space="preserve">Figure </w:t>
      </w:r>
      <w:r w:rsidR="00015207">
        <w:rPr>
          <w:rFonts w:ascii="Arial" w:hAnsi="Arial" w:cs="Arial"/>
          <w:i/>
          <w:noProof/>
        </w:rPr>
        <w:t>1</w:t>
      </w:r>
      <w:r w:rsidRPr="00124D50">
        <w:rPr>
          <w:rFonts w:ascii="Arial" w:hAnsi="Arial" w:cs="Arial"/>
          <w:i/>
        </w:rPr>
        <w:fldChar w:fldCharType="end"/>
      </w:r>
      <w:r w:rsidRPr="00270FFD">
        <w:rPr>
          <w:rFonts w:ascii="Arial" w:hAnsi="Arial" w:cs="Arial"/>
        </w:rPr>
        <w:t xml:space="preserve"> provides an example where NZEB requirements are defined by maximum limit for primary energy, however, that can be replaced with the parameter valid for the country or region, if that is not primary energy. </w:t>
      </w:r>
    </w:p>
    <w:p w14:paraId="0D08CB43" w14:textId="65B7C0D4" w:rsidR="003A3942" w:rsidRPr="00270FFD" w:rsidRDefault="003B737A" w:rsidP="00270FFD">
      <w:pPr>
        <w:pStyle w:val="BodyText"/>
        <w:spacing w:line="240" w:lineRule="auto"/>
        <w:ind w:right="-6"/>
        <w:jc w:val="both"/>
        <w:rPr>
          <w:rFonts w:ascii="Arial" w:hAnsi="Arial" w:cs="Arial"/>
          <w:sz w:val="20"/>
        </w:rPr>
      </w:pPr>
      <w:r>
        <w:rPr>
          <w:rFonts w:ascii="Arial" w:hAnsi="Arial" w:cs="Arial"/>
          <w:sz w:val="20"/>
        </w:rPr>
        <w:t>When and i</w:t>
      </w:r>
      <w:r w:rsidR="00270FFD" w:rsidRPr="00270FFD">
        <w:rPr>
          <w:rFonts w:ascii="Arial" w:hAnsi="Arial" w:cs="Arial"/>
          <w:sz w:val="20"/>
        </w:rPr>
        <w:t xml:space="preserve">f </w:t>
      </w:r>
      <w:r>
        <w:rPr>
          <w:rFonts w:ascii="Arial" w:hAnsi="Arial" w:cs="Arial"/>
          <w:sz w:val="20"/>
        </w:rPr>
        <w:t>the</w:t>
      </w:r>
      <w:r w:rsidR="00270FFD" w:rsidRPr="00270FFD">
        <w:rPr>
          <w:rFonts w:ascii="Arial" w:hAnsi="Arial" w:cs="Arial"/>
          <w:sz w:val="20"/>
        </w:rPr>
        <w:t xml:space="preserve"> satisfactory package is found, the last step of the methodology is to check if the selected package </w:t>
      </w:r>
      <w:r w:rsidR="005B6BE2" w:rsidRPr="00270FFD">
        <w:rPr>
          <w:rFonts w:ascii="Arial" w:hAnsi="Arial" w:cs="Arial"/>
          <w:sz w:val="20"/>
        </w:rPr>
        <w:t>fulfils</w:t>
      </w:r>
      <w:r w:rsidR="00270FFD" w:rsidRPr="00270FFD">
        <w:rPr>
          <w:rFonts w:ascii="Arial" w:hAnsi="Arial" w:cs="Arial"/>
          <w:sz w:val="20"/>
        </w:rPr>
        <w:t xml:space="preserve"> all primary and secondary targets of the project. If that is true, the process can continue with detail design of the selected package. If some of the requirements and targets are not fulfilled, the designer can loop back to either selecting a different package, or creating new set of packages from the single actions, defined in the previous step.</w:t>
      </w:r>
    </w:p>
    <w:p w14:paraId="0D08CB44" w14:textId="03785746" w:rsidR="003A3942" w:rsidRPr="00643313" w:rsidRDefault="002F6C1C" w:rsidP="00643313">
      <w:pPr>
        <w:pStyle w:val="Heading1"/>
        <w:spacing w:line="240" w:lineRule="auto"/>
        <w:ind w:left="431" w:right="-6" w:hanging="431"/>
        <w:rPr>
          <w:rFonts w:ascii="Arial" w:hAnsi="Arial" w:cs="Arial"/>
          <w:sz w:val="24"/>
          <w:szCs w:val="24"/>
          <w:lang w:val="en-US"/>
        </w:rPr>
      </w:pPr>
      <w:r>
        <w:rPr>
          <w:rFonts w:ascii="Arial" w:hAnsi="Arial" w:cs="Arial"/>
          <w:sz w:val="24"/>
          <w:szCs w:val="24"/>
          <w:lang w:val="en-US"/>
        </w:rPr>
        <w:t xml:space="preserve">Refurbishment assessment </w:t>
      </w:r>
      <w:r w:rsidR="00054DCC">
        <w:rPr>
          <w:rFonts w:ascii="Arial" w:hAnsi="Arial" w:cs="Arial"/>
          <w:sz w:val="24"/>
          <w:szCs w:val="24"/>
          <w:lang w:val="en-US"/>
        </w:rPr>
        <w:t>platform</w:t>
      </w:r>
    </w:p>
    <w:p w14:paraId="6B606172" w14:textId="1166728F" w:rsidR="008226DE" w:rsidRDefault="00A17583" w:rsidP="00A17583">
      <w:pPr>
        <w:pStyle w:val="MainText"/>
        <w:rPr>
          <w:rFonts w:ascii="Arial" w:hAnsi="Arial" w:cs="Arial"/>
          <w:sz w:val="20"/>
          <w:szCs w:val="20"/>
        </w:rPr>
      </w:pPr>
      <w:r w:rsidRPr="004568E0">
        <w:rPr>
          <w:rFonts w:ascii="Arial" w:hAnsi="Arial" w:cs="Arial"/>
          <w:sz w:val="20"/>
          <w:szCs w:val="20"/>
        </w:rPr>
        <w:t xml:space="preserve">The </w:t>
      </w:r>
      <w:r w:rsidR="00040119">
        <w:rPr>
          <w:rFonts w:ascii="Arial" w:hAnsi="Arial" w:cs="Arial"/>
          <w:sz w:val="20"/>
          <w:szCs w:val="20"/>
        </w:rPr>
        <w:t>r</w:t>
      </w:r>
      <w:r w:rsidRPr="004E0B8A">
        <w:rPr>
          <w:rFonts w:ascii="Arial" w:hAnsi="Arial" w:cs="Arial"/>
          <w:sz w:val="20"/>
          <w:szCs w:val="20"/>
        </w:rPr>
        <w:t xml:space="preserve">efurbishment </w:t>
      </w:r>
      <w:r w:rsidR="00040119">
        <w:rPr>
          <w:rFonts w:ascii="Arial" w:hAnsi="Arial" w:cs="Arial"/>
          <w:sz w:val="20"/>
          <w:szCs w:val="20"/>
        </w:rPr>
        <w:t>a</w:t>
      </w:r>
      <w:r w:rsidRPr="004E0B8A">
        <w:rPr>
          <w:rFonts w:ascii="Arial" w:hAnsi="Arial" w:cs="Arial"/>
          <w:sz w:val="20"/>
          <w:szCs w:val="20"/>
        </w:rPr>
        <w:t xml:space="preserve">ssessment </w:t>
      </w:r>
      <w:r w:rsidR="00040119">
        <w:rPr>
          <w:rFonts w:ascii="Arial" w:hAnsi="Arial" w:cs="Arial"/>
          <w:sz w:val="20"/>
          <w:szCs w:val="20"/>
        </w:rPr>
        <w:t>platform (for simplicity referred to as the platform)</w:t>
      </w:r>
      <w:r w:rsidRPr="004568E0">
        <w:rPr>
          <w:rFonts w:ascii="Arial" w:hAnsi="Arial" w:cs="Arial"/>
          <w:sz w:val="20"/>
          <w:szCs w:val="20"/>
        </w:rPr>
        <w:t xml:space="preserve"> is a</w:t>
      </w:r>
      <w:r w:rsidR="007B7115">
        <w:rPr>
          <w:rFonts w:ascii="Arial" w:hAnsi="Arial" w:cs="Arial"/>
          <w:sz w:val="20"/>
          <w:szCs w:val="20"/>
        </w:rPr>
        <w:t>n online</w:t>
      </w:r>
      <w:r w:rsidRPr="004568E0">
        <w:rPr>
          <w:rFonts w:ascii="Arial" w:hAnsi="Arial" w:cs="Arial"/>
          <w:sz w:val="20"/>
          <w:szCs w:val="20"/>
        </w:rPr>
        <w:t xml:space="preserve"> </w:t>
      </w:r>
      <w:r w:rsidR="00040119">
        <w:rPr>
          <w:rFonts w:ascii="Arial" w:hAnsi="Arial" w:cs="Arial"/>
          <w:sz w:val="20"/>
          <w:szCs w:val="20"/>
        </w:rPr>
        <w:t>tool</w:t>
      </w:r>
      <w:r w:rsidRPr="004568E0">
        <w:rPr>
          <w:rFonts w:ascii="Arial" w:hAnsi="Arial" w:cs="Arial"/>
          <w:sz w:val="20"/>
          <w:szCs w:val="20"/>
        </w:rPr>
        <w:t xml:space="preserve"> created to segregate information for a project and empower the building owner or designer in taking decisions. The </w:t>
      </w:r>
      <w:r w:rsidR="00040119">
        <w:rPr>
          <w:rFonts w:ascii="Arial" w:hAnsi="Arial" w:cs="Arial"/>
          <w:sz w:val="20"/>
          <w:szCs w:val="20"/>
        </w:rPr>
        <w:t>platform</w:t>
      </w:r>
      <w:r w:rsidRPr="004568E0">
        <w:rPr>
          <w:rFonts w:ascii="Arial" w:hAnsi="Arial" w:cs="Arial"/>
          <w:sz w:val="20"/>
          <w:szCs w:val="20"/>
        </w:rPr>
        <w:t xml:space="preserve"> is capable of combining results from different types of software by </w:t>
      </w:r>
      <w:r w:rsidR="00C43EB8" w:rsidRPr="004568E0">
        <w:rPr>
          <w:rFonts w:ascii="Arial" w:hAnsi="Arial" w:cs="Arial"/>
          <w:sz w:val="20"/>
          <w:szCs w:val="20"/>
        </w:rPr>
        <w:t xml:space="preserve">either </w:t>
      </w:r>
      <w:r w:rsidRPr="004568E0">
        <w:rPr>
          <w:rFonts w:ascii="Arial" w:hAnsi="Arial" w:cs="Arial"/>
          <w:sz w:val="20"/>
          <w:szCs w:val="20"/>
        </w:rPr>
        <w:t>directly importing their results via JSON file</w:t>
      </w:r>
      <w:r w:rsidR="00C43EB8" w:rsidRPr="004568E0">
        <w:rPr>
          <w:rFonts w:ascii="Arial" w:hAnsi="Arial" w:cs="Arial"/>
          <w:sz w:val="20"/>
          <w:szCs w:val="20"/>
        </w:rPr>
        <w:t xml:space="preserve"> or manually entering data to the platform</w:t>
      </w:r>
      <w:r w:rsidRPr="004568E0">
        <w:rPr>
          <w:rFonts w:ascii="Arial" w:hAnsi="Arial" w:cs="Arial"/>
          <w:sz w:val="20"/>
          <w:szCs w:val="20"/>
        </w:rPr>
        <w:t>.</w:t>
      </w:r>
      <w:r w:rsidR="00245564">
        <w:rPr>
          <w:rFonts w:ascii="Arial" w:hAnsi="Arial" w:cs="Arial"/>
          <w:sz w:val="20"/>
          <w:szCs w:val="20"/>
        </w:rPr>
        <w:t xml:space="preserve"> The </w:t>
      </w:r>
      <w:r w:rsidR="00255449">
        <w:rPr>
          <w:rFonts w:ascii="Arial" w:hAnsi="Arial" w:cs="Arial"/>
          <w:sz w:val="20"/>
          <w:szCs w:val="20"/>
        </w:rPr>
        <w:t>goal</w:t>
      </w:r>
      <w:r w:rsidR="00245564">
        <w:rPr>
          <w:rFonts w:ascii="Arial" w:hAnsi="Arial" w:cs="Arial"/>
          <w:sz w:val="20"/>
          <w:szCs w:val="20"/>
        </w:rPr>
        <w:t xml:space="preserve"> is that the </w:t>
      </w:r>
      <w:r w:rsidR="00040119">
        <w:rPr>
          <w:rFonts w:ascii="Arial" w:hAnsi="Arial" w:cs="Arial"/>
          <w:sz w:val="20"/>
          <w:szCs w:val="20"/>
        </w:rPr>
        <w:t xml:space="preserve">platform </w:t>
      </w:r>
      <w:r w:rsidR="00245564">
        <w:rPr>
          <w:rFonts w:ascii="Arial" w:hAnsi="Arial" w:cs="Arial"/>
          <w:sz w:val="20"/>
          <w:szCs w:val="20"/>
        </w:rPr>
        <w:t xml:space="preserve">and </w:t>
      </w:r>
      <w:r w:rsidR="004F14E5">
        <w:rPr>
          <w:rFonts w:ascii="Arial" w:hAnsi="Arial" w:cs="Arial"/>
          <w:sz w:val="20"/>
          <w:szCs w:val="20"/>
        </w:rPr>
        <w:t>Least-Cost Method (</w:t>
      </w:r>
      <w:r w:rsidR="00245564">
        <w:rPr>
          <w:rFonts w:ascii="Arial" w:hAnsi="Arial" w:cs="Arial"/>
          <w:sz w:val="20"/>
          <w:szCs w:val="20"/>
        </w:rPr>
        <w:t>LCM</w:t>
      </w:r>
      <w:r w:rsidR="004F14E5">
        <w:rPr>
          <w:rFonts w:ascii="Arial" w:hAnsi="Arial" w:cs="Arial"/>
          <w:sz w:val="20"/>
          <w:szCs w:val="20"/>
        </w:rPr>
        <w:t>)</w:t>
      </w:r>
      <w:r w:rsidR="00245564">
        <w:rPr>
          <w:rFonts w:ascii="Arial" w:hAnsi="Arial" w:cs="Arial"/>
          <w:sz w:val="20"/>
          <w:szCs w:val="20"/>
        </w:rPr>
        <w:t xml:space="preserve"> </w:t>
      </w:r>
      <w:r w:rsidR="00255449">
        <w:rPr>
          <w:rFonts w:ascii="Arial" w:hAnsi="Arial" w:cs="Arial"/>
          <w:sz w:val="20"/>
          <w:szCs w:val="20"/>
        </w:rPr>
        <w:t>complement</w:t>
      </w:r>
      <w:r w:rsidR="00245564">
        <w:rPr>
          <w:rFonts w:ascii="Arial" w:hAnsi="Arial" w:cs="Arial"/>
          <w:sz w:val="20"/>
          <w:szCs w:val="20"/>
        </w:rPr>
        <w:t xml:space="preserve"> each other </w:t>
      </w:r>
      <w:r w:rsidR="00255449">
        <w:rPr>
          <w:rFonts w:ascii="Arial" w:hAnsi="Arial" w:cs="Arial"/>
          <w:sz w:val="20"/>
          <w:szCs w:val="20"/>
        </w:rPr>
        <w:t xml:space="preserve">in a way that </w:t>
      </w:r>
      <w:r w:rsidR="00245564">
        <w:rPr>
          <w:rFonts w:ascii="Arial" w:hAnsi="Arial" w:cs="Arial"/>
          <w:sz w:val="20"/>
          <w:szCs w:val="20"/>
        </w:rPr>
        <w:t>the LCM provides overview of the tasks and calculation methodology</w:t>
      </w:r>
      <w:r w:rsidR="00C51C41">
        <w:rPr>
          <w:rFonts w:ascii="Arial" w:hAnsi="Arial" w:cs="Arial"/>
          <w:sz w:val="20"/>
          <w:szCs w:val="20"/>
        </w:rPr>
        <w:t xml:space="preserve"> for renovation assessment</w:t>
      </w:r>
      <w:r w:rsidR="00245564">
        <w:rPr>
          <w:rFonts w:ascii="Arial" w:hAnsi="Arial" w:cs="Arial"/>
          <w:sz w:val="20"/>
          <w:szCs w:val="20"/>
        </w:rPr>
        <w:t xml:space="preserve">, while </w:t>
      </w:r>
      <w:r w:rsidR="00255449">
        <w:rPr>
          <w:rFonts w:ascii="Arial" w:hAnsi="Arial" w:cs="Arial"/>
          <w:sz w:val="20"/>
          <w:szCs w:val="20"/>
        </w:rPr>
        <w:t xml:space="preserve">the </w:t>
      </w:r>
      <w:r w:rsidR="00040119">
        <w:rPr>
          <w:rFonts w:ascii="Arial" w:hAnsi="Arial" w:cs="Arial"/>
          <w:sz w:val="20"/>
          <w:szCs w:val="20"/>
        </w:rPr>
        <w:t xml:space="preserve">platform </w:t>
      </w:r>
      <w:r w:rsidR="00255449">
        <w:rPr>
          <w:rFonts w:ascii="Arial" w:hAnsi="Arial" w:cs="Arial"/>
          <w:sz w:val="20"/>
          <w:szCs w:val="20"/>
        </w:rPr>
        <w:t xml:space="preserve">provides bookkeeping of all gathered information and </w:t>
      </w:r>
      <w:r w:rsidR="007B7115">
        <w:rPr>
          <w:rFonts w:ascii="Arial" w:hAnsi="Arial" w:cs="Arial"/>
          <w:sz w:val="20"/>
          <w:szCs w:val="20"/>
        </w:rPr>
        <w:t xml:space="preserve">external software </w:t>
      </w:r>
      <w:r w:rsidR="00255449">
        <w:rPr>
          <w:rFonts w:ascii="Arial" w:hAnsi="Arial" w:cs="Arial"/>
          <w:sz w:val="20"/>
          <w:szCs w:val="20"/>
        </w:rPr>
        <w:t>results</w:t>
      </w:r>
      <w:r w:rsidR="007B7115">
        <w:rPr>
          <w:rFonts w:ascii="Arial" w:hAnsi="Arial" w:cs="Arial"/>
          <w:sz w:val="20"/>
          <w:szCs w:val="20"/>
        </w:rPr>
        <w:t xml:space="preserve">. Furthermore, </w:t>
      </w:r>
      <w:r w:rsidR="00040119">
        <w:rPr>
          <w:rFonts w:ascii="Arial" w:hAnsi="Arial" w:cs="Arial"/>
          <w:sz w:val="20"/>
          <w:szCs w:val="20"/>
        </w:rPr>
        <w:t xml:space="preserve">the platform </w:t>
      </w:r>
      <w:r w:rsidR="00255449">
        <w:rPr>
          <w:rFonts w:ascii="Arial" w:hAnsi="Arial" w:cs="Arial"/>
          <w:sz w:val="20"/>
          <w:szCs w:val="20"/>
        </w:rPr>
        <w:t xml:space="preserve">allows for </w:t>
      </w:r>
      <w:r w:rsidR="007B7115">
        <w:rPr>
          <w:rFonts w:ascii="Arial" w:hAnsi="Arial" w:cs="Arial"/>
          <w:sz w:val="20"/>
          <w:szCs w:val="20"/>
        </w:rPr>
        <w:t>combination and re-calculation of the imported data into key performance indicators, used for</w:t>
      </w:r>
      <w:r w:rsidR="00255449">
        <w:rPr>
          <w:rFonts w:ascii="Arial" w:hAnsi="Arial" w:cs="Arial"/>
          <w:sz w:val="20"/>
          <w:szCs w:val="20"/>
        </w:rPr>
        <w:t xml:space="preserve"> decision support </w:t>
      </w:r>
      <w:r w:rsidR="007B7115">
        <w:rPr>
          <w:rFonts w:ascii="Arial" w:hAnsi="Arial" w:cs="Arial"/>
          <w:sz w:val="20"/>
          <w:szCs w:val="20"/>
        </w:rPr>
        <w:t>and</w:t>
      </w:r>
      <w:r w:rsidR="00255449">
        <w:rPr>
          <w:rFonts w:ascii="Arial" w:hAnsi="Arial" w:cs="Arial"/>
          <w:sz w:val="20"/>
          <w:szCs w:val="20"/>
        </w:rPr>
        <w:t xml:space="preserve"> </w:t>
      </w:r>
      <w:r w:rsidR="007B7115">
        <w:rPr>
          <w:rFonts w:ascii="Arial" w:hAnsi="Arial" w:cs="Arial"/>
          <w:sz w:val="20"/>
          <w:szCs w:val="20"/>
        </w:rPr>
        <w:t>comparison</w:t>
      </w:r>
      <w:r w:rsidR="00255449">
        <w:rPr>
          <w:rFonts w:ascii="Arial" w:hAnsi="Arial" w:cs="Arial"/>
          <w:sz w:val="20"/>
          <w:szCs w:val="20"/>
        </w:rPr>
        <w:t xml:space="preserve"> </w:t>
      </w:r>
      <w:r w:rsidR="007B7115">
        <w:rPr>
          <w:rFonts w:ascii="Arial" w:hAnsi="Arial" w:cs="Arial"/>
          <w:sz w:val="20"/>
          <w:szCs w:val="20"/>
        </w:rPr>
        <w:t xml:space="preserve">of </w:t>
      </w:r>
      <w:r w:rsidR="00255449">
        <w:rPr>
          <w:rFonts w:ascii="Arial" w:hAnsi="Arial" w:cs="Arial"/>
          <w:sz w:val="20"/>
          <w:szCs w:val="20"/>
        </w:rPr>
        <w:t>renovation scenarios.</w:t>
      </w:r>
      <w:r w:rsidR="00B9325E">
        <w:rPr>
          <w:rFonts w:ascii="Arial" w:hAnsi="Arial" w:cs="Arial"/>
          <w:sz w:val="20"/>
          <w:szCs w:val="20"/>
        </w:rPr>
        <w:t xml:space="preserve"> I</w:t>
      </w:r>
      <w:r w:rsidR="00255449">
        <w:rPr>
          <w:rFonts w:ascii="Arial" w:hAnsi="Arial" w:cs="Arial"/>
          <w:sz w:val="20"/>
          <w:szCs w:val="20"/>
        </w:rPr>
        <w:t xml:space="preserve">n time of writing of this </w:t>
      </w:r>
      <w:r w:rsidR="00B9325E">
        <w:rPr>
          <w:rFonts w:ascii="Arial" w:hAnsi="Arial" w:cs="Arial"/>
          <w:sz w:val="20"/>
          <w:szCs w:val="20"/>
        </w:rPr>
        <w:t>paper,</w:t>
      </w:r>
      <w:r w:rsidR="00255449">
        <w:rPr>
          <w:rFonts w:ascii="Arial" w:hAnsi="Arial" w:cs="Arial"/>
          <w:sz w:val="20"/>
          <w:szCs w:val="20"/>
        </w:rPr>
        <w:t xml:space="preserve"> </w:t>
      </w:r>
      <w:r w:rsidR="00245564" w:rsidRPr="004568E0">
        <w:rPr>
          <w:rFonts w:ascii="Arial" w:hAnsi="Arial" w:cs="Arial"/>
          <w:sz w:val="20"/>
          <w:szCs w:val="20"/>
        </w:rPr>
        <w:t xml:space="preserve">the platform </w:t>
      </w:r>
      <w:r w:rsidR="00255449">
        <w:rPr>
          <w:rFonts w:ascii="Arial" w:hAnsi="Arial" w:cs="Arial"/>
          <w:sz w:val="20"/>
          <w:szCs w:val="20"/>
        </w:rPr>
        <w:t>is still under development</w:t>
      </w:r>
      <w:r w:rsidR="00B9325E">
        <w:rPr>
          <w:rFonts w:ascii="Arial" w:hAnsi="Arial" w:cs="Arial"/>
          <w:sz w:val="20"/>
          <w:szCs w:val="20"/>
        </w:rPr>
        <w:t xml:space="preserve">. It currently </w:t>
      </w:r>
      <w:r w:rsidR="00245564" w:rsidRPr="004568E0">
        <w:rPr>
          <w:rFonts w:ascii="Arial" w:hAnsi="Arial" w:cs="Arial"/>
          <w:sz w:val="20"/>
          <w:szCs w:val="20"/>
        </w:rPr>
        <w:t xml:space="preserve">integrates activities </w:t>
      </w:r>
      <w:r w:rsidR="00255449">
        <w:rPr>
          <w:rFonts w:ascii="Arial" w:hAnsi="Arial" w:cs="Arial"/>
          <w:sz w:val="20"/>
          <w:szCs w:val="20"/>
        </w:rPr>
        <w:t>from</w:t>
      </w:r>
      <w:r w:rsidR="00245564" w:rsidRPr="004568E0">
        <w:rPr>
          <w:rFonts w:ascii="Arial" w:hAnsi="Arial" w:cs="Arial"/>
          <w:sz w:val="20"/>
          <w:szCs w:val="20"/>
        </w:rPr>
        <w:t xml:space="preserve"> </w:t>
      </w:r>
      <w:r w:rsidR="00B9325E">
        <w:rPr>
          <w:rFonts w:ascii="Arial" w:hAnsi="Arial" w:cs="Arial"/>
          <w:sz w:val="20"/>
          <w:szCs w:val="20"/>
        </w:rPr>
        <w:t>the first two stages</w:t>
      </w:r>
      <w:r w:rsidR="004F14E5">
        <w:rPr>
          <w:rFonts w:ascii="Arial" w:hAnsi="Arial" w:cs="Arial"/>
          <w:sz w:val="20"/>
          <w:szCs w:val="20"/>
        </w:rPr>
        <w:t xml:space="preserve"> of the LCM</w:t>
      </w:r>
      <w:r w:rsidR="00B9325E">
        <w:rPr>
          <w:rFonts w:ascii="Arial" w:hAnsi="Arial" w:cs="Arial"/>
          <w:sz w:val="20"/>
          <w:szCs w:val="20"/>
        </w:rPr>
        <w:t xml:space="preserve">: </w:t>
      </w:r>
      <w:r w:rsidR="00245564" w:rsidRPr="004568E0">
        <w:rPr>
          <w:rFonts w:ascii="Arial" w:hAnsi="Arial" w:cs="Arial"/>
          <w:sz w:val="20"/>
          <w:szCs w:val="20"/>
        </w:rPr>
        <w:t>project definition and</w:t>
      </w:r>
      <w:r w:rsidR="00245564">
        <w:rPr>
          <w:rFonts w:ascii="Arial" w:hAnsi="Arial" w:cs="Arial"/>
          <w:sz w:val="20"/>
          <w:szCs w:val="20"/>
        </w:rPr>
        <w:t xml:space="preserve"> to some extend</w:t>
      </w:r>
      <w:r w:rsidR="00245564" w:rsidRPr="004568E0">
        <w:rPr>
          <w:rFonts w:ascii="Arial" w:hAnsi="Arial" w:cs="Arial"/>
          <w:sz w:val="20"/>
          <w:szCs w:val="20"/>
        </w:rPr>
        <w:t xml:space="preserve"> the evaluation of single actions.</w:t>
      </w:r>
      <w:r w:rsidR="008226DE">
        <w:rPr>
          <w:rFonts w:ascii="Arial" w:hAnsi="Arial" w:cs="Arial"/>
          <w:sz w:val="20"/>
          <w:szCs w:val="20"/>
        </w:rPr>
        <w:t xml:space="preserve"> T</w:t>
      </w:r>
      <w:r w:rsidR="008226DE" w:rsidRPr="004568E0">
        <w:rPr>
          <w:rFonts w:ascii="Arial" w:hAnsi="Arial" w:cs="Arial"/>
          <w:sz w:val="20"/>
          <w:szCs w:val="20"/>
        </w:rPr>
        <w:t>he third part of the method – evaluation of packages using LCC calculation is not part of the platform</w:t>
      </w:r>
      <w:r w:rsidR="008226DE">
        <w:rPr>
          <w:rFonts w:ascii="Arial" w:hAnsi="Arial" w:cs="Arial"/>
          <w:sz w:val="20"/>
          <w:szCs w:val="20"/>
        </w:rPr>
        <w:t xml:space="preserve"> yet</w:t>
      </w:r>
      <w:r w:rsidR="008226DE" w:rsidRPr="004568E0">
        <w:rPr>
          <w:rFonts w:ascii="Arial" w:hAnsi="Arial" w:cs="Arial"/>
          <w:sz w:val="20"/>
          <w:szCs w:val="20"/>
        </w:rPr>
        <w:t>.</w:t>
      </w:r>
      <w:r w:rsidR="00245564" w:rsidRPr="004568E0">
        <w:rPr>
          <w:rFonts w:ascii="Arial" w:hAnsi="Arial" w:cs="Arial"/>
          <w:sz w:val="20"/>
          <w:szCs w:val="20"/>
        </w:rPr>
        <w:t xml:space="preserve"> </w:t>
      </w:r>
      <w:r w:rsidR="008226DE" w:rsidRPr="004568E0">
        <w:rPr>
          <w:rFonts w:ascii="Arial" w:hAnsi="Arial" w:cs="Arial"/>
          <w:sz w:val="20"/>
          <w:szCs w:val="20"/>
        </w:rPr>
        <w:t xml:space="preserve">To understand how the platform, in conjunction with the </w:t>
      </w:r>
      <w:r w:rsidR="004F14E5">
        <w:rPr>
          <w:rFonts w:ascii="Arial" w:hAnsi="Arial" w:cs="Arial"/>
          <w:sz w:val="20"/>
          <w:szCs w:val="20"/>
        </w:rPr>
        <w:t>LCM</w:t>
      </w:r>
      <w:r w:rsidR="008226DE" w:rsidRPr="004568E0">
        <w:rPr>
          <w:rFonts w:ascii="Arial" w:hAnsi="Arial" w:cs="Arial"/>
          <w:sz w:val="20"/>
          <w:szCs w:val="20"/>
        </w:rPr>
        <w:t xml:space="preserve">, support designers and building owners its principles and functionality is explained </w:t>
      </w:r>
      <w:r w:rsidR="00233C4F">
        <w:rPr>
          <w:rFonts w:ascii="Arial" w:hAnsi="Arial" w:cs="Arial"/>
          <w:sz w:val="20"/>
          <w:szCs w:val="20"/>
        </w:rPr>
        <w:t>below</w:t>
      </w:r>
      <w:r w:rsidR="008226DE" w:rsidRPr="004568E0">
        <w:rPr>
          <w:rFonts w:ascii="Arial" w:hAnsi="Arial" w:cs="Arial"/>
          <w:sz w:val="20"/>
          <w:szCs w:val="20"/>
        </w:rPr>
        <w:t>.</w:t>
      </w:r>
    </w:p>
    <w:p w14:paraId="44062E0D" w14:textId="3E5B0C33" w:rsidR="0000056C" w:rsidRDefault="00916385" w:rsidP="0000056C">
      <w:pPr>
        <w:pStyle w:val="MainText"/>
        <w:rPr>
          <w:rFonts w:ascii="Arial" w:hAnsi="Arial" w:cs="Arial"/>
          <w:sz w:val="20"/>
          <w:szCs w:val="20"/>
        </w:rPr>
      </w:pPr>
      <w:r w:rsidRPr="004568E0">
        <w:rPr>
          <w:rFonts w:ascii="Arial" w:hAnsi="Arial" w:cs="Arial"/>
          <w:sz w:val="20"/>
          <w:szCs w:val="20"/>
        </w:rPr>
        <w:lastRenderedPageBreak/>
        <w:t>Similarly, to the method</w:t>
      </w:r>
      <w:r w:rsidR="00151626">
        <w:rPr>
          <w:rFonts w:ascii="Arial" w:hAnsi="Arial" w:cs="Arial"/>
          <w:sz w:val="20"/>
          <w:szCs w:val="20"/>
        </w:rPr>
        <w:t>,</w:t>
      </w:r>
      <w:r w:rsidRPr="004568E0">
        <w:rPr>
          <w:rFonts w:ascii="Arial" w:hAnsi="Arial" w:cs="Arial"/>
          <w:sz w:val="20"/>
          <w:szCs w:val="20"/>
        </w:rPr>
        <w:t xml:space="preserve"> the </w:t>
      </w:r>
      <w:r w:rsidR="00040119">
        <w:rPr>
          <w:rFonts w:ascii="Arial" w:hAnsi="Arial" w:cs="Arial"/>
          <w:sz w:val="20"/>
          <w:szCs w:val="20"/>
        </w:rPr>
        <w:t>platform</w:t>
      </w:r>
      <w:r w:rsidRPr="004568E0">
        <w:rPr>
          <w:rFonts w:ascii="Arial" w:hAnsi="Arial" w:cs="Arial"/>
          <w:sz w:val="20"/>
          <w:szCs w:val="20"/>
        </w:rPr>
        <w:t xml:space="preserve"> is also disconnected from country specific regulation or NZEB definition.</w:t>
      </w:r>
      <w:r>
        <w:rPr>
          <w:rFonts w:ascii="Arial" w:hAnsi="Arial" w:cs="Arial"/>
          <w:sz w:val="20"/>
          <w:szCs w:val="20"/>
        </w:rPr>
        <w:t xml:space="preserve"> </w:t>
      </w:r>
      <w:r w:rsidR="004F14E5">
        <w:rPr>
          <w:rFonts w:ascii="Arial" w:hAnsi="Arial" w:cs="Arial"/>
          <w:sz w:val="20"/>
          <w:szCs w:val="20"/>
        </w:rPr>
        <w:t>Its user-</w:t>
      </w:r>
      <w:r w:rsidRPr="004568E0">
        <w:rPr>
          <w:rFonts w:ascii="Arial" w:hAnsi="Arial" w:cs="Arial"/>
          <w:sz w:val="20"/>
          <w:szCs w:val="20"/>
        </w:rPr>
        <w:t xml:space="preserve">friendliness allows direct import from the EPIQR+ </w:t>
      </w:r>
      <w:r w:rsidRPr="004568E0">
        <w:rPr>
          <w:rFonts w:ascii="Arial" w:hAnsi="Arial" w:cs="Arial"/>
        </w:rPr>
        <w:fldChar w:fldCharType="begin" w:fldLock="1"/>
      </w:r>
      <w:r>
        <w:rPr>
          <w:rFonts w:ascii="Arial" w:hAnsi="Arial" w:cs="Arial"/>
          <w:sz w:val="20"/>
          <w:szCs w:val="20"/>
        </w:rPr>
        <w:instrText>ADDIN CSL_CITATION {"citationItems":[{"id":"ITEM-1","itemData":{"DOI":"10.1016/S0378-7788(99)00026-2","ISSN":"03787788","abstract":"The support of the EPIQR method is a multimedia computer program. Several modules help the users of the method to treat the data collected during a diagnosis survey, to set up refurbishment scenarios and calculate their cost or energy performance, and finally to visualize the results in a comprehensive way and to prepare quality reports. This article presents the structure and the main features of the software.","author":[{"dropping-particle":"","family":"Flourentzos","given":"F.","non-dropping-particle":"","parse-names":false,"suffix":""},{"dropping-particle":"","family":"Droutsa","given":"K.","non-dropping-particle":"","parse-names":false,"suffix":""},{"dropping-particle":"","family":"Wittchen","given":"K. B.","non-dropping-particle":"","parse-names":false,"suffix":""}],"container-title":"Energy and Buildings","id":"ITEM-1","issue":"2","issued":{"date-parts":[["2000"]]},"page":"129-136","title":"EPIQR software","type":"article-journal","volume":"31"},"uris":["http://www.mendeley.com/documents/?uuid=37255a2f-852a-4d93-b469-90a71ee50503"]}],"mendeley":{"formattedCitation":"[10]","plainTextFormattedCitation":"[10]","previouslyFormattedCitation":"[10]"},"properties":{"noteIndex":0},"schema":"https://github.com/citation-style-language/schema/raw/master/csl-citation.json"}</w:instrText>
      </w:r>
      <w:r w:rsidRPr="004568E0">
        <w:rPr>
          <w:rFonts w:ascii="Arial" w:hAnsi="Arial" w:cs="Arial"/>
        </w:rPr>
        <w:fldChar w:fldCharType="separate"/>
      </w:r>
      <w:r w:rsidRPr="00B250B8">
        <w:rPr>
          <w:rFonts w:ascii="Arial" w:hAnsi="Arial" w:cs="Arial"/>
          <w:noProof/>
          <w:sz w:val="20"/>
          <w:szCs w:val="20"/>
        </w:rPr>
        <w:t>[10]</w:t>
      </w:r>
      <w:r w:rsidRPr="004568E0">
        <w:rPr>
          <w:rFonts w:ascii="Arial" w:hAnsi="Arial" w:cs="Arial"/>
        </w:rPr>
        <w:fldChar w:fldCharType="end"/>
      </w:r>
      <w:r w:rsidRPr="004568E0">
        <w:rPr>
          <w:rFonts w:ascii="Arial" w:hAnsi="Arial" w:cs="Arial"/>
          <w:sz w:val="20"/>
          <w:szCs w:val="20"/>
        </w:rPr>
        <w:t xml:space="preserve"> and ECOSOLUTION </w:t>
      </w:r>
      <w:r w:rsidRPr="004568E0">
        <w:rPr>
          <w:rFonts w:ascii="Arial" w:hAnsi="Arial" w:cs="Arial"/>
        </w:rPr>
        <w:fldChar w:fldCharType="begin" w:fldLock="1"/>
      </w:r>
      <w:r>
        <w:rPr>
          <w:rFonts w:ascii="Arial" w:hAnsi="Arial" w:cs="Arial"/>
          <w:sz w:val="20"/>
          <w:szCs w:val="20"/>
        </w:rPr>
        <w:instrText>ADDIN CSL_CITATION {"citationItems":[{"id":"ITEM-1","itemData":{"id":"ITEM-1","issued":{"date-parts":[["0"]]},"title":"ECOSOLUTION","type":"article"},"uris":["http://www.mendeley.com/documents/?uuid=21a506ba-75f6-4868-a10a-dcce312a1da0"]}],"mendeley":{"formattedCitation":"[11]","plainTextFormattedCitation":"[11]","previouslyFormattedCitation":"[11]"},"properties":{"noteIndex":0},"schema":"https://github.com/citation-style-language/schema/raw/master/csl-citation.json"}</w:instrText>
      </w:r>
      <w:r w:rsidRPr="004568E0">
        <w:rPr>
          <w:rFonts w:ascii="Arial" w:hAnsi="Arial" w:cs="Arial"/>
        </w:rPr>
        <w:fldChar w:fldCharType="separate"/>
      </w:r>
      <w:r w:rsidRPr="00B250B8">
        <w:rPr>
          <w:rFonts w:ascii="Arial" w:hAnsi="Arial" w:cs="Arial"/>
          <w:noProof/>
          <w:sz w:val="20"/>
          <w:szCs w:val="20"/>
        </w:rPr>
        <w:t>[11]</w:t>
      </w:r>
      <w:r w:rsidRPr="004568E0">
        <w:rPr>
          <w:rFonts w:ascii="Arial" w:hAnsi="Arial" w:cs="Arial"/>
        </w:rPr>
        <w:fldChar w:fldCharType="end"/>
      </w:r>
      <w:r w:rsidRPr="004568E0">
        <w:rPr>
          <w:rFonts w:ascii="Arial" w:hAnsi="Arial" w:cs="Arial"/>
          <w:sz w:val="20"/>
          <w:szCs w:val="20"/>
        </w:rPr>
        <w:t xml:space="preserve"> calculation tools; however, it is not limited to those, as the user may</w:t>
      </w:r>
      <w:r>
        <w:rPr>
          <w:rFonts w:ascii="Arial" w:hAnsi="Arial" w:cs="Arial"/>
          <w:sz w:val="20"/>
          <w:szCs w:val="20"/>
        </w:rPr>
        <w:t xml:space="preserve"> also enter data manually. </w:t>
      </w:r>
      <w:r w:rsidRPr="004568E0">
        <w:rPr>
          <w:rFonts w:ascii="Arial" w:hAnsi="Arial" w:cs="Arial"/>
          <w:sz w:val="20"/>
          <w:szCs w:val="20"/>
        </w:rPr>
        <w:t>The software EPIQR+</w:t>
      </w:r>
      <w:r>
        <w:rPr>
          <w:rFonts w:ascii="Arial" w:hAnsi="Arial" w:cs="Arial"/>
          <w:sz w:val="20"/>
          <w:szCs w:val="20"/>
        </w:rPr>
        <w:t xml:space="preserve"> i</w:t>
      </w:r>
      <w:r w:rsidRPr="004568E0">
        <w:rPr>
          <w:rFonts w:ascii="Arial" w:hAnsi="Arial" w:cs="Arial"/>
          <w:sz w:val="20"/>
          <w:szCs w:val="20"/>
        </w:rPr>
        <w:t>s a tool for assessing the state of the building and evaluating the cost and energy performance of different refurbishment scenarios</w:t>
      </w:r>
      <w:r w:rsidR="003C1CD7">
        <w:rPr>
          <w:rFonts w:ascii="Arial" w:hAnsi="Arial" w:cs="Arial"/>
          <w:sz w:val="20"/>
          <w:szCs w:val="20"/>
        </w:rPr>
        <w:t xml:space="preserve">. This is possible after an audit of the </w:t>
      </w:r>
      <w:r w:rsidRPr="004568E0">
        <w:rPr>
          <w:rFonts w:ascii="Arial" w:hAnsi="Arial" w:cs="Arial"/>
          <w:sz w:val="20"/>
          <w:szCs w:val="20"/>
        </w:rPr>
        <w:t>building</w:t>
      </w:r>
      <w:r w:rsidR="003C1CD7">
        <w:rPr>
          <w:rFonts w:ascii="Arial" w:hAnsi="Arial" w:cs="Arial"/>
          <w:sz w:val="20"/>
          <w:szCs w:val="20"/>
        </w:rPr>
        <w:t>,</w:t>
      </w:r>
      <w:r w:rsidRPr="004568E0">
        <w:rPr>
          <w:rFonts w:ascii="Arial" w:hAnsi="Arial" w:cs="Arial"/>
          <w:sz w:val="20"/>
          <w:szCs w:val="20"/>
        </w:rPr>
        <w:t xml:space="preserve"> </w:t>
      </w:r>
      <w:r w:rsidR="003C1CD7">
        <w:rPr>
          <w:rFonts w:ascii="Arial" w:hAnsi="Arial" w:cs="Arial"/>
          <w:sz w:val="20"/>
          <w:szCs w:val="20"/>
        </w:rPr>
        <w:t xml:space="preserve">which </w:t>
      </w:r>
      <w:r w:rsidR="00C51C41">
        <w:rPr>
          <w:rFonts w:ascii="Arial" w:hAnsi="Arial" w:cs="Arial"/>
          <w:sz w:val="20"/>
          <w:szCs w:val="20"/>
        </w:rPr>
        <w:t>is</w:t>
      </w:r>
      <w:r w:rsidRPr="004568E0">
        <w:rPr>
          <w:rFonts w:ascii="Arial" w:hAnsi="Arial" w:cs="Arial"/>
          <w:sz w:val="20"/>
          <w:szCs w:val="20"/>
        </w:rPr>
        <w:t xml:space="preserve"> </w:t>
      </w:r>
      <w:r>
        <w:rPr>
          <w:rFonts w:ascii="Arial" w:hAnsi="Arial" w:cs="Arial"/>
          <w:sz w:val="20"/>
          <w:szCs w:val="20"/>
        </w:rPr>
        <w:t xml:space="preserve">the </w:t>
      </w:r>
      <w:r w:rsidRPr="004568E0">
        <w:rPr>
          <w:rFonts w:ascii="Arial" w:hAnsi="Arial" w:cs="Arial"/>
          <w:sz w:val="20"/>
          <w:szCs w:val="20"/>
        </w:rPr>
        <w:t xml:space="preserve">basis for </w:t>
      </w:r>
      <w:r w:rsidR="00151626">
        <w:rPr>
          <w:rFonts w:ascii="Arial" w:hAnsi="Arial" w:cs="Arial"/>
          <w:sz w:val="20"/>
          <w:szCs w:val="20"/>
        </w:rPr>
        <w:t xml:space="preserve">obtaining </w:t>
      </w:r>
      <w:r w:rsidRPr="004568E0">
        <w:rPr>
          <w:rFonts w:ascii="Arial" w:hAnsi="Arial" w:cs="Arial"/>
          <w:sz w:val="20"/>
          <w:szCs w:val="20"/>
        </w:rPr>
        <w:t xml:space="preserve">most of the </w:t>
      </w:r>
      <w:r>
        <w:rPr>
          <w:rFonts w:ascii="Arial" w:hAnsi="Arial" w:cs="Arial"/>
          <w:sz w:val="20"/>
          <w:szCs w:val="20"/>
        </w:rPr>
        <w:t>information</w:t>
      </w:r>
      <w:r w:rsidRPr="004568E0">
        <w:rPr>
          <w:rFonts w:ascii="Arial" w:hAnsi="Arial" w:cs="Arial"/>
          <w:sz w:val="20"/>
          <w:szCs w:val="20"/>
        </w:rPr>
        <w:t xml:space="preserve"> in the project definition stage</w:t>
      </w:r>
      <w:r w:rsidR="003C1CD7">
        <w:rPr>
          <w:rFonts w:ascii="Arial" w:hAnsi="Arial" w:cs="Arial"/>
          <w:sz w:val="20"/>
          <w:szCs w:val="20"/>
        </w:rPr>
        <w:t xml:space="preserve"> and</w:t>
      </w:r>
      <w:r w:rsidR="004F14E5">
        <w:rPr>
          <w:rFonts w:ascii="Arial" w:hAnsi="Arial" w:cs="Arial"/>
          <w:sz w:val="20"/>
          <w:szCs w:val="20"/>
        </w:rPr>
        <w:t xml:space="preserve"> </w:t>
      </w:r>
      <w:r w:rsidR="003C1CD7">
        <w:rPr>
          <w:rFonts w:ascii="Arial" w:hAnsi="Arial" w:cs="Arial"/>
          <w:sz w:val="20"/>
          <w:szCs w:val="20"/>
        </w:rPr>
        <w:t>the cost necessary for economic evaluation of single actions.</w:t>
      </w:r>
      <w:r w:rsidR="003C1CD7" w:rsidRPr="003C1CD7">
        <w:rPr>
          <w:rFonts w:ascii="Arial" w:hAnsi="Arial" w:cs="Arial"/>
          <w:sz w:val="20"/>
          <w:szCs w:val="20"/>
        </w:rPr>
        <w:t xml:space="preserve"> </w:t>
      </w:r>
      <w:r w:rsidR="003C1CD7" w:rsidRPr="004568E0">
        <w:rPr>
          <w:rFonts w:ascii="Arial" w:hAnsi="Arial" w:cs="Arial"/>
          <w:sz w:val="20"/>
          <w:szCs w:val="20"/>
        </w:rPr>
        <w:t xml:space="preserve">The </w:t>
      </w:r>
      <w:r w:rsidR="003C1CD7">
        <w:rPr>
          <w:rFonts w:ascii="Arial" w:hAnsi="Arial" w:cs="Arial"/>
          <w:sz w:val="20"/>
          <w:szCs w:val="20"/>
        </w:rPr>
        <w:t xml:space="preserve">tool </w:t>
      </w:r>
      <w:r w:rsidR="003C1CD7" w:rsidRPr="004568E0">
        <w:rPr>
          <w:rFonts w:ascii="Arial" w:hAnsi="Arial" w:cs="Arial"/>
          <w:sz w:val="20"/>
          <w:szCs w:val="20"/>
        </w:rPr>
        <w:t xml:space="preserve">ECOSOLUTION </w:t>
      </w:r>
      <w:r w:rsidR="00E53412">
        <w:rPr>
          <w:rFonts w:ascii="Arial" w:hAnsi="Arial" w:cs="Arial"/>
          <w:sz w:val="20"/>
          <w:szCs w:val="20"/>
        </w:rPr>
        <w:t>complements</w:t>
      </w:r>
      <w:r w:rsidR="003C1CD7" w:rsidRPr="004568E0">
        <w:rPr>
          <w:rFonts w:ascii="Arial" w:hAnsi="Arial" w:cs="Arial"/>
          <w:sz w:val="20"/>
          <w:szCs w:val="20"/>
        </w:rPr>
        <w:t xml:space="preserve"> EPIQR+ with specific energy saving calculations for HVAC and renewable energy producing systems.</w:t>
      </w:r>
      <w:r w:rsidR="00F52445">
        <w:rPr>
          <w:rFonts w:ascii="Arial" w:hAnsi="Arial" w:cs="Arial"/>
          <w:sz w:val="20"/>
          <w:szCs w:val="20"/>
        </w:rPr>
        <w:t xml:space="preserve"> </w:t>
      </w:r>
      <w:r w:rsidR="00646C24">
        <w:rPr>
          <w:rFonts w:ascii="Arial" w:hAnsi="Arial" w:cs="Arial"/>
          <w:sz w:val="20"/>
          <w:szCs w:val="20"/>
        </w:rPr>
        <w:t>It</w:t>
      </w:r>
      <w:r w:rsidR="00F52445">
        <w:rPr>
          <w:rFonts w:ascii="Arial" w:hAnsi="Arial" w:cs="Arial"/>
          <w:sz w:val="20"/>
          <w:szCs w:val="20"/>
        </w:rPr>
        <w:t xml:space="preserve"> also requires energy audit in order to find the specific energy use of a component and/or system and compare it to a new proposed alternative. In that way ECOSOLUTION also </w:t>
      </w:r>
      <w:r w:rsidR="00233C4F">
        <w:rPr>
          <w:rFonts w:ascii="Arial" w:hAnsi="Arial" w:cs="Arial"/>
          <w:sz w:val="20"/>
          <w:szCs w:val="20"/>
        </w:rPr>
        <w:t xml:space="preserve">covers </w:t>
      </w:r>
      <w:r w:rsidR="00F52445">
        <w:rPr>
          <w:rFonts w:ascii="Arial" w:hAnsi="Arial" w:cs="Arial"/>
          <w:sz w:val="20"/>
          <w:szCs w:val="20"/>
        </w:rPr>
        <w:t>tasks from project definition and calculation of single actions</w:t>
      </w:r>
      <w:r w:rsidR="00233C4F">
        <w:rPr>
          <w:rFonts w:ascii="Arial" w:hAnsi="Arial" w:cs="Arial"/>
          <w:sz w:val="20"/>
          <w:szCs w:val="20"/>
        </w:rPr>
        <w:t xml:space="preserve"> stages of the LCM. If a designer plan</w:t>
      </w:r>
      <w:r w:rsidR="004F14E5">
        <w:rPr>
          <w:rFonts w:ascii="Arial" w:hAnsi="Arial" w:cs="Arial"/>
          <w:sz w:val="20"/>
          <w:szCs w:val="20"/>
        </w:rPr>
        <w:t>s</w:t>
      </w:r>
      <w:r w:rsidR="00233C4F">
        <w:rPr>
          <w:rFonts w:ascii="Arial" w:hAnsi="Arial" w:cs="Arial"/>
          <w:sz w:val="20"/>
          <w:szCs w:val="20"/>
        </w:rPr>
        <w:t xml:space="preserve"> to use the LCM and </w:t>
      </w:r>
      <w:r w:rsidR="0000056C">
        <w:rPr>
          <w:rFonts w:ascii="Arial" w:hAnsi="Arial" w:cs="Arial"/>
          <w:sz w:val="20"/>
          <w:szCs w:val="20"/>
        </w:rPr>
        <w:t>platform</w:t>
      </w:r>
      <w:r w:rsidR="00233C4F">
        <w:rPr>
          <w:rFonts w:ascii="Arial" w:hAnsi="Arial" w:cs="Arial"/>
          <w:sz w:val="20"/>
          <w:szCs w:val="20"/>
        </w:rPr>
        <w:t xml:space="preserve"> </w:t>
      </w:r>
      <w:r w:rsidR="0030300E">
        <w:rPr>
          <w:rFonts w:ascii="Arial" w:hAnsi="Arial" w:cs="Arial"/>
          <w:sz w:val="20"/>
          <w:szCs w:val="20"/>
        </w:rPr>
        <w:t xml:space="preserve">from the beginning of a project, </w:t>
      </w:r>
      <w:r w:rsidR="00233C4F">
        <w:rPr>
          <w:rFonts w:ascii="Arial" w:hAnsi="Arial" w:cs="Arial"/>
          <w:sz w:val="20"/>
          <w:szCs w:val="20"/>
        </w:rPr>
        <w:t xml:space="preserve">a great deal of </w:t>
      </w:r>
      <w:r w:rsidR="0030300E">
        <w:rPr>
          <w:rFonts w:ascii="Arial" w:hAnsi="Arial" w:cs="Arial"/>
          <w:sz w:val="20"/>
          <w:szCs w:val="20"/>
        </w:rPr>
        <w:t xml:space="preserve">double </w:t>
      </w:r>
      <w:r w:rsidR="00233C4F">
        <w:rPr>
          <w:rFonts w:ascii="Arial" w:hAnsi="Arial" w:cs="Arial"/>
          <w:sz w:val="20"/>
          <w:szCs w:val="20"/>
        </w:rPr>
        <w:t xml:space="preserve">work can be </w:t>
      </w:r>
      <w:r w:rsidR="0030300E">
        <w:rPr>
          <w:rFonts w:ascii="Arial" w:hAnsi="Arial" w:cs="Arial"/>
          <w:sz w:val="20"/>
          <w:szCs w:val="20"/>
        </w:rPr>
        <w:t xml:space="preserve">avoided. For example, </w:t>
      </w:r>
      <w:r w:rsidR="00233C4F">
        <w:rPr>
          <w:rFonts w:ascii="Arial" w:hAnsi="Arial" w:cs="Arial"/>
          <w:sz w:val="20"/>
          <w:szCs w:val="20"/>
        </w:rPr>
        <w:t>single audit can serve both tools</w:t>
      </w:r>
      <w:r w:rsidR="004F14E5">
        <w:rPr>
          <w:rFonts w:ascii="Arial" w:hAnsi="Arial" w:cs="Arial"/>
          <w:sz w:val="20"/>
          <w:szCs w:val="20"/>
        </w:rPr>
        <w:t xml:space="preserve"> and</w:t>
      </w:r>
      <w:r w:rsidR="00233C4F">
        <w:rPr>
          <w:rFonts w:ascii="Arial" w:hAnsi="Arial" w:cs="Arial"/>
          <w:sz w:val="20"/>
          <w:szCs w:val="20"/>
        </w:rPr>
        <w:t xml:space="preserve"> cost </w:t>
      </w:r>
      <w:r w:rsidR="0030300E">
        <w:rPr>
          <w:rFonts w:ascii="Arial" w:hAnsi="Arial" w:cs="Arial"/>
          <w:sz w:val="20"/>
          <w:szCs w:val="20"/>
        </w:rPr>
        <w:t xml:space="preserve">and energy savings can be shared by both tools via the platform. </w:t>
      </w:r>
      <w:r w:rsidR="0030300E" w:rsidRPr="004568E0">
        <w:rPr>
          <w:rFonts w:ascii="Arial" w:hAnsi="Arial" w:cs="Arial"/>
          <w:sz w:val="20"/>
          <w:szCs w:val="20"/>
        </w:rPr>
        <w:t>The project targets and regulatory framework are</w:t>
      </w:r>
      <w:r w:rsidR="0030300E">
        <w:rPr>
          <w:rFonts w:ascii="Arial" w:hAnsi="Arial" w:cs="Arial"/>
          <w:sz w:val="20"/>
          <w:szCs w:val="20"/>
        </w:rPr>
        <w:t xml:space="preserve"> currently</w:t>
      </w:r>
      <w:r w:rsidR="0030300E" w:rsidRPr="004568E0">
        <w:rPr>
          <w:rFonts w:ascii="Arial" w:hAnsi="Arial" w:cs="Arial"/>
          <w:sz w:val="20"/>
          <w:szCs w:val="20"/>
        </w:rPr>
        <w:t xml:space="preserve"> not an explicit part of </w:t>
      </w:r>
      <w:r w:rsidR="0000056C">
        <w:rPr>
          <w:rFonts w:ascii="Arial" w:hAnsi="Arial" w:cs="Arial"/>
          <w:sz w:val="20"/>
          <w:szCs w:val="20"/>
        </w:rPr>
        <w:t>neither the two tools</w:t>
      </w:r>
      <w:r w:rsidR="0030300E" w:rsidRPr="004568E0">
        <w:rPr>
          <w:rFonts w:ascii="Arial" w:hAnsi="Arial" w:cs="Arial"/>
          <w:sz w:val="20"/>
          <w:szCs w:val="20"/>
        </w:rPr>
        <w:t xml:space="preserve"> </w:t>
      </w:r>
      <w:r w:rsidR="0000056C">
        <w:rPr>
          <w:rFonts w:ascii="Arial" w:hAnsi="Arial" w:cs="Arial"/>
          <w:sz w:val="20"/>
          <w:szCs w:val="20"/>
        </w:rPr>
        <w:t>nor</w:t>
      </w:r>
      <w:r w:rsidR="0030300E" w:rsidRPr="004568E0">
        <w:rPr>
          <w:rFonts w:ascii="Arial" w:hAnsi="Arial" w:cs="Arial"/>
          <w:sz w:val="20"/>
          <w:szCs w:val="20"/>
        </w:rPr>
        <w:t xml:space="preserve"> the platform. Therefore, the designer must </w:t>
      </w:r>
      <w:r w:rsidR="0030300E">
        <w:rPr>
          <w:rFonts w:ascii="Arial" w:hAnsi="Arial" w:cs="Arial"/>
          <w:sz w:val="20"/>
          <w:szCs w:val="20"/>
        </w:rPr>
        <w:t>be conscious of</w:t>
      </w:r>
      <w:r w:rsidR="0030300E" w:rsidRPr="004568E0">
        <w:rPr>
          <w:rFonts w:ascii="Arial" w:hAnsi="Arial" w:cs="Arial"/>
          <w:sz w:val="20"/>
          <w:szCs w:val="20"/>
        </w:rPr>
        <w:t xml:space="preserve"> the project targe</w:t>
      </w:r>
      <w:r w:rsidR="00646C24">
        <w:rPr>
          <w:rFonts w:ascii="Arial" w:hAnsi="Arial" w:cs="Arial"/>
          <w:sz w:val="20"/>
          <w:szCs w:val="20"/>
        </w:rPr>
        <w:t>ts and regulatory requirements.</w:t>
      </w:r>
    </w:p>
    <w:p w14:paraId="45EFD4AC" w14:textId="080739F5" w:rsidR="00015207" w:rsidRDefault="00015207" w:rsidP="007019FA">
      <w:pPr>
        <w:pStyle w:val="MainText"/>
        <w:jc w:val="center"/>
        <w:rPr>
          <w:rFonts w:ascii="Arial" w:hAnsi="Arial" w:cs="Arial"/>
          <w:sz w:val="20"/>
          <w:szCs w:val="20"/>
        </w:rPr>
      </w:pPr>
      <w:r>
        <w:rPr>
          <w:rFonts w:ascii="Arial" w:hAnsi="Arial" w:cs="Arial"/>
          <w:noProof/>
          <w:sz w:val="20"/>
          <w:szCs w:val="20"/>
        </w:rPr>
        <w:drawing>
          <wp:inline distT="0" distB="0" distL="0" distR="0" wp14:anchorId="5E88811C" wp14:editId="0DE92B83">
            <wp:extent cx="5397165" cy="585216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RAT_home-01.pn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428809" cy="5886471"/>
                    </a:xfrm>
                    <a:prstGeom prst="rect">
                      <a:avLst/>
                    </a:prstGeom>
                  </pic:spPr>
                </pic:pic>
              </a:graphicData>
            </a:graphic>
          </wp:inline>
        </w:drawing>
      </w:r>
    </w:p>
    <w:p w14:paraId="250F96DB" w14:textId="7DF4C365" w:rsidR="00A311D8" w:rsidRPr="00E46138" w:rsidRDefault="00E46138" w:rsidP="00E46138">
      <w:pPr>
        <w:pStyle w:val="Caption"/>
        <w:rPr>
          <w:rFonts w:ascii="Arial" w:hAnsi="Arial" w:cs="Arial"/>
          <w:i/>
          <w:sz w:val="20"/>
        </w:rPr>
      </w:pPr>
      <w:r w:rsidRPr="00E46138">
        <w:rPr>
          <w:rFonts w:ascii="Arial" w:hAnsi="Arial" w:cs="Arial"/>
          <w:i/>
          <w:sz w:val="20"/>
        </w:rPr>
        <w:t xml:space="preserve">Figure </w:t>
      </w:r>
      <w:r w:rsidRPr="00E46138">
        <w:rPr>
          <w:rFonts w:ascii="Arial" w:hAnsi="Arial" w:cs="Arial"/>
          <w:i/>
          <w:sz w:val="20"/>
        </w:rPr>
        <w:fldChar w:fldCharType="begin"/>
      </w:r>
      <w:r w:rsidRPr="00E46138">
        <w:rPr>
          <w:rFonts w:ascii="Arial" w:hAnsi="Arial" w:cs="Arial"/>
          <w:i/>
          <w:sz w:val="20"/>
        </w:rPr>
        <w:instrText xml:space="preserve"> SEQ Figure \* ARABIC </w:instrText>
      </w:r>
      <w:r w:rsidRPr="00E46138">
        <w:rPr>
          <w:rFonts w:ascii="Arial" w:hAnsi="Arial" w:cs="Arial"/>
          <w:i/>
          <w:sz w:val="20"/>
        </w:rPr>
        <w:fldChar w:fldCharType="separate"/>
      </w:r>
      <w:r w:rsidRPr="00E46138">
        <w:rPr>
          <w:rFonts w:ascii="Arial" w:hAnsi="Arial" w:cs="Arial"/>
          <w:i/>
          <w:noProof/>
          <w:sz w:val="20"/>
        </w:rPr>
        <w:t>3</w:t>
      </w:r>
      <w:r w:rsidRPr="00E46138">
        <w:rPr>
          <w:rFonts w:ascii="Arial" w:hAnsi="Arial" w:cs="Arial"/>
          <w:i/>
          <w:sz w:val="20"/>
        </w:rPr>
        <w:fldChar w:fldCharType="end"/>
      </w:r>
      <w:r w:rsidRPr="00E46138">
        <w:rPr>
          <w:rFonts w:ascii="Arial" w:hAnsi="Arial" w:cs="Arial"/>
          <w:i/>
          <w:sz w:val="20"/>
        </w:rPr>
        <w:t xml:space="preserve"> Home screen of the online refurbishment assessment platform.</w:t>
      </w:r>
    </w:p>
    <w:p w14:paraId="6F248FBF" w14:textId="6DBA3B8F" w:rsidR="00A17583" w:rsidRPr="00646C24" w:rsidRDefault="00A311D8" w:rsidP="00646C24">
      <w:pPr>
        <w:pStyle w:val="MainText"/>
        <w:rPr>
          <w:rFonts w:ascii="Arial" w:hAnsi="Arial" w:cs="Arial"/>
          <w:sz w:val="20"/>
          <w:szCs w:val="20"/>
        </w:rPr>
      </w:pPr>
      <w:r>
        <w:rPr>
          <w:rFonts w:ascii="Arial" w:hAnsi="Arial" w:cs="Arial"/>
          <w:i/>
          <w:sz w:val="20"/>
        </w:rPr>
        <w:t xml:space="preserve">Figure 3 </w:t>
      </w:r>
      <w:r w:rsidR="00A17583" w:rsidRPr="004568E0">
        <w:rPr>
          <w:rFonts w:ascii="Arial" w:hAnsi="Arial" w:cs="Arial"/>
          <w:sz w:val="20"/>
          <w:szCs w:val="20"/>
        </w:rPr>
        <w:t>shows a screen pr</w:t>
      </w:r>
      <w:r w:rsidR="001C08FA">
        <w:rPr>
          <w:rFonts w:ascii="Arial" w:hAnsi="Arial" w:cs="Arial"/>
          <w:sz w:val="20"/>
          <w:szCs w:val="20"/>
        </w:rPr>
        <w:t>int of the first page of</w:t>
      </w:r>
      <w:r w:rsidR="00A17583" w:rsidRPr="004568E0">
        <w:rPr>
          <w:rFonts w:ascii="Arial" w:hAnsi="Arial" w:cs="Arial"/>
          <w:sz w:val="20"/>
          <w:szCs w:val="20"/>
        </w:rPr>
        <w:t xml:space="preserve"> the platform, including the functionality behind some of the main buttons. A building can be added manually or imported t</w:t>
      </w:r>
      <w:r w:rsidR="00E53412">
        <w:rPr>
          <w:rFonts w:ascii="Arial" w:hAnsi="Arial" w:cs="Arial"/>
          <w:sz w:val="20"/>
          <w:szCs w:val="20"/>
        </w:rPr>
        <w:t>h</w:t>
      </w:r>
      <w:r w:rsidR="00A17583" w:rsidRPr="004568E0">
        <w:rPr>
          <w:rFonts w:ascii="Arial" w:hAnsi="Arial" w:cs="Arial"/>
          <w:sz w:val="20"/>
          <w:szCs w:val="20"/>
        </w:rPr>
        <w:t>rough</w:t>
      </w:r>
      <w:r w:rsidR="00803F07">
        <w:rPr>
          <w:rFonts w:ascii="Arial" w:hAnsi="Arial" w:cs="Arial"/>
          <w:sz w:val="20"/>
          <w:szCs w:val="20"/>
        </w:rPr>
        <w:t xml:space="preserve"> a</w:t>
      </w:r>
      <w:r w:rsidR="00A17583" w:rsidRPr="004568E0">
        <w:rPr>
          <w:rFonts w:ascii="Arial" w:hAnsi="Arial" w:cs="Arial"/>
          <w:sz w:val="20"/>
          <w:szCs w:val="20"/>
        </w:rPr>
        <w:t xml:space="preserve"> JSON file. Currently the </w:t>
      </w:r>
      <w:r w:rsidR="004568E0" w:rsidRPr="004568E0">
        <w:rPr>
          <w:rFonts w:ascii="Arial" w:hAnsi="Arial" w:cs="Arial"/>
          <w:sz w:val="20"/>
          <w:szCs w:val="20"/>
        </w:rPr>
        <w:t xml:space="preserve">functionality of </w:t>
      </w:r>
      <w:r w:rsidR="00A17583" w:rsidRPr="004568E0">
        <w:rPr>
          <w:rFonts w:ascii="Arial" w:hAnsi="Arial" w:cs="Arial"/>
          <w:sz w:val="20"/>
          <w:szCs w:val="20"/>
        </w:rPr>
        <w:t xml:space="preserve">EPIQR+ and ECOSOLUTION tools </w:t>
      </w:r>
      <w:r w:rsidR="004568E0" w:rsidRPr="004568E0">
        <w:rPr>
          <w:rFonts w:ascii="Arial" w:hAnsi="Arial" w:cs="Arial"/>
          <w:sz w:val="20"/>
          <w:szCs w:val="20"/>
        </w:rPr>
        <w:t>allows</w:t>
      </w:r>
      <w:r w:rsidR="00A17583" w:rsidRPr="004568E0">
        <w:rPr>
          <w:rFonts w:ascii="Arial" w:hAnsi="Arial" w:cs="Arial"/>
          <w:sz w:val="20"/>
          <w:szCs w:val="20"/>
        </w:rPr>
        <w:t xml:space="preserve"> </w:t>
      </w:r>
      <w:r w:rsidR="004568E0" w:rsidRPr="004568E0">
        <w:rPr>
          <w:rFonts w:ascii="Arial" w:hAnsi="Arial" w:cs="Arial"/>
          <w:sz w:val="20"/>
          <w:szCs w:val="20"/>
        </w:rPr>
        <w:t>direct</w:t>
      </w:r>
      <w:r w:rsidR="00A17583" w:rsidRPr="004568E0">
        <w:rPr>
          <w:rFonts w:ascii="Arial" w:hAnsi="Arial" w:cs="Arial"/>
          <w:sz w:val="20"/>
          <w:szCs w:val="20"/>
        </w:rPr>
        <w:t xml:space="preserve"> ex</w:t>
      </w:r>
      <w:r w:rsidR="00A17583" w:rsidRPr="004568E0">
        <w:rPr>
          <w:rFonts w:ascii="Arial" w:hAnsi="Arial" w:cs="Arial"/>
          <w:sz w:val="20"/>
          <w:szCs w:val="20"/>
        </w:rPr>
        <w:lastRenderedPageBreak/>
        <w:t xml:space="preserve">port </w:t>
      </w:r>
      <w:r w:rsidR="004568E0" w:rsidRPr="004568E0">
        <w:rPr>
          <w:rFonts w:ascii="Arial" w:hAnsi="Arial" w:cs="Arial"/>
          <w:sz w:val="20"/>
          <w:szCs w:val="20"/>
        </w:rPr>
        <w:t>of JSON files</w:t>
      </w:r>
      <w:r w:rsidR="00A17583" w:rsidRPr="004568E0">
        <w:rPr>
          <w:rFonts w:ascii="Arial" w:hAnsi="Arial" w:cs="Arial"/>
          <w:sz w:val="20"/>
          <w:szCs w:val="20"/>
        </w:rPr>
        <w:t xml:space="preserve"> </w:t>
      </w:r>
      <w:r w:rsidR="00803F07">
        <w:rPr>
          <w:rFonts w:ascii="Arial" w:hAnsi="Arial" w:cs="Arial"/>
          <w:sz w:val="20"/>
          <w:szCs w:val="20"/>
        </w:rPr>
        <w:t xml:space="preserve">which are </w:t>
      </w:r>
      <w:r w:rsidR="00A17583" w:rsidRPr="004568E0">
        <w:rPr>
          <w:rFonts w:ascii="Arial" w:hAnsi="Arial" w:cs="Arial"/>
          <w:sz w:val="20"/>
          <w:szCs w:val="20"/>
        </w:rPr>
        <w:t>compatible with the pl</w:t>
      </w:r>
      <w:r w:rsidR="0000056C">
        <w:rPr>
          <w:rFonts w:ascii="Arial" w:hAnsi="Arial" w:cs="Arial"/>
          <w:sz w:val="20"/>
          <w:szCs w:val="20"/>
        </w:rPr>
        <w:t>atform. The user</w:t>
      </w:r>
      <w:r w:rsidR="00A17583" w:rsidRPr="004568E0">
        <w:rPr>
          <w:rFonts w:ascii="Arial" w:hAnsi="Arial" w:cs="Arial"/>
          <w:sz w:val="20"/>
          <w:szCs w:val="20"/>
        </w:rPr>
        <w:t xml:space="preserve"> can </w:t>
      </w:r>
      <w:r w:rsidR="004568E0">
        <w:rPr>
          <w:rFonts w:ascii="Arial" w:hAnsi="Arial" w:cs="Arial"/>
          <w:sz w:val="20"/>
          <w:szCs w:val="20"/>
        </w:rPr>
        <w:t xml:space="preserve">perform basic operations as import, </w:t>
      </w:r>
      <w:r w:rsidR="00A17583" w:rsidRPr="004568E0">
        <w:rPr>
          <w:rFonts w:ascii="Arial" w:hAnsi="Arial" w:cs="Arial"/>
          <w:sz w:val="20"/>
          <w:szCs w:val="20"/>
        </w:rPr>
        <w:t>export</w:t>
      </w:r>
      <w:r w:rsidR="004568E0">
        <w:rPr>
          <w:rFonts w:ascii="Arial" w:hAnsi="Arial" w:cs="Arial"/>
          <w:sz w:val="20"/>
          <w:szCs w:val="20"/>
        </w:rPr>
        <w:t xml:space="preserve"> of </w:t>
      </w:r>
      <w:r w:rsidR="004568E0" w:rsidRPr="004568E0">
        <w:rPr>
          <w:rFonts w:ascii="Arial" w:hAnsi="Arial" w:cs="Arial"/>
          <w:sz w:val="20"/>
          <w:szCs w:val="20"/>
        </w:rPr>
        <w:t>JSON file</w:t>
      </w:r>
      <w:r w:rsidR="004568E0">
        <w:rPr>
          <w:rFonts w:ascii="Arial" w:hAnsi="Arial" w:cs="Arial"/>
          <w:sz w:val="20"/>
          <w:szCs w:val="20"/>
        </w:rPr>
        <w:t>s, add or delete</w:t>
      </w:r>
      <w:r w:rsidR="00A17583" w:rsidRPr="004568E0">
        <w:rPr>
          <w:rFonts w:ascii="Arial" w:hAnsi="Arial" w:cs="Arial"/>
          <w:sz w:val="20"/>
          <w:szCs w:val="20"/>
        </w:rPr>
        <w:t xml:space="preserve"> </w:t>
      </w:r>
      <w:r w:rsidR="004568E0">
        <w:rPr>
          <w:rFonts w:ascii="Arial" w:hAnsi="Arial" w:cs="Arial"/>
          <w:sz w:val="20"/>
          <w:szCs w:val="20"/>
        </w:rPr>
        <w:t xml:space="preserve">a </w:t>
      </w:r>
      <w:r w:rsidR="00A17583" w:rsidRPr="004568E0">
        <w:rPr>
          <w:rFonts w:ascii="Arial" w:hAnsi="Arial" w:cs="Arial"/>
          <w:sz w:val="20"/>
          <w:szCs w:val="20"/>
        </w:rPr>
        <w:t>building data</w:t>
      </w:r>
      <w:r w:rsidR="007A5919">
        <w:rPr>
          <w:rFonts w:ascii="Arial" w:hAnsi="Arial" w:cs="Arial"/>
          <w:sz w:val="20"/>
          <w:szCs w:val="20"/>
        </w:rPr>
        <w:t>.</w:t>
      </w:r>
      <w:r w:rsidR="00A17583" w:rsidRPr="004568E0">
        <w:rPr>
          <w:rFonts w:ascii="Arial" w:hAnsi="Arial" w:cs="Arial"/>
          <w:sz w:val="20"/>
          <w:szCs w:val="20"/>
        </w:rPr>
        <w:t xml:space="preserve"> The “Recalculate” button performs calculations from the cost and savings (energy or CO</w:t>
      </w:r>
      <w:r w:rsidR="00A17583" w:rsidRPr="004568E0">
        <w:rPr>
          <w:rFonts w:ascii="Arial" w:hAnsi="Arial" w:cs="Arial"/>
          <w:sz w:val="20"/>
          <w:szCs w:val="20"/>
          <w:vertAlign w:val="subscript"/>
        </w:rPr>
        <w:t>2</w:t>
      </w:r>
      <w:r w:rsidR="00A17583" w:rsidRPr="004568E0">
        <w:rPr>
          <w:rFonts w:ascii="Arial" w:hAnsi="Arial" w:cs="Arial"/>
          <w:sz w:val="20"/>
          <w:szCs w:val="20"/>
        </w:rPr>
        <w:t>) data to indicators of cost</w:t>
      </w:r>
      <w:r w:rsidR="004568E0" w:rsidRPr="004568E0">
        <w:rPr>
          <w:rFonts w:ascii="Arial" w:hAnsi="Arial" w:cs="Arial"/>
          <w:sz w:val="20"/>
          <w:szCs w:val="20"/>
        </w:rPr>
        <w:t>-</w:t>
      </w:r>
      <w:r w:rsidR="00A17583" w:rsidRPr="004568E0">
        <w:rPr>
          <w:rFonts w:ascii="Arial" w:hAnsi="Arial" w:cs="Arial"/>
          <w:sz w:val="20"/>
          <w:szCs w:val="20"/>
        </w:rPr>
        <w:t xml:space="preserve"> or CO2-effectiveness, similar to those described in the LCM.</w:t>
      </w:r>
      <w:r w:rsidR="00A17583" w:rsidRPr="004A5D75">
        <w:rPr>
          <w:rFonts w:ascii="Arial" w:hAnsi="Arial" w:cs="Arial"/>
          <w:i/>
          <w:sz w:val="20"/>
        </w:rPr>
        <w:t xml:space="preserve"> </w:t>
      </w:r>
    </w:p>
    <w:p w14:paraId="639DA3D6" w14:textId="7981739B" w:rsidR="00155410" w:rsidRPr="007019FA" w:rsidRDefault="00480E1D" w:rsidP="00480E1D">
      <w:pPr>
        <w:pStyle w:val="MainText"/>
        <w:rPr>
          <w:rFonts w:ascii="Arial" w:hAnsi="Arial" w:cs="Arial"/>
          <w:sz w:val="20"/>
          <w:szCs w:val="20"/>
        </w:rPr>
      </w:pPr>
      <w:r w:rsidRPr="004568E0">
        <w:rPr>
          <w:rFonts w:ascii="Arial" w:hAnsi="Arial" w:cs="Arial"/>
          <w:sz w:val="20"/>
          <w:szCs w:val="20"/>
        </w:rPr>
        <w:t>When a building is selected, on the right-hand side, a user can enter general information for the building as name, address, description, age etc. Below, there is a possibility to enter cost coefficients related to complexity, fees, VAT,</w:t>
      </w:r>
      <w:r w:rsidR="005C1794">
        <w:rPr>
          <w:rFonts w:ascii="Arial" w:hAnsi="Arial" w:cs="Arial"/>
          <w:sz w:val="20"/>
          <w:szCs w:val="20"/>
        </w:rPr>
        <w:t xml:space="preserve"> price indexes and unknown costs</w:t>
      </w:r>
      <w:r w:rsidRPr="004568E0">
        <w:rPr>
          <w:rFonts w:ascii="Arial" w:hAnsi="Arial" w:cs="Arial"/>
          <w:sz w:val="20"/>
          <w:szCs w:val="20"/>
        </w:rPr>
        <w:t xml:space="preserve">. At the bottom of the page, one can enter the historical energy </w:t>
      </w:r>
      <w:r w:rsidR="005C1794">
        <w:rPr>
          <w:rFonts w:ascii="Arial" w:hAnsi="Arial" w:cs="Arial"/>
          <w:sz w:val="20"/>
          <w:szCs w:val="20"/>
        </w:rPr>
        <w:t>consumption, type of fuel</w:t>
      </w:r>
      <w:r w:rsidRPr="004568E0">
        <w:rPr>
          <w:rFonts w:ascii="Arial" w:hAnsi="Arial" w:cs="Arial"/>
          <w:sz w:val="20"/>
          <w:szCs w:val="20"/>
        </w:rPr>
        <w:t xml:space="preserve"> and energy produced at the site, if that is available.The ribbon on the left-hand side is the backbone of the platform. The buttons for Actions, Scenarios and Report link respective pages. Actions and Scenarios</w:t>
      </w:r>
      <w:r w:rsidR="00F01401">
        <w:rPr>
          <w:rFonts w:ascii="Arial" w:hAnsi="Arial" w:cs="Arial"/>
          <w:sz w:val="20"/>
          <w:szCs w:val="20"/>
        </w:rPr>
        <w:t xml:space="preserve"> pages are </w:t>
      </w:r>
      <w:r w:rsidR="00F01401" w:rsidRPr="00A311D8">
        <w:rPr>
          <w:rFonts w:ascii="Arial" w:hAnsi="Arial" w:cs="Arial"/>
          <w:sz w:val="20"/>
          <w:szCs w:val="20"/>
        </w:rPr>
        <w:t>shown i</w:t>
      </w:r>
      <w:r w:rsidRPr="00A311D8">
        <w:rPr>
          <w:rFonts w:ascii="Arial" w:hAnsi="Arial" w:cs="Arial"/>
          <w:sz w:val="20"/>
          <w:szCs w:val="20"/>
        </w:rPr>
        <w:t xml:space="preserve">n </w:t>
      </w:r>
      <w:r w:rsidR="00155410" w:rsidRPr="00A311D8">
        <w:rPr>
          <w:rFonts w:ascii="Arial" w:hAnsi="Arial" w:cs="Arial"/>
          <w:i/>
          <w:sz w:val="20"/>
          <w:szCs w:val="20"/>
        </w:rPr>
        <w:fldChar w:fldCharType="begin"/>
      </w:r>
      <w:r w:rsidR="00155410" w:rsidRPr="00A311D8">
        <w:rPr>
          <w:rFonts w:ascii="Arial" w:hAnsi="Arial" w:cs="Arial"/>
          <w:i/>
          <w:sz w:val="20"/>
          <w:szCs w:val="20"/>
        </w:rPr>
        <w:instrText xml:space="preserve"> REF _Ref45798951 \h  \* MERGEFORMAT </w:instrText>
      </w:r>
      <w:r w:rsidR="00155410" w:rsidRPr="00A311D8">
        <w:rPr>
          <w:rFonts w:ascii="Arial" w:hAnsi="Arial" w:cs="Arial"/>
          <w:i/>
          <w:sz w:val="20"/>
          <w:szCs w:val="20"/>
        </w:rPr>
      </w:r>
      <w:r w:rsidR="00155410" w:rsidRPr="00A311D8">
        <w:rPr>
          <w:rFonts w:ascii="Arial" w:hAnsi="Arial" w:cs="Arial"/>
          <w:i/>
          <w:sz w:val="20"/>
          <w:szCs w:val="20"/>
        </w:rPr>
        <w:fldChar w:fldCharType="separate"/>
      </w:r>
      <w:r w:rsidR="00E46138" w:rsidRPr="00E46138">
        <w:rPr>
          <w:rFonts w:ascii="Arial" w:hAnsi="Arial" w:cs="Arial"/>
          <w:i/>
          <w:sz w:val="20"/>
          <w:szCs w:val="20"/>
        </w:rPr>
        <w:t xml:space="preserve">Figure </w:t>
      </w:r>
      <w:r w:rsidR="00E46138" w:rsidRPr="00E46138">
        <w:rPr>
          <w:rFonts w:ascii="Arial" w:hAnsi="Arial" w:cs="Arial"/>
          <w:i/>
          <w:noProof/>
          <w:sz w:val="20"/>
          <w:szCs w:val="20"/>
        </w:rPr>
        <w:t>4</w:t>
      </w:r>
      <w:r w:rsidR="00155410" w:rsidRPr="00A311D8">
        <w:rPr>
          <w:rFonts w:ascii="Arial" w:hAnsi="Arial" w:cs="Arial"/>
          <w:i/>
          <w:sz w:val="20"/>
          <w:szCs w:val="20"/>
        </w:rPr>
        <w:fldChar w:fldCharType="end"/>
      </w:r>
      <w:r w:rsidR="00155410" w:rsidRPr="00A311D8">
        <w:rPr>
          <w:rFonts w:ascii="Arial" w:hAnsi="Arial" w:cs="Arial"/>
          <w:sz w:val="20"/>
          <w:szCs w:val="20"/>
        </w:rPr>
        <w:t xml:space="preserve"> and </w:t>
      </w:r>
      <w:r w:rsidR="00155410" w:rsidRPr="00A311D8">
        <w:rPr>
          <w:rFonts w:ascii="Arial" w:hAnsi="Arial" w:cs="Arial"/>
          <w:i/>
          <w:sz w:val="20"/>
          <w:szCs w:val="20"/>
        </w:rPr>
        <w:fldChar w:fldCharType="begin"/>
      </w:r>
      <w:r w:rsidR="00155410" w:rsidRPr="00A311D8">
        <w:rPr>
          <w:rFonts w:ascii="Arial" w:hAnsi="Arial" w:cs="Arial"/>
          <w:i/>
          <w:sz w:val="20"/>
          <w:szCs w:val="20"/>
        </w:rPr>
        <w:instrText xml:space="preserve"> REF _Ref45798953 \h  \* MERGEFORMAT </w:instrText>
      </w:r>
      <w:r w:rsidR="00155410" w:rsidRPr="00A311D8">
        <w:rPr>
          <w:rFonts w:ascii="Arial" w:hAnsi="Arial" w:cs="Arial"/>
          <w:i/>
          <w:sz w:val="20"/>
          <w:szCs w:val="20"/>
        </w:rPr>
      </w:r>
      <w:r w:rsidR="00155410" w:rsidRPr="00A311D8">
        <w:rPr>
          <w:rFonts w:ascii="Arial" w:hAnsi="Arial" w:cs="Arial"/>
          <w:i/>
          <w:sz w:val="20"/>
          <w:szCs w:val="20"/>
        </w:rPr>
        <w:fldChar w:fldCharType="separate"/>
      </w:r>
      <w:r w:rsidR="00E46138" w:rsidRPr="00E46138">
        <w:rPr>
          <w:rFonts w:ascii="Arial" w:hAnsi="Arial" w:cs="Arial"/>
          <w:i/>
          <w:sz w:val="20"/>
          <w:szCs w:val="20"/>
        </w:rPr>
        <w:t xml:space="preserve">Figure </w:t>
      </w:r>
      <w:r w:rsidR="00E46138" w:rsidRPr="00E46138">
        <w:rPr>
          <w:rFonts w:ascii="Arial" w:hAnsi="Arial" w:cs="Arial"/>
          <w:i/>
          <w:noProof/>
          <w:sz w:val="20"/>
          <w:szCs w:val="20"/>
        </w:rPr>
        <w:t>5</w:t>
      </w:r>
      <w:r w:rsidR="00155410" w:rsidRPr="00A311D8">
        <w:rPr>
          <w:rFonts w:ascii="Arial" w:hAnsi="Arial" w:cs="Arial"/>
          <w:i/>
          <w:sz w:val="20"/>
          <w:szCs w:val="20"/>
        </w:rPr>
        <w:fldChar w:fldCharType="end"/>
      </w:r>
      <w:r w:rsidR="00155410">
        <w:rPr>
          <w:rFonts w:ascii="Arial" w:hAnsi="Arial" w:cs="Arial"/>
          <w:i/>
          <w:sz w:val="20"/>
          <w:szCs w:val="20"/>
        </w:rPr>
        <w:t xml:space="preserve">, </w:t>
      </w:r>
      <w:r w:rsidR="00155410" w:rsidRPr="006842EE">
        <w:rPr>
          <w:rFonts w:ascii="Arial" w:hAnsi="Arial" w:cs="Arial"/>
          <w:sz w:val="20"/>
          <w:szCs w:val="20"/>
        </w:rPr>
        <w:t>respectively</w:t>
      </w:r>
      <w:r w:rsidR="00155410">
        <w:rPr>
          <w:rFonts w:ascii="Arial" w:hAnsi="Arial" w:cs="Arial"/>
          <w:i/>
          <w:sz w:val="20"/>
          <w:szCs w:val="20"/>
        </w:rPr>
        <w:t>.</w:t>
      </w:r>
    </w:p>
    <w:p w14:paraId="68AB8912" w14:textId="1C7A1EB8" w:rsidR="00A17583" w:rsidRPr="004568E0" w:rsidRDefault="00A17583" w:rsidP="00A17583">
      <w:pPr>
        <w:pStyle w:val="MainText"/>
        <w:rPr>
          <w:rFonts w:ascii="Arial" w:hAnsi="Arial" w:cs="Arial"/>
          <w:sz w:val="20"/>
          <w:szCs w:val="20"/>
        </w:rPr>
      </w:pPr>
      <w:r w:rsidRPr="004A5D75">
        <w:rPr>
          <w:rFonts w:ascii="Arial" w:hAnsi="Arial" w:cs="Arial"/>
          <w:i/>
          <w:sz w:val="20"/>
          <w:szCs w:val="20"/>
        </w:rPr>
        <w:fldChar w:fldCharType="begin"/>
      </w:r>
      <w:r w:rsidRPr="004A5D75">
        <w:rPr>
          <w:rFonts w:ascii="Arial" w:hAnsi="Arial" w:cs="Arial"/>
          <w:i/>
          <w:sz w:val="20"/>
          <w:szCs w:val="20"/>
        </w:rPr>
        <w:instrText xml:space="preserve"> REF _Ref45798951 \h </w:instrText>
      </w:r>
      <w:r w:rsidR="004568E0" w:rsidRPr="004A5D75">
        <w:rPr>
          <w:rFonts w:ascii="Arial" w:hAnsi="Arial" w:cs="Arial"/>
          <w:i/>
          <w:sz w:val="20"/>
          <w:szCs w:val="20"/>
        </w:rPr>
        <w:instrText xml:space="preserve"> \* MERGEFORMAT </w:instrText>
      </w:r>
      <w:r w:rsidRPr="004A5D75">
        <w:rPr>
          <w:rFonts w:ascii="Arial" w:hAnsi="Arial" w:cs="Arial"/>
          <w:i/>
          <w:sz w:val="20"/>
          <w:szCs w:val="20"/>
        </w:rPr>
      </w:r>
      <w:r w:rsidRPr="004A5D75">
        <w:rPr>
          <w:rFonts w:ascii="Arial" w:hAnsi="Arial" w:cs="Arial"/>
          <w:i/>
          <w:sz w:val="20"/>
          <w:szCs w:val="20"/>
        </w:rPr>
        <w:fldChar w:fldCharType="separate"/>
      </w:r>
      <w:r w:rsidR="00E46138" w:rsidRPr="00E46138">
        <w:rPr>
          <w:rFonts w:ascii="Arial" w:hAnsi="Arial" w:cs="Arial"/>
          <w:i/>
          <w:sz w:val="20"/>
          <w:szCs w:val="20"/>
        </w:rPr>
        <w:t xml:space="preserve">Figure </w:t>
      </w:r>
      <w:r w:rsidR="00E46138" w:rsidRPr="00E46138">
        <w:rPr>
          <w:rFonts w:ascii="Arial" w:hAnsi="Arial" w:cs="Arial"/>
          <w:i/>
          <w:noProof/>
          <w:sz w:val="20"/>
          <w:szCs w:val="20"/>
        </w:rPr>
        <w:t>4</w:t>
      </w:r>
      <w:r w:rsidRPr="004A5D75">
        <w:rPr>
          <w:rFonts w:ascii="Arial" w:hAnsi="Arial" w:cs="Arial"/>
          <w:i/>
          <w:sz w:val="20"/>
          <w:szCs w:val="20"/>
        </w:rPr>
        <w:fldChar w:fldCharType="end"/>
      </w:r>
      <w:r w:rsidRPr="004568E0">
        <w:rPr>
          <w:rFonts w:ascii="Arial" w:hAnsi="Arial" w:cs="Arial"/>
          <w:sz w:val="20"/>
          <w:szCs w:val="20"/>
        </w:rPr>
        <w:t xml:space="preserve"> shows the actions page of the platform. On the right-hand side, the user can see a list with all imported and/or created actions. Each action contains a part with general information, a part with techno-economic parameters and a part with the total energy and CO</w:t>
      </w:r>
      <w:r w:rsidRPr="004568E0">
        <w:rPr>
          <w:rFonts w:ascii="Arial" w:hAnsi="Arial" w:cs="Arial"/>
          <w:sz w:val="20"/>
          <w:szCs w:val="20"/>
          <w:vertAlign w:val="subscript"/>
        </w:rPr>
        <w:t>2</w:t>
      </w:r>
      <w:r w:rsidRPr="004568E0">
        <w:rPr>
          <w:rFonts w:ascii="Arial" w:hAnsi="Arial" w:cs="Arial"/>
          <w:sz w:val="20"/>
          <w:szCs w:val="20"/>
        </w:rPr>
        <w:t xml:space="preserve"> savings, achieved by the action. The general information contains name, description, as well as some categorization and grouping parameters as which building part, element and group the action belongs to. Technology parameters are the investment cost, payback time, share of energy relation of the action, priority, </w:t>
      </w:r>
      <w:r w:rsidR="00822A97">
        <w:rPr>
          <w:rFonts w:ascii="Arial" w:hAnsi="Arial" w:cs="Arial"/>
          <w:sz w:val="20"/>
          <w:szCs w:val="20"/>
        </w:rPr>
        <w:t>planned date and type of works -</w:t>
      </w:r>
      <w:r w:rsidRPr="004568E0">
        <w:rPr>
          <w:rFonts w:ascii="Arial" w:hAnsi="Arial" w:cs="Arial"/>
          <w:sz w:val="20"/>
          <w:szCs w:val="20"/>
        </w:rPr>
        <w:t xml:space="preserve"> maintenance, refurbishment, improvement, etc. If using the EPIQR</w:t>
      </w:r>
      <w:r w:rsidRPr="004568E0">
        <w:rPr>
          <w:rFonts w:ascii="Arial" w:hAnsi="Arial" w:cs="Arial"/>
          <w:sz w:val="20"/>
          <w:szCs w:val="20"/>
          <w:lang w:val="bg-BG"/>
        </w:rPr>
        <w:t>+</w:t>
      </w:r>
      <w:r w:rsidRPr="004568E0">
        <w:rPr>
          <w:rFonts w:ascii="Arial" w:hAnsi="Arial" w:cs="Arial"/>
          <w:sz w:val="20"/>
          <w:szCs w:val="20"/>
        </w:rPr>
        <w:t xml:space="preserve"> software</w:t>
      </w:r>
      <w:r w:rsidRPr="004568E0">
        <w:rPr>
          <w:rFonts w:ascii="Arial" w:hAnsi="Arial" w:cs="Arial"/>
          <w:sz w:val="20"/>
          <w:szCs w:val="20"/>
          <w:lang w:val="bg-BG"/>
        </w:rPr>
        <w:t xml:space="preserve">, </w:t>
      </w:r>
      <w:r w:rsidRPr="004568E0">
        <w:rPr>
          <w:rFonts w:ascii="Arial" w:hAnsi="Arial" w:cs="Arial"/>
          <w:sz w:val="20"/>
          <w:szCs w:val="20"/>
        </w:rPr>
        <w:t xml:space="preserve">values for </w:t>
      </w:r>
      <w:r w:rsidR="00C306C3">
        <w:rPr>
          <w:rFonts w:ascii="Arial" w:hAnsi="Arial" w:cs="Arial"/>
          <w:sz w:val="20"/>
          <w:szCs w:val="20"/>
        </w:rPr>
        <w:t>Global warming potential, p</w:t>
      </w:r>
      <w:r w:rsidRPr="004568E0">
        <w:rPr>
          <w:rFonts w:ascii="Arial" w:hAnsi="Arial" w:cs="Arial"/>
          <w:sz w:val="20"/>
          <w:szCs w:val="20"/>
        </w:rPr>
        <w:t>rimary (embodied) energy and</w:t>
      </w:r>
      <w:r w:rsidR="007416FB" w:rsidRPr="004568E0">
        <w:rPr>
          <w:rFonts w:ascii="Arial" w:hAnsi="Arial" w:cs="Arial"/>
          <w:sz w:val="20"/>
          <w:szCs w:val="20"/>
        </w:rPr>
        <w:t xml:space="preserve"> </w:t>
      </w:r>
      <w:r w:rsidR="001C08FA" w:rsidRPr="004568E0">
        <w:rPr>
          <w:rFonts w:ascii="Arial" w:hAnsi="Arial" w:cs="Arial"/>
          <w:sz w:val="20"/>
          <w:szCs w:val="20"/>
        </w:rPr>
        <w:t xml:space="preserve">Abiotic Depletion Potential </w:t>
      </w:r>
      <w:r w:rsidR="007416FB" w:rsidRPr="004568E0">
        <w:rPr>
          <w:rFonts w:ascii="Arial" w:hAnsi="Arial" w:cs="Arial"/>
          <w:sz w:val="20"/>
          <w:szCs w:val="20"/>
        </w:rPr>
        <w:t>(</w:t>
      </w:r>
      <w:r w:rsidR="001C08FA" w:rsidRPr="004568E0">
        <w:rPr>
          <w:rFonts w:ascii="Arial" w:hAnsi="Arial" w:cs="Arial"/>
          <w:sz w:val="20"/>
          <w:szCs w:val="20"/>
        </w:rPr>
        <w:t>ADP fossil</w:t>
      </w:r>
      <w:r w:rsidR="007416FB" w:rsidRPr="004568E0">
        <w:rPr>
          <w:rFonts w:ascii="Arial" w:hAnsi="Arial" w:cs="Arial"/>
          <w:sz w:val="20"/>
          <w:szCs w:val="20"/>
        </w:rPr>
        <w:t xml:space="preserve">) </w:t>
      </w:r>
      <w:r w:rsidRPr="004568E0">
        <w:rPr>
          <w:rFonts w:ascii="Arial" w:hAnsi="Arial" w:cs="Arial"/>
          <w:sz w:val="20"/>
          <w:szCs w:val="20"/>
        </w:rPr>
        <w:t xml:space="preserve">are calculated automatically. A main technology parameter that is not yet implemented in the platform is the lifetime of an action. Due to that, when recalculating the effectiveness parameters, </w:t>
      </w:r>
      <w:r w:rsidR="00822A97">
        <w:rPr>
          <w:rFonts w:ascii="Arial" w:hAnsi="Arial" w:cs="Arial"/>
          <w:sz w:val="20"/>
          <w:szCs w:val="20"/>
        </w:rPr>
        <w:t xml:space="preserve">the lifetime </w:t>
      </w:r>
      <w:r w:rsidRPr="004568E0">
        <w:rPr>
          <w:rFonts w:ascii="Arial" w:hAnsi="Arial" w:cs="Arial"/>
          <w:sz w:val="20"/>
          <w:szCs w:val="20"/>
        </w:rPr>
        <w:t>is not included and the cost- and CO</w:t>
      </w:r>
      <w:r w:rsidRPr="004568E0">
        <w:rPr>
          <w:rFonts w:ascii="Arial" w:hAnsi="Arial" w:cs="Arial"/>
          <w:sz w:val="20"/>
          <w:szCs w:val="20"/>
          <w:vertAlign w:val="subscript"/>
        </w:rPr>
        <w:t>2</w:t>
      </w:r>
      <w:r w:rsidRPr="004568E0">
        <w:rPr>
          <w:rFonts w:ascii="Arial" w:hAnsi="Arial" w:cs="Arial"/>
          <w:sz w:val="20"/>
          <w:szCs w:val="20"/>
        </w:rPr>
        <w:t>-effectiveness are simply the cost divided by the achieved savings or CO</w:t>
      </w:r>
      <w:r w:rsidRPr="004568E0">
        <w:rPr>
          <w:rFonts w:ascii="Arial" w:hAnsi="Arial" w:cs="Arial"/>
          <w:sz w:val="20"/>
          <w:szCs w:val="20"/>
          <w:vertAlign w:val="subscript"/>
        </w:rPr>
        <w:t xml:space="preserve">2 </w:t>
      </w:r>
      <w:r w:rsidRPr="004568E0">
        <w:rPr>
          <w:rFonts w:ascii="Arial" w:hAnsi="Arial" w:cs="Arial"/>
          <w:sz w:val="20"/>
          <w:szCs w:val="20"/>
        </w:rPr>
        <w:t>savings.</w:t>
      </w:r>
    </w:p>
    <w:p w14:paraId="2FA646CD" w14:textId="7ED201E0" w:rsidR="00A17583" w:rsidRPr="00514475" w:rsidRDefault="00A17583" w:rsidP="00015049">
      <w:pPr>
        <w:pStyle w:val="MainText"/>
        <w:spacing w:before="240" w:after="0"/>
        <w:jc w:val="center"/>
        <w:rPr>
          <w:vertAlign w:val="subscript"/>
        </w:rPr>
      </w:pPr>
      <w:r>
        <w:rPr>
          <w:noProof/>
        </w:rPr>
        <w:drawing>
          <wp:inline distT="0" distB="0" distL="0" distR="0" wp14:anchorId="7D6C2C1C" wp14:editId="47C340ED">
            <wp:extent cx="5307203" cy="3480789"/>
            <wp:effectExtent l="0" t="0" r="8255" b="5715"/>
            <wp:docPr id="2" name="Picture 2" descr="Une image contenant ordinateur&#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Picture 78" descr="Une image contenant ordinateur&#10;&#10;Description générée automatiquement"/>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316845" cy="3487113"/>
                    </a:xfrm>
                    <a:prstGeom prst="rect">
                      <a:avLst/>
                    </a:prstGeom>
                  </pic:spPr>
                </pic:pic>
              </a:graphicData>
            </a:graphic>
          </wp:inline>
        </w:drawing>
      </w:r>
    </w:p>
    <w:p w14:paraId="18F6E51E" w14:textId="188205FF" w:rsidR="00A17583" w:rsidRPr="004A5D75" w:rsidRDefault="00A17583" w:rsidP="00A17583">
      <w:pPr>
        <w:pStyle w:val="Caption"/>
        <w:jc w:val="both"/>
        <w:rPr>
          <w:rFonts w:ascii="Arial" w:hAnsi="Arial" w:cs="Arial"/>
          <w:i/>
          <w:sz w:val="20"/>
        </w:rPr>
      </w:pPr>
      <w:bookmarkStart w:id="6" w:name="_Ref45798951"/>
      <w:bookmarkStart w:id="7" w:name="_Ref45799660"/>
      <w:r w:rsidRPr="004A5D75">
        <w:rPr>
          <w:rFonts w:ascii="Arial" w:hAnsi="Arial" w:cs="Arial"/>
          <w:i/>
          <w:sz w:val="20"/>
        </w:rPr>
        <w:t xml:space="preserve">Figure </w:t>
      </w:r>
      <w:r w:rsidRPr="004A5D75">
        <w:rPr>
          <w:rFonts w:ascii="Arial" w:hAnsi="Arial" w:cs="Arial"/>
          <w:i/>
          <w:sz w:val="20"/>
        </w:rPr>
        <w:fldChar w:fldCharType="begin"/>
      </w:r>
      <w:r w:rsidRPr="004A5D75">
        <w:rPr>
          <w:rFonts w:ascii="Arial" w:hAnsi="Arial" w:cs="Arial"/>
          <w:i/>
          <w:sz w:val="20"/>
        </w:rPr>
        <w:instrText xml:space="preserve"> SEQ Figure \* ARABIC </w:instrText>
      </w:r>
      <w:r w:rsidRPr="004A5D75">
        <w:rPr>
          <w:rFonts w:ascii="Arial" w:hAnsi="Arial" w:cs="Arial"/>
          <w:i/>
          <w:sz w:val="20"/>
        </w:rPr>
        <w:fldChar w:fldCharType="separate"/>
      </w:r>
      <w:r w:rsidR="00E46138">
        <w:rPr>
          <w:rFonts w:ascii="Arial" w:hAnsi="Arial" w:cs="Arial"/>
          <w:i/>
          <w:noProof/>
          <w:sz w:val="20"/>
        </w:rPr>
        <w:t>4</w:t>
      </w:r>
      <w:r w:rsidRPr="004A5D75">
        <w:rPr>
          <w:rFonts w:ascii="Arial" w:hAnsi="Arial" w:cs="Arial"/>
          <w:i/>
          <w:sz w:val="20"/>
        </w:rPr>
        <w:fldChar w:fldCharType="end"/>
      </w:r>
      <w:bookmarkEnd w:id="6"/>
      <w:r w:rsidRPr="004A5D75">
        <w:rPr>
          <w:rFonts w:ascii="Arial" w:hAnsi="Arial" w:cs="Arial"/>
          <w:i/>
          <w:sz w:val="20"/>
        </w:rPr>
        <w:t xml:space="preserve"> Actions page in the </w:t>
      </w:r>
      <w:r w:rsidR="00646C24">
        <w:rPr>
          <w:rFonts w:ascii="Arial" w:hAnsi="Arial" w:cs="Arial"/>
          <w:i/>
          <w:sz w:val="20"/>
        </w:rPr>
        <w:t>online refurbishment assessment</w:t>
      </w:r>
      <w:r w:rsidRPr="004A5D75">
        <w:rPr>
          <w:rFonts w:ascii="Arial" w:hAnsi="Arial" w:cs="Arial"/>
          <w:i/>
          <w:sz w:val="20"/>
        </w:rPr>
        <w:t xml:space="preserve"> platform</w:t>
      </w:r>
      <w:bookmarkEnd w:id="7"/>
      <w:r w:rsidR="00646C24">
        <w:rPr>
          <w:rFonts w:ascii="Arial" w:hAnsi="Arial" w:cs="Arial"/>
          <w:i/>
          <w:sz w:val="20"/>
        </w:rPr>
        <w:t>.</w:t>
      </w:r>
    </w:p>
    <w:p w14:paraId="52C05DAE" w14:textId="54175094" w:rsidR="00A17583" w:rsidRPr="004568E0" w:rsidRDefault="00A17583" w:rsidP="00A17583">
      <w:pPr>
        <w:pStyle w:val="MainText"/>
        <w:rPr>
          <w:rFonts w:ascii="Arial" w:hAnsi="Arial" w:cs="Arial"/>
          <w:sz w:val="20"/>
          <w:szCs w:val="20"/>
        </w:rPr>
      </w:pPr>
      <w:r w:rsidRPr="004568E0">
        <w:rPr>
          <w:rFonts w:ascii="Arial" w:hAnsi="Arial" w:cs="Arial"/>
          <w:sz w:val="20"/>
          <w:szCs w:val="20"/>
        </w:rPr>
        <w:t xml:space="preserve">The page where different scenarios can be created, evaluated and compared </w:t>
      </w:r>
      <w:r w:rsidR="00F01401">
        <w:rPr>
          <w:rFonts w:ascii="Arial" w:hAnsi="Arial" w:cs="Arial"/>
          <w:sz w:val="20"/>
          <w:szCs w:val="20"/>
        </w:rPr>
        <w:t>is shown i</w:t>
      </w:r>
      <w:r w:rsidRPr="004568E0">
        <w:rPr>
          <w:rFonts w:ascii="Arial" w:hAnsi="Arial" w:cs="Arial"/>
          <w:sz w:val="20"/>
          <w:szCs w:val="20"/>
        </w:rPr>
        <w:t xml:space="preserve">n </w:t>
      </w:r>
      <w:r w:rsidRPr="00C306C3">
        <w:rPr>
          <w:rFonts w:ascii="Arial" w:hAnsi="Arial" w:cs="Arial"/>
          <w:i/>
          <w:sz w:val="20"/>
          <w:szCs w:val="20"/>
        </w:rPr>
        <w:fldChar w:fldCharType="begin"/>
      </w:r>
      <w:r w:rsidRPr="00C306C3">
        <w:rPr>
          <w:rFonts w:ascii="Arial" w:hAnsi="Arial" w:cs="Arial"/>
          <w:i/>
          <w:sz w:val="20"/>
          <w:szCs w:val="20"/>
        </w:rPr>
        <w:instrText xml:space="preserve"> REF _Ref45798953 \h </w:instrText>
      </w:r>
      <w:r w:rsidR="004568E0" w:rsidRPr="00C306C3">
        <w:rPr>
          <w:rFonts w:ascii="Arial" w:hAnsi="Arial" w:cs="Arial"/>
          <w:i/>
          <w:sz w:val="20"/>
          <w:szCs w:val="20"/>
        </w:rPr>
        <w:instrText xml:space="preserve"> \* MERGEFORMAT </w:instrText>
      </w:r>
      <w:r w:rsidRPr="00C306C3">
        <w:rPr>
          <w:rFonts w:ascii="Arial" w:hAnsi="Arial" w:cs="Arial"/>
          <w:i/>
          <w:sz w:val="20"/>
          <w:szCs w:val="20"/>
        </w:rPr>
      </w:r>
      <w:r w:rsidRPr="00C306C3">
        <w:rPr>
          <w:rFonts w:ascii="Arial" w:hAnsi="Arial" w:cs="Arial"/>
          <w:i/>
          <w:sz w:val="20"/>
          <w:szCs w:val="20"/>
        </w:rPr>
        <w:fldChar w:fldCharType="separate"/>
      </w:r>
      <w:r w:rsidR="00E46138" w:rsidRPr="00E46138">
        <w:rPr>
          <w:rFonts w:ascii="Arial" w:hAnsi="Arial" w:cs="Arial"/>
          <w:i/>
          <w:sz w:val="20"/>
          <w:szCs w:val="20"/>
        </w:rPr>
        <w:t xml:space="preserve">Figure </w:t>
      </w:r>
      <w:r w:rsidR="00E46138" w:rsidRPr="00E46138">
        <w:rPr>
          <w:rFonts w:ascii="Arial" w:hAnsi="Arial" w:cs="Arial"/>
          <w:i/>
          <w:noProof/>
          <w:sz w:val="20"/>
          <w:szCs w:val="20"/>
        </w:rPr>
        <w:t>5</w:t>
      </w:r>
      <w:r w:rsidRPr="00C306C3">
        <w:rPr>
          <w:rFonts w:ascii="Arial" w:hAnsi="Arial" w:cs="Arial"/>
          <w:i/>
          <w:sz w:val="20"/>
          <w:szCs w:val="20"/>
        </w:rPr>
        <w:fldChar w:fldCharType="end"/>
      </w:r>
      <w:r w:rsidRPr="004568E0">
        <w:rPr>
          <w:rFonts w:ascii="Arial" w:hAnsi="Arial" w:cs="Arial"/>
          <w:sz w:val="20"/>
          <w:szCs w:val="20"/>
        </w:rPr>
        <w:t>. On the left-hand side, the user can see all scenarios that have been created, as well as a quick overview of the total cost, energy savings and global warming potential</w:t>
      </w:r>
      <w:r w:rsidR="005D0E82">
        <w:rPr>
          <w:rFonts w:ascii="Arial" w:hAnsi="Arial" w:cs="Arial"/>
          <w:sz w:val="20"/>
          <w:szCs w:val="20"/>
        </w:rPr>
        <w:t xml:space="preserve"> (GWP)</w:t>
      </w:r>
      <w:r w:rsidRPr="004568E0">
        <w:rPr>
          <w:rFonts w:ascii="Arial" w:hAnsi="Arial" w:cs="Arial"/>
          <w:sz w:val="20"/>
          <w:szCs w:val="20"/>
        </w:rPr>
        <w:t xml:space="preserve"> of each one. </w:t>
      </w:r>
    </w:p>
    <w:p w14:paraId="38D6B560" w14:textId="1259F7CD" w:rsidR="00A17583" w:rsidRPr="004568E0" w:rsidRDefault="00A17583" w:rsidP="00A17583">
      <w:pPr>
        <w:pStyle w:val="MainText"/>
        <w:rPr>
          <w:rFonts w:ascii="Arial" w:hAnsi="Arial" w:cs="Arial"/>
          <w:sz w:val="20"/>
          <w:szCs w:val="20"/>
        </w:rPr>
      </w:pPr>
      <w:r w:rsidRPr="004568E0">
        <w:rPr>
          <w:rFonts w:ascii="Arial" w:hAnsi="Arial" w:cs="Arial"/>
          <w:sz w:val="20"/>
          <w:szCs w:val="20"/>
        </w:rPr>
        <w:t>A scenario is constructed by adding a new or selecting existing one and editing it</w:t>
      </w:r>
      <w:r w:rsidR="00803F07">
        <w:rPr>
          <w:rFonts w:ascii="Arial" w:hAnsi="Arial" w:cs="Arial"/>
          <w:sz w:val="20"/>
          <w:szCs w:val="20"/>
        </w:rPr>
        <w:t>s</w:t>
      </w:r>
      <w:r w:rsidRPr="004568E0">
        <w:rPr>
          <w:rFonts w:ascii="Arial" w:hAnsi="Arial" w:cs="Arial"/>
          <w:sz w:val="20"/>
          <w:szCs w:val="20"/>
        </w:rPr>
        <w:t xml:space="preserve"> content. When a scenario is selected, on the right-hand side on top of the page, the user can see the three parameters shown in the list of scenarios </w:t>
      </w:r>
      <w:r w:rsidR="00B85D21">
        <w:rPr>
          <w:rFonts w:ascii="Arial" w:hAnsi="Arial" w:cs="Arial"/>
          <w:sz w:val="20"/>
          <w:szCs w:val="20"/>
        </w:rPr>
        <w:t>-</w:t>
      </w:r>
      <w:r w:rsidRPr="004568E0">
        <w:rPr>
          <w:rFonts w:ascii="Arial" w:hAnsi="Arial" w:cs="Arial"/>
          <w:sz w:val="20"/>
          <w:szCs w:val="20"/>
        </w:rPr>
        <w:t xml:space="preserve"> cost, energy savings and </w:t>
      </w:r>
      <w:r w:rsidR="005D0E82">
        <w:rPr>
          <w:rFonts w:ascii="Arial" w:hAnsi="Arial" w:cs="Arial"/>
          <w:sz w:val="20"/>
          <w:szCs w:val="20"/>
        </w:rPr>
        <w:t>GWP</w:t>
      </w:r>
      <w:r w:rsidRPr="004568E0">
        <w:rPr>
          <w:rFonts w:ascii="Arial" w:hAnsi="Arial" w:cs="Arial"/>
          <w:sz w:val="20"/>
          <w:szCs w:val="20"/>
        </w:rPr>
        <w:t xml:space="preserve">. Additionally, </w:t>
      </w:r>
      <w:r w:rsidRPr="004568E0">
        <w:rPr>
          <w:rFonts w:ascii="Arial" w:hAnsi="Arial" w:cs="Arial"/>
          <w:sz w:val="20"/>
          <w:szCs w:val="20"/>
        </w:rPr>
        <w:lastRenderedPageBreak/>
        <w:t>the cost</w:t>
      </w:r>
      <w:r w:rsidRPr="004568E0">
        <w:rPr>
          <w:rFonts w:ascii="Cambria Math" w:hAnsi="Cambria Math" w:cs="Cambria Math"/>
          <w:sz w:val="20"/>
          <w:szCs w:val="20"/>
        </w:rPr>
        <w:t>‐</w:t>
      </w:r>
      <w:r w:rsidRPr="004568E0">
        <w:rPr>
          <w:rFonts w:ascii="Arial" w:hAnsi="Arial" w:cs="Arial"/>
          <w:sz w:val="20"/>
          <w:szCs w:val="20"/>
        </w:rPr>
        <w:t xml:space="preserve"> and GWP</w:t>
      </w:r>
      <w:r w:rsidRPr="004568E0">
        <w:rPr>
          <w:rFonts w:ascii="Cambria Math" w:hAnsi="Cambria Math" w:cs="Cambria Math"/>
          <w:sz w:val="20"/>
          <w:szCs w:val="20"/>
        </w:rPr>
        <w:t>‐</w:t>
      </w:r>
      <w:r w:rsidRPr="004568E0">
        <w:rPr>
          <w:rFonts w:ascii="Arial" w:hAnsi="Arial" w:cs="Arial"/>
          <w:sz w:val="20"/>
          <w:szCs w:val="20"/>
        </w:rPr>
        <w:t xml:space="preserve">effectiveness for the whole scenario are shown. In the middle section of the page the user can add the name of the scenario and a comment of own choice. </w:t>
      </w:r>
    </w:p>
    <w:p w14:paraId="1FF90390" w14:textId="62487D52" w:rsidR="00A17583" w:rsidRPr="004568E0" w:rsidRDefault="00A17583" w:rsidP="00A17583">
      <w:pPr>
        <w:pStyle w:val="MainText"/>
        <w:rPr>
          <w:rFonts w:ascii="Arial" w:hAnsi="Arial" w:cs="Arial"/>
          <w:sz w:val="20"/>
          <w:szCs w:val="20"/>
        </w:rPr>
      </w:pPr>
      <w:r w:rsidRPr="004568E0">
        <w:rPr>
          <w:rFonts w:ascii="Arial" w:hAnsi="Arial" w:cs="Arial"/>
          <w:sz w:val="20"/>
          <w:szCs w:val="20"/>
        </w:rPr>
        <w:t>On the bottom right</w:t>
      </w:r>
      <w:r w:rsidR="00B85D21">
        <w:rPr>
          <w:rFonts w:ascii="Arial" w:hAnsi="Arial" w:cs="Arial"/>
          <w:sz w:val="20"/>
          <w:szCs w:val="20"/>
        </w:rPr>
        <w:t>-</w:t>
      </w:r>
      <w:r w:rsidRPr="004568E0">
        <w:rPr>
          <w:rFonts w:ascii="Arial" w:hAnsi="Arial" w:cs="Arial"/>
          <w:sz w:val="20"/>
          <w:szCs w:val="20"/>
        </w:rPr>
        <w:t xml:space="preserve">hand side of the page, the user can select the actions, which </w:t>
      </w:r>
      <w:r w:rsidR="00B85D21">
        <w:rPr>
          <w:rFonts w:ascii="Arial" w:hAnsi="Arial" w:cs="Arial"/>
          <w:sz w:val="20"/>
          <w:szCs w:val="20"/>
        </w:rPr>
        <w:t>make up</w:t>
      </w:r>
      <w:r w:rsidR="00B85D21" w:rsidRPr="004568E0">
        <w:rPr>
          <w:rFonts w:ascii="Arial" w:hAnsi="Arial" w:cs="Arial"/>
          <w:sz w:val="20"/>
          <w:szCs w:val="20"/>
        </w:rPr>
        <w:t xml:space="preserve"> </w:t>
      </w:r>
      <w:r w:rsidRPr="004568E0">
        <w:rPr>
          <w:rFonts w:ascii="Arial" w:hAnsi="Arial" w:cs="Arial"/>
          <w:sz w:val="20"/>
          <w:szCs w:val="20"/>
        </w:rPr>
        <w:t xml:space="preserve">the scenario in question. The list of actions, defined in the previous page, is interactive and can be re-arranged depending on the preferences of the user. </w:t>
      </w:r>
      <w:r w:rsidR="00822A97">
        <w:rPr>
          <w:rFonts w:ascii="Arial" w:hAnsi="Arial" w:cs="Arial"/>
          <w:sz w:val="20"/>
          <w:szCs w:val="20"/>
        </w:rPr>
        <w:t xml:space="preserve">It is possible to filter and sort the actions </w:t>
      </w:r>
      <w:r w:rsidRPr="004568E0">
        <w:rPr>
          <w:rFonts w:ascii="Arial" w:hAnsi="Arial" w:cs="Arial"/>
          <w:sz w:val="20"/>
          <w:szCs w:val="20"/>
        </w:rPr>
        <w:t>according to building type or group, ascending or descending cost or energy savings, cost- and CO</w:t>
      </w:r>
      <w:r w:rsidRPr="004568E0">
        <w:rPr>
          <w:rFonts w:ascii="Arial" w:hAnsi="Arial" w:cs="Arial"/>
          <w:sz w:val="20"/>
          <w:szCs w:val="20"/>
          <w:vertAlign w:val="subscript"/>
        </w:rPr>
        <w:t>2</w:t>
      </w:r>
      <w:r w:rsidRPr="004568E0">
        <w:rPr>
          <w:rFonts w:ascii="Cambria Math" w:hAnsi="Cambria Math" w:cs="Cambria Math"/>
          <w:sz w:val="20"/>
          <w:szCs w:val="20"/>
        </w:rPr>
        <w:t>‐</w:t>
      </w:r>
      <w:r w:rsidRPr="004568E0">
        <w:rPr>
          <w:rFonts w:ascii="Arial" w:hAnsi="Arial" w:cs="Arial"/>
          <w:sz w:val="20"/>
          <w:szCs w:val="20"/>
        </w:rPr>
        <w:t xml:space="preserve">effectiveness. This provides great flexibility and excellent bookkeeping when comprising and comparing different scenarios. </w:t>
      </w:r>
    </w:p>
    <w:p w14:paraId="3BA12008" w14:textId="3A052B2D" w:rsidR="00A17583" w:rsidRPr="004568E0" w:rsidRDefault="00A17583" w:rsidP="00A17583">
      <w:pPr>
        <w:pStyle w:val="MainText"/>
        <w:rPr>
          <w:rFonts w:ascii="Arial" w:hAnsi="Arial" w:cs="Arial"/>
          <w:sz w:val="20"/>
          <w:szCs w:val="20"/>
        </w:rPr>
      </w:pPr>
      <w:r w:rsidRPr="004568E0">
        <w:rPr>
          <w:rFonts w:ascii="Arial" w:hAnsi="Arial" w:cs="Arial"/>
          <w:sz w:val="20"/>
          <w:szCs w:val="20"/>
        </w:rPr>
        <w:t xml:space="preserve">It must be noted that the total amount of cost, energy savings and GWP is a result of the addition of the separate values. This should be used only as guiding value, especially when considering energy savings and cost. This is imperative, as addition of energy savings calculated on element level does not provide correct global energy performance of their </w:t>
      </w:r>
      <w:r w:rsidR="00511770">
        <w:rPr>
          <w:rFonts w:ascii="Arial" w:hAnsi="Arial" w:cs="Arial"/>
          <w:sz w:val="20"/>
          <w:szCs w:val="20"/>
        </w:rPr>
        <w:t>addition</w:t>
      </w:r>
      <w:r w:rsidRPr="004568E0">
        <w:rPr>
          <w:rFonts w:ascii="Arial" w:hAnsi="Arial" w:cs="Arial"/>
          <w:sz w:val="20"/>
          <w:szCs w:val="20"/>
        </w:rPr>
        <w:t xml:space="preserve">. This is due to synergies and contradictions (interactive effects) between the different actions. In relation to cost, those could also differ when considering global scenario. The global cost may be smaller if a certain cost can be avoided </w:t>
      </w:r>
      <w:r w:rsidR="007A5919">
        <w:rPr>
          <w:rFonts w:ascii="Arial" w:hAnsi="Arial" w:cs="Arial"/>
          <w:sz w:val="20"/>
          <w:szCs w:val="20"/>
        </w:rPr>
        <w:t xml:space="preserve">or reduced </w:t>
      </w:r>
      <w:r w:rsidRPr="004568E0">
        <w:rPr>
          <w:rFonts w:ascii="Arial" w:hAnsi="Arial" w:cs="Arial"/>
          <w:sz w:val="20"/>
          <w:szCs w:val="20"/>
        </w:rPr>
        <w:t xml:space="preserve">if several actions are combined </w:t>
      </w:r>
      <w:r w:rsidR="007A5919">
        <w:rPr>
          <w:rFonts w:ascii="Arial" w:hAnsi="Arial" w:cs="Arial"/>
          <w:sz w:val="20"/>
          <w:szCs w:val="20"/>
        </w:rPr>
        <w:t xml:space="preserve">(quantity discounts, </w:t>
      </w:r>
      <w:r w:rsidRPr="004568E0">
        <w:rPr>
          <w:rFonts w:ascii="Arial" w:hAnsi="Arial" w:cs="Arial"/>
          <w:sz w:val="20"/>
          <w:szCs w:val="20"/>
        </w:rPr>
        <w:t>exclusion of tasks due to nature/location of works</w:t>
      </w:r>
      <w:r w:rsidR="007A5919">
        <w:rPr>
          <w:rFonts w:ascii="Arial" w:hAnsi="Arial" w:cs="Arial"/>
          <w:sz w:val="20"/>
          <w:szCs w:val="20"/>
        </w:rPr>
        <w:t>)</w:t>
      </w:r>
      <w:r w:rsidRPr="004568E0">
        <w:rPr>
          <w:rFonts w:ascii="Arial" w:hAnsi="Arial" w:cs="Arial"/>
          <w:sz w:val="20"/>
          <w:szCs w:val="20"/>
        </w:rPr>
        <w:t xml:space="preserve">. On the contrary, global cost of a scenario may be larger than the addition of separate single actions if complexity, timeframe is extended due to technological sequences of the tasks being applied to the building. Therefore, the selected scenario must be re-evaluated using a global method to obtain more accurate estimate of the predicted performance of the building after renovation. </w:t>
      </w:r>
    </w:p>
    <w:p w14:paraId="2F5697FE" w14:textId="6E41EAAE" w:rsidR="00A17583" w:rsidRDefault="00A17583" w:rsidP="00015049">
      <w:pPr>
        <w:pStyle w:val="MainText"/>
        <w:keepNext/>
        <w:jc w:val="center"/>
      </w:pPr>
      <w:r>
        <w:rPr>
          <w:noProof/>
        </w:rPr>
        <w:drawing>
          <wp:inline distT="0" distB="0" distL="0" distR="0" wp14:anchorId="2830EAA0" wp14:editId="0DA31D41">
            <wp:extent cx="5299888" cy="3524386"/>
            <wp:effectExtent l="0" t="0" r="0" b="1270"/>
            <wp:docPr id="117" name="Picture 117" descr="Une image contenant capture d’écran, moniteur, ordinateur, portabl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 name="Picture 117" descr="Une image contenant capture d’écran, moniteur, ordinateur, portable&#10;&#10;Description générée automatiquement"/>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299888" cy="3524386"/>
                    </a:xfrm>
                    <a:prstGeom prst="rect">
                      <a:avLst/>
                    </a:prstGeom>
                  </pic:spPr>
                </pic:pic>
              </a:graphicData>
            </a:graphic>
          </wp:inline>
        </w:drawing>
      </w:r>
    </w:p>
    <w:p w14:paraId="2811B0E2" w14:textId="33124185" w:rsidR="00A17583" w:rsidRPr="004A5D75" w:rsidRDefault="00A17583" w:rsidP="00A17583">
      <w:pPr>
        <w:pStyle w:val="Caption"/>
        <w:jc w:val="both"/>
        <w:rPr>
          <w:rFonts w:ascii="Arial" w:hAnsi="Arial" w:cs="Arial"/>
          <w:i/>
          <w:sz w:val="20"/>
        </w:rPr>
      </w:pPr>
      <w:bookmarkStart w:id="8" w:name="_Ref45798953"/>
      <w:r w:rsidRPr="004A5D75">
        <w:rPr>
          <w:rFonts w:ascii="Arial" w:hAnsi="Arial" w:cs="Arial"/>
          <w:i/>
          <w:sz w:val="20"/>
        </w:rPr>
        <w:t xml:space="preserve">Figure </w:t>
      </w:r>
      <w:r w:rsidRPr="004A5D75">
        <w:rPr>
          <w:rFonts w:ascii="Arial" w:hAnsi="Arial" w:cs="Arial"/>
          <w:i/>
          <w:sz w:val="20"/>
        </w:rPr>
        <w:fldChar w:fldCharType="begin"/>
      </w:r>
      <w:r w:rsidRPr="004A5D75">
        <w:rPr>
          <w:rFonts w:ascii="Arial" w:hAnsi="Arial" w:cs="Arial"/>
          <w:i/>
          <w:sz w:val="20"/>
        </w:rPr>
        <w:instrText xml:space="preserve"> SEQ Figure \* ARABIC </w:instrText>
      </w:r>
      <w:r w:rsidRPr="004A5D75">
        <w:rPr>
          <w:rFonts w:ascii="Arial" w:hAnsi="Arial" w:cs="Arial"/>
          <w:i/>
          <w:sz w:val="20"/>
        </w:rPr>
        <w:fldChar w:fldCharType="separate"/>
      </w:r>
      <w:r w:rsidR="00E46138">
        <w:rPr>
          <w:rFonts w:ascii="Arial" w:hAnsi="Arial" w:cs="Arial"/>
          <w:i/>
          <w:noProof/>
          <w:sz w:val="20"/>
        </w:rPr>
        <w:t>5</w:t>
      </w:r>
      <w:r w:rsidRPr="004A5D75">
        <w:rPr>
          <w:rFonts w:ascii="Arial" w:hAnsi="Arial" w:cs="Arial"/>
          <w:i/>
          <w:sz w:val="20"/>
        </w:rPr>
        <w:fldChar w:fldCharType="end"/>
      </w:r>
      <w:bookmarkEnd w:id="8"/>
      <w:r w:rsidRPr="004A5D75">
        <w:rPr>
          <w:rFonts w:ascii="Arial" w:hAnsi="Arial" w:cs="Arial"/>
          <w:i/>
          <w:sz w:val="20"/>
        </w:rPr>
        <w:t xml:space="preserve"> Scenario page in the </w:t>
      </w:r>
      <w:r w:rsidR="009C0DF5">
        <w:rPr>
          <w:rFonts w:ascii="Arial" w:hAnsi="Arial" w:cs="Arial"/>
          <w:i/>
          <w:sz w:val="20"/>
        </w:rPr>
        <w:t xml:space="preserve">refurbishment assessment </w:t>
      </w:r>
      <w:r w:rsidRPr="004A5D75">
        <w:rPr>
          <w:rFonts w:ascii="Arial" w:hAnsi="Arial" w:cs="Arial"/>
          <w:i/>
          <w:sz w:val="20"/>
        </w:rPr>
        <w:t>platform.</w:t>
      </w:r>
    </w:p>
    <w:p w14:paraId="3F419ADE" w14:textId="0D0DC8AF" w:rsidR="00054DCC" w:rsidRPr="004568E0" w:rsidRDefault="00A17583" w:rsidP="00A17583">
      <w:pPr>
        <w:pStyle w:val="BodyText"/>
        <w:spacing w:line="240" w:lineRule="auto"/>
        <w:ind w:right="-6"/>
        <w:jc w:val="both"/>
        <w:rPr>
          <w:rFonts w:ascii="Arial" w:hAnsi="Arial" w:cs="Arial"/>
          <w:sz w:val="20"/>
        </w:rPr>
      </w:pPr>
      <w:r w:rsidRPr="004568E0">
        <w:rPr>
          <w:rFonts w:ascii="Arial" w:hAnsi="Arial" w:cs="Arial"/>
          <w:sz w:val="20"/>
        </w:rPr>
        <w:t>The LCM surpasses the platform in many of described activities. The specific methodology for comparing energy producing technologies, balancing the renovation packages as well as the final stage of package evaluation is not yet available in the platform. However, for its ‘young age’ the platform proves to be a great tool</w:t>
      </w:r>
      <w:r w:rsidR="00305F8D">
        <w:rPr>
          <w:rFonts w:ascii="Arial" w:hAnsi="Arial" w:cs="Arial"/>
          <w:sz w:val="20"/>
        </w:rPr>
        <w:t xml:space="preserve"> for</w:t>
      </w:r>
      <w:r w:rsidRPr="004568E0">
        <w:rPr>
          <w:rFonts w:ascii="Arial" w:hAnsi="Arial" w:cs="Arial"/>
          <w:sz w:val="20"/>
        </w:rPr>
        <w:t xml:space="preserve"> decision support by providing opportunity for comprising, comparing, and reporting on expected performance of renovation scenarios.</w:t>
      </w:r>
      <w:r w:rsidR="003D2CF2">
        <w:rPr>
          <w:rFonts w:ascii="Arial" w:hAnsi="Arial" w:cs="Arial"/>
          <w:sz w:val="20"/>
        </w:rPr>
        <w:t xml:space="preserve"> The </w:t>
      </w:r>
      <w:r w:rsidR="009C0DF5">
        <w:rPr>
          <w:rFonts w:ascii="Arial" w:hAnsi="Arial" w:cs="Arial"/>
          <w:sz w:val="20"/>
        </w:rPr>
        <w:t>platform</w:t>
      </w:r>
      <w:r w:rsidRPr="004568E0">
        <w:rPr>
          <w:rFonts w:ascii="Arial" w:hAnsi="Arial" w:cs="Arial"/>
          <w:sz w:val="20"/>
        </w:rPr>
        <w:t xml:space="preserve"> </w:t>
      </w:r>
      <w:r w:rsidR="009C0DF5">
        <w:rPr>
          <w:rFonts w:ascii="Arial" w:hAnsi="Arial" w:cs="Arial"/>
          <w:sz w:val="20"/>
        </w:rPr>
        <w:t>can</w:t>
      </w:r>
      <w:r w:rsidRPr="004568E0">
        <w:rPr>
          <w:rFonts w:ascii="Arial" w:hAnsi="Arial" w:cs="Arial"/>
          <w:sz w:val="20"/>
        </w:rPr>
        <w:t xml:space="preserve"> be used in the early stages of </w:t>
      </w:r>
      <w:r w:rsidR="009C0DF5">
        <w:rPr>
          <w:rFonts w:ascii="Arial" w:hAnsi="Arial" w:cs="Arial"/>
          <w:sz w:val="20"/>
        </w:rPr>
        <w:t xml:space="preserve">a </w:t>
      </w:r>
      <w:r w:rsidRPr="004568E0">
        <w:rPr>
          <w:rFonts w:ascii="Arial" w:hAnsi="Arial" w:cs="Arial"/>
          <w:sz w:val="20"/>
        </w:rPr>
        <w:t xml:space="preserve">renovation </w:t>
      </w:r>
      <w:r w:rsidR="009C0DF5">
        <w:rPr>
          <w:rFonts w:ascii="Arial" w:hAnsi="Arial" w:cs="Arial"/>
          <w:sz w:val="20"/>
        </w:rPr>
        <w:t xml:space="preserve">process </w:t>
      </w:r>
      <w:r w:rsidRPr="004568E0">
        <w:rPr>
          <w:rFonts w:ascii="Arial" w:hAnsi="Arial" w:cs="Arial"/>
          <w:sz w:val="20"/>
        </w:rPr>
        <w:t>in an iterative way by providing both initial quick overview of possibilities and performance. Moreover, the possibility for manual entry allows the user to apply preferred calculation methods for cost and energy savings and thus use the platform in the latter stages of the renovation process or in cases where gre</w:t>
      </w:r>
      <w:r w:rsidR="007B0DB9">
        <w:rPr>
          <w:rFonts w:ascii="Arial" w:hAnsi="Arial" w:cs="Arial"/>
          <w:sz w:val="20"/>
        </w:rPr>
        <w:t>a</w:t>
      </w:r>
      <w:r w:rsidRPr="004568E0">
        <w:rPr>
          <w:rFonts w:ascii="Arial" w:hAnsi="Arial" w:cs="Arial"/>
          <w:sz w:val="20"/>
        </w:rPr>
        <w:t>ter accuracy is required.</w:t>
      </w:r>
      <w:r w:rsidR="003D2CF2">
        <w:rPr>
          <w:rFonts w:ascii="Arial" w:hAnsi="Arial" w:cs="Arial"/>
          <w:sz w:val="20"/>
        </w:rPr>
        <w:t xml:space="preserve"> The functionality</w:t>
      </w:r>
      <w:r w:rsidR="00E810A0">
        <w:rPr>
          <w:rFonts w:ascii="Arial" w:hAnsi="Arial" w:cs="Arial"/>
          <w:sz w:val="20"/>
        </w:rPr>
        <w:t>, advantages and drawbacks</w:t>
      </w:r>
      <w:r w:rsidR="003D2CF2">
        <w:rPr>
          <w:rFonts w:ascii="Arial" w:hAnsi="Arial" w:cs="Arial"/>
          <w:sz w:val="20"/>
        </w:rPr>
        <w:t xml:space="preserve"> of the platform </w:t>
      </w:r>
      <w:r w:rsidR="00E810A0">
        <w:rPr>
          <w:rFonts w:ascii="Arial" w:hAnsi="Arial" w:cs="Arial"/>
          <w:sz w:val="20"/>
        </w:rPr>
        <w:t xml:space="preserve">are discussed via </w:t>
      </w:r>
      <w:r w:rsidR="003D2CF2">
        <w:rPr>
          <w:rFonts w:ascii="Arial" w:hAnsi="Arial" w:cs="Arial"/>
          <w:sz w:val="20"/>
        </w:rPr>
        <w:t xml:space="preserve">a case study, described in the next section.  </w:t>
      </w:r>
    </w:p>
    <w:p w14:paraId="0D08CBE6" w14:textId="0014A2EC" w:rsidR="006563C9" w:rsidRPr="006563C9" w:rsidRDefault="002F6C1C" w:rsidP="009A2058">
      <w:pPr>
        <w:pStyle w:val="Heading1"/>
        <w:spacing w:line="240" w:lineRule="auto"/>
        <w:ind w:left="431" w:right="-6" w:hanging="431"/>
        <w:rPr>
          <w:rFonts w:ascii="Arial" w:hAnsi="Arial" w:cs="Arial"/>
          <w:sz w:val="24"/>
          <w:szCs w:val="24"/>
          <w:lang w:val="en-US"/>
        </w:rPr>
      </w:pPr>
      <w:r>
        <w:rPr>
          <w:rFonts w:ascii="Arial" w:hAnsi="Arial" w:cs="Arial"/>
          <w:sz w:val="24"/>
          <w:szCs w:val="24"/>
          <w:lang w:val="en-US"/>
        </w:rPr>
        <w:t xml:space="preserve">Case study </w:t>
      </w:r>
    </w:p>
    <w:p w14:paraId="4C7FAA87" w14:textId="77777777" w:rsidR="00B261E3" w:rsidRDefault="0076573E" w:rsidP="00E65DF9">
      <w:pPr>
        <w:pStyle w:val="BodyText"/>
        <w:spacing w:line="240" w:lineRule="auto"/>
        <w:ind w:right="-6"/>
        <w:jc w:val="both"/>
        <w:rPr>
          <w:rFonts w:ascii="Arial" w:hAnsi="Arial" w:cs="Arial"/>
          <w:sz w:val="20"/>
        </w:rPr>
      </w:pPr>
      <w:r>
        <w:rPr>
          <w:rFonts w:ascii="Arial" w:hAnsi="Arial" w:cs="Arial"/>
          <w:sz w:val="20"/>
        </w:rPr>
        <w:t xml:space="preserve">The selected case sturdy is a </w:t>
      </w:r>
      <w:r w:rsidR="0027380E">
        <w:rPr>
          <w:rFonts w:ascii="Arial" w:hAnsi="Arial" w:cs="Arial"/>
          <w:sz w:val="20"/>
        </w:rPr>
        <w:t xml:space="preserve">public </w:t>
      </w:r>
      <w:r>
        <w:rPr>
          <w:rFonts w:ascii="Arial" w:hAnsi="Arial" w:cs="Arial"/>
          <w:sz w:val="20"/>
        </w:rPr>
        <w:t>building complex located in Fribourg, Switzerland</w:t>
      </w:r>
      <w:r w:rsidR="00D26834">
        <w:rPr>
          <w:rFonts w:ascii="Arial" w:hAnsi="Arial" w:cs="Arial"/>
          <w:sz w:val="20"/>
        </w:rPr>
        <w:t xml:space="preserve">, </w:t>
      </w:r>
      <w:r w:rsidR="009C0DF5">
        <w:rPr>
          <w:rFonts w:ascii="Arial" w:hAnsi="Arial" w:cs="Arial"/>
          <w:sz w:val="20"/>
        </w:rPr>
        <w:t xml:space="preserve">and </w:t>
      </w:r>
      <w:r w:rsidR="00F01401">
        <w:rPr>
          <w:rFonts w:ascii="Arial" w:hAnsi="Arial" w:cs="Arial"/>
          <w:sz w:val="20"/>
        </w:rPr>
        <w:t>shown i</w:t>
      </w:r>
      <w:r w:rsidR="00D26834">
        <w:rPr>
          <w:rFonts w:ascii="Arial" w:hAnsi="Arial" w:cs="Arial"/>
          <w:sz w:val="20"/>
        </w:rPr>
        <w:t>n</w:t>
      </w:r>
      <w:r w:rsidR="008068F3">
        <w:rPr>
          <w:rFonts w:ascii="Arial" w:hAnsi="Arial" w:cs="Arial"/>
          <w:sz w:val="20"/>
        </w:rPr>
        <w:t xml:space="preserve"> </w:t>
      </w:r>
      <w:r w:rsidR="008068F3" w:rsidRPr="004A5D75">
        <w:rPr>
          <w:rFonts w:ascii="Arial" w:hAnsi="Arial" w:cs="Arial"/>
          <w:i/>
          <w:sz w:val="20"/>
        </w:rPr>
        <w:fldChar w:fldCharType="begin"/>
      </w:r>
      <w:r w:rsidR="008068F3" w:rsidRPr="004A5D75">
        <w:rPr>
          <w:rFonts w:ascii="Arial" w:hAnsi="Arial" w:cs="Arial"/>
          <w:i/>
          <w:sz w:val="20"/>
        </w:rPr>
        <w:instrText xml:space="preserve"> REF _Ref47376869 \h </w:instrText>
      </w:r>
      <w:r w:rsidR="00C51C41" w:rsidRPr="004A5D75">
        <w:rPr>
          <w:rFonts w:ascii="Arial" w:hAnsi="Arial" w:cs="Arial"/>
          <w:i/>
          <w:sz w:val="20"/>
        </w:rPr>
        <w:instrText xml:space="preserve"> \* MERGEFORMAT </w:instrText>
      </w:r>
      <w:r w:rsidR="008068F3" w:rsidRPr="004A5D75">
        <w:rPr>
          <w:rFonts w:ascii="Arial" w:hAnsi="Arial" w:cs="Arial"/>
          <w:i/>
          <w:sz w:val="20"/>
        </w:rPr>
      </w:r>
      <w:r w:rsidR="008068F3" w:rsidRPr="004A5D75">
        <w:rPr>
          <w:rFonts w:ascii="Arial" w:hAnsi="Arial" w:cs="Arial"/>
          <w:i/>
          <w:sz w:val="20"/>
        </w:rPr>
        <w:fldChar w:fldCharType="separate"/>
      </w:r>
      <w:r w:rsidR="00015207" w:rsidRPr="004A5D75">
        <w:rPr>
          <w:rFonts w:ascii="Arial" w:hAnsi="Arial" w:cs="Arial"/>
          <w:i/>
          <w:sz w:val="20"/>
        </w:rPr>
        <w:t xml:space="preserve">Figure </w:t>
      </w:r>
      <w:r w:rsidR="00015207">
        <w:rPr>
          <w:rFonts w:ascii="Arial" w:hAnsi="Arial" w:cs="Arial"/>
          <w:i/>
          <w:noProof/>
          <w:sz w:val="20"/>
        </w:rPr>
        <w:t>6</w:t>
      </w:r>
      <w:r w:rsidR="008068F3" w:rsidRPr="004A5D75">
        <w:rPr>
          <w:rFonts w:ascii="Arial" w:hAnsi="Arial" w:cs="Arial"/>
          <w:i/>
          <w:sz w:val="20"/>
        </w:rPr>
        <w:fldChar w:fldCharType="end"/>
      </w:r>
      <w:r>
        <w:rPr>
          <w:rFonts w:ascii="Arial" w:hAnsi="Arial" w:cs="Arial"/>
          <w:sz w:val="20"/>
        </w:rPr>
        <w:t>. It consist of</w:t>
      </w:r>
      <w:r w:rsidR="00D26834">
        <w:rPr>
          <w:rFonts w:ascii="Arial" w:hAnsi="Arial" w:cs="Arial"/>
          <w:sz w:val="20"/>
        </w:rPr>
        <w:t xml:space="preserve"> 10 buildings constructed in 1993 </w:t>
      </w:r>
      <w:r w:rsidR="007019FA">
        <w:rPr>
          <w:rFonts w:ascii="Arial" w:hAnsi="Arial" w:cs="Arial"/>
          <w:sz w:val="20"/>
        </w:rPr>
        <w:t>-</w:t>
      </w:r>
      <w:r w:rsidR="00AA597D">
        <w:rPr>
          <w:rFonts w:ascii="Arial" w:hAnsi="Arial" w:cs="Arial"/>
          <w:sz w:val="20"/>
        </w:rPr>
        <w:t xml:space="preserve"> </w:t>
      </w:r>
      <w:r w:rsidR="009737AD">
        <w:rPr>
          <w:rFonts w:ascii="Arial" w:hAnsi="Arial" w:cs="Arial"/>
          <w:sz w:val="20"/>
        </w:rPr>
        <w:t xml:space="preserve">a </w:t>
      </w:r>
      <w:r w:rsidR="00D26834">
        <w:rPr>
          <w:rFonts w:ascii="Arial" w:hAnsi="Arial" w:cs="Arial"/>
          <w:sz w:val="20"/>
        </w:rPr>
        <w:t xml:space="preserve">round tower and nine rectangular buildings. </w:t>
      </w:r>
      <w:r w:rsidR="009737AD">
        <w:rPr>
          <w:rFonts w:ascii="Arial" w:hAnsi="Arial" w:cs="Arial"/>
          <w:sz w:val="20"/>
        </w:rPr>
        <w:t>T</w:t>
      </w:r>
      <w:r w:rsidR="00D26834">
        <w:rPr>
          <w:rFonts w:ascii="Arial" w:hAnsi="Arial" w:cs="Arial"/>
          <w:sz w:val="20"/>
        </w:rPr>
        <w:t xml:space="preserve">here are 125 dwellings </w:t>
      </w:r>
      <w:r w:rsidR="009737AD">
        <w:rPr>
          <w:rFonts w:ascii="Arial" w:hAnsi="Arial" w:cs="Arial"/>
          <w:sz w:val="20"/>
        </w:rPr>
        <w:t>distributed over five floors with</w:t>
      </w:r>
      <w:r w:rsidR="00D26834">
        <w:rPr>
          <w:rFonts w:ascii="Arial" w:hAnsi="Arial" w:cs="Arial"/>
          <w:sz w:val="20"/>
        </w:rPr>
        <w:t xml:space="preserve"> total h</w:t>
      </w:r>
      <w:r w:rsidR="001224E1">
        <w:rPr>
          <w:rFonts w:ascii="Arial" w:hAnsi="Arial" w:cs="Arial"/>
          <w:sz w:val="20"/>
        </w:rPr>
        <w:t xml:space="preserve">eated floor area </w:t>
      </w:r>
      <w:r w:rsidR="00D26834">
        <w:rPr>
          <w:rFonts w:ascii="Arial" w:hAnsi="Arial" w:cs="Arial"/>
          <w:sz w:val="20"/>
        </w:rPr>
        <w:t xml:space="preserve">of </w:t>
      </w:r>
      <w:r w:rsidR="001224E1">
        <w:rPr>
          <w:rFonts w:ascii="Arial" w:hAnsi="Arial" w:cs="Arial"/>
          <w:sz w:val="20"/>
        </w:rPr>
        <w:t>13,144 m</w:t>
      </w:r>
      <w:r w:rsidR="001224E1" w:rsidRPr="001224E1">
        <w:rPr>
          <w:rFonts w:ascii="Arial" w:hAnsi="Arial" w:cs="Arial"/>
          <w:sz w:val="20"/>
          <w:vertAlign w:val="superscript"/>
        </w:rPr>
        <w:t>2</w:t>
      </w:r>
      <w:r w:rsidR="00621A4F">
        <w:rPr>
          <w:rFonts w:ascii="Arial" w:hAnsi="Arial" w:cs="Arial"/>
          <w:sz w:val="20"/>
        </w:rPr>
        <w:t>. The complex houses studios, single, double room apartments as well as such on two and three levels</w:t>
      </w:r>
      <w:r w:rsidR="009737AD">
        <w:rPr>
          <w:rFonts w:ascii="Arial" w:hAnsi="Arial" w:cs="Arial"/>
          <w:sz w:val="20"/>
        </w:rPr>
        <w:t xml:space="preserve"> with total capacity for 370 inhabitants</w:t>
      </w:r>
      <w:r w:rsidR="00621A4F">
        <w:rPr>
          <w:rFonts w:ascii="Arial" w:hAnsi="Arial" w:cs="Arial"/>
          <w:sz w:val="20"/>
        </w:rPr>
        <w:t>.</w:t>
      </w:r>
      <w:r w:rsidR="00B261E3">
        <w:rPr>
          <w:rFonts w:ascii="Arial" w:hAnsi="Arial" w:cs="Arial"/>
          <w:sz w:val="20"/>
        </w:rPr>
        <w:t xml:space="preserve"> </w:t>
      </w:r>
      <w:r w:rsidR="00B261E3">
        <w:rPr>
          <w:rFonts w:ascii="Arial" w:hAnsi="Arial" w:cs="Arial"/>
          <w:sz w:val="20"/>
        </w:rPr>
        <w:t>The housing complex is equipped with unheated parking in the basement and common laundry facilities</w:t>
      </w:r>
      <w:r w:rsidR="00B261E3">
        <w:rPr>
          <w:rFonts w:ascii="Arial" w:hAnsi="Arial" w:cs="Arial"/>
          <w:sz w:val="20"/>
        </w:rPr>
        <w:t xml:space="preserve">. </w:t>
      </w:r>
    </w:p>
    <w:p w14:paraId="17EF5192" w14:textId="77777777" w:rsidR="00B261E3" w:rsidRDefault="00B261E3" w:rsidP="00015049">
      <w:pPr>
        <w:pStyle w:val="BodyText"/>
        <w:spacing w:line="240" w:lineRule="auto"/>
        <w:ind w:right="-6"/>
        <w:jc w:val="both"/>
        <w:rPr>
          <w:rFonts w:ascii="Arial" w:hAnsi="Arial" w:cs="Arial"/>
          <w:sz w:val="20"/>
        </w:rPr>
      </w:pPr>
      <w:r>
        <w:rPr>
          <w:rFonts w:ascii="Arial" w:hAnsi="Arial" w:cs="Arial"/>
          <w:sz w:val="20"/>
        </w:rPr>
        <w:t>Calculation model using the compliance tool CECB classifies the complex in energy class E, with primary energy demand of 133,4 kWh/m</w:t>
      </w:r>
      <w:r w:rsidRPr="00097AA8">
        <w:rPr>
          <w:rFonts w:ascii="Arial" w:hAnsi="Arial" w:cs="Arial"/>
          <w:sz w:val="20"/>
          <w:vertAlign w:val="superscript"/>
        </w:rPr>
        <w:t>2</w:t>
      </w:r>
      <w:r>
        <w:rPr>
          <w:rFonts w:ascii="Arial" w:hAnsi="Arial" w:cs="Arial"/>
          <w:sz w:val="20"/>
        </w:rPr>
        <w:t xml:space="preserve"> year. The buildings are naturally ventilated through windows; the kitchens are equipped with independent extraction hoods, while the bathroom ventilation occurs via centralized chimneys employing stack effect. The heating of the building is done via water based heating system with radiators and floor heating (supplied from radiator return). The heating system consist of a common gas boiler located in the basement and individual substation with heat exchanger for each individual building. Domestic </w:t>
      </w:r>
      <w:r>
        <w:rPr>
          <w:rFonts w:ascii="Arial" w:hAnsi="Arial" w:cs="Arial"/>
          <w:noProof/>
          <w:sz w:val="20"/>
          <w:lang w:val="en-US" w:eastAsia="en-US"/>
        </w:rPr>
        <w:drawing>
          <wp:anchor distT="0" distB="0" distL="114300" distR="114300" simplePos="0" relativeHeight="251660288" behindDoc="0" locked="0" layoutInCell="1" allowOverlap="1" wp14:anchorId="3F5E017F" wp14:editId="0BEFC91F">
            <wp:simplePos x="0" y="0"/>
            <wp:positionH relativeFrom="column">
              <wp:posOffset>2975610</wp:posOffset>
            </wp:positionH>
            <wp:positionV relativeFrom="paragraph">
              <wp:posOffset>102</wp:posOffset>
            </wp:positionV>
            <wp:extent cx="3139440" cy="2567940"/>
            <wp:effectExtent l="0" t="0" r="3810" b="3810"/>
            <wp:wrapSquare wrapText="bothSides"/>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Map_complex.PNG"/>
                    <pic:cNvPicPr/>
                  </pic:nvPicPr>
                  <pic:blipFill rotWithShape="1">
                    <a:blip r:embed="rId17" cstate="print">
                      <a:extLst>
                        <a:ext uri="{28A0092B-C50C-407E-A947-70E740481C1C}">
                          <a14:useLocalDpi xmlns:a14="http://schemas.microsoft.com/office/drawing/2010/main" val="0"/>
                        </a:ext>
                      </a:extLst>
                    </a:blip>
                    <a:srcRect l="32766" t="7392" r="15906" b="3630"/>
                    <a:stretch/>
                  </pic:blipFill>
                  <pic:spPr bwMode="auto">
                    <a:xfrm>
                      <a:off x="0" y="0"/>
                      <a:ext cx="3139440" cy="256794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rFonts w:ascii="Arial" w:hAnsi="Arial" w:cs="Arial"/>
          <w:sz w:val="20"/>
        </w:rPr>
        <w:t>hot water production and supply are done in the same way as for space heating.</w:t>
      </w:r>
      <w:r w:rsidR="008068F3">
        <w:rPr>
          <w:noProof/>
          <w:lang w:val="en-US" w:eastAsia="en-US"/>
        </w:rPr>
        <mc:AlternateContent>
          <mc:Choice Requires="wps">
            <w:drawing>
              <wp:anchor distT="0" distB="0" distL="114300" distR="114300" simplePos="0" relativeHeight="251666432" behindDoc="0" locked="0" layoutInCell="1" allowOverlap="1" wp14:anchorId="4555D45B" wp14:editId="625931EC">
                <wp:simplePos x="0" y="0"/>
                <wp:positionH relativeFrom="column">
                  <wp:posOffset>2975610</wp:posOffset>
                </wp:positionH>
                <wp:positionV relativeFrom="paragraph">
                  <wp:posOffset>2629535</wp:posOffset>
                </wp:positionV>
                <wp:extent cx="3139440" cy="635"/>
                <wp:effectExtent l="0" t="0" r="0" b="0"/>
                <wp:wrapSquare wrapText="bothSides"/>
                <wp:docPr id="7" name="Text Box 7"/>
                <wp:cNvGraphicFramePr/>
                <a:graphic xmlns:a="http://schemas.openxmlformats.org/drawingml/2006/main">
                  <a:graphicData uri="http://schemas.microsoft.com/office/word/2010/wordprocessingShape">
                    <wps:wsp>
                      <wps:cNvSpPr txBox="1"/>
                      <wps:spPr>
                        <a:xfrm>
                          <a:off x="0" y="0"/>
                          <a:ext cx="3139440" cy="635"/>
                        </a:xfrm>
                        <a:prstGeom prst="rect">
                          <a:avLst/>
                        </a:prstGeom>
                        <a:solidFill>
                          <a:prstClr val="white"/>
                        </a:solidFill>
                        <a:ln>
                          <a:noFill/>
                        </a:ln>
                      </wps:spPr>
                      <wps:txbx>
                        <w:txbxContent>
                          <w:p w14:paraId="5A36E91A" w14:textId="2D2737E9" w:rsidR="008068F3" w:rsidRPr="004A5D75" w:rsidRDefault="008068F3" w:rsidP="00015049">
                            <w:pPr>
                              <w:pStyle w:val="Caption"/>
                              <w:rPr>
                                <w:rFonts w:ascii="Arial" w:hAnsi="Arial" w:cs="Arial"/>
                                <w:i/>
                                <w:sz w:val="20"/>
                              </w:rPr>
                            </w:pPr>
                            <w:bookmarkStart w:id="9" w:name="_Ref47376869"/>
                            <w:r w:rsidRPr="004A5D75">
                              <w:rPr>
                                <w:rFonts w:ascii="Arial" w:hAnsi="Arial" w:cs="Arial"/>
                                <w:i/>
                                <w:sz w:val="20"/>
                              </w:rPr>
                              <w:t xml:space="preserve">Figure </w:t>
                            </w:r>
                            <w:r w:rsidRPr="004A5D75">
                              <w:rPr>
                                <w:rFonts w:ascii="Arial" w:hAnsi="Arial" w:cs="Arial"/>
                                <w:i/>
                                <w:sz w:val="20"/>
                              </w:rPr>
                              <w:fldChar w:fldCharType="begin"/>
                            </w:r>
                            <w:r w:rsidRPr="004A5D75">
                              <w:rPr>
                                <w:rFonts w:ascii="Arial" w:hAnsi="Arial" w:cs="Arial"/>
                                <w:i/>
                                <w:sz w:val="20"/>
                              </w:rPr>
                              <w:instrText xml:space="preserve"> SEQ Figure \* ARABIC </w:instrText>
                            </w:r>
                            <w:r w:rsidRPr="004A5D75">
                              <w:rPr>
                                <w:rFonts w:ascii="Arial" w:hAnsi="Arial" w:cs="Arial"/>
                                <w:i/>
                                <w:sz w:val="20"/>
                              </w:rPr>
                              <w:fldChar w:fldCharType="separate"/>
                            </w:r>
                            <w:r w:rsidR="00E46138">
                              <w:rPr>
                                <w:rFonts w:ascii="Arial" w:hAnsi="Arial" w:cs="Arial"/>
                                <w:i/>
                                <w:noProof/>
                                <w:sz w:val="20"/>
                              </w:rPr>
                              <w:t>6</w:t>
                            </w:r>
                            <w:r w:rsidRPr="004A5D75">
                              <w:rPr>
                                <w:rFonts w:ascii="Arial" w:hAnsi="Arial" w:cs="Arial"/>
                                <w:i/>
                                <w:sz w:val="20"/>
                              </w:rPr>
                              <w:fldChar w:fldCharType="end"/>
                            </w:r>
                            <w:bookmarkEnd w:id="9"/>
                            <w:r w:rsidRPr="004A5D75">
                              <w:rPr>
                                <w:rFonts w:ascii="Arial" w:hAnsi="Arial" w:cs="Arial"/>
                                <w:i/>
                                <w:sz w:val="20"/>
                              </w:rPr>
                              <w:t xml:space="preserve"> Site plan of the case study building complex</w:t>
                            </w:r>
                            <w:r w:rsidR="008B7143">
                              <w:rPr>
                                <w:rFonts w:ascii="Arial" w:hAnsi="Arial" w:cs="Arial"/>
                                <w:i/>
                                <w:sz w:val="20"/>
                              </w:rPr>
                              <w:t>.</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type w14:anchorId="4555D45B" id="_x0000_t202" coordsize="21600,21600" o:spt="202" path="m,l,21600r21600,l21600,xe">
                <v:stroke joinstyle="miter"/>
                <v:path gradientshapeok="t" o:connecttype="rect"/>
              </v:shapetype>
              <v:shape id="Text Box 7" o:spid="_x0000_s1027" type="#_x0000_t202" style="position:absolute;left:0;text-align:left;margin-left:234.3pt;margin-top:207.05pt;width:247.2pt;height:.05pt;z-index:25166643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BNkuLQIAAGQEAAAOAAAAZHJzL2Uyb0RvYy54bWysVMFu2zAMvQ/YPwi6L06aru2COEWWIsOA&#10;oC2QDD0rshwLkEWNUmJnXz9KttOt22nYRaZIitJ7j/T8vq0NOyn0GmzOJ6MxZ8pKKLQ95Pzbbv3h&#10;jjMfhC2EAatyflae3y/ev5s3bqauoAJTKGRUxPpZ43JeheBmWeZlpWrhR+CUpWAJWItAWzxkBYqG&#10;qtcmuxqPb7IGsHAIUnlP3ocuyBepflkqGZ7K0qvATM7pbSGtmNZ9XLPFXMwOKFylZf8M8Q+vqIW2&#10;dOml1IMIgh1R/1Gq1hLBQxlGEuoMylJLlTAQmsn4DZptJZxKWIgc7y40+f9XVj6enpHpIue3nFlR&#10;k0Q71Qb2GVp2G9lpnJ9R0tZRWmjJTSoPfk/OCLotsY5fgsMoTjyfL9zGYpKc08n00/U1hSTFbqYf&#10;Y43s9ahDH74oqFk0co4kXOJTnDY+dKlDSrzJg9HFWhsTNzGwMshOgkRuKh1UX/y3LGNjroV4qisY&#10;PVnE1+GIVmj3bWLjgnEPxZmgI3St451ca7pvI3x4Fki9QpCo/8MTLaWBJufQW5xVgD/+5o/5JCFF&#10;OWuo93Luvx8FKs7MV0vixkYdDByM/WDYY70CQjqhyXIymXQAgxnMEqF+obFYxlsoJKyku3IeBnMV&#10;ugmgsZJquUxJ1I5OhI3dOhlLD7zu2heBrlclkJiPMHSlmL0Rp8tN8rjlMRDTSbnIa8diTze1ctK+&#10;H7s4K7/uU9brz2HxEwAA//8DAFBLAwQUAAYACAAAACEAE9/uo+EAAAALAQAADwAAAGRycy9kb3du&#10;cmV2LnhtbEyPMU/DMBCFdyT+g3VILIg6aSOrTeNUVQUDLFVDFzY3duNAfI5ipw3/noMFtrt7T+++&#10;V2wm17GLGULrUUI6S4AZrL1usZFwfHt+XAILUaFWnUcj4csE2JS3N4XKtb/iwVyq2DAKwZArCTbG&#10;Puc81NY4FWa+N0ja2Q9ORVqHhutBXSncdXyeJII71SJ9sKo3O2vqz2p0EvbZ+94+jOen1222GF6O&#10;4058NJWU93fTdg0smin+meEHn9ChJKaTH1EH1knIxFKQlYY0S4GRYyUW1O70e5kDLwv+v0P5DQAA&#10;//8DAFBLAQItABQABgAIAAAAIQC2gziS/gAAAOEBAAATAAAAAAAAAAAAAAAAAAAAAABbQ29udGVu&#10;dF9UeXBlc10ueG1sUEsBAi0AFAAGAAgAAAAhADj9If/WAAAAlAEAAAsAAAAAAAAAAAAAAAAALwEA&#10;AF9yZWxzLy5yZWxzUEsBAi0AFAAGAAgAAAAhAJEE2S4tAgAAZAQAAA4AAAAAAAAAAAAAAAAALgIA&#10;AGRycy9lMm9Eb2MueG1sUEsBAi0AFAAGAAgAAAAhABPf7qPhAAAACwEAAA8AAAAAAAAAAAAAAAAA&#10;hwQAAGRycy9kb3ducmV2LnhtbFBLBQYAAAAABAAEAPMAAACVBQAAAAA=&#10;" stroked="f">
                <v:textbox style="mso-fit-shape-to-text:t" inset="0,0,0,0">
                  <w:txbxContent>
                    <w:p w14:paraId="5A36E91A" w14:textId="2D2737E9" w:rsidR="008068F3" w:rsidRPr="004A5D75" w:rsidRDefault="008068F3" w:rsidP="00015049">
                      <w:pPr>
                        <w:pStyle w:val="Caption"/>
                        <w:rPr>
                          <w:rFonts w:ascii="Arial" w:hAnsi="Arial" w:cs="Arial"/>
                          <w:i/>
                          <w:sz w:val="20"/>
                        </w:rPr>
                      </w:pPr>
                      <w:bookmarkStart w:id="10" w:name="_Ref47376869"/>
                      <w:r w:rsidRPr="004A5D75">
                        <w:rPr>
                          <w:rFonts w:ascii="Arial" w:hAnsi="Arial" w:cs="Arial"/>
                          <w:i/>
                          <w:sz w:val="20"/>
                        </w:rPr>
                        <w:t xml:space="preserve">Figure </w:t>
                      </w:r>
                      <w:r w:rsidRPr="004A5D75">
                        <w:rPr>
                          <w:rFonts w:ascii="Arial" w:hAnsi="Arial" w:cs="Arial"/>
                          <w:i/>
                          <w:sz w:val="20"/>
                        </w:rPr>
                        <w:fldChar w:fldCharType="begin"/>
                      </w:r>
                      <w:r w:rsidRPr="004A5D75">
                        <w:rPr>
                          <w:rFonts w:ascii="Arial" w:hAnsi="Arial" w:cs="Arial"/>
                          <w:i/>
                          <w:sz w:val="20"/>
                        </w:rPr>
                        <w:instrText xml:space="preserve"> SEQ Figure \* ARABIC </w:instrText>
                      </w:r>
                      <w:r w:rsidRPr="004A5D75">
                        <w:rPr>
                          <w:rFonts w:ascii="Arial" w:hAnsi="Arial" w:cs="Arial"/>
                          <w:i/>
                          <w:sz w:val="20"/>
                        </w:rPr>
                        <w:fldChar w:fldCharType="separate"/>
                      </w:r>
                      <w:r w:rsidR="00E46138">
                        <w:rPr>
                          <w:rFonts w:ascii="Arial" w:hAnsi="Arial" w:cs="Arial"/>
                          <w:i/>
                          <w:noProof/>
                          <w:sz w:val="20"/>
                        </w:rPr>
                        <w:t>6</w:t>
                      </w:r>
                      <w:r w:rsidRPr="004A5D75">
                        <w:rPr>
                          <w:rFonts w:ascii="Arial" w:hAnsi="Arial" w:cs="Arial"/>
                          <w:i/>
                          <w:sz w:val="20"/>
                        </w:rPr>
                        <w:fldChar w:fldCharType="end"/>
                      </w:r>
                      <w:bookmarkEnd w:id="10"/>
                      <w:r w:rsidRPr="004A5D75">
                        <w:rPr>
                          <w:rFonts w:ascii="Arial" w:hAnsi="Arial" w:cs="Arial"/>
                          <w:i/>
                          <w:sz w:val="20"/>
                        </w:rPr>
                        <w:t xml:space="preserve"> Site plan of the case study building complex</w:t>
                      </w:r>
                      <w:r w:rsidR="008B7143">
                        <w:rPr>
                          <w:rFonts w:ascii="Arial" w:hAnsi="Arial" w:cs="Arial"/>
                          <w:i/>
                          <w:sz w:val="20"/>
                        </w:rPr>
                        <w:t>.</w:t>
                      </w:r>
                    </w:p>
                  </w:txbxContent>
                </v:textbox>
                <w10:wrap type="square"/>
              </v:shape>
            </w:pict>
          </mc:Fallback>
        </mc:AlternateContent>
      </w:r>
    </w:p>
    <w:p w14:paraId="62F7A07A" w14:textId="6443CBD3" w:rsidR="00FA66C2" w:rsidRDefault="00AA597D" w:rsidP="00015049">
      <w:pPr>
        <w:pStyle w:val="BodyText"/>
        <w:spacing w:line="240" w:lineRule="auto"/>
        <w:ind w:right="-6"/>
        <w:jc w:val="both"/>
        <w:rPr>
          <w:rFonts w:ascii="Arial" w:hAnsi="Arial" w:cs="Arial"/>
          <w:sz w:val="20"/>
        </w:rPr>
      </w:pPr>
      <w:r>
        <w:rPr>
          <w:rFonts w:ascii="Arial" w:hAnsi="Arial" w:cs="Arial"/>
          <w:sz w:val="20"/>
        </w:rPr>
        <w:t xml:space="preserve">The </w:t>
      </w:r>
      <w:r w:rsidR="009F6631">
        <w:rPr>
          <w:rFonts w:ascii="Arial" w:hAnsi="Arial" w:cs="Arial"/>
          <w:sz w:val="20"/>
        </w:rPr>
        <w:t>building envelope</w:t>
      </w:r>
      <w:r>
        <w:rPr>
          <w:rFonts w:ascii="Arial" w:hAnsi="Arial" w:cs="Arial"/>
          <w:sz w:val="20"/>
        </w:rPr>
        <w:t xml:space="preserve"> elements vary in regards to typology. There are two different roof types; seven different external wall types; three different floors and two different window types. Three of the seven wall types </w:t>
      </w:r>
      <w:r w:rsidR="009F6631">
        <w:rPr>
          <w:rFonts w:ascii="Arial" w:hAnsi="Arial" w:cs="Arial"/>
          <w:sz w:val="20"/>
        </w:rPr>
        <w:t>constitute</w:t>
      </w:r>
      <w:r>
        <w:rPr>
          <w:rFonts w:ascii="Arial" w:hAnsi="Arial" w:cs="Arial"/>
          <w:sz w:val="20"/>
        </w:rPr>
        <w:t xml:space="preserve"> about 90% of all building </w:t>
      </w:r>
      <w:r w:rsidR="009F6631">
        <w:rPr>
          <w:rFonts w:ascii="Arial" w:hAnsi="Arial" w:cs="Arial"/>
          <w:sz w:val="20"/>
        </w:rPr>
        <w:t xml:space="preserve">external wall, those are the ones considered in the analysis below. </w:t>
      </w:r>
      <w:r>
        <w:rPr>
          <w:rFonts w:ascii="Arial" w:hAnsi="Arial" w:cs="Arial"/>
          <w:sz w:val="20"/>
        </w:rPr>
        <w:t xml:space="preserve">The most represented external wall type is bricks with </w:t>
      </w:r>
      <w:r w:rsidR="00CE1A9E">
        <w:rPr>
          <w:rFonts w:ascii="Arial" w:hAnsi="Arial" w:cs="Arial"/>
          <w:sz w:val="20"/>
        </w:rPr>
        <w:t>rigid</w:t>
      </w:r>
      <w:r>
        <w:rPr>
          <w:rFonts w:ascii="Arial" w:hAnsi="Arial" w:cs="Arial"/>
          <w:sz w:val="20"/>
        </w:rPr>
        <w:t xml:space="preserve"> external insulation and plaster on both sides. It constitutes for 34% of the total external walls and has U-value equal to 0.3 W/m</w:t>
      </w:r>
      <w:r w:rsidRPr="00015049">
        <w:rPr>
          <w:rFonts w:ascii="Arial" w:hAnsi="Arial" w:cs="Arial"/>
          <w:vertAlign w:val="superscript"/>
        </w:rPr>
        <w:t>2</w:t>
      </w:r>
      <w:r>
        <w:rPr>
          <w:rFonts w:ascii="Arial" w:hAnsi="Arial" w:cs="Arial"/>
          <w:sz w:val="20"/>
          <w:vertAlign w:val="superscript"/>
        </w:rPr>
        <w:t xml:space="preserve"> </w:t>
      </w:r>
      <w:r>
        <w:rPr>
          <w:rFonts w:ascii="Arial" w:hAnsi="Arial" w:cs="Arial"/>
          <w:sz w:val="20"/>
        </w:rPr>
        <w:t xml:space="preserve">K. The </w:t>
      </w:r>
      <w:r w:rsidR="009F6631">
        <w:rPr>
          <w:rFonts w:ascii="Arial" w:hAnsi="Arial" w:cs="Arial"/>
          <w:sz w:val="20"/>
        </w:rPr>
        <w:t xml:space="preserve">other two wall types comprise of brick, insulation and concrete (28% of all external walls, U-value of 0.29), and brick insulation and ventilation gap (27% of all external walls, U-value of 0.28). The </w:t>
      </w:r>
      <w:r w:rsidR="00D948C4">
        <w:rPr>
          <w:rFonts w:ascii="Arial" w:hAnsi="Arial" w:cs="Arial"/>
          <w:sz w:val="20"/>
        </w:rPr>
        <w:t>biggest share of the floor is this over the unheated parking, constituting of about 95% of all floors part of the thermal envelope. It is with the highest U-value (0.77 W/m</w:t>
      </w:r>
      <w:r w:rsidR="00D948C4" w:rsidRPr="00015049">
        <w:rPr>
          <w:rFonts w:ascii="Arial" w:hAnsi="Arial" w:cs="Arial"/>
          <w:vertAlign w:val="superscript"/>
        </w:rPr>
        <w:t>2</w:t>
      </w:r>
      <w:r w:rsidR="00D948C4">
        <w:rPr>
          <w:rFonts w:ascii="Arial" w:hAnsi="Arial" w:cs="Arial"/>
          <w:sz w:val="20"/>
        </w:rPr>
        <w:t xml:space="preserve"> K) and the only type where no relocation of tenants is necessary; thus, this is the only floor type considered in the analysis. Both roof type</w:t>
      </w:r>
      <w:r w:rsidR="00CE1A9E">
        <w:rPr>
          <w:rFonts w:ascii="Arial" w:hAnsi="Arial" w:cs="Arial"/>
          <w:sz w:val="20"/>
        </w:rPr>
        <w:t>s</w:t>
      </w:r>
      <w:r w:rsidR="00D948C4">
        <w:rPr>
          <w:rFonts w:ascii="Arial" w:hAnsi="Arial" w:cs="Arial"/>
          <w:sz w:val="20"/>
        </w:rPr>
        <w:t xml:space="preserve"> have undergone improvements in recent years and are therefore not part of the analysis. In regards to t</w:t>
      </w:r>
      <w:r w:rsidR="00CE1A9E">
        <w:rPr>
          <w:rFonts w:ascii="Arial" w:hAnsi="Arial" w:cs="Arial"/>
          <w:sz w:val="20"/>
        </w:rPr>
        <w:t>he window, replacement with two different types is investigated. While none of the building envelope elements complies with the current regulation, they are</w:t>
      </w:r>
      <w:r w:rsidR="00FA66C2">
        <w:rPr>
          <w:rFonts w:ascii="Arial" w:hAnsi="Arial" w:cs="Arial"/>
          <w:sz w:val="20"/>
        </w:rPr>
        <w:t xml:space="preserve"> </w:t>
      </w:r>
      <w:r w:rsidR="00CE1A9E">
        <w:rPr>
          <w:rFonts w:ascii="Arial" w:hAnsi="Arial" w:cs="Arial"/>
          <w:sz w:val="20"/>
        </w:rPr>
        <w:t>i</w:t>
      </w:r>
      <w:r w:rsidR="00FA66C2">
        <w:rPr>
          <w:rFonts w:ascii="Arial" w:hAnsi="Arial" w:cs="Arial"/>
          <w:sz w:val="20"/>
        </w:rPr>
        <w:t>n</w:t>
      </w:r>
      <w:r w:rsidR="00CE1A9E">
        <w:rPr>
          <w:rFonts w:ascii="Arial" w:hAnsi="Arial" w:cs="Arial"/>
          <w:sz w:val="20"/>
        </w:rPr>
        <w:t xml:space="preserve"> </w:t>
      </w:r>
      <w:r w:rsidR="00FA66C2">
        <w:rPr>
          <w:rFonts w:ascii="Arial" w:hAnsi="Arial" w:cs="Arial"/>
          <w:sz w:val="20"/>
        </w:rPr>
        <w:t xml:space="preserve">good condition. </w:t>
      </w:r>
      <w:r w:rsidR="00CE1A9E">
        <w:rPr>
          <w:rFonts w:ascii="Arial" w:hAnsi="Arial" w:cs="Arial"/>
          <w:sz w:val="20"/>
        </w:rPr>
        <w:t>Therefore</w:t>
      </w:r>
      <w:r w:rsidR="0027380E">
        <w:rPr>
          <w:rFonts w:ascii="Arial" w:hAnsi="Arial" w:cs="Arial"/>
          <w:sz w:val="20"/>
        </w:rPr>
        <w:t>,</w:t>
      </w:r>
      <w:r w:rsidR="00CE1A9E">
        <w:rPr>
          <w:rFonts w:ascii="Arial" w:hAnsi="Arial" w:cs="Arial"/>
          <w:sz w:val="20"/>
        </w:rPr>
        <w:t xml:space="preserve"> </w:t>
      </w:r>
      <w:r w:rsidR="0027380E">
        <w:rPr>
          <w:rFonts w:ascii="Arial" w:hAnsi="Arial" w:cs="Arial"/>
          <w:sz w:val="20"/>
        </w:rPr>
        <w:t>economic feasibility evaluation is necessary in order to determine the most appropriate actions in order to reach the owner’s target</w:t>
      </w:r>
      <w:r w:rsidR="00CE1A9E">
        <w:rPr>
          <w:rFonts w:ascii="Arial" w:hAnsi="Arial" w:cs="Arial"/>
          <w:sz w:val="20"/>
        </w:rPr>
        <w:t xml:space="preserve"> and NZEB standard</w:t>
      </w:r>
      <w:r w:rsidR="0027380E">
        <w:rPr>
          <w:rFonts w:ascii="Arial" w:hAnsi="Arial" w:cs="Arial"/>
          <w:sz w:val="20"/>
        </w:rPr>
        <w:t>.</w:t>
      </w:r>
    </w:p>
    <w:p w14:paraId="5CD3BBBF" w14:textId="62F410EE" w:rsidR="007A41A7" w:rsidRDefault="00B15269" w:rsidP="004A5D75">
      <w:pPr>
        <w:pStyle w:val="BodyText"/>
        <w:spacing w:line="240" w:lineRule="auto"/>
        <w:ind w:right="-6"/>
        <w:jc w:val="both"/>
      </w:pPr>
      <w:r>
        <w:rPr>
          <w:rFonts w:ascii="Arial" w:hAnsi="Arial" w:cs="Arial"/>
        </w:rPr>
        <w:fldChar w:fldCharType="begin"/>
      </w:r>
      <w:r>
        <w:rPr>
          <w:rFonts w:ascii="Arial" w:hAnsi="Arial" w:cs="Arial"/>
          <w:sz w:val="20"/>
        </w:rPr>
        <w:instrText xml:space="preserve"> REF _Ref47612482 \h </w:instrText>
      </w:r>
      <w:r>
        <w:rPr>
          <w:rFonts w:ascii="Arial" w:hAnsi="Arial" w:cs="Arial"/>
        </w:rPr>
      </w:r>
      <w:r>
        <w:rPr>
          <w:rFonts w:ascii="Arial" w:hAnsi="Arial" w:cs="Arial"/>
        </w:rPr>
        <w:fldChar w:fldCharType="separate"/>
      </w:r>
      <w:r w:rsidR="00015207" w:rsidRPr="004A5D75">
        <w:rPr>
          <w:rFonts w:ascii="Arial" w:hAnsi="Arial" w:cs="Arial"/>
          <w:i/>
          <w:sz w:val="20"/>
        </w:rPr>
        <w:t xml:space="preserve">Table </w:t>
      </w:r>
      <w:r w:rsidR="00015207">
        <w:rPr>
          <w:rFonts w:ascii="Arial" w:hAnsi="Arial" w:cs="Arial"/>
          <w:i/>
          <w:noProof/>
          <w:sz w:val="20"/>
        </w:rPr>
        <w:t>1</w:t>
      </w:r>
      <w:r>
        <w:rPr>
          <w:rFonts w:ascii="Arial" w:hAnsi="Arial" w:cs="Arial"/>
        </w:rPr>
        <w:fldChar w:fldCharType="end"/>
      </w:r>
      <w:r w:rsidR="00A311D8">
        <w:rPr>
          <w:rFonts w:ascii="Arial" w:hAnsi="Arial" w:cs="Arial"/>
        </w:rPr>
        <w:t xml:space="preserve"> </w:t>
      </w:r>
      <w:r w:rsidR="00DE0B46">
        <w:rPr>
          <w:rFonts w:ascii="Arial" w:hAnsi="Arial" w:cs="Arial"/>
          <w:sz w:val="20"/>
        </w:rPr>
        <w:t>presents t</w:t>
      </w:r>
      <w:r w:rsidR="00262E63">
        <w:rPr>
          <w:rFonts w:ascii="Arial" w:hAnsi="Arial" w:cs="Arial"/>
          <w:sz w:val="20"/>
        </w:rPr>
        <w:t xml:space="preserve">he evaluated refurbishment actions </w:t>
      </w:r>
      <w:r w:rsidR="00DE0B46">
        <w:rPr>
          <w:rFonts w:ascii="Arial" w:hAnsi="Arial" w:cs="Arial"/>
          <w:sz w:val="20"/>
        </w:rPr>
        <w:t xml:space="preserve">selected </w:t>
      </w:r>
      <w:r w:rsidR="00A91EBF">
        <w:rPr>
          <w:rFonts w:ascii="Arial" w:hAnsi="Arial" w:cs="Arial"/>
          <w:sz w:val="20"/>
        </w:rPr>
        <w:t>for the initial test of the</w:t>
      </w:r>
      <w:r w:rsidR="00262E63">
        <w:rPr>
          <w:rFonts w:ascii="Arial" w:hAnsi="Arial" w:cs="Arial"/>
          <w:sz w:val="20"/>
        </w:rPr>
        <w:t xml:space="preserve"> platform</w:t>
      </w:r>
      <w:r w:rsidR="007A41A7">
        <w:rPr>
          <w:rFonts w:ascii="Arial" w:hAnsi="Arial" w:cs="Arial"/>
          <w:sz w:val="20"/>
        </w:rPr>
        <w:t xml:space="preserve">. The actions are selected to test the </w:t>
      </w:r>
      <w:r w:rsidR="00DE0B46">
        <w:rPr>
          <w:rFonts w:ascii="Arial" w:hAnsi="Arial" w:cs="Arial"/>
          <w:sz w:val="20"/>
        </w:rPr>
        <w:t xml:space="preserve">capabilities and drawbacks of the platform </w:t>
      </w:r>
      <w:r w:rsidR="00CE1A9E">
        <w:rPr>
          <w:rFonts w:ascii="Arial" w:hAnsi="Arial" w:cs="Arial"/>
          <w:sz w:val="20"/>
        </w:rPr>
        <w:t>rather</w:t>
      </w:r>
      <w:r w:rsidR="00DE0B46">
        <w:rPr>
          <w:rFonts w:ascii="Arial" w:hAnsi="Arial" w:cs="Arial"/>
          <w:sz w:val="20"/>
        </w:rPr>
        <w:t xml:space="preserve"> than perform in-depth renovation analysis for the building complex.</w:t>
      </w:r>
      <w:r w:rsidR="00E0067B">
        <w:rPr>
          <w:rFonts w:ascii="Arial" w:hAnsi="Arial" w:cs="Arial"/>
          <w:sz w:val="20"/>
        </w:rPr>
        <w:t xml:space="preserve"> That is why a precise description of </w:t>
      </w:r>
      <w:r w:rsidR="00CE1A9E">
        <w:rPr>
          <w:rFonts w:ascii="Arial" w:hAnsi="Arial" w:cs="Arial"/>
          <w:sz w:val="20"/>
        </w:rPr>
        <w:t xml:space="preserve">obtaining of </w:t>
      </w:r>
      <w:r w:rsidR="00E0067B">
        <w:rPr>
          <w:rFonts w:ascii="Arial" w:hAnsi="Arial" w:cs="Arial"/>
          <w:sz w:val="20"/>
        </w:rPr>
        <w:t>each indicator as cost, energy savings, GWP and CO</w:t>
      </w:r>
      <w:r w:rsidR="00E0067B" w:rsidRPr="00015049">
        <w:rPr>
          <w:rFonts w:ascii="Arial" w:hAnsi="Arial" w:cs="Arial"/>
          <w:sz w:val="20"/>
          <w:vertAlign w:val="subscript"/>
        </w:rPr>
        <w:t>2</w:t>
      </w:r>
      <w:r w:rsidR="00E0067B">
        <w:rPr>
          <w:rFonts w:ascii="Arial" w:hAnsi="Arial" w:cs="Arial"/>
          <w:sz w:val="20"/>
        </w:rPr>
        <w:t xml:space="preserve"> savings are not part of this publication. The actions were deter</w:t>
      </w:r>
      <w:r w:rsidR="0025340A">
        <w:rPr>
          <w:rFonts w:ascii="Arial" w:hAnsi="Arial" w:cs="Arial"/>
          <w:sz w:val="20"/>
        </w:rPr>
        <w:t xml:space="preserve">mined after energy audit, cost and energy analysis of the buildings. Energy saving analysis </w:t>
      </w:r>
      <w:r w:rsidR="00CE1A9E">
        <w:rPr>
          <w:rFonts w:ascii="Arial" w:hAnsi="Arial" w:cs="Arial"/>
          <w:sz w:val="20"/>
        </w:rPr>
        <w:t>are done</w:t>
      </w:r>
      <w:r w:rsidR="0025340A">
        <w:rPr>
          <w:rFonts w:ascii="Arial" w:hAnsi="Arial" w:cs="Arial"/>
          <w:sz w:val="20"/>
        </w:rPr>
        <w:t xml:space="preserve"> using the </w:t>
      </w:r>
      <w:r w:rsidR="00E54AB9">
        <w:rPr>
          <w:rFonts w:ascii="Arial" w:hAnsi="Arial" w:cs="Arial"/>
          <w:sz w:val="20"/>
        </w:rPr>
        <w:t xml:space="preserve">ECOSOLUTION </w:t>
      </w:r>
      <w:r w:rsidR="0025340A">
        <w:rPr>
          <w:rFonts w:ascii="Arial" w:hAnsi="Arial" w:cs="Arial"/>
          <w:sz w:val="20"/>
        </w:rPr>
        <w:t xml:space="preserve">and Lesosai tools, while cost analysis were performed using EPIQR+. </w:t>
      </w:r>
      <w:r w:rsidR="00CE1A9E">
        <w:rPr>
          <w:rFonts w:ascii="Arial" w:hAnsi="Arial" w:cs="Arial"/>
          <w:sz w:val="20"/>
        </w:rPr>
        <w:t xml:space="preserve">Due to recent upgrade and integration of EPIQR+ with </w:t>
      </w:r>
      <w:r w:rsidR="00A91EBF">
        <w:rPr>
          <w:rFonts w:ascii="Arial" w:hAnsi="Arial" w:cs="Arial"/>
          <w:sz w:val="20"/>
        </w:rPr>
        <w:t xml:space="preserve">an </w:t>
      </w:r>
      <w:r w:rsidR="00CE1A9E">
        <w:rPr>
          <w:rFonts w:ascii="Arial" w:hAnsi="Arial" w:cs="Arial"/>
          <w:sz w:val="20"/>
        </w:rPr>
        <w:t>LCA database developed for the RECO</w:t>
      </w:r>
      <w:r w:rsidR="00CE1A9E" w:rsidRPr="00691E16">
        <w:rPr>
          <w:rFonts w:ascii="Arial" w:hAnsi="Arial" w:cs="Arial"/>
          <w:sz w:val="20"/>
          <w:vertAlign w:val="subscript"/>
        </w:rPr>
        <w:t>2</w:t>
      </w:r>
      <w:r w:rsidR="00CE1A9E">
        <w:rPr>
          <w:rFonts w:ascii="Arial" w:hAnsi="Arial" w:cs="Arial"/>
          <w:sz w:val="20"/>
        </w:rPr>
        <w:t>ST project, actions analysed with EPIQR+</w:t>
      </w:r>
      <w:r w:rsidR="00F3220E">
        <w:rPr>
          <w:rFonts w:ascii="Arial" w:hAnsi="Arial" w:cs="Arial"/>
          <w:sz w:val="20"/>
        </w:rPr>
        <w:t xml:space="preserve"> automatically </w:t>
      </w:r>
      <w:r w:rsidR="007B0DB9">
        <w:rPr>
          <w:rFonts w:ascii="Arial" w:hAnsi="Arial" w:cs="Arial"/>
          <w:sz w:val="20"/>
        </w:rPr>
        <w:t>provide</w:t>
      </w:r>
      <w:r w:rsidR="00F3220E">
        <w:rPr>
          <w:rFonts w:ascii="Arial" w:hAnsi="Arial" w:cs="Arial"/>
          <w:sz w:val="20"/>
        </w:rPr>
        <w:t xml:space="preserve"> environmental indicators as embodied energy, GWP and ADP.</w:t>
      </w:r>
    </w:p>
    <w:tbl>
      <w:tblPr>
        <w:tblStyle w:val="TableGrid"/>
        <w:tblW w:w="0" w:type="auto"/>
        <w:tblInd w:w="-5" w:type="dxa"/>
        <w:tblLook w:val="04A0" w:firstRow="1" w:lastRow="0" w:firstColumn="1" w:lastColumn="0" w:noHBand="0" w:noVBand="1"/>
      </w:tblPr>
      <w:tblGrid>
        <w:gridCol w:w="3407"/>
        <w:gridCol w:w="3011"/>
        <w:gridCol w:w="3209"/>
      </w:tblGrid>
      <w:tr w:rsidR="00262E63" w14:paraId="084AE03C" w14:textId="77777777" w:rsidTr="00C55DCB">
        <w:tc>
          <w:tcPr>
            <w:tcW w:w="3407" w:type="dxa"/>
          </w:tcPr>
          <w:p w14:paraId="78F8EBFF" w14:textId="140CBB03" w:rsidR="00262E63" w:rsidRDefault="00262E63" w:rsidP="00015049">
            <w:pPr>
              <w:pStyle w:val="BodyText"/>
              <w:spacing w:after="0" w:line="240" w:lineRule="auto"/>
              <w:ind w:right="-6"/>
              <w:jc w:val="center"/>
              <w:rPr>
                <w:rFonts w:ascii="Arial" w:hAnsi="Arial" w:cs="Arial"/>
                <w:sz w:val="20"/>
              </w:rPr>
            </w:pPr>
            <w:r>
              <w:rPr>
                <w:rFonts w:ascii="Arial" w:hAnsi="Arial" w:cs="Arial"/>
                <w:sz w:val="20"/>
              </w:rPr>
              <w:t>Envelope</w:t>
            </w:r>
          </w:p>
        </w:tc>
        <w:tc>
          <w:tcPr>
            <w:tcW w:w="3011" w:type="dxa"/>
          </w:tcPr>
          <w:p w14:paraId="00828390" w14:textId="476F1B56" w:rsidR="00262E63" w:rsidRDefault="00262E63" w:rsidP="00015049">
            <w:pPr>
              <w:pStyle w:val="BodyText"/>
              <w:spacing w:after="0" w:line="240" w:lineRule="auto"/>
              <w:ind w:right="-6"/>
              <w:jc w:val="center"/>
              <w:rPr>
                <w:rFonts w:ascii="Arial" w:hAnsi="Arial" w:cs="Arial"/>
                <w:sz w:val="20"/>
              </w:rPr>
            </w:pPr>
            <w:r>
              <w:rPr>
                <w:rFonts w:ascii="Arial" w:hAnsi="Arial" w:cs="Arial"/>
                <w:sz w:val="20"/>
              </w:rPr>
              <w:t>Distribution systems</w:t>
            </w:r>
          </w:p>
        </w:tc>
        <w:tc>
          <w:tcPr>
            <w:tcW w:w="3209" w:type="dxa"/>
          </w:tcPr>
          <w:p w14:paraId="29FDCA69" w14:textId="6CB8B531" w:rsidR="00262E63" w:rsidRDefault="00262E63" w:rsidP="00015049">
            <w:pPr>
              <w:pStyle w:val="BodyText"/>
              <w:spacing w:after="0" w:line="240" w:lineRule="auto"/>
              <w:ind w:right="-6"/>
              <w:jc w:val="center"/>
              <w:rPr>
                <w:rFonts w:ascii="Arial" w:hAnsi="Arial" w:cs="Arial"/>
                <w:sz w:val="20"/>
              </w:rPr>
            </w:pPr>
            <w:r>
              <w:rPr>
                <w:rFonts w:ascii="Arial" w:hAnsi="Arial" w:cs="Arial"/>
                <w:sz w:val="20"/>
              </w:rPr>
              <w:t>Producing technologies</w:t>
            </w:r>
          </w:p>
        </w:tc>
      </w:tr>
      <w:tr w:rsidR="00262E63" w14:paraId="31E51EA7" w14:textId="77777777" w:rsidTr="00C55DCB">
        <w:tc>
          <w:tcPr>
            <w:tcW w:w="3407" w:type="dxa"/>
          </w:tcPr>
          <w:p w14:paraId="177A3391" w14:textId="77777777" w:rsidR="00262E63" w:rsidRDefault="00262E63" w:rsidP="00015049">
            <w:pPr>
              <w:pStyle w:val="BodyText"/>
              <w:spacing w:after="0" w:line="240" w:lineRule="auto"/>
              <w:ind w:right="-6"/>
              <w:jc w:val="both"/>
              <w:rPr>
                <w:rFonts w:ascii="Arial" w:hAnsi="Arial" w:cs="Arial"/>
                <w:sz w:val="20"/>
              </w:rPr>
            </w:pPr>
            <w:r>
              <w:rPr>
                <w:rFonts w:ascii="Arial" w:hAnsi="Arial" w:cs="Arial"/>
                <w:sz w:val="20"/>
                <w:lang w:val="en-US"/>
              </w:rPr>
              <w:t xml:space="preserve">- </w:t>
            </w:r>
            <w:r>
              <w:rPr>
                <w:rFonts w:ascii="Arial" w:hAnsi="Arial" w:cs="Arial"/>
                <w:sz w:val="20"/>
              </w:rPr>
              <w:t>Insulation of slab over unheated parking</w:t>
            </w:r>
          </w:p>
          <w:p w14:paraId="4A8F9247" w14:textId="487A3A7F" w:rsidR="00262E63" w:rsidRPr="008F07FA" w:rsidRDefault="00A91EBF" w:rsidP="00015049">
            <w:pPr>
              <w:pStyle w:val="BodyText"/>
              <w:spacing w:after="0" w:line="240" w:lineRule="auto"/>
              <w:ind w:right="-6"/>
              <w:jc w:val="both"/>
              <w:rPr>
                <w:rFonts w:ascii="Arial" w:hAnsi="Arial" w:cs="Arial"/>
                <w:sz w:val="20"/>
              </w:rPr>
            </w:pPr>
            <w:r>
              <w:rPr>
                <w:rFonts w:ascii="Arial" w:hAnsi="Arial" w:cs="Arial"/>
                <w:sz w:val="20"/>
              </w:rPr>
              <w:t xml:space="preserve">- </w:t>
            </w:r>
            <w:r w:rsidR="00262E63" w:rsidRPr="008F07FA">
              <w:rPr>
                <w:rFonts w:ascii="Arial" w:hAnsi="Arial" w:cs="Arial"/>
                <w:sz w:val="20"/>
              </w:rPr>
              <w:t>Insulation of external wall</w:t>
            </w:r>
            <w:r>
              <w:rPr>
                <w:rFonts w:ascii="Arial" w:hAnsi="Arial" w:cs="Arial"/>
                <w:sz w:val="20"/>
              </w:rPr>
              <w:t xml:space="preserve"> - 2 types</w:t>
            </w:r>
          </w:p>
          <w:p w14:paraId="3B8924B8" w14:textId="2D580B49" w:rsidR="00262E63" w:rsidRPr="00015049" w:rsidRDefault="00262E63" w:rsidP="00015049">
            <w:pPr>
              <w:pStyle w:val="BodyText"/>
              <w:spacing w:after="0" w:line="240" w:lineRule="auto"/>
              <w:ind w:right="-6"/>
              <w:jc w:val="both"/>
              <w:rPr>
                <w:rFonts w:ascii="Arial" w:hAnsi="Arial" w:cs="Arial"/>
                <w:strike/>
                <w:sz w:val="20"/>
              </w:rPr>
            </w:pPr>
            <w:r w:rsidRPr="008F07FA">
              <w:rPr>
                <w:rFonts w:ascii="Arial" w:hAnsi="Arial" w:cs="Arial"/>
                <w:sz w:val="20"/>
              </w:rPr>
              <w:t>- Replacing windows</w:t>
            </w:r>
            <w:r w:rsidR="00A91EBF">
              <w:rPr>
                <w:rFonts w:ascii="Arial" w:hAnsi="Arial" w:cs="Arial"/>
                <w:sz w:val="20"/>
              </w:rPr>
              <w:t xml:space="preserve"> - 2 types</w:t>
            </w:r>
          </w:p>
        </w:tc>
        <w:tc>
          <w:tcPr>
            <w:tcW w:w="3011" w:type="dxa"/>
          </w:tcPr>
          <w:p w14:paraId="5D17ED4E" w14:textId="2059314B" w:rsidR="00262E63" w:rsidRDefault="00262E63" w:rsidP="00015049">
            <w:pPr>
              <w:pStyle w:val="BodyText"/>
              <w:spacing w:after="0" w:line="240" w:lineRule="auto"/>
              <w:ind w:right="-6"/>
              <w:jc w:val="both"/>
              <w:rPr>
                <w:rFonts w:ascii="Arial" w:hAnsi="Arial" w:cs="Arial"/>
                <w:sz w:val="20"/>
              </w:rPr>
            </w:pPr>
            <w:r w:rsidRPr="00015049">
              <w:rPr>
                <w:rFonts w:ascii="Arial" w:hAnsi="Arial" w:cs="Arial"/>
                <w:sz w:val="20"/>
                <w:lang w:val="en-US"/>
              </w:rPr>
              <w:t xml:space="preserve">- </w:t>
            </w:r>
            <w:r>
              <w:rPr>
                <w:rFonts w:ascii="Arial" w:hAnsi="Arial" w:cs="Arial"/>
                <w:sz w:val="20"/>
              </w:rPr>
              <w:t>Circulation pump for heating</w:t>
            </w:r>
          </w:p>
          <w:p w14:paraId="091984EC" w14:textId="77777777" w:rsidR="007A41A7" w:rsidRDefault="00262E63" w:rsidP="00015049">
            <w:pPr>
              <w:pStyle w:val="BodyText"/>
              <w:spacing w:after="0" w:line="240" w:lineRule="auto"/>
              <w:ind w:right="-6"/>
              <w:jc w:val="both"/>
              <w:rPr>
                <w:rFonts w:ascii="Arial" w:hAnsi="Arial" w:cs="Arial"/>
                <w:sz w:val="20"/>
              </w:rPr>
            </w:pPr>
            <w:r>
              <w:rPr>
                <w:rFonts w:ascii="Arial" w:hAnsi="Arial" w:cs="Arial"/>
                <w:sz w:val="20"/>
              </w:rPr>
              <w:t>- Circulation pump for DHW</w:t>
            </w:r>
          </w:p>
          <w:p w14:paraId="17526A8B" w14:textId="0B664818" w:rsidR="00262E63" w:rsidRDefault="007A41A7" w:rsidP="00015049">
            <w:pPr>
              <w:pStyle w:val="BodyText"/>
              <w:spacing w:after="0" w:line="240" w:lineRule="auto"/>
              <w:ind w:right="-6"/>
              <w:jc w:val="both"/>
              <w:rPr>
                <w:rFonts w:ascii="Arial" w:hAnsi="Arial" w:cs="Arial"/>
                <w:sz w:val="20"/>
              </w:rPr>
            </w:pPr>
            <w:r>
              <w:rPr>
                <w:rFonts w:ascii="Arial" w:hAnsi="Arial" w:cs="Arial"/>
                <w:sz w:val="20"/>
              </w:rPr>
              <w:t>- LED lights for parking, laundry room and hallways</w:t>
            </w:r>
            <w:r w:rsidR="00262E63">
              <w:rPr>
                <w:rFonts w:ascii="Arial" w:hAnsi="Arial" w:cs="Arial"/>
                <w:sz w:val="20"/>
              </w:rPr>
              <w:t xml:space="preserve">  </w:t>
            </w:r>
          </w:p>
        </w:tc>
        <w:tc>
          <w:tcPr>
            <w:tcW w:w="3209" w:type="dxa"/>
          </w:tcPr>
          <w:p w14:paraId="088D9D86" w14:textId="77777777" w:rsidR="00262E63" w:rsidRDefault="007A41A7" w:rsidP="00015049">
            <w:pPr>
              <w:pStyle w:val="BodyText"/>
              <w:spacing w:after="0" w:line="240" w:lineRule="auto"/>
              <w:ind w:right="-6"/>
              <w:jc w:val="both"/>
              <w:rPr>
                <w:rFonts w:ascii="Arial" w:hAnsi="Arial" w:cs="Arial"/>
                <w:sz w:val="20"/>
              </w:rPr>
            </w:pPr>
            <w:r>
              <w:rPr>
                <w:rFonts w:ascii="Arial" w:hAnsi="Arial" w:cs="Arial"/>
                <w:sz w:val="20"/>
              </w:rPr>
              <w:t>- MVHR</w:t>
            </w:r>
          </w:p>
          <w:p w14:paraId="77373788" w14:textId="77777777" w:rsidR="007A41A7" w:rsidRDefault="007A41A7" w:rsidP="00015049">
            <w:pPr>
              <w:pStyle w:val="BodyText"/>
              <w:spacing w:after="0" w:line="240" w:lineRule="auto"/>
              <w:ind w:right="-6"/>
              <w:jc w:val="both"/>
              <w:rPr>
                <w:rFonts w:ascii="Arial" w:hAnsi="Arial" w:cs="Arial"/>
                <w:sz w:val="20"/>
              </w:rPr>
            </w:pPr>
            <w:r>
              <w:rPr>
                <w:rFonts w:ascii="Arial" w:hAnsi="Arial" w:cs="Arial"/>
                <w:sz w:val="20"/>
              </w:rPr>
              <w:t>- Renewing existing gas boilers</w:t>
            </w:r>
          </w:p>
          <w:p w14:paraId="30417516" w14:textId="77777777" w:rsidR="00DC3D22" w:rsidRDefault="007A41A7" w:rsidP="00015049">
            <w:pPr>
              <w:pStyle w:val="BodyText"/>
              <w:spacing w:after="0" w:line="240" w:lineRule="auto"/>
              <w:ind w:right="-6"/>
              <w:jc w:val="both"/>
              <w:rPr>
                <w:rFonts w:ascii="Arial" w:hAnsi="Arial" w:cs="Arial"/>
                <w:sz w:val="20"/>
              </w:rPr>
            </w:pPr>
            <w:r>
              <w:rPr>
                <w:rFonts w:ascii="Arial" w:hAnsi="Arial" w:cs="Arial"/>
                <w:sz w:val="20"/>
              </w:rPr>
              <w:t>- Switching to district heating</w:t>
            </w:r>
          </w:p>
          <w:p w14:paraId="4FCE216C" w14:textId="6584009E" w:rsidR="007A41A7" w:rsidRDefault="007A41A7" w:rsidP="004A5D75">
            <w:pPr>
              <w:pStyle w:val="BodyText"/>
              <w:keepNext/>
              <w:spacing w:after="0" w:line="240" w:lineRule="auto"/>
              <w:ind w:right="-6"/>
              <w:jc w:val="both"/>
              <w:rPr>
                <w:rFonts w:ascii="Arial" w:hAnsi="Arial" w:cs="Arial"/>
                <w:sz w:val="20"/>
              </w:rPr>
            </w:pPr>
            <w:r>
              <w:rPr>
                <w:rFonts w:ascii="Arial" w:hAnsi="Arial" w:cs="Arial"/>
                <w:sz w:val="20"/>
              </w:rPr>
              <w:t xml:space="preserve">- </w:t>
            </w:r>
            <w:r w:rsidR="00092085">
              <w:rPr>
                <w:rFonts w:ascii="Arial" w:hAnsi="Arial" w:cs="Arial"/>
                <w:sz w:val="20"/>
              </w:rPr>
              <w:t>DHW</w:t>
            </w:r>
            <w:r>
              <w:rPr>
                <w:rFonts w:ascii="Arial" w:hAnsi="Arial" w:cs="Arial"/>
                <w:sz w:val="20"/>
              </w:rPr>
              <w:t xml:space="preserve"> boilers </w:t>
            </w:r>
            <w:r w:rsidR="00092085">
              <w:rPr>
                <w:rFonts w:ascii="Arial" w:hAnsi="Arial" w:cs="Arial"/>
                <w:sz w:val="20"/>
              </w:rPr>
              <w:t>(PAC)</w:t>
            </w:r>
            <w:r>
              <w:rPr>
                <w:rFonts w:ascii="Arial" w:hAnsi="Arial" w:cs="Arial"/>
                <w:sz w:val="20"/>
              </w:rPr>
              <w:t xml:space="preserve"> </w:t>
            </w:r>
          </w:p>
        </w:tc>
      </w:tr>
    </w:tbl>
    <w:p w14:paraId="6A37B938" w14:textId="75EB3FA3" w:rsidR="008B7143" w:rsidRPr="004A5D75" w:rsidRDefault="008B7143">
      <w:pPr>
        <w:pStyle w:val="Caption"/>
        <w:rPr>
          <w:rFonts w:ascii="Arial" w:hAnsi="Arial" w:cs="Arial"/>
          <w:i/>
          <w:sz w:val="20"/>
        </w:rPr>
      </w:pPr>
      <w:bookmarkStart w:id="11" w:name="_Ref47612482"/>
      <w:r w:rsidRPr="004A5D75">
        <w:rPr>
          <w:rFonts w:ascii="Arial" w:hAnsi="Arial" w:cs="Arial"/>
          <w:i/>
          <w:sz w:val="20"/>
        </w:rPr>
        <w:t xml:space="preserve">Table </w:t>
      </w:r>
      <w:r w:rsidRPr="004A5D75">
        <w:rPr>
          <w:rFonts w:ascii="Arial" w:hAnsi="Arial" w:cs="Arial"/>
          <w:i/>
          <w:sz w:val="20"/>
        </w:rPr>
        <w:fldChar w:fldCharType="begin"/>
      </w:r>
      <w:r w:rsidRPr="004A5D75">
        <w:rPr>
          <w:rFonts w:ascii="Arial" w:hAnsi="Arial" w:cs="Arial"/>
          <w:i/>
          <w:sz w:val="20"/>
        </w:rPr>
        <w:instrText xml:space="preserve"> SEQ Table \* ARABIC </w:instrText>
      </w:r>
      <w:r w:rsidRPr="004A5D75">
        <w:rPr>
          <w:rFonts w:ascii="Arial" w:hAnsi="Arial" w:cs="Arial"/>
          <w:i/>
          <w:sz w:val="20"/>
        </w:rPr>
        <w:fldChar w:fldCharType="separate"/>
      </w:r>
      <w:r w:rsidR="00015207">
        <w:rPr>
          <w:rFonts w:ascii="Arial" w:hAnsi="Arial" w:cs="Arial"/>
          <w:i/>
          <w:noProof/>
          <w:sz w:val="20"/>
        </w:rPr>
        <w:t>1</w:t>
      </w:r>
      <w:r w:rsidRPr="004A5D75">
        <w:rPr>
          <w:rFonts w:ascii="Arial" w:hAnsi="Arial" w:cs="Arial"/>
          <w:i/>
          <w:sz w:val="20"/>
        </w:rPr>
        <w:fldChar w:fldCharType="end"/>
      </w:r>
      <w:bookmarkEnd w:id="11"/>
      <w:r w:rsidRPr="004A5D75">
        <w:rPr>
          <w:rFonts w:ascii="Arial" w:hAnsi="Arial" w:cs="Arial"/>
          <w:i/>
          <w:sz w:val="20"/>
        </w:rPr>
        <w:t xml:space="preserve"> Single refurbishment actions included in the analysis</w:t>
      </w:r>
      <w:r>
        <w:rPr>
          <w:rFonts w:ascii="Arial" w:hAnsi="Arial" w:cs="Arial"/>
          <w:i/>
          <w:sz w:val="20"/>
        </w:rPr>
        <w:t>.</w:t>
      </w:r>
    </w:p>
    <w:p w14:paraId="70E253E0" w14:textId="3F31D306" w:rsidR="00B261E3" w:rsidRPr="00B261E3" w:rsidRDefault="00022466" w:rsidP="00B261E3">
      <w:pPr>
        <w:pStyle w:val="BodyText"/>
        <w:spacing w:before="240" w:line="240" w:lineRule="auto"/>
        <w:ind w:right="-6"/>
        <w:jc w:val="both"/>
        <w:rPr>
          <w:rFonts w:ascii="Arial" w:hAnsi="Arial" w:cs="Arial"/>
          <w:sz w:val="20"/>
        </w:rPr>
      </w:pPr>
      <w:r>
        <w:rPr>
          <w:rFonts w:ascii="Arial" w:hAnsi="Arial" w:cs="Arial"/>
          <w:sz w:val="20"/>
        </w:rPr>
        <w:t>Using the sce</w:t>
      </w:r>
      <w:r w:rsidR="00A91EBF">
        <w:rPr>
          <w:rFonts w:ascii="Arial" w:hAnsi="Arial" w:cs="Arial"/>
          <w:sz w:val="20"/>
        </w:rPr>
        <w:t>nario creation page, presented i</w:t>
      </w:r>
      <w:r>
        <w:rPr>
          <w:rFonts w:ascii="Arial" w:hAnsi="Arial" w:cs="Arial"/>
          <w:sz w:val="20"/>
        </w:rPr>
        <w:t xml:space="preserve">n </w:t>
      </w:r>
      <w:r w:rsidRPr="00A91EBF">
        <w:rPr>
          <w:rFonts w:ascii="Arial" w:hAnsi="Arial" w:cs="Arial"/>
          <w:i/>
          <w:sz w:val="20"/>
        </w:rPr>
        <w:fldChar w:fldCharType="begin"/>
      </w:r>
      <w:r w:rsidRPr="00A91EBF">
        <w:rPr>
          <w:rFonts w:ascii="Arial" w:hAnsi="Arial" w:cs="Arial"/>
          <w:i/>
          <w:sz w:val="20"/>
        </w:rPr>
        <w:instrText xml:space="preserve"> REF _Ref45798953 \h </w:instrText>
      </w:r>
      <w:r w:rsidR="00700189" w:rsidRPr="00A91EBF">
        <w:rPr>
          <w:rFonts w:ascii="Arial" w:hAnsi="Arial" w:cs="Arial"/>
          <w:i/>
          <w:sz w:val="20"/>
        </w:rPr>
        <w:instrText xml:space="preserve"> \* MERGEFORMAT </w:instrText>
      </w:r>
      <w:r w:rsidRPr="00A91EBF">
        <w:rPr>
          <w:rFonts w:ascii="Arial" w:hAnsi="Arial" w:cs="Arial"/>
          <w:i/>
          <w:sz w:val="20"/>
        </w:rPr>
      </w:r>
      <w:r w:rsidRPr="00A91EBF">
        <w:rPr>
          <w:rFonts w:ascii="Arial" w:hAnsi="Arial" w:cs="Arial"/>
          <w:i/>
          <w:sz w:val="20"/>
        </w:rPr>
        <w:fldChar w:fldCharType="separate"/>
      </w:r>
      <w:r w:rsidR="00015207" w:rsidRPr="004A5D75">
        <w:rPr>
          <w:rFonts w:ascii="Arial" w:hAnsi="Arial" w:cs="Arial"/>
          <w:i/>
          <w:sz w:val="20"/>
        </w:rPr>
        <w:t xml:space="preserve">Figure </w:t>
      </w:r>
      <w:r w:rsidR="00015207">
        <w:rPr>
          <w:rFonts w:ascii="Arial" w:hAnsi="Arial" w:cs="Arial"/>
          <w:i/>
          <w:noProof/>
          <w:sz w:val="20"/>
        </w:rPr>
        <w:t>4</w:t>
      </w:r>
      <w:r w:rsidRPr="00A91EBF">
        <w:rPr>
          <w:rFonts w:ascii="Arial" w:hAnsi="Arial" w:cs="Arial"/>
          <w:i/>
          <w:sz w:val="20"/>
        </w:rPr>
        <w:fldChar w:fldCharType="end"/>
      </w:r>
      <w:r>
        <w:rPr>
          <w:rFonts w:ascii="Arial" w:hAnsi="Arial" w:cs="Arial"/>
          <w:sz w:val="20"/>
        </w:rPr>
        <w:t>, four scenarios were created. Using the sort function</w:t>
      </w:r>
      <w:r w:rsidR="00131CE6">
        <w:rPr>
          <w:rFonts w:ascii="Arial" w:hAnsi="Arial" w:cs="Arial"/>
          <w:sz w:val="20"/>
        </w:rPr>
        <w:t>,</w:t>
      </w:r>
      <w:r>
        <w:rPr>
          <w:rFonts w:ascii="Arial" w:hAnsi="Arial" w:cs="Arial"/>
          <w:sz w:val="20"/>
        </w:rPr>
        <w:t xml:space="preserve"> a scenario with the three top ranking actions for the following criteria</w:t>
      </w:r>
      <w:r w:rsidR="00C91E7C">
        <w:rPr>
          <w:rFonts w:ascii="Arial" w:hAnsi="Arial" w:cs="Arial"/>
          <w:sz w:val="20"/>
        </w:rPr>
        <w:t xml:space="preserve"> were compiled</w:t>
      </w:r>
      <w:r>
        <w:rPr>
          <w:rFonts w:ascii="Arial" w:hAnsi="Arial" w:cs="Arial"/>
          <w:sz w:val="20"/>
        </w:rPr>
        <w:t xml:space="preserve">: </w:t>
      </w:r>
      <w:r w:rsidR="00C91E7C">
        <w:rPr>
          <w:rFonts w:ascii="Arial" w:hAnsi="Arial" w:cs="Arial"/>
          <w:sz w:val="20"/>
        </w:rPr>
        <w:t>l</w:t>
      </w:r>
      <w:r>
        <w:rPr>
          <w:rFonts w:ascii="Arial" w:hAnsi="Arial" w:cs="Arial"/>
          <w:sz w:val="20"/>
        </w:rPr>
        <w:t xml:space="preserve">owest cost, </w:t>
      </w:r>
      <w:r w:rsidR="00C91E7C">
        <w:rPr>
          <w:rFonts w:ascii="Arial" w:hAnsi="Arial" w:cs="Arial"/>
          <w:sz w:val="20"/>
        </w:rPr>
        <w:t>h</w:t>
      </w:r>
      <w:r>
        <w:rPr>
          <w:rFonts w:ascii="Arial" w:hAnsi="Arial" w:cs="Arial"/>
          <w:sz w:val="20"/>
        </w:rPr>
        <w:t>ighest energy savings, lowest cost-effectiveness and lowest CO</w:t>
      </w:r>
      <w:r w:rsidRPr="00015049">
        <w:rPr>
          <w:rFonts w:ascii="Arial" w:hAnsi="Arial" w:cs="Arial"/>
          <w:sz w:val="20"/>
          <w:vertAlign w:val="subscript"/>
        </w:rPr>
        <w:t>2</w:t>
      </w:r>
      <w:r>
        <w:rPr>
          <w:rFonts w:ascii="Arial" w:hAnsi="Arial" w:cs="Arial"/>
          <w:sz w:val="20"/>
        </w:rPr>
        <w:t>-effectiveness. The resulting</w:t>
      </w:r>
      <w:r w:rsidR="00C91E7C">
        <w:rPr>
          <w:rFonts w:ascii="Arial" w:hAnsi="Arial" w:cs="Arial"/>
          <w:sz w:val="20"/>
        </w:rPr>
        <w:t xml:space="preserve"> actions</w:t>
      </w:r>
      <w:r>
        <w:rPr>
          <w:rFonts w:ascii="Arial" w:hAnsi="Arial" w:cs="Arial"/>
          <w:sz w:val="20"/>
        </w:rPr>
        <w:t xml:space="preserve"> for each of the </w:t>
      </w:r>
      <w:r w:rsidR="00C91E7C">
        <w:rPr>
          <w:rFonts w:ascii="Arial" w:hAnsi="Arial" w:cs="Arial"/>
          <w:sz w:val="20"/>
        </w:rPr>
        <w:t>four</w:t>
      </w:r>
      <w:r>
        <w:rPr>
          <w:rFonts w:ascii="Arial" w:hAnsi="Arial" w:cs="Arial"/>
          <w:sz w:val="20"/>
        </w:rPr>
        <w:t xml:space="preserve"> scenarios</w:t>
      </w:r>
      <w:r w:rsidR="00C91E7C">
        <w:rPr>
          <w:rFonts w:ascii="Arial" w:hAnsi="Arial" w:cs="Arial"/>
          <w:sz w:val="20"/>
        </w:rPr>
        <w:t xml:space="preserve">, their total cost, energy and CO2 savings </w:t>
      </w:r>
      <w:r>
        <w:rPr>
          <w:rFonts w:ascii="Arial" w:hAnsi="Arial" w:cs="Arial"/>
          <w:sz w:val="20"/>
        </w:rPr>
        <w:t>are presented in</w:t>
      </w:r>
      <w:r w:rsidR="00B15269">
        <w:rPr>
          <w:rFonts w:ascii="Arial" w:hAnsi="Arial" w:cs="Arial"/>
          <w:sz w:val="20"/>
        </w:rPr>
        <w:t xml:space="preserve"> </w:t>
      </w:r>
      <w:r w:rsidR="00B15269">
        <w:rPr>
          <w:rFonts w:ascii="Arial" w:hAnsi="Arial" w:cs="Arial"/>
          <w:sz w:val="20"/>
        </w:rPr>
        <w:fldChar w:fldCharType="begin"/>
      </w:r>
      <w:r w:rsidR="00B15269">
        <w:rPr>
          <w:rFonts w:ascii="Arial" w:hAnsi="Arial" w:cs="Arial"/>
          <w:sz w:val="20"/>
        </w:rPr>
        <w:instrText xml:space="preserve"> REF _Ref47612517 \h </w:instrText>
      </w:r>
      <w:r w:rsidR="00B15269">
        <w:rPr>
          <w:rFonts w:ascii="Arial" w:hAnsi="Arial" w:cs="Arial"/>
          <w:sz w:val="20"/>
        </w:rPr>
      </w:r>
      <w:r w:rsidR="00B15269">
        <w:rPr>
          <w:rFonts w:ascii="Arial" w:hAnsi="Arial" w:cs="Arial"/>
          <w:sz w:val="20"/>
        </w:rPr>
        <w:fldChar w:fldCharType="separate"/>
      </w:r>
      <w:r w:rsidR="00015207" w:rsidRPr="004A5D75">
        <w:rPr>
          <w:rFonts w:ascii="Arial" w:hAnsi="Arial" w:cs="Arial"/>
          <w:i/>
          <w:sz w:val="20"/>
        </w:rPr>
        <w:t xml:space="preserve">Table </w:t>
      </w:r>
      <w:r w:rsidR="00015207">
        <w:rPr>
          <w:rFonts w:ascii="Arial" w:hAnsi="Arial" w:cs="Arial"/>
          <w:i/>
          <w:noProof/>
          <w:sz w:val="20"/>
        </w:rPr>
        <w:t>2</w:t>
      </w:r>
      <w:r w:rsidR="00B15269">
        <w:rPr>
          <w:rFonts w:ascii="Arial" w:hAnsi="Arial" w:cs="Arial"/>
          <w:sz w:val="20"/>
        </w:rPr>
        <w:fldChar w:fldCharType="end"/>
      </w:r>
      <w:r w:rsidR="00015049">
        <w:rPr>
          <w:rFonts w:ascii="Arial" w:hAnsi="Arial" w:cs="Arial"/>
          <w:sz w:val="20"/>
        </w:rPr>
        <w:t>.</w:t>
      </w:r>
    </w:p>
    <w:tbl>
      <w:tblPr>
        <w:tblStyle w:val="TableGrid"/>
        <w:tblW w:w="0" w:type="auto"/>
        <w:tblLook w:val="04A0" w:firstRow="1" w:lastRow="0" w:firstColumn="1" w:lastColumn="0" w:noHBand="0" w:noVBand="1"/>
      </w:tblPr>
      <w:tblGrid>
        <w:gridCol w:w="2122"/>
        <w:gridCol w:w="1417"/>
        <w:gridCol w:w="2268"/>
        <w:gridCol w:w="1940"/>
        <w:gridCol w:w="1875"/>
      </w:tblGrid>
      <w:tr w:rsidR="00C91E7C" w14:paraId="3BD4C807" w14:textId="77777777" w:rsidTr="00C55DCB">
        <w:trPr>
          <w:trHeight w:val="340"/>
        </w:trPr>
        <w:tc>
          <w:tcPr>
            <w:tcW w:w="2122" w:type="dxa"/>
          </w:tcPr>
          <w:p w14:paraId="72852C11" w14:textId="4CEDCD09" w:rsidR="00C91E7C" w:rsidRDefault="00FC3AFC" w:rsidP="00F11158">
            <w:pPr>
              <w:pStyle w:val="BodyText"/>
              <w:spacing w:line="240" w:lineRule="auto"/>
              <w:ind w:right="-6"/>
              <w:jc w:val="both"/>
              <w:rPr>
                <w:rFonts w:ascii="Arial" w:hAnsi="Arial" w:cs="Arial"/>
                <w:sz w:val="20"/>
              </w:rPr>
            </w:pPr>
            <w:r>
              <w:rPr>
                <w:rFonts w:ascii="Arial" w:hAnsi="Arial" w:cs="Arial"/>
                <w:sz w:val="20"/>
              </w:rPr>
              <w:t>Scenario</w:t>
            </w:r>
          </w:p>
        </w:tc>
        <w:tc>
          <w:tcPr>
            <w:tcW w:w="1417" w:type="dxa"/>
          </w:tcPr>
          <w:p w14:paraId="79F86AC7" w14:textId="3E5264DC" w:rsidR="00C91E7C" w:rsidRDefault="00FC3AFC" w:rsidP="00F11158">
            <w:pPr>
              <w:pStyle w:val="BodyText"/>
              <w:spacing w:line="240" w:lineRule="auto"/>
              <w:ind w:right="-6"/>
              <w:jc w:val="both"/>
              <w:rPr>
                <w:rFonts w:ascii="Arial" w:hAnsi="Arial" w:cs="Arial"/>
                <w:sz w:val="20"/>
              </w:rPr>
            </w:pPr>
            <w:r>
              <w:rPr>
                <w:rFonts w:ascii="Arial" w:hAnsi="Arial" w:cs="Arial"/>
                <w:sz w:val="20"/>
              </w:rPr>
              <w:t>Lowest cos</w:t>
            </w:r>
            <w:r w:rsidR="00225A74">
              <w:rPr>
                <w:rFonts w:ascii="Arial" w:hAnsi="Arial" w:cs="Arial"/>
                <w:sz w:val="20"/>
              </w:rPr>
              <w:t>t</w:t>
            </w:r>
          </w:p>
        </w:tc>
        <w:tc>
          <w:tcPr>
            <w:tcW w:w="2268" w:type="dxa"/>
          </w:tcPr>
          <w:p w14:paraId="4A2555FE" w14:textId="0534F874" w:rsidR="00C91E7C" w:rsidRDefault="00FC3AFC" w:rsidP="00F11158">
            <w:pPr>
              <w:pStyle w:val="BodyText"/>
              <w:spacing w:line="240" w:lineRule="auto"/>
              <w:ind w:right="-6"/>
              <w:jc w:val="both"/>
              <w:rPr>
                <w:rFonts w:ascii="Arial" w:hAnsi="Arial" w:cs="Arial"/>
                <w:sz w:val="20"/>
              </w:rPr>
            </w:pPr>
            <w:r>
              <w:rPr>
                <w:rFonts w:ascii="Arial" w:hAnsi="Arial" w:cs="Arial"/>
                <w:sz w:val="20"/>
              </w:rPr>
              <w:t xml:space="preserve">Highest </w:t>
            </w:r>
            <w:r w:rsidR="00092085">
              <w:rPr>
                <w:rFonts w:ascii="Arial" w:hAnsi="Arial" w:cs="Arial"/>
                <w:sz w:val="20"/>
              </w:rPr>
              <w:t xml:space="preserve">energy </w:t>
            </w:r>
            <w:r>
              <w:rPr>
                <w:rFonts w:ascii="Arial" w:hAnsi="Arial" w:cs="Arial"/>
                <w:sz w:val="20"/>
              </w:rPr>
              <w:t>savings</w:t>
            </w:r>
          </w:p>
        </w:tc>
        <w:tc>
          <w:tcPr>
            <w:tcW w:w="1940" w:type="dxa"/>
          </w:tcPr>
          <w:p w14:paraId="1560DB4D" w14:textId="6872CEDA" w:rsidR="00C91E7C" w:rsidRDefault="00FC3AFC" w:rsidP="00F11158">
            <w:pPr>
              <w:pStyle w:val="BodyText"/>
              <w:spacing w:line="240" w:lineRule="auto"/>
              <w:ind w:right="-6"/>
              <w:jc w:val="both"/>
              <w:rPr>
                <w:rFonts w:ascii="Arial" w:hAnsi="Arial" w:cs="Arial"/>
                <w:sz w:val="20"/>
              </w:rPr>
            </w:pPr>
            <w:r>
              <w:rPr>
                <w:rFonts w:ascii="Arial" w:hAnsi="Arial" w:cs="Arial"/>
                <w:sz w:val="20"/>
              </w:rPr>
              <w:t>Cost-effectiveness</w:t>
            </w:r>
          </w:p>
        </w:tc>
        <w:tc>
          <w:tcPr>
            <w:tcW w:w="1875" w:type="dxa"/>
          </w:tcPr>
          <w:p w14:paraId="3FC9CD46" w14:textId="084C6433" w:rsidR="00C91E7C" w:rsidRDefault="00FC3AFC" w:rsidP="00F11158">
            <w:pPr>
              <w:pStyle w:val="BodyText"/>
              <w:spacing w:line="240" w:lineRule="auto"/>
              <w:ind w:right="-6"/>
              <w:jc w:val="both"/>
              <w:rPr>
                <w:rFonts w:ascii="Arial" w:hAnsi="Arial" w:cs="Arial"/>
                <w:sz w:val="20"/>
              </w:rPr>
            </w:pPr>
            <w:r>
              <w:rPr>
                <w:rFonts w:ascii="Arial" w:hAnsi="Arial" w:cs="Arial"/>
                <w:sz w:val="20"/>
              </w:rPr>
              <w:t>CO</w:t>
            </w:r>
            <w:r w:rsidRPr="00015049">
              <w:rPr>
                <w:rFonts w:ascii="Arial" w:hAnsi="Arial" w:cs="Arial"/>
                <w:sz w:val="20"/>
                <w:vertAlign w:val="subscript"/>
              </w:rPr>
              <w:t>2</w:t>
            </w:r>
            <w:r>
              <w:rPr>
                <w:rFonts w:ascii="Arial" w:hAnsi="Arial" w:cs="Arial"/>
                <w:sz w:val="20"/>
              </w:rPr>
              <w:t>-effectiveness</w:t>
            </w:r>
          </w:p>
        </w:tc>
      </w:tr>
      <w:tr w:rsidR="00C91E7C" w14:paraId="3D0E2E32" w14:textId="77777777" w:rsidTr="00536FD1">
        <w:trPr>
          <w:trHeight w:val="710"/>
        </w:trPr>
        <w:tc>
          <w:tcPr>
            <w:tcW w:w="2122" w:type="dxa"/>
          </w:tcPr>
          <w:p w14:paraId="6D0A86F6" w14:textId="524818B7" w:rsidR="00C91E7C" w:rsidRDefault="00FC3AFC" w:rsidP="00015049">
            <w:pPr>
              <w:pStyle w:val="BodyText"/>
              <w:spacing w:after="0" w:line="240" w:lineRule="auto"/>
              <w:ind w:right="-6"/>
              <w:jc w:val="both"/>
              <w:rPr>
                <w:rFonts w:ascii="Arial" w:hAnsi="Arial" w:cs="Arial"/>
                <w:sz w:val="20"/>
              </w:rPr>
            </w:pPr>
            <w:r>
              <w:rPr>
                <w:rFonts w:ascii="Arial" w:hAnsi="Arial" w:cs="Arial"/>
                <w:sz w:val="20"/>
              </w:rPr>
              <w:t>Actions</w:t>
            </w:r>
          </w:p>
        </w:tc>
        <w:tc>
          <w:tcPr>
            <w:tcW w:w="1417" w:type="dxa"/>
          </w:tcPr>
          <w:p w14:paraId="462B73A5" w14:textId="77777777" w:rsidR="00FC3AFC" w:rsidRDefault="00FC3AFC" w:rsidP="00015049">
            <w:pPr>
              <w:pStyle w:val="BodyText"/>
              <w:spacing w:after="0" w:line="240" w:lineRule="auto"/>
              <w:ind w:right="-6"/>
              <w:jc w:val="both"/>
              <w:rPr>
                <w:rFonts w:ascii="Arial" w:hAnsi="Arial" w:cs="Arial"/>
                <w:sz w:val="20"/>
              </w:rPr>
            </w:pPr>
            <w:r>
              <w:rPr>
                <w:rFonts w:ascii="Arial" w:hAnsi="Arial" w:cs="Arial"/>
                <w:sz w:val="20"/>
              </w:rPr>
              <w:t>LED Hallway</w:t>
            </w:r>
          </w:p>
          <w:p w14:paraId="18FDD5B8" w14:textId="77777777" w:rsidR="00FC3AFC" w:rsidRDefault="00FC3AFC" w:rsidP="00015049">
            <w:pPr>
              <w:pStyle w:val="BodyText"/>
              <w:spacing w:after="0" w:line="240" w:lineRule="auto"/>
              <w:ind w:right="-6"/>
              <w:jc w:val="both"/>
              <w:rPr>
                <w:rFonts w:ascii="Arial" w:hAnsi="Arial" w:cs="Arial"/>
                <w:sz w:val="20"/>
              </w:rPr>
            </w:pPr>
            <w:r>
              <w:rPr>
                <w:rFonts w:ascii="Arial" w:hAnsi="Arial" w:cs="Arial"/>
                <w:sz w:val="20"/>
              </w:rPr>
              <w:t>LED Parking</w:t>
            </w:r>
          </w:p>
          <w:p w14:paraId="47E88414" w14:textId="0FD801B1" w:rsidR="00C91E7C" w:rsidRDefault="00FC3AFC" w:rsidP="00015049">
            <w:pPr>
              <w:pStyle w:val="BodyText"/>
              <w:spacing w:after="0" w:line="240" w:lineRule="auto"/>
              <w:ind w:right="-6"/>
              <w:jc w:val="both"/>
              <w:rPr>
                <w:rFonts w:ascii="Arial" w:hAnsi="Arial" w:cs="Arial"/>
                <w:sz w:val="20"/>
              </w:rPr>
            </w:pPr>
            <w:r>
              <w:rPr>
                <w:rFonts w:ascii="Arial" w:hAnsi="Arial" w:cs="Arial"/>
                <w:sz w:val="20"/>
              </w:rPr>
              <w:t>LED laundry</w:t>
            </w:r>
          </w:p>
        </w:tc>
        <w:tc>
          <w:tcPr>
            <w:tcW w:w="2268" w:type="dxa"/>
          </w:tcPr>
          <w:p w14:paraId="126C7071" w14:textId="77777777" w:rsidR="007010E8" w:rsidRDefault="007010E8" w:rsidP="00015049">
            <w:pPr>
              <w:pStyle w:val="BodyText"/>
              <w:spacing w:after="0" w:line="240" w:lineRule="auto"/>
              <w:ind w:right="-6"/>
              <w:jc w:val="both"/>
              <w:rPr>
                <w:rFonts w:ascii="Arial" w:hAnsi="Arial" w:cs="Arial"/>
                <w:sz w:val="20"/>
              </w:rPr>
            </w:pPr>
            <w:r>
              <w:rPr>
                <w:rFonts w:ascii="Arial" w:hAnsi="Arial" w:cs="Arial"/>
                <w:sz w:val="20"/>
              </w:rPr>
              <w:t xml:space="preserve">MVHR </w:t>
            </w:r>
          </w:p>
          <w:p w14:paraId="7E6CA7F9" w14:textId="55D5B354" w:rsidR="00FC3AFC" w:rsidRDefault="007010E8" w:rsidP="00015049">
            <w:pPr>
              <w:pStyle w:val="BodyText"/>
              <w:spacing w:after="0" w:line="240" w:lineRule="auto"/>
              <w:ind w:right="-6"/>
              <w:jc w:val="both"/>
              <w:rPr>
                <w:rFonts w:ascii="Arial" w:hAnsi="Arial" w:cs="Arial"/>
                <w:sz w:val="20"/>
              </w:rPr>
            </w:pPr>
            <w:r>
              <w:rPr>
                <w:rFonts w:ascii="Arial" w:hAnsi="Arial" w:cs="Arial"/>
                <w:sz w:val="20"/>
              </w:rPr>
              <w:t>3 layer windows</w:t>
            </w:r>
          </w:p>
          <w:p w14:paraId="3E1FBEB8" w14:textId="0F78F94F" w:rsidR="00C91E7C" w:rsidRDefault="00FC3AFC" w:rsidP="00536FD1">
            <w:pPr>
              <w:pStyle w:val="BodyText"/>
              <w:spacing w:after="0" w:line="240" w:lineRule="auto"/>
              <w:ind w:right="-6"/>
              <w:jc w:val="both"/>
              <w:rPr>
                <w:rFonts w:ascii="Arial" w:hAnsi="Arial" w:cs="Arial"/>
                <w:sz w:val="20"/>
              </w:rPr>
            </w:pPr>
            <w:r>
              <w:rPr>
                <w:rFonts w:ascii="Arial" w:hAnsi="Arial" w:cs="Arial"/>
                <w:sz w:val="20"/>
              </w:rPr>
              <w:t>PAC boiler for DHW</w:t>
            </w:r>
          </w:p>
        </w:tc>
        <w:tc>
          <w:tcPr>
            <w:tcW w:w="1940" w:type="dxa"/>
          </w:tcPr>
          <w:p w14:paraId="4D675821" w14:textId="77777777" w:rsidR="00FC3AFC" w:rsidRDefault="00FC3AFC" w:rsidP="00015049">
            <w:pPr>
              <w:pStyle w:val="BodyText"/>
              <w:spacing w:after="0" w:line="240" w:lineRule="auto"/>
              <w:ind w:right="-6"/>
              <w:jc w:val="both"/>
              <w:rPr>
                <w:rFonts w:ascii="Arial" w:hAnsi="Arial" w:cs="Arial"/>
                <w:sz w:val="20"/>
              </w:rPr>
            </w:pPr>
            <w:r>
              <w:rPr>
                <w:rFonts w:ascii="Arial" w:hAnsi="Arial" w:cs="Arial"/>
                <w:sz w:val="20"/>
              </w:rPr>
              <w:t>LED Hallway</w:t>
            </w:r>
          </w:p>
          <w:p w14:paraId="074C3818" w14:textId="77777777" w:rsidR="00092085" w:rsidRDefault="00092085" w:rsidP="00015049">
            <w:pPr>
              <w:pStyle w:val="BodyText"/>
              <w:spacing w:after="0" w:line="240" w:lineRule="auto"/>
              <w:ind w:right="-6"/>
              <w:jc w:val="both"/>
              <w:rPr>
                <w:rFonts w:ascii="Arial" w:hAnsi="Arial" w:cs="Arial"/>
                <w:sz w:val="20"/>
              </w:rPr>
            </w:pPr>
            <w:r>
              <w:rPr>
                <w:rFonts w:ascii="Arial" w:hAnsi="Arial" w:cs="Arial"/>
                <w:sz w:val="20"/>
              </w:rPr>
              <w:t>DHW boilers (PAC)</w:t>
            </w:r>
          </w:p>
          <w:p w14:paraId="62E46F4F" w14:textId="5D4A5282" w:rsidR="00C91E7C" w:rsidRDefault="00FC3AFC" w:rsidP="00015049">
            <w:pPr>
              <w:pStyle w:val="BodyText"/>
              <w:spacing w:after="0" w:line="240" w:lineRule="auto"/>
              <w:ind w:right="-6"/>
              <w:jc w:val="both"/>
              <w:rPr>
                <w:rFonts w:ascii="Arial" w:hAnsi="Arial" w:cs="Arial"/>
                <w:sz w:val="20"/>
              </w:rPr>
            </w:pPr>
            <w:r>
              <w:rPr>
                <w:rFonts w:ascii="Arial" w:hAnsi="Arial" w:cs="Arial"/>
                <w:sz w:val="20"/>
              </w:rPr>
              <w:t>MVHR</w:t>
            </w:r>
          </w:p>
        </w:tc>
        <w:tc>
          <w:tcPr>
            <w:tcW w:w="1875" w:type="dxa"/>
          </w:tcPr>
          <w:p w14:paraId="20A1F933" w14:textId="77777777" w:rsidR="00FC3AFC" w:rsidRDefault="00FC3AFC" w:rsidP="00015049">
            <w:pPr>
              <w:pStyle w:val="BodyText"/>
              <w:spacing w:after="0" w:line="240" w:lineRule="auto"/>
              <w:ind w:right="-6"/>
              <w:jc w:val="both"/>
              <w:rPr>
                <w:rFonts w:ascii="Arial" w:hAnsi="Arial" w:cs="Arial"/>
                <w:sz w:val="20"/>
              </w:rPr>
            </w:pPr>
            <w:r>
              <w:rPr>
                <w:rFonts w:ascii="Arial" w:hAnsi="Arial" w:cs="Arial"/>
                <w:sz w:val="20"/>
              </w:rPr>
              <w:t>MVHR</w:t>
            </w:r>
          </w:p>
          <w:p w14:paraId="4CE6B583" w14:textId="77777777" w:rsidR="00FC3AFC" w:rsidRDefault="00FC3AFC" w:rsidP="00015049">
            <w:pPr>
              <w:pStyle w:val="BodyText"/>
              <w:spacing w:after="0" w:line="240" w:lineRule="auto"/>
              <w:ind w:right="-6"/>
              <w:jc w:val="both"/>
              <w:rPr>
                <w:rFonts w:ascii="Arial" w:hAnsi="Arial" w:cs="Arial"/>
                <w:sz w:val="20"/>
              </w:rPr>
            </w:pPr>
            <w:r>
              <w:rPr>
                <w:rFonts w:ascii="Arial" w:hAnsi="Arial" w:cs="Arial"/>
                <w:sz w:val="20"/>
              </w:rPr>
              <w:t>Floor insulation</w:t>
            </w:r>
          </w:p>
          <w:p w14:paraId="708F1B10" w14:textId="66BD6416" w:rsidR="00C91E7C" w:rsidRDefault="00536FD1" w:rsidP="00015049">
            <w:pPr>
              <w:pStyle w:val="BodyText"/>
              <w:spacing w:after="0" w:line="240" w:lineRule="auto"/>
              <w:ind w:right="-6"/>
              <w:jc w:val="both"/>
              <w:rPr>
                <w:rFonts w:ascii="Arial" w:hAnsi="Arial" w:cs="Arial"/>
                <w:sz w:val="20"/>
              </w:rPr>
            </w:pPr>
            <w:r>
              <w:rPr>
                <w:rFonts w:ascii="Arial" w:hAnsi="Arial" w:cs="Arial"/>
                <w:sz w:val="20"/>
              </w:rPr>
              <w:t>W</w:t>
            </w:r>
            <w:r w:rsidR="007010E8">
              <w:rPr>
                <w:rFonts w:ascii="Arial" w:hAnsi="Arial" w:cs="Arial"/>
                <w:sz w:val="20"/>
              </w:rPr>
              <w:t>all insulation</w:t>
            </w:r>
          </w:p>
        </w:tc>
      </w:tr>
      <w:tr w:rsidR="00C91E7C" w14:paraId="27FD2795" w14:textId="77777777" w:rsidTr="00015049">
        <w:tc>
          <w:tcPr>
            <w:tcW w:w="2122" w:type="dxa"/>
          </w:tcPr>
          <w:p w14:paraId="61ACB0BE" w14:textId="786FFEBD" w:rsidR="00FC3AFC" w:rsidRDefault="00FC3AFC" w:rsidP="00015049">
            <w:pPr>
              <w:pStyle w:val="BodyText"/>
              <w:spacing w:after="0" w:line="240" w:lineRule="auto"/>
              <w:ind w:right="-6"/>
              <w:jc w:val="both"/>
              <w:rPr>
                <w:rFonts w:ascii="Arial" w:hAnsi="Arial" w:cs="Arial"/>
                <w:sz w:val="20"/>
              </w:rPr>
            </w:pPr>
            <w:r>
              <w:rPr>
                <w:rFonts w:ascii="Arial" w:hAnsi="Arial" w:cs="Arial"/>
                <w:sz w:val="20"/>
              </w:rPr>
              <w:t>Cost [CHF]</w:t>
            </w:r>
          </w:p>
          <w:p w14:paraId="0DDE7206" w14:textId="3112F285" w:rsidR="00FC3AFC" w:rsidRDefault="00FC3AFC" w:rsidP="00015049">
            <w:pPr>
              <w:pStyle w:val="BodyText"/>
              <w:spacing w:after="0" w:line="240" w:lineRule="auto"/>
              <w:ind w:right="-6"/>
              <w:jc w:val="both"/>
              <w:rPr>
                <w:rFonts w:ascii="Arial" w:hAnsi="Arial" w:cs="Arial"/>
                <w:sz w:val="20"/>
              </w:rPr>
            </w:pPr>
            <w:r>
              <w:rPr>
                <w:rFonts w:ascii="Arial" w:hAnsi="Arial" w:cs="Arial"/>
                <w:sz w:val="20"/>
              </w:rPr>
              <w:t>Energy savings [kWh]</w:t>
            </w:r>
          </w:p>
          <w:p w14:paraId="640F17E4" w14:textId="34388E5C" w:rsidR="00C91E7C" w:rsidRDefault="00FC3AFC" w:rsidP="00015049">
            <w:pPr>
              <w:pStyle w:val="BodyText"/>
              <w:spacing w:after="0" w:line="240" w:lineRule="auto"/>
              <w:ind w:right="-6"/>
              <w:jc w:val="both"/>
              <w:rPr>
                <w:rFonts w:ascii="Arial" w:hAnsi="Arial" w:cs="Arial"/>
                <w:sz w:val="20"/>
              </w:rPr>
            </w:pPr>
            <w:r>
              <w:rPr>
                <w:rFonts w:ascii="Arial" w:hAnsi="Arial" w:cs="Arial"/>
                <w:sz w:val="20"/>
              </w:rPr>
              <w:t>CO</w:t>
            </w:r>
            <w:r w:rsidRPr="00015049">
              <w:rPr>
                <w:rFonts w:ascii="Arial" w:hAnsi="Arial" w:cs="Arial"/>
                <w:sz w:val="20"/>
                <w:vertAlign w:val="subscript"/>
              </w:rPr>
              <w:t>2</w:t>
            </w:r>
            <w:r>
              <w:rPr>
                <w:rFonts w:ascii="Arial" w:hAnsi="Arial" w:cs="Arial"/>
                <w:sz w:val="20"/>
                <w:vertAlign w:val="subscript"/>
              </w:rPr>
              <w:t xml:space="preserve"> </w:t>
            </w:r>
            <w:r w:rsidRPr="00015049">
              <w:rPr>
                <w:rFonts w:ascii="Arial" w:hAnsi="Arial" w:cs="Arial"/>
                <w:sz w:val="20"/>
              </w:rPr>
              <w:t>savings</w:t>
            </w:r>
            <w:r>
              <w:rPr>
                <w:rFonts w:ascii="Arial" w:hAnsi="Arial" w:cs="Arial"/>
                <w:sz w:val="20"/>
              </w:rPr>
              <w:t xml:space="preserve"> [kgCO</w:t>
            </w:r>
            <w:r w:rsidRPr="00015049">
              <w:rPr>
                <w:rFonts w:ascii="Arial" w:hAnsi="Arial" w:cs="Arial"/>
                <w:sz w:val="20"/>
                <w:vertAlign w:val="subscript"/>
              </w:rPr>
              <w:t>2</w:t>
            </w:r>
            <w:r>
              <w:rPr>
                <w:rFonts w:ascii="Arial" w:hAnsi="Arial" w:cs="Arial"/>
                <w:sz w:val="20"/>
              </w:rPr>
              <w:t>]</w:t>
            </w:r>
          </w:p>
        </w:tc>
        <w:tc>
          <w:tcPr>
            <w:tcW w:w="1417" w:type="dxa"/>
          </w:tcPr>
          <w:p w14:paraId="1E3FADF8" w14:textId="1486595D" w:rsidR="00FC3AFC" w:rsidRDefault="007010E8" w:rsidP="00015049">
            <w:pPr>
              <w:pStyle w:val="BodyText"/>
              <w:spacing w:after="0" w:line="240" w:lineRule="auto"/>
              <w:ind w:right="-6"/>
              <w:jc w:val="both"/>
              <w:rPr>
                <w:rFonts w:ascii="Arial" w:hAnsi="Arial" w:cs="Arial"/>
                <w:sz w:val="20"/>
              </w:rPr>
            </w:pPr>
            <w:r>
              <w:rPr>
                <w:rFonts w:ascii="Arial" w:hAnsi="Arial" w:cs="Arial"/>
                <w:sz w:val="20"/>
              </w:rPr>
              <w:t>11 10</w:t>
            </w:r>
            <w:r w:rsidR="00FC3AFC">
              <w:rPr>
                <w:rFonts w:ascii="Arial" w:hAnsi="Arial" w:cs="Arial"/>
                <w:sz w:val="20"/>
              </w:rPr>
              <w:t>0</w:t>
            </w:r>
          </w:p>
          <w:p w14:paraId="7F517FFC" w14:textId="77777777" w:rsidR="00FC3AFC" w:rsidRDefault="00FC3AFC" w:rsidP="00015049">
            <w:pPr>
              <w:pStyle w:val="BodyText"/>
              <w:spacing w:after="0" w:line="240" w:lineRule="auto"/>
              <w:ind w:right="-6"/>
              <w:jc w:val="both"/>
              <w:rPr>
                <w:rFonts w:ascii="Arial" w:hAnsi="Arial" w:cs="Arial"/>
                <w:sz w:val="20"/>
              </w:rPr>
            </w:pPr>
            <w:r>
              <w:rPr>
                <w:rFonts w:ascii="Arial" w:hAnsi="Arial" w:cs="Arial"/>
                <w:sz w:val="20"/>
              </w:rPr>
              <w:t>26 129</w:t>
            </w:r>
          </w:p>
          <w:p w14:paraId="32147CF7" w14:textId="4CC3CDFF" w:rsidR="00C91E7C" w:rsidRDefault="00FC3AFC" w:rsidP="00015049">
            <w:pPr>
              <w:pStyle w:val="BodyText"/>
              <w:spacing w:after="0" w:line="240" w:lineRule="auto"/>
              <w:ind w:right="-6"/>
              <w:jc w:val="both"/>
              <w:rPr>
                <w:rFonts w:ascii="Arial" w:hAnsi="Arial" w:cs="Arial"/>
                <w:sz w:val="20"/>
              </w:rPr>
            </w:pPr>
            <w:r>
              <w:rPr>
                <w:rFonts w:ascii="Arial" w:hAnsi="Arial" w:cs="Arial"/>
                <w:sz w:val="20"/>
              </w:rPr>
              <w:t>300</w:t>
            </w:r>
          </w:p>
        </w:tc>
        <w:tc>
          <w:tcPr>
            <w:tcW w:w="2268" w:type="dxa"/>
          </w:tcPr>
          <w:p w14:paraId="04122E76" w14:textId="6EF8799C" w:rsidR="00FC3AFC" w:rsidRDefault="008F07FA" w:rsidP="00015049">
            <w:pPr>
              <w:pStyle w:val="BodyText"/>
              <w:spacing w:after="0" w:line="240" w:lineRule="auto"/>
              <w:ind w:right="-6"/>
              <w:jc w:val="both"/>
              <w:rPr>
                <w:rFonts w:ascii="Arial" w:hAnsi="Arial" w:cs="Arial"/>
                <w:sz w:val="20"/>
              </w:rPr>
            </w:pPr>
            <w:r>
              <w:rPr>
                <w:rFonts w:ascii="Arial" w:hAnsi="Arial" w:cs="Arial"/>
                <w:sz w:val="20"/>
              </w:rPr>
              <w:t>2 296 700</w:t>
            </w:r>
          </w:p>
          <w:p w14:paraId="3E8992C3" w14:textId="5389B53F" w:rsidR="00FC3AFC" w:rsidRDefault="008F07FA" w:rsidP="00015049">
            <w:pPr>
              <w:pStyle w:val="BodyText"/>
              <w:spacing w:after="0" w:line="240" w:lineRule="auto"/>
              <w:ind w:right="-6"/>
              <w:jc w:val="both"/>
              <w:rPr>
                <w:rFonts w:ascii="Arial" w:hAnsi="Arial" w:cs="Arial"/>
                <w:sz w:val="20"/>
              </w:rPr>
            </w:pPr>
            <w:r>
              <w:rPr>
                <w:rFonts w:ascii="Arial" w:hAnsi="Arial" w:cs="Arial"/>
                <w:sz w:val="20"/>
              </w:rPr>
              <w:t xml:space="preserve">2 217 012 </w:t>
            </w:r>
          </w:p>
          <w:p w14:paraId="570AE23A" w14:textId="3E96AC5A" w:rsidR="00C91E7C" w:rsidRDefault="008F07FA" w:rsidP="00015049">
            <w:pPr>
              <w:pStyle w:val="BodyText"/>
              <w:spacing w:after="0" w:line="240" w:lineRule="auto"/>
              <w:ind w:right="-6"/>
              <w:jc w:val="both"/>
              <w:rPr>
                <w:rFonts w:ascii="Arial" w:hAnsi="Arial" w:cs="Arial"/>
                <w:sz w:val="20"/>
              </w:rPr>
            </w:pPr>
            <w:r>
              <w:rPr>
                <w:rFonts w:ascii="Arial" w:hAnsi="Arial" w:cs="Arial"/>
                <w:sz w:val="20"/>
              </w:rPr>
              <w:t>510 300</w:t>
            </w:r>
          </w:p>
        </w:tc>
        <w:tc>
          <w:tcPr>
            <w:tcW w:w="1940" w:type="dxa"/>
          </w:tcPr>
          <w:p w14:paraId="363FDD90" w14:textId="77777777" w:rsidR="00FC3AFC" w:rsidRDefault="00FC3AFC" w:rsidP="00015049">
            <w:pPr>
              <w:pStyle w:val="BodyText"/>
              <w:spacing w:after="0" w:line="240" w:lineRule="auto"/>
              <w:ind w:right="-6"/>
              <w:jc w:val="both"/>
              <w:rPr>
                <w:rFonts w:ascii="Arial" w:hAnsi="Arial" w:cs="Arial"/>
                <w:sz w:val="20"/>
              </w:rPr>
            </w:pPr>
            <w:r>
              <w:rPr>
                <w:rFonts w:ascii="Arial" w:hAnsi="Arial" w:cs="Arial"/>
                <w:sz w:val="20"/>
              </w:rPr>
              <w:t>324 200</w:t>
            </w:r>
          </w:p>
          <w:p w14:paraId="706FA862" w14:textId="77777777" w:rsidR="00FC3AFC" w:rsidRDefault="00FC3AFC" w:rsidP="00015049">
            <w:pPr>
              <w:pStyle w:val="BodyText"/>
              <w:spacing w:after="0" w:line="240" w:lineRule="auto"/>
              <w:ind w:right="-6"/>
              <w:jc w:val="both"/>
              <w:rPr>
                <w:rFonts w:ascii="Arial" w:hAnsi="Arial" w:cs="Arial"/>
                <w:sz w:val="20"/>
              </w:rPr>
            </w:pPr>
            <w:r>
              <w:rPr>
                <w:rFonts w:ascii="Arial" w:hAnsi="Arial" w:cs="Arial"/>
                <w:sz w:val="20"/>
              </w:rPr>
              <w:t>1 770 857</w:t>
            </w:r>
          </w:p>
          <w:p w14:paraId="5795A462" w14:textId="2FF4A468" w:rsidR="00C91E7C" w:rsidRDefault="00FC3AFC" w:rsidP="00015049">
            <w:pPr>
              <w:pStyle w:val="BodyText"/>
              <w:spacing w:after="0" w:line="240" w:lineRule="auto"/>
              <w:ind w:right="-6"/>
              <w:jc w:val="both"/>
              <w:rPr>
                <w:rFonts w:ascii="Arial" w:hAnsi="Arial" w:cs="Arial"/>
                <w:sz w:val="20"/>
              </w:rPr>
            </w:pPr>
            <w:r>
              <w:rPr>
                <w:rFonts w:ascii="Arial" w:hAnsi="Arial" w:cs="Arial"/>
                <w:sz w:val="20"/>
              </w:rPr>
              <w:t>263 100</w:t>
            </w:r>
          </w:p>
        </w:tc>
        <w:tc>
          <w:tcPr>
            <w:tcW w:w="1875" w:type="dxa"/>
          </w:tcPr>
          <w:p w14:paraId="3372E6AC" w14:textId="605C42F5" w:rsidR="00FC3AFC" w:rsidRDefault="008F07FA" w:rsidP="00015049">
            <w:pPr>
              <w:pStyle w:val="BodyText"/>
              <w:spacing w:after="0" w:line="240" w:lineRule="auto"/>
              <w:ind w:right="-6"/>
              <w:jc w:val="both"/>
              <w:rPr>
                <w:rFonts w:ascii="Arial" w:hAnsi="Arial" w:cs="Arial"/>
                <w:sz w:val="20"/>
              </w:rPr>
            </w:pPr>
            <w:r>
              <w:rPr>
                <w:rFonts w:ascii="Arial" w:hAnsi="Arial" w:cs="Arial"/>
                <w:sz w:val="20"/>
              </w:rPr>
              <w:t>3 533 581</w:t>
            </w:r>
          </w:p>
          <w:p w14:paraId="7F64654C" w14:textId="2185AA40" w:rsidR="00FC3AFC" w:rsidRDefault="008F07FA" w:rsidP="00015049">
            <w:pPr>
              <w:pStyle w:val="BodyText"/>
              <w:spacing w:after="0" w:line="240" w:lineRule="auto"/>
              <w:ind w:right="-6"/>
              <w:jc w:val="both"/>
              <w:rPr>
                <w:rFonts w:ascii="Arial" w:hAnsi="Arial" w:cs="Arial"/>
                <w:sz w:val="20"/>
              </w:rPr>
            </w:pPr>
            <w:r>
              <w:rPr>
                <w:rFonts w:ascii="Arial" w:hAnsi="Arial" w:cs="Arial"/>
                <w:sz w:val="20"/>
              </w:rPr>
              <w:t>1 755 360</w:t>
            </w:r>
          </w:p>
          <w:p w14:paraId="22D03139" w14:textId="0C4735E9" w:rsidR="00C91E7C" w:rsidRDefault="008F07FA" w:rsidP="004A5D75">
            <w:pPr>
              <w:pStyle w:val="BodyText"/>
              <w:keepNext/>
              <w:spacing w:after="0" w:line="240" w:lineRule="auto"/>
              <w:ind w:right="-6"/>
              <w:jc w:val="both"/>
              <w:rPr>
                <w:rFonts w:ascii="Arial" w:hAnsi="Arial" w:cs="Arial"/>
                <w:sz w:val="20"/>
              </w:rPr>
            </w:pPr>
            <w:r>
              <w:rPr>
                <w:rFonts w:ascii="Arial" w:hAnsi="Arial" w:cs="Arial"/>
                <w:sz w:val="20"/>
              </w:rPr>
              <w:t>721 440</w:t>
            </w:r>
          </w:p>
        </w:tc>
      </w:tr>
    </w:tbl>
    <w:p w14:paraId="4CAD5389" w14:textId="6B5E0296" w:rsidR="00131CE6" w:rsidRPr="004A5D75" w:rsidRDefault="008B7143" w:rsidP="004A5D75">
      <w:pPr>
        <w:pStyle w:val="Caption"/>
        <w:rPr>
          <w:rFonts w:ascii="Arial" w:hAnsi="Arial" w:cs="Arial"/>
          <w:i/>
          <w:sz w:val="20"/>
        </w:rPr>
      </w:pPr>
      <w:bookmarkStart w:id="12" w:name="_Ref47612517"/>
      <w:r w:rsidRPr="004A5D75">
        <w:rPr>
          <w:rFonts w:ascii="Arial" w:hAnsi="Arial" w:cs="Arial"/>
          <w:i/>
          <w:sz w:val="20"/>
        </w:rPr>
        <w:t xml:space="preserve">Table </w:t>
      </w:r>
      <w:r w:rsidRPr="004A5D75">
        <w:rPr>
          <w:rFonts w:ascii="Arial" w:hAnsi="Arial" w:cs="Arial"/>
          <w:i/>
          <w:sz w:val="20"/>
        </w:rPr>
        <w:fldChar w:fldCharType="begin"/>
      </w:r>
      <w:r w:rsidRPr="004A5D75">
        <w:rPr>
          <w:rFonts w:ascii="Arial" w:hAnsi="Arial" w:cs="Arial"/>
          <w:i/>
          <w:sz w:val="20"/>
        </w:rPr>
        <w:instrText xml:space="preserve"> SEQ Table \* ARABIC </w:instrText>
      </w:r>
      <w:r w:rsidRPr="004A5D75">
        <w:rPr>
          <w:rFonts w:ascii="Arial" w:hAnsi="Arial" w:cs="Arial"/>
          <w:i/>
          <w:sz w:val="20"/>
        </w:rPr>
        <w:fldChar w:fldCharType="separate"/>
      </w:r>
      <w:r w:rsidR="00015207">
        <w:rPr>
          <w:rFonts w:ascii="Arial" w:hAnsi="Arial" w:cs="Arial"/>
          <w:i/>
          <w:noProof/>
          <w:sz w:val="20"/>
        </w:rPr>
        <w:t>2</w:t>
      </w:r>
      <w:r w:rsidRPr="004A5D75">
        <w:rPr>
          <w:rFonts w:ascii="Arial" w:hAnsi="Arial" w:cs="Arial"/>
          <w:i/>
          <w:sz w:val="20"/>
        </w:rPr>
        <w:fldChar w:fldCharType="end"/>
      </w:r>
      <w:bookmarkEnd w:id="12"/>
      <w:r w:rsidRPr="004A5D75">
        <w:rPr>
          <w:rFonts w:ascii="Arial" w:hAnsi="Arial" w:cs="Arial"/>
          <w:i/>
          <w:sz w:val="20"/>
        </w:rPr>
        <w:t xml:space="preserve"> Actions and respective cost, energy and kgCO</w:t>
      </w:r>
      <w:r w:rsidRPr="004A5D75">
        <w:rPr>
          <w:rFonts w:ascii="Arial" w:hAnsi="Arial" w:cs="Arial"/>
          <w:i/>
          <w:sz w:val="20"/>
          <w:vertAlign w:val="subscript"/>
        </w:rPr>
        <w:t>2</w:t>
      </w:r>
      <w:r w:rsidRPr="004A5D75">
        <w:rPr>
          <w:rFonts w:ascii="Arial" w:hAnsi="Arial" w:cs="Arial"/>
          <w:i/>
          <w:sz w:val="20"/>
        </w:rPr>
        <w:t xml:space="preserve"> savings.</w:t>
      </w:r>
    </w:p>
    <w:p w14:paraId="4DEE35F5" w14:textId="77777777" w:rsidR="00B261E3" w:rsidRDefault="00B261E3" w:rsidP="007019FA">
      <w:pPr>
        <w:pStyle w:val="BodyText"/>
        <w:spacing w:before="240" w:after="0" w:line="240" w:lineRule="auto"/>
        <w:ind w:right="-6"/>
        <w:jc w:val="both"/>
        <w:rPr>
          <w:rFonts w:ascii="Arial" w:hAnsi="Arial" w:cs="Arial"/>
          <w:sz w:val="20"/>
        </w:rPr>
      </w:pPr>
    </w:p>
    <w:p w14:paraId="2965C1D2" w14:textId="6A39FEBB" w:rsidR="00882A86" w:rsidRDefault="00B261E3" w:rsidP="007019FA">
      <w:pPr>
        <w:pStyle w:val="BodyText"/>
        <w:spacing w:before="240" w:after="0" w:line="240" w:lineRule="auto"/>
        <w:ind w:right="-6"/>
        <w:jc w:val="both"/>
        <w:rPr>
          <w:rFonts w:ascii="Arial" w:hAnsi="Arial" w:cs="Arial"/>
          <w:sz w:val="20"/>
        </w:rPr>
      </w:pPr>
      <w:bookmarkStart w:id="13" w:name="_GoBack"/>
      <w:bookmarkEnd w:id="13"/>
      <w:r>
        <w:rPr>
          <w:rFonts w:ascii="Arial" w:hAnsi="Arial" w:cs="Arial"/>
          <w:sz w:val="20"/>
        </w:rPr>
        <w:t xml:space="preserve">Despite the limited number of investigated actions, the results from the different selected optimisation parameters show the capability of the platform of creating various scenarios and obtaining an overall idea of their performance. For example, the cost-effectiveness scenario is 30% less in energy savings but 85% cheaper, compared to the scenario with highest energy savings. This indicates that with greater number of investigated actions the optimization options would be greater variation of the content of scenarios. </w:t>
      </w:r>
      <w:r w:rsidR="00131CE6">
        <w:rPr>
          <w:rFonts w:ascii="Arial" w:hAnsi="Arial" w:cs="Arial"/>
          <w:sz w:val="20"/>
        </w:rPr>
        <w:t>Further work for t</w:t>
      </w:r>
      <w:r w:rsidR="00092085">
        <w:rPr>
          <w:rFonts w:ascii="Arial" w:hAnsi="Arial" w:cs="Arial"/>
          <w:sz w:val="20"/>
        </w:rPr>
        <w:t xml:space="preserve">he platform should </w:t>
      </w:r>
      <w:r w:rsidR="00131CE6">
        <w:rPr>
          <w:rFonts w:ascii="Arial" w:hAnsi="Arial" w:cs="Arial"/>
          <w:sz w:val="20"/>
        </w:rPr>
        <w:t>include integration of the</w:t>
      </w:r>
      <w:r w:rsidR="00092085">
        <w:rPr>
          <w:rFonts w:ascii="Arial" w:hAnsi="Arial" w:cs="Arial"/>
          <w:sz w:val="20"/>
        </w:rPr>
        <w:t xml:space="preserve"> lifespan of building parts, and treat renewable energy producing systems as described in the LCM. It would also provide even greater value to the renovation process </w:t>
      </w:r>
      <w:r w:rsidR="00D61956">
        <w:rPr>
          <w:rFonts w:ascii="Arial" w:hAnsi="Arial" w:cs="Arial"/>
          <w:sz w:val="20"/>
        </w:rPr>
        <w:t xml:space="preserve">if </w:t>
      </w:r>
      <w:r w:rsidR="007007AB">
        <w:rPr>
          <w:rFonts w:ascii="Arial" w:hAnsi="Arial" w:cs="Arial"/>
          <w:sz w:val="20"/>
        </w:rPr>
        <w:t xml:space="preserve">LLC calculation on a package level </w:t>
      </w:r>
      <w:r w:rsidR="00460BA8">
        <w:rPr>
          <w:rFonts w:ascii="Arial" w:hAnsi="Arial" w:cs="Arial"/>
          <w:sz w:val="20"/>
        </w:rPr>
        <w:t>i</w:t>
      </w:r>
      <w:r w:rsidR="00D61956">
        <w:rPr>
          <w:rFonts w:ascii="Arial" w:hAnsi="Arial" w:cs="Arial"/>
          <w:sz w:val="20"/>
        </w:rPr>
        <w:t>s</w:t>
      </w:r>
      <w:r w:rsidR="00092085">
        <w:rPr>
          <w:rFonts w:ascii="Arial" w:hAnsi="Arial" w:cs="Arial"/>
          <w:sz w:val="20"/>
        </w:rPr>
        <w:t xml:space="preserve"> integrate</w:t>
      </w:r>
      <w:r w:rsidR="007007AB">
        <w:rPr>
          <w:rFonts w:ascii="Arial" w:hAnsi="Arial" w:cs="Arial"/>
          <w:sz w:val="20"/>
        </w:rPr>
        <w:t>d</w:t>
      </w:r>
      <w:r w:rsidR="00092085">
        <w:rPr>
          <w:rFonts w:ascii="Arial" w:hAnsi="Arial" w:cs="Arial"/>
          <w:sz w:val="20"/>
        </w:rPr>
        <w:t xml:space="preserve">. However, the presented variability in the scenarios with </w:t>
      </w:r>
      <w:r w:rsidR="00D61956">
        <w:rPr>
          <w:rFonts w:ascii="Arial" w:hAnsi="Arial" w:cs="Arial"/>
          <w:sz w:val="20"/>
        </w:rPr>
        <w:t>limited</w:t>
      </w:r>
      <w:r w:rsidR="00092085">
        <w:rPr>
          <w:rFonts w:ascii="Arial" w:hAnsi="Arial" w:cs="Arial"/>
          <w:sz w:val="20"/>
        </w:rPr>
        <w:t xml:space="preserve"> number of renovation actions</w:t>
      </w:r>
      <w:r w:rsidR="00D61956">
        <w:rPr>
          <w:rFonts w:ascii="Arial" w:hAnsi="Arial" w:cs="Arial"/>
          <w:sz w:val="20"/>
        </w:rPr>
        <w:t xml:space="preserve">, the user friendliness and the ease of creating and comparing scenarios </w:t>
      </w:r>
      <w:r w:rsidR="00092085">
        <w:rPr>
          <w:rFonts w:ascii="Arial" w:hAnsi="Arial" w:cs="Arial"/>
          <w:sz w:val="20"/>
        </w:rPr>
        <w:t xml:space="preserve">are </w:t>
      </w:r>
      <w:r w:rsidR="00D61956">
        <w:rPr>
          <w:rFonts w:ascii="Arial" w:hAnsi="Arial" w:cs="Arial"/>
          <w:sz w:val="20"/>
        </w:rPr>
        <w:t xml:space="preserve">encouraging factors that the platform could be a great tool for decision support for </w:t>
      </w:r>
      <w:r w:rsidR="00131CE6">
        <w:rPr>
          <w:rFonts w:ascii="Arial" w:hAnsi="Arial" w:cs="Arial"/>
          <w:sz w:val="20"/>
        </w:rPr>
        <w:t xml:space="preserve">a </w:t>
      </w:r>
      <w:r w:rsidR="00D61956">
        <w:rPr>
          <w:rFonts w:ascii="Arial" w:hAnsi="Arial" w:cs="Arial"/>
          <w:sz w:val="20"/>
        </w:rPr>
        <w:t>renovation</w:t>
      </w:r>
      <w:r w:rsidR="00131CE6">
        <w:rPr>
          <w:rFonts w:ascii="Arial" w:hAnsi="Arial" w:cs="Arial"/>
          <w:sz w:val="20"/>
        </w:rPr>
        <w:t xml:space="preserve"> process</w:t>
      </w:r>
      <w:r w:rsidR="00D61956">
        <w:rPr>
          <w:rFonts w:ascii="Arial" w:hAnsi="Arial" w:cs="Arial"/>
          <w:sz w:val="20"/>
        </w:rPr>
        <w:t>.</w:t>
      </w:r>
    </w:p>
    <w:p w14:paraId="0BC635E1" w14:textId="626D3A86" w:rsidR="007019FA" w:rsidRDefault="007019FA" w:rsidP="007019FA">
      <w:pPr>
        <w:pStyle w:val="BodyText"/>
        <w:spacing w:before="240" w:line="240" w:lineRule="auto"/>
        <w:ind w:right="-6"/>
        <w:jc w:val="both"/>
        <w:rPr>
          <w:rFonts w:ascii="Arial" w:hAnsi="Arial" w:cs="Arial"/>
          <w:b/>
          <w:szCs w:val="24"/>
          <w:lang w:val="en-US"/>
        </w:rPr>
      </w:pPr>
      <w:r w:rsidRPr="007019FA">
        <w:rPr>
          <w:rFonts w:ascii="Arial" w:hAnsi="Arial" w:cs="Arial"/>
          <w:b/>
          <w:szCs w:val="24"/>
          <w:lang w:val="en-US"/>
        </w:rPr>
        <w:t>Acknowledgements</w:t>
      </w:r>
    </w:p>
    <w:p w14:paraId="136B0A90" w14:textId="0F59B0E3" w:rsidR="007019FA" w:rsidRPr="007019FA" w:rsidRDefault="007019FA" w:rsidP="007019FA">
      <w:pPr>
        <w:pStyle w:val="BodyText"/>
        <w:spacing w:line="240" w:lineRule="auto"/>
        <w:ind w:right="-6"/>
        <w:jc w:val="both"/>
        <w:rPr>
          <w:rFonts w:ascii="Arial" w:hAnsi="Arial" w:cs="Arial"/>
          <w:sz w:val="20"/>
        </w:rPr>
      </w:pPr>
      <w:r w:rsidRPr="007019FA">
        <w:rPr>
          <w:rFonts w:ascii="Arial" w:hAnsi="Arial" w:cs="Arial"/>
          <w:sz w:val="20"/>
        </w:rPr>
        <w:t>This project has received funding from the European Union’s H2020 research and innovation programme under grant agreement no 768576</w:t>
      </w:r>
      <w:r>
        <w:rPr>
          <w:rFonts w:ascii="Arial" w:hAnsi="Arial" w:cs="Arial"/>
          <w:sz w:val="20"/>
        </w:rPr>
        <w:t>.</w:t>
      </w:r>
    </w:p>
    <w:p w14:paraId="0D08CBEA" w14:textId="77777777" w:rsidR="0074190F" w:rsidRPr="001556A5" w:rsidRDefault="004426B0" w:rsidP="001556A5">
      <w:pPr>
        <w:pStyle w:val="Heading1"/>
        <w:spacing w:line="240" w:lineRule="auto"/>
        <w:ind w:right="-7"/>
        <w:rPr>
          <w:rFonts w:ascii="Arial" w:hAnsi="Arial" w:cs="Arial"/>
          <w:sz w:val="24"/>
          <w:szCs w:val="24"/>
          <w:lang w:val="en-US"/>
        </w:rPr>
      </w:pPr>
      <w:r w:rsidRPr="00384520">
        <w:rPr>
          <w:rFonts w:ascii="Arial" w:hAnsi="Arial" w:cs="Arial"/>
          <w:sz w:val="24"/>
          <w:szCs w:val="24"/>
          <w:lang w:val="en-US"/>
        </w:rPr>
        <w:t>References</w:t>
      </w:r>
    </w:p>
    <w:p w14:paraId="528FD0F8" w14:textId="57F31863" w:rsidR="00B250B8" w:rsidRPr="00B250B8" w:rsidRDefault="007416FB" w:rsidP="00B250B8">
      <w:pPr>
        <w:widowControl w:val="0"/>
        <w:autoSpaceDE w:val="0"/>
        <w:autoSpaceDN w:val="0"/>
        <w:adjustRightInd w:val="0"/>
        <w:spacing w:after="120"/>
        <w:ind w:left="640" w:hanging="640"/>
        <w:rPr>
          <w:rFonts w:ascii="Arial" w:hAnsi="Arial" w:cs="Arial"/>
          <w:noProof/>
          <w:szCs w:val="24"/>
        </w:rPr>
      </w:pPr>
      <w:r>
        <w:rPr>
          <w:rFonts w:ascii="Arial" w:hAnsi="Arial" w:cs="Arial"/>
          <w:lang w:val="en-US"/>
        </w:rPr>
        <w:fldChar w:fldCharType="begin" w:fldLock="1"/>
      </w:r>
      <w:r>
        <w:rPr>
          <w:rFonts w:ascii="Arial" w:hAnsi="Arial" w:cs="Arial"/>
          <w:lang w:val="en-US"/>
        </w:rPr>
        <w:instrText xml:space="preserve">ADDIN Mendeley Bibliography CSL_BIBLIOGRAPHY </w:instrText>
      </w:r>
      <w:r>
        <w:rPr>
          <w:rFonts w:ascii="Arial" w:hAnsi="Arial" w:cs="Arial"/>
          <w:lang w:val="en-US"/>
        </w:rPr>
        <w:fldChar w:fldCharType="separate"/>
      </w:r>
      <w:r w:rsidR="00B250B8" w:rsidRPr="00B250B8">
        <w:rPr>
          <w:rFonts w:ascii="Arial" w:hAnsi="Arial" w:cs="Arial"/>
          <w:noProof/>
          <w:szCs w:val="24"/>
        </w:rPr>
        <w:t>[1]</w:t>
      </w:r>
      <w:r w:rsidR="00B250B8" w:rsidRPr="00B250B8">
        <w:rPr>
          <w:rFonts w:ascii="Arial" w:hAnsi="Arial" w:cs="Arial"/>
          <w:noProof/>
          <w:szCs w:val="24"/>
        </w:rPr>
        <w:tab/>
        <w:t>IEA, 2019 Global Status Report for Buildings and Construction Towards a zero-emissions, efficient and resilient buildings and construction sector, 2019. doi:https://doi.org/10.1038/s41370</w:t>
      </w:r>
      <w:r w:rsidR="00B250B8" w:rsidRPr="00B250B8">
        <w:rPr>
          <w:rFonts w:ascii="Cambria Math" w:hAnsi="Cambria Math" w:cs="Cambria Math"/>
          <w:noProof/>
          <w:szCs w:val="24"/>
        </w:rPr>
        <w:t>‐</w:t>
      </w:r>
      <w:r w:rsidR="00B250B8" w:rsidRPr="00B250B8">
        <w:rPr>
          <w:rFonts w:ascii="Arial" w:hAnsi="Arial" w:cs="Arial"/>
          <w:noProof/>
          <w:szCs w:val="24"/>
        </w:rPr>
        <w:t>017</w:t>
      </w:r>
      <w:r w:rsidR="00B250B8" w:rsidRPr="00B250B8">
        <w:rPr>
          <w:rFonts w:ascii="Cambria Math" w:hAnsi="Cambria Math" w:cs="Cambria Math"/>
          <w:noProof/>
          <w:szCs w:val="24"/>
        </w:rPr>
        <w:t>‐</w:t>
      </w:r>
      <w:r w:rsidR="00B250B8" w:rsidRPr="00B250B8">
        <w:rPr>
          <w:rFonts w:ascii="Arial" w:hAnsi="Arial" w:cs="Arial"/>
          <w:noProof/>
          <w:szCs w:val="24"/>
        </w:rPr>
        <w:t>0014</w:t>
      </w:r>
      <w:r w:rsidR="00B250B8" w:rsidRPr="00B250B8">
        <w:rPr>
          <w:rFonts w:ascii="Cambria Math" w:hAnsi="Cambria Math" w:cs="Cambria Math"/>
          <w:noProof/>
          <w:szCs w:val="24"/>
        </w:rPr>
        <w:t>‐</w:t>
      </w:r>
      <w:r w:rsidR="00B250B8" w:rsidRPr="00B250B8">
        <w:rPr>
          <w:rFonts w:ascii="Arial" w:hAnsi="Arial" w:cs="Arial"/>
          <w:noProof/>
          <w:szCs w:val="24"/>
        </w:rPr>
        <w:t>9.</w:t>
      </w:r>
    </w:p>
    <w:p w14:paraId="7250A563" w14:textId="77777777" w:rsidR="00B250B8" w:rsidRPr="00B250B8" w:rsidRDefault="00B250B8" w:rsidP="00B250B8">
      <w:pPr>
        <w:widowControl w:val="0"/>
        <w:autoSpaceDE w:val="0"/>
        <w:autoSpaceDN w:val="0"/>
        <w:adjustRightInd w:val="0"/>
        <w:spacing w:after="120"/>
        <w:ind w:left="640" w:hanging="640"/>
        <w:rPr>
          <w:rFonts w:ascii="Arial" w:hAnsi="Arial" w:cs="Arial"/>
          <w:noProof/>
          <w:szCs w:val="24"/>
        </w:rPr>
      </w:pPr>
      <w:r w:rsidRPr="00B250B8">
        <w:rPr>
          <w:rFonts w:ascii="Arial" w:hAnsi="Arial" w:cs="Arial"/>
          <w:noProof/>
          <w:szCs w:val="24"/>
        </w:rPr>
        <w:t>[2]</w:t>
      </w:r>
      <w:r w:rsidRPr="00B250B8">
        <w:rPr>
          <w:rFonts w:ascii="Arial" w:hAnsi="Arial" w:cs="Arial"/>
          <w:noProof/>
          <w:szCs w:val="24"/>
        </w:rPr>
        <w:tab/>
        <w:t>DIRECTIVE (EU) 2018/844 OF THE EUROPEAN PARLIAMENT AND OF THE COUNCIL of 30 May 2018 amending Directive 2010/31/EU on the energy performance of buildings and Directive 2012/27/EU on energy efficiency, 2018.</w:t>
      </w:r>
    </w:p>
    <w:p w14:paraId="1AE5CB5E" w14:textId="77777777" w:rsidR="00B250B8" w:rsidRPr="00B250B8" w:rsidRDefault="00B250B8" w:rsidP="00B250B8">
      <w:pPr>
        <w:widowControl w:val="0"/>
        <w:autoSpaceDE w:val="0"/>
        <w:autoSpaceDN w:val="0"/>
        <w:adjustRightInd w:val="0"/>
        <w:spacing w:after="120"/>
        <w:ind w:left="640" w:hanging="640"/>
        <w:rPr>
          <w:rFonts w:ascii="Arial" w:hAnsi="Arial" w:cs="Arial"/>
          <w:noProof/>
          <w:szCs w:val="24"/>
        </w:rPr>
      </w:pPr>
      <w:r w:rsidRPr="00B250B8">
        <w:rPr>
          <w:rFonts w:ascii="Arial" w:hAnsi="Arial" w:cs="Arial"/>
          <w:noProof/>
          <w:szCs w:val="24"/>
        </w:rPr>
        <w:t>[3]</w:t>
      </w:r>
      <w:r w:rsidRPr="00B250B8">
        <w:rPr>
          <w:rFonts w:ascii="Arial" w:hAnsi="Arial" w:cs="Arial"/>
          <w:noProof/>
          <w:szCs w:val="24"/>
        </w:rPr>
        <w:tab/>
        <w:t>European Commission, Guidelines accompanying Commission Delegated Regulation (EU) No 244/2012 of 16 January 2012 supplementing Directive 2010/31/EU of the European Parliament and of the Council on the energy performance of buildings by establishing a comparative methodology f, 2012. https://eur-lex.europa.eu/legal-content/EN/TXT/PDF/?uri=CELEX:52012XC0419(02)&amp;from=EN.</w:t>
      </w:r>
    </w:p>
    <w:p w14:paraId="7CB7871F" w14:textId="77777777" w:rsidR="00B250B8" w:rsidRPr="00B250B8" w:rsidRDefault="00B250B8" w:rsidP="00B250B8">
      <w:pPr>
        <w:widowControl w:val="0"/>
        <w:autoSpaceDE w:val="0"/>
        <w:autoSpaceDN w:val="0"/>
        <w:adjustRightInd w:val="0"/>
        <w:spacing w:after="120"/>
        <w:ind w:left="640" w:hanging="640"/>
        <w:rPr>
          <w:rFonts w:ascii="Arial" w:hAnsi="Arial" w:cs="Arial"/>
          <w:noProof/>
          <w:szCs w:val="24"/>
        </w:rPr>
      </w:pPr>
      <w:r w:rsidRPr="00B250B8">
        <w:rPr>
          <w:rFonts w:ascii="Arial" w:hAnsi="Arial" w:cs="Arial"/>
          <w:noProof/>
          <w:szCs w:val="24"/>
        </w:rPr>
        <w:t>[4]</w:t>
      </w:r>
      <w:r w:rsidRPr="00B250B8">
        <w:rPr>
          <w:rFonts w:ascii="Arial" w:hAnsi="Arial" w:cs="Arial"/>
          <w:noProof/>
          <w:szCs w:val="24"/>
        </w:rPr>
        <w:tab/>
        <w:t>Y.I. Antonov, P. Heiselberg, F. Flourentzou, M.Z. Pomianowski, Methodology for Evaluation and Development of Refurbishment Scenarios for Multi-Story Apartment Buildings, Applied to Two Buildings in Denmark and Switzerland, Buildings. 10 (2020) 102. doi:10.3390/buildings10060102.</w:t>
      </w:r>
    </w:p>
    <w:p w14:paraId="27C7B663" w14:textId="77777777" w:rsidR="00B250B8" w:rsidRPr="00B250B8" w:rsidRDefault="00B250B8" w:rsidP="00B250B8">
      <w:pPr>
        <w:widowControl w:val="0"/>
        <w:autoSpaceDE w:val="0"/>
        <w:autoSpaceDN w:val="0"/>
        <w:adjustRightInd w:val="0"/>
        <w:spacing w:after="120"/>
        <w:ind w:left="640" w:hanging="640"/>
        <w:rPr>
          <w:rFonts w:ascii="Arial" w:hAnsi="Arial" w:cs="Arial"/>
          <w:noProof/>
          <w:szCs w:val="24"/>
        </w:rPr>
      </w:pPr>
      <w:r w:rsidRPr="00B250B8">
        <w:rPr>
          <w:rFonts w:ascii="Arial" w:hAnsi="Arial" w:cs="Arial"/>
          <w:noProof/>
          <w:szCs w:val="24"/>
        </w:rPr>
        <w:t>[5]</w:t>
      </w:r>
      <w:r w:rsidRPr="00B250B8">
        <w:rPr>
          <w:rFonts w:ascii="Arial" w:hAnsi="Arial" w:cs="Arial"/>
          <w:noProof/>
          <w:szCs w:val="24"/>
        </w:rPr>
        <w:tab/>
        <w:t>DIRECTIVE 2010/31/EU OF THE EUROPEAN PARLIAMENT AND OF THE COUNCIL of 19 May 2010 on the energy performance of buildings (recast), European Union, 2010.</w:t>
      </w:r>
    </w:p>
    <w:p w14:paraId="33ACACD6" w14:textId="77777777" w:rsidR="00B250B8" w:rsidRPr="00B250B8" w:rsidRDefault="00B250B8" w:rsidP="00B250B8">
      <w:pPr>
        <w:widowControl w:val="0"/>
        <w:autoSpaceDE w:val="0"/>
        <w:autoSpaceDN w:val="0"/>
        <w:adjustRightInd w:val="0"/>
        <w:spacing w:after="120"/>
        <w:ind w:left="640" w:hanging="640"/>
        <w:rPr>
          <w:rFonts w:ascii="Arial" w:hAnsi="Arial" w:cs="Arial"/>
          <w:noProof/>
          <w:szCs w:val="24"/>
        </w:rPr>
      </w:pPr>
      <w:r w:rsidRPr="00B250B8">
        <w:rPr>
          <w:rFonts w:ascii="Arial" w:hAnsi="Arial" w:cs="Arial"/>
          <w:noProof/>
          <w:szCs w:val="24"/>
        </w:rPr>
        <w:t>[6]</w:t>
      </w:r>
      <w:r w:rsidRPr="00B250B8">
        <w:rPr>
          <w:rFonts w:ascii="Arial" w:hAnsi="Arial" w:cs="Arial"/>
          <w:noProof/>
          <w:szCs w:val="24"/>
        </w:rPr>
        <w:tab/>
        <w:t>Building Performance Institute Europe (BPIE), Nearly Zero Energy Buildings definitions across europe, (2015) 18–22. http://episcope.eu/fileadmin/episcope/public/docs/reports/EPISCOPE_SR1_NewBuildingsInTypologies.pdf%0Ahttp://bpie.eu/uploads/lib/document/attachment/128/BPIE_factsheet_nZEB_definitions_across_Europe.pdf.</w:t>
      </w:r>
    </w:p>
    <w:p w14:paraId="026F626A" w14:textId="77777777" w:rsidR="00B250B8" w:rsidRPr="00B250B8" w:rsidRDefault="00B250B8" w:rsidP="00B250B8">
      <w:pPr>
        <w:widowControl w:val="0"/>
        <w:autoSpaceDE w:val="0"/>
        <w:autoSpaceDN w:val="0"/>
        <w:adjustRightInd w:val="0"/>
        <w:spacing w:after="120"/>
        <w:ind w:left="640" w:hanging="640"/>
        <w:rPr>
          <w:rFonts w:ascii="Arial" w:hAnsi="Arial" w:cs="Arial"/>
          <w:noProof/>
          <w:szCs w:val="24"/>
        </w:rPr>
      </w:pPr>
      <w:r w:rsidRPr="00B250B8">
        <w:rPr>
          <w:rFonts w:ascii="Arial" w:hAnsi="Arial" w:cs="Arial"/>
          <w:noProof/>
          <w:szCs w:val="24"/>
        </w:rPr>
        <w:t>[7]</w:t>
      </w:r>
      <w:r w:rsidRPr="00B250B8">
        <w:rPr>
          <w:rFonts w:ascii="Arial" w:hAnsi="Arial" w:cs="Arial"/>
          <w:noProof/>
          <w:szCs w:val="24"/>
        </w:rPr>
        <w:tab/>
        <w:t>A.J. Marszal, P. Heiselberg, J.S. Bourrelle, E. Musall, K. Voss, I. Sartori, A. Napolitano, Zero Energy Building - A review of definitions and calculation methodologies, Energy Build. 43 (2011) 971–979. doi:10.1016/j.enbuild.2010.12.022.</w:t>
      </w:r>
    </w:p>
    <w:p w14:paraId="061F39BA" w14:textId="77777777" w:rsidR="00B250B8" w:rsidRPr="00B250B8" w:rsidRDefault="00B250B8" w:rsidP="00B250B8">
      <w:pPr>
        <w:widowControl w:val="0"/>
        <w:autoSpaceDE w:val="0"/>
        <w:autoSpaceDN w:val="0"/>
        <w:adjustRightInd w:val="0"/>
        <w:spacing w:after="120"/>
        <w:ind w:left="640" w:hanging="640"/>
        <w:rPr>
          <w:rFonts w:ascii="Arial" w:hAnsi="Arial" w:cs="Arial"/>
          <w:noProof/>
          <w:szCs w:val="24"/>
        </w:rPr>
      </w:pPr>
      <w:r w:rsidRPr="00B250B8">
        <w:rPr>
          <w:rFonts w:ascii="Arial" w:hAnsi="Arial" w:cs="Arial"/>
          <w:noProof/>
          <w:szCs w:val="24"/>
        </w:rPr>
        <w:t>[8]</w:t>
      </w:r>
      <w:r w:rsidRPr="00B250B8">
        <w:rPr>
          <w:rFonts w:ascii="Arial" w:hAnsi="Arial" w:cs="Arial"/>
          <w:noProof/>
          <w:szCs w:val="24"/>
        </w:rPr>
        <w:tab/>
        <w:t>P. Torcellini, S. Pless, M. Deru, D. Crawley, Zero Energy Buildings: A Critical Look at the Definition, ACEEE Summer Study Pacific Grove. (2006) 15. doi:10.1016/S1471-0846(02)80045-2.</w:t>
      </w:r>
    </w:p>
    <w:p w14:paraId="76F65768" w14:textId="77777777" w:rsidR="00B250B8" w:rsidRPr="00B250B8" w:rsidRDefault="00B250B8" w:rsidP="00B250B8">
      <w:pPr>
        <w:widowControl w:val="0"/>
        <w:autoSpaceDE w:val="0"/>
        <w:autoSpaceDN w:val="0"/>
        <w:adjustRightInd w:val="0"/>
        <w:spacing w:after="120"/>
        <w:ind w:left="640" w:hanging="640"/>
        <w:rPr>
          <w:rFonts w:ascii="Arial" w:hAnsi="Arial" w:cs="Arial"/>
          <w:noProof/>
          <w:szCs w:val="24"/>
        </w:rPr>
      </w:pPr>
      <w:r w:rsidRPr="00B250B8">
        <w:rPr>
          <w:rFonts w:ascii="Arial" w:hAnsi="Arial" w:cs="Arial"/>
          <w:noProof/>
          <w:szCs w:val="24"/>
        </w:rPr>
        <w:t>[9]</w:t>
      </w:r>
      <w:r w:rsidRPr="00B250B8">
        <w:rPr>
          <w:rFonts w:ascii="Arial" w:hAnsi="Arial" w:cs="Arial"/>
          <w:noProof/>
          <w:szCs w:val="24"/>
        </w:rPr>
        <w:tab/>
        <w:t xml:space="preserve">I. Sartori, A. Napolitano, A. Marszal, S. Pless, P. Torcellini, K. Voss, Criteria for Definition of Net Zero Energy Buildings, in: Proc. EuroSun 2010 Conf., International Solar Energy Society, Freiburg, Germany, 2010: pp. 1–8. </w:t>
      </w:r>
      <w:r w:rsidRPr="00B250B8">
        <w:rPr>
          <w:rFonts w:ascii="Arial" w:hAnsi="Arial" w:cs="Arial"/>
          <w:noProof/>
          <w:szCs w:val="24"/>
        </w:rPr>
        <w:lastRenderedPageBreak/>
        <w:t>doi:10.18086/eurosun.2010.06.21.</w:t>
      </w:r>
    </w:p>
    <w:p w14:paraId="63842283" w14:textId="77777777" w:rsidR="00B250B8" w:rsidRPr="00B250B8" w:rsidRDefault="00B250B8" w:rsidP="00B250B8">
      <w:pPr>
        <w:widowControl w:val="0"/>
        <w:autoSpaceDE w:val="0"/>
        <w:autoSpaceDN w:val="0"/>
        <w:adjustRightInd w:val="0"/>
        <w:spacing w:after="120"/>
        <w:ind w:left="640" w:hanging="640"/>
        <w:rPr>
          <w:rFonts w:ascii="Arial" w:hAnsi="Arial" w:cs="Arial"/>
          <w:noProof/>
          <w:szCs w:val="24"/>
        </w:rPr>
      </w:pPr>
      <w:r w:rsidRPr="00B250B8">
        <w:rPr>
          <w:rFonts w:ascii="Arial" w:hAnsi="Arial" w:cs="Arial"/>
          <w:noProof/>
          <w:szCs w:val="24"/>
        </w:rPr>
        <w:t>[10]</w:t>
      </w:r>
      <w:r w:rsidRPr="00B250B8">
        <w:rPr>
          <w:rFonts w:ascii="Arial" w:hAnsi="Arial" w:cs="Arial"/>
          <w:noProof/>
          <w:szCs w:val="24"/>
        </w:rPr>
        <w:tab/>
        <w:t>F. Flourentzos, K. Droutsa, K.B. Wittchen, EPIQR software, Energy Build. 31 (2000) 129–136. doi:10.1016/S0378-7788(99)00026-2.</w:t>
      </w:r>
    </w:p>
    <w:p w14:paraId="0D08CBF8" w14:textId="726D0F6F" w:rsidR="0074190F" w:rsidRPr="0074190F" w:rsidRDefault="00B250B8" w:rsidP="00536FD1">
      <w:pPr>
        <w:widowControl w:val="0"/>
        <w:autoSpaceDE w:val="0"/>
        <w:autoSpaceDN w:val="0"/>
        <w:adjustRightInd w:val="0"/>
        <w:spacing w:after="120"/>
        <w:ind w:left="640" w:hanging="640"/>
        <w:rPr>
          <w:rFonts w:ascii="Arial" w:hAnsi="Arial" w:cs="Arial"/>
          <w:lang w:val="en-US"/>
        </w:rPr>
      </w:pPr>
      <w:r w:rsidRPr="00B250B8">
        <w:rPr>
          <w:rFonts w:ascii="Arial" w:hAnsi="Arial" w:cs="Arial"/>
          <w:noProof/>
          <w:szCs w:val="24"/>
        </w:rPr>
        <w:t>[11]</w:t>
      </w:r>
      <w:r w:rsidRPr="00B250B8">
        <w:rPr>
          <w:rFonts w:ascii="Arial" w:hAnsi="Arial" w:cs="Arial"/>
          <w:noProof/>
          <w:szCs w:val="24"/>
        </w:rPr>
        <w:tab/>
        <w:t>ECOSOLUTION, (n.d.). https://eb.peik.ch.</w:t>
      </w:r>
      <w:r w:rsidR="007416FB">
        <w:rPr>
          <w:rFonts w:ascii="Arial" w:hAnsi="Arial" w:cs="Arial"/>
          <w:lang w:val="en-US"/>
        </w:rPr>
        <w:fldChar w:fldCharType="end"/>
      </w:r>
    </w:p>
    <w:sectPr w:rsidR="0074190F" w:rsidRPr="0074190F" w:rsidSect="0074190F">
      <w:headerReference w:type="default" r:id="rId18"/>
      <w:footerReference w:type="even" r:id="rId19"/>
      <w:pgSz w:w="11900" w:h="16840" w:code="9"/>
      <w:pgMar w:top="1701" w:right="1134" w:bottom="1701" w:left="1134" w:header="0" w:footer="624" w:gutter="0"/>
      <w:cols w:space="720"/>
      <w:titlePg/>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1AD223D" w14:textId="77777777" w:rsidR="00225A74" w:rsidRDefault="00225A74">
      <w:r>
        <w:separator/>
      </w:r>
    </w:p>
  </w:endnote>
  <w:endnote w:type="continuationSeparator" w:id="0">
    <w:p w14:paraId="66746D6C" w14:textId="77777777" w:rsidR="00225A74" w:rsidRDefault="00225A74">
      <w:r>
        <w:continuationSeparator/>
      </w:r>
    </w:p>
  </w:endnote>
  <w:endnote w:type="continuationNotice" w:id="1">
    <w:p w14:paraId="1A7D4A20" w14:textId="77777777" w:rsidR="00B65C77" w:rsidRDefault="00B65C7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Times">
    <w:panose1 w:val="02020603050405020304"/>
    <w:charset w:val="00"/>
    <w:family w:val="auto"/>
    <w:pitch w:val="variable"/>
    <w:sig w:usb0="E00002FF" w:usb1="5000205A" w:usb2="00000000" w:usb3="00000000" w:csb0="000001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D08CC07" w14:textId="77777777" w:rsidR="00225A74" w:rsidRDefault="00225A74" w:rsidP="00F65949">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end"/>
    </w:r>
  </w:p>
  <w:p w14:paraId="0D08CC08" w14:textId="77777777" w:rsidR="00225A74" w:rsidRDefault="00225A74">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FDC2A28" w14:textId="77777777" w:rsidR="00225A74" w:rsidRDefault="00225A74">
      <w:r>
        <w:separator/>
      </w:r>
    </w:p>
  </w:footnote>
  <w:footnote w:type="continuationSeparator" w:id="0">
    <w:p w14:paraId="0A81F527" w14:textId="77777777" w:rsidR="00225A74" w:rsidRDefault="00225A74">
      <w:r>
        <w:continuationSeparator/>
      </w:r>
    </w:p>
  </w:footnote>
  <w:footnote w:type="continuationNotice" w:id="1">
    <w:p w14:paraId="440DB655" w14:textId="77777777" w:rsidR="00B65C77" w:rsidRDefault="00B65C77"/>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D08CC05" w14:textId="77777777" w:rsidR="00225A74" w:rsidRDefault="00225A74">
    <w:pPr>
      <w:pStyle w:val="Header"/>
      <w:rPr>
        <w:u w:val="single"/>
        <w:lang w:val="de-DE"/>
      </w:rPr>
    </w:pPr>
  </w:p>
  <w:p w14:paraId="0D08CC06" w14:textId="77777777" w:rsidR="00225A74" w:rsidRPr="00C27665" w:rsidRDefault="00225A74">
    <w:pPr>
      <w:pStyle w:val="Header"/>
      <w:rPr>
        <w:u w:val="single"/>
        <w:lang w:val="de-DE"/>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07A4F00"/>
    <w:multiLevelType w:val="hybridMultilevel"/>
    <w:tmpl w:val="CE9CB0CC"/>
    <w:lvl w:ilvl="0" w:tplc="14090019">
      <w:start w:val="1"/>
      <w:numFmt w:val="lowerLetter"/>
      <w:lvlText w:val="%1."/>
      <w:lvlJc w:val="left"/>
      <w:pPr>
        <w:ind w:left="720" w:hanging="360"/>
      </w:pPr>
      <w:rPr>
        <w:rFonts w:hint="default"/>
      </w:rPr>
    </w:lvl>
    <w:lvl w:ilvl="1" w:tplc="14090019" w:tentative="1">
      <w:start w:val="1"/>
      <w:numFmt w:val="lowerLetter"/>
      <w:lvlText w:val="%2."/>
      <w:lvlJc w:val="left"/>
      <w:pPr>
        <w:ind w:left="1440" w:hanging="360"/>
      </w:pPr>
    </w:lvl>
    <w:lvl w:ilvl="2" w:tplc="1409001B" w:tentative="1">
      <w:start w:val="1"/>
      <w:numFmt w:val="lowerRoman"/>
      <w:lvlText w:val="%3."/>
      <w:lvlJc w:val="right"/>
      <w:pPr>
        <w:ind w:left="2160" w:hanging="180"/>
      </w:pPr>
    </w:lvl>
    <w:lvl w:ilvl="3" w:tplc="1409000F" w:tentative="1">
      <w:start w:val="1"/>
      <w:numFmt w:val="decimal"/>
      <w:lvlText w:val="%4."/>
      <w:lvlJc w:val="left"/>
      <w:pPr>
        <w:ind w:left="2880" w:hanging="360"/>
      </w:pPr>
    </w:lvl>
    <w:lvl w:ilvl="4" w:tplc="14090019" w:tentative="1">
      <w:start w:val="1"/>
      <w:numFmt w:val="lowerLetter"/>
      <w:lvlText w:val="%5."/>
      <w:lvlJc w:val="left"/>
      <w:pPr>
        <w:ind w:left="3600" w:hanging="360"/>
      </w:pPr>
    </w:lvl>
    <w:lvl w:ilvl="5" w:tplc="1409001B" w:tentative="1">
      <w:start w:val="1"/>
      <w:numFmt w:val="lowerRoman"/>
      <w:lvlText w:val="%6."/>
      <w:lvlJc w:val="right"/>
      <w:pPr>
        <w:ind w:left="4320" w:hanging="180"/>
      </w:pPr>
    </w:lvl>
    <w:lvl w:ilvl="6" w:tplc="1409000F" w:tentative="1">
      <w:start w:val="1"/>
      <w:numFmt w:val="decimal"/>
      <w:lvlText w:val="%7."/>
      <w:lvlJc w:val="left"/>
      <w:pPr>
        <w:ind w:left="5040" w:hanging="360"/>
      </w:pPr>
    </w:lvl>
    <w:lvl w:ilvl="7" w:tplc="14090019" w:tentative="1">
      <w:start w:val="1"/>
      <w:numFmt w:val="lowerLetter"/>
      <w:lvlText w:val="%8."/>
      <w:lvlJc w:val="left"/>
      <w:pPr>
        <w:ind w:left="5760" w:hanging="360"/>
      </w:pPr>
    </w:lvl>
    <w:lvl w:ilvl="8" w:tplc="1409001B" w:tentative="1">
      <w:start w:val="1"/>
      <w:numFmt w:val="lowerRoman"/>
      <w:lvlText w:val="%9."/>
      <w:lvlJc w:val="right"/>
      <w:pPr>
        <w:ind w:left="6480" w:hanging="180"/>
      </w:pPr>
    </w:lvl>
  </w:abstractNum>
  <w:abstractNum w:abstractNumId="1" w15:restartNumberingAfterBreak="0">
    <w:nsid w:val="14292B59"/>
    <w:multiLevelType w:val="hybridMultilevel"/>
    <w:tmpl w:val="4568F488"/>
    <w:lvl w:ilvl="0" w:tplc="52AAA9F2">
      <w:start w:val="1"/>
      <w:numFmt w:val="decimal"/>
      <w:lvlText w:val="%1."/>
      <w:lvlJc w:val="left"/>
      <w:pPr>
        <w:ind w:left="720" w:hanging="360"/>
      </w:pPr>
      <w:rPr>
        <w:rFonts w:hint="default"/>
      </w:rPr>
    </w:lvl>
    <w:lvl w:ilvl="1" w:tplc="14090019" w:tentative="1">
      <w:start w:val="1"/>
      <w:numFmt w:val="lowerLetter"/>
      <w:lvlText w:val="%2."/>
      <w:lvlJc w:val="left"/>
      <w:pPr>
        <w:ind w:left="1440" w:hanging="360"/>
      </w:pPr>
    </w:lvl>
    <w:lvl w:ilvl="2" w:tplc="1409001B" w:tentative="1">
      <w:start w:val="1"/>
      <w:numFmt w:val="lowerRoman"/>
      <w:lvlText w:val="%3."/>
      <w:lvlJc w:val="right"/>
      <w:pPr>
        <w:ind w:left="2160" w:hanging="180"/>
      </w:pPr>
    </w:lvl>
    <w:lvl w:ilvl="3" w:tplc="1409000F" w:tentative="1">
      <w:start w:val="1"/>
      <w:numFmt w:val="decimal"/>
      <w:lvlText w:val="%4."/>
      <w:lvlJc w:val="left"/>
      <w:pPr>
        <w:ind w:left="2880" w:hanging="360"/>
      </w:pPr>
    </w:lvl>
    <w:lvl w:ilvl="4" w:tplc="14090019" w:tentative="1">
      <w:start w:val="1"/>
      <w:numFmt w:val="lowerLetter"/>
      <w:lvlText w:val="%5."/>
      <w:lvlJc w:val="left"/>
      <w:pPr>
        <w:ind w:left="3600" w:hanging="360"/>
      </w:pPr>
    </w:lvl>
    <w:lvl w:ilvl="5" w:tplc="1409001B" w:tentative="1">
      <w:start w:val="1"/>
      <w:numFmt w:val="lowerRoman"/>
      <w:lvlText w:val="%6."/>
      <w:lvlJc w:val="right"/>
      <w:pPr>
        <w:ind w:left="4320" w:hanging="180"/>
      </w:pPr>
    </w:lvl>
    <w:lvl w:ilvl="6" w:tplc="1409000F" w:tentative="1">
      <w:start w:val="1"/>
      <w:numFmt w:val="decimal"/>
      <w:lvlText w:val="%7."/>
      <w:lvlJc w:val="left"/>
      <w:pPr>
        <w:ind w:left="5040" w:hanging="360"/>
      </w:pPr>
    </w:lvl>
    <w:lvl w:ilvl="7" w:tplc="14090019" w:tentative="1">
      <w:start w:val="1"/>
      <w:numFmt w:val="lowerLetter"/>
      <w:lvlText w:val="%8."/>
      <w:lvlJc w:val="left"/>
      <w:pPr>
        <w:ind w:left="5760" w:hanging="360"/>
      </w:pPr>
    </w:lvl>
    <w:lvl w:ilvl="8" w:tplc="1409001B" w:tentative="1">
      <w:start w:val="1"/>
      <w:numFmt w:val="lowerRoman"/>
      <w:lvlText w:val="%9."/>
      <w:lvlJc w:val="right"/>
      <w:pPr>
        <w:ind w:left="6480" w:hanging="180"/>
      </w:pPr>
    </w:lvl>
  </w:abstractNum>
  <w:abstractNum w:abstractNumId="2" w15:restartNumberingAfterBreak="0">
    <w:nsid w:val="152B4CF6"/>
    <w:multiLevelType w:val="hybridMultilevel"/>
    <w:tmpl w:val="594E998C"/>
    <w:lvl w:ilvl="0" w:tplc="BF54B506">
      <w:start w:val="1"/>
      <w:numFmt w:val="lowerLetter"/>
      <w:lvlText w:val="(%1)"/>
      <w:lvlJc w:val="left"/>
      <w:pPr>
        <w:ind w:left="645" w:hanging="360"/>
      </w:pPr>
      <w:rPr>
        <w:rFonts w:hint="default"/>
      </w:rPr>
    </w:lvl>
    <w:lvl w:ilvl="1" w:tplc="14090019" w:tentative="1">
      <w:start w:val="1"/>
      <w:numFmt w:val="lowerLetter"/>
      <w:lvlText w:val="%2."/>
      <w:lvlJc w:val="left"/>
      <w:pPr>
        <w:ind w:left="1365" w:hanging="360"/>
      </w:pPr>
    </w:lvl>
    <w:lvl w:ilvl="2" w:tplc="1409001B" w:tentative="1">
      <w:start w:val="1"/>
      <w:numFmt w:val="lowerRoman"/>
      <w:lvlText w:val="%3."/>
      <w:lvlJc w:val="right"/>
      <w:pPr>
        <w:ind w:left="2085" w:hanging="180"/>
      </w:pPr>
    </w:lvl>
    <w:lvl w:ilvl="3" w:tplc="1409000F" w:tentative="1">
      <w:start w:val="1"/>
      <w:numFmt w:val="decimal"/>
      <w:lvlText w:val="%4."/>
      <w:lvlJc w:val="left"/>
      <w:pPr>
        <w:ind w:left="2805" w:hanging="360"/>
      </w:pPr>
    </w:lvl>
    <w:lvl w:ilvl="4" w:tplc="14090019" w:tentative="1">
      <w:start w:val="1"/>
      <w:numFmt w:val="lowerLetter"/>
      <w:lvlText w:val="%5."/>
      <w:lvlJc w:val="left"/>
      <w:pPr>
        <w:ind w:left="3525" w:hanging="360"/>
      </w:pPr>
    </w:lvl>
    <w:lvl w:ilvl="5" w:tplc="1409001B" w:tentative="1">
      <w:start w:val="1"/>
      <w:numFmt w:val="lowerRoman"/>
      <w:lvlText w:val="%6."/>
      <w:lvlJc w:val="right"/>
      <w:pPr>
        <w:ind w:left="4245" w:hanging="180"/>
      </w:pPr>
    </w:lvl>
    <w:lvl w:ilvl="6" w:tplc="1409000F" w:tentative="1">
      <w:start w:val="1"/>
      <w:numFmt w:val="decimal"/>
      <w:lvlText w:val="%7."/>
      <w:lvlJc w:val="left"/>
      <w:pPr>
        <w:ind w:left="4965" w:hanging="360"/>
      </w:pPr>
    </w:lvl>
    <w:lvl w:ilvl="7" w:tplc="14090019" w:tentative="1">
      <w:start w:val="1"/>
      <w:numFmt w:val="lowerLetter"/>
      <w:lvlText w:val="%8."/>
      <w:lvlJc w:val="left"/>
      <w:pPr>
        <w:ind w:left="5685" w:hanging="360"/>
      </w:pPr>
    </w:lvl>
    <w:lvl w:ilvl="8" w:tplc="1409001B" w:tentative="1">
      <w:start w:val="1"/>
      <w:numFmt w:val="lowerRoman"/>
      <w:lvlText w:val="%9."/>
      <w:lvlJc w:val="right"/>
      <w:pPr>
        <w:ind w:left="6405" w:hanging="180"/>
      </w:pPr>
    </w:lvl>
  </w:abstractNum>
  <w:abstractNum w:abstractNumId="3" w15:restartNumberingAfterBreak="0">
    <w:nsid w:val="1DDD568B"/>
    <w:multiLevelType w:val="hybridMultilevel"/>
    <w:tmpl w:val="0220C36A"/>
    <w:lvl w:ilvl="0" w:tplc="14090017">
      <w:start w:val="1"/>
      <w:numFmt w:val="lowerLetter"/>
      <w:lvlText w:val="%1)"/>
      <w:lvlJc w:val="left"/>
      <w:pPr>
        <w:ind w:left="830" w:hanging="360"/>
      </w:pPr>
    </w:lvl>
    <w:lvl w:ilvl="1" w:tplc="14090019" w:tentative="1">
      <w:start w:val="1"/>
      <w:numFmt w:val="lowerLetter"/>
      <w:lvlText w:val="%2."/>
      <w:lvlJc w:val="left"/>
      <w:pPr>
        <w:ind w:left="1550" w:hanging="360"/>
      </w:pPr>
    </w:lvl>
    <w:lvl w:ilvl="2" w:tplc="1409001B" w:tentative="1">
      <w:start w:val="1"/>
      <w:numFmt w:val="lowerRoman"/>
      <w:lvlText w:val="%3."/>
      <w:lvlJc w:val="right"/>
      <w:pPr>
        <w:ind w:left="2270" w:hanging="180"/>
      </w:pPr>
    </w:lvl>
    <w:lvl w:ilvl="3" w:tplc="1409000F" w:tentative="1">
      <w:start w:val="1"/>
      <w:numFmt w:val="decimal"/>
      <w:lvlText w:val="%4."/>
      <w:lvlJc w:val="left"/>
      <w:pPr>
        <w:ind w:left="2990" w:hanging="360"/>
      </w:pPr>
    </w:lvl>
    <w:lvl w:ilvl="4" w:tplc="14090019" w:tentative="1">
      <w:start w:val="1"/>
      <w:numFmt w:val="lowerLetter"/>
      <w:lvlText w:val="%5."/>
      <w:lvlJc w:val="left"/>
      <w:pPr>
        <w:ind w:left="3710" w:hanging="360"/>
      </w:pPr>
    </w:lvl>
    <w:lvl w:ilvl="5" w:tplc="1409001B" w:tentative="1">
      <w:start w:val="1"/>
      <w:numFmt w:val="lowerRoman"/>
      <w:lvlText w:val="%6."/>
      <w:lvlJc w:val="right"/>
      <w:pPr>
        <w:ind w:left="4430" w:hanging="180"/>
      </w:pPr>
    </w:lvl>
    <w:lvl w:ilvl="6" w:tplc="1409000F" w:tentative="1">
      <w:start w:val="1"/>
      <w:numFmt w:val="decimal"/>
      <w:lvlText w:val="%7."/>
      <w:lvlJc w:val="left"/>
      <w:pPr>
        <w:ind w:left="5150" w:hanging="360"/>
      </w:pPr>
    </w:lvl>
    <w:lvl w:ilvl="7" w:tplc="14090019" w:tentative="1">
      <w:start w:val="1"/>
      <w:numFmt w:val="lowerLetter"/>
      <w:lvlText w:val="%8."/>
      <w:lvlJc w:val="left"/>
      <w:pPr>
        <w:ind w:left="5870" w:hanging="360"/>
      </w:pPr>
    </w:lvl>
    <w:lvl w:ilvl="8" w:tplc="1409001B" w:tentative="1">
      <w:start w:val="1"/>
      <w:numFmt w:val="lowerRoman"/>
      <w:lvlText w:val="%9."/>
      <w:lvlJc w:val="right"/>
      <w:pPr>
        <w:ind w:left="6590" w:hanging="180"/>
      </w:pPr>
    </w:lvl>
  </w:abstractNum>
  <w:abstractNum w:abstractNumId="4" w15:restartNumberingAfterBreak="0">
    <w:nsid w:val="1EAC61FC"/>
    <w:multiLevelType w:val="hybridMultilevel"/>
    <w:tmpl w:val="7E642646"/>
    <w:lvl w:ilvl="0" w:tplc="8402A990">
      <w:numFmt w:val="bullet"/>
      <w:lvlText w:val="·"/>
      <w:lvlJc w:val="left"/>
      <w:pPr>
        <w:ind w:left="1208" w:hanging="848"/>
      </w:pPr>
      <w:rPr>
        <w:rFonts w:ascii="Arial" w:eastAsia="Times" w:hAnsi="Arial" w:cs="Arial"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5" w15:restartNumberingAfterBreak="0">
    <w:nsid w:val="1F775A7F"/>
    <w:multiLevelType w:val="hybridMultilevel"/>
    <w:tmpl w:val="1CB809F0"/>
    <w:lvl w:ilvl="0" w:tplc="14090001">
      <w:start w:val="1"/>
      <w:numFmt w:val="bullet"/>
      <w:lvlText w:val=""/>
      <w:lvlJc w:val="left"/>
      <w:pPr>
        <w:ind w:left="720" w:hanging="360"/>
      </w:pPr>
      <w:rPr>
        <w:rFonts w:ascii="Symbol" w:hAnsi="Symbol" w:hint="default"/>
      </w:rPr>
    </w:lvl>
    <w:lvl w:ilvl="1" w:tplc="14090019" w:tentative="1">
      <w:start w:val="1"/>
      <w:numFmt w:val="lowerLetter"/>
      <w:lvlText w:val="%2."/>
      <w:lvlJc w:val="left"/>
      <w:pPr>
        <w:ind w:left="1440" w:hanging="360"/>
      </w:pPr>
    </w:lvl>
    <w:lvl w:ilvl="2" w:tplc="1409001B" w:tentative="1">
      <w:start w:val="1"/>
      <w:numFmt w:val="lowerRoman"/>
      <w:lvlText w:val="%3."/>
      <w:lvlJc w:val="right"/>
      <w:pPr>
        <w:ind w:left="2160" w:hanging="180"/>
      </w:pPr>
    </w:lvl>
    <w:lvl w:ilvl="3" w:tplc="1409000F" w:tentative="1">
      <w:start w:val="1"/>
      <w:numFmt w:val="decimal"/>
      <w:lvlText w:val="%4."/>
      <w:lvlJc w:val="left"/>
      <w:pPr>
        <w:ind w:left="2880" w:hanging="360"/>
      </w:pPr>
    </w:lvl>
    <w:lvl w:ilvl="4" w:tplc="14090019" w:tentative="1">
      <w:start w:val="1"/>
      <w:numFmt w:val="lowerLetter"/>
      <w:lvlText w:val="%5."/>
      <w:lvlJc w:val="left"/>
      <w:pPr>
        <w:ind w:left="3600" w:hanging="360"/>
      </w:pPr>
    </w:lvl>
    <w:lvl w:ilvl="5" w:tplc="1409001B" w:tentative="1">
      <w:start w:val="1"/>
      <w:numFmt w:val="lowerRoman"/>
      <w:lvlText w:val="%6."/>
      <w:lvlJc w:val="right"/>
      <w:pPr>
        <w:ind w:left="4320" w:hanging="180"/>
      </w:pPr>
    </w:lvl>
    <w:lvl w:ilvl="6" w:tplc="1409000F" w:tentative="1">
      <w:start w:val="1"/>
      <w:numFmt w:val="decimal"/>
      <w:lvlText w:val="%7."/>
      <w:lvlJc w:val="left"/>
      <w:pPr>
        <w:ind w:left="5040" w:hanging="360"/>
      </w:pPr>
    </w:lvl>
    <w:lvl w:ilvl="7" w:tplc="14090019" w:tentative="1">
      <w:start w:val="1"/>
      <w:numFmt w:val="lowerLetter"/>
      <w:lvlText w:val="%8."/>
      <w:lvlJc w:val="left"/>
      <w:pPr>
        <w:ind w:left="5760" w:hanging="360"/>
      </w:pPr>
    </w:lvl>
    <w:lvl w:ilvl="8" w:tplc="1409001B" w:tentative="1">
      <w:start w:val="1"/>
      <w:numFmt w:val="lowerRoman"/>
      <w:lvlText w:val="%9."/>
      <w:lvlJc w:val="right"/>
      <w:pPr>
        <w:ind w:left="6480" w:hanging="180"/>
      </w:pPr>
    </w:lvl>
  </w:abstractNum>
  <w:abstractNum w:abstractNumId="6" w15:restartNumberingAfterBreak="0">
    <w:nsid w:val="2D6715CD"/>
    <w:multiLevelType w:val="multilevel"/>
    <w:tmpl w:val="24064030"/>
    <w:lvl w:ilvl="0">
      <w:start w:val="1"/>
      <w:numFmt w:val="decimal"/>
      <w:pStyle w:val="Heading1"/>
      <w:lvlText w:val="%1."/>
      <w:lvlJc w:val="left"/>
      <w:pPr>
        <w:tabs>
          <w:tab w:val="num" w:pos="432"/>
        </w:tabs>
        <w:ind w:left="432" w:hanging="432"/>
      </w:pPr>
    </w:lvl>
    <w:lvl w:ilvl="1">
      <w:start w:val="1"/>
      <w:numFmt w:val="decimal"/>
      <w:pStyle w:val="Heading2"/>
      <w:lvlText w:val="%1.%2"/>
      <w:lvlJc w:val="left"/>
      <w:pPr>
        <w:tabs>
          <w:tab w:val="num" w:pos="576"/>
        </w:tabs>
        <w:ind w:left="576" w:hanging="576"/>
      </w:pPr>
      <w:rPr>
        <w:rFonts w:ascii="Times New Roman" w:hAnsi="Times New Roman" w:cs="Times New Roman"/>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pStyle w:val="Heading3"/>
      <w:lvlText w:val="%1.%2.%3"/>
      <w:lvlJc w:val="left"/>
      <w:pPr>
        <w:tabs>
          <w:tab w:val="num" w:pos="720"/>
        </w:tabs>
        <w:ind w:left="720" w:hanging="720"/>
      </w:pPr>
    </w:lvl>
    <w:lvl w:ilvl="3">
      <w:start w:val="1"/>
      <w:numFmt w:val="decimal"/>
      <w:pStyle w:val="Heading4"/>
      <w:lvlText w:val="%1.%2.%3.%4"/>
      <w:lvlJc w:val="left"/>
      <w:pPr>
        <w:tabs>
          <w:tab w:val="num" w:pos="864"/>
        </w:tabs>
        <w:ind w:left="864" w:hanging="864"/>
      </w:pPr>
    </w:lvl>
    <w:lvl w:ilvl="4">
      <w:start w:val="1"/>
      <w:numFmt w:val="decimal"/>
      <w:pStyle w:val="Heading5"/>
      <w:lvlText w:val="%1.%2.%3.%4.%5"/>
      <w:lvlJc w:val="left"/>
      <w:pPr>
        <w:tabs>
          <w:tab w:val="num" w:pos="1008"/>
        </w:tabs>
        <w:ind w:left="1008" w:hanging="1008"/>
      </w:pPr>
    </w:lvl>
    <w:lvl w:ilvl="5">
      <w:start w:val="1"/>
      <w:numFmt w:val="decimal"/>
      <w:pStyle w:val="Heading6"/>
      <w:lvlText w:val="%1.%2.%3.%4.%5.%6"/>
      <w:lvlJc w:val="left"/>
      <w:pPr>
        <w:tabs>
          <w:tab w:val="num" w:pos="1152"/>
        </w:tabs>
        <w:ind w:left="1152" w:hanging="1152"/>
      </w:pPr>
    </w:lvl>
    <w:lvl w:ilvl="6">
      <w:start w:val="1"/>
      <w:numFmt w:val="decimal"/>
      <w:pStyle w:val="Heading7"/>
      <w:lvlText w:val="%1.%2.%3.%4.%5.%6.%7"/>
      <w:lvlJc w:val="left"/>
      <w:pPr>
        <w:tabs>
          <w:tab w:val="num" w:pos="1296"/>
        </w:tabs>
        <w:ind w:left="1296" w:hanging="1296"/>
      </w:pPr>
    </w:lvl>
    <w:lvl w:ilvl="7">
      <w:start w:val="1"/>
      <w:numFmt w:val="decimal"/>
      <w:pStyle w:val="Heading8"/>
      <w:lvlText w:val="%1.%2.%3.%4.%5.%6.%7.%8"/>
      <w:lvlJc w:val="left"/>
      <w:pPr>
        <w:tabs>
          <w:tab w:val="num" w:pos="1440"/>
        </w:tabs>
        <w:ind w:left="1440" w:hanging="1440"/>
      </w:pPr>
    </w:lvl>
    <w:lvl w:ilvl="8">
      <w:start w:val="1"/>
      <w:numFmt w:val="decimal"/>
      <w:pStyle w:val="Heading9"/>
      <w:lvlText w:val="%1.%2.%3.%4.%5.%6.%7.%8.%9"/>
      <w:lvlJc w:val="left"/>
      <w:pPr>
        <w:tabs>
          <w:tab w:val="num" w:pos="1584"/>
        </w:tabs>
        <w:ind w:left="1584" w:hanging="1584"/>
      </w:pPr>
    </w:lvl>
  </w:abstractNum>
  <w:abstractNum w:abstractNumId="7" w15:restartNumberingAfterBreak="0">
    <w:nsid w:val="39F1074D"/>
    <w:multiLevelType w:val="hybridMultilevel"/>
    <w:tmpl w:val="8AB4C48C"/>
    <w:lvl w:ilvl="0" w:tplc="14090001">
      <w:start w:val="1"/>
      <w:numFmt w:val="bullet"/>
      <w:lvlText w:val=""/>
      <w:lvlJc w:val="left"/>
      <w:pPr>
        <w:ind w:left="720" w:hanging="360"/>
      </w:pPr>
      <w:rPr>
        <w:rFonts w:ascii="Symbol" w:hAnsi="Symbol"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8" w15:restartNumberingAfterBreak="0">
    <w:nsid w:val="3BE5112F"/>
    <w:multiLevelType w:val="hybridMultilevel"/>
    <w:tmpl w:val="C1C2E04A"/>
    <w:lvl w:ilvl="0" w:tplc="14090001">
      <w:start w:val="1"/>
      <w:numFmt w:val="bullet"/>
      <w:lvlText w:val=""/>
      <w:lvlJc w:val="left"/>
      <w:pPr>
        <w:ind w:left="720" w:hanging="360"/>
      </w:pPr>
      <w:rPr>
        <w:rFonts w:ascii="Symbol" w:hAnsi="Symbol" w:hint="default"/>
      </w:rPr>
    </w:lvl>
    <w:lvl w:ilvl="1" w:tplc="14090019" w:tentative="1">
      <w:start w:val="1"/>
      <w:numFmt w:val="lowerLetter"/>
      <w:lvlText w:val="%2."/>
      <w:lvlJc w:val="left"/>
      <w:pPr>
        <w:ind w:left="1440" w:hanging="360"/>
      </w:pPr>
    </w:lvl>
    <w:lvl w:ilvl="2" w:tplc="1409001B" w:tentative="1">
      <w:start w:val="1"/>
      <w:numFmt w:val="lowerRoman"/>
      <w:lvlText w:val="%3."/>
      <w:lvlJc w:val="right"/>
      <w:pPr>
        <w:ind w:left="2160" w:hanging="180"/>
      </w:pPr>
    </w:lvl>
    <w:lvl w:ilvl="3" w:tplc="1409000F" w:tentative="1">
      <w:start w:val="1"/>
      <w:numFmt w:val="decimal"/>
      <w:lvlText w:val="%4."/>
      <w:lvlJc w:val="left"/>
      <w:pPr>
        <w:ind w:left="2880" w:hanging="360"/>
      </w:pPr>
    </w:lvl>
    <w:lvl w:ilvl="4" w:tplc="14090019" w:tentative="1">
      <w:start w:val="1"/>
      <w:numFmt w:val="lowerLetter"/>
      <w:lvlText w:val="%5."/>
      <w:lvlJc w:val="left"/>
      <w:pPr>
        <w:ind w:left="3600" w:hanging="360"/>
      </w:pPr>
    </w:lvl>
    <w:lvl w:ilvl="5" w:tplc="1409001B" w:tentative="1">
      <w:start w:val="1"/>
      <w:numFmt w:val="lowerRoman"/>
      <w:lvlText w:val="%6."/>
      <w:lvlJc w:val="right"/>
      <w:pPr>
        <w:ind w:left="4320" w:hanging="180"/>
      </w:pPr>
    </w:lvl>
    <w:lvl w:ilvl="6" w:tplc="1409000F" w:tentative="1">
      <w:start w:val="1"/>
      <w:numFmt w:val="decimal"/>
      <w:lvlText w:val="%7."/>
      <w:lvlJc w:val="left"/>
      <w:pPr>
        <w:ind w:left="5040" w:hanging="360"/>
      </w:pPr>
    </w:lvl>
    <w:lvl w:ilvl="7" w:tplc="14090019" w:tentative="1">
      <w:start w:val="1"/>
      <w:numFmt w:val="lowerLetter"/>
      <w:lvlText w:val="%8."/>
      <w:lvlJc w:val="left"/>
      <w:pPr>
        <w:ind w:left="5760" w:hanging="360"/>
      </w:pPr>
    </w:lvl>
    <w:lvl w:ilvl="8" w:tplc="1409001B" w:tentative="1">
      <w:start w:val="1"/>
      <w:numFmt w:val="lowerRoman"/>
      <w:lvlText w:val="%9."/>
      <w:lvlJc w:val="right"/>
      <w:pPr>
        <w:ind w:left="6480" w:hanging="180"/>
      </w:pPr>
    </w:lvl>
  </w:abstractNum>
  <w:abstractNum w:abstractNumId="9" w15:restartNumberingAfterBreak="0">
    <w:nsid w:val="3CB8316D"/>
    <w:multiLevelType w:val="hybridMultilevel"/>
    <w:tmpl w:val="4568F488"/>
    <w:lvl w:ilvl="0" w:tplc="52AAA9F2">
      <w:start w:val="1"/>
      <w:numFmt w:val="decimal"/>
      <w:lvlText w:val="%1."/>
      <w:lvlJc w:val="left"/>
      <w:pPr>
        <w:ind w:left="720" w:hanging="360"/>
      </w:pPr>
      <w:rPr>
        <w:rFonts w:hint="default"/>
      </w:rPr>
    </w:lvl>
    <w:lvl w:ilvl="1" w:tplc="14090019" w:tentative="1">
      <w:start w:val="1"/>
      <w:numFmt w:val="lowerLetter"/>
      <w:lvlText w:val="%2."/>
      <w:lvlJc w:val="left"/>
      <w:pPr>
        <w:ind w:left="1440" w:hanging="360"/>
      </w:pPr>
    </w:lvl>
    <w:lvl w:ilvl="2" w:tplc="1409001B" w:tentative="1">
      <w:start w:val="1"/>
      <w:numFmt w:val="lowerRoman"/>
      <w:lvlText w:val="%3."/>
      <w:lvlJc w:val="right"/>
      <w:pPr>
        <w:ind w:left="2160" w:hanging="180"/>
      </w:pPr>
    </w:lvl>
    <w:lvl w:ilvl="3" w:tplc="1409000F" w:tentative="1">
      <w:start w:val="1"/>
      <w:numFmt w:val="decimal"/>
      <w:lvlText w:val="%4."/>
      <w:lvlJc w:val="left"/>
      <w:pPr>
        <w:ind w:left="2880" w:hanging="360"/>
      </w:pPr>
    </w:lvl>
    <w:lvl w:ilvl="4" w:tplc="14090019" w:tentative="1">
      <w:start w:val="1"/>
      <w:numFmt w:val="lowerLetter"/>
      <w:lvlText w:val="%5."/>
      <w:lvlJc w:val="left"/>
      <w:pPr>
        <w:ind w:left="3600" w:hanging="360"/>
      </w:pPr>
    </w:lvl>
    <w:lvl w:ilvl="5" w:tplc="1409001B" w:tentative="1">
      <w:start w:val="1"/>
      <w:numFmt w:val="lowerRoman"/>
      <w:lvlText w:val="%6."/>
      <w:lvlJc w:val="right"/>
      <w:pPr>
        <w:ind w:left="4320" w:hanging="180"/>
      </w:pPr>
    </w:lvl>
    <w:lvl w:ilvl="6" w:tplc="1409000F" w:tentative="1">
      <w:start w:val="1"/>
      <w:numFmt w:val="decimal"/>
      <w:lvlText w:val="%7."/>
      <w:lvlJc w:val="left"/>
      <w:pPr>
        <w:ind w:left="5040" w:hanging="360"/>
      </w:pPr>
    </w:lvl>
    <w:lvl w:ilvl="7" w:tplc="14090019" w:tentative="1">
      <w:start w:val="1"/>
      <w:numFmt w:val="lowerLetter"/>
      <w:lvlText w:val="%8."/>
      <w:lvlJc w:val="left"/>
      <w:pPr>
        <w:ind w:left="5760" w:hanging="360"/>
      </w:pPr>
    </w:lvl>
    <w:lvl w:ilvl="8" w:tplc="1409001B" w:tentative="1">
      <w:start w:val="1"/>
      <w:numFmt w:val="lowerRoman"/>
      <w:lvlText w:val="%9."/>
      <w:lvlJc w:val="right"/>
      <w:pPr>
        <w:ind w:left="6480" w:hanging="180"/>
      </w:pPr>
    </w:lvl>
  </w:abstractNum>
  <w:abstractNum w:abstractNumId="10" w15:restartNumberingAfterBreak="0">
    <w:nsid w:val="3EE34CE5"/>
    <w:multiLevelType w:val="hybridMultilevel"/>
    <w:tmpl w:val="3AEE3282"/>
    <w:lvl w:ilvl="0" w:tplc="7450B8E8">
      <w:start w:val="1"/>
      <w:numFmt w:val="decimal"/>
      <w:lvlText w:val="%1."/>
      <w:lvlJc w:val="left"/>
      <w:pPr>
        <w:ind w:left="720" w:hanging="360"/>
      </w:pPr>
      <w:rPr>
        <w:rFonts w:hint="default"/>
      </w:rPr>
    </w:lvl>
    <w:lvl w:ilvl="1" w:tplc="14090019" w:tentative="1">
      <w:start w:val="1"/>
      <w:numFmt w:val="lowerLetter"/>
      <w:lvlText w:val="%2."/>
      <w:lvlJc w:val="left"/>
      <w:pPr>
        <w:ind w:left="1440" w:hanging="360"/>
      </w:pPr>
    </w:lvl>
    <w:lvl w:ilvl="2" w:tplc="1409001B" w:tentative="1">
      <w:start w:val="1"/>
      <w:numFmt w:val="lowerRoman"/>
      <w:lvlText w:val="%3."/>
      <w:lvlJc w:val="right"/>
      <w:pPr>
        <w:ind w:left="2160" w:hanging="180"/>
      </w:pPr>
    </w:lvl>
    <w:lvl w:ilvl="3" w:tplc="1409000F" w:tentative="1">
      <w:start w:val="1"/>
      <w:numFmt w:val="decimal"/>
      <w:lvlText w:val="%4."/>
      <w:lvlJc w:val="left"/>
      <w:pPr>
        <w:ind w:left="2880" w:hanging="360"/>
      </w:pPr>
    </w:lvl>
    <w:lvl w:ilvl="4" w:tplc="14090019" w:tentative="1">
      <w:start w:val="1"/>
      <w:numFmt w:val="lowerLetter"/>
      <w:lvlText w:val="%5."/>
      <w:lvlJc w:val="left"/>
      <w:pPr>
        <w:ind w:left="3600" w:hanging="360"/>
      </w:pPr>
    </w:lvl>
    <w:lvl w:ilvl="5" w:tplc="1409001B" w:tentative="1">
      <w:start w:val="1"/>
      <w:numFmt w:val="lowerRoman"/>
      <w:lvlText w:val="%6."/>
      <w:lvlJc w:val="right"/>
      <w:pPr>
        <w:ind w:left="4320" w:hanging="180"/>
      </w:pPr>
    </w:lvl>
    <w:lvl w:ilvl="6" w:tplc="1409000F" w:tentative="1">
      <w:start w:val="1"/>
      <w:numFmt w:val="decimal"/>
      <w:lvlText w:val="%7."/>
      <w:lvlJc w:val="left"/>
      <w:pPr>
        <w:ind w:left="5040" w:hanging="360"/>
      </w:pPr>
    </w:lvl>
    <w:lvl w:ilvl="7" w:tplc="14090019" w:tentative="1">
      <w:start w:val="1"/>
      <w:numFmt w:val="lowerLetter"/>
      <w:lvlText w:val="%8."/>
      <w:lvlJc w:val="left"/>
      <w:pPr>
        <w:ind w:left="5760" w:hanging="360"/>
      </w:pPr>
    </w:lvl>
    <w:lvl w:ilvl="8" w:tplc="1409001B" w:tentative="1">
      <w:start w:val="1"/>
      <w:numFmt w:val="lowerRoman"/>
      <w:lvlText w:val="%9."/>
      <w:lvlJc w:val="right"/>
      <w:pPr>
        <w:ind w:left="6480" w:hanging="180"/>
      </w:pPr>
    </w:lvl>
  </w:abstractNum>
  <w:abstractNum w:abstractNumId="11" w15:restartNumberingAfterBreak="0">
    <w:nsid w:val="42196AA7"/>
    <w:multiLevelType w:val="hybridMultilevel"/>
    <w:tmpl w:val="C15C9024"/>
    <w:lvl w:ilvl="0" w:tplc="14090017">
      <w:start w:val="1"/>
      <w:numFmt w:val="lowerLetter"/>
      <w:lvlText w:val="%1)"/>
      <w:lvlJc w:val="left"/>
      <w:pPr>
        <w:ind w:left="720" w:hanging="360"/>
      </w:pPr>
      <w:rPr>
        <w:rFonts w:hint="default"/>
      </w:rPr>
    </w:lvl>
    <w:lvl w:ilvl="1" w:tplc="14090019" w:tentative="1">
      <w:start w:val="1"/>
      <w:numFmt w:val="lowerLetter"/>
      <w:lvlText w:val="%2."/>
      <w:lvlJc w:val="left"/>
      <w:pPr>
        <w:ind w:left="1440" w:hanging="360"/>
      </w:pPr>
    </w:lvl>
    <w:lvl w:ilvl="2" w:tplc="1409001B" w:tentative="1">
      <w:start w:val="1"/>
      <w:numFmt w:val="lowerRoman"/>
      <w:lvlText w:val="%3."/>
      <w:lvlJc w:val="right"/>
      <w:pPr>
        <w:ind w:left="2160" w:hanging="180"/>
      </w:pPr>
    </w:lvl>
    <w:lvl w:ilvl="3" w:tplc="1409000F" w:tentative="1">
      <w:start w:val="1"/>
      <w:numFmt w:val="decimal"/>
      <w:lvlText w:val="%4."/>
      <w:lvlJc w:val="left"/>
      <w:pPr>
        <w:ind w:left="2880" w:hanging="360"/>
      </w:pPr>
    </w:lvl>
    <w:lvl w:ilvl="4" w:tplc="14090019" w:tentative="1">
      <w:start w:val="1"/>
      <w:numFmt w:val="lowerLetter"/>
      <w:lvlText w:val="%5."/>
      <w:lvlJc w:val="left"/>
      <w:pPr>
        <w:ind w:left="3600" w:hanging="360"/>
      </w:pPr>
    </w:lvl>
    <w:lvl w:ilvl="5" w:tplc="1409001B" w:tentative="1">
      <w:start w:val="1"/>
      <w:numFmt w:val="lowerRoman"/>
      <w:lvlText w:val="%6."/>
      <w:lvlJc w:val="right"/>
      <w:pPr>
        <w:ind w:left="4320" w:hanging="180"/>
      </w:pPr>
    </w:lvl>
    <w:lvl w:ilvl="6" w:tplc="1409000F" w:tentative="1">
      <w:start w:val="1"/>
      <w:numFmt w:val="decimal"/>
      <w:lvlText w:val="%7."/>
      <w:lvlJc w:val="left"/>
      <w:pPr>
        <w:ind w:left="5040" w:hanging="360"/>
      </w:pPr>
    </w:lvl>
    <w:lvl w:ilvl="7" w:tplc="14090019" w:tentative="1">
      <w:start w:val="1"/>
      <w:numFmt w:val="lowerLetter"/>
      <w:lvlText w:val="%8."/>
      <w:lvlJc w:val="left"/>
      <w:pPr>
        <w:ind w:left="5760" w:hanging="360"/>
      </w:pPr>
    </w:lvl>
    <w:lvl w:ilvl="8" w:tplc="1409001B" w:tentative="1">
      <w:start w:val="1"/>
      <w:numFmt w:val="lowerRoman"/>
      <w:lvlText w:val="%9."/>
      <w:lvlJc w:val="right"/>
      <w:pPr>
        <w:ind w:left="6480" w:hanging="180"/>
      </w:pPr>
    </w:lvl>
  </w:abstractNum>
  <w:abstractNum w:abstractNumId="12" w15:restartNumberingAfterBreak="0">
    <w:nsid w:val="42FF02F5"/>
    <w:multiLevelType w:val="multilevel"/>
    <w:tmpl w:val="C8945076"/>
    <w:lvl w:ilvl="0">
      <w:start w:val="1"/>
      <w:numFmt w:val="decimal"/>
      <w:lvlText w:val="%1"/>
      <w:lvlJc w:val="left"/>
      <w:pPr>
        <w:tabs>
          <w:tab w:val="num" w:pos="0"/>
        </w:tabs>
        <w:ind w:left="0" w:firstLine="0"/>
      </w:pPr>
      <w:rPr>
        <w:rFonts w:hint="default"/>
      </w:rPr>
    </w:lvl>
    <w:lvl w:ilvl="1">
      <w:start w:val="1"/>
      <w:numFmt w:val="decimal"/>
      <w:lvlText w:val="%1.%2"/>
      <w:lvlJc w:val="left"/>
      <w:pPr>
        <w:tabs>
          <w:tab w:val="num" w:pos="0"/>
        </w:tabs>
        <w:ind w:left="0" w:firstLine="0"/>
      </w:pPr>
      <w:rPr>
        <w:rFonts w:hint="default"/>
        <w:lang w:val="en-US"/>
      </w:rPr>
    </w:lvl>
    <w:lvl w:ilvl="2">
      <w:start w:val="1"/>
      <w:numFmt w:val="decimal"/>
      <w:lvlText w:val="%1.%2.%3"/>
      <w:lvlJc w:val="left"/>
      <w:pPr>
        <w:tabs>
          <w:tab w:val="num" w:pos="0"/>
        </w:tabs>
        <w:ind w:left="0" w:firstLine="0"/>
      </w:pPr>
      <w:rPr>
        <w:b w:val="0"/>
        <w:bCs w:val="0"/>
        <w:i w:val="0"/>
        <w:iCs w:val="0"/>
        <w:caps w:val="0"/>
        <w:smallCaps w:val="0"/>
        <w:strike w:val="0"/>
        <w:dstrike w:val="0"/>
        <w:noProof w:val="0"/>
        <w:vanish w:val="0"/>
        <w:color w:val="000000"/>
        <w:spacing w:val="0"/>
        <w:kern w:val="0"/>
        <w:position w:val="0"/>
        <w:u w:val="none"/>
        <w:effect w:val="none"/>
        <w:vertAlign w:val="baseline"/>
        <w:em w:val="none"/>
        <w:lang w:val="en-US"/>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lvlText w:val="%1.%2.%3.%4"/>
      <w:lvlJc w:val="left"/>
      <w:pPr>
        <w:tabs>
          <w:tab w:val="num" w:pos="0"/>
        </w:tabs>
        <w:ind w:left="0" w:firstLine="0"/>
      </w:pPr>
      <w:rPr>
        <w:rFonts w:hint="default"/>
      </w:rPr>
    </w:lvl>
    <w:lvl w:ilvl="4">
      <w:start w:val="1"/>
      <w:numFmt w:val="decimal"/>
      <w:lvlText w:val="%1.%2.%3.%4.%5"/>
      <w:lvlJc w:val="left"/>
      <w:pPr>
        <w:tabs>
          <w:tab w:val="num" w:pos="0"/>
        </w:tabs>
        <w:ind w:left="0" w:firstLine="0"/>
      </w:pPr>
      <w:rPr>
        <w:rFonts w:hint="default"/>
      </w:rPr>
    </w:lvl>
    <w:lvl w:ilvl="5">
      <w:start w:val="1"/>
      <w:numFmt w:val="decimal"/>
      <w:lvlText w:val="%1.%2.%3.%4.%5.%6"/>
      <w:lvlJc w:val="left"/>
      <w:pPr>
        <w:tabs>
          <w:tab w:val="num" w:pos="0"/>
        </w:tabs>
        <w:ind w:left="0" w:firstLine="0"/>
      </w:pPr>
      <w:rPr>
        <w:rFonts w:hint="default"/>
      </w:rPr>
    </w:lvl>
    <w:lvl w:ilvl="6">
      <w:start w:val="1"/>
      <w:numFmt w:val="decimal"/>
      <w:lvlText w:val="%1.%2.%3.%4.%5.%6.%7"/>
      <w:lvlJc w:val="left"/>
      <w:pPr>
        <w:tabs>
          <w:tab w:val="num" w:pos="0"/>
        </w:tabs>
        <w:ind w:left="0" w:firstLine="0"/>
      </w:pPr>
      <w:rPr>
        <w:rFonts w:hint="default"/>
      </w:rPr>
    </w:lvl>
    <w:lvl w:ilvl="7">
      <w:start w:val="1"/>
      <w:numFmt w:val="decimal"/>
      <w:lvlText w:val="%1.%2.%3.%4.%5.%6.%7.%8"/>
      <w:lvlJc w:val="left"/>
      <w:pPr>
        <w:tabs>
          <w:tab w:val="num" w:pos="0"/>
        </w:tabs>
        <w:ind w:left="0" w:firstLine="0"/>
      </w:pPr>
      <w:rPr>
        <w:rFonts w:hint="default"/>
      </w:rPr>
    </w:lvl>
    <w:lvl w:ilvl="8">
      <w:start w:val="1"/>
      <w:numFmt w:val="decimal"/>
      <w:lvlText w:val="%1.%2.%3.%4.%5.%6.%7.%8.%9"/>
      <w:lvlJc w:val="left"/>
      <w:pPr>
        <w:tabs>
          <w:tab w:val="num" w:pos="0"/>
        </w:tabs>
        <w:ind w:left="0" w:firstLine="0"/>
      </w:pPr>
      <w:rPr>
        <w:rFonts w:hint="default"/>
      </w:rPr>
    </w:lvl>
  </w:abstractNum>
  <w:abstractNum w:abstractNumId="13" w15:restartNumberingAfterBreak="0">
    <w:nsid w:val="500C1E3D"/>
    <w:multiLevelType w:val="hybridMultilevel"/>
    <w:tmpl w:val="B0E264AC"/>
    <w:lvl w:ilvl="0" w:tplc="14090019">
      <w:start w:val="1"/>
      <w:numFmt w:val="lowerLetter"/>
      <w:lvlText w:val="%1."/>
      <w:lvlJc w:val="left"/>
      <w:pPr>
        <w:ind w:left="720" w:hanging="360"/>
      </w:pPr>
      <w:rPr>
        <w:rFonts w:hint="default"/>
      </w:rPr>
    </w:lvl>
    <w:lvl w:ilvl="1" w:tplc="14090019" w:tentative="1">
      <w:start w:val="1"/>
      <w:numFmt w:val="lowerLetter"/>
      <w:lvlText w:val="%2."/>
      <w:lvlJc w:val="left"/>
      <w:pPr>
        <w:ind w:left="1440" w:hanging="360"/>
      </w:pPr>
    </w:lvl>
    <w:lvl w:ilvl="2" w:tplc="1409001B" w:tentative="1">
      <w:start w:val="1"/>
      <w:numFmt w:val="lowerRoman"/>
      <w:lvlText w:val="%3."/>
      <w:lvlJc w:val="right"/>
      <w:pPr>
        <w:ind w:left="2160" w:hanging="180"/>
      </w:pPr>
    </w:lvl>
    <w:lvl w:ilvl="3" w:tplc="1409000F" w:tentative="1">
      <w:start w:val="1"/>
      <w:numFmt w:val="decimal"/>
      <w:lvlText w:val="%4."/>
      <w:lvlJc w:val="left"/>
      <w:pPr>
        <w:ind w:left="2880" w:hanging="360"/>
      </w:pPr>
    </w:lvl>
    <w:lvl w:ilvl="4" w:tplc="14090019" w:tentative="1">
      <w:start w:val="1"/>
      <w:numFmt w:val="lowerLetter"/>
      <w:lvlText w:val="%5."/>
      <w:lvlJc w:val="left"/>
      <w:pPr>
        <w:ind w:left="3600" w:hanging="360"/>
      </w:pPr>
    </w:lvl>
    <w:lvl w:ilvl="5" w:tplc="1409001B" w:tentative="1">
      <w:start w:val="1"/>
      <w:numFmt w:val="lowerRoman"/>
      <w:lvlText w:val="%6."/>
      <w:lvlJc w:val="right"/>
      <w:pPr>
        <w:ind w:left="4320" w:hanging="180"/>
      </w:pPr>
    </w:lvl>
    <w:lvl w:ilvl="6" w:tplc="1409000F" w:tentative="1">
      <w:start w:val="1"/>
      <w:numFmt w:val="decimal"/>
      <w:lvlText w:val="%7."/>
      <w:lvlJc w:val="left"/>
      <w:pPr>
        <w:ind w:left="5040" w:hanging="360"/>
      </w:pPr>
    </w:lvl>
    <w:lvl w:ilvl="7" w:tplc="14090019" w:tentative="1">
      <w:start w:val="1"/>
      <w:numFmt w:val="lowerLetter"/>
      <w:lvlText w:val="%8."/>
      <w:lvlJc w:val="left"/>
      <w:pPr>
        <w:ind w:left="5760" w:hanging="360"/>
      </w:pPr>
    </w:lvl>
    <w:lvl w:ilvl="8" w:tplc="1409001B" w:tentative="1">
      <w:start w:val="1"/>
      <w:numFmt w:val="lowerRoman"/>
      <w:lvlText w:val="%9."/>
      <w:lvlJc w:val="right"/>
      <w:pPr>
        <w:ind w:left="6480" w:hanging="180"/>
      </w:pPr>
    </w:lvl>
  </w:abstractNum>
  <w:abstractNum w:abstractNumId="14" w15:restartNumberingAfterBreak="0">
    <w:nsid w:val="50162084"/>
    <w:multiLevelType w:val="hybridMultilevel"/>
    <w:tmpl w:val="4752AAE2"/>
    <w:lvl w:ilvl="0" w:tplc="14090001">
      <w:start w:val="1"/>
      <w:numFmt w:val="bullet"/>
      <w:lvlText w:val=""/>
      <w:lvlJc w:val="left"/>
      <w:pPr>
        <w:ind w:left="720" w:hanging="360"/>
      </w:pPr>
      <w:rPr>
        <w:rFonts w:ascii="Symbol" w:hAnsi="Symbol" w:hint="default"/>
      </w:rPr>
    </w:lvl>
    <w:lvl w:ilvl="1" w:tplc="14090019">
      <w:start w:val="1"/>
      <w:numFmt w:val="lowerLetter"/>
      <w:lvlText w:val="%2."/>
      <w:lvlJc w:val="left"/>
      <w:pPr>
        <w:ind w:left="1440" w:hanging="360"/>
      </w:pPr>
    </w:lvl>
    <w:lvl w:ilvl="2" w:tplc="1409001B" w:tentative="1">
      <w:start w:val="1"/>
      <w:numFmt w:val="lowerRoman"/>
      <w:lvlText w:val="%3."/>
      <w:lvlJc w:val="right"/>
      <w:pPr>
        <w:ind w:left="2160" w:hanging="180"/>
      </w:pPr>
    </w:lvl>
    <w:lvl w:ilvl="3" w:tplc="1409000F" w:tentative="1">
      <w:start w:val="1"/>
      <w:numFmt w:val="decimal"/>
      <w:lvlText w:val="%4."/>
      <w:lvlJc w:val="left"/>
      <w:pPr>
        <w:ind w:left="2880" w:hanging="360"/>
      </w:pPr>
    </w:lvl>
    <w:lvl w:ilvl="4" w:tplc="14090019" w:tentative="1">
      <w:start w:val="1"/>
      <w:numFmt w:val="lowerLetter"/>
      <w:lvlText w:val="%5."/>
      <w:lvlJc w:val="left"/>
      <w:pPr>
        <w:ind w:left="3600" w:hanging="360"/>
      </w:pPr>
    </w:lvl>
    <w:lvl w:ilvl="5" w:tplc="1409001B" w:tentative="1">
      <w:start w:val="1"/>
      <w:numFmt w:val="lowerRoman"/>
      <w:lvlText w:val="%6."/>
      <w:lvlJc w:val="right"/>
      <w:pPr>
        <w:ind w:left="4320" w:hanging="180"/>
      </w:pPr>
    </w:lvl>
    <w:lvl w:ilvl="6" w:tplc="1409000F" w:tentative="1">
      <w:start w:val="1"/>
      <w:numFmt w:val="decimal"/>
      <w:lvlText w:val="%7."/>
      <w:lvlJc w:val="left"/>
      <w:pPr>
        <w:ind w:left="5040" w:hanging="360"/>
      </w:pPr>
    </w:lvl>
    <w:lvl w:ilvl="7" w:tplc="14090019" w:tentative="1">
      <w:start w:val="1"/>
      <w:numFmt w:val="lowerLetter"/>
      <w:lvlText w:val="%8."/>
      <w:lvlJc w:val="left"/>
      <w:pPr>
        <w:ind w:left="5760" w:hanging="360"/>
      </w:pPr>
    </w:lvl>
    <w:lvl w:ilvl="8" w:tplc="1409001B" w:tentative="1">
      <w:start w:val="1"/>
      <w:numFmt w:val="lowerRoman"/>
      <w:lvlText w:val="%9."/>
      <w:lvlJc w:val="right"/>
      <w:pPr>
        <w:ind w:left="6480" w:hanging="180"/>
      </w:pPr>
    </w:lvl>
  </w:abstractNum>
  <w:abstractNum w:abstractNumId="15" w15:restartNumberingAfterBreak="0">
    <w:nsid w:val="505C181D"/>
    <w:multiLevelType w:val="hybridMultilevel"/>
    <w:tmpl w:val="8E5E1CEE"/>
    <w:lvl w:ilvl="0" w:tplc="1409000F">
      <w:start w:val="1"/>
      <w:numFmt w:val="decimal"/>
      <w:lvlText w:val="%1."/>
      <w:lvlJc w:val="left"/>
      <w:pPr>
        <w:ind w:left="720" w:hanging="360"/>
      </w:pPr>
    </w:lvl>
    <w:lvl w:ilvl="1" w:tplc="14090019" w:tentative="1">
      <w:start w:val="1"/>
      <w:numFmt w:val="lowerLetter"/>
      <w:lvlText w:val="%2."/>
      <w:lvlJc w:val="left"/>
      <w:pPr>
        <w:ind w:left="1440" w:hanging="360"/>
      </w:pPr>
    </w:lvl>
    <w:lvl w:ilvl="2" w:tplc="1409001B" w:tentative="1">
      <w:start w:val="1"/>
      <w:numFmt w:val="lowerRoman"/>
      <w:lvlText w:val="%3."/>
      <w:lvlJc w:val="right"/>
      <w:pPr>
        <w:ind w:left="2160" w:hanging="180"/>
      </w:pPr>
    </w:lvl>
    <w:lvl w:ilvl="3" w:tplc="1409000F" w:tentative="1">
      <w:start w:val="1"/>
      <w:numFmt w:val="decimal"/>
      <w:lvlText w:val="%4."/>
      <w:lvlJc w:val="left"/>
      <w:pPr>
        <w:ind w:left="2880" w:hanging="360"/>
      </w:pPr>
    </w:lvl>
    <w:lvl w:ilvl="4" w:tplc="14090019" w:tentative="1">
      <w:start w:val="1"/>
      <w:numFmt w:val="lowerLetter"/>
      <w:lvlText w:val="%5."/>
      <w:lvlJc w:val="left"/>
      <w:pPr>
        <w:ind w:left="3600" w:hanging="360"/>
      </w:pPr>
    </w:lvl>
    <w:lvl w:ilvl="5" w:tplc="1409001B" w:tentative="1">
      <w:start w:val="1"/>
      <w:numFmt w:val="lowerRoman"/>
      <w:lvlText w:val="%6."/>
      <w:lvlJc w:val="right"/>
      <w:pPr>
        <w:ind w:left="4320" w:hanging="180"/>
      </w:pPr>
    </w:lvl>
    <w:lvl w:ilvl="6" w:tplc="1409000F" w:tentative="1">
      <w:start w:val="1"/>
      <w:numFmt w:val="decimal"/>
      <w:lvlText w:val="%7."/>
      <w:lvlJc w:val="left"/>
      <w:pPr>
        <w:ind w:left="5040" w:hanging="360"/>
      </w:pPr>
    </w:lvl>
    <w:lvl w:ilvl="7" w:tplc="14090019" w:tentative="1">
      <w:start w:val="1"/>
      <w:numFmt w:val="lowerLetter"/>
      <w:lvlText w:val="%8."/>
      <w:lvlJc w:val="left"/>
      <w:pPr>
        <w:ind w:left="5760" w:hanging="360"/>
      </w:pPr>
    </w:lvl>
    <w:lvl w:ilvl="8" w:tplc="1409001B" w:tentative="1">
      <w:start w:val="1"/>
      <w:numFmt w:val="lowerRoman"/>
      <w:lvlText w:val="%9."/>
      <w:lvlJc w:val="right"/>
      <w:pPr>
        <w:ind w:left="6480" w:hanging="180"/>
      </w:pPr>
    </w:lvl>
  </w:abstractNum>
  <w:abstractNum w:abstractNumId="16" w15:restartNumberingAfterBreak="0">
    <w:nsid w:val="53BE656B"/>
    <w:multiLevelType w:val="hybridMultilevel"/>
    <w:tmpl w:val="F086F62E"/>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start w:val="1"/>
      <w:numFmt w:val="bullet"/>
      <w:lvlText w:val="o"/>
      <w:lvlJc w:val="left"/>
      <w:pPr>
        <w:ind w:left="3600" w:hanging="360"/>
      </w:pPr>
      <w:rPr>
        <w:rFonts w:ascii="Courier New" w:hAnsi="Courier New" w:cs="Courier New" w:hint="default"/>
      </w:rPr>
    </w:lvl>
    <w:lvl w:ilvl="5" w:tplc="04080005">
      <w:start w:val="1"/>
      <w:numFmt w:val="bullet"/>
      <w:lvlText w:val=""/>
      <w:lvlJc w:val="left"/>
      <w:pPr>
        <w:ind w:left="4320" w:hanging="360"/>
      </w:pPr>
      <w:rPr>
        <w:rFonts w:ascii="Wingdings" w:hAnsi="Wingdings" w:hint="default"/>
      </w:rPr>
    </w:lvl>
    <w:lvl w:ilvl="6" w:tplc="04080001">
      <w:start w:val="1"/>
      <w:numFmt w:val="bullet"/>
      <w:lvlText w:val=""/>
      <w:lvlJc w:val="left"/>
      <w:pPr>
        <w:ind w:left="5040" w:hanging="360"/>
      </w:pPr>
      <w:rPr>
        <w:rFonts w:ascii="Symbol" w:hAnsi="Symbol" w:hint="default"/>
      </w:rPr>
    </w:lvl>
    <w:lvl w:ilvl="7" w:tplc="04080003">
      <w:start w:val="1"/>
      <w:numFmt w:val="bullet"/>
      <w:lvlText w:val="o"/>
      <w:lvlJc w:val="left"/>
      <w:pPr>
        <w:ind w:left="5760" w:hanging="360"/>
      </w:pPr>
      <w:rPr>
        <w:rFonts w:ascii="Courier New" w:hAnsi="Courier New" w:cs="Courier New" w:hint="default"/>
      </w:rPr>
    </w:lvl>
    <w:lvl w:ilvl="8" w:tplc="04080005">
      <w:start w:val="1"/>
      <w:numFmt w:val="bullet"/>
      <w:lvlText w:val=""/>
      <w:lvlJc w:val="left"/>
      <w:pPr>
        <w:ind w:left="6480" w:hanging="360"/>
      </w:pPr>
      <w:rPr>
        <w:rFonts w:ascii="Wingdings" w:hAnsi="Wingdings" w:hint="default"/>
      </w:rPr>
    </w:lvl>
  </w:abstractNum>
  <w:abstractNum w:abstractNumId="17" w15:restartNumberingAfterBreak="0">
    <w:nsid w:val="62D72635"/>
    <w:multiLevelType w:val="singleLevel"/>
    <w:tmpl w:val="0A3CF0E2"/>
    <w:lvl w:ilvl="0">
      <w:start w:val="1"/>
      <w:numFmt w:val="decimal"/>
      <w:pStyle w:val="References"/>
      <w:lvlText w:val="[%1]"/>
      <w:lvlJc w:val="left"/>
      <w:pPr>
        <w:tabs>
          <w:tab w:val="num" w:pos="567"/>
        </w:tabs>
        <w:ind w:left="567" w:hanging="567"/>
      </w:pPr>
    </w:lvl>
  </w:abstractNum>
  <w:abstractNum w:abstractNumId="18" w15:restartNumberingAfterBreak="0">
    <w:nsid w:val="7EF558BA"/>
    <w:multiLevelType w:val="hybridMultilevel"/>
    <w:tmpl w:val="C37A92B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6"/>
  </w:num>
  <w:num w:numId="2">
    <w:abstractNumId w:val="17"/>
  </w:num>
  <w:num w:numId="3">
    <w:abstractNumId w:val="6"/>
  </w:num>
  <w:num w:numId="4">
    <w:abstractNumId w:val="15"/>
  </w:num>
  <w:num w:numId="5">
    <w:abstractNumId w:val="4"/>
  </w:num>
  <w:num w:numId="6">
    <w:abstractNumId w:val="8"/>
  </w:num>
  <w:num w:numId="7">
    <w:abstractNumId w:val="7"/>
  </w:num>
  <w:num w:numId="8">
    <w:abstractNumId w:val="6"/>
  </w:num>
  <w:num w:numId="9">
    <w:abstractNumId w:val="6"/>
  </w:num>
  <w:num w:numId="10">
    <w:abstractNumId w:val="1"/>
  </w:num>
  <w:num w:numId="11">
    <w:abstractNumId w:val="3"/>
  </w:num>
  <w:num w:numId="12">
    <w:abstractNumId w:val="13"/>
  </w:num>
  <w:num w:numId="13">
    <w:abstractNumId w:val="9"/>
  </w:num>
  <w:num w:numId="14">
    <w:abstractNumId w:val="11"/>
  </w:num>
  <w:num w:numId="15">
    <w:abstractNumId w:val="0"/>
  </w:num>
  <w:num w:numId="16">
    <w:abstractNumId w:val="10"/>
  </w:num>
  <w:num w:numId="17">
    <w:abstractNumId w:val="5"/>
  </w:num>
  <w:num w:numId="18">
    <w:abstractNumId w:val="14"/>
  </w:num>
  <w:num w:numId="19">
    <w:abstractNumId w:val="2"/>
  </w:num>
  <w:num w:numId="20">
    <w:abstractNumId w:val="17"/>
  </w:num>
  <w:num w:numId="21">
    <w:abstractNumId w:val="17"/>
  </w:num>
  <w:num w:numId="22">
    <w:abstractNumId w:val="17"/>
  </w:num>
  <w:num w:numId="23">
    <w:abstractNumId w:val="17"/>
  </w:num>
  <w:num w:numId="24">
    <w:abstractNumId w:val="16"/>
  </w:num>
  <w:num w:numId="25">
    <w:abstractNumId w:val="18"/>
  </w:num>
  <w:num w:numId="26">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30"/>
  <w:defaultTabStop w:val="720"/>
  <w:hyphenationZone w:val="425"/>
  <w:characterSpacingControl w:val="doNotCompress"/>
  <w:hdrShapeDefaults>
    <o:shapedefaults v:ext="edit" spidmax="34817"/>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4190F"/>
    <w:rsid w:val="0000045A"/>
    <w:rsid w:val="0000056C"/>
    <w:rsid w:val="00002485"/>
    <w:rsid w:val="00002B54"/>
    <w:rsid w:val="00002BCD"/>
    <w:rsid w:val="000060B8"/>
    <w:rsid w:val="00006527"/>
    <w:rsid w:val="000070A8"/>
    <w:rsid w:val="00010D0C"/>
    <w:rsid w:val="000141BE"/>
    <w:rsid w:val="000145E1"/>
    <w:rsid w:val="00014BD0"/>
    <w:rsid w:val="00015049"/>
    <w:rsid w:val="00015207"/>
    <w:rsid w:val="00020A09"/>
    <w:rsid w:val="000211EA"/>
    <w:rsid w:val="00021373"/>
    <w:rsid w:val="00022466"/>
    <w:rsid w:val="00025EEA"/>
    <w:rsid w:val="00026CFD"/>
    <w:rsid w:val="00031962"/>
    <w:rsid w:val="000327D3"/>
    <w:rsid w:val="00032FC7"/>
    <w:rsid w:val="00035FFD"/>
    <w:rsid w:val="00037059"/>
    <w:rsid w:val="00037BB2"/>
    <w:rsid w:val="00040119"/>
    <w:rsid w:val="000420B3"/>
    <w:rsid w:val="00042273"/>
    <w:rsid w:val="00045ACD"/>
    <w:rsid w:val="0004676F"/>
    <w:rsid w:val="00046A79"/>
    <w:rsid w:val="0004752D"/>
    <w:rsid w:val="000509D2"/>
    <w:rsid w:val="000537A1"/>
    <w:rsid w:val="00053B60"/>
    <w:rsid w:val="00054DCC"/>
    <w:rsid w:val="0005533F"/>
    <w:rsid w:val="000557B0"/>
    <w:rsid w:val="00055877"/>
    <w:rsid w:val="00056045"/>
    <w:rsid w:val="000561FE"/>
    <w:rsid w:val="0005626E"/>
    <w:rsid w:val="00057092"/>
    <w:rsid w:val="00060295"/>
    <w:rsid w:val="00060596"/>
    <w:rsid w:val="00061250"/>
    <w:rsid w:val="00064F79"/>
    <w:rsid w:val="000664D5"/>
    <w:rsid w:val="00067456"/>
    <w:rsid w:val="000702B9"/>
    <w:rsid w:val="0007097D"/>
    <w:rsid w:val="00073A0E"/>
    <w:rsid w:val="000758CC"/>
    <w:rsid w:val="00081B37"/>
    <w:rsid w:val="00082741"/>
    <w:rsid w:val="00082CD6"/>
    <w:rsid w:val="00083484"/>
    <w:rsid w:val="000855A1"/>
    <w:rsid w:val="00086679"/>
    <w:rsid w:val="0008730A"/>
    <w:rsid w:val="00090AA5"/>
    <w:rsid w:val="00092085"/>
    <w:rsid w:val="000929B9"/>
    <w:rsid w:val="00097AA8"/>
    <w:rsid w:val="000A01A5"/>
    <w:rsid w:val="000A3341"/>
    <w:rsid w:val="000A3B94"/>
    <w:rsid w:val="000A4089"/>
    <w:rsid w:val="000A4B90"/>
    <w:rsid w:val="000A4DDE"/>
    <w:rsid w:val="000A5472"/>
    <w:rsid w:val="000A6FE3"/>
    <w:rsid w:val="000A784E"/>
    <w:rsid w:val="000A7DF5"/>
    <w:rsid w:val="000B7494"/>
    <w:rsid w:val="000B784C"/>
    <w:rsid w:val="000C1B28"/>
    <w:rsid w:val="000C2808"/>
    <w:rsid w:val="000C30A9"/>
    <w:rsid w:val="000C4877"/>
    <w:rsid w:val="000C553F"/>
    <w:rsid w:val="000C77EC"/>
    <w:rsid w:val="000D0510"/>
    <w:rsid w:val="000D414C"/>
    <w:rsid w:val="000D4EA2"/>
    <w:rsid w:val="000E1AAF"/>
    <w:rsid w:val="000E342B"/>
    <w:rsid w:val="000E4243"/>
    <w:rsid w:val="000E4A58"/>
    <w:rsid w:val="000E74D6"/>
    <w:rsid w:val="000F2B62"/>
    <w:rsid w:val="000F3EF3"/>
    <w:rsid w:val="000F3F09"/>
    <w:rsid w:val="000F7A5B"/>
    <w:rsid w:val="00102A79"/>
    <w:rsid w:val="00102CA7"/>
    <w:rsid w:val="00104A11"/>
    <w:rsid w:val="0011084C"/>
    <w:rsid w:val="001108F5"/>
    <w:rsid w:val="001111B7"/>
    <w:rsid w:val="0011176F"/>
    <w:rsid w:val="00111D78"/>
    <w:rsid w:val="001162BB"/>
    <w:rsid w:val="00116A75"/>
    <w:rsid w:val="00120226"/>
    <w:rsid w:val="00121DC9"/>
    <w:rsid w:val="001224E1"/>
    <w:rsid w:val="0012462C"/>
    <w:rsid w:val="00124D50"/>
    <w:rsid w:val="001263B8"/>
    <w:rsid w:val="00127429"/>
    <w:rsid w:val="001304CD"/>
    <w:rsid w:val="00130EAE"/>
    <w:rsid w:val="00131357"/>
    <w:rsid w:val="00131CE6"/>
    <w:rsid w:val="001321C7"/>
    <w:rsid w:val="001323D2"/>
    <w:rsid w:val="00132B72"/>
    <w:rsid w:val="00132C3F"/>
    <w:rsid w:val="00137DCB"/>
    <w:rsid w:val="00141BCA"/>
    <w:rsid w:val="00144DAD"/>
    <w:rsid w:val="001464CD"/>
    <w:rsid w:val="00146E37"/>
    <w:rsid w:val="00147195"/>
    <w:rsid w:val="00151626"/>
    <w:rsid w:val="001517FD"/>
    <w:rsid w:val="001553EE"/>
    <w:rsid w:val="00155410"/>
    <w:rsid w:val="001556A5"/>
    <w:rsid w:val="00157218"/>
    <w:rsid w:val="00162FFD"/>
    <w:rsid w:val="0016631A"/>
    <w:rsid w:val="00171AE5"/>
    <w:rsid w:val="00171D11"/>
    <w:rsid w:val="00173636"/>
    <w:rsid w:val="001753A8"/>
    <w:rsid w:val="0017698C"/>
    <w:rsid w:val="0017769E"/>
    <w:rsid w:val="001778A9"/>
    <w:rsid w:val="00182B75"/>
    <w:rsid w:val="00182DF5"/>
    <w:rsid w:val="00184C63"/>
    <w:rsid w:val="00191477"/>
    <w:rsid w:val="00191885"/>
    <w:rsid w:val="00192643"/>
    <w:rsid w:val="0019275F"/>
    <w:rsid w:val="00193650"/>
    <w:rsid w:val="00193CB6"/>
    <w:rsid w:val="001946FA"/>
    <w:rsid w:val="00194EDF"/>
    <w:rsid w:val="00194EEC"/>
    <w:rsid w:val="00195561"/>
    <w:rsid w:val="001A0D87"/>
    <w:rsid w:val="001A21ED"/>
    <w:rsid w:val="001A4152"/>
    <w:rsid w:val="001A428E"/>
    <w:rsid w:val="001A438A"/>
    <w:rsid w:val="001A4F59"/>
    <w:rsid w:val="001A5CCA"/>
    <w:rsid w:val="001B1224"/>
    <w:rsid w:val="001B1316"/>
    <w:rsid w:val="001B1B3F"/>
    <w:rsid w:val="001B1C2E"/>
    <w:rsid w:val="001B4226"/>
    <w:rsid w:val="001B60B2"/>
    <w:rsid w:val="001B677B"/>
    <w:rsid w:val="001B6A0A"/>
    <w:rsid w:val="001B6C25"/>
    <w:rsid w:val="001B7C37"/>
    <w:rsid w:val="001C011B"/>
    <w:rsid w:val="001C07CA"/>
    <w:rsid w:val="001C08FA"/>
    <w:rsid w:val="001C26EF"/>
    <w:rsid w:val="001C637D"/>
    <w:rsid w:val="001C79DB"/>
    <w:rsid w:val="001D0A65"/>
    <w:rsid w:val="001D0F68"/>
    <w:rsid w:val="001D20F4"/>
    <w:rsid w:val="001D3975"/>
    <w:rsid w:val="001E6A37"/>
    <w:rsid w:val="001F4CEA"/>
    <w:rsid w:val="001F4D7D"/>
    <w:rsid w:val="001F5391"/>
    <w:rsid w:val="001F5BCD"/>
    <w:rsid w:val="001F5BD0"/>
    <w:rsid w:val="001F78E4"/>
    <w:rsid w:val="001F7A55"/>
    <w:rsid w:val="001F7EC4"/>
    <w:rsid w:val="00200B87"/>
    <w:rsid w:val="0020194A"/>
    <w:rsid w:val="00202E09"/>
    <w:rsid w:val="002036A9"/>
    <w:rsid w:val="00204D03"/>
    <w:rsid w:val="00205CEE"/>
    <w:rsid w:val="002064F3"/>
    <w:rsid w:val="00207AEE"/>
    <w:rsid w:val="00213235"/>
    <w:rsid w:val="00213FDF"/>
    <w:rsid w:val="00214BA2"/>
    <w:rsid w:val="00215067"/>
    <w:rsid w:val="0021599F"/>
    <w:rsid w:val="00216EB5"/>
    <w:rsid w:val="002170A2"/>
    <w:rsid w:val="002209CE"/>
    <w:rsid w:val="00220C58"/>
    <w:rsid w:val="00224422"/>
    <w:rsid w:val="00225A74"/>
    <w:rsid w:val="00226D0E"/>
    <w:rsid w:val="002273BC"/>
    <w:rsid w:val="00227C39"/>
    <w:rsid w:val="00233234"/>
    <w:rsid w:val="0023349C"/>
    <w:rsid w:val="00233C4F"/>
    <w:rsid w:val="00234CDB"/>
    <w:rsid w:val="00234E52"/>
    <w:rsid w:val="00235D67"/>
    <w:rsid w:val="00240F44"/>
    <w:rsid w:val="00244726"/>
    <w:rsid w:val="00245103"/>
    <w:rsid w:val="00245564"/>
    <w:rsid w:val="00245DBE"/>
    <w:rsid w:val="00252616"/>
    <w:rsid w:val="00252652"/>
    <w:rsid w:val="002529DA"/>
    <w:rsid w:val="00252C85"/>
    <w:rsid w:val="0025340A"/>
    <w:rsid w:val="002535C1"/>
    <w:rsid w:val="00254B42"/>
    <w:rsid w:val="00255449"/>
    <w:rsid w:val="00257D02"/>
    <w:rsid w:val="002606D2"/>
    <w:rsid w:val="00262199"/>
    <w:rsid w:val="00262DE4"/>
    <w:rsid w:val="00262E20"/>
    <w:rsid w:val="00262E63"/>
    <w:rsid w:val="00263440"/>
    <w:rsid w:val="00265C02"/>
    <w:rsid w:val="002661D9"/>
    <w:rsid w:val="00267FD9"/>
    <w:rsid w:val="00270FFD"/>
    <w:rsid w:val="0027380E"/>
    <w:rsid w:val="0027509E"/>
    <w:rsid w:val="002751A0"/>
    <w:rsid w:val="002755F0"/>
    <w:rsid w:val="00276546"/>
    <w:rsid w:val="002765F2"/>
    <w:rsid w:val="002802C3"/>
    <w:rsid w:val="00280655"/>
    <w:rsid w:val="0028073B"/>
    <w:rsid w:val="00280793"/>
    <w:rsid w:val="002807B2"/>
    <w:rsid w:val="00281056"/>
    <w:rsid w:val="002814B9"/>
    <w:rsid w:val="00282B93"/>
    <w:rsid w:val="00286514"/>
    <w:rsid w:val="00286782"/>
    <w:rsid w:val="002905E3"/>
    <w:rsid w:val="0029128F"/>
    <w:rsid w:val="00292491"/>
    <w:rsid w:val="00293AEF"/>
    <w:rsid w:val="00295C18"/>
    <w:rsid w:val="00295E86"/>
    <w:rsid w:val="002961B6"/>
    <w:rsid w:val="00296B78"/>
    <w:rsid w:val="00296BC9"/>
    <w:rsid w:val="002A06CC"/>
    <w:rsid w:val="002A1274"/>
    <w:rsid w:val="002A1539"/>
    <w:rsid w:val="002A3591"/>
    <w:rsid w:val="002A6CF0"/>
    <w:rsid w:val="002A7948"/>
    <w:rsid w:val="002A7FE1"/>
    <w:rsid w:val="002B0280"/>
    <w:rsid w:val="002B0A01"/>
    <w:rsid w:val="002B25DF"/>
    <w:rsid w:val="002B4A39"/>
    <w:rsid w:val="002B5694"/>
    <w:rsid w:val="002B5E59"/>
    <w:rsid w:val="002B747F"/>
    <w:rsid w:val="002C429F"/>
    <w:rsid w:val="002C5881"/>
    <w:rsid w:val="002C5FED"/>
    <w:rsid w:val="002D0525"/>
    <w:rsid w:val="002D2708"/>
    <w:rsid w:val="002D57F6"/>
    <w:rsid w:val="002D6B9E"/>
    <w:rsid w:val="002D79A0"/>
    <w:rsid w:val="002E15D2"/>
    <w:rsid w:val="002E2C0E"/>
    <w:rsid w:val="002E5A82"/>
    <w:rsid w:val="002F3F8F"/>
    <w:rsid w:val="002F412A"/>
    <w:rsid w:val="002F66B3"/>
    <w:rsid w:val="002F6B74"/>
    <w:rsid w:val="002F6C1C"/>
    <w:rsid w:val="002F6E1F"/>
    <w:rsid w:val="002F7936"/>
    <w:rsid w:val="002F7C3B"/>
    <w:rsid w:val="0030175B"/>
    <w:rsid w:val="00302A95"/>
    <w:rsid w:val="00302BCC"/>
    <w:rsid w:val="0030300E"/>
    <w:rsid w:val="00303017"/>
    <w:rsid w:val="003044F2"/>
    <w:rsid w:val="00304EDF"/>
    <w:rsid w:val="00305F8D"/>
    <w:rsid w:val="00307293"/>
    <w:rsid w:val="003102E7"/>
    <w:rsid w:val="0031262D"/>
    <w:rsid w:val="003151BE"/>
    <w:rsid w:val="0031624D"/>
    <w:rsid w:val="00320112"/>
    <w:rsid w:val="00322F6C"/>
    <w:rsid w:val="003269A4"/>
    <w:rsid w:val="003269C5"/>
    <w:rsid w:val="00326A81"/>
    <w:rsid w:val="00330A3F"/>
    <w:rsid w:val="00330EC7"/>
    <w:rsid w:val="0033273C"/>
    <w:rsid w:val="00332750"/>
    <w:rsid w:val="00332F6F"/>
    <w:rsid w:val="00334C44"/>
    <w:rsid w:val="00334C59"/>
    <w:rsid w:val="00336AF6"/>
    <w:rsid w:val="00337016"/>
    <w:rsid w:val="00341D95"/>
    <w:rsid w:val="003423C4"/>
    <w:rsid w:val="003427E2"/>
    <w:rsid w:val="003434F1"/>
    <w:rsid w:val="00345474"/>
    <w:rsid w:val="00345829"/>
    <w:rsid w:val="00345DC3"/>
    <w:rsid w:val="003461FB"/>
    <w:rsid w:val="003522DA"/>
    <w:rsid w:val="0036038D"/>
    <w:rsid w:val="00361B6E"/>
    <w:rsid w:val="00364A62"/>
    <w:rsid w:val="003659CC"/>
    <w:rsid w:val="00367D30"/>
    <w:rsid w:val="00370AD7"/>
    <w:rsid w:val="003715D7"/>
    <w:rsid w:val="0037216D"/>
    <w:rsid w:val="003755EA"/>
    <w:rsid w:val="00375823"/>
    <w:rsid w:val="00376BE3"/>
    <w:rsid w:val="003804C1"/>
    <w:rsid w:val="00382714"/>
    <w:rsid w:val="00382D11"/>
    <w:rsid w:val="00382D2F"/>
    <w:rsid w:val="00384520"/>
    <w:rsid w:val="003858C9"/>
    <w:rsid w:val="00385E05"/>
    <w:rsid w:val="0039176F"/>
    <w:rsid w:val="00392EF7"/>
    <w:rsid w:val="0039303D"/>
    <w:rsid w:val="00396C44"/>
    <w:rsid w:val="003A10E7"/>
    <w:rsid w:val="003A12E7"/>
    <w:rsid w:val="003A3686"/>
    <w:rsid w:val="003A3942"/>
    <w:rsid w:val="003A44A7"/>
    <w:rsid w:val="003A6CBA"/>
    <w:rsid w:val="003B0DE0"/>
    <w:rsid w:val="003B13B1"/>
    <w:rsid w:val="003B1B32"/>
    <w:rsid w:val="003B21C0"/>
    <w:rsid w:val="003B4811"/>
    <w:rsid w:val="003B4C24"/>
    <w:rsid w:val="003B4C6E"/>
    <w:rsid w:val="003B5C0F"/>
    <w:rsid w:val="003B5C86"/>
    <w:rsid w:val="003B737A"/>
    <w:rsid w:val="003C08DC"/>
    <w:rsid w:val="003C1CD7"/>
    <w:rsid w:val="003C1D66"/>
    <w:rsid w:val="003C22B2"/>
    <w:rsid w:val="003C2C4E"/>
    <w:rsid w:val="003C3F19"/>
    <w:rsid w:val="003C4E71"/>
    <w:rsid w:val="003C5572"/>
    <w:rsid w:val="003C5766"/>
    <w:rsid w:val="003C5D92"/>
    <w:rsid w:val="003C64A4"/>
    <w:rsid w:val="003D026D"/>
    <w:rsid w:val="003D155D"/>
    <w:rsid w:val="003D1565"/>
    <w:rsid w:val="003D2CF2"/>
    <w:rsid w:val="003D31A3"/>
    <w:rsid w:val="003D4EB0"/>
    <w:rsid w:val="003D5022"/>
    <w:rsid w:val="003D503B"/>
    <w:rsid w:val="003D50C9"/>
    <w:rsid w:val="003D70DC"/>
    <w:rsid w:val="003E0E65"/>
    <w:rsid w:val="003E0FC4"/>
    <w:rsid w:val="003E22E6"/>
    <w:rsid w:val="003E2731"/>
    <w:rsid w:val="003E2785"/>
    <w:rsid w:val="003E3A5C"/>
    <w:rsid w:val="003E3DEB"/>
    <w:rsid w:val="003E520B"/>
    <w:rsid w:val="003F119B"/>
    <w:rsid w:val="003F5C90"/>
    <w:rsid w:val="003F68B0"/>
    <w:rsid w:val="00401AFE"/>
    <w:rsid w:val="004035D3"/>
    <w:rsid w:val="00403CA6"/>
    <w:rsid w:val="00404306"/>
    <w:rsid w:val="00411A18"/>
    <w:rsid w:val="00411D43"/>
    <w:rsid w:val="004123E2"/>
    <w:rsid w:val="004148AB"/>
    <w:rsid w:val="00415D07"/>
    <w:rsid w:val="0042138D"/>
    <w:rsid w:val="004231BE"/>
    <w:rsid w:val="0042327B"/>
    <w:rsid w:val="00426958"/>
    <w:rsid w:val="00430747"/>
    <w:rsid w:val="00432717"/>
    <w:rsid w:val="00433555"/>
    <w:rsid w:val="00435901"/>
    <w:rsid w:val="0043681F"/>
    <w:rsid w:val="00437D46"/>
    <w:rsid w:val="004426B0"/>
    <w:rsid w:val="004439E9"/>
    <w:rsid w:val="00443A7E"/>
    <w:rsid w:val="00445E25"/>
    <w:rsid w:val="00450E3A"/>
    <w:rsid w:val="00451D0D"/>
    <w:rsid w:val="0045221C"/>
    <w:rsid w:val="00452C43"/>
    <w:rsid w:val="0045306E"/>
    <w:rsid w:val="00455DA9"/>
    <w:rsid w:val="00456645"/>
    <w:rsid w:val="004566BE"/>
    <w:rsid w:val="004568E0"/>
    <w:rsid w:val="004573C3"/>
    <w:rsid w:val="00460460"/>
    <w:rsid w:val="004605D4"/>
    <w:rsid w:val="00460BA8"/>
    <w:rsid w:val="00460BF1"/>
    <w:rsid w:val="00460D28"/>
    <w:rsid w:val="00460FBC"/>
    <w:rsid w:val="00461680"/>
    <w:rsid w:val="0046251E"/>
    <w:rsid w:val="00463093"/>
    <w:rsid w:val="004635C0"/>
    <w:rsid w:val="00463F27"/>
    <w:rsid w:val="00464938"/>
    <w:rsid w:val="00465E3C"/>
    <w:rsid w:val="00466293"/>
    <w:rsid w:val="004674EE"/>
    <w:rsid w:val="00470166"/>
    <w:rsid w:val="0047105E"/>
    <w:rsid w:val="0047264E"/>
    <w:rsid w:val="00472B3C"/>
    <w:rsid w:val="00473974"/>
    <w:rsid w:val="00476209"/>
    <w:rsid w:val="004762C6"/>
    <w:rsid w:val="00480E1D"/>
    <w:rsid w:val="00482A91"/>
    <w:rsid w:val="00483968"/>
    <w:rsid w:val="00483B4C"/>
    <w:rsid w:val="004845E8"/>
    <w:rsid w:val="004908A3"/>
    <w:rsid w:val="00492446"/>
    <w:rsid w:val="004929C6"/>
    <w:rsid w:val="00495981"/>
    <w:rsid w:val="004959E6"/>
    <w:rsid w:val="004978B6"/>
    <w:rsid w:val="004A007E"/>
    <w:rsid w:val="004A008E"/>
    <w:rsid w:val="004A27E5"/>
    <w:rsid w:val="004A2E9D"/>
    <w:rsid w:val="004A334C"/>
    <w:rsid w:val="004A4585"/>
    <w:rsid w:val="004A45FD"/>
    <w:rsid w:val="004A4E3F"/>
    <w:rsid w:val="004A5D75"/>
    <w:rsid w:val="004A70C9"/>
    <w:rsid w:val="004A770F"/>
    <w:rsid w:val="004B29A8"/>
    <w:rsid w:val="004B3709"/>
    <w:rsid w:val="004B43BA"/>
    <w:rsid w:val="004B5C37"/>
    <w:rsid w:val="004B5DF5"/>
    <w:rsid w:val="004B600E"/>
    <w:rsid w:val="004C0B3D"/>
    <w:rsid w:val="004C3A67"/>
    <w:rsid w:val="004C5048"/>
    <w:rsid w:val="004C509D"/>
    <w:rsid w:val="004C547C"/>
    <w:rsid w:val="004C5B6D"/>
    <w:rsid w:val="004C70AB"/>
    <w:rsid w:val="004D06D8"/>
    <w:rsid w:val="004D1971"/>
    <w:rsid w:val="004D286B"/>
    <w:rsid w:val="004D4747"/>
    <w:rsid w:val="004D4BAC"/>
    <w:rsid w:val="004D4DC3"/>
    <w:rsid w:val="004D7A16"/>
    <w:rsid w:val="004E0B5C"/>
    <w:rsid w:val="004E0B8A"/>
    <w:rsid w:val="004E33B7"/>
    <w:rsid w:val="004E679F"/>
    <w:rsid w:val="004E6FB6"/>
    <w:rsid w:val="004E7333"/>
    <w:rsid w:val="004F1020"/>
    <w:rsid w:val="004F14E5"/>
    <w:rsid w:val="004F3883"/>
    <w:rsid w:val="004F41B8"/>
    <w:rsid w:val="004F7D7F"/>
    <w:rsid w:val="00501DBE"/>
    <w:rsid w:val="005026AE"/>
    <w:rsid w:val="00503354"/>
    <w:rsid w:val="00504FC7"/>
    <w:rsid w:val="00505024"/>
    <w:rsid w:val="00506A88"/>
    <w:rsid w:val="00510333"/>
    <w:rsid w:val="00510B48"/>
    <w:rsid w:val="00511708"/>
    <w:rsid w:val="00511770"/>
    <w:rsid w:val="005126E6"/>
    <w:rsid w:val="005131D9"/>
    <w:rsid w:val="005140DB"/>
    <w:rsid w:val="00514475"/>
    <w:rsid w:val="00514B32"/>
    <w:rsid w:val="0051694E"/>
    <w:rsid w:val="005176A6"/>
    <w:rsid w:val="00521121"/>
    <w:rsid w:val="00521E56"/>
    <w:rsid w:val="005231F3"/>
    <w:rsid w:val="00523DE8"/>
    <w:rsid w:val="005248D7"/>
    <w:rsid w:val="00524DD7"/>
    <w:rsid w:val="00525A7B"/>
    <w:rsid w:val="00525B1A"/>
    <w:rsid w:val="00530D97"/>
    <w:rsid w:val="005314C5"/>
    <w:rsid w:val="00531A72"/>
    <w:rsid w:val="00531C93"/>
    <w:rsid w:val="00531E83"/>
    <w:rsid w:val="00532AB7"/>
    <w:rsid w:val="00533EE3"/>
    <w:rsid w:val="00534106"/>
    <w:rsid w:val="00535A13"/>
    <w:rsid w:val="0053666B"/>
    <w:rsid w:val="00536FD1"/>
    <w:rsid w:val="00541D85"/>
    <w:rsid w:val="00542842"/>
    <w:rsid w:val="00542CC9"/>
    <w:rsid w:val="0054347C"/>
    <w:rsid w:val="0054637F"/>
    <w:rsid w:val="00547574"/>
    <w:rsid w:val="00547C53"/>
    <w:rsid w:val="00551E8A"/>
    <w:rsid w:val="005538D2"/>
    <w:rsid w:val="00554E5C"/>
    <w:rsid w:val="005573DE"/>
    <w:rsid w:val="00562BCB"/>
    <w:rsid w:val="005664B7"/>
    <w:rsid w:val="00567F3E"/>
    <w:rsid w:val="005700F9"/>
    <w:rsid w:val="00570E24"/>
    <w:rsid w:val="005711C8"/>
    <w:rsid w:val="00573C7C"/>
    <w:rsid w:val="00575353"/>
    <w:rsid w:val="00576916"/>
    <w:rsid w:val="005770B2"/>
    <w:rsid w:val="0058016C"/>
    <w:rsid w:val="00581B9C"/>
    <w:rsid w:val="00582FB7"/>
    <w:rsid w:val="005841AF"/>
    <w:rsid w:val="005850DF"/>
    <w:rsid w:val="0059049C"/>
    <w:rsid w:val="00591AAF"/>
    <w:rsid w:val="005A0174"/>
    <w:rsid w:val="005A1906"/>
    <w:rsid w:val="005A35EC"/>
    <w:rsid w:val="005A413C"/>
    <w:rsid w:val="005A43FB"/>
    <w:rsid w:val="005A4C59"/>
    <w:rsid w:val="005A52DD"/>
    <w:rsid w:val="005A74B2"/>
    <w:rsid w:val="005A7BFD"/>
    <w:rsid w:val="005B2029"/>
    <w:rsid w:val="005B2FE2"/>
    <w:rsid w:val="005B43BC"/>
    <w:rsid w:val="005B533E"/>
    <w:rsid w:val="005B5C7C"/>
    <w:rsid w:val="005B6BE2"/>
    <w:rsid w:val="005C1794"/>
    <w:rsid w:val="005C5868"/>
    <w:rsid w:val="005C59A6"/>
    <w:rsid w:val="005C5BD6"/>
    <w:rsid w:val="005C66C4"/>
    <w:rsid w:val="005C6F1A"/>
    <w:rsid w:val="005C7E25"/>
    <w:rsid w:val="005D0149"/>
    <w:rsid w:val="005D0268"/>
    <w:rsid w:val="005D02E9"/>
    <w:rsid w:val="005D041E"/>
    <w:rsid w:val="005D0CF4"/>
    <w:rsid w:val="005D0D3E"/>
    <w:rsid w:val="005D0E82"/>
    <w:rsid w:val="005D0FDD"/>
    <w:rsid w:val="005D11EA"/>
    <w:rsid w:val="005D27A4"/>
    <w:rsid w:val="005D3018"/>
    <w:rsid w:val="005D4168"/>
    <w:rsid w:val="005D4D00"/>
    <w:rsid w:val="005D50B6"/>
    <w:rsid w:val="005D5D99"/>
    <w:rsid w:val="005D6343"/>
    <w:rsid w:val="005E09AE"/>
    <w:rsid w:val="005E11B5"/>
    <w:rsid w:val="005E16B7"/>
    <w:rsid w:val="005E3425"/>
    <w:rsid w:val="005E3D58"/>
    <w:rsid w:val="005E3FFE"/>
    <w:rsid w:val="005E5F98"/>
    <w:rsid w:val="005E6A03"/>
    <w:rsid w:val="005F2EFC"/>
    <w:rsid w:val="005F3368"/>
    <w:rsid w:val="005F5232"/>
    <w:rsid w:val="005F73C9"/>
    <w:rsid w:val="00600103"/>
    <w:rsid w:val="00600E62"/>
    <w:rsid w:val="00604791"/>
    <w:rsid w:val="00606BAB"/>
    <w:rsid w:val="00607309"/>
    <w:rsid w:val="00607A8F"/>
    <w:rsid w:val="00610EFD"/>
    <w:rsid w:val="00612D31"/>
    <w:rsid w:val="00616AE3"/>
    <w:rsid w:val="00616F28"/>
    <w:rsid w:val="0061712A"/>
    <w:rsid w:val="00621A4F"/>
    <w:rsid w:val="00621A87"/>
    <w:rsid w:val="0062442B"/>
    <w:rsid w:val="0062625B"/>
    <w:rsid w:val="00630941"/>
    <w:rsid w:val="00630DCC"/>
    <w:rsid w:val="0063208B"/>
    <w:rsid w:val="006321F0"/>
    <w:rsid w:val="00633758"/>
    <w:rsid w:val="00634D4F"/>
    <w:rsid w:val="006362CA"/>
    <w:rsid w:val="00636D3C"/>
    <w:rsid w:val="00640C2F"/>
    <w:rsid w:val="006418DA"/>
    <w:rsid w:val="00641CB1"/>
    <w:rsid w:val="0064266E"/>
    <w:rsid w:val="00642FD3"/>
    <w:rsid w:val="00643313"/>
    <w:rsid w:val="00644054"/>
    <w:rsid w:val="00644C72"/>
    <w:rsid w:val="00645A02"/>
    <w:rsid w:val="00646C24"/>
    <w:rsid w:val="006471BB"/>
    <w:rsid w:val="00652E2D"/>
    <w:rsid w:val="00654749"/>
    <w:rsid w:val="0065608C"/>
    <w:rsid w:val="006563C9"/>
    <w:rsid w:val="006571EE"/>
    <w:rsid w:val="00657C0C"/>
    <w:rsid w:val="006619B6"/>
    <w:rsid w:val="00665AC2"/>
    <w:rsid w:val="00666E13"/>
    <w:rsid w:val="00671DB3"/>
    <w:rsid w:val="00672C21"/>
    <w:rsid w:val="00675E88"/>
    <w:rsid w:val="00676331"/>
    <w:rsid w:val="006842EE"/>
    <w:rsid w:val="00687FF6"/>
    <w:rsid w:val="00691FFF"/>
    <w:rsid w:val="0069313F"/>
    <w:rsid w:val="0069474D"/>
    <w:rsid w:val="00696107"/>
    <w:rsid w:val="006963F2"/>
    <w:rsid w:val="006973CF"/>
    <w:rsid w:val="00697B71"/>
    <w:rsid w:val="006A0177"/>
    <w:rsid w:val="006A0D5E"/>
    <w:rsid w:val="006A1DEE"/>
    <w:rsid w:val="006A2D45"/>
    <w:rsid w:val="006A3265"/>
    <w:rsid w:val="006A5C76"/>
    <w:rsid w:val="006A778D"/>
    <w:rsid w:val="006A7D1F"/>
    <w:rsid w:val="006B03A1"/>
    <w:rsid w:val="006B0598"/>
    <w:rsid w:val="006B0CA1"/>
    <w:rsid w:val="006B25EF"/>
    <w:rsid w:val="006B317A"/>
    <w:rsid w:val="006B5AAF"/>
    <w:rsid w:val="006B5DA4"/>
    <w:rsid w:val="006C162E"/>
    <w:rsid w:val="006C2F83"/>
    <w:rsid w:val="006C3011"/>
    <w:rsid w:val="006C52A7"/>
    <w:rsid w:val="006C690C"/>
    <w:rsid w:val="006D066B"/>
    <w:rsid w:val="006D0A6F"/>
    <w:rsid w:val="006D0CE1"/>
    <w:rsid w:val="006D1010"/>
    <w:rsid w:val="006D273E"/>
    <w:rsid w:val="006D2EAD"/>
    <w:rsid w:val="006D71EA"/>
    <w:rsid w:val="006E143E"/>
    <w:rsid w:val="006E14F8"/>
    <w:rsid w:val="006E3818"/>
    <w:rsid w:val="006E3B84"/>
    <w:rsid w:val="006E6456"/>
    <w:rsid w:val="006E6CCE"/>
    <w:rsid w:val="006F152B"/>
    <w:rsid w:val="006F1DDF"/>
    <w:rsid w:val="006F2BA3"/>
    <w:rsid w:val="006F3A72"/>
    <w:rsid w:val="006F3DC9"/>
    <w:rsid w:val="006F41C7"/>
    <w:rsid w:val="006F55F9"/>
    <w:rsid w:val="006F6D60"/>
    <w:rsid w:val="00700189"/>
    <w:rsid w:val="007007AB"/>
    <w:rsid w:val="00700FB6"/>
    <w:rsid w:val="007010E8"/>
    <w:rsid w:val="007019FA"/>
    <w:rsid w:val="00701AE8"/>
    <w:rsid w:val="00701FDF"/>
    <w:rsid w:val="007023B2"/>
    <w:rsid w:val="0070258A"/>
    <w:rsid w:val="007026B8"/>
    <w:rsid w:val="00703B1A"/>
    <w:rsid w:val="00710F51"/>
    <w:rsid w:val="0071167C"/>
    <w:rsid w:val="00711CC2"/>
    <w:rsid w:val="007124DE"/>
    <w:rsid w:val="007154B8"/>
    <w:rsid w:val="007177E2"/>
    <w:rsid w:val="007201F8"/>
    <w:rsid w:val="007208FB"/>
    <w:rsid w:val="007209FB"/>
    <w:rsid w:val="00721C4C"/>
    <w:rsid w:val="0072226A"/>
    <w:rsid w:val="00722D4D"/>
    <w:rsid w:val="00727157"/>
    <w:rsid w:val="007300BD"/>
    <w:rsid w:val="00732C85"/>
    <w:rsid w:val="00733BBD"/>
    <w:rsid w:val="0073539E"/>
    <w:rsid w:val="007353A0"/>
    <w:rsid w:val="00736EE8"/>
    <w:rsid w:val="0073772C"/>
    <w:rsid w:val="007416FB"/>
    <w:rsid w:val="0074190F"/>
    <w:rsid w:val="00743DEF"/>
    <w:rsid w:val="00744D74"/>
    <w:rsid w:val="0074621E"/>
    <w:rsid w:val="00746907"/>
    <w:rsid w:val="00746CEC"/>
    <w:rsid w:val="00747374"/>
    <w:rsid w:val="00747DE2"/>
    <w:rsid w:val="0075054C"/>
    <w:rsid w:val="0075188F"/>
    <w:rsid w:val="007534F5"/>
    <w:rsid w:val="007535B9"/>
    <w:rsid w:val="00755EB7"/>
    <w:rsid w:val="007570E4"/>
    <w:rsid w:val="00761535"/>
    <w:rsid w:val="0076158E"/>
    <w:rsid w:val="00761923"/>
    <w:rsid w:val="00762FD7"/>
    <w:rsid w:val="00764D36"/>
    <w:rsid w:val="0076573E"/>
    <w:rsid w:val="00765ADB"/>
    <w:rsid w:val="00766057"/>
    <w:rsid w:val="00766665"/>
    <w:rsid w:val="007670D6"/>
    <w:rsid w:val="007704E0"/>
    <w:rsid w:val="00772D07"/>
    <w:rsid w:val="00774C83"/>
    <w:rsid w:val="00775E86"/>
    <w:rsid w:val="00776C65"/>
    <w:rsid w:val="00783D6A"/>
    <w:rsid w:val="007845AE"/>
    <w:rsid w:val="00785844"/>
    <w:rsid w:val="007874B7"/>
    <w:rsid w:val="007911EE"/>
    <w:rsid w:val="0079127B"/>
    <w:rsid w:val="00795014"/>
    <w:rsid w:val="007977CC"/>
    <w:rsid w:val="007A0694"/>
    <w:rsid w:val="007A0DF2"/>
    <w:rsid w:val="007A12A4"/>
    <w:rsid w:val="007A155A"/>
    <w:rsid w:val="007A3165"/>
    <w:rsid w:val="007A3B9B"/>
    <w:rsid w:val="007A41A7"/>
    <w:rsid w:val="007A5919"/>
    <w:rsid w:val="007A7337"/>
    <w:rsid w:val="007A7AB0"/>
    <w:rsid w:val="007B0D2E"/>
    <w:rsid w:val="007B0DB9"/>
    <w:rsid w:val="007B10F5"/>
    <w:rsid w:val="007B223F"/>
    <w:rsid w:val="007B42E3"/>
    <w:rsid w:val="007B4EA1"/>
    <w:rsid w:val="007B4F00"/>
    <w:rsid w:val="007B4FC1"/>
    <w:rsid w:val="007B7115"/>
    <w:rsid w:val="007B7C29"/>
    <w:rsid w:val="007C139D"/>
    <w:rsid w:val="007C1E02"/>
    <w:rsid w:val="007C3ABD"/>
    <w:rsid w:val="007C4D76"/>
    <w:rsid w:val="007C6CAF"/>
    <w:rsid w:val="007C73E5"/>
    <w:rsid w:val="007D014F"/>
    <w:rsid w:val="007D0368"/>
    <w:rsid w:val="007D630A"/>
    <w:rsid w:val="007D63AC"/>
    <w:rsid w:val="007D6CD1"/>
    <w:rsid w:val="007E0844"/>
    <w:rsid w:val="007E2873"/>
    <w:rsid w:val="007E30FD"/>
    <w:rsid w:val="007E3180"/>
    <w:rsid w:val="007E3228"/>
    <w:rsid w:val="007E6221"/>
    <w:rsid w:val="007E6758"/>
    <w:rsid w:val="007E72D1"/>
    <w:rsid w:val="007E7F17"/>
    <w:rsid w:val="007F3143"/>
    <w:rsid w:val="007F3A8A"/>
    <w:rsid w:val="007F4D0D"/>
    <w:rsid w:val="007F7806"/>
    <w:rsid w:val="00803F07"/>
    <w:rsid w:val="00805D40"/>
    <w:rsid w:val="00805F54"/>
    <w:rsid w:val="00806056"/>
    <w:rsid w:val="008062E4"/>
    <w:rsid w:val="008068F3"/>
    <w:rsid w:val="008118FA"/>
    <w:rsid w:val="008129B8"/>
    <w:rsid w:val="0081342D"/>
    <w:rsid w:val="00814578"/>
    <w:rsid w:val="008166AD"/>
    <w:rsid w:val="008226DE"/>
    <w:rsid w:val="00822A97"/>
    <w:rsid w:val="00822FCC"/>
    <w:rsid w:val="0082303F"/>
    <w:rsid w:val="00825674"/>
    <w:rsid w:val="00825D94"/>
    <w:rsid w:val="00825E4A"/>
    <w:rsid w:val="00830063"/>
    <w:rsid w:val="008300EB"/>
    <w:rsid w:val="008313F9"/>
    <w:rsid w:val="0083235A"/>
    <w:rsid w:val="008339A4"/>
    <w:rsid w:val="008342FE"/>
    <w:rsid w:val="00834742"/>
    <w:rsid w:val="008368DB"/>
    <w:rsid w:val="00836DE5"/>
    <w:rsid w:val="00837E63"/>
    <w:rsid w:val="008403D4"/>
    <w:rsid w:val="00841DA2"/>
    <w:rsid w:val="008425FF"/>
    <w:rsid w:val="0084388E"/>
    <w:rsid w:val="00845348"/>
    <w:rsid w:val="008459DD"/>
    <w:rsid w:val="00851F2C"/>
    <w:rsid w:val="00855422"/>
    <w:rsid w:val="008558AD"/>
    <w:rsid w:val="008567E9"/>
    <w:rsid w:val="00860588"/>
    <w:rsid w:val="00861AE5"/>
    <w:rsid w:val="008637BE"/>
    <w:rsid w:val="00864DC9"/>
    <w:rsid w:val="008713DA"/>
    <w:rsid w:val="00874637"/>
    <w:rsid w:val="00874DC7"/>
    <w:rsid w:val="00876242"/>
    <w:rsid w:val="00876287"/>
    <w:rsid w:val="00877FAB"/>
    <w:rsid w:val="008800C1"/>
    <w:rsid w:val="00880FA6"/>
    <w:rsid w:val="00882A86"/>
    <w:rsid w:val="0088332B"/>
    <w:rsid w:val="00884C94"/>
    <w:rsid w:val="00886039"/>
    <w:rsid w:val="00886E46"/>
    <w:rsid w:val="008871CD"/>
    <w:rsid w:val="00887819"/>
    <w:rsid w:val="008906CC"/>
    <w:rsid w:val="008927D2"/>
    <w:rsid w:val="008929A3"/>
    <w:rsid w:val="008941D0"/>
    <w:rsid w:val="008945CF"/>
    <w:rsid w:val="00894664"/>
    <w:rsid w:val="008946AE"/>
    <w:rsid w:val="008971F1"/>
    <w:rsid w:val="00897A5D"/>
    <w:rsid w:val="008A17CC"/>
    <w:rsid w:val="008A1C67"/>
    <w:rsid w:val="008A4A30"/>
    <w:rsid w:val="008A585C"/>
    <w:rsid w:val="008B0301"/>
    <w:rsid w:val="008B0A90"/>
    <w:rsid w:val="008B2A32"/>
    <w:rsid w:val="008B65E7"/>
    <w:rsid w:val="008B6DAC"/>
    <w:rsid w:val="008B7143"/>
    <w:rsid w:val="008B77E2"/>
    <w:rsid w:val="008B7912"/>
    <w:rsid w:val="008C0C0B"/>
    <w:rsid w:val="008C0F16"/>
    <w:rsid w:val="008C13FE"/>
    <w:rsid w:val="008C201B"/>
    <w:rsid w:val="008C49C2"/>
    <w:rsid w:val="008C7523"/>
    <w:rsid w:val="008C7E0C"/>
    <w:rsid w:val="008D0689"/>
    <w:rsid w:val="008D097F"/>
    <w:rsid w:val="008D2EAC"/>
    <w:rsid w:val="008D3BC2"/>
    <w:rsid w:val="008D45C4"/>
    <w:rsid w:val="008D45D6"/>
    <w:rsid w:val="008E0982"/>
    <w:rsid w:val="008E11DF"/>
    <w:rsid w:val="008E5689"/>
    <w:rsid w:val="008E74DB"/>
    <w:rsid w:val="008F0282"/>
    <w:rsid w:val="008F07FA"/>
    <w:rsid w:val="008F1026"/>
    <w:rsid w:val="008F1C63"/>
    <w:rsid w:val="008F2CE4"/>
    <w:rsid w:val="008F38F1"/>
    <w:rsid w:val="008F3D50"/>
    <w:rsid w:val="008F471A"/>
    <w:rsid w:val="008F4B32"/>
    <w:rsid w:val="00900F8E"/>
    <w:rsid w:val="009014C4"/>
    <w:rsid w:val="009030FA"/>
    <w:rsid w:val="009052FE"/>
    <w:rsid w:val="00906DAD"/>
    <w:rsid w:val="00913086"/>
    <w:rsid w:val="0091560F"/>
    <w:rsid w:val="00915EBF"/>
    <w:rsid w:val="00916385"/>
    <w:rsid w:val="009212B6"/>
    <w:rsid w:val="00921DF6"/>
    <w:rsid w:val="0092213E"/>
    <w:rsid w:val="00923CB5"/>
    <w:rsid w:val="009308D1"/>
    <w:rsid w:val="00930D7B"/>
    <w:rsid w:val="009311B4"/>
    <w:rsid w:val="00931E70"/>
    <w:rsid w:val="00933E34"/>
    <w:rsid w:val="00935D8F"/>
    <w:rsid w:val="00940387"/>
    <w:rsid w:val="0094051C"/>
    <w:rsid w:val="00941227"/>
    <w:rsid w:val="00943D57"/>
    <w:rsid w:val="00943DCB"/>
    <w:rsid w:val="0094407D"/>
    <w:rsid w:val="00945F78"/>
    <w:rsid w:val="00946BFD"/>
    <w:rsid w:val="009471B4"/>
    <w:rsid w:val="009500E8"/>
    <w:rsid w:val="00950F9D"/>
    <w:rsid w:val="00952799"/>
    <w:rsid w:val="00952FE7"/>
    <w:rsid w:val="009533F7"/>
    <w:rsid w:val="009574A4"/>
    <w:rsid w:val="009613E4"/>
    <w:rsid w:val="009618C2"/>
    <w:rsid w:val="00961AD2"/>
    <w:rsid w:val="00963CC1"/>
    <w:rsid w:val="00965E28"/>
    <w:rsid w:val="00966F3E"/>
    <w:rsid w:val="009730B2"/>
    <w:rsid w:val="009737AD"/>
    <w:rsid w:val="0097710B"/>
    <w:rsid w:val="0098098F"/>
    <w:rsid w:val="009819E9"/>
    <w:rsid w:val="009831B2"/>
    <w:rsid w:val="00987A48"/>
    <w:rsid w:val="00987AFA"/>
    <w:rsid w:val="009900CE"/>
    <w:rsid w:val="00990C5E"/>
    <w:rsid w:val="00990F2C"/>
    <w:rsid w:val="00991284"/>
    <w:rsid w:val="009A2058"/>
    <w:rsid w:val="009A793C"/>
    <w:rsid w:val="009B0003"/>
    <w:rsid w:val="009B3526"/>
    <w:rsid w:val="009B7A51"/>
    <w:rsid w:val="009C0DF5"/>
    <w:rsid w:val="009C24BD"/>
    <w:rsid w:val="009C25EE"/>
    <w:rsid w:val="009C5378"/>
    <w:rsid w:val="009C5943"/>
    <w:rsid w:val="009C634B"/>
    <w:rsid w:val="009C65B9"/>
    <w:rsid w:val="009C6A7E"/>
    <w:rsid w:val="009D101B"/>
    <w:rsid w:val="009D13C1"/>
    <w:rsid w:val="009D458F"/>
    <w:rsid w:val="009D6F70"/>
    <w:rsid w:val="009D7F8B"/>
    <w:rsid w:val="009E6E67"/>
    <w:rsid w:val="009F0ACB"/>
    <w:rsid w:val="009F2964"/>
    <w:rsid w:val="009F2B4B"/>
    <w:rsid w:val="009F6631"/>
    <w:rsid w:val="009F6A89"/>
    <w:rsid w:val="00A00FF9"/>
    <w:rsid w:val="00A018E3"/>
    <w:rsid w:val="00A02F74"/>
    <w:rsid w:val="00A04B45"/>
    <w:rsid w:val="00A05085"/>
    <w:rsid w:val="00A062B1"/>
    <w:rsid w:val="00A0715A"/>
    <w:rsid w:val="00A137C4"/>
    <w:rsid w:val="00A14432"/>
    <w:rsid w:val="00A15E89"/>
    <w:rsid w:val="00A16D40"/>
    <w:rsid w:val="00A17583"/>
    <w:rsid w:val="00A215E8"/>
    <w:rsid w:val="00A22630"/>
    <w:rsid w:val="00A23175"/>
    <w:rsid w:val="00A2565A"/>
    <w:rsid w:val="00A2640E"/>
    <w:rsid w:val="00A26794"/>
    <w:rsid w:val="00A311D8"/>
    <w:rsid w:val="00A31C67"/>
    <w:rsid w:val="00A320AB"/>
    <w:rsid w:val="00A32F6A"/>
    <w:rsid w:val="00A33505"/>
    <w:rsid w:val="00A33921"/>
    <w:rsid w:val="00A3532B"/>
    <w:rsid w:val="00A361A5"/>
    <w:rsid w:val="00A36796"/>
    <w:rsid w:val="00A37C0E"/>
    <w:rsid w:val="00A415E8"/>
    <w:rsid w:val="00A45913"/>
    <w:rsid w:val="00A5090F"/>
    <w:rsid w:val="00A509E8"/>
    <w:rsid w:val="00A52835"/>
    <w:rsid w:val="00A56595"/>
    <w:rsid w:val="00A565AD"/>
    <w:rsid w:val="00A60D61"/>
    <w:rsid w:val="00A60DA8"/>
    <w:rsid w:val="00A61822"/>
    <w:rsid w:val="00A62E3F"/>
    <w:rsid w:val="00A6336D"/>
    <w:rsid w:val="00A63380"/>
    <w:rsid w:val="00A74B2C"/>
    <w:rsid w:val="00A7516D"/>
    <w:rsid w:val="00A76996"/>
    <w:rsid w:val="00A76D6B"/>
    <w:rsid w:val="00A779FF"/>
    <w:rsid w:val="00A800ED"/>
    <w:rsid w:val="00A80683"/>
    <w:rsid w:val="00A808B7"/>
    <w:rsid w:val="00A81B1C"/>
    <w:rsid w:val="00A86521"/>
    <w:rsid w:val="00A86637"/>
    <w:rsid w:val="00A874C7"/>
    <w:rsid w:val="00A91B1D"/>
    <w:rsid w:val="00A91EBF"/>
    <w:rsid w:val="00A92F72"/>
    <w:rsid w:val="00A96070"/>
    <w:rsid w:val="00A9700F"/>
    <w:rsid w:val="00AA0A9C"/>
    <w:rsid w:val="00AA1E37"/>
    <w:rsid w:val="00AA20E0"/>
    <w:rsid w:val="00AA3BB2"/>
    <w:rsid w:val="00AA49CF"/>
    <w:rsid w:val="00AA597D"/>
    <w:rsid w:val="00AB1540"/>
    <w:rsid w:val="00AB4948"/>
    <w:rsid w:val="00AB5358"/>
    <w:rsid w:val="00AB6414"/>
    <w:rsid w:val="00AB65BC"/>
    <w:rsid w:val="00AB78DA"/>
    <w:rsid w:val="00AC01E1"/>
    <w:rsid w:val="00AC433E"/>
    <w:rsid w:val="00AC530E"/>
    <w:rsid w:val="00AC7017"/>
    <w:rsid w:val="00AC7AA8"/>
    <w:rsid w:val="00AD193E"/>
    <w:rsid w:val="00AD1ED7"/>
    <w:rsid w:val="00AD2D89"/>
    <w:rsid w:val="00AD2FAA"/>
    <w:rsid w:val="00AD5845"/>
    <w:rsid w:val="00AD5B12"/>
    <w:rsid w:val="00AD6DC9"/>
    <w:rsid w:val="00AD78EE"/>
    <w:rsid w:val="00AE11B2"/>
    <w:rsid w:val="00AE1644"/>
    <w:rsid w:val="00AE2D53"/>
    <w:rsid w:val="00AE39FB"/>
    <w:rsid w:val="00AE3EF8"/>
    <w:rsid w:val="00AE42F4"/>
    <w:rsid w:val="00AE4F7E"/>
    <w:rsid w:val="00AE5F38"/>
    <w:rsid w:val="00AE7643"/>
    <w:rsid w:val="00AE76E7"/>
    <w:rsid w:val="00AF087E"/>
    <w:rsid w:val="00AF1561"/>
    <w:rsid w:val="00AF1789"/>
    <w:rsid w:val="00AF38A3"/>
    <w:rsid w:val="00AF5CE3"/>
    <w:rsid w:val="00AF666B"/>
    <w:rsid w:val="00AF6E1E"/>
    <w:rsid w:val="00AF6F84"/>
    <w:rsid w:val="00B02CEF"/>
    <w:rsid w:val="00B05726"/>
    <w:rsid w:val="00B075A4"/>
    <w:rsid w:val="00B07835"/>
    <w:rsid w:val="00B1200A"/>
    <w:rsid w:val="00B12668"/>
    <w:rsid w:val="00B1327E"/>
    <w:rsid w:val="00B13852"/>
    <w:rsid w:val="00B15269"/>
    <w:rsid w:val="00B156AB"/>
    <w:rsid w:val="00B16ADE"/>
    <w:rsid w:val="00B16B06"/>
    <w:rsid w:val="00B1751C"/>
    <w:rsid w:val="00B211F2"/>
    <w:rsid w:val="00B21638"/>
    <w:rsid w:val="00B21D35"/>
    <w:rsid w:val="00B229BD"/>
    <w:rsid w:val="00B24CF9"/>
    <w:rsid w:val="00B250B8"/>
    <w:rsid w:val="00B261E3"/>
    <w:rsid w:val="00B273D3"/>
    <w:rsid w:val="00B277BF"/>
    <w:rsid w:val="00B2790B"/>
    <w:rsid w:val="00B34223"/>
    <w:rsid w:val="00B34661"/>
    <w:rsid w:val="00B357B9"/>
    <w:rsid w:val="00B36463"/>
    <w:rsid w:val="00B36A8E"/>
    <w:rsid w:val="00B407CA"/>
    <w:rsid w:val="00B424BB"/>
    <w:rsid w:val="00B47470"/>
    <w:rsid w:val="00B47D82"/>
    <w:rsid w:val="00B51BC2"/>
    <w:rsid w:val="00B520EC"/>
    <w:rsid w:val="00B53AEB"/>
    <w:rsid w:val="00B55007"/>
    <w:rsid w:val="00B570D8"/>
    <w:rsid w:val="00B575D1"/>
    <w:rsid w:val="00B577BC"/>
    <w:rsid w:val="00B60E7E"/>
    <w:rsid w:val="00B6341E"/>
    <w:rsid w:val="00B6514F"/>
    <w:rsid w:val="00B656F0"/>
    <w:rsid w:val="00B65C77"/>
    <w:rsid w:val="00B65E4A"/>
    <w:rsid w:val="00B669BA"/>
    <w:rsid w:val="00B67D56"/>
    <w:rsid w:val="00B702CC"/>
    <w:rsid w:val="00B73803"/>
    <w:rsid w:val="00B74ECA"/>
    <w:rsid w:val="00B75C43"/>
    <w:rsid w:val="00B75D4E"/>
    <w:rsid w:val="00B76DE4"/>
    <w:rsid w:val="00B80FBF"/>
    <w:rsid w:val="00B810A2"/>
    <w:rsid w:val="00B821A9"/>
    <w:rsid w:val="00B825F2"/>
    <w:rsid w:val="00B847CF"/>
    <w:rsid w:val="00B85D21"/>
    <w:rsid w:val="00B87CD7"/>
    <w:rsid w:val="00B902D3"/>
    <w:rsid w:val="00B9080A"/>
    <w:rsid w:val="00B92F91"/>
    <w:rsid w:val="00B9325E"/>
    <w:rsid w:val="00B94526"/>
    <w:rsid w:val="00B94892"/>
    <w:rsid w:val="00B96A19"/>
    <w:rsid w:val="00B96B52"/>
    <w:rsid w:val="00B96C0A"/>
    <w:rsid w:val="00BA262A"/>
    <w:rsid w:val="00BA2C97"/>
    <w:rsid w:val="00BA496E"/>
    <w:rsid w:val="00BA5839"/>
    <w:rsid w:val="00BA7DF7"/>
    <w:rsid w:val="00BB0417"/>
    <w:rsid w:val="00BB0A37"/>
    <w:rsid w:val="00BB1813"/>
    <w:rsid w:val="00BB21CA"/>
    <w:rsid w:val="00BB3670"/>
    <w:rsid w:val="00BB3FAA"/>
    <w:rsid w:val="00BB49BA"/>
    <w:rsid w:val="00BB547E"/>
    <w:rsid w:val="00BC027E"/>
    <w:rsid w:val="00BC156D"/>
    <w:rsid w:val="00BC1B67"/>
    <w:rsid w:val="00BC59B0"/>
    <w:rsid w:val="00BC6EA2"/>
    <w:rsid w:val="00BC7AC3"/>
    <w:rsid w:val="00BD2B78"/>
    <w:rsid w:val="00BE066C"/>
    <w:rsid w:val="00BE1004"/>
    <w:rsid w:val="00BE15BD"/>
    <w:rsid w:val="00BE2E32"/>
    <w:rsid w:val="00BE312C"/>
    <w:rsid w:val="00BE6CA6"/>
    <w:rsid w:val="00BE7DF4"/>
    <w:rsid w:val="00BF0938"/>
    <w:rsid w:val="00BF3206"/>
    <w:rsid w:val="00BF5071"/>
    <w:rsid w:val="00BF6187"/>
    <w:rsid w:val="00BF785A"/>
    <w:rsid w:val="00C01D99"/>
    <w:rsid w:val="00C02FBA"/>
    <w:rsid w:val="00C032C2"/>
    <w:rsid w:val="00C055BC"/>
    <w:rsid w:val="00C056DA"/>
    <w:rsid w:val="00C068AB"/>
    <w:rsid w:val="00C100B6"/>
    <w:rsid w:val="00C114BD"/>
    <w:rsid w:val="00C13BA3"/>
    <w:rsid w:val="00C13CD1"/>
    <w:rsid w:val="00C15197"/>
    <w:rsid w:val="00C17B4C"/>
    <w:rsid w:val="00C21904"/>
    <w:rsid w:val="00C223B3"/>
    <w:rsid w:val="00C2547A"/>
    <w:rsid w:val="00C25570"/>
    <w:rsid w:val="00C25B7F"/>
    <w:rsid w:val="00C267DB"/>
    <w:rsid w:val="00C2781C"/>
    <w:rsid w:val="00C306C3"/>
    <w:rsid w:val="00C307C9"/>
    <w:rsid w:val="00C30A2B"/>
    <w:rsid w:val="00C32508"/>
    <w:rsid w:val="00C33222"/>
    <w:rsid w:val="00C3365A"/>
    <w:rsid w:val="00C34403"/>
    <w:rsid w:val="00C34676"/>
    <w:rsid w:val="00C34D5F"/>
    <w:rsid w:val="00C402AB"/>
    <w:rsid w:val="00C40AB0"/>
    <w:rsid w:val="00C41FB6"/>
    <w:rsid w:val="00C428A3"/>
    <w:rsid w:val="00C4290E"/>
    <w:rsid w:val="00C43B6E"/>
    <w:rsid w:val="00C43EB8"/>
    <w:rsid w:val="00C44928"/>
    <w:rsid w:val="00C51C41"/>
    <w:rsid w:val="00C525CE"/>
    <w:rsid w:val="00C55417"/>
    <w:rsid w:val="00C55DCB"/>
    <w:rsid w:val="00C5646E"/>
    <w:rsid w:val="00C60F99"/>
    <w:rsid w:val="00C622CB"/>
    <w:rsid w:val="00C6289B"/>
    <w:rsid w:val="00C62E99"/>
    <w:rsid w:val="00C66A8E"/>
    <w:rsid w:val="00C66B11"/>
    <w:rsid w:val="00C67726"/>
    <w:rsid w:val="00C6793F"/>
    <w:rsid w:val="00C705B0"/>
    <w:rsid w:val="00C714B7"/>
    <w:rsid w:val="00C7213B"/>
    <w:rsid w:val="00C72364"/>
    <w:rsid w:val="00C74F9A"/>
    <w:rsid w:val="00C76ED3"/>
    <w:rsid w:val="00C76F37"/>
    <w:rsid w:val="00C76F9B"/>
    <w:rsid w:val="00C83583"/>
    <w:rsid w:val="00C84B17"/>
    <w:rsid w:val="00C862A1"/>
    <w:rsid w:val="00C90D8C"/>
    <w:rsid w:val="00C914BA"/>
    <w:rsid w:val="00C91E7C"/>
    <w:rsid w:val="00C91FC5"/>
    <w:rsid w:val="00C933AF"/>
    <w:rsid w:val="00C94A60"/>
    <w:rsid w:val="00C95A81"/>
    <w:rsid w:val="00CA0CE9"/>
    <w:rsid w:val="00CA0DE5"/>
    <w:rsid w:val="00CA150C"/>
    <w:rsid w:val="00CA1AF1"/>
    <w:rsid w:val="00CA21AC"/>
    <w:rsid w:val="00CA3ED0"/>
    <w:rsid w:val="00CA4750"/>
    <w:rsid w:val="00CA751C"/>
    <w:rsid w:val="00CA7AED"/>
    <w:rsid w:val="00CA7D83"/>
    <w:rsid w:val="00CB0244"/>
    <w:rsid w:val="00CB1CDC"/>
    <w:rsid w:val="00CB1DC6"/>
    <w:rsid w:val="00CB2668"/>
    <w:rsid w:val="00CB41F3"/>
    <w:rsid w:val="00CB6DCC"/>
    <w:rsid w:val="00CB794E"/>
    <w:rsid w:val="00CC0903"/>
    <w:rsid w:val="00CC3EB1"/>
    <w:rsid w:val="00CC50E2"/>
    <w:rsid w:val="00CC5465"/>
    <w:rsid w:val="00CC57F5"/>
    <w:rsid w:val="00CC6A19"/>
    <w:rsid w:val="00CD3282"/>
    <w:rsid w:val="00CD4BF3"/>
    <w:rsid w:val="00CD5EDD"/>
    <w:rsid w:val="00CD7AD3"/>
    <w:rsid w:val="00CE0E4D"/>
    <w:rsid w:val="00CE14CA"/>
    <w:rsid w:val="00CE1A8B"/>
    <w:rsid w:val="00CE1A9E"/>
    <w:rsid w:val="00CE28BA"/>
    <w:rsid w:val="00CE69B3"/>
    <w:rsid w:val="00CE6EFC"/>
    <w:rsid w:val="00CE7087"/>
    <w:rsid w:val="00CE75E1"/>
    <w:rsid w:val="00CF045F"/>
    <w:rsid w:val="00CF08BB"/>
    <w:rsid w:val="00CF16C7"/>
    <w:rsid w:val="00CF1A14"/>
    <w:rsid w:val="00D008E0"/>
    <w:rsid w:val="00D05A77"/>
    <w:rsid w:val="00D10701"/>
    <w:rsid w:val="00D126E7"/>
    <w:rsid w:val="00D13D27"/>
    <w:rsid w:val="00D146DA"/>
    <w:rsid w:val="00D1663E"/>
    <w:rsid w:val="00D2028D"/>
    <w:rsid w:val="00D2143A"/>
    <w:rsid w:val="00D21936"/>
    <w:rsid w:val="00D2283A"/>
    <w:rsid w:val="00D23A00"/>
    <w:rsid w:val="00D24BE6"/>
    <w:rsid w:val="00D25E64"/>
    <w:rsid w:val="00D26834"/>
    <w:rsid w:val="00D26C29"/>
    <w:rsid w:val="00D273E9"/>
    <w:rsid w:val="00D331AC"/>
    <w:rsid w:val="00D33563"/>
    <w:rsid w:val="00D36E9D"/>
    <w:rsid w:val="00D40E85"/>
    <w:rsid w:val="00D42116"/>
    <w:rsid w:val="00D44443"/>
    <w:rsid w:val="00D45E53"/>
    <w:rsid w:val="00D461B0"/>
    <w:rsid w:val="00D46B15"/>
    <w:rsid w:val="00D51A83"/>
    <w:rsid w:val="00D52189"/>
    <w:rsid w:val="00D524EC"/>
    <w:rsid w:val="00D54116"/>
    <w:rsid w:val="00D54D35"/>
    <w:rsid w:val="00D562FE"/>
    <w:rsid w:val="00D56477"/>
    <w:rsid w:val="00D60FBF"/>
    <w:rsid w:val="00D617D6"/>
    <w:rsid w:val="00D61956"/>
    <w:rsid w:val="00D63843"/>
    <w:rsid w:val="00D63D57"/>
    <w:rsid w:val="00D63F76"/>
    <w:rsid w:val="00D66659"/>
    <w:rsid w:val="00D66B41"/>
    <w:rsid w:val="00D70B58"/>
    <w:rsid w:val="00D70D9A"/>
    <w:rsid w:val="00D71427"/>
    <w:rsid w:val="00D71EB8"/>
    <w:rsid w:val="00D749DB"/>
    <w:rsid w:val="00D7579E"/>
    <w:rsid w:val="00D774EC"/>
    <w:rsid w:val="00D803D5"/>
    <w:rsid w:val="00D80AB6"/>
    <w:rsid w:val="00D81746"/>
    <w:rsid w:val="00D90A93"/>
    <w:rsid w:val="00D913A6"/>
    <w:rsid w:val="00D916BC"/>
    <w:rsid w:val="00D93D1C"/>
    <w:rsid w:val="00D9423D"/>
    <w:rsid w:val="00D948C4"/>
    <w:rsid w:val="00D95B6F"/>
    <w:rsid w:val="00D96077"/>
    <w:rsid w:val="00DA06F6"/>
    <w:rsid w:val="00DA184A"/>
    <w:rsid w:val="00DB006A"/>
    <w:rsid w:val="00DB70EF"/>
    <w:rsid w:val="00DC0A15"/>
    <w:rsid w:val="00DC3D22"/>
    <w:rsid w:val="00DC5815"/>
    <w:rsid w:val="00DC5D5B"/>
    <w:rsid w:val="00DC779F"/>
    <w:rsid w:val="00DC7BA6"/>
    <w:rsid w:val="00DC7E29"/>
    <w:rsid w:val="00DD1015"/>
    <w:rsid w:val="00DD1579"/>
    <w:rsid w:val="00DD186F"/>
    <w:rsid w:val="00DD1AD9"/>
    <w:rsid w:val="00DD3117"/>
    <w:rsid w:val="00DD3B00"/>
    <w:rsid w:val="00DD3D91"/>
    <w:rsid w:val="00DD553E"/>
    <w:rsid w:val="00DE0B46"/>
    <w:rsid w:val="00DE3F54"/>
    <w:rsid w:val="00DE470D"/>
    <w:rsid w:val="00DE4A2B"/>
    <w:rsid w:val="00DF2EBC"/>
    <w:rsid w:val="00DF4D8A"/>
    <w:rsid w:val="00DF6299"/>
    <w:rsid w:val="00DF6612"/>
    <w:rsid w:val="00E0067B"/>
    <w:rsid w:val="00E0166A"/>
    <w:rsid w:val="00E02E32"/>
    <w:rsid w:val="00E03345"/>
    <w:rsid w:val="00E04749"/>
    <w:rsid w:val="00E05AB0"/>
    <w:rsid w:val="00E143EF"/>
    <w:rsid w:val="00E14B8D"/>
    <w:rsid w:val="00E20695"/>
    <w:rsid w:val="00E21296"/>
    <w:rsid w:val="00E21BAE"/>
    <w:rsid w:val="00E222B0"/>
    <w:rsid w:val="00E23D59"/>
    <w:rsid w:val="00E25AD9"/>
    <w:rsid w:val="00E25DF4"/>
    <w:rsid w:val="00E311FB"/>
    <w:rsid w:val="00E31700"/>
    <w:rsid w:val="00E31996"/>
    <w:rsid w:val="00E348B3"/>
    <w:rsid w:val="00E36F72"/>
    <w:rsid w:val="00E373D3"/>
    <w:rsid w:val="00E37C4C"/>
    <w:rsid w:val="00E43178"/>
    <w:rsid w:val="00E4385F"/>
    <w:rsid w:val="00E442ED"/>
    <w:rsid w:val="00E44696"/>
    <w:rsid w:val="00E44CFA"/>
    <w:rsid w:val="00E45E40"/>
    <w:rsid w:val="00E46138"/>
    <w:rsid w:val="00E5016E"/>
    <w:rsid w:val="00E50D00"/>
    <w:rsid w:val="00E518A5"/>
    <w:rsid w:val="00E53412"/>
    <w:rsid w:val="00E54AB9"/>
    <w:rsid w:val="00E55091"/>
    <w:rsid w:val="00E5598B"/>
    <w:rsid w:val="00E55F97"/>
    <w:rsid w:val="00E56192"/>
    <w:rsid w:val="00E56DE4"/>
    <w:rsid w:val="00E6019A"/>
    <w:rsid w:val="00E6033B"/>
    <w:rsid w:val="00E61412"/>
    <w:rsid w:val="00E6354D"/>
    <w:rsid w:val="00E65DF9"/>
    <w:rsid w:val="00E665CB"/>
    <w:rsid w:val="00E701CD"/>
    <w:rsid w:val="00E709B2"/>
    <w:rsid w:val="00E712C9"/>
    <w:rsid w:val="00E716E6"/>
    <w:rsid w:val="00E7191C"/>
    <w:rsid w:val="00E71C4C"/>
    <w:rsid w:val="00E72B7F"/>
    <w:rsid w:val="00E72BA7"/>
    <w:rsid w:val="00E732DB"/>
    <w:rsid w:val="00E73524"/>
    <w:rsid w:val="00E75663"/>
    <w:rsid w:val="00E758F0"/>
    <w:rsid w:val="00E77884"/>
    <w:rsid w:val="00E810A0"/>
    <w:rsid w:val="00E81621"/>
    <w:rsid w:val="00E82F5E"/>
    <w:rsid w:val="00E8371B"/>
    <w:rsid w:val="00E86051"/>
    <w:rsid w:val="00E949D7"/>
    <w:rsid w:val="00E95E70"/>
    <w:rsid w:val="00E9673C"/>
    <w:rsid w:val="00E96BA4"/>
    <w:rsid w:val="00E96E60"/>
    <w:rsid w:val="00E97C8A"/>
    <w:rsid w:val="00EA129C"/>
    <w:rsid w:val="00EA1DFA"/>
    <w:rsid w:val="00EA1E8C"/>
    <w:rsid w:val="00EA39F2"/>
    <w:rsid w:val="00EA737E"/>
    <w:rsid w:val="00EB02C1"/>
    <w:rsid w:val="00EB04D3"/>
    <w:rsid w:val="00EB0A70"/>
    <w:rsid w:val="00EB186D"/>
    <w:rsid w:val="00EB618D"/>
    <w:rsid w:val="00EC1092"/>
    <w:rsid w:val="00EC43B2"/>
    <w:rsid w:val="00EC577A"/>
    <w:rsid w:val="00EC5FA7"/>
    <w:rsid w:val="00ED22B6"/>
    <w:rsid w:val="00ED32F8"/>
    <w:rsid w:val="00ED7365"/>
    <w:rsid w:val="00ED751B"/>
    <w:rsid w:val="00EE09A3"/>
    <w:rsid w:val="00EE0B53"/>
    <w:rsid w:val="00EE212E"/>
    <w:rsid w:val="00EE3361"/>
    <w:rsid w:val="00EE6AA0"/>
    <w:rsid w:val="00EE6E9B"/>
    <w:rsid w:val="00EE7A93"/>
    <w:rsid w:val="00EF1ABA"/>
    <w:rsid w:val="00EF1B3C"/>
    <w:rsid w:val="00EF3B6C"/>
    <w:rsid w:val="00EF631D"/>
    <w:rsid w:val="00F00499"/>
    <w:rsid w:val="00F00A5F"/>
    <w:rsid w:val="00F01401"/>
    <w:rsid w:val="00F015B3"/>
    <w:rsid w:val="00F02753"/>
    <w:rsid w:val="00F030DF"/>
    <w:rsid w:val="00F03261"/>
    <w:rsid w:val="00F03760"/>
    <w:rsid w:val="00F04480"/>
    <w:rsid w:val="00F07C6C"/>
    <w:rsid w:val="00F07EF6"/>
    <w:rsid w:val="00F107F9"/>
    <w:rsid w:val="00F10BCC"/>
    <w:rsid w:val="00F11158"/>
    <w:rsid w:val="00F122BD"/>
    <w:rsid w:val="00F1376A"/>
    <w:rsid w:val="00F147AB"/>
    <w:rsid w:val="00F2176B"/>
    <w:rsid w:val="00F233F4"/>
    <w:rsid w:val="00F25338"/>
    <w:rsid w:val="00F27053"/>
    <w:rsid w:val="00F27BE2"/>
    <w:rsid w:val="00F3087D"/>
    <w:rsid w:val="00F3220E"/>
    <w:rsid w:val="00F34FBB"/>
    <w:rsid w:val="00F36F9E"/>
    <w:rsid w:val="00F40FE7"/>
    <w:rsid w:val="00F428C8"/>
    <w:rsid w:val="00F42A64"/>
    <w:rsid w:val="00F431A8"/>
    <w:rsid w:val="00F434F6"/>
    <w:rsid w:val="00F44727"/>
    <w:rsid w:val="00F4510A"/>
    <w:rsid w:val="00F512E9"/>
    <w:rsid w:val="00F52445"/>
    <w:rsid w:val="00F533D1"/>
    <w:rsid w:val="00F559E7"/>
    <w:rsid w:val="00F55E9A"/>
    <w:rsid w:val="00F563A9"/>
    <w:rsid w:val="00F60EEA"/>
    <w:rsid w:val="00F612B0"/>
    <w:rsid w:val="00F62D97"/>
    <w:rsid w:val="00F63407"/>
    <w:rsid w:val="00F6431F"/>
    <w:rsid w:val="00F65949"/>
    <w:rsid w:val="00F70E3C"/>
    <w:rsid w:val="00F71FF9"/>
    <w:rsid w:val="00F7232B"/>
    <w:rsid w:val="00F733A3"/>
    <w:rsid w:val="00F73469"/>
    <w:rsid w:val="00F7430E"/>
    <w:rsid w:val="00F76EDD"/>
    <w:rsid w:val="00F80E21"/>
    <w:rsid w:val="00F810E4"/>
    <w:rsid w:val="00F826A1"/>
    <w:rsid w:val="00F827B1"/>
    <w:rsid w:val="00F83842"/>
    <w:rsid w:val="00F859C7"/>
    <w:rsid w:val="00F86142"/>
    <w:rsid w:val="00F874BC"/>
    <w:rsid w:val="00F879BA"/>
    <w:rsid w:val="00F9068B"/>
    <w:rsid w:val="00F91F54"/>
    <w:rsid w:val="00F955F0"/>
    <w:rsid w:val="00FA156D"/>
    <w:rsid w:val="00FA1830"/>
    <w:rsid w:val="00FA2C82"/>
    <w:rsid w:val="00FA33A3"/>
    <w:rsid w:val="00FA40C4"/>
    <w:rsid w:val="00FA537A"/>
    <w:rsid w:val="00FA5D5A"/>
    <w:rsid w:val="00FA66C2"/>
    <w:rsid w:val="00FA6F02"/>
    <w:rsid w:val="00FB22DB"/>
    <w:rsid w:val="00FB2A86"/>
    <w:rsid w:val="00FB2EBE"/>
    <w:rsid w:val="00FB4324"/>
    <w:rsid w:val="00FB449D"/>
    <w:rsid w:val="00FB4BB3"/>
    <w:rsid w:val="00FB6846"/>
    <w:rsid w:val="00FB7E3D"/>
    <w:rsid w:val="00FC0EC0"/>
    <w:rsid w:val="00FC3AFC"/>
    <w:rsid w:val="00FC4390"/>
    <w:rsid w:val="00FC458A"/>
    <w:rsid w:val="00FC4E23"/>
    <w:rsid w:val="00FD14B3"/>
    <w:rsid w:val="00FD1C08"/>
    <w:rsid w:val="00FD249C"/>
    <w:rsid w:val="00FD4E93"/>
    <w:rsid w:val="00FD5093"/>
    <w:rsid w:val="00FD5341"/>
    <w:rsid w:val="00FD5C97"/>
    <w:rsid w:val="00FD7A60"/>
    <w:rsid w:val="00FE02D3"/>
    <w:rsid w:val="00FE1758"/>
    <w:rsid w:val="00FE226F"/>
    <w:rsid w:val="00FE2360"/>
    <w:rsid w:val="00FE24C2"/>
    <w:rsid w:val="00FE2A07"/>
    <w:rsid w:val="00FE2D08"/>
    <w:rsid w:val="00FE512D"/>
    <w:rsid w:val="00FE5FAD"/>
    <w:rsid w:val="00FF06A5"/>
    <w:rsid w:val="00FF0E62"/>
    <w:rsid w:val="00FF1689"/>
    <w:rsid w:val="00FF25EA"/>
    <w:rsid w:val="00FF2D78"/>
    <w:rsid w:val="00FF34E8"/>
    <w:rsid w:val="00FF380B"/>
    <w:rsid w:val="00FF40F3"/>
    <w:rsid w:val="00FF454C"/>
    <w:rsid w:val="00FF4A84"/>
    <w:rsid w:val="00FF71B0"/>
    <w:rsid w:val="00FF733B"/>
    <w:rsid w:val="00FF7C27"/>
  </w:rsids>
  <m:mathPr>
    <m:mathFont m:val="Cambria Math"/>
    <m:brkBin m:val="before"/>
    <m:brkBinSub m:val="--"/>
    <m:smallFrac m:val="0"/>
    <m:dispDef/>
    <m:lMargin m:val="0"/>
    <m:rMargin m:val="0"/>
    <m:defJc m:val="centerGroup"/>
    <m:wrapIndent m:val="1440"/>
    <m:intLim m:val="subSup"/>
    <m:naryLim m:val="undOvr"/>
  </m:mathPr>
  <w:themeFontLang w:val="en-NZ"/>
  <w:clrSchemeMapping w:bg1="light1" w:t1="dark1" w:bg2="light2" w:t2="dark2" w:accent1="accent1" w:accent2="accent2" w:accent3="accent3" w:accent4="accent4" w:accent5="accent5" w:accent6="accent6" w:hyperlink="hyperlink" w:followedHyperlink="followedHyperlink"/>
  <w:shapeDefaults>
    <o:shapedefaults v:ext="edit" spidmax="34817"/>
    <o:shapelayout v:ext="edit">
      <o:idmap v:ext="edit" data="1"/>
    </o:shapelayout>
  </w:shapeDefaults>
  <w:decimalSymbol w:val="."/>
  <w:listSeparator w:val=","/>
  <w14:docId w14:val="0D08CB17"/>
  <w15:docId w15:val="{325CBE89-0529-46DE-9DEC-9233170E4A5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lang w:val="en-NZ" w:eastAsia="en-NZ"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uiPriority="0"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74190F"/>
    <w:rPr>
      <w:rFonts w:ascii="Times New Roman" w:eastAsia="Times New Roman" w:hAnsi="Times New Roman"/>
      <w:lang w:val="en-GB" w:eastAsia="de-DE"/>
    </w:rPr>
  </w:style>
  <w:style w:type="paragraph" w:styleId="Heading1">
    <w:name w:val="heading 1"/>
    <w:aliases w:val="H1,NMP Heading 1"/>
    <w:basedOn w:val="Normal"/>
    <w:next w:val="Normal"/>
    <w:link w:val="Heading1Char"/>
    <w:uiPriority w:val="9"/>
    <w:qFormat/>
    <w:rsid w:val="0074190F"/>
    <w:pPr>
      <w:keepNext/>
      <w:widowControl w:val="0"/>
      <w:numPr>
        <w:numId w:val="1"/>
      </w:numPr>
      <w:tabs>
        <w:tab w:val="left" w:pos="567"/>
      </w:tabs>
      <w:spacing w:before="120" w:after="120" w:line="280" w:lineRule="exact"/>
      <w:outlineLvl w:val="0"/>
    </w:pPr>
    <w:rPr>
      <w:b/>
      <w:kern w:val="28"/>
      <w:sz w:val="28"/>
    </w:rPr>
  </w:style>
  <w:style w:type="paragraph" w:styleId="Heading2">
    <w:name w:val="heading 2"/>
    <w:basedOn w:val="Normal"/>
    <w:next w:val="Normal"/>
    <w:link w:val="Heading2Char"/>
    <w:uiPriority w:val="9"/>
    <w:qFormat/>
    <w:rsid w:val="0074190F"/>
    <w:pPr>
      <w:keepNext/>
      <w:numPr>
        <w:ilvl w:val="1"/>
        <w:numId w:val="1"/>
      </w:numPr>
      <w:spacing w:before="120" w:after="120" w:line="240" w:lineRule="exact"/>
      <w:outlineLvl w:val="1"/>
    </w:pPr>
    <w:rPr>
      <w:b/>
      <w:kern w:val="20"/>
      <w:sz w:val="24"/>
    </w:rPr>
  </w:style>
  <w:style w:type="paragraph" w:styleId="Heading3">
    <w:name w:val="heading 3"/>
    <w:basedOn w:val="Normal"/>
    <w:next w:val="Normal"/>
    <w:link w:val="Heading3Char"/>
    <w:uiPriority w:val="9"/>
    <w:qFormat/>
    <w:rsid w:val="0074190F"/>
    <w:pPr>
      <w:keepNext/>
      <w:numPr>
        <w:ilvl w:val="2"/>
        <w:numId w:val="1"/>
      </w:numPr>
      <w:tabs>
        <w:tab w:val="clear" w:pos="720"/>
        <w:tab w:val="left" w:pos="567"/>
      </w:tabs>
      <w:suppressAutoHyphens/>
      <w:spacing w:before="120" w:after="120" w:line="240" w:lineRule="exact"/>
      <w:ind w:left="567" w:hanging="567"/>
      <w:outlineLvl w:val="2"/>
    </w:pPr>
    <w:rPr>
      <w:sz w:val="24"/>
    </w:rPr>
  </w:style>
  <w:style w:type="paragraph" w:styleId="Heading4">
    <w:name w:val="heading 4"/>
    <w:basedOn w:val="Normal"/>
    <w:next w:val="Normal"/>
    <w:link w:val="Heading4Char"/>
    <w:uiPriority w:val="9"/>
    <w:qFormat/>
    <w:rsid w:val="0074190F"/>
    <w:pPr>
      <w:keepNext/>
      <w:numPr>
        <w:ilvl w:val="3"/>
        <w:numId w:val="1"/>
      </w:numPr>
      <w:spacing w:before="240" w:after="60"/>
      <w:outlineLvl w:val="3"/>
    </w:pPr>
    <w:rPr>
      <w:rFonts w:ascii="Arial" w:hAnsi="Arial"/>
      <w:b/>
      <w:sz w:val="24"/>
    </w:rPr>
  </w:style>
  <w:style w:type="paragraph" w:styleId="Heading5">
    <w:name w:val="heading 5"/>
    <w:basedOn w:val="Normal"/>
    <w:next w:val="Normal"/>
    <w:link w:val="Heading5Char"/>
    <w:uiPriority w:val="9"/>
    <w:qFormat/>
    <w:rsid w:val="0074190F"/>
    <w:pPr>
      <w:numPr>
        <w:ilvl w:val="4"/>
        <w:numId w:val="1"/>
      </w:numPr>
      <w:spacing w:before="240" w:after="60"/>
      <w:outlineLvl w:val="4"/>
    </w:pPr>
    <w:rPr>
      <w:sz w:val="22"/>
    </w:rPr>
  </w:style>
  <w:style w:type="paragraph" w:styleId="Heading6">
    <w:name w:val="heading 6"/>
    <w:basedOn w:val="Normal"/>
    <w:next w:val="Normal"/>
    <w:link w:val="Heading6Char"/>
    <w:uiPriority w:val="9"/>
    <w:qFormat/>
    <w:rsid w:val="0074190F"/>
    <w:pPr>
      <w:numPr>
        <w:ilvl w:val="5"/>
        <w:numId w:val="1"/>
      </w:numPr>
      <w:spacing w:before="240" w:after="60"/>
      <w:outlineLvl w:val="5"/>
    </w:pPr>
    <w:rPr>
      <w:i/>
      <w:sz w:val="22"/>
    </w:rPr>
  </w:style>
  <w:style w:type="paragraph" w:styleId="Heading7">
    <w:name w:val="heading 7"/>
    <w:basedOn w:val="Normal"/>
    <w:next w:val="Normal"/>
    <w:link w:val="Heading7Char"/>
    <w:uiPriority w:val="9"/>
    <w:qFormat/>
    <w:rsid w:val="0074190F"/>
    <w:pPr>
      <w:numPr>
        <w:ilvl w:val="6"/>
        <w:numId w:val="1"/>
      </w:numPr>
      <w:spacing w:before="240" w:after="60"/>
      <w:outlineLvl w:val="6"/>
    </w:pPr>
    <w:rPr>
      <w:rFonts w:ascii="Arial" w:hAnsi="Arial"/>
    </w:rPr>
  </w:style>
  <w:style w:type="paragraph" w:styleId="Heading8">
    <w:name w:val="heading 8"/>
    <w:basedOn w:val="Normal"/>
    <w:next w:val="Normal"/>
    <w:link w:val="Heading8Char"/>
    <w:uiPriority w:val="9"/>
    <w:qFormat/>
    <w:rsid w:val="0074190F"/>
    <w:pPr>
      <w:numPr>
        <w:ilvl w:val="7"/>
        <w:numId w:val="1"/>
      </w:numPr>
      <w:spacing w:before="240" w:after="60"/>
      <w:outlineLvl w:val="7"/>
    </w:pPr>
    <w:rPr>
      <w:rFonts w:ascii="Arial" w:hAnsi="Arial"/>
      <w:i/>
    </w:rPr>
  </w:style>
  <w:style w:type="paragraph" w:styleId="Heading9">
    <w:name w:val="heading 9"/>
    <w:basedOn w:val="Normal"/>
    <w:next w:val="Normal"/>
    <w:link w:val="Heading9Char"/>
    <w:uiPriority w:val="9"/>
    <w:qFormat/>
    <w:rsid w:val="0074190F"/>
    <w:pPr>
      <w:numPr>
        <w:ilvl w:val="8"/>
        <w:numId w:val="1"/>
      </w:numPr>
      <w:spacing w:before="240" w:after="60"/>
      <w:outlineLvl w:val="8"/>
    </w:pPr>
    <w:rPr>
      <w:rFonts w:ascii="Arial" w:hAnsi="Arial"/>
      <w:b/>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1 Char,NMP Heading 1 Char"/>
    <w:link w:val="Heading1"/>
    <w:uiPriority w:val="9"/>
    <w:rsid w:val="0074190F"/>
    <w:rPr>
      <w:b/>
      <w:kern w:val="28"/>
      <w:sz w:val="28"/>
      <w:lang w:val="en-GB" w:eastAsia="de-DE" w:bidi="ar-SA"/>
    </w:rPr>
  </w:style>
  <w:style w:type="character" w:customStyle="1" w:styleId="Heading2Char">
    <w:name w:val="Heading 2 Char"/>
    <w:link w:val="Heading2"/>
    <w:rsid w:val="0074190F"/>
    <w:rPr>
      <w:rFonts w:ascii="Times New Roman" w:eastAsia="Times New Roman" w:hAnsi="Times New Roman" w:cs="Times New Roman"/>
      <w:b/>
      <w:kern w:val="20"/>
      <w:sz w:val="24"/>
      <w:szCs w:val="20"/>
      <w:lang w:val="en-GB" w:eastAsia="de-DE"/>
    </w:rPr>
  </w:style>
  <w:style w:type="character" w:customStyle="1" w:styleId="Heading3Char">
    <w:name w:val="Heading 3 Char"/>
    <w:link w:val="Heading3"/>
    <w:rsid w:val="0074190F"/>
    <w:rPr>
      <w:rFonts w:ascii="Times New Roman" w:eastAsia="Times New Roman" w:hAnsi="Times New Roman" w:cs="Times New Roman"/>
      <w:sz w:val="24"/>
      <w:szCs w:val="20"/>
      <w:lang w:val="en-GB" w:eastAsia="de-DE"/>
    </w:rPr>
  </w:style>
  <w:style w:type="character" w:customStyle="1" w:styleId="Heading4Char">
    <w:name w:val="Heading 4 Char"/>
    <w:link w:val="Heading4"/>
    <w:rsid w:val="0074190F"/>
    <w:rPr>
      <w:rFonts w:ascii="Arial" w:eastAsia="Times New Roman" w:hAnsi="Arial" w:cs="Times New Roman"/>
      <w:b/>
      <w:sz w:val="24"/>
      <w:szCs w:val="20"/>
      <w:lang w:val="en-GB" w:eastAsia="de-DE"/>
    </w:rPr>
  </w:style>
  <w:style w:type="character" w:customStyle="1" w:styleId="Heading5Char">
    <w:name w:val="Heading 5 Char"/>
    <w:link w:val="Heading5"/>
    <w:rsid w:val="0074190F"/>
    <w:rPr>
      <w:rFonts w:ascii="Times New Roman" w:eastAsia="Times New Roman" w:hAnsi="Times New Roman" w:cs="Times New Roman"/>
      <w:szCs w:val="20"/>
      <w:lang w:val="en-GB" w:eastAsia="de-DE"/>
    </w:rPr>
  </w:style>
  <w:style w:type="character" w:customStyle="1" w:styleId="Heading6Char">
    <w:name w:val="Heading 6 Char"/>
    <w:link w:val="Heading6"/>
    <w:rsid w:val="0074190F"/>
    <w:rPr>
      <w:rFonts w:ascii="Times New Roman" w:eastAsia="Times New Roman" w:hAnsi="Times New Roman" w:cs="Times New Roman"/>
      <w:i/>
      <w:szCs w:val="20"/>
      <w:lang w:val="en-GB" w:eastAsia="de-DE"/>
    </w:rPr>
  </w:style>
  <w:style w:type="character" w:customStyle="1" w:styleId="Heading7Char">
    <w:name w:val="Heading 7 Char"/>
    <w:link w:val="Heading7"/>
    <w:rsid w:val="0074190F"/>
    <w:rPr>
      <w:rFonts w:ascii="Arial" w:eastAsia="Times New Roman" w:hAnsi="Arial" w:cs="Times New Roman"/>
      <w:sz w:val="20"/>
      <w:szCs w:val="20"/>
      <w:lang w:val="en-GB" w:eastAsia="de-DE"/>
    </w:rPr>
  </w:style>
  <w:style w:type="character" w:customStyle="1" w:styleId="Heading8Char">
    <w:name w:val="Heading 8 Char"/>
    <w:link w:val="Heading8"/>
    <w:rsid w:val="0074190F"/>
    <w:rPr>
      <w:rFonts w:ascii="Arial" w:eastAsia="Times New Roman" w:hAnsi="Arial" w:cs="Times New Roman"/>
      <w:i/>
      <w:sz w:val="20"/>
      <w:szCs w:val="20"/>
      <w:lang w:val="en-GB" w:eastAsia="de-DE"/>
    </w:rPr>
  </w:style>
  <w:style w:type="character" w:customStyle="1" w:styleId="Heading9Char">
    <w:name w:val="Heading 9 Char"/>
    <w:link w:val="Heading9"/>
    <w:rsid w:val="0074190F"/>
    <w:rPr>
      <w:rFonts w:ascii="Arial" w:eastAsia="Times New Roman" w:hAnsi="Arial" w:cs="Times New Roman"/>
      <w:b/>
      <w:i/>
      <w:sz w:val="18"/>
      <w:szCs w:val="20"/>
      <w:lang w:val="en-GB" w:eastAsia="de-DE"/>
    </w:rPr>
  </w:style>
  <w:style w:type="paragraph" w:styleId="BodyText">
    <w:name w:val="Body Text"/>
    <w:basedOn w:val="Normal"/>
    <w:link w:val="BodyTextChar"/>
    <w:rsid w:val="0074190F"/>
    <w:pPr>
      <w:widowControl w:val="0"/>
      <w:suppressAutoHyphens/>
      <w:spacing w:after="120" w:line="240" w:lineRule="exact"/>
    </w:pPr>
    <w:rPr>
      <w:rFonts w:eastAsia="Times"/>
      <w:kern w:val="20"/>
      <w:sz w:val="24"/>
    </w:rPr>
  </w:style>
  <w:style w:type="character" w:customStyle="1" w:styleId="BodyTextChar">
    <w:name w:val="Body Text Char"/>
    <w:link w:val="BodyText"/>
    <w:rsid w:val="0074190F"/>
    <w:rPr>
      <w:rFonts w:ascii="Times New Roman" w:eastAsia="Times" w:hAnsi="Times New Roman" w:cs="Times New Roman"/>
      <w:kern w:val="20"/>
      <w:sz w:val="24"/>
      <w:szCs w:val="20"/>
      <w:lang w:val="en-GB" w:eastAsia="de-DE"/>
    </w:rPr>
  </w:style>
  <w:style w:type="paragraph" w:styleId="Title">
    <w:name w:val="Title"/>
    <w:basedOn w:val="BodyText"/>
    <w:link w:val="TitleChar"/>
    <w:qFormat/>
    <w:rsid w:val="0074190F"/>
    <w:pPr>
      <w:spacing w:line="280" w:lineRule="exact"/>
      <w:jc w:val="center"/>
      <w:outlineLvl w:val="0"/>
    </w:pPr>
    <w:rPr>
      <w:b/>
      <w:sz w:val="28"/>
    </w:rPr>
  </w:style>
  <w:style w:type="character" w:customStyle="1" w:styleId="TitleChar">
    <w:name w:val="Title Char"/>
    <w:link w:val="Title"/>
    <w:rsid w:val="0074190F"/>
    <w:rPr>
      <w:rFonts w:ascii="Times New Roman" w:eastAsia="Times" w:hAnsi="Times New Roman" w:cs="Times New Roman"/>
      <w:b/>
      <w:kern w:val="20"/>
      <w:sz w:val="28"/>
      <w:szCs w:val="20"/>
      <w:lang w:val="en-GB" w:eastAsia="de-DE"/>
    </w:rPr>
  </w:style>
  <w:style w:type="paragraph" w:customStyle="1" w:styleId="Equation">
    <w:name w:val="Equation"/>
    <w:basedOn w:val="BodyText"/>
    <w:rsid w:val="0074190F"/>
    <w:pPr>
      <w:tabs>
        <w:tab w:val="right" w:pos="9469"/>
      </w:tabs>
      <w:spacing w:before="300" w:after="300"/>
    </w:pPr>
  </w:style>
  <w:style w:type="paragraph" w:customStyle="1" w:styleId="References">
    <w:name w:val="References"/>
    <w:basedOn w:val="BodyText"/>
    <w:rsid w:val="0074190F"/>
    <w:pPr>
      <w:numPr>
        <w:numId w:val="2"/>
      </w:numPr>
    </w:pPr>
  </w:style>
  <w:style w:type="paragraph" w:styleId="Header">
    <w:name w:val="header"/>
    <w:basedOn w:val="Normal"/>
    <w:link w:val="HeaderChar"/>
    <w:rsid w:val="0074190F"/>
    <w:pPr>
      <w:tabs>
        <w:tab w:val="center" w:pos="4153"/>
        <w:tab w:val="right" w:pos="8306"/>
      </w:tabs>
    </w:pPr>
  </w:style>
  <w:style w:type="character" w:customStyle="1" w:styleId="HeaderChar">
    <w:name w:val="Header Char"/>
    <w:link w:val="Header"/>
    <w:rsid w:val="0074190F"/>
    <w:rPr>
      <w:rFonts w:ascii="Times New Roman" w:eastAsia="Times New Roman" w:hAnsi="Times New Roman" w:cs="Times New Roman"/>
      <w:sz w:val="20"/>
      <w:szCs w:val="20"/>
      <w:lang w:val="en-GB" w:eastAsia="de-DE"/>
    </w:rPr>
  </w:style>
  <w:style w:type="paragraph" w:customStyle="1" w:styleId="keywords">
    <w:name w:val="keywords"/>
    <w:basedOn w:val="BodyText"/>
    <w:rsid w:val="0074190F"/>
    <w:pPr>
      <w:spacing w:before="120"/>
      <w:ind w:left="1134" w:hanging="1134"/>
    </w:pPr>
  </w:style>
  <w:style w:type="paragraph" w:styleId="Caption">
    <w:name w:val="caption"/>
    <w:basedOn w:val="Normal"/>
    <w:next w:val="Normal"/>
    <w:qFormat/>
    <w:rsid w:val="0074190F"/>
    <w:pPr>
      <w:overflowPunct w:val="0"/>
      <w:autoSpaceDE w:val="0"/>
      <w:autoSpaceDN w:val="0"/>
      <w:adjustRightInd w:val="0"/>
      <w:spacing w:before="60" w:after="60"/>
      <w:textAlignment w:val="baseline"/>
    </w:pPr>
    <w:rPr>
      <w:sz w:val="18"/>
      <w:lang w:val="en-AU"/>
    </w:rPr>
  </w:style>
  <w:style w:type="paragraph" w:customStyle="1" w:styleId="SummaryHead">
    <w:name w:val="SummaryHead"/>
    <w:basedOn w:val="Normal"/>
    <w:rsid w:val="0074190F"/>
    <w:pPr>
      <w:spacing w:after="120" w:line="280" w:lineRule="exact"/>
    </w:pPr>
    <w:rPr>
      <w:b/>
      <w:sz w:val="28"/>
    </w:rPr>
  </w:style>
  <w:style w:type="paragraph" w:styleId="Footer">
    <w:name w:val="footer"/>
    <w:basedOn w:val="Normal"/>
    <w:link w:val="FooterChar"/>
    <w:rsid w:val="0074190F"/>
    <w:pPr>
      <w:tabs>
        <w:tab w:val="center" w:pos="4536"/>
        <w:tab w:val="right" w:pos="9072"/>
      </w:tabs>
    </w:pPr>
  </w:style>
  <w:style w:type="character" w:customStyle="1" w:styleId="FooterChar">
    <w:name w:val="Footer Char"/>
    <w:link w:val="Footer"/>
    <w:rsid w:val="0074190F"/>
    <w:rPr>
      <w:rFonts w:ascii="Times New Roman" w:eastAsia="Times New Roman" w:hAnsi="Times New Roman" w:cs="Times New Roman"/>
      <w:sz w:val="20"/>
      <w:szCs w:val="20"/>
      <w:lang w:val="en-GB" w:eastAsia="de-DE"/>
    </w:rPr>
  </w:style>
  <w:style w:type="character" w:styleId="PageNumber">
    <w:name w:val="page number"/>
    <w:basedOn w:val="DefaultParagraphFont"/>
    <w:rsid w:val="0074190F"/>
  </w:style>
  <w:style w:type="paragraph" w:styleId="EndnoteText">
    <w:name w:val="endnote text"/>
    <w:basedOn w:val="Normal"/>
    <w:link w:val="EndnoteTextChar"/>
    <w:uiPriority w:val="99"/>
    <w:semiHidden/>
    <w:unhideWhenUsed/>
    <w:rsid w:val="008F3D50"/>
  </w:style>
  <w:style w:type="character" w:customStyle="1" w:styleId="EndnoteTextChar">
    <w:name w:val="Endnote Text Char"/>
    <w:link w:val="EndnoteText"/>
    <w:uiPriority w:val="99"/>
    <w:semiHidden/>
    <w:rsid w:val="008F3D50"/>
    <w:rPr>
      <w:rFonts w:ascii="Times New Roman" w:eastAsia="Times New Roman" w:hAnsi="Times New Roman"/>
      <w:lang w:val="en-GB" w:eastAsia="de-DE"/>
    </w:rPr>
  </w:style>
  <w:style w:type="character" w:styleId="EndnoteReference">
    <w:name w:val="endnote reference"/>
    <w:uiPriority w:val="99"/>
    <w:semiHidden/>
    <w:unhideWhenUsed/>
    <w:rsid w:val="008F3D50"/>
    <w:rPr>
      <w:vertAlign w:val="superscript"/>
    </w:rPr>
  </w:style>
  <w:style w:type="paragraph" w:styleId="FootnoteText">
    <w:name w:val="footnote text"/>
    <w:basedOn w:val="Normal"/>
    <w:link w:val="FootnoteTextChar"/>
    <w:uiPriority w:val="99"/>
    <w:semiHidden/>
    <w:unhideWhenUsed/>
    <w:rsid w:val="008F3D50"/>
  </w:style>
  <w:style w:type="character" w:customStyle="1" w:styleId="FootnoteTextChar">
    <w:name w:val="Footnote Text Char"/>
    <w:link w:val="FootnoteText"/>
    <w:uiPriority w:val="99"/>
    <w:semiHidden/>
    <w:rsid w:val="008F3D50"/>
    <w:rPr>
      <w:rFonts w:ascii="Times New Roman" w:eastAsia="Times New Roman" w:hAnsi="Times New Roman"/>
      <w:lang w:val="en-GB" w:eastAsia="de-DE"/>
    </w:rPr>
  </w:style>
  <w:style w:type="character" w:styleId="FootnoteReference">
    <w:name w:val="footnote reference"/>
    <w:uiPriority w:val="99"/>
    <w:semiHidden/>
    <w:unhideWhenUsed/>
    <w:rsid w:val="008F3D50"/>
    <w:rPr>
      <w:vertAlign w:val="superscript"/>
    </w:rPr>
  </w:style>
  <w:style w:type="paragraph" w:styleId="BalloonText">
    <w:name w:val="Balloon Text"/>
    <w:basedOn w:val="Normal"/>
    <w:link w:val="BalloonTextChar"/>
    <w:uiPriority w:val="99"/>
    <w:semiHidden/>
    <w:unhideWhenUsed/>
    <w:rsid w:val="002C5FED"/>
    <w:rPr>
      <w:rFonts w:ascii="Segoe UI" w:hAnsi="Segoe UI" w:cs="Segoe UI"/>
      <w:sz w:val="18"/>
      <w:szCs w:val="18"/>
    </w:rPr>
  </w:style>
  <w:style w:type="character" w:customStyle="1" w:styleId="BalloonTextChar">
    <w:name w:val="Balloon Text Char"/>
    <w:link w:val="BalloonText"/>
    <w:uiPriority w:val="99"/>
    <w:semiHidden/>
    <w:rsid w:val="002C5FED"/>
    <w:rPr>
      <w:rFonts w:ascii="Segoe UI" w:eastAsia="Times New Roman" w:hAnsi="Segoe UI" w:cs="Segoe UI"/>
      <w:sz w:val="18"/>
      <w:szCs w:val="18"/>
      <w:lang w:val="en-GB" w:eastAsia="de-DE"/>
    </w:rPr>
  </w:style>
  <w:style w:type="character" w:styleId="CommentReference">
    <w:name w:val="annotation reference"/>
    <w:uiPriority w:val="99"/>
    <w:semiHidden/>
    <w:unhideWhenUsed/>
    <w:rsid w:val="005026AE"/>
    <w:rPr>
      <w:sz w:val="16"/>
      <w:szCs w:val="16"/>
    </w:rPr>
  </w:style>
  <w:style w:type="paragraph" w:styleId="CommentText">
    <w:name w:val="annotation text"/>
    <w:basedOn w:val="Normal"/>
    <w:link w:val="CommentTextChar"/>
    <w:uiPriority w:val="99"/>
    <w:unhideWhenUsed/>
    <w:rsid w:val="005026AE"/>
  </w:style>
  <w:style w:type="character" w:customStyle="1" w:styleId="CommentTextChar">
    <w:name w:val="Comment Text Char"/>
    <w:link w:val="CommentText"/>
    <w:uiPriority w:val="99"/>
    <w:rsid w:val="005026AE"/>
    <w:rPr>
      <w:rFonts w:ascii="Times New Roman" w:eastAsia="Times New Roman" w:hAnsi="Times New Roman"/>
      <w:lang w:val="en-GB" w:eastAsia="de-DE"/>
    </w:rPr>
  </w:style>
  <w:style w:type="paragraph" w:styleId="CommentSubject">
    <w:name w:val="annotation subject"/>
    <w:basedOn w:val="CommentText"/>
    <w:next w:val="CommentText"/>
    <w:link w:val="CommentSubjectChar"/>
    <w:uiPriority w:val="99"/>
    <w:semiHidden/>
    <w:unhideWhenUsed/>
    <w:rsid w:val="005026AE"/>
    <w:rPr>
      <w:b/>
      <w:bCs/>
    </w:rPr>
  </w:style>
  <w:style w:type="character" w:customStyle="1" w:styleId="CommentSubjectChar">
    <w:name w:val="Comment Subject Char"/>
    <w:link w:val="CommentSubject"/>
    <w:uiPriority w:val="99"/>
    <w:semiHidden/>
    <w:rsid w:val="005026AE"/>
    <w:rPr>
      <w:rFonts w:ascii="Times New Roman" w:eastAsia="Times New Roman" w:hAnsi="Times New Roman"/>
      <w:b/>
      <w:bCs/>
      <w:lang w:val="en-GB" w:eastAsia="de-DE"/>
    </w:rPr>
  </w:style>
  <w:style w:type="paragraph" w:styleId="NormalWeb">
    <w:name w:val="Normal (Web)"/>
    <w:basedOn w:val="Normal"/>
    <w:uiPriority w:val="99"/>
    <w:semiHidden/>
    <w:unhideWhenUsed/>
    <w:rsid w:val="00D33563"/>
    <w:pPr>
      <w:spacing w:before="100" w:beforeAutospacing="1" w:after="100" w:afterAutospacing="1"/>
    </w:pPr>
    <w:rPr>
      <w:rFonts w:eastAsiaTheme="minorEastAsia"/>
      <w:sz w:val="24"/>
      <w:szCs w:val="24"/>
      <w:lang w:val="en-NZ" w:eastAsia="en-NZ"/>
    </w:rPr>
  </w:style>
  <w:style w:type="paragraph" w:styleId="ListParagraph">
    <w:name w:val="List Paragraph"/>
    <w:basedOn w:val="Normal"/>
    <w:uiPriority w:val="34"/>
    <w:qFormat/>
    <w:rsid w:val="009C5378"/>
    <w:pPr>
      <w:ind w:left="720"/>
      <w:contextualSpacing/>
    </w:pPr>
  </w:style>
  <w:style w:type="table" w:styleId="TableGrid">
    <w:name w:val="Table Grid"/>
    <w:basedOn w:val="TableNormal"/>
    <w:uiPriority w:val="39"/>
    <w:rsid w:val="004C504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dTable2-Accent31">
    <w:name w:val="Grid Table 2 - Accent 31"/>
    <w:basedOn w:val="TableNormal"/>
    <w:uiPriority w:val="47"/>
    <w:rsid w:val="007670D6"/>
    <w:tblPr>
      <w:tblStyleRowBandSize w:val="1"/>
      <w:tblStyleColBandSize w:val="1"/>
      <w:tblBorders>
        <w:top w:val="single" w:sz="2" w:space="0" w:color="C9C9C9" w:themeColor="accent3" w:themeTint="99"/>
        <w:bottom w:val="single" w:sz="2" w:space="0" w:color="C9C9C9" w:themeColor="accent3" w:themeTint="99"/>
        <w:insideH w:val="single" w:sz="2" w:space="0" w:color="C9C9C9" w:themeColor="accent3" w:themeTint="99"/>
        <w:insideV w:val="single" w:sz="2" w:space="0" w:color="C9C9C9" w:themeColor="accent3" w:themeTint="99"/>
      </w:tblBorders>
    </w:tblPr>
    <w:tblStylePr w:type="firstRow">
      <w:rPr>
        <w:b/>
        <w:bCs/>
      </w:rPr>
      <w:tblPr/>
      <w:tcPr>
        <w:tcBorders>
          <w:top w:val="nil"/>
          <w:bottom w:val="single" w:sz="12" w:space="0" w:color="C9C9C9" w:themeColor="accent3" w:themeTint="99"/>
          <w:insideH w:val="nil"/>
          <w:insideV w:val="nil"/>
        </w:tcBorders>
        <w:shd w:val="clear" w:color="auto" w:fill="FFFFFF" w:themeFill="background1"/>
      </w:tcPr>
    </w:tblStylePr>
    <w:tblStylePr w:type="lastRow">
      <w:rPr>
        <w:b/>
        <w:bCs/>
      </w:rPr>
      <w:tblPr/>
      <w:tcPr>
        <w:tcBorders>
          <w:top w:val="double" w:sz="2" w:space="0" w:color="C9C9C9" w:themeColor="accent3"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character" w:styleId="Hyperlink">
    <w:name w:val="Hyperlink"/>
    <w:basedOn w:val="DefaultParagraphFont"/>
    <w:uiPriority w:val="99"/>
    <w:unhideWhenUsed/>
    <w:rsid w:val="00F44727"/>
    <w:rPr>
      <w:color w:val="0563C1" w:themeColor="hyperlink"/>
      <w:u w:val="single"/>
    </w:rPr>
  </w:style>
  <w:style w:type="paragraph" w:customStyle="1" w:styleId="MainText">
    <w:name w:val="MainText"/>
    <w:basedOn w:val="Normal"/>
    <w:link w:val="MainTextTegn"/>
    <w:rsid w:val="00A17583"/>
    <w:pPr>
      <w:spacing w:after="120"/>
      <w:jc w:val="both"/>
    </w:pPr>
    <w:rPr>
      <w:sz w:val="24"/>
      <w:szCs w:val="24"/>
      <w:lang w:val="en-US" w:eastAsia="en-US"/>
    </w:rPr>
  </w:style>
  <w:style w:type="character" w:customStyle="1" w:styleId="MainTextTegn">
    <w:name w:val="MainText Tegn"/>
    <w:link w:val="MainText"/>
    <w:rsid w:val="00A17583"/>
    <w:rPr>
      <w:rFonts w:ascii="Times New Roman" w:eastAsia="Times New Roman" w:hAnsi="Times New Roman"/>
      <w:sz w:val="24"/>
      <w:szCs w:val="24"/>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408649102">
      <w:bodyDiv w:val="1"/>
      <w:marLeft w:val="0"/>
      <w:marRight w:val="0"/>
      <w:marTop w:val="0"/>
      <w:marBottom w:val="0"/>
      <w:divBdr>
        <w:top w:val="none" w:sz="0" w:space="0" w:color="auto"/>
        <w:left w:val="none" w:sz="0" w:space="0" w:color="auto"/>
        <w:bottom w:val="none" w:sz="0" w:space="0" w:color="auto"/>
        <w:right w:val="none" w:sz="0" w:space="0" w:color="auto"/>
      </w:divBdr>
    </w:div>
    <w:div w:id="142838317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png"/><Relationship Id="rId18"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image" Target="media/image1.jpeg"/><Relationship Id="rId17" Type="http://schemas.openxmlformats.org/officeDocument/2006/relationships/image" Target="media/image6.png"/><Relationship Id="rId2" Type="http://schemas.openxmlformats.org/officeDocument/2006/relationships/customXml" Target="../customXml/item2.xml"/><Relationship Id="rId16" Type="http://schemas.openxmlformats.org/officeDocument/2006/relationships/image" Target="media/image5.pn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yia@civil.aau.dk" TargetMode="External"/><Relationship Id="rId5" Type="http://schemas.openxmlformats.org/officeDocument/2006/relationships/numbering" Target="numbering.xml"/><Relationship Id="rId15" Type="http://schemas.openxmlformats.org/officeDocument/2006/relationships/image" Target="media/image4.png"/><Relationship Id="rId10" Type="http://schemas.openxmlformats.org/officeDocument/2006/relationships/endnotes" Target="endnotes.xml"/><Relationship Id="rId19"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ct:contentTypeSchema xmlns:ct="http://schemas.microsoft.com/office/2006/metadata/contentType" xmlns:ma="http://schemas.microsoft.com/office/2006/metadata/properties/metaAttributes" ct:_="" ma:_="" ma:contentTypeName="Dokument" ma:contentTypeID="0x0101001A0558F238722E4A87858A261B385A9A" ma:contentTypeVersion="13" ma:contentTypeDescription="Opret et nyt dokument." ma:contentTypeScope="" ma:versionID="70016bd7a82c1904fe97eca93c893e37">
  <xsd:schema xmlns:xsd="http://www.w3.org/2001/XMLSchema" xmlns:xs="http://www.w3.org/2001/XMLSchema" xmlns:p="http://schemas.microsoft.com/office/2006/metadata/properties" xmlns:ns3="93de73cf-449c-470b-a45d-fc882adeee99" xmlns:ns4="5d1b4fd4-c07b-4c84-89e3-bdde29d7bf6f" targetNamespace="http://schemas.microsoft.com/office/2006/metadata/properties" ma:root="true" ma:fieldsID="fb73c99fe4e96f7da02fe3abcfbf279f" ns3:_="" ns4:_="">
    <xsd:import namespace="93de73cf-449c-470b-a45d-fc882adeee99"/>
    <xsd:import namespace="5d1b4fd4-c07b-4c84-89e3-bdde29d7bf6f"/>
    <xsd:element name="properties">
      <xsd:complexType>
        <xsd:sequence>
          <xsd:element name="documentManagement">
            <xsd:complexType>
              <xsd:all>
                <xsd:element ref="ns3:MediaServiceMetadata" minOccurs="0"/>
                <xsd:element ref="ns3:MediaServiceFastMetadata" minOccurs="0"/>
                <xsd:element ref="ns3:MediaServiceAutoTags" minOccurs="0"/>
                <xsd:element ref="ns3:MediaServiceDateTaken" minOccurs="0"/>
                <xsd:element ref="ns3:MediaServiceLocation" minOccurs="0"/>
                <xsd:element ref="ns3:MediaServiceOCR" minOccurs="0"/>
                <xsd:element ref="ns4:SharedWithUsers" minOccurs="0"/>
                <xsd:element ref="ns4:SharedWithDetails" minOccurs="0"/>
                <xsd:element ref="ns4:SharingHintHash" minOccurs="0"/>
                <xsd:element ref="ns3:MediaServiceGenerationTime" minOccurs="0"/>
                <xsd:element ref="ns3:MediaServiceEventHashCode" minOccurs="0"/>
                <xsd:element ref="ns3:MediaServiceAutoKeyPoints" minOccurs="0"/>
                <xsd:element ref="ns3: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3de73cf-449c-470b-a45d-fc882adeee99" elementFormDefault="qualified">
    <xsd:import namespace="http://schemas.microsoft.com/office/2006/documentManagement/types"/>
    <xsd:import namespace="http://schemas.microsoft.com/office/infopath/2007/PartnerControls"/>
    <xsd:element name="MediaServiceMetadata" ma:index="8" nillable="true" ma:displayName="MediaServiceMetadata" ma:description="" ma:hidden="true" ma:internalName="MediaServiceMetadata" ma:readOnly="true">
      <xsd:simpleType>
        <xsd:restriction base="dms:Note"/>
      </xsd:simpleType>
    </xsd:element>
    <xsd:element name="MediaServiceFastMetadata" ma:index="9" nillable="true" ma:displayName="MediaServiceFastMetadata" ma:description="" ma:hidden="true" ma:internalName="MediaServiceFastMetadata" ma:readOnly="true">
      <xsd:simpleType>
        <xsd:restriction base="dms:Note"/>
      </xsd:simpleType>
    </xsd:element>
    <xsd:element name="MediaServiceAutoTags" ma:index="10" nillable="true" ma:displayName="MediaServiceAutoTags" ma:description="" ma:internalName="MediaServiceAutoTags" ma:readOnly="true">
      <xsd:simpleType>
        <xsd:restriction base="dms:Text"/>
      </xsd:simpleType>
    </xsd:element>
    <xsd:element name="MediaServiceDateTaken" ma:index="11" nillable="true" ma:displayName="MediaServiceDateTaken" ma:description="" ma:hidden="true" ma:internalName="MediaServiceDateTaken" ma:readOnly="true">
      <xsd:simpleType>
        <xsd:restriction base="dms:Text"/>
      </xsd:simpleType>
    </xsd:element>
    <xsd:element name="MediaServiceLocation" ma:index="12" nillable="true" ma:displayName="MediaServiceLocation" ma:description="" ma:internalName="MediaServiceLocation" ma:readOnly="true">
      <xsd:simpleType>
        <xsd:restriction base="dms:Text"/>
      </xsd:simpleType>
    </xsd:element>
    <xsd:element name="MediaServiceOCR" ma:index="13" nillable="true" ma:displayName="MediaServiceOCR"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AutoKeyPoints" ma:index="19" nillable="true" ma:displayName="MediaServiceAutoKeyPoints" ma:hidden="true" ma:internalName="MediaServiceAutoKeyPoints" ma:readOnly="true">
      <xsd:simpleType>
        <xsd:restriction base="dms:Note"/>
      </xsd:simpleType>
    </xsd:element>
    <xsd:element name="MediaServiceKeyPoints" ma:index="20"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5d1b4fd4-c07b-4c84-89e3-bdde29d7bf6f" elementFormDefault="qualified">
    <xsd:import namespace="http://schemas.microsoft.com/office/2006/documentManagement/types"/>
    <xsd:import namespace="http://schemas.microsoft.com/office/infopath/2007/PartnerControls"/>
    <xsd:element name="SharedWithUsers" ma:index="14" nillable="true" ma:displayName="Delt med"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Delt med detaljer" ma:internalName="SharedWithDetails" ma:readOnly="true">
      <xsd:simpleType>
        <xsd:restriction base="dms:Note">
          <xsd:maxLength value="255"/>
        </xsd:restriction>
      </xsd:simpleType>
    </xsd:element>
    <xsd:element name="SharingHintHash" ma:index="16" nillable="true" ma:displayName="Hashværdi for deling"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dhol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BB6DB9D-9142-435E-9D2C-95B5FBD83D21}">
  <ds:schemaRefs>
    <ds:schemaRef ds:uri="http://schemas.microsoft.com/sharepoint/v3/contenttype/forms"/>
  </ds:schemaRefs>
</ds:datastoreItem>
</file>

<file path=customXml/itemProps2.xml><?xml version="1.0" encoding="utf-8"?>
<ds:datastoreItem xmlns:ds="http://schemas.openxmlformats.org/officeDocument/2006/customXml" ds:itemID="{57920F12-196C-4A9E-852F-43D7A55FA916}">
  <ds:schemaRefs>
    <ds:schemaRef ds:uri="http://purl.org/dc/terms/"/>
    <ds:schemaRef ds:uri="93de73cf-449c-470b-a45d-fc882adeee99"/>
    <ds:schemaRef ds:uri="http://schemas.microsoft.com/office/2006/documentManagement/types"/>
    <ds:schemaRef ds:uri="http://schemas.microsoft.com/office/infopath/2007/PartnerControls"/>
    <ds:schemaRef ds:uri="http://purl.org/dc/elements/1.1/"/>
    <ds:schemaRef ds:uri="http://schemas.microsoft.com/office/2006/metadata/properties"/>
    <ds:schemaRef ds:uri="http://schemas.openxmlformats.org/package/2006/metadata/core-properties"/>
    <ds:schemaRef ds:uri="5d1b4fd4-c07b-4c84-89e3-bdde29d7bf6f"/>
    <ds:schemaRef ds:uri="http://www.w3.org/XML/1998/namespace"/>
    <ds:schemaRef ds:uri="http://purl.org/dc/dcmitype/"/>
  </ds:schemaRefs>
</ds:datastoreItem>
</file>

<file path=customXml/itemProps3.xml><?xml version="1.0" encoding="utf-8"?>
<ds:datastoreItem xmlns:ds="http://schemas.openxmlformats.org/officeDocument/2006/customXml" ds:itemID="{4D0AD2E7-707B-4424-8AE9-A72C692E216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3de73cf-449c-470b-a45d-fc882adeee99"/>
    <ds:schemaRef ds:uri="5d1b4fd4-c07b-4c84-89e3-bdde29d7bf6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FD49CA83-696D-4DDF-9187-7A66834E666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60</TotalTime>
  <Pages>10</Pages>
  <Words>8579</Words>
  <Characters>48904</Characters>
  <Application>Microsoft Office Word</Application>
  <DocSecurity>0</DocSecurity>
  <Lines>407</Lines>
  <Paragraphs>114</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Formatting guidelines for manuscripts for the</vt:lpstr>
      <vt:lpstr>Formatting guidelines for manuscripts for the</vt:lpstr>
    </vt:vector>
  </TitlesOfParts>
  <Company>Economic Forum</Company>
  <LinksUpToDate>false</LinksUpToDate>
  <CharactersWithSpaces>57369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Formatting guidelines for manuscripts for the</dc:title>
  <dc:subject>Formatting guidelines Energy Forum</dc:subject>
  <dc:creator>Economic Forum</dc:creator>
  <cp:lastModifiedBy>Yovko Ivanov Antonov</cp:lastModifiedBy>
  <cp:revision>9</cp:revision>
  <cp:lastPrinted>2020-08-31T11:05:00Z</cp:lastPrinted>
  <dcterms:created xsi:type="dcterms:W3CDTF">2020-08-31T09:52:00Z</dcterms:created>
  <dcterms:modified xsi:type="dcterms:W3CDTF">2020-11-11T17:34:00Z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0x0101001A0558F238722E4A87858A261B385A9A</vt:lpwstr>
  </property>
  <property fmtid="{D5CDD505-2E9C-101B-9397-08002B2CF9AE}" pid="3" name="Mendeley Recent Style Id 0_1">
    <vt:lpwstr>http://www.zotero.org/styles/apa</vt:lpwstr>
  </property>
  <property fmtid="{D5CDD505-2E9C-101B-9397-08002B2CF9AE}" pid="4" name="Mendeley Recent Style Name 0_1">
    <vt:lpwstr>American Psychological Association 6th edition</vt:lpwstr>
  </property>
  <property fmtid="{D5CDD505-2E9C-101B-9397-08002B2CF9AE}" pid="5" name="Mendeley Recent Style Id 1_1">
    <vt:lpwstr>http://www.zotero.org/styles/buildings</vt:lpwstr>
  </property>
  <property fmtid="{D5CDD505-2E9C-101B-9397-08002B2CF9AE}" pid="6" name="Mendeley Recent Style Name 1_1">
    <vt:lpwstr>Buildings</vt:lpwstr>
  </property>
  <property fmtid="{D5CDD505-2E9C-101B-9397-08002B2CF9AE}" pid="7" name="Mendeley Recent Style Id 2_1">
    <vt:lpwstr>http://www.zotero.org/styles/chicago-author-date</vt:lpwstr>
  </property>
  <property fmtid="{D5CDD505-2E9C-101B-9397-08002B2CF9AE}" pid="8" name="Mendeley Recent Style Name 2_1">
    <vt:lpwstr>Chicago Manual of Style 17th edition (author-date)</vt:lpwstr>
  </property>
  <property fmtid="{D5CDD505-2E9C-101B-9397-08002B2CF9AE}" pid="9" name="Mendeley Recent Style Id 3_1">
    <vt:lpwstr>http://www.zotero.org/styles/construction-and-building-materials</vt:lpwstr>
  </property>
  <property fmtid="{D5CDD505-2E9C-101B-9397-08002B2CF9AE}" pid="10" name="Mendeley Recent Style Name 3_1">
    <vt:lpwstr>Construction and Building Materials</vt:lpwstr>
  </property>
  <property fmtid="{D5CDD505-2E9C-101B-9397-08002B2CF9AE}" pid="11" name="Mendeley Recent Style Id 4_1">
    <vt:lpwstr>http://www.zotero.org/styles/energy-and-buildings</vt:lpwstr>
  </property>
  <property fmtid="{D5CDD505-2E9C-101B-9397-08002B2CF9AE}" pid="12" name="Mendeley Recent Style Name 4_1">
    <vt:lpwstr>Energy &amp; Buildings</vt:lpwstr>
  </property>
  <property fmtid="{D5CDD505-2E9C-101B-9397-08002B2CF9AE}" pid="13" name="Mendeley Recent Style Id 5_1">
    <vt:lpwstr>http://www.zotero.org/styles/harvard1</vt:lpwstr>
  </property>
  <property fmtid="{D5CDD505-2E9C-101B-9397-08002B2CF9AE}" pid="14" name="Mendeley Recent Style Name 5_1">
    <vt:lpwstr>Harvard reference format 1 (deprecated)</vt:lpwstr>
  </property>
  <property fmtid="{D5CDD505-2E9C-101B-9397-08002B2CF9AE}" pid="15" name="Mendeley Recent Style Id 6_1">
    <vt:lpwstr>http://www.zotero.org/styles/ieee</vt:lpwstr>
  </property>
  <property fmtid="{D5CDD505-2E9C-101B-9397-08002B2CF9AE}" pid="16" name="Mendeley Recent Style Name 6_1">
    <vt:lpwstr>IEEE</vt:lpwstr>
  </property>
  <property fmtid="{D5CDD505-2E9C-101B-9397-08002B2CF9AE}" pid="17" name="Mendeley Recent Style Id 7_1">
    <vt:lpwstr>http://www.zotero.org/styles/modern-humanities-research-association</vt:lpwstr>
  </property>
  <property fmtid="{D5CDD505-2E9C-101B-9397-08002B2CF9AE}" pid="18" name="Mendeley Recent Style Name 7_1">
    <vt:lpwstr>Modern Humanities Research Association 3rd edition (note with bibliography)</vt:lpwstr>
  </property>
  <property fmtid="{D5CDD505-2E9C-101B-9397-08002B2CF9AE}" pid="19" name="Mendeley Recent Style Id 8_1">
    <vt:lpwstr>http://www.zotero.org/styles/modern-language-association</vt:lpwstr>
  </property>
  <property fmtid="{D5CDD505-2E9C-101B-9397-08002B2CF9AE}" pid="20" name="Mendeley Recent Style Name 8_1">
    <vt:lpwstr>Modern Language Association 8th edition</vt:lpwstr>
  </property>
  <property fmtid="{D5CDD505-2E9C-101B-9397-08002B2CF9AE}" pid="21" name="Mendeley Recent Style Id 9_1">
    <vt:lpwstr>http://www.zotero.org/styles/nature</vt:lpwstr>
  </property>
  <property fmtid="{D5CDD505-2E9C-101B-9397-08002B2CF9AE}" pid="22" name="Mendeley Recent Style Name 9_1">
    <vt:lpwstr>Nature</vt:lpwstr>
  </property>
  <property fmtid="{D5CDD505-2E9C-101B-9397-08002B2CF9AE}" pid="23" name="Mendeley Document_1">
    <vt:lpwstr>True</vt:lpwstr>
  </property>
  <property fmtid="{D5CDD505-2E9C-101B-9397-08002B2CF9AE}" pid="24" name="Mendeley Unique User Id_1">
    <vt:lpwstr>aac62a5b-5353-3f92-a306-d1fffbc7f91d</vt:lpwstr>
  </property>
  <property fmtid="{D5CDD505-2E9C-101B-9397-08002B2CF9AE}" pid="25" name="Mendeley Citation Style_1">
    <vt:lpwstr>http://www.zotero.org/styles/energy-and-buildings</vt:lpwstr>
  </property>
</Properties>
</file>