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8" w:lineRule="exact"/>
        <w:rPr>
          <w:sz w:val="24"/>
          <w:szCs w:val="24"/>
          <w:color w:val="auto"/>
        </w:rPr>
      </w:pPr>
    </w:p>
    <w:p>
      <w:pPr>
        <w:spacing w:after="0" w:line="349" w:lineRule="auto"/>
        <w:rPr>
          <w:sz w:val="20"/>
          <w:szCs w:val="20"/>
          <w:color w:val="auto"/>
        </w:rPr>
      </w:pPr>
      <w:r>
        <w:rPr>
          <w:rFonts w:ascii="Times New Roman" w:cs="Times New Roman" w:eastAsia="Times New Roman" w:hAnsi="Times New Roman"/>
          <w:sz w:val="28"/>
          <w:szCs w:val="28"/>
          <w:b w:val="1"/>
          <w:bCs w:val="1"/>
          <w:color w:val="auto"/>
        </w:rPr>
        <w:t>Prolong school closure in Bangladesh due to the COVID-19: possible consequences and recommendations for school-going students</w:t>
      </w:r>
    </w:p>
    <w:p>
      <w:pPr>
        <w:spacing w:after="0" w:line="17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Humayun Kabir</w:t>
      </w:r>
      <w:r>
        <w:rPr>
          <w:rFonts w:ascii="Times New Roman" w:cs="Times New Roman" w:eastAsia="Times New Roman" w:hAnsi="Times New Roman"/>
          <w:sz w:val="27"/>
          <w:szCs w:val="27"/>
          <w:color w:val="auto"/>
          <w:vertAlign w:val="superscript"/>
        </w:rPr>
        <w:t>1,3</w:t>
      </w:r>
      <w:r>
        <w:rPr>
          <w:rFonts w:ascii="Times New Roman" w:cs="Times New Roman" w:eastAsia="Times New Roman" w:hAnsi="Times New Roman"/>
          <w:sz w:val="22"/>
          <w:szCs w:val="22"/>
          <w:color w:val="auto"/>
        </w:rPr>
        <w:t>, Md. Kamrul Hasan</w:t>
      </w:r>
      <w:r>
        <w:rPr>
          <w:rFonts w:ascii="Times New Roman" w:cs="Times New Roman" w:eastAsia="Times New Roman" w:hAnsi="Times New Roman"/>
          <w:sz w:val="27"/>
          <w:szCs w:val="27"/>
          <w:color w:val="auto"/>
          <w:vertAlign w:val="superscript"/>
        </w:rPr>
        <w:t>1, 2*</w:t>
      </w:r>
    </w:p>
    <w:p>
      <w:pPr>
        <w:spacing w:after="0" w:line="227" w:lineRule="exact"/>
        <w:rPr>
          <w:sz w:val="24"/>
          <w:szCs w:val="24"/>
          <w:color w:val="auto"/>
        </w:rPr>
      </w:pPr>
    </w:p>
    <w:p>
      <w:pPr>
        <w:spacing w:after="0"/>
        <w:rPr>
          <w:sz w:val="20"/>
          <w:szCs w:val="20"/>
          <w:color w:val="auto"/>
        </w:rPr>
      </w:pPr>
      <w:r>
        <w:rPr>
          <w:rFonts w:ascii="Times New Roman" w:cs="Times New Roman" w:eastAsia="Times New Roman" w:hAnsi="Times New Roman"/>
          <w:sz w:val="27"/>
          <w:szCs w:val="27"/>
          <w:color w:val="auto"/>
          <w:vertAlign w:val="superscript"/>
        </w:rPr>
        <w:t>1</w:t>
      </w:r>
      <w:r>
        <w:rPr>
          <w:rFonts w:ascii="Times New Roman" w:cs="Times New Roman" w:eastAsia="Times New Roman" w:hAnsi="Times New Roman"/>
          <w:sz w:val="22"/>
          <w:szCs w:val="22"/>
          <w:color w:val="auto"/>
        </w:rPr>
        <w:t>Department of Public Health, North South University, Dhaka, Bangladesh</w:t>
      </w:r>
    </w:p>
    <w:p>
      <w:pPr>
        <w:spacing w:after="0" w:line="227" w:lineRule="exact"/>
        <w:rPr>
          <w:sz w:val="24"/>
          <w:szCs w:val="24"/>
          <w:color w:val="auto"/>
        </w:rPr>
      </w:pPr>
    </w:p>
    <w:p>
      <w:pPr>
        <w:jc w:val="both"/>
        <w:spacing w:after="0" w:line="311" w:lineRule="auto"/>
        <w:rPr>
          <w:sz w:val="20"/>
          <w:szCs w:val="20"/>
          <w:color w:val="auto"/>
        </w:rPr>
      </w:pPr>
      <w:r>
        <w:rPr>
          <w:rFonts w:ascii="Times New Roman" w:cs="Times New Roman" w:eastAsia="Times New Roman" w:hAnsi="Times New Roman"/>
          <w:sz w:val="27"/>
          <w:szCs w:val="27"/>
          <w:color w:val="auto"/>
          <w:vertAlign w:val="superscript"/>
        </w:rPr>
        <w:t>2</w:t>
      </w:r>
      <w:r>
        <w:rPr>
          <w:rFonts w:ascii="Times New Roman" w:cs="Times New Roman" w:eastAsia="Times New Roman" w:hAnsi="Times New Roman"/>
          <w:sz w:val="22"/>
          <w:szCs w:val="22"/>
          <w:color w:val="auto"/>
        </w:rPr>
        <w:t>Department of Biochemistry and Molecular Biology, Tejgaon College, National University of Bangladesh, Gazipur- 1704, Bangladesh.</w:t>
      </w:r>
    </w:p>
    <w:p>
      <w:pPr>
        <w:spacing w:after="0" w:line="192" w:lineRule="exact"/>
        <w:rPr>
          <w:sz w:val="24"/>
          <w:szCs w:val="24"/>
          <w:color w:val="auto"/>
        </w:rPr>
      </w:pPr>
    </w:p>
    <w:p>
      <w:pPr>
        <w:jc w:val="both"/>
        <w:spacing w:after="0" w:line="311" w:lineRule="auto"/>
        <w:rPr>
          <w:sz w:val="20"/>
          <w:szCs w:val="20"/>
          <w:color w:val="auto"/>
        </w:rPr>
      </w:pPr>
      <w:r>
        <w:rPr>
          <w:rFonts w:ascii="Times New Roman" w:cs="Times New Roman" w:eastAsia="Times New Roman" w:hAnsi="Times New Roman"/>
          <w:sz w:val="27"/>
          <w:szCs w:val="27"/>
          <w:color w:val="auto"/>
          <w:vertAlign w:val="superscript"/>
        </w:rPr>
        <w:t>3</w:t>
      </w:r>
      <w:r>
        <w:rPr>
          <w:rFonts w:ascii="Times New Roman" w:cs="Times New Roman" w:eastAsia="Times New Roman" w:hAnsi="Times New Roman"/>
          <w:sz w:val="22"/>
          <w:szCs w:val="22"/>
          <w:color w:val="auto"/>
        </w:rPr>
        <w:t>Centre for Health Innovation, Networking, Training, Action and Research- Bangladesh, Dhaka, Bangladesh</w:t>
      </w:r>
    </w:p>
    <w:p>
      <w:pPr>
        <w:spacing w:after="0" w:line="200" w:lineRule="exact"/>
        <w:rPr>
          <w:sz w:val="24"/>
          <w:szCs w:val="24"/>
          <w:color w:val="auto"/>
        </w:rPr>
      </w:pPr>
    </w:p>
    <w:p>
      <w:pPr>
        <w:spacing w:after="0" w:line="200" w:lineRule="exact"/>
        <w:rPr>
          <w:sz w:val="24"/>
          <w:szCs w:val="24"/>
          <w:color w:val="auto"/>
        </w:rPr>
      </w:pPr>
    </w:p>
    <w:p>
      <w:pPr>
        <w:spacing w:after="0" w:line="336" w:lineRule="exact"/>
        <w:rPr>
          <w:sz w:val="24"/>
          <w:szCs w:val="24"/>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 xml:space="preserve">*Corresponding author: Md. Kamrul Hasan; Email: </w:t>
      </w:r>
      <w:hyperlink r:id="rId8">
        <w:r>
          <w:rPr>
            <w:rFonts w:ascii="Times New Roman" w:cs="Times New Roman" w:eastAsia="Times New Roman" w:hAnsi="Times New Roman"/>
            <w:sz w:val="22"/>
            <w:szCs w:val="22"/>
            <w:color w:val="auto"/>
          </w:rPr>
          <w:t>kamrul.hasan11@northosouth.edu</w:t>
        </w:r>
      </w:hyperlink>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20" w:lineRule="exact"/>
        <w:rPr>
          <w:sz w:val="24"/>
          <w:szCs w:val="24"/>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Abstract</w:t>
      </w:r>
    </w:p>
    <w:p>
      <w:pPr>
        <w:spacing w:after="0" w:line="331" w:lineRule="exact"/>
        <w:rPr>
          <w:sz w:val="24"/>
          <w:szCs w:val="24"/>
          <w:color w:val="auto"/>
        </w:rPr>
      </w:pPr>
    </w:p>
    <w:p>
      <w:pPr>
        <w:jc w:val="both"/>
        <w:spacing w:after="0" w:line="359" w:lineRule="auto"/>
        <w:rPr>
          <w:sz w:val="20"/>
          <w:szCs w:val="20"/>
          <w:color w:val="auto"/>
        </w:rPr>
      </w:pPr>
      <w:r>
        <w:rPr>
          <w:rFonts w:ascii="Times New Roman" w:cs="Times New Roman" w:eastAsia="Times New Roman" w:hAnsi="Times New Roman"/>
          <w:sz w:val="24"/>
          <w:szCs w:val="24"/>
          <w:color w:val="auto"/>
        </w:rPr>
        <w:t>The pandemic of COVID-19 took more lives than any pandemic ever, where non-pharmacological preventive interventions like lockdown, school closure, and travel ban, hygiene practice, especially social distancing was hugely practices over the world. Although, with limited resources, these interventions put the education system of a developing country like Bangladesh in an extreme challenge in delivering an uninterrupted education for all children especially in rural areas, wherein the rural area a significant number of students are enrolled. However, school closure initiative for a longer period has affected the children physically, mentally, socially, and in many ways. Protecting the future of the children demands the reopening. The reopening of schools has been started in many countries all over the world. To minimize the impact of the pandemic among them, the policymakers in Bangladesh should think about an evidence-based initiative as early as possible.</w:t>
      </w:r>
    </w:p>
    <w:p>
      <w:pPr>
        <w:spacing w:after="0" w:line="174" w:lineRule="exact"/>
        <w:rPr>
          <w:sz w:val="24"/>
          <w:szCs w:val="24"/>
          <w:color w:val="auto"/>
        </w:rPr>
      </w:pPr>
    </w:p>
    <w:p>
      <w:pPr>
        <w:spacing w:after="0" w:line="352" w:lineRule="auto"/>
        <w:rPr>
          <w:sz w:val="20"/>
          <w:szCs w:val="20"/>
          <w:color w:val="auto"/>
        </w:rPr>
      </w:pPr>
      <w:r>
        <w:rPr>
          <w:rFonts w:ascii="Times New Roman" w:cs="Times New Roman" w:eastAsia="Times New Roman" w:hAnsi="Times New Roman"/>
          <w:sz w:val="24"/>
          <w:szCs w:val="24"/>
          <w:b w:val="1"/>
          <w:bCs w:val="1"/>
          <w:color w:val="auto"/>
        </w:rPr>
        <w:t xml:space="preserve">Keywords: </w:t>
      </w:r>
      <w:r>
        <w:rPr>
          <w:rFonts w:ascii="Times New Roman" w:cs="Times New Roman" w:eastAsia="Times New Roman" w:hAnsi="Times New Roman"/>
          <w:sz w:val="24"/>
          <w:szCs w:val="24"/>
          <w:color w:val="auto"/>
        </w:rPr>
        <w:t>COVID-19, school closure, mental health of child, policy making, reopening of</w:t>
      </w:r>
      <w:r>
        <w:rPr>
          <w:rFonts w:ascii="Times New Roman" w:cs="Times New Roman" w:eastAsia="Times New Roman" w:hAnsi="Times New Roman"/>
          <w:sz w:val="24"/>
          <w:szCs w:val="24"/>
          <w:b w:val="1"/>
          <w:bCs w:val="1"/>
          <w:color w:val="auto"/>
        </w:rPr>
        <w:t xml:space="preserve"> </w:t>
      </w:r>
      <w:r>
        <w:rPr>
          <w:rFonts w:ascii="Times New Roman" w:cs="Times New Roman" w:eastAsia="Times New Roman" w:hAnsi="Times New Roman"/>
          <w:sz w:val="24"/>
          <w:szCs w:val="24"/>
          <w:color w:val="auto"/>
        </w:rPr>
        <w:t>school</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2" w:lineRule="exact"/>
        <w:rPr>
          <w:sz w:val="24"/>
          <w:szCs w:val="24"/>
          <w:color w:val="auto"/>
        </w:rPr>
      </w:pPr>
    </w:p>
    <w:p>
      <w:pPr>
        <w:ind w:left="9260"/>
        <w:spacing w:after="0"/>
        <w:rPr>
          <w:sz w:val="20"/>
          <w:szCs w:val="20"/>
          <w:color w:val="auto"/>
        </w:rPr>
      </w:pPr>
      <w:r>
        <w:rPr>
          <w:rFonts w:ascii="Times New Roman" w:cs="Times New Roman" w:eastAsia="Times New Roman" w:hAnsi="Times New Roman"/>
          <w:sz w:val="20"/>
          <w:szCs w:val="20"/>
          <w:color w:val="auto"/>
        </w:rPr>
        <w:t>1</w:t>
      </w:r>
    </w:p>
    <w:p>
      <w:pPr>
        <w:sectPr>
          <w:pgSz w:w="12240" w:h="15840" w:orient="portrait"/>
          <w:cols w:equalWidth="0" w:num="1">
            <w:col w:w="9360"/>
          </w:cols>
          <w:pgMar w:left="1440" w:top="1440" w:right="1440" w:bottom="772" w:gutter="0" w:footer="0" w:header="0"/>
        </w:sectPr>
      </w:pPr>
    </w:p>
    <w:bookmarkStart w:id="1" w:name="page2"/>
    <w:bookmarkEnd w:id="1"/>
    <w:p>
      <w:pPr>
        <w:spacing w:after="0"/>
        <w:rPr>
          <w:sz w:val="20"/>
          <w:szCs w:val="20"/>
          <w:color w:val="auto"/>
        </w:rPr>
      </w:pPr>
      <w:r>
        <w:rPr>
          <w:rFonts w:ascii="Times New Roman" w:cs="Times New Roman" w:eastAsia="Times New Roman" w:hAnsi="Times New Roman"/>
          <w:sz w:val="28"/>
          <w:szCs w:val="28"/>
          <w:b w:val="1"/>
          <w:bCs w:val="1"/>
          <w:color w:val="auto"/>
        </w:rPr>
        <w:t>Introduction</w:t>
      </w:r>
    </w:p>
    <w:p>
      <w:pPr>
        <w:spacing w:after="0" w:line="331"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The severe acute respiratory syndrome coronavirus-2 (SARS-CoV-2) causes novel coronavirus disease-19 (COVID- 19) that has become a global disquiet since the World Health Organization declared it as a pandemic on March 11, 2020 [1]. As of November 23, 2020, more than 59,041,571 positive cases and 1,394,617 death due to COVID-19 have been reported in 218 countries and territories [2]. Bangladesh reported COVID-19 first case on March 8, 2020 [3] then after the curve was started rising whereas of November 23, 2020, the total cases reported 447341 and deaths were 6388 [4].</w:t>
      </w:r>
    </w:p>
    <w:p>
      <w:pPr>
        <w:spacing w:after="0" w:line="177"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All educational institutions declared to close on 18 March 2020, emphasizing physical distancing and stabilizing the spread of the virus, resulting in 42 million students forced to get out of school attending face-to-face classroom education though some of them come to contact with the online class for the first time in Bangladesh [5]. Although evidence suggested online learning activities hampered by many obstacles like lack of advanced technology, internet cost, skills, and extra time consumption of parents and teachers [6].</w:t>
      </w:r>
    </w:p>
    <w:p>
      <w:pPr>
        <w:spacing w:after="0" w:line="183"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An estimated 21.6 million primary and 13 million secondary school going students are enrolled, where 76% of secondary schools and roughly 60% of primary schools are situated in the rural area [7]. Most of the school-going children of Bangladesh especially in the rural areas have poor online class infrastructures. According to BTRC (Bangladesh Telecommunication Regulatory Commission), there 160 million people in Bangladesh, but only 100 million can access the internet, where 95.16 million people have to get internet access through mobile phone [8]. Only 5.6% household affords computer [9] and about 54 % and 59% of rural households don’t have any internet access and smartphone access [10]. The other constraints regarding online class conduction include lack of trained and experienced teachers [5] devices, electricity [11], etc. resulting in a highly skewed interactive class between urban vs rural schools, poor versus rich around the country [12] [11].</w:t>
      </w:r>
    </w:p>
    <w:p>
      <w:pPr>
        <w:spacing w:after="0" w:line="187" w:lineRule="exact"/>
        <w:rPr>
          <w:sz w:val="20"/>
          <w:szCs w:val="20"/>
          <w:color w:val="auto"/>
        </w:rPr>
      </w:pPr>
    </w:p>
    <w:p>
      <w:pPr>
        <w:jc w:val="both"/>
        <w:spacing w:after="0" w:line="356" w:lineRule="auto"/>
        <w:rPr>
          <w:sz w:val="20"/>
          <w:szCs w:val="20"/>
          <w:color w:val="auto"/>
        </w:rPr>
      </w:pPr>
      <w:r>
        <w:rPr>
          <w:rFonts w:ascii="Times New Roman" w:cs="Times New Roman" w:eastAsia="Times New Roman" w:hAnsi="Times New Roman"/>
          <w:sz w:val="24"/>
          <w:szCs w:val="24"/>
          <w:color w:val="auto"/>
        </w:rPr>
        <w:t>Along with the prolongation of campus closing, the g. government started broadcasting the primary and secondary school classes on the national TV channel, thinking that the TV sets are available for these students at the household level [13]. However, there is an estimation that not more than 23 million households have TV access and TV is a popular center of family</w:t>
      </w:r>
    </w:p>
    <w:p>
      <w:pPr>
        <w:spacing w:after="0" w:line="131" w:lineRule="exact"/>
        <w:rPr>
          <w:sz w:val="20"/>
          <w:szCs w:val="20"/>
          <w:color w:val="auto"/>
        </w:rPr>
      </w:pPr>
    </w:p>
    <w:p>
      <w:pPr>
        <w:ind w:left="9260"/>
        <w:spacing w:after="0"/>
        <w:rPr>
          <w:sz w:val="20"/>
          <w:szCs w:val="20"/>
          <w:color w:val="auto"/>
        </w:rPr>
      </w:pPr>
      <w:r>
        <w:rPr>
          <w:rFonts w:ascii="Times New Roman" w:cs="Times New Roman" w:eastAsia="Times New Roman" w:hAnsi="Times New Roman"/>
          <w:sz w:val="20"/>
          <w:szCs w:val="20"/>
          <w:color w:val="auto"/>
        </w:rPr>
        <w:t>2</w:t>
      </w:r>
    </w:p>
    <w:p>
      <w:pPr>
        <w:sectPr>
          <w:pgSz w:w="12240" w:h="15840" w:orient="portrait"/>
          <w:cols w:equalWidth="0" w:num="1">
            <w:col w:w="9360"/>
          </w:cols>
          <w:pgMar w:left="1440" w:top="1432" w:right="1440" w:bottom="772" w:gutter="0" w:footer="0" w:header="0"/>
        </w:sectPr>
      </w:pPr>
    </w:p>
    <w:bookmarkStart w:id="2" w:name="page3"/>
    <w:bookmarkEnd w:id="2"/>
    <w:p>
      <w:pPr>
        <w:spacing w:after="0"/>
        <w:rPr>
          <w:sz w:val="20"/>
          <w:szCs w:val="20"/>
          <w:color w:val="auto"/>
        </w:rPr>
      </w:pPr>
      <w:r>
        <w:rPr>
          <w:rFonts w:ascii="Times New Roman" w:cs="Times New Roman" w:eastAsia="Times New Roman" w:hAnsi="Times New Roman"/>
          <w:sz w:val="24"/>
          <w:szCs w:val="24"/>
          <w:color w:val="auto"/>
        </w:rPr>
        <w:t>entertainment [14] and nowadays, it had become a source of education.</w:t>
      </w:r>
    </w:p>
    <w:p>
      <w:pPr>
        <w:spacing w:after="0" w:line="312" w:lineRule="exact"/>
        <w:rPr>
          <w:sz w:val="20"/>
          <w:szCs w:val="20"/>
          <w:color w:val="auto"/>
        </w:rPr>
      </w:pPr>
    </w:p>
    <w:p>
      <w:pPr>
        <w:jc w:val="both"/>
        <w:spacing w:after="0" w:line="355" w:lineRule="auto"/>
        <w:rPr>
          <w:sz w:val="20"/>
          <w:szCs w:val="20"/>
          <w:color w:val="auto"/>
        </w:rPr>
      </w:pPr>
      <w:r>
        <w:rPr>
          <w:rFonts w:ascii="Times New Roman" w:cs="Times New Roman" w:eastAsia="Times New Roman" w:hAnsi="Times New Roman"/>
          <w:sz w:val="24"/>
          <w:szCs w:val="24"/>
          <w:color w:val="auto"/>
        </w:rPr>
        <w:t>The efficacy of school closing practices decreases by the exposer of non-schooling community contact, and estimated at 70% of students get it [15]. In the absence of strong evidence on school closing prolongation, the initiative has a potential adverse outcome on the health and wellbeing of school-going children and adolescents in multiple ways.</w:t>
      </w:r>
    </w:p>
    <w:p>
      <w:pPr>
        <w:spacing w:after="0" w:line="182" w:lineRule="exact"/>
        <w:rPr>
          <w:sz w:val="20"/>
          <w:szCs w:val="20"/>
          <w:color w:val="auto"/>
        </w:rPr>
      </w:pPr>
    </w:p>
    <w:p>
      <w:pPr>
        <w:jc w:val="both"/>
        <w:spacing w:after="0" w:line="353" w:lineRule="auto"/>
        <w:rPr>
          <w:sz w:val="20"/>
          <w:szCs w:val="20"/>
          <w:color w:val="auto"/>
        </w:rPr>
      </w:pPr>
      <w:r>
        <w:rPr>
          <w:rFonts w:ascii="Times New Roman" w:cs="Times New Roman" w:eastAsia="Times New Roman" w:hAnsi="Times New Roman"/>
          <w:sz w:val="24"/>
          <w:szCs w:val="24"/>
          <w:color w:val="auto"/>
        </w:rPr>
        <w:t>In this brief memorandum, we determine the consequence of near to one year of school closures due to COVID-19 on the school-going children and adolescents in Bangladesh and suggest the possible strategies to overcome.</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Current Lockdown scenario in Bangladesh</w:t>
      </w:r>
    </w:p>
    <w:p>
      <w:pPr>
        <w:spacing w:after="0" w:line="332"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Lockdown based prevention strategies reported relaxation in general people of Bangladesh except for educational institutions, people are unwilling to adhere, where incomes of general people were also affected [16]</w:t>
      </w:r>
      <w:r>
        <w:rPr>
          <w:rFonts w:ascii="Times New Roman" w:cs="Times New Roman" w:eastAsia="Times New Roman" w:hAnsi="Times New Roman"/>
          <w:sz w:val="24"/>
          <w:szCs w:val="24"/>
          <w:b w:val="1"/>
          <w:bCs w:val="1"/>
          <w:color w:val="auto"/>
        </w:rPr>
        <w:t>.</w:t>
      </w:r>
      <w:r>
        <w:rPr>
          <w:rFonts w:ascii="Times New Roman" w:cs="Times New Roman" w:eastAsia="Times New Roman" w:hAnsi="Times New Roman"/>
          <w:sz w:val="24"/>
          <w:szCs w:val="24"/>
          <w:color w:val="auto"/>
        </w:rPr>
        <w:t xml:space="preserve"> The offices and all transport services were opened after May 2020 when the country was in the first spike of COVID-19 [17]. Government. is wishing to manage the second wave of COVID-19 without further lockdown [18] [19] where running economy will be given high priority [20]. Despite this, the World Bank projected Bangladesh could down its Gross Domestic Product (GDP) by 1.6% in the time of the world economic crisis due to pandemic, whereas the Bangladesh Bureau of Statistics (BBS) reported 5.24% growth</w:t>
      </w:r>
    </w:p>
    <w:p>
      <w:pPr>
        <w:spacing w:after="0" w:line="19" w:lineRule="exact"/>
        <w:rPr>
          <w:sz w:val="20"/>
          <w:szCs w:val="20"/>
          <w:color w:val="auto"/>
        </w:rPr>
      </w:pPr>
    </w:p>
    <w:p>
      <w:pPr>
        <w:jc w:val="both"/>
        <w:spacing w:after="0" w:line="353" w:lineRule="auto"/>
        <w:tabs>
          <w:tab w:leader="none" w:pos="557" w:val="left"/>
        </w:tabs>
        <w:numPr>
          <w:ilvl w:val="0"/>
          <w:numId w:val="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However, by emphasizing mask-wearing, there is no new plan to maintain a nationwide lockdown for further spikes [22]. Every citizen wears a mask mandatorily in Bangladesh but a large number of people move out without minimum safety measures [23].</w:t>
      </w:r>
    </w:p>
    <w:p>
      <w:pPr>
        <w:spacing w:after="0" w:line="184"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Therefore, the effectiveness of prolonging school closing is in question as a significant number of general people irresponsible. The school-related contact for the children may be reduced for them but non-schooling social contact is uncontrolled, as many parents yet agreed with school closer.</w:t>
      </w:r>
    </w:p>
    <w:p>
      <w:pPr>
        <w:spacing w:after="0" w:line="164"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Lockdown, online education, and the consequence</w:t>
      </w:r>
    </w:p>
    <w:p>
      <w:pPr>
        <w:spacing w:after="0" w:line="331" w:lineRule="exact"/>
        <w:rPr>
          <w:sz w:val="20"/>
          <w:szCs w:val="20"/>
          <w:color w:val="auto"/>
        </w:rPr>
      </w:pPr>
    </w:p>
    <w:p>
      <w:pPr>
        <w:jc w:val="both"/>
        <w:spacing w:after="0" w:line="355" w:lineRule="auto"/>
        <w:rPr>
          <w:sz w:val="20"/>
          <w:szCs w:val="20"/>
          <w:color w:val="auto"/>
        </w:rPr>
      </w:pPr>
      <w:r>
        <w:rPr>
          <w:rFonts w:ascii="Times New Roman" w:cs="Times New Roman" w:eastAsia="Times New Roman" w:hAnsi="Times New Roman"/>
          <w:sz w:val="24"/>
          <w:szCs w:val="24"/>
          <w:color w:val="auto"/>
        </w:rPr>
        <w:t>Schools are highly in priorities for mental health-related needs fulfilled of the child. Prolong distance with friends and teachers, counselors, trainers, job losing risks s of the parent(s), death of relatives, or family members are collapsing the mental health of the child [24]. This can make</w:t>
      </w:r>
    </w:p>
    <w:p>
      <w:pPr>
        <w:ind w:left="9260"/>
        <w:spacing w:after="0" w:line="236" w:lineRule="auto"/>
        <w:rPr>
          <w:sz w:val="20"/>
          <w:szCs w:val="20"/>
          <w:color w:val="auto"/>
        </w:rPr>
      </w:pPr>
      <w:r>
        <w:rPr>
          <w:rFonts w:ascii="Times New Roman" w:cs="Times New Roman" w:eastAsia="Times New Roman" w:hAnsi="Times New Roman"/>
          <w:sz w:val="20"/>
          <w:szCs w:val="20"/>
          <w:color w:val="auto"/>
        </w:rPr>
        <w:t>3</w:t>
      </w:r>
    </w:p>
    <w:p>
      <w:pPr>
        <w:sectPr>
          <w:pgSz w:w="12240" w:h="15840" w:orient="portrait"/>
          <w:cols w:equalWidth="0" w:num="1">
            <w:col w:w="9360"/>
          </w:cols>
          <w:pgMar w:left="1440" w:top="1430" w:right="1440" w:bottom="772" w:gutter="0" w:footer="0" w:header="0"/>
        </w:sectPr>
      </w:pPr>
    </w:p>
    <w:bookmarkStart w:id="3" w:name="page4"/>
    <w:bookmarkEnd w:id="3"/>
    <w:p>
      <w:pPr>
        <w:spacing w:after="0" w:line="3" w:lineRule="exact"/>
        <w:rPr>
          <w:sz w:val="20"/>
          <w:szCs w:val="20"/>
          <w:color w:val="auto"/>
        </w:rPr>
      </w:pPr>
    </w:p>
    <w:p>
      <w:pPr>
        <w:spacing w:after="0" w:line="348" w:lineRule="auto"/>
        <w:rPr>
          <w:sz w:val="20"/>
          <w:szCs w:val="20"/>
          <w:color w:val="auto"/>
        </w:rPr>
      </w:pPr>
      <w:r>
        <w:rPr>
          <w:rFonts w:ascii="Times New Roman" w:cs="Times New Roman" w:eastAsia="Times New Roman" w:hAnsi="Times New Roman"/>
          <w:sz w:val="24"/>
          <w:szCs w:val="24"/>
          <w:color w:val="auto"/>
        </w:rPr>
        <w:t>them emotionally vulnerable, altered the adjustment mechanism due to the result of traumatic events [25]. The exam postponing during the pandemic leads students to bear more mental stress</w:t>
      </w:r>
    </w:p>
    <w:p>
      <w:pPr>
        <w:spacing w:after="0" w:line="14" w:lineRule="exact"/>
        <w:rPr>
          <w:sz w:val="20"/>
          <w:szCs w:val="20"/>
          <w:color w:val="auto"/>
        </w:rPr>
      </w:pPr>
    </w:p>
    <w:p>
      <w:pPr>
        <w:ind w:left="540" w:hanging="540"/>
        <w:spacing w:after="0"/>
        <w:tabs>
          <w:tab w:leader="none" w:pos="540"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School suspension predicted creating problems like fear, psychological distress, and so on</w:t>
      </w:r>
    </w:p>
    <w:p>
      <w:pPr>
        <w:spacing w:after="0" w:line="153" w:lineRule="exact"/>
        <w:rPr>
          <w:rFonts w:ascii="Times New Roman" w:cs="Times New Roman" w:eastAsia="Times New Roman" w:hAnsi="Times New Roman"/>
          <w:sz w:val="24"/>
          <w:szCs w:val="24"/>
          <w:color w:val="auto"/>
        </w:rPr>
      </w:pPr>
    </w:p>
    <w:p>
      <w:pPr>
        <w:jc w:val="both"/>
        <w:spacing w:after="0" w:line="353" w:lineRule="auto"/>
        <w:tabs>
          <w:tab w:leader="none" w:pos="524"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In this closing period, high rates of anxiety, depression, and post-traumatic symptoms in the child were reported by a review study [28]. Almost 58% of parents asking psychiatric services during the pandemic for their children due to prolong school closer [29].</w:t>
      </w:r>
    </w:p>
    <w:p>
      <w:pPr>
        <w:spacing w:after="0" w:line="184"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A study conducted during the school closing period reported 69.3% of parents complained their children’s internet use tendency had been increased [30]. School-going children passing more time on social media increased the risk of problematic internet, smartphone applications, and social media use [27]. Lockdown increased the time of online gaming [31] making alone, and emphasizing gaming addiction. [32]. Addiction born by excessive internet use may generate dependence in the children [33].</w:t>
      </w:r>
    </w:p>
    <w:p>
      <w:pPr>
        <w:spacing w:after="0" w:line="182"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Furthermore, Economic destruction and upraise unemployment rate may emphasize the neglected behavior toward the children, and being abused at home [34]. According to Bangladesh police headquarters, the child abuse rate increase during the pandemic, about 680 child abuse cases were registered between January to June, where 206 cases were just in June [35].</w:t>
      </w:r>
    </w:p>
    <w:p>
      <w:pPr>
        <w:spacing w:after="0" w:line="175" w:lineRule="exact"/>
        <w:rPr>
          <w:sz w:val="20"/>
          <w:szCs w:val="20"/>
          <w:color w:val="auto"/>
        </w:rPr>
      </w:pPr>
    </w:p>
    <w:p>
      <w:pPr>
        <w:jc w:val="both"/>
        <w:spacing w:after="0" w:line="348" w:lineRule="auto"/>
        <w:rPr>
          <w:sz w:val="20"/>
          <w:szCs w:val="20"/>
          <w:color w:val="auto"/>
        </w:rPr>
      </w:pPr>
      <w:r>
        <w:rPr>
          <w:rFonts w:ascii="Times New Roman" w:cs="Times New Roman" w:eastAsia="Times New Roman" w:hAnsi="Times New Roman"/>
          <w:sz w:val="24"/>
          <w:szCs w:val="24"/>
          <w:color w:val="auto"/>
        </w:rPr>
        <w:t>Lockdown resulted in domestic violence [32] where a study argued, prolong closing in children in low-income families may lead to a potential social crisis and inequalities [36]-[37].</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color w:val="auto"/>
        </w:rPr>
        <w:t>About 6.1% of the population in Bangladesh has developed suicidal behavior due to COVID-19.</w:t>
      </w:r>
    </w:p>
    <w:p>
      <w:pPr>
        <w:spacing w:after="0" w:line="149" w:lineRule="exact"/>
        <w:rPr>
          <w:sz w:val="20"/>
          <w:szCs w:val="20"/>
          <w:color w:val="auto"/>
        </w:rPr>
      </w:pPr>
    </w:p>
    <w:p>
      <w:pPr>
        <w:jc w:val="both"/>
        <w:spacing w:after="0" w:line="356" w:lineRule="auto"/>
        <w:tabs>
          <w:tab w:leader="none" w:pos="557" w:val="left"/>
        </w:tabs>
        <w:numPr>
          <w:ilvl w:val="0"/>
          <w:numId w:val="3"/>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Suicidal ideation and depression among the Bangladeshi population related to COVID-19 reported 5% and 33.3%, where the younger age group are more vulnerable [39]. Lockdown made students lonely may be a potential risk factor for suicide [40].</w:t>
      </w:r>
    </w:p>
    <w:p>
      <w:pPr>
        <w:spacing w:after="0" w:line="174"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Out of academic services, school is a way of keeping children physically and mentally sound, roles in controlling obesity, some schools provide food, and sheltering as well [24]. The COVID-19 and locking the educational institutions put a sign in altering the normal growth and development process of children [41]. The school closing harmed the nutritional status of the students, making malnourished who gets free meals from school [42]. Lockdown also reduced the sports time, may increase child weight and level of adiposity [43]-[44]. Behavior problems</w:t>
      </w:r>
    </w:p>
    <w:p>
      <w:pPr>
        <w:spacing w:after="0" w:line="45" w:lineRule="exact"/>
        <w:rPr>
          <w:sz w:val="20"/>
          <w:szCs w:val="20"/>
          <w:color w:val="auto"/>
        </w:rPr>
      </w:pPr>
    </w:p>
    <w:p>
      <w:pPr>
        <w:ind w:left="9260"/>
        <w:spacing w:after="0"/>
        <w:rPr>
          <w:sz w:val="20"/>
          <w:szCs w:val="20"/>
          <w:color w:val="auto"/>
        </w:rPr>
      </w:pPr>
      <w:r>
        <w:rPr>
          <w:rFonts w:ascii="Times New Roman" w:cs="Times New Roman" w:eastAsia="Times New Roman" w:hAnsi="Times New Roman"/>
          <w:sz w:val="20"/>
          <w:szCs w:val="20"/>
          <w:color w:val="auto"/>
        </w:rPr>
        <w:t>4</w:t>
      </w:r>
    </w:p>
    <w:p>
      <w:pPr>
        <w:sectPr>
          <w:pgSz w:w="12240" w:h="15840" w:orient="portrait"/>
          <w:cols w:equalWidth="0" w:num="1">
            <w:col w:w="9360"/>
          </w:cols>
          <w:pgMar w:left="1440" w:top="1440" w:right="1440" w:bottom="772" w:gutter="0" w:footer="0" w:header="0"/>
        </w:sectPr>
      </w:pPr>
    </w:p>
    <w:bookmarkStart w:id="4" w:name="page5"/>
    <w:bookmarkEnd w:id="4"/>
    <w:p>
      <w:pPr>
        <w:spacing w:after="0" w:line="3"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and cognitive impairments among child due to the reduction of exercise during the closing of school was addressed [45] [41]. However, prolong lockdown can change the life-style of them by hampering physical activity, changing an eating habit, gaining weight, and sleep duration [43] [30].</w:t>
      </w:r>
    </w:p>
    <w:p>
      <w:pPr>
        <w:spacing w:after="0" w:line="163"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Children may not be the major source of spreading</w:t>
      </w:r>
    </w:p>
    <w:p>
      <w:pPr>
        <w:spacing w:after="0" w:line="200" w:lineRule="exact"/>
        <w:rPr>
          <w:sz w:val="20"/>
          <w:szCs w:val="20"/>
          <w:color w:val="auto"/>
        </w:rPr>
      </w:pPr>
    </w:p>
    <w:p>
      <w:pPr>
        <w:spacing w:after="0" w:line="374"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color w:val="auto"/>
        </w:rPr>
        <w:t>Table1: The age-specific risk of dying if infected with COVID-19 [46]</w:t>
      </w:r>
    </w:p>
    <w:p>
      <w:pPr>
        <w:spacing w:after="0" w:line="200" w:lineRule="exact"/>
        <w:rPr>
          <w:sz w:val="20"/>
          <w:szCs w:val="20"/>
          <w:color w:val="auto"/>
        </w:rPr>
      </w:pPr>
    </w:p>
    <w:p>
      <w:pPr>
        <w:spacing w:after="0" w:line="344" w:lineRule="exact"/>
        <w:rPr>
          <w:sz w:val="20"/>
          <w:szCs w:val="20"/>
          <w:color w:val="auto"/>
        </w:rPr>
      </w:pPr>
    </w:p>
    <w:tbl>
      <w:tblPr>
        <w:tblLayout w:type="fixed"/>
        <w:tblInd w:w="2610" w:type="dxa"/>
        <w:tblCellMar>
          <w:top w:w="0" w:type="dxa"/>
          <w:left w:w="0" w:type="dxa"/>
          <w:bottom w:w="0" w:type="dxa"/>
          <w:right w:w="0" w:type="dxa"/>
        </w:tblCellMar>
      </w:tblPr>
      <w:tr>
        <w:trPr>
          <w:trHeight w:val="280"/>
        </w:trPr>
        <w:tc>
          <w:tcPr>
            <w:tcW w:w="2120" w:type="dxa"/>
            <w:vAlign w:val="bottom"/>
            <w:tcBorders>
              <w:top w:val="single" w:sz="8" w:color="auto"/>
              <w:left w:val="single" w:sz="8" w:color="auto"/>
              <w:right w:val="single" w:sz="8" w:color="auto"/>
            </w:tcBorders>
            <w:shd w:val="clear" w:color="auto" w:fill="BDD6EE"/>
          </w:tcPr>
          <w:p>
            <w:pPr>
              <w:ind w:left="120"/>
              <w:spacing w:after="0"/>
              <w:rPr>
                <w:sz w:val="20"/>
                <w:szCs w:val="20"/>
                <w:color w:val="auto"/>
              </w:rPr>
            </w:pPr>
            <w:r>
              <w:rPr>
                <w:rFonts w:ascii="Times New Roman" w:cs="Times New Roman" w:eastAsia="Times New Roman" w:hAnsi="Times New Roman"/>
                <w:sz w:val="24"/>
                <w:szCs w:val="24"/>
                <w:b w:val="1"/>
                <w:bCs w:val="1"/>
                <w:color w:val="auto"/>
              </w:rPr>
              <w:t>Age</w:t>
            </w:r>
          </w:p>
        </w:tc>
        <w:tc>
          <w:tcPr>
            <w:tcW w:w="1840" w:type="dxa"/>
            <w:vAlign w:val="bottom"/>
            <w:tcBorders>
              <w:top w:val="single" w:sz="8" w:color="auto"/>
              <w:right w:val="single" w:sz="8" w:color="auto"/>
            </w:tcBorders>
            <w:shd w:val="clear" w:color="auto" w:fill="BDD6EE"/>
          </w:tcPr>
          <w:p>
            <w:pPr>
              <w:ind w:left="100"/>
              <w:spacing w:after="0"/>
              <w:rPr>
                <w:sz w:val="20"/>
                <w:szCs w:val="20"/>
                <w:color w:val="auto"/>
              </w:rPr>
            </w:pPr>
            <w:r>
              <w:rPr>
                <w:rFonts w:ascii="Times New Roman" w:cs="Times New Roman" w:eastAsia="Times New Roman" w:hAnsi="Times New Roman"/>
                <w:sz w:val="24"/>
                <w:szCs w:val="24"/>
                <w:b w:val="1"/>
                <w:bCs w:val="1"/>
                <w:color w:val="auto"/>
              </w:rPr>
              <w:t>Death Rate</w:t>
            </w:r>
          </w:p>
        </w:tc>
      </w:tr>
      <w:tr>
        <w:trPr>
          <w:trHeight w:val="142"/>
        </w:trPr>
        <w:tc>
          <w:tcPr>
            <w:tcW w:w="2120" w:type="dxa"/>
            <w:vAlign w:val="bottom"/>
            <w:tcBorders>
              <w:left w:val="single" w:sz="8" w:color="auto"/>
              <w:bottom w:val="single" w:sz="8" w:color="auto"/>
              <w:right w:val="single" w:sz="8" w:color="auto"/>
            </w:tcBorders>
            <w:shd w:val="clear" w:color="auto" w:fill="BDD6EE"/>
          </w:tcPr>
          <w:p>
            <w:pPr>
              <w:spacing w:after="0"/>
              <w:rPr>
                <w:sz w:val="12"/>
                <w:szCs w:val="12"/>
                <w:color w:val="auto"/>
              </w:rPr>
            </w:pPr>
          </w:p>
        </w:tc>
        <w:tc>
          <w:tcPr>
            <w:tcW w:w="1840" w:type="dxa"/>
            <w:vAlign w:val="bottom"/>
            <w:tcBorders>
              <w:bottom w:val="single" w:sz="8" w:color="auto"/>
              <w:right w:val="single" w:sz="8" w:color="auto"/>
            </w:tcBorders>
            <w:shd w:val="clear" w:color="auto" w:fill="BDD6EE"/>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80+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14.8%</w:t>
            </w:r>
          </w:p>
        </w:tc>
      </w:tr>
      <w:tr>
        <w:trPr>
          <w:trHeight w:val="147"/>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70-79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8.0%</w:t>
            </w:r>
          </w:p>
        </w:tc>
      </w:tr>
      <w:tr>
        <w:trPr>
          <w:trHeight w:val="152"/>
        </w:trPr>
        <w:tc>
          <w:tcPr>
            <w:tcW w:w="2120" w:type="dxa"/>
            <w:vAlign w:val="bottom"/>
            <w:tcBorders>
              <w:left w:val="single" w:sz="8" w:color="auto"/>
              <w:bottom w:val="single" w:sz="8" w:color="auto"/>
              <w:right w:val="single" w:sz="8" w:color="auto"/>
            </w:tcBorders>
          </w:tcPr>
          <w:p>
            <w:pPr>
              <w:spacing w:after="0"/>
              <w:rPr>
                <w:sz w:val="13"/>
                <w:szCs w:val="13"/>
                <w:color w:val="auto"/>
              </w:rPr>
            </w:pPr>
          </w:p>
        </w:tc>
        <w:tc>
          <w:tcPr>
            <w:tcW w:w="1840" w:type="dxa"/>
            <w:vAlign w:val="bottom"/>
            <w:tcBorders>
              <w:bottom w:val="single" w:sz="8" w:color="auto"/>
              <w:right w:val="single" w:sz="8" w:color="auto"/>
            </w:tcBorders>
          </w:tcPr>
          <w:p>
            <w:pPr>
              <w:spacing w:after="0"/>
              <w:rPr>
                <w:sz w:val="13"/>
                <w:szCs w:val="13"/>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60-69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3.6%</w:t>
            </w:r>
          </w:p>
        </w:tc>
      </w:tr>
      <w:tr>
        <w:trPr>
          <w:trHeight w:val="147"/>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50-59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1.3%</w:t>
            </w:r>
          </w:p>
        </w:tc>
      </w:tr>
      <w:tr>
        <w:trPr>
          <w:trHeight w:val="147"/>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40-49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0.4%</w:t>
            </w:r>
          </w:p>
        </w:tc>
      </w:tr>
      <w:tr>
        <w:trPr>
          <w:trHeight w:val="152"/>
        </w:trPr>
        <w:tc>
          <w:tcPr>
            <w:tcW w:w="2120" w:type="dxa"/>
            <w:vAlign w:val="bottom"/>
            <w:tcBorders>
              <w:left w:val="single" w:sz="8" w:color="auto"/>
              <w:bottom w:val="single" w:sz="8" w:color="auto"/>
              <w:right w:val="single" w:sz="8" w:color="auto"/>
            </w:tcBorders>
          </w:tcPr>
          <w:p>
            <w:pPr>
              <w:spacing w:after="0"/>
              <w:rPr>
                <w:sz w:val="13"/>
                <w:szCs w:val="13"/>
                <w:color w:val="auto"/>
              </w:rPr>
            </w:pPr>
          </w:p>
        </w:tc>
        <w:tc>
          <w:tcPr>
            <w:tcW w:w="1840" w:type="dxa"/>
            <w:vAlign w:val="bottom"/>
            <w:tcBorders>
              <w:bottom w:val="single" w:sz="8" w:color="auto"/>
              <w:right w:val="single" w:sz="8" w:color="auto"/>
            </w:tcBorders>
          </w:tcPr>
          <w:p>
            <w:pPr>
              <w:spacing w:after="0"/>
              <w:rPr>
                <w:sz w:val="13"/>
                <w:szCs w:val="13"/>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30-39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0.2%</w:t>
            </w:r>
          </w:p>
        </w:tc>
      </w:tr>
      <w:tr>
        <w:trPr>
          <w:trHeight w:val="147"/>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20-29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0.2%</w:t>
            </w:r>
          </w:p>
        </w:tc>
      </w:tr>
      <w:tr>
        <w:trPr>
          <w:trHeight w:val="147"/>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r>
        <w:trPr>
          <w:trHeight w:val="256"/>
        </w:trPr>
        <w:tc>
          <w:tcPr>
            <w:tcW w:w="2120" w:type="dxa"/>
            <w:vAlign w:val="bottom"/>
            <w:tcBorders>
              <w:left w:val="single" w:sz="8" w:color="auto"/>
              <w:right w:val="single" w:sz="8" w:color="auto"/>
            </w:tcBorders>
          </w:tcPr>
          <w:p>
            <w:pPr>
              <w:ind w:left="120"/>
              <w:spacing w:after="0" w:line="256" w:lineRule="exact"/>
              <w:rPr>
                <w:sz w:val="20"/>
                <w:szCs w:val="20"/>
                <w:color w:val="auto"/>
              </w:rPr>
            </w:pPr>
            <w:r>
              <w:rPr>
                <w:rFonts w:ascii="Times New Roman" w:cs="Times New Roman" w:eastAsia="Times New Roman" w:hAnsi="Times New Roman"/>
                <w:sz w:val="24"/>
                <w:szCs w:val="24"/>
                <w:color w:val="auto"/>
              </w:rPr>
              <w:t>10-19 years old</w:t>
            </w:r>
          </w:p>
        </w:tc>
        <w:tc>
          <w:tcPr>
            <w:tcW w:w="1840" w:type="dxa"/>
            <w:vAlign w:val="bottom"/>
            <w:tcBorders>
              <w:right w:val="single" w:sz="8" w:color="auto"/>
            </w:tcBorders>
          </w:tcPr>
          <w:p>
            <w:pPr>
              <w:ind w:left="100"/>
              <w:spacing w:after="0" w:line="256" w:lineRule="exact"/>
              <w:rPr>
                <w:sz w:val="20"/>
                <w:szCs w:val="20"/>
                <w:color w:val="auto"/>
              </w:rPr>
            </w:pPr>
            <w:r>
              <w:rPr>
                <w:rFonts w:ascii="Times New Roman" w:cs="Times New Roman" w:eastAsia="Times New Roman" w:hAnsi="Times New Roman"/>
                <w:sz w:val="24"/>
                <w:szCs w:val="24"/>
                <w:color w:val="auto"/>
              </w:rPr>
              <w:t>0.2%</w:t>
            </w:r>
          </w:p>
        </w:tc>
      </w:tr>
      <w:tr>
        <w:trPr>
          <w:trHeight w:val="152"/>
        </w:trPr>
        <w:tc>
          <w:tcPr>
            <w:tcW w:w="2120" w:type="dxa"/>
            <w:vAlign w:val="bottom"/>
            <w:tcBorders>
              <w:left w:val="single" w:sz="8" w:color="auto"/>
              <w:bottom w:val="single" w:sz="8" w:color="auto"/>
              <w:right w:val="single" w:sz="8" w:color="auto"/>
            </w:tcBorders>
          </w:tcPr>
          <w:p>
            <w:pPr>
              <w:spacing w:after="0"/>
              <w:rPr>
                <w:sz w:val="13"/>
                <w:szCs w:val="13"/>
                <w:color w:val="auto"/>
              </w:rPr>
            </w:pPr>
          </w:p>
        </w:tc>
        <w:tc>
          <w:tcPr>
            <w:tcW w:w="1840" w:type="dxa"/>
            <w:vAlign w:val="bottom"/>
            <w:tcBorders>
              <w:bottom w:val="single" w:sz="8" w:color="auto"/>
              <w:right w:val="single" w:sz="8" w:color="auto"/>
            </w:tcBorders>
          </w:tcPr>
          <w:p>
            <w:pPr>
              <w:spacing w:after="0"/>
              <w:rPr>
                <w:sz w:val="13"/>
                <w:szCs w:val="13"/>
                <w:color w:val="auto"/>
              </w:rPr>
            </w:pPr>
          </w:p>
        </w:tc>
      </w:tr>
      <w:tr>
        <w:trPr>
          <w:trHeight w:val="260"/>
        </w:trPr>
        <w:tc>
          <w:tcPr>
            <w:tcW w:w="2120" w:type="dxa"/>
            <w:vAlign w:val="bottom"/>
            <w:tcBorders>
              <w:left w:val="single" w:sz="8" w:color="auto"/>
              <w:right w:val="single" w:sz="8" w:color="auto"/>
            </w:tcBorders>
          </w:tcPr>
          <w:p>
            <w:pPr>
              <w:ind w:left="120"/>
              <w:spacing w:after="0" w:line="260" w:lineRule="exact"/>
              <w:rPr>
                <w:sz w:val="20"/>
                <w:szCs w:val="20"/>
                <w:color w:val="auto"/>
              </w:rPr>
            </w:pPr>
            <w:r>
              <w:rPr>
                <w:rFonts w:ascii="Times New Roman" w:cs="Times New Roman" w:eastAsia="Times New Roman" w:hAnsi="Times New Roman"/>
                <w:sz w:val="24"/>
                <w:szCs w:val="24"/>
                <w:color w:val="auto"/>
              </w:rPr>
              <w:t>0-9 years old</w:t>
            </w:r>
          </w:p>
        </w:tc>
        <w:tc>
          <w:tcPr>
            <w:tcW w:w="1840" w:type="dxa"/>
            <w:vAlign w:val="bottom"/>
            <w:tcBorders>
              <w:right w:val="single" w:sz="8" w:color="auto"/>
            </w:tcBorders>
          </w:tcPr>
          <w:p>
            <w:pPr>
              <w:ind w:left="100"/>
              <w:spacing w:after="0" w:line="260" w:lineRule="exact"/>
              <w:rPr>
                <w:sz w:val="20"/>
                <w:szCs w:val="20"/>
                <w:color w:val="auto"/>
              </w:rPr>
            </w:pPr>
            <w:r>
              <w:rPr>
                <w:rFonts w:ascii="Times New Roman" w:cs="Times New Roman" w:eastAsia="Times New Roman" w:hAnsi="Times New Roman"/>
                <w:sz w:val="24"/>
                <w:szCs w:val="24"/>
                <w:b w:val="1"/>
                <w:bCs w:val="1"/>
                <w:color w:val="auto"/>
              </w:rPr>
              <w:t>No fatalities</w:t>
            </w:r>
          </w:p>
        </w:tc>
      </w:tr>
      <w:tr>
        <w:trPr>
          <w:trHeight w:val="142"/>
        </w:trPr>
        <w:tc>
          <w:tcPr>
            <w:tcW w:w="2120" w:type="dxa"/>
            <w:vAlign w:val="bottom"/>
            <w:tcBorders>
              <w:left w:val="single" w:sz="8" w:color="auto"/>
              <w:bottom w:val="single" w:sz="8" w:color="auto"/>
              <w:right w:val="single" w:sz="8" w:color="auto"/>
            </w:tcBorders>
          </w:tcPr>
          <w:p>
            <w:pPr>
              <w:spacing w:after="0"/>
              <w:rPr>
                <w:sz w:val="12"/>
                <w:szCs w:val="12"/>
                <w:color w:val="auto"/>
              </w:rPr>
            </w:pPr>
          </w:p>
        </w:tc>
        <w:tc>
          <w:tcPr>
            <w:tcW w:w="1840" w:type="dxa"/>
            <w:vAlign w:val="bottom"/>
            <w:tcBorders>
              <w:bottom w:val="single" w:sz="8" w:color="auto"/>
              <w:right w:val="single" w:sz="8" w:color="auto"/>
            </w:tcBorders>
          </w:tcPr>
          <w:p>
            <w:pPr>
              <w:spacing w:after="0"/>
              <w:rPr>
                <w:sz w:val="12"/>
                <w:szCs w:val="12"/>
                <w:color w:val="auto"/>
              </w:rPr>
            </w:pPr>
          </w:p>
        </w:tc>
      </w:tr>
    </w:tbl>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1"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20"/>
          <w:szCs w:val="20"/>
          <w:color w:val="auto"/>
        </w:rPr>
        <w:t>5</w:t>
      </w:r>
    </w:p>
    <w:p>
      <w:pPr>
        <w:sectPr>
          <w:pgSz w:w="12240" w:h="15840" w:orient="portrait"/>
          <w:cols w:equalWidth="0" w:num="1">
            <w:col w:w="9360"/>
          </w:cols>
          <w:pgMar w:left="1440" w:top="1440" w:right="1440" w:bottom="772" w:gutter="0" w:footer="0" w:header="0"/>
        </w:sectPr>
      </w:pPr>
    </w:p>
    <w:bookmarkStart w:id="5" w:name="page6"/>
    <w:bookmarkEnd w:id="5"/>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914400</wp:posOffset>
            </wp:positionH>
            <wp:positionV relativeFrom="page">
              <wp:posOffset>914400</wp:posOffset>
            </wp:positionV>
            <wp:extent cx="4961890" cy="3056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FFFFF"/>
                        </a:clrFrom>
                        <a:clrTo>
                          <a:srgbClr val="FFFFFF">
                            <a:alpha val="0"/>
                          </a:srgbClr>
                        </a:clrTo>
                      </a:clrChange>
                      <a:extLst>
                        <a:ext uri="{28A0092B-C50C-407E-A947-70E740481C1C}"/>
                      </a:extLst>
                    </a:blip>
                    <a:srcRect/>
                    <a:stretch>
                      <a:fillRect/>
                    </a:stretch>
                  </pic:blipFill>
                  <pic:spPr bwMode="auto">
                    <a:xfrm>
                      <a:off x="0" y="0"/>
                      <a:ext cx="4961890" cy="305689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9"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color w:val="auto"/>
        </w:rPr>
        <w:t>Figure-1: Comparison between age range and death rate</w:t>
      </w:r>
    </w:p>
    <w:p>
      <w:pPr>
        <w:spacing w:after="0" w:line="200" w:lineRule="exact"/>
        <w:rPr>
          <w:sz w:val="20"/>
          <w:szCs w:val="20"/>
          <w:color w:val="auto"/>
        </w:rPr>
      </w:pPr>
    </w:p>
    <w:p>
      <w:pPr>
        <w:spacing w:after="0" w:line="200" w:lineRule="exact"/>
        <w:rPr>
          <w:sz w:val="20"/>
          <w:szCs w:val="20"/>
          <w:color w:val="auto"/>
        </w:rPr>
      </w:pPr>
    </w:p>
    <w:p>
      <w:pPr>
        <w:spacing w:after="0" w:line="345" w:lineRule="exact"/>
        <w:rPr>
          <w:sz w:val="20"/>
          <w:szCs w:val="20"/>
          <w:color w:val="auto"/>
        </w:rPr>
      </w:pPr>
    </w:p>
    <w:p>
      <w:pPr>
        <w:spacing w:after="0" w:line="348" w:lineRule="auto"/>
        <w:rPr>
          <w:sz w:val="20"/>
          <w:szCs w:val="20"/>
          <w:color w:val="auto"/>
        </w:rPr>
      </w:pPr>
      <w:r>
        <w:rPr>
          <w:rFonts w:ascii="Times New Roman" w:cs="Times New Roman" w:eastAsia="Times New Roman" w:hAnsi="Times New Roman"/>
          <w:sz w:val="24"/>
          <w:szCs w:val="24"/>
          <w:color w:val="auto"/>
        </w:rPr>
        <w:t>Children and adolescents are mostly asymptomatic [47] and fortunately, with less severity, lower death counted, Notwithstanding they might be super-spreaders for the community transmission</w:t>
      </w:r>
    </w:p>
    <w:p>
      <w:pPr>
        <w:spacing w:after="0" w:line="30" w:lineRule="exact"/>
        <w:rPr>
          <w:sz w:val="20"/>
          <w:szCs w:val="20"/>
          <w:color w:val="auto"/>
        </w:rPr>
      </w:pPr>
    </w:p>
    <w:p>
      <w:pPr>
        <w:jc w:val="both"/>
        <w:spacing w:after="0" w:line="348" w:lineRule="auto"/>
        <w:tabs>
          <w:tab w:leader="none" w:pos="561" w:val="left"/>
        </w:tabs>
        <w:numPr>
          <w:ilvl w:val="0"/>
          <w:numId w:val="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A study in Ireland followed 14 days of a cohort finds no incidence of COVID-19 after school opening, although 1,001 children get contact with sex to confirmed cases of COVID-19</w:t>
      </w:r>
    </w:p>
    <w:p>
      <w:pPr>
        <w:spacing w:after="0" w:line="25" w:lineRule="exact"/>
        <w:rPr>
          <w:rFonts w:ascii="Times New Roman" w:cs="Times New Roman" w:eastAsia="Times New Roman" w:hAnsi="Times New Roman"/>
          <w:sz w:val="24"/>
          <w:szCs w:val="24"/>
          <w:color w:val="auto"/>
        </w:rPr>
      </w:pPr>
    </w:p>
    <w:p>
      <w:pPr>
        <w:jc w:val="both"/>
        <w:spacing w:after="0" w:line="358" w:lineRule="auto"/>
        <w:tabs>
          <w:tab w:leader="none" w:pos="571" w:val="left"/>
        </w:tabs>
        <w:numPr>
          <w:ilvl w:val="0"/>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Children was addressed the driver for the transmission of the influenza virus, wherein COVID-19 an inverse look observed [49]. Evidence suggests that children and adolescents have a 50% less chance to develop COVID-19 [50]. The youngest age group (&lt;20 years) reported the lowest infection rate at the household level also [51]. A modeling study predicted as 2% to 4% death reduction could be the outcome of the school closing [15]. Even, school closing is playing a role to upraise 50% non-school households and 25% community contact rate among school-going children [52]. Recent study report no decrease trend of infection rate among home staying children during the pandemic [53]. Another study model downed in US that school closing lead to miss instruction might be associated with the reduction of 5.53 million life years of primary school aged children [54].</w:t>
      </w:r>
    </w:p>
    <w:p>
      <w:pPr>
        <w:spacing w:after="0" w:line="185" w:lineRule="exact"/>
        <w:rPr>
          <w:sz w:val="20"/>
          <w:szCs w:val="20"/>
          <w:color w:val="auto"/>
        </w:rPr>
      </w:pPr>
    </w:p>
    <w:p>
      <w:pPr>
        <w:jc w:val="both"/>
        <w:ind w:right="20"/>
        <w:spacing w:after="0" w:line="332" w:lineRule="auto"/>
        <w:rPr>
          <w:sz w:val="20"/>
          <w:szCs w:val="20"/>
          <w:color w:val="auto"/>
        </w:rPr>
      </w:pPr>
      <w:r>
        <w:rPr>
          <w:rFonts w:ascii="Times New Roman" w:cs="Times New Roman" w:eastAsia="Times New Roman" w:hAnsi="Times New Roman"/>
          <w:sz w:val="24"/>
          <w:szCs w:val="24"/>
          <w:color w:val="auto"/>
        </w:rPr>
        <w:t>In this context, it is dark to say the date when the country will withdraw the school closing strategies. The impact of prolonging school closer on a nation’s future educational outcome,</w:t>
      </w:r>
    </w:p>
    <w:p>
      <w:pPr>
        <w:ind w:left="9260"/>
        <w:spacing w:after="0" w:line="232" w:lineRule="auto"/>
        <w:rPr>
          <w:sz w:val="20"/>
          <w:szCs w:val="20"/>
          <w:color w:val="auto"/>
        </w:rPr>
      </w:pPr>
      <w:r>
        <w:rPr>
          <w:rFonts w:ascii="Times New Roman" w:cs="Times New Roman" w:eastAsia="Times New Roman" w:hAnsi="Times New Roman"/>
          <w:sz w:val="20"/>
          <w:szCs w:val="20"/>
          <w:color w:val="auto"/>
        </w:rPr>
        <w:t>6</w:t>
      </w:r>
    </w:p>
    <w:p>
      <w:pPr>
        <w:sectPr>
          <w:pgSz w:w="12240" w:h="15840" w:orient="portrait"/>
          <w:cols w:equalWidth="0" w:num="1">
            <w:col w:w="9360"/>
          </w:cols>
          <w:pgMar w:left="1440" w:top="1440" w:right="1440" w:bottom="772" w:gutter="0" w:footer="0" w:header="0"/>
        </w:sectPr>
      </w:pPr>
    </w:p>
    <w:bookmarkStart w:id="6" w:name="page7"/>
    <w:bookmarkEnd w:id="6"/>
    <w:p>
      <w:pPr>
        <w:spacing w:after="0" w:line="3"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productivity, health, earnings will be irreversible. However, based on unaffordable distance learning for all no decision yet taken on school reopening, where China had started opening [15]. European countries are returning children to classrooms [55]. Therefore, we are supporting reopening the school based on evidence for safeguarding the educational, physical, mental, social, and emotional wellbeing of the children. We also recommend more research to find a universal education system not just closing down during any health crisis.</w:t>
      </w:r>
    </w:p>
    <w:p>
      <w:pPr>
        <w:spacing w:after="0" w:line="200" w:lineRule="exact"/>
        <w:rPr>
          <w:sz w:val="20"/>
          <w:szCs w:val="20"/>
          <w:color w:val="auto"/>
        </w:rPr>
      </w:pPr>
    </w:p>
    <w:p>
      <w:pPr>
        <w:spacing w:after="0" w:line="200" w:lineRule="exact"/>
        <w:rPr>
          <w:sz w:val="20"/>
          <w:szCs w:val="20"/>
          <w:color w:val="auto"/>
        </w:rPr>
      </w:pPr>
    </w:p>
    <w:p>
      <w:pPr>
        <w:spacing w:after="0" w:line="344"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Recommendations to mitigate current conditions</w:t>
      </w:r>
    </w:p>
    <w:p>
      <w:pPr>
        <w:spacing w:after="0" w:line="331" w:lineRule="exact"/>
        <w:rPr>
          <w:sz w:val="20"/>
          <w:szCs w:val="20"/>
          <w:color w:val="auto"/>
        </w:rPr>
      </w:pPr>
    </w:p>
    <w:p>
      <w:pPr>
        <w:jc w:val="both"/>
        <w:spacing w:after="0" w:line="353" w:lineRule="auto"/>
        <w:rPr>
          <w:sz w:val="20"/>
          <w:szCs w:val="20"/>
          <w:color w:val="auto"/>
        </w:rPr>
      </w:pPr>
      <w:r>
        <w:rPr>
          <w:rFonts w:ascii="Times New Roman" w:cs="Times New Roman" w:eastAsia="Times New Roman" w:hAnsi="Times New Roman"/>
          <w:sz w:val="24"/>
          <w:szCs w:val="24"/>
          <w:color w:val="auto"/>
        </w:rPr>
        <w:t>For the protection of our new generation, not just like sacrificing their future versus COVID-19 transmission, we recommend the following strategies to reopen.</w:t>
      </w:r>
    </w:p>
    <w:p>
      <w:pPr>
        <w:spacing w:after="0" w:line="170"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b w:val="1"/>
          <w:bCs w:val="1"/>
          <w:color w:val="auto"/>
        </w:rPr>
        <w:t>Following CDC guidelines for reopening</w:t>
      </w:r>
    </w:p>
    <w:p>
      <w:pPr>
        <w:spacing w:after="0" w:line="307" w:lineRule="exact"/>
        <w:rPr>
          <w:sz w:val="20"/>
          <w:szCs w:val="20"/>
          <w:color w:val="auto"/>
        </w:rPr>
      </w:pPr>
    </w:p>
    <w:p>
      <w:pPr>
        <w:jc w:val="both"/>
        <w:spacing w:after="0" w:line="355" w:lineRule="auto"/>
        <w:rPr>
          <w:sz w:val="20"/>
          <w:szCs w:val="20"/>
          <w:color w:val="auto"/>
        </w:rPr>
      </w:pPr>
      <w:r>
        <w:rPr>
          <w:rFonts w:ascii="Times New Roman" w:cs="Times New Roman" w:eastAsia="Times New Roman" w:hAnsi="Times New Roman"/>
          <w:sz w:val="24"/>
          <w:szCs w:val="24"/>
          <w:color w:val="auto"/>
        </w:rPr>
        <w:t>Follow the CDC (Centers for Disease Control and Prevention) guidelines for partially withdrawing the school closing strategy [56] allow every alternative section of students, teachers, and employees to attend in shift and making a live stream and record of the class for the rest of the sections and those who not coming for illness or any disease [49] [37].</w:t>
      </w:r>
    </w:p>
    <w:p>
      <w:pPr>
        <w:spacing w:after="0" w:line="175"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b w:val="1"/>
          <w:bCs w:val="1"/>
          <w:color w:val="auto"/>
        </w:rPr>
        <w:t>Mitigating financial and nutritional impact</w:t>
      </w:r>
    </w:p>
    <w:p>
      <w:pPr>
        <w:spacing w:after="0" w:line="308" w:lineRule="exact"/>
        <w:rPr>
          <w:sz w:val="20"/>
          <w:szCs w:val="20"/>
          <w:color w:val="auto"/>
        </w:rPr>
      </w:pPr>
    </w:p>
    <w:p>
      <w:pPr>
        <w:jc w:val="both"/>
        <w:spacing w:after="0" w:line="355" w:lineRule="auto"/>
        <w:rPr>
          <w:sz w:val="20"/>
          <w:szCs w:val="20"/>
          <w:color w:val="auto"/>
        </w:rPr>
      </w:pPr>
      <w:r>
        <w:rPr>
          <w:rFonts w:ascii="Times New Roman" w:cs="Times New Roman" w:eastAsia="Times New Roman" w:hAnsi="Times New Roman"/>
          <w:sz w:val="24"/>
          <w:szCs w:val="24"/>
          <w:color w:val="auto"/>
        </w:rPr>
        <w:t>The economical regression due to COVID-19 raised should be addressed, and the earning support or funding should also be given priority for the children live in poverty [57] All nutrition-related programs for the recovery malnutrition that were existed in school should be reopened, including equal distribution of meals for every students [57].</w:t>
      </w:r>
    </w:p>
    <w:p>
      <w:pPr>
        <w:spacing w:after="0" w:line="175"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b w:val="1"/>
          <w:bCs w:val="1"/>
          <w:color w:val="auto"/>
        </w:rPr>
        <w:t>Ensuring/Developing campus-based preventive strategies</w:t>
      </w:r>
    </w:p>
    <w:p>
      <w:pPr>
        <w:spacing w:after="0" w:line="303"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Campus-based strict infection prevention strategies can be implemented by ensuring mask wearing, hygiene measure, temperature checking, adequate sanitation and especially physical distancing as well as avoiding some activities like school games, sports, assemblies, and other mass gathering performance [49] [58] [56] [59]. Tele-health should be available for school level. Even, at the first hour of the class teacher can discuss the preventive strategies in a child-friendly languages building up the knowledge and practice to protect them and to bring it to the family</w:t>
      </w:r>
    </w:p>
    <w:p>
      <w:pPr>
        <w:spacing w:after="0" w:line="158" w:lineRule="exact"/>
        <w:rPr>
          <w:sz w:val="20"/>
          <w:szCs w:val="20"/>
          <w:color w:val="auto"/>
        </w:rPr>
      </w:pPr>
    </w:p>
    <w:p>
      <w:pPr>
        <w:ind w:left="9260"/>
        <w:spacing w:after="0"/>
        <w:rPr>
          <w:sz w:val="20"/>
          <w:szCs w:val="20"/>
          <w:color w:val="auto"/>
        </w:rPr>
      </w:pPr>
      <w:r>
        <w:rPr>
          <w:rFonts w:ascii="Times New Roman" w:cs="Times New Roman" w:eastAsia="Times New Roman" w:hAnsi="Times New Roman"/>
          <w:sz w:val="20"/>
          <w:szCs w:val="20"/>
          <w:color w:val="auto"/>
        </w:rPr>
        <w:t>7</w:t>
      </w:r>
    </w:p>
    <w:p>
      <w:pPr>
        <w:sectPr>
          <w:pgSz w:w="12240" w:h="15840" w:orient="portrait"/>
          <w:cols w:equalWidth="0" w:num="1">
            <w:col w:w="9360"/>
          </w:cols>
          <w:pgMar w:left="1440" w:top="1440" w:right="1440" w:bottom="772" w:gutter="0" w:footer="0" w:header="0"/>
        </w:sectPr>
      </w:pPr>
    </w:p>
    <w:bookmarkStart w:id="7" w:name="page8"/>
    <w:bookmarkEnd w:id="7"/>
    <w:p>
      <w:pPr>
        <w:spacing w:after="0" w:line="3" w:lineRule="exact"/>
        <w:rPr>
          <w:sz w:val="20"/>
          <w:szCs w:val="20"/>
          <w:color w:val="auto"/>
        </w:rPr>
      </w:pPr>
    </w:p>
    <w:p>
      <w:pPr>
        <w:jc w:val="both"/>
        <w:spacing w:after="0" w:line="348" w:lineRule="auto"/>
        <w:rPr>
          <w:sz w:val="20"/>
          <w:szCs w:val="20"/>
          <w:color w:val="auto"/>
        </w:rPr>
      </w:pPr>
      <w:r>
        <w:rPr>
          <w:rFonts w:ascii="Times New Roman" w:cs="Times New Roman" w:eastAsia="Times New Roman" w:hAnsi="Times New Roman"/>
          <w:sz w:val="24"/>
          <w:szCs w:val="24"/>
          <w:color w:val="auto"/>
        </w:rPr>
        <w:t>members, whereas a large number of citizens of Bangladesh almost 25.3% are illiterate [60] may not able to reach health education.</w:t>
      </w:r>
    </w:p>
    <w:p>
      <w:pPr>
        <w:spacing w:after="0" w:line="182"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b w:val="1"/>
          <w:bCs w:val="1"/>
          <w:color w:val="auto"/>
        </w:rPr>
        <w:t>Straightening campus-based prevention strategies</w:t>
      </w:r>
    </w:p>
    <w:p>
      <w:pPr>
        <w:spacing w:after="0" w:line="303"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To limit the spread of the virus, training for every teacher and employee regarding IPC and supplying resources for maintaining hygiene, promoting school environmental sanitation, and increasing ventilation need to be implemented regarding the strengthen of campus-based prevention strategies [49] [61]. Moreover, eyeing on the suspected and confirmed COVID-19 cases to ensure self-isolation, and develop screening capacity for the suspected students [49]. Even, based on contact tracing data and situational analysis, necessary steps should be taken by local communities [56] [37] [59].</w:t>
      </w:r>
    </w:p>
    <w:p>
      <w:pPr>
        <w:spacing w:after="0" w:line="170"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b w:val="1"/>
          <w:bCs w:val="1"/>
          <w:color w:val="auto"/>
        </w:rPr>
        <w:t>Assessing campus-based preventive strategies:</w:t>
      </w:r>
    </w:p>
    <w:p>
      <w:pPr>
        <w:spacing w:after="0" w:line="307" w:lineRule="exact"/>
        <w:rPr>
          <w:sz w:val="20"/>
          <w:szCs w:val="20"/>
          <w:color w:val="auto"/>
        </w:rPr>
      </w:pPr>
    </w:p>
    <w:p>
      <w:pPr>
        <w:jc w:val="both"/>
        <w:spacing w:after="0" w:line="358" w:lineRule="auto"/>
        <w:rPr>
          <w:sz w:val="20"/>
          <w:szCs w:val="20"/>
          <w:color w:val="auto"/>
        </w:rPr>
      </w:pPr>
      <w:r>
        <w:rPr>
          <w:rFonts w:ascii="Times New Roman" w:cs="Times New Roman" w:eastAsia="Times New Roman" w:hAnsi="Times New Roman"/>
          <w:sz w:val="24"/>
          <w:szCs w:val="24"/>
          <w:color w:val="auto"/>
        </w:rPr>
        <w:t>Public health experts, health personals, counselors, and social workers can be visited the school on a priority basis to ensure the assessment of preventive practices, mitigating stress, fear, anxiety, and other emotional problems, and screening and evaluating of the health status of the students after reopening and given priority to, who are vulnerable [37]. Given child space of expressing their feelings of health and illness and their family’s also. The school authorities can coordinate closely with families to communicate with local practitioners and medical experts when students need urgent the medical services.</w:t>
      </w:r>
    </w:p>
    <w:p>
      <w:pPr>
        <w:spacing w:after="0" w:line="167"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Conclusion</w:t>
      </w:r>
    </w:p>
    <w:p>
      <w:pPr>
        <w:spacing w:after="0" w:line="173" w:lineRule="exact"/>
        <w:rPr>
          <w:sz w:val="20"/>
          <w:szCs w:val="20"/>
          <w:color w:val="auto"/>
        </w:rPr>
      </w:pPr>
    </w:p>
    <w:p>
      <w:pPr>
        <w:jc w:val="both"/>
        <w:spacing w:after="0" w:line="356" w:lineRule="auto"/>
        <w:rPr>
          <w:sz w:val="20"/>
          <w:szCs w:val="20"/>
          <w:color w:val="auto"/>
        </w:rPr>
      </w:pPr>
      <w:r>
        <w:rPr>
          <w:rFonts w:ascii="Times New Roman" w:cs="Times New Roman" w:eastAsia="Times New Roman" w:hAnsi="Times New Roman"/>
          <w:sz w:val="24"/>
          <w:szCs w:val="24"/>
          <w:color w:val="auto"/>
        </w:rPr>
        <w:t>Though the spreadability of SARS-CoV2 is higher than many of the microorganisms the closure of schools for a long times has versatile ranges of detrimental effects among the children. Alternatives of the academic features can be mitigated in some extent but the impact of prolong closure of school might pose physical and mental health of the children. By maintaining health protocol, schools opened in Norway the last April, England in June, Germany, and Netherlands in August, and in September France, Italy, Greece, Spain, and Poland started opening, though in Sweden, schools remained open in the pandemic [62]. However, the neighbor country of Bangladesh is India, maximum states have planned to reopen the schools based on non-pharmacological interventions like minimizing the number of students in class and social distancing [63]. We hope by following proper guidelines given by the CDC and relevant with the</w:t>
      </w:r>
    </w:p>
    <w:p>
      <w:pPr>
        <w:ind w:left="9260"/>
        <w:spacing w:after="0"/>
        <w:rPr>
          <w:sz w:val="20"/>
          <w:szCs w:val="20"/>
          <w:color w:val="auto"/>
        </w:rPr>
      </w:pPr>
      <w:r>
        <w:rPr>
          <w:rFonts w:ascii="Times New Roman" w:cs="Times New Roman" w:eastAsia="Times New Roman" w:hAnsi="Times New Roman"/>
          <w:sz w:val="20"/>
          <w:szCs w:val="20"/>
          <w:color w:val="auto"/>
        </w:rPr>
        <w:t>8</w:t>
      </w:r>
    </w:p>
    <w:p>
      <w:pPr>
        <w:sectPr>
          <w:pgSz w:w="12240" w:h="15840" w:orient="portrait"/>
          <w:cols w:equalWidth="0" w:num="1">
            <w:col w:w="9360"/>
          </w:cols>
          <w:pgMar w:left="1440" w:top="1440" w:right="1440" w:bottom="771" w:gutter="0" w:footer="0" w:header="0"/>
        </w:sectPr>
      </w:pPr>
    </w:p>
    <w:bookmarkStart w:id="8" w:name="page9"/>
    <w:bookmarkEnd w:id="8"/>
    <w:p>
      <w:pPr>
        <w:spacing w:after="0" w:line="3" w:lineRule="exact"/>
        <w:rPr>
          <w:sz w:val="20"/>
          <w:szCs w:val="20"/>
          <w:color w:val="auto"/>
        </w:rPr>
      </w:pPr>
    </w:p>
    <w:p>
      <w:pPr>
        <w:jc w:val="both"/>
        <w:spacing w:after="0" w:line="353" w:lineRule="auto"/>
        <w:rPr>
          <w:sz w:val="20"/>
          <w:szCs w:val="20"/>
          <w:color w:val="auto"/>
        </w:rPr>
      </w:pPr>
      <w:r>
        <w:rPr>
          <w:rFonts w:ascii="Times New Roman" w:cs="Times New Roman" w:eastAsia="Times New Roman" w:hAnsi="Times New Roman"/>
          <w:sz w:val="24"/>
          <w:szCs w:val="24"/>
          <w:color w:val="auto"/>
        </w:rPr>
        <w:t>current conditions of Bangladesh the government will reopen the schools soon and will plan to mitigate the educational gap of school going children, especially the rural, poor, and disabled students and early recovering of their loss of health.</w:t>
      </w:r>
    </w:p>
    <w:p>
      <w:pPr>
        <w:spacing w:after="0" w:line="175"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Funding</w:t>
      </w:r>
    </w:p>
    <w:p>
      <w:pPr>
        <w:spacing w:after="0" w:line="319"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color w:val="auto"/>
        </w:rPr>
        <w:t>Authors received no funding for this research.</w:t>
      </w:r>
    </w:p>
    <w:p>
      <w:pPr>
        <w:spacing w:after="0" w:line="303"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Conflict of Interest</w:t>
      </w:r>
    </w:p>
    <w:p>
      <w:pPr>
        <w:spacing w:after="0" w:line="319" w:lineRule="exact"/>
        <w:rPr>
          <w:sz w:val="20"/>
          <w:szCs w:val="20"/>
          <w:color w:val="auto"/>
        </w:rPr>
      </w:pPr>
    </w:p>
    <w:p>
      <w:pPr>
        <w:spacing w:after="0"/>
        <w:rPr>
          <w:sz w:val="20"/>
          <w:szCs w:val="20"/>
          <w:color w:val="auto"/>
        </w:rPr>
      </w:pPr>
      <w:r>
        <w:rPr>
          <w:rFonts w:ascii="Times New Roman" w:cs="Times New Roman" w:eastAsia="Times New Roman" w:hAnsi="Times New Roman"/>
          <w:sz w:val="24"/>
          <w:szCs w:val="24"/>
          <w:color w:val="auto"/>
        </w:rPr>
        <w:t>The authors declare no competing interest regarding this study that may arise from third party</w:t>
      </w:r>
    </w:p>
    <w:p>
      <w:pPr>
        <w:spacing w:after="0" w:line="298"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Acknowledgements</w:t>
      </w:r>
    </w:p>
    <w:p>
      <w:pPr>
        <w:spacing w:after="0" w:line="332" w:lineRule="exact"/>
        <w:rPr>
          <w:sz w:val="20"/>
          <w:szCs w:val="20"/>
          <w:color w:val="auto"/>
        </w:rPr>
      </w:pPr>
    </w:p>
    <w:p>
      <w:pPr>
        <w:jc w:val="both"/>
        <w:spacing w:after="0" w:line="357" w:lineRule="auto"/>
        <w:rPr>
          <w:sz w:val="20"/>
          <w:szCs w:val="20"/>
          <w:color w:val="auto"/>
        </w:rPr>
      </w:pPr>
      <w:r>
        <w:rPr>
          <w:rFonts w:ascii="Times New Roman" w:cs="Times New Roman" w:eastAsia="Times New Roman" w:hAnsi="Times New Roman"/>
          <w:sz w:val="24"/>
          <w:szCs w:val="24"/>
          <w:color w:val="auto"/>
        </w:rPr>
        <w:t>The authors are grateful to the Department of public health, North South University, Bashundhara, Dhaka-1229; Bangladesh and Department of Biochemistry and Molecular Biology, Tejgaon College, National University of Bangladesh, Gazipur- 1704, Bangladesh and Centre for Health Innovation, Networking, Training, Action and Research- Bangladesh, Dhaka, Bangladesh.</w:t>
      </w:r>
    </w:p>
    <w:p>
      <w:pPr>
        <w:spacing w:after="0" w:line="200" w:lineRule="exact"/>
        <w:rPr>
          <w:sz w:val="20"/>
          <w:szCs w:val="20"/>
          <w:color w:val="auto"/>
        </w:rPr>
      </w:pPr>
    </w:p>
    <w:p>
      <w:pPr>
        <w:spacing w:after="0" w:line="200" w:lineRule="exact"/>
        <w:rPr>
          <w:sz w:val="20"/>
          <w:szCs w:val="20"/>
          <w:color w:val="auto"/>
        </w:rPr>
      </w:pPr>
    </w:p>
    <w:p>
      <w:pPr>
        <w:spacing w:after="0" w:line="341" w:lineRule="exact"/>
        <w:rPr>
          <w:sz w:val="20"/>
          <w:szCs w:val="20"/>
          <w:color w:val="auto"/>
        </w:rPr>
      </w:pPr>
    </w:p>
    <w:p>
      <w:pPr>
        <w:spacing w:after="0"/>
        <w:rPr>
          <w:sz w:val="20"/>
          <w:szCs w:val="20"/>
          <w:color w:val="auto"/>
        </w:rPr>
      </w:pPr>
      <w:r>
        <w:rPr>
          <w:rFonts w:ascii="Times New Roman" w:cs="Times New Roman" w:eastAsia="Times New Roman" w:hAnsi="Times New Roman"/>
          <w:sz w:val="28"/>
          <w:szCs w:val="28"/>
          <w:b w:val="1"/>
          <w:bCs w:val="1"/>
          <w:color w:val="auto"/>
        </w:rPr>
        <w:t>Reference</w:t>
      </w:r>
    </w:p>
    <w:p>
      <w:pPr>
        <w:spacing w:after="0" w:line="331" w:lineRule="exact"/>
        <w:rPr>
          <w:sz w:val="20"/>
          <w:szCs w:val="20"/>
          <w:color w:val="auto"/>
        </w:rPr>
      </w:pPr>
    </w:p>
    <w:p>
      <w:pPr>
        <w:ind w:left="640" w:hanging="640"/>
        <w:spacing w:after="0" w:line="348" w:lineRule="auto"/>
        <w:tabs>
          <w:tab w:leader="none" w:pos="640" w:val="left"/>
        </w:tabs>
        <w:numPr>
          <w:ilvl w:val="0"/>
          <w:numId w:val="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D. Cucinotta and M. Vanelli, “WHO Declares COVID-19 a Pandemic,” </w:t>
      </w:r>
      <w:r>
        <w:rPr>
          <w:rFonts w:ascii="Times New Roman" w:cs="Times New Roman" w:eastAsia="Times New Roman" w:hAnsi="Times New Roman"/>
          <w:sz w:val="24"/>
          <w:szCs w:val="24"/>
          <w:i w:val="1"/>
          <w:iCs w:val="1"/>
          <w:color w:val="auto"/>
        </w:rPr>
        <w:t>Acta Biomed</w:t>
      </w:r>
      <w:r>
        <w:rPr>
          <w:rFonts w:ascii="Times New Roman" w:cs="Times New Roman" w:eastAsia="Times New Roman" w:hAnsi="Times New Roman"/>
          <w:sz w:val="24"/>
          <w:szCs w:val="24"/>
          <w:color w:val="auto"/>
        </w:rPr>
        <w:t>, vol. 91, pp. 157–160, 2020, doi: 10.23750/abm.v91i1.9397.</w:t>
      </w:r>
    </w:p>
    <w:p>
      <w:pPr>
        <w:spacing w:after="0" w:line="176"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“Coronavirus Update (Live): 59,056,689 Cases and 1,394,782 Deaths from COVID-19</w:t>
      </w:r>
    </w:p>
    <w:p>
      <w:pPr>
        <w:spacing w:after="0" w:line="149" w:lineRule="exact"/>
        <w:rPr>
          <w:rFonts w:ascii="Times New Roman" w:cs="Times New Roman" w:eastAsia="Times New Roman" w:hAnsi="Times New Roman"/>
          <w:sz w:val="24"/>
          <w:szCs w:val="24"/>
          <w:color w:val="auto"/>
        </w:rPr>
      </w:pPr>
    </w:p>
    <w:p>
      <w:pPr>
        <w:ind w:left="640"/>
        <w:spacing w:after="0" w:line="356"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Virus Pandemic - Worldometer.” https://www.worldometers.info/coronavirus/?utm_campaign=homeAdvegas1%3F&amp;fbclid =IwAR1MVfTC3TjB4FtPV8_pRhWN39EhbS15UKKI3N0d2-oNXkd3DW7_wE6NR60 (accessed Nov. 23, 2020).</w:t>
      </w:r>
    </w:p>
    <w:p>
      <w:pPr>
        <w:spacing w:after="0" w:line="182" w:lineRule="exact"/>
        <w:rPr>
          <w:rFonts w:ascii="Times New Roman" w:cs="Times New Roman" w:eastAsia="Times New Roman" w:hAnsi="Times New Roman"/>
          <w:sz w:val="24"/>
          <w:szCs w:val="24"/>
          <w:color w:val="auto"/>
        </w:rPr>
      </w:pPr>
    </w:p>
    <w:p>
      <w:pPr>
        <w:ind w:left="640" w:hanging="640"/>
        <w:spacing w:after="0" w:line="353" w:lineRule="auto"/>
        <w:tabs>
          <w:tab w:leader="none" w:pos="640" w:val="left"/>
        </w:tabs>
        <w:numPr>
          <w:ilvl w:val="0"/>
          <w:numId w:val="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“Bangladesh: First cases of COVID-19 confirmed March 8.” https://www.garda.com/crisis24/news-alerts/320606/bangladesh-first-cases-of-covid-19-confirmed-march-8 (accessed Nov. 23, 2020).</w:t>
      </w:r>
    </w:p>
    <w:p>
      <w:pPr>
        <w:spacing w:after="0" w:line="200" w:lineRule="exact"/>
        <w:rPr>
          <w:sz w:val="20"/>
          <w:szCs w:val="20"/>
          <w:color w:val="auto"/>
        </w:rPr>
      </w:pPr>
    </w:p>
    <w:p>
      <w:pPr>
        <w:spacing w:after="0" w:line="265"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20"/>
          <w:szCs w:val="20"/>
          <w:color w:val="auto"/>
        </w:rPr>
        <w:t>9</w:t>
      </w:r>
    </w:p>
    <w:p>
      <w:pPr>
        <w:sectPr>
          <w:pgSz w:w="12240" w:h="15840" w:orient="portrait"/>
          <w:cols w:equalWidth="0" w:num="1">
            <w:col w:w="9360"/>
          </w:cols>
          <w:pgMar w:left="1440" w:top="1440" w:right="1440" w:bottom="772" w:gutter="0" w:footer="0" w:header="0"/>
        </w:sectPr>
      </w:pPr>
    </w:p>
    <w:bookmarkStart w:id="9" w:name="page10"/>
    <w:bookmarkEnd w:id="9"/>
    <w:p>
      <w:pPr>
        <w:ind w:left="640" w:hanging="640"/>
        <w:spacing w:after="0"/>
        <w:tabs>
          <w:tab w:leader="none" w:pos="640" w:val="left"/>
        </w:tabs>
        <w:numPr>
          <w:ilvl w:val="0"/>
          <w:numId w:val="7"/>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w:t>
      </w:r>
      <w:r>
        <w:rPr>
          <w:rFonts w:ascii="Nirmala UI" w:cs="Nirmala UI" w:eastAsia="Nirmala UI" w:hAnsi="Nirmala UI"/>
          <w:sz w:val="22"/>
          <w:szCs w:val="22"/>
          <w:color w:val="auto"/>
        </w:rPr>
        <w:t>কর োনো ভোই োস ইনর ো ২০১৯</w:t>
      </w:r>
      <w:r>
        <w:rPr>
          <w:rFonts w:ascii="Times New Roman" w:cs="Times New Roman" w:eastAsia="Times New Roman" w:hAnsi="Times New Roman"/>
          <w:sz w:val="22"/>
          <w:szCs w:val="22"/>
          <w:color w:val="auto"/>
        </w:rPr>
        <w:t xml:space="preserve"> | Coronavirus Disease 2019 (COVID-19) Information</w:t>
      </w:r>
    </w:p>
    <w:p>
      <w:pPr>
        <w:spacing w:after="0" w:line="194" w:lineRule="exact"/>
        <w:rPr>
          <w:rFonts w:ascii="Times New Roman" w:cs="Times New Roman" w:eastAsia="Times New Roman" w:hAnsi="Times New Roman"/>
          <w:sz w:val="22"/>
          <w:szCs w:val="22"/>
          <w:color w:val="auto"/>
        </w:rPr>
      </w:pPr>
    </w:p>
    <w:p>
      <w:pPr>
        <w:ind w:left="640"/>
        <w:spacing w:after="0" w:line="355" w:lineRule="auto"/>
        <w:rPr>
          <w:rFonts w:ascii="Times New Roman" w:cs="Times New Roman" w:eastAsia="Times New Roman" w:hAnsi="Times New Roman"/>
          <w:sz w:val="22"/>
          <w:szCs w:val="22"/>
          <w:color w:val="auto"/>
        </w:rPr>
      </w:pPr>
      <w:r>
        <w:rPr>
          <w:rFonts w:ascii="Times New Roman" w:cs="Times New Roman" w:eastAsia="Times New Roman" w:hAnsi="Times New Roman"/>
          <w:sz w:val="24"/>
          <w:szCs w:val="24"/>
          <w:color w:val="auto"/>
        </w:rPr>
        <w:t>Bangladesh | corona.gov.bd.” https://corona.gov.bd/?gclid=CjwKCAiA2O39BRBjEiwApB2IkncOuppuHBoIJMWBZw _azK7wLZpEAIJ1zR2t7uZe2EV4RBTh5irMAxoCSjsQAvD_BwE (accessed Nov. 23, 2020).</w:t>
      </w:r>
    </w:p>
    <w:p>
      <w:pPr>
        <w:spacing w:after="0" w:line="169" w:lineRule="exact"/>
        <w:rPr>
          <w:rFonts w:ascii="Times New Roman" w:cs="Times New Roman" w:eastAsia="Times New Roman" w:hAnsi="Times New Roman"/>
          <w:sz w:val="22"/>
          <w:szCs w:val="22"/>
          <w:color w:val="auto"/>
        </w:rPr>
      </w:pPr>
    </w:p>
    <w:p>
      <w:pPr>
        <w:ind w:left="640" w:hanging="640"/>
        <w:spacing w:after="0"/>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Z.  Farhana,  S.  A.  Tanni,  S.  Shabnam,  and S.  A.  Chowdhury,  “Secondary Education</w:t>
      </w:r>
    </w:p>
    <w:p>
      <w:pPr>
        <w:spacing w:after="0" w:line="137" w:lineRule="exact"/>
        <w:rPr>
          <w:rFonts w:ascii="Times New Roman" w:cs="Times New Roman" w:eastAsia="Times New Roman" w:hAnsi="Times New Roman"/>
          <w:sz w:val="24"/>
          <w:szCs w:val="24"/>
          <w:color w:val="auto"/>
        </w:rPr>
      </w:pPr>
    </w:p>
    <w:p>
      <w:pPr>
        <w:ind w:left="64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During  Lockdown  Situation  Due  to  Covid-19  Pandemic  in  Bangladesh:  Teachers’</w:t>
      </w:r>
    </w:p>
    <w:p>
      <w:pPr>
        <w:spacing w:after="0" w:line="153" w:lineRule="exact"/>
        <w:rPr>
          <w:rFonts w:ascii="Times New Roman" w:cs="Times New Roman" w:eastAsia="Times New Roman" w:hAnsi="Times New Roman"/>
          <w:sz w:val="24"/>
          <w:szCs w:val="24"/>
          <w:color w:val="auto"/>
        </w:rPr>
      </w:pPr>
    </w:p>
    <w:p>
      <w:pPr>
        <w:ind w:left="640"/>
        <w:spacing w:after="0" w:line="34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Response on Online Classes,” </w:t>
      </w:r>
      <w:r>
        <w:rPr>
          <w:rFonts w:ascii="Times New Roman" w:cs="Times New Roman" w:eastAsia="Times New Roman" w:hAnsi="Times New Roman"/>
          <w:sz w:val="24"/>
          <w:szCs w:val="24"/>
          <w:i w:val="1"/>
          <w:iCs w:val="1"/>
          <w:color w:val="auto"/>
        </w:rPr>
        <w:t>J. Educ. Pract.</w:t>
      </w:r>
      <w:r>
        <w:rPr>
          <w:rFonts w:ascii="Times New Roman" w:cs="Times New Roman" w:eastAsia="Times New Roman" w:hAnsi="Times New Roman"/>
          <w:sz w:val="24"/>
          <w:szCs w:val="24"/>
          <w:color w:val="auto"/>
        </w:rPr>
        <w:t>, no. August, 2020, doi: 10.7176/jep/11-20-11.</w:t>
      </w:r>
    </w:p>
    <w:p>
      <w:pPr>
        <w:spacing w:after="0" w:line="183" w:lineRule="exact"/>
        <w:rPr>
          <w:rFonts w:ascii="Times New Roman" w:cs="Times New Roman" w:eastAsia="Times New Roman" w:hAnsi="Times New Roman"/>
          <w:sz w:val="24"/>
          <w:szCs w:val="24"/>
          <w:color w:val="auto"/>
        </w:rPr>
      </w:pPr>
    </w:p>
    <w:p>
      <w:pPr>
        <w:jc w:val="both"/>
        <w:ind w:left="640" w:hanging="640"/>
        <w:spacing w:after="0" w:line="356" w:lineRule="auto"/>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M. Suryaman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xml:space="preserve">, “COVID-19 pandemic and home online learning system: Does it affect the quality of pharmacy school learning?,” </w:t>
      </w:r>
      <w:r>
        <w:rPr>
          <w:rFonts w:ascii="Times New Roman" w:cs="Times New Roman" w:eastAsia="Times New Roman" w:hAnsi="Times New Roman"/>
          <w:sz w:val="24"/>
          <w:szCs w:val="24"/>
          <w:i w:val="1"/>
          <w:iCs w:val="1"/>
          <w:color w:val="auto"/>
        </w:rPr>
        <w:t>Syst. Rev. Pharm.</w:t>
      </w:r>
      <w:r>
        <w:rPr>
          <w:rFonts w:ascii="Times New Roman" w:cs="Times New Roman" w:eastAsia="Times New Roman" w:hAnsi="Times New Roman"/>
          <w:sz w:val="24"/>
          <w:szCs w:val="24"/>
          <w:color w:val="auto"/>
        </w:rPr>
        <w:t>, 2020, doi: 10.31838/srp.2020.8.74.</w:t>
      </w:r>
    </w:p>
    <w:p>
      <w:pPr>
        <w:spacing w:after="0" w:line="174"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“COVID-19 deepens divide between Bangladesh′s rural and urban students | Asia| An in-depth look at news from across the continent | DW | 22.10.2020.” https://www.dw.com/en/education-bangladesh/a-55358552 (accessed Nov. 23, 2020).</w:t>
      </w:r>
    </w:p>
    <w:p>
      <w:pPr>
        <w:spacing w:after="0" w:line="165"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“Delayedonlineteachinginpandemicwidenseducationgap.”</w:t>
      </w:r>
    </w:p>
    <w:p>
      <w:pPr>
        <w:spacing w:after="0" w:line="153" w:lineRule="exact"/>
        <w:rPr>
          <w:rFonts w:ascii="Times New Roman" w:cs="Times New Roman" w:eastAsia="Times New Roman" w:hAnsi="Times New Roman"/>
          <w:sz w:val="24"/>
          <w:szCs w:val="24"/>
          <w:color w:val="auto"/>
        </w:rPr>
      </w:pPr>
    </w:p>
    <w:p>
      <w:pPr>
        <w:ind w:left="640"/>
        <w:spacing w:after="0" w:line="34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https://www.universityworldnews.com/post.php?story=20200722154017758 (accessed Nov. 24, 2020).</w:t>
      </w:r>
    </w:p>
    <w:p>
      <w:pPr>
        <w:spacing w:after="0" w:line="188" w:lineRule="exact"/>
        <w:rPr>
          <w:rFonts w:ascii="Times New Roman" w:cs="Times New Roman" w:eastAsia="Times New Roman" w:hAnsi="Times New Roman"/>
          <w:sz w:val="24"/>
          <w:szCs w:val="24"/>
          <w:color w:val="auto"/>
        </w:rPr>
      </w:pPr>
    </w:p>
    <w:p>
      <w:pPr>
        <w:ind w:left="640" w:hanging="640"/>
        <w:spacing w:after="0" w:line="353" w:lineRule="auto"/>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“Prospects and perils of online education in Bangladesh.” https://www.newagebd.net/article/107290/prospects-and-perils-of-online-education-in-bangladesh (accessed Nov. 30, 2020).</w:t>
      </w:r>
    </w:p>
    <w:p>
      <w:pPr>
        <w:spacing w:after="0" w:line="184" w:lineRule="exact"/>
        <w:rPr>
          <w:rFonts w:ascii="Times New Roman" w:cs="Times New Roman" w:eastAsia="Times New Roman" w:hAnsi="Times New Roman"/>
          <w:sz w:val="24"/>
          <w:szCs w:val="24"/>
          <w:color w:val="auto"/>
        </w:rPr>
      </w:pPr>
    </w:p>
    <w:p>
      <w:pPr>
        <w:ind w:left="640" w:hanging="640"/>
        <w:spacing w:after="0" w:line="353" w:lineRule="auto"/>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“After COVID-19, no internet means no school for Bangladesh’s rural children.” https://www.thefinancialexpress.com.bd/national/after-covid-19-no-internet-means-no-school-for-bangladeshs-rural-children-1603372972 (accessed Nov. 23, 2020).</w:t>
      </w:r>
    </w:p>
    <w:p>
      <w:pPr>
        <w:spacing w:after="0" w:line="184" w:lineRule="exact"/>
        <w:rPr>
          <w:rFonts w:ascii="Times New Roman" w:cs="Times New Roman" w:eastAsia="Times New Roman" w:hAnsi="Times New Roman"/>
          <w:sz w:val="24"/>
          <w:szCs w:val="24"/>
          <w:color w:val="auto"/>
        </w:rPr>
      </w:pPr>
    </w:p>
    <w:p>
      <w:pPr>
        <w:ind w:left="640" w:hanging="640"/>
        <w:spacing w:after="0" w:line="353" w:lineRule="auto"/>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“Closing digital divide in BD’s online education.” https://www.thefinancialexpress.com.bd/views/reviews/closing-digital-divide-in-bds-online-education-1598456336 (accessed Nov. 29, 2020).</w:t>
      </w:r>
    </w:p>
    <w:p>
      <w:pPr>
        <w:spacing w:after="0" w:line="172"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“Students in Bangladesh adjust to remote learning via national TV during COVID-19</w:t>
      </w:r>
    </w:p>
    <w:p>
      <w:pPr>
        <w:spacing w:after="0" w:line="40"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20"/>
          <w:szCs w:val="20"/>
          <w:color w:val="auto"/>
        </w:rPr>
        <w:t>10</w:t>
      </w:r>
    </w:p>
    <w:p>
      <w:pPr>
        <w:sectPr>
          <w:pgSz w:w="12240" w:h="15840" w:orient="portrait"/>
          <w:cols w:equalWidth="0" w:num="1">
            <w:col w:w="9360"/>
          </w:cols>
          <w:pgMar w:left="1440" w:top="1435" w:right="1440" w:bottom="772" w:gutter="0" w:footer="0" w:header="0"/>
        </w:sectPr>
      </w:pPr>
    </w:p>
    <w:bookmarkStart w:id="10" w:name="page11"/>
    <w:bookmarkEnd w:id="10"/>
    <w:p>
      <w:pPr>
        <w:spacing w:after="0" w:line="3" w:lineRule="exact"/>
        <w:rPr>
          <w:sz w:val="20"/>
          <w:szCs w:val="20"/>
          <w:color w:val="auto"/>
        </w:rPr>
      </w:pPr>
    </w:p>
    <w:p>
      <w:pPr>
        <w:jc w:val="both"/>
        <w:ind w:left="640"/>
        <w:spacing w:after="0" w:line="353" w:lineRule="auto"/>
        <w:rPr>
          <w:sz w:val="20"/>
          <w:szCs w:val="20"/>
          <w:color w:val="auto"/>
        </w:rPr>
      </w:pPr>
      <w:r>
        <w:rPr>
          <w:rFonts w:ascii="Times New Roman" w:cs="Times New Roman" w:eastAsia="Times New Roman" w:hAnsi="Times New Roman"/>
          <w:sz w:val="24"/>
          <w:szCs w:val="24"/>
          <w:color w:val="auto"/>
        </w:rPr>
        <w:t>lockdown | UNICEF Bangladesh.” https://www.unicef.org/bangladesh/en/stories/students-bangladesh-adjust-remote-learning-national-tv-during-covid-19-lockdown (accessed Nov. 23, 2020).</w:t>
      </w:r>
    </w:p>
    <w:p>
      <w:pPr>
        <w:spacing w:after="0" w:line="172" w:lineRule="exact"/>
        <w:rPr>
          <w:sz w:val="20"/>
          <w:szCs w:val="20"/>
          <w:color w:val="auto"/>
        </w:rPr>
      </w:pPr>
    </w:p>
    <w:p>
      <w:pPr>
        <w:ind w:left="640" w:hanging="640"/>
        <w:spacing w:after="0"/>
        <w:tabs>
          <w:tab w:leader="none" w:pos="640" w:val="left"/>
        </w:tabs>
        <w:numPr>
          <w:ilvl w:val="0"/>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“How BRAC is supporting Bangladesh to continue education in a pandemic - The Good</w:t>
      </w:r>
    </w:p>
    <w:p>
      <w:pPr>
        <w:spacing w:after="0" w:line="149" w:lineRule="exact"/>
        <w:rPr>
          <w:rFonts w:ascii="Times New Roman" w:cs="Times New Roman" w:eastAsia="Times New Roman" w:hAnsi="Times New Roman"/>
          <w:sz w:val="24"/>
          <w:szCs w:val="24"/>
          <w:color w:val="auto"/>
        </w:rPr>
      </w:pPr>
    </w:p>
    <w:p>
      <w:pPr>
        <w:ind w:left="640"/>
        <w:spacing w:after="0" w:line="352"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Feed.” http://blog.brac.net/how-bangladesh-is-continuing-education-in-a-pandemic/ (accessed Nov. 23, 2020).</w:t>
      </w:r>
    </w:p>
    <w:p>
      <w:pPr>
        <w:spacing w:after="0" w:line="167"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“Al Jazeera English Channel on Bangladesh’s first-ever DTH platform | Al Jazeera Media</w:t>
      </w:r>
    </w:p>
    <w:p>
      <w:pPr>
        <w:spacing w:after="0" w:line="149" w:lineRule="exact"/>
        <w:rPr>
          <w:rFonts w:ascii="Times New Roman" w:cs="Times New Roman" w:eastAsia="Times New Roman" w:hAnsi="Times New Roman"/>
          <w:sz w:val="24"/>
          <w:szCs w:val="24"/>
          <w:color w:val="auto"/>
        </w:rPr>
      </w:pPr>
    </w:p>
    <w:p>
      <w:pPr>
        <w:ind w:left="640"/>
        <w:spacing w:after="0" w:line="352"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Network.” https://network.aljazeera.net/pressroom/al-jazeera-english-channel-bangladesh’s-first-ever-dth-platform (accessed Nov. 24, 2020).</w:t>
      </w:r>
    </w:p>
    <w:p>
      <w:pPr>
        <w:spacing w:after="0" w:line="179" w:lineRule="exact"/>
        <w:rPr>
          <w:rFonts w:ascii="Times New Roman" w:cs="Times New Roman" w:eastAsia="Times New Roman" w:hAnsi="Times New Roman"/>
          <w:sz w:val="24"/>
          <w:szCs w:val="24"/>
          <w:color w:val="auto"/>
        </w:rPr>
      </w:pPr>
    </w:p>
    <w:p>
      <w:pPr>
        <w:jc w:val="both"/>
        <w:ind w:left="640" w:hanging="640"/>
        <w:spacing w:after="0" w:line="356" w:lineRule="auto"/>
        <w:tabs>
          <w:tab w:leader="none" w:pos="640" w:val="left"/>
        </w:tabs>
        <w:numPr>
          <w:ilvl w:val="0"/>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R. M. Viner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xml:space="preserve">, “School closure and management practices during coronavirus outbreaks including COVID-19: a rapid systematic review,” </w:t>
      </w:r>
      <w:r>
        <w:rPr>
          <w:rFonts w:ascii="Times New Roman" w:cs="Times New Roman" w:eastAsia="Times New Roman" w:hAnsi="Times New Roman"/>
          <w:sz w:val="24"/>
          <w:szCs w:val="24"/>
          <w:i w:val="1"/>
          <w:iCs w:val="1"/>
          <w:color w:val="auto"/>
        </w:rPr>
        <w:t>The Lancet Child and</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Adolescent Health</w:t>
      </w:r>
      <w:r>
        <w:rPr>
          <w:rFonts w:ascii="Times New Roman" w:cs="Times New Roman" w:eastAsia="Times New Roman" w:hAnsi="Times New Roman"/>
          <w:sz w:val="24"/>
          <w:szCs w:val="24"/>
          <w:color w:val="auto"/>
        </w:rPr>
        <w:t>, vol. 4, no. 5. Elsevier B.V., pp. 397–404, May 01, 2020, doi:</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10.1016/S2352-4642(20)30095-X.</w:t>
      </w:r>
    </w:p>
    <w:p>
      <w:pPr>
        <w:spacing w:after="0" w:line="165"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R. K. Biswas, S. Huq, and A. Afiaz, “Relaxed lockdown in Bangladesh during COVID-</w:t>
      </w:r>
    </w:p>
    <w:p>
      <w:pPr>
        <w:spacing w:after="0" w:line="14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24"/>
          <w:szCs w:val="24"/>
          <w:color w:val="auto"/>
        </w:rPr>
        <w:t xml:space="preserve">19: should economy outweigh health?,” </w:t>
      </w:r>
      <w:r>
        <w:rPr>
          <w:rFonts w:ascii="Times New Roman" w:cs="Times New Roman" w:eastAsia="Times New Roman" w:hAnsi="Times New Roman"/>
          <w:sz w:val="24"/>
          <w:szCs w:val="24"/>
          <w:i w:val="1"/>
          <w:iCs w:val="1"/>
          <w:color w:val="auto"/>
        </w:rPr>
        <w:t>Kerman Univ. Med. Sci.</w:t>
      </w:r>
      <w:r>
        <w:rPr>
          <w:rFonts w:ascii="Times New Roman" w:cs="Times New Roman" w:eastAsia="Times New Roman" w:hAnsi="Times New Roman"/>
          <w:sz w:val="24"/>
          <w:szCs w:val="24"/>
          <w:color w:val="auto"/>
        </w:rPr>
        <w:t>, vol. 9, no. 11, pp. 488–</w:t>
      </w:r>
    </w:p>
    <w:p>
      <w:pPr>
        <w:spacing w:after="0" w:line="13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24"/>
          <w:szCs w:val="24"/>
          <w:color w:val="auto"/>
        </w:rPr>
        <w:t>490, 2020, doi: 10.34172/ijhpm.2020.98.</w:t>
      </w:r>
    </w:p>
    <w:p>
      <w:pPr>
        <w:spacing w:after="0" w:line="300" w:lineRule="exact"/>
        <w:rPr>
          <w:sz w:val="20"/>
          <w:szCs w:val="20"/>
          <w:color w:val="auto"/>
        </w:rPr>
      </w:pPr>
    </w:p>
    <w:p>
      <w:pPr>
        <w:ind w:left="640" w:hanging="640"/>
        <w:spacing w:after="0"/>
        <w:tabs>
          <w:tab w:leader="none" w:pos="640" w:val="left"/>
        </w:tabs>
        <w:numPr>
          <w:ilvl w:val="0"/>
          <w:numId w:val="9"/>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“Bangladesh reopens offices, transport services amid spike in coronavirus cases- The New</w:t>
      </w:r>
    </w:p>
    <w:p>
      <w:pPr>
        <w:spacing w:after="0" w:line="149" w:lineRule="exact"/>
        <w:rPr>
          <w:rFonts w:ascii="Times New Roman" w:cs="Times New Roman" w:eastAsia="Times New Roman" w:hAnsi="Times New Roman"/>
          <w:sz w:val="24"/>
          <w:szCs w:val="24"/>
          <w:color w:val="auto"/>
        </w:rPr>
      </w:pPr>
    </w:p>
    <w:p>
      <w:pPr>
        <w:ind w:left="640"/>
        <w:spacing w:after="0" w:line="353"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Indian Express.” https://www.newindianexpress.com/world/2020/may/31/bangladesh-reopens-offices-transport-services-amid-spike-in-coronavirus-cases-2150433.html (accessed Dec. 01, 2020).</w:t>
      </w:r>
    </w:p>
    <w:p>
      <w:pPr>
        <w:spacing w:after="0" w:line="184" w:lineRule="exact"/>
        <w:rPr>
          <w:rFonts w:ascii="Times New Roman" w:cs="Times New Roman" w:eastAsia="Times New Roman" w:hAnsi="Times New Roman"/>
          <w:sz w:val="24"/>
          <w:szCs w:val="24"/>
          <w:color w:val="auto"/>
        </w:rPr>
      </w:pPr>
    </w:p>
    <w:p>
      <w:pPr>
        <w:ind w:left="640" w:hanging="640"/>
        <w:spacing w:after="0" w:line="348" w:lineRule="auto"/>
        <w:tabs>
          <w:tab w:leader="none" w:pos="640" w:val="left"/>
        </w:tabs>
        <w:numPr>
          <w:ilvl w:val="0"/>
          <w:numId w:val="9"/>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“2nd wave of COVID-19 hits Bangladesh.” https://www.aa.com.tr/en/asia-pacific/2nd-wave-of-covid-19-hits-bangladesh/1983091 (accessed Nov. 29, 2020).</w:t>
      </w:r>
    </w:p>
    <w:p>
      <w:pPr>
        <w:spacing w:after="0" w:line="188"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9"/>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“Bangladesh not planning another lockdown amid fears of second coronavirus wave | bdnews24.com.” https://bdnews24.com/bangladesh/2020/11/02/bangladesh-not-planning-another-lockdown-amid-fears-of-second-coronavirus-wave (accessed Nov. 29, 2020).</w:t>
      </w:r>
    </w:p>
    <w:p>
      <w:pPr>
        <w:spacing w:after="0" w:line="184" w:lineRule="exact"/>
        <w:rPr>
          <w:rFonts w:ascii="Times New Roman" w:cs="Times New Roman" w:eastAsia="Times New Roman" w:hAnsi="Times New Roman"/>
          <w:sz w:val="24"/>
          <w:szCs w:val="24"/>
          <w:color w:val="auto"/>
        </w:rPr>
      </w:pPr>
    </w:p>
    <w:p>
      <w:pPr>
        <w:jc w:val="both"/>
        <w:ind w:left="640" w:hanging="640"/>
        <w:spacing w:after="0" w:line="349" w:lineRule="auto"/>
        <w:tabs>
          <w:tab w:leader="none" w:pos="640" w:val="left"/>
        </w:tabs>
        <w:numPr>
          <w:ilvl w:val="0"/>
          <w:numId w:val="9"/>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“Govt against lockdown to keep economy afloat: Cabinet secretary | The Business Standard.” https://tbsnews.net/coronavirus-chronicle/covid-19-bangladesh/govt-against-lockdown-keep-economy-afloat-cabinet-secy (accessed Nov. 30, 2020).</w:t>
      </w:r>
    </w:p>
    <w:p>
      <w:pPr>
        <w:ind w:left="9160"/>
        <w:spacing w:after="0" w:line="233" w:lineRule="auto"/>
        <w:rPr>
          <w:sz w:val="20"/>
          <w:szCs w:val="20"/>
          <w:color w:val="auto"/>
        </w:rPr>
      </w:pPr>
      <w:r>
        <w:rPr>
          <w:rFonts w:ascii="Times New Roman" w:cs="Times New Roman" w:eastAsia="Times New Roman" w:hAnsi="Times New Roman"/>
          <w:sz w:val="20"/>
          <w:szCs w:val="20"/>
          <w:color w:val="auto"/>
        </w:rPr>
        <w:t>11</w:t>
      </w:r>
    </w:p>
    <w:p>
      <w:pPr>
        <w:sectPr>
          <w:pgSz w:w="12240" w:h="15840" w:orient="portrait"/>
          <w:cols w:equalWidth="0" w:num="1">
            <w:col w:w="9360"/>
          </w:cols>
          <w:pgMar w:left="1440" w:top="1440" w:right="1440" w:bottom="772" w:gutter="0" w:footer="0" w:header="0"/>
        </w:sectPr>
      </w:pPr>
    </w:p>
    <w:bookmarkStart w:id="11" w:name="page12"/>
    <w:bookmarkEnd w:id="11"/>
    <w:p>
      <w:pPr>
        <w:ind w:left="640" w:hanging="640"/>
        <w:spacing w:after="0"/>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“Bangladesh Economy: How can growth in pandemic time be same? | The Business</w:t>
      </w:r>
    </w:p>
    <w:p>
      <w:pPr>
        <w:spacing w:after="0" w:line="149" w:lineRule="exact"/>
        <w:rPr>
          <w:rFonts w:ascii="Times New Roman" w:cs="Times New Roman" w:eastAsia="Times New Roman" w:hAnsi="Times New Roman"/>
          <w:sz w:val="24"/>
          <w:szCs w:val="24"/>
          <w:color w:val="auto"/>
        </w:rPr>
      </w:pPr>
    </w:p>
    <w:p>
      <w:pPr>
        <w:ind w:left="640"/>
        <w:spacing w:after="0" w:line="34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Standard.” https://tbsnews.net/analysis/when-economic-good-news-just-hot-air-119464 (accessed Nov. 30, 2020).</w:t>
      </w:r>
    </w:p>
    <w:p>
      <w:pPr>
        <w:spacing w:after="0" w:line="176"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“Bangladesh  has  no  plan  to  order  new  COVID-19  lockdown:  cabinet  -  Xinhua  |</w:t>
      </w:r>
    </w:p>
    <w:p>
      <w:pPr>
        <w:spacing w:after="0" w:line="149" w:lineRule="exact"/>
        <w:rPr>
          <w:rFonts w:ascii="Times New Roman" w:cs="Times New Roman" w:eastAsia="Times New Roman" w:hAnsi="Times New Roman"/>
          <w:sz w:val="24"/>
          <w:szCs w:val="24"/>
          <w:color w:val="auto"/>
        </w:rPr>
      </w:pPr>
    </w:p>
    <w:p>
      <w:pPr>
        <w:ind w:left="640"/>
        <w:spacing w:after="0" w:line="352"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English.news.cn.” http://www.xinhuanet.com/english/2020-11/03/c_139486951.htm (accessed Nov. 29, 2020).</w:t>
      </w:r>
    </w:p>
    <w:p>
      <w:pPr>
        <w:spacing w:after="0" w:line="179" w:lineRule="exact"/>
        <w:rPr>
          <w:rFonts w:ascii="Times New Roman" w:cs="Times New Roman" w:eastAsia="Times New Roman" w:hAnsi="Times New Roman"/>
          <w:sz w:val="24"/>
          <w:szCs w:val="24"/>
          <w:color w:val="auto"/>
        </w:rPr>
      </w:pPr>
    </w:p>
    <w:p>
      <w:pPr>
        <w:ind w:left="640" w:hanging="640"/>
        <w:spacing w:after="0" w:line="355"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“Mask-wearing mandatory in BD: Not everyone cares.” https://www.thefinancialexpress.com.bd/health/mask-wearing-mandatory-in-bd-not-everyone-cares-1595928041 (accessed Dec. 01, 2020).</w:t>
      </w:r>
    </w:p>
    <w:p>
      <w:pPr>
        <w:spacing w:after="0" w:line="177"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J. A. Hoffman and E. A. Miller, “Addressing the Consequences of School Closure Due to COVID-19 on Children’s Physical and Mental Well-Being,” </w:t>
      </w:r>
      <w:r>
        <w:rPr>
          <w:rFonts w:ascii="Times New Roman" w:cs="Times New Roman" w:eastAsia="Times New Roman" w:hAnsi="Times New Roman"/>
          <w:sz w:val="24"/>
          <w:szCs w:val="24"/>
          <w:i w:val="1"/>
          <w:iCs w:val="1"/>
          <w:color w:val="auto"/>
        </w:rPr>
        <w:t>World Medical and Health</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Policy</w:t>
      </w:r>
      <w:r>
        <w:rPr>
          <w:rFonts w:ascii="Times New Roman" w:cs="Times New Roman" w:eastAsia="Times New Roman" w:hAnsi="Times New Roman"/>
          <w:sz w:val="24"/>
          <w:szCs w:val="24"/>
          <w:color w:val="auto"/>
        </w:rPr>
        <w:t>. 2020, doi: 10.1002/wmh3.365.</w:t>
      </w:r>
    </w:p>
    <w:p>
      <w:pPr>
        <w:spacing w:after="0" w:line="164"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 J. Joseph, S. S. Bhandari, S. Ranjitkar, and S. Dutta, “School Closures and Mental</w:t>
      </w:r>
    </w:p>
    <w:p>
      <w:pPr>
        <w:spacing w:after="0" w:line="137" w:lineRule="exact"/>
        <w:rPr>
          <w:rFonts w:ascii="Times New Roman" w:cs="Times New Roman" w:eastAsia="Times New Roman" w:hAnsi="Times New Roman"/>
          <w:sz w:val="24"/>
          <w:szCs w:val="24"/>
          <w:color w:val="auto"/>
        </w:rPr>
      </w:pPr>
    </w:p>
    <w:p>
      <w:pPr>
        <w:ind w:left="64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Health  Concerns  for  Children  and  Adolescents  during  the  COVID-19  Pandemic,”</w:t>
      </w:r>
    </w:p>
    <w:p>
      <w:pPr>
        <w:spacing w:after="0" w:line="141" w:lineRule="exact"/>
        <w:rPr>
          <w:rFonts w:ascii="Times New Roman" w:cs="Times New Roman" w:eastAsia="Times New Roman" w:hAnsi="Times New Roman"/>
          <w:sz w:val="24"/>
          <w:szCs w:val="24"/>
          <w:color w:val="auto"/>
        </w:rPr>
      </w:pPr>
    </w:p>
    <w:p>
      <w:pPr>
        <w:ind w:left="64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i w:val="1"/>
          <w:iCs w:val="1"/>
          <w:color w:val="auto"/>
        </w:rPr>
        <w:t>Psychiatr. Danub.</w:t>
      </w:r>
      <w:r>
        <w:rPr>
          <w:rFonts w:ascii="Times New Roman" w:cs="Times New Roman" w:eastAsia="Times New Roman" w:hAnsi="Times New Roman"/>
          <w:sz w:val="24"/>
          <w:szCs w:val="24"/>
          <w:color w:val="auto"/>
        </w:rPr>
        <w:t>, 2020.</w:t>
      </w:r>
    </w:p>
    <w:p>
      <w:pPr>
        <w:spacing w:after="0" w:line="307"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Q. Chen, G. Nie, B. Yan, and Y. Huang, “Mental health burden for Chinese middle school students affected by the COVID-19 pandemic,” </w:t>
      </w:r>
      <w:r>
        <w:rPr>
          <w:rFonts w:ascii="Times New Roman" w:cs="Times New Roman" w:eastAsia="Times New Roman" w:hAnsi="Times New Roman"/>
          <w:sz w:val="24"/>
          <w:szCs w:val="24"/>
          <w:i w:val="1"/>
          <w:iCs w:val="1"/>
          <w:color w:val="auto"/>
        </w:rPr>
        <w:t>Asian J. Psychiatr.</w:t>
      </w:r>
      <w:r>
        <w:rPr>
          <w:rFonts w:ascii="Times New Roman" w:cs="Times New Roman" w:eastAsia="Times New Roman" w:hAnsi="Times New Roman"/>
          <w:sz w:val="24"/>
          <w:szCs w:val="24"/>
          <w:color w:val="auto"/>
        </w:rPr>
        <w:t>, vol. 54, no. 3002, p. 102251, 2020, doi: 10.1016/j.ajp.2020.102251.</w:t>
      </w:r>
    </w:p>
    <w:p>
      <w:pPr>
        <w:spacing w:after="0" w:line="177" w:lineRule="exact"/>
        <w:rPr>
          <w:rFonts w:ascii="Times New Roman" w:cs="Times New Roman" w:eastAsia="Times New Roman" w:hAnsi="Times New Roman"/>
          <w:sz w:val="24"/>
          <w:szCs w:val="24"/>
          <w:color w:val="auto"/>
        </w:rPr>
      </w:pPr>
    </w:p>
    <w:p>
      <w:pPr>
        <w:jc w:val="both"/>
        <w:ind w:left="640" w:hanging="640"/>
        <w:spacing w:after="0" w:line="352"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I. H. Chen, C. Y. Chen, A. H. Pakpour, M. D. Griffiths, and C. Y. Lin, “Internet-Related Behaviors and Psychological Distress Among Schoolchildren During COVID-19 School</w:t>
      </w:r>
    </w:p>
    <w:p>
      <w:pPr>
        <w:spacing w:after="0" w:line="21" w:lineRule="exact"/>
        <w:rPr>
          <w:rFonts w:ascii="Times New Roman" w:cs="Times New Roman" w:eastAsia="Times New Roman" w:hAnsi="Times New Roman"/>
          <w:sz w:val="24"/>
          <w:szCs w:val="24"/>
          <w:color w:val="auto"/>
        </w:rPr>
      </w:pPr>
    </w:p>
    <w:p>
      <w:pPr>
        <w:ind w:left="640"/>
        <w:spacing w:after="0" w:line="34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Suspension,” </w:t>
      </w:r>
      <w:r>
        <w:rPr>
          <w:rFonts w:ascii="Times New Roman" w:cs="Times New Roman" w:eastAsia="Times New Roman" w:hAnsi="Times New Roman"/>
          <w:sz w:val="24"/>
          <w:szCs w:val="24"/>
          <w:i w:val="1"/>
          <w:iCs w:val="1"/>
          <w:color w:val="auto"/>
        </w:rPr>
        <w:t>Journal of the American Academy of Child and Adolescent Psychiatry</w:t>
      </w:r>
      <w:r>
        <w:rPr>
          <w:rFonts w:ascii="Times New Roman" w:cs="Times New Roman" w:eastAsia="Times New Roman" w:hAnsi="Times New Roman"/>
          <w:sz w:val="24"/>
          <w:szCs w:val="24"/>
          <w:color w:val="auto"/>
        </w:rPr>
        <w:t>. 2020, doi: 10.1016/j.jaac.2020.06.007.</w:t>
      </w:r>
    </w:p>
    <w:p>
      <w:pPr>
        <w:spacing w:after="0" w:line="188"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D. Marques de Miranda, B. da Silva Athanasio, A. C. Sena Oliveira, and A. C. Simoes-e-Silva, “How is COVID-19 pandemic impacting mental health of children and adolescents?,” </w:t>
      </w:r>
      <w:r>
        <w:rPr>
          <w:rFonts w:ascii="Times New Roman" w:cs="Times New Roman" w:eastAsia="Times New Roman" w:hAnsi="Times New Roman"/>
          <w:sz w:val="24"/>
          <w:szCs w:val="24"/>
          <w:i w:val="1"/>
          <w:iCs w:val="1"/>
          <w:color w:val="auto"/>
        </w:rPr>
        <w:t>International Journal of Disaster Risk Reduction</w:t>
      </w:r>
      <w:r>
        <w:rPr>
          <w:rFonts w:ascii="Times New Roman" w:cs="Times New Roman" w:eastAsia="Times New Roman" w:hAnsi="Times New Roman"/>
          <w:sz w:val="24"/>
          <w:szCs w:val="24"/>
          <w:color w:val="auto"/>
        </w:rPr>
        <w:t>. 2020, doi: 10.1016/j.ijdrr.2020.101845.</w:t>
      </w:r>
    </w:p>
    <w:p>
      <w:pPr>
        <w:spacing w:after="0" w:line="181" w:lineRule="exact"/>
        <w:rPr>
          <w:rFonts w:ascii="Times New Roman" w:cs="Times New Roman" w:eastAsia="Times New Roman" w:hAnsi="Times New Roman"/>
          <w:sz w:val="24"/>
          <w:szCs w:val="24"/>
          <w:color w:val="auto"/>
        </w:rPr>
      </w:pPr>
    </w:p>
    <w:p>
      <w:pPr>
        <w:jc w:val="both"/>
        <w:ind w:left="640" w:hanging="640"/>
        <w:spacing w:after="0" w:line="345" w:lineRule="auto"/>
        <w:tabs>
          <w:tab w:leader="none" w:pos="640" w:val="left"/>
        </w:tabs>
        <w:numPr>
          <w:ilvl w:val="0"/>
          <w:numId w:val="10"/>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S. Patra, B. K. Patro, and S. P. Acharya, “COVID-19 lockdown and school closure: Boon or bane for child mental health, results of a telephonic parent survey,” </w:t>
      </w:r>
      <w:r>
        <w:rPr>
          <w:rFonts w:ascii="Times New Roman" w:cs="Times New Roman" w:eastAsia="Times New Roman" w:hAnsi="Times New Roman"/>
          <w:sz w:val="24"/>
          <w:szCs w:val="24"/>
          <w:i w:val="1"/>
          <w:iCs w:val="1"/>
          <w:color w:val="auto"/>
        </w:rPr>
        <w:t>Asian Journal of</w:t>
      </w:r>
    </w:p>
    <w:p>
      <w:pPr>
        <w:ind w:left="9160"/>
        <w:spacing w:after="0" w:line="230" w:lineRule="auto"/>
        <w:rPr>
          <w:sz w:val="20"/>
          <w:szCs w:val="20"/>
          <w:color w:val="auto"/>
        </w:rPr>
      </w:pPr>
      <w:r>
        <w:rPr>
          <w:rFonts w:ascii="Times New Roman" w:cs="Times New Roman" w:eastAsia="Times New Roman" w:hAnsi="Times New Roman"/>
          <w:sz w:val="20"/>
          <w:szCs w:val="20"/>
          <w:color w:val="auto"/>
        </w:rPr>
        <w:t>12</w:t>
      </w:r>
    </w:p>
    <w:p>
      <w:pPr>
        <w:sectPr>
          <w:pgSz w:w="12240" w:h="15840" w:orient="portrait"/>
          <w:cols w:equalWidth="0" w:num="1">
            <w:col w:w="9360"/>
          </w:cols>
          <w:pgMar w:left="1440" w:top="1430" w:right="1440" w:bottom="772" w:gutter="0" w:footer="0" w:header="0"/>
        </w:sectPr>
      </w:pPr>
    </w:p>
    <w:bookmarkStart w:id="12" w:name="page13"/>
    <w:bookmarkEnd w:id="12"/>
    <w:p>
      <w:pPr>
        <w:ind w:left="640"/>
        <w:spacing w:after="0"/>
        <w:rPr>
          <w:sz w:val="20"/>
          <w:szCs w:val="20"/>
          <w:color w:val="auto"/>
        </w:rPr>
      </w:pPr>
      <w:r>
        <w:rPr>
          <w:rFonts w:ascii="Times New Roman" w:cs="Times New Roman" w:eastAsia="Times New Roman" w:hAnsi="Times New Roman"/>
          <w:sz w:val="24"/>
          <w:szCs w:val="24"/>
          <w:i w:val="1"/>
          <w:iCs w:val="1"/>
          <w:color w:val="auto"/>
        </w:rPr>
        <w:t>Psychiatry</w:t>
      </w:r>
      <w:r>
        <w:rPr>
          <w:rFonts w:ascii="Times New Roman" w:cs="Times New Roman" w:eastAsia="Times New Roman" w:hAnsi="Times New Roman"/>
          <w:sz w:val="24"/>
          <w:szCs w:val="24"/>
          <w:color w:val="auto"/>
        </w:rPr>
        <w:t>. 2020, doi: 10.1016/j.ajp.2020.102395.</w:t>
      </w:r>
    </w:p>
    <w:p>
      <w:pPr>
        <w:spacing w:after="0" w:line="312" w:lineRule="exact"/>
        <w:rPr>
          <w:sz w:val="20"/>
          <w:szCs w:val="20"/>
          <w:color w:val="auto"/>
        </w:rPr>
      </w:pPr>
    </w:p>
    <w:p>
      <w:pPr>
        <w:jc w:val="both"/>
        <w:ind w:left="640" w:hanging="640"/>
        <w:spacing w:after="0" w:line="353"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D. Adıbelli and A. Sümen, “The effect of the coronavirus (COVID</w:t>
      </w:r>
      <w:r>
        <w:rPr>
          <w:rFonts w:ascii="Times New Roman" w:cs="Times New Roman" w:eastAsia="Times New Roman" w:hAnsi="Times New Roman"/>
          <w:sz w:val="24"/>
          <w:szCs w:val="24"/>
          <w:color w:val="auto"/>
        </w:rPr>
        <w:t>-19) pandemic on</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color w:val="auto"/>
        </w:rPr>
        <w:t>health-</w:t>
      </w:r>
      <w:r>
        <w:rPr>
          <w:rFonts w:ascii="Times New Roman" w:cs="Times New Roman" w:eastAsia="Times New Roman" w:hAnsi="Times New Roman"/>
          <w:sz w:val="24"/>
          <w:szCs w:val="24"/>
          <w:color w:val="auto"/>
        </w:rPr>
        <w:t>related quality of life in children,”</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Child. Youth Serv. Rev.</w:t>
      </w:r>
      <w:r>
        <w:rPr>
          <w:rFonts w:ascii="Times New Roman" w:cs="Times New Roman" w:eastAsia="Times New Roman" w:hAnsi="Times New Roman"/>
          <w:sz w:val="24"/>
          <w:szCs w:val="24"/>
          <w:color w:val="auto"/>
        </w:rPr>
        <w:t>, 2020, doi: 10.1016/j.childyouth.2020.105595.</w:t>
      </w:r>
    </w:p>
    <w:p>
      <w:pPr>
        <w:spacing w:after="0" w:line="184"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S. Chockalingam, R. Gayathri, K. Yuvaraj Babu, and </w:t>
      </w:r>
      <w:r>
        <w:rPr>
          <w:rFonts w:ascii="Times New Roman" w:cs="Times New Roman" w:eastAsia="Times New Roman" w:hAnsi="Times New Roman"/>
          <w:sz w:val="24"/>
          <w:szCs w:val="24"/>
          <w:color w:val="auto"/>
        </w:rPr>
        <w:t>V. Vishnu Priya, “Online gaming</w:t>
      </w:r>
      <w:r>
        <w:rPr>
          <w:rFonts w:ascii="Times New Roman" w:cs="Times New Roman" w:eastAsia="Times New Roman" w:hAnsi="Times New Roman"/>
          <w:sz w:val="24"/>
          <w:szCs w:val="24"/>
          <w:color w:val="auto"/>
        </w:rPr>
        <w:t xml:space="preserve"> and urban school children during lockdown-</w:t>
      </w:r>
      <w:r>
        <w:rPr>
          <w:rFonts w:ascii="Times New Roman" w:cs="Times New Roman" w:eastAsia="Times New Roman" w:hAnsi="Times New Roman"/>
          <w:sz w:val="24"/>
          <w:szCs w:val="24"/>
          <w:color w:val="auto"/>
        </w:rPr>
        <w:t>a survey,”</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Int. J. Pharm. Res.</w:t>
      </w:r>
      <w:r>
        <w:rPr>
          <w:rFonts w:ascii="Times New Roman" w:cs="Times New Roman" w:eastAsia="Times New Roman" w:hAnsi="Times New Roman"/>
          <w:sz w:val="24"/>
          <w:szCs w:val="24"/>
          <w:color w:val="auto"/>
        </w:rPr>
        <w:t>, 2020, doi: 10.31838/ijpr/2020.SP2.188.</w:t>
      </w:r>
    </w:p>
    <w:p>
      <w:pPr>
        <w:spacing w:after="0" w:line="172"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M. Poletti and A. Raballo, “Letter to the editor: Evidence on school closure and children’s</w:t>
      </w:r>
    </w:p>
    <w:p>
      <w:pPr>
        <w:spacing w:after="0" w:line="136" w:lineRule="exact"/>
        <w:rPr>
          <w:rFonts w:ascii="Times New Roman" w:cs="Times New Roman" w:eastAsia="Times New Roman" w:hAnsi="Times New Roman"/>
          <w:sz w:val="24"/>
          <w:szCs w:val="24"/>
          <w:color w:val="auto"/>
        </w:rPr>
      </w:pPr>
    </w:p>
    <w:p>
      <w:pPr>
        <w:ind w:left="64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social contact: Useful for coronavirus disease (COVID-</w:t>
      </w:r>
      <w:r>
        <w:rPr>
          <w:rFonts w:ascii="Times New Roman" w:cs="Times New Roman" w:eastAsia="Times New Roman" w:hAnsi="Times New Roman"/>
          <w:sz w:val="24"/>
          <w:szCs w:val="24"/>
          <w:color w:val="auto"/>
        </w:rPr>
        <w:t>19)?,”</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Eurosurveillance</w:t>
      </w:r>
      <w:r>
        <w:rPr>
          <w:rFonts w:ascii="Times New Roman" w:cs="Times New Roman" w:eastAsia="Times New Roman" w:hAnsi="Times New Roman"/>
          <w:sz w:val="24"/>
          <w:szCs w:val="24"/>
          <w:color w:val="auto"/>
        </w:rPr>
        <w:t>. 2020,</w:t>
      </w:r>
    </w:p>
    <w:p>
      <w:pPr>
        <w:spacing w:after="0" w:line="137" w:lineRule="exact"/>
        <w:rPr>
          <w:rFonts w:ascii="Times New Roman" w:cs="Times New Roman" w:eastAsia="Times New Roman" w:hAnsi="Times New Roman"/>
          <w:sz w:val="24"/>
          <w:szCs w:val="24"/>
          <w:color w:val="auto"/>
        </w:rPr>
      </w:pPr>
    </w:p>
    <w:p>
      <w:pPr>
        <w:ind w:left="64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doi: 10.2807/1560-7917.ES.2020.25.17.2000758.</w:t>
      </w:r>
    </w:p>
    <w:p>
      <w:pPr>
        <w:spacing w:after="0" w:line="312"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S. F. Deslandes and T. Coutinho, “The intensive use of the internet by children and </w:t>
      </w:r>
      <w:r>
        <w:rPr>
          <w:rFonts w:ascii="Times New Roman" w:cs="Times New Roman" w:eastAsia="Times New Roman" w:hAnsi="Times New Roman"/>
          <w:sz w:val="24"/>
          <w:szCs w:val="24"/>
          <w:color w:val="auto"/>
        </w:rPr>
        <w:t>adolescents in the context of COVID-19 and the risks for self-</w:t>
      </w:r>
      <w:r>
        <w:rPr>
          <w:rFonts w:ascii="Times New Roman" w:cs="Times New Roman" w:eastAsia="Times New Roman" w:hAnsi="Times New Roman"/>
          <w:sz w:val="24"/>
          <w:szCs w:val="24"/>
          <w:color w:val="auto"/>
        </w:rPr>
        <w:t>inflicted violence,”</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Cienc. e</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Saude Coletiva</w:t>
      </w:r>
      <w:r>
        <w:rPr>
          <w:rFonts w:ascii="Times New Roman" w:cs="Times New Roman" w:eastAsia="Times New Roman" w:hAnsi="Times New Roman"/>
          <w:sz w:val="24"/>
          <w:szCs w:val="24"/>
          <w:color w:val="auto"/>
        </w:rPr>
        <w:t>, 2020, doi: 10.1590/1413-81232020256.1.11472020.</w:t>
      </w:r>
    </w:p>
    <w:p>
      <w:pPr>
        <w:spacing w:after="0" w:line="184" w:lineRule="exact"/>
        <w:rPr>
          <w:rFonts w:ascii="Times New Roman" w:cs="Times New Roman" w:eastAsia="Times New Roman" w:hAnsi="Times New Roman"/>
          <w:sz w:val="24"/>
          <w:szCs w:val="24"/>
          <w:color w:val="auto"/>
        </w:rPr>
      </w:pPr>
    </w:p>
    <w:p>
      <w:pPr>
        <w:ind w:left="640" w:hanging="640"/>
        <w:spacing w:after="0" w:line="348"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 S S Teo and G. Griffiths, “Child protection in the time of COVID</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color w:val="auto"/>
        </w:rPr>
        <w:t xml:space="preserve">19,” </w:t>
      </w:r>
      <w:r>
        <w:rPr>
          <w:rFonts w:ascii="Times New Roman" w:cs="Times New Roman" w:eastAsia="Times New Roman" w:hAnsi="Times New Roman"/>
          <w:sz w:val="24"/>
          <w:szCs w:val="24"/>
          <w:i w:val="1"/>
          <w:iCs w:val="1"/>
          <w:color w:val="auto"/>
        </w:rPr>
        <w:t>J. Paediatr.</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Child Health</w:t>
      </w:r>
      <w:r>
        <w:rPr>
          <w:rFonts w:ascii="Times New Roman" w:cs="Times New Roman" w:eastAsia="Times New Roman" w:hAnsi="Times New Roman"/>
          <w:sz w:val="24"/>
          <w:szCs w:val="24"/>
          <w:color w:val="auto"/>
        </w:rPr>
        <w:t>, 2020, doi: 10.1111/jpc.14916.</w:t>
      </w:r>
    </w:p>
    <w:p>
      <w:pPr>
        <w:spacing w:after="0" w:line="188" w:lineRule="exact"/>
        <w:rPr>
          <w:rFonts w:ascii="Times New Roman" w:cs="Times New Roman" w:eastAsia="Times New Roman" w:hAnsi="Times New Roman"/>
          <w:sz w:val="24"/>
          <w:szCs w:val="24"/>
          <w:color w:val="auto"/>
        </w:rPr>
      </w:pPr>
    </w:p>
    <w:p>
      <w:pPr>
        <w:ind w:left="640" w:hanging="640"/>
        <w:spacing w:after="0" w:line="353"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“BD witnesses rise in crimes after lockdown.” </w:t>
      </w:r>
      <w:r>
        <w:rPr>
          <w:rFonts w:ascii="Times New Roman" w:cs="Times New Roman" w:eastAsia="Times New Roman" w:hAnsi="Times New Roman"/>
          <w:sz w:val="24"/>
          <w:szCs w:val="24"/>
          <w:color w:val="auto"/>
        </w:rPr>
        <w:t>https://www.thefinancialexpress.com.bd/national/crime/bd-witnesses-rise-in-crimes-after-lockdown-1596032221 (accessed Dec. 01, 2020).</w:t>
      </w:r>
    </w:p>
    <w:p>
      <w:pPr>
        <w:spacing w:after="0" w:line="172"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W. Van Lancker and Z. Parolin, “COVID</w:t>
      </w:r>
      <w:r>
        <w:rPr>
          <w:rFonts w:ascii="Times New Roman" w:cs="Times New Roman" w:eastAsia="Times New Roman" w:hAnsi="Times New Roman"/>
          <w:sz w:val="24"/>
          <w:szCs w:val="24"/>
          <w:color w:val="auto"/>
        </w:rPr>
        <w:t>-19, school closures, and child poverty: a social</w:t>
      </w:r>
    </w:p>
    <w:p>
      <w:pPr>
        <w:spacing w:after="0" w:line="149" w:lineRule="exact"/>
        <w:rPr>
          <w:rFonts w:ascii="Times New Roman" w:cs="Times New Roman" w:eastAsia="Times New Roman" w:hAnsi="Times New Roman"/>
          <w:sz w:val="24"/>
          <w:szCs w:val="24"/>
          <w:color w:val="auto"/>
        </w:rPr>
      </w:pPr>
    </w:p>
    <w:p>
      <w:pPr>
        <w:ind w:left="640"/>
        <w:spacing w:after="0" w:line="34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crisis in the making,” </w:t>
      </w:r>
      <w:r>
        <w:rPr>
          <w:rFonts w:ascii="Times New Roman" w:cs="Times New Roman" w:eastAsia="Times New Roman" w:hAnsi="Times New Roman"/>
          <w:sz w:val="24"/>
          <w:szCs w:val="24"/>
          <w:i w:val="1"/>
          <w:iCs w:val="1"/>
          <w:color w:val="auto"/>
        </w:rPr>
        <w:t>The Lancet Public Health</w:t>
      </w:r>
      <w:r>
        <w:rPr>
          <w:rFonts w:ascii="Times New Roman" w:cs="Times New Roman" w:eastAsia="Times New Roman" w:hAnsi="Times New Roman"/>
          <w:sz w:val="24"/>
          <w:szCs w:val="24"/>
          <w:color w:val="auto"/>
        </w:rPr>
        <w:t>. 2020, doi: 10.1016/S2468-2667(20)30084-0.</w:t>
      </w:r>
    </w:p>
    <w:p>
      <w:pPr>
        <w:spacing w:after="0" w:line="189" w:lineRule="exact"/>
        <w:rPr>
          <w:rFonts w:ascii="Times New Roman" w:cs="Times New Roman" w:eastAsia="Times New Roman" w:hAnsi="Times New Roman"/>
          <w:sz w:val="24"/>
          <w:szCs w:val="24"/>
          <w:color w:val="auto"/>
        </w:rPr>
      </w:pPr>
    </w:p>
    <w:p>
      <w:pPr>
        <w:ind w:left="640" w:hanging="640"/>
        <w:spacing w:after="0" w:line="348"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J. M. Donohue and E. Miller, “COVID</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color w:val="auto"/>
        </w:rPr>
        <w:t xml:space="preserve">19 and School Closures,” </w:t>
      </w:r>
      <w:r>
        <w:rPr>
          <w:rFonts w:ascii="Times New Roman" w:cs="Times New Roman" w:eastAsia="Times New Roman" w:hAnsi="Times New Roman"/>
          <w:sz w:val="24"/>
          <w:szCs w:val="24"/>
          <w:i w:val="1"/>
          <w:iCs w:val="1"/>
          <w:color w:val="auto"/>
        </w:rPr>
        <w:t>JAMA - J. Am. Med.</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Assoc.</w:t>
      </w:r>
      <w:r>
        <w:rPr>
          <w:rFonts w:ascii="Times New Roman" w:cs="Times New Roman" w:eastAsia="Times New Roman" w:hAnsi="Times New Roman"/>
          <w:sz w:val="24"/>
          <w:szCs w:val="24"/>
          <w:color w:val="auto"/>
        </w:rPr>
        <w:t>, vol. 324, no. 9, pp. 845</w:t>
      </w:r>
      <w:r>
        <w:rPr>
          <w:rFonts w:ascii="Times New Roman" w:cs="Times New Roman" w:eastAsia="Times New Roman" w:hAnsi="Times New Roman"/>
          <w:sz w:val="24"/>
          <w:szCs w:val="24"/>
          <w:color w:val="auto"/>
        </w:rPr>
        <w:t>–</w:t>
      </w:r>
      <w:r>
        <w:rPr>
          <w:rFonts w:ascii="Times New Roman" w:cs="Times New Roman" w:eastAsia="Times New Roman" w:hAnsi="Times New Roman"/>
          <w:sz w:val="24"/>
          <w:szCs w:val="24"/>
          <w:color w:val="auto"/>
        </w:rPr>
        <w:t>847, 2020, doi: 10.1001/jama.2020.13092.</w:t>
      </w:r>
    </w:p>
    <w:p>
      <w:pPr>
        <w:spacing w:after="0" w:line="188"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M. A. Mamun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“Prevalence and risk factors of COVID</w:t>
      </w:r>
      <w:r>
        <w:rPr>
          <w:rFonts w:ascii="Times New Roman" w:cs="Times New Roman" w:eastAsia="Times New Roman" w:hAnsi="Times New Roman"/>
          <w:sz w:val="24"/>
          <w:szCs w:val="24"/>
          <w:color w:val="auto"/>
        </w:rPr>
        <w:t xml:space="preserve">-19 suicidal behavior in </w:t>
      </w:r>
      <w:r>
        <w:rPr>
          <w:rFonts w:ascii="Times New Roman" w:cs="Times New Roman" w:eastAsia="Times New Roman" w:hAnsi="Times New Roman"/>
          <w:sz w:val="24"/>
          <w:szCs w:val="24"/>
          <w:color w:val="auto"/>
        </w:rPr>
        <w:t xml:space="preserve">Bangladeshi population: are healthcare professionals at greater risk?,” </w:t>
      </w:r>
      <w:r>
        <w:rPr>
          <w:rFonts w:ascii="Times New Roman" w:cs="Times New Roman" w:eastAsia="Times New Roman" w:hAnsi="Times New Roman"/>
          <w:sz w:val="24"/>
          <w:szCs w:val="24"/>
          <w:i w:val="1"/>
          <w:iCs w:val="1"/>
          <w:color w:val="auto"/>
        </w:rPr>
        <w:t>Heliyon</w:t>
      </w:r>
      <w:r>
        <w:rPr>
          <w:rFonts w:ascii="Times New Roman" w:cs="Times New Roman" w:eastAsia="Times New Roman" w:hAnsi="Times New Roman"/>
          <w:sz w:val="24"/>
          <w:szCs w:val="24"/>
          <w:color w:val="auto"/>
        </w:rPr>
        <w:t>, 2020, doi:</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color w:val="auto"/>
        </w:rPr>
        <w:t>10.1016/j.heliyon.2020.e05259.</w:t>
      </w:r>
    </w:p>
    <w:p>
      <w:pPr>
        <w:spacing w:after="0" w:line="171"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M. A. Mamun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“The COVID</w:t>
      </w:r>
      <w:r>
        <w:rPr>
          <w:rFonts w:ascii="Times New Roman" w:cs="Times New Roman" w:eastAsia="Times New Roman" w:hAnsi="Times New Roman"/>
          <w:sz w:val="24"/>
          <w:szCs w:val="24"/>
          <w:color w:val="auto"/>
        </w:rPr>
        <w:t>-19 pandemic and serious psychological consequences</w:t>
      </w:r>
    </w:p>
    <w:p>
      <w:pPr>
        <w:spacing w:after="0" w:line="199" w:lineRule="exact"/>
        <w:rPr>
          <w:sz w:val="20"/>
          <w:szCs w:val="20"/>
          <w:color w:val="auto"/>
        </w:rPr>
      </w:pPr>
    </w:p>
    <w:p>
      <w:pPr>
        <w:ind w:left="9160"/>
        <w:spacing w:after="0"/>
        <w:rPr>
          <w:sz w:val="20"/>
          <w:szCs w:val="20"/>
          <w:color w:val="auto"/>
        </w:rPr>
      </w:pPr>
      <w:r>
        <w:rPr>
          <w:rFonts w:ascii="Times New Roman" w:cs="Times New Roman" w:eastAsia="Times New Roman" w:hAnsi="Times New Roman"/>
          <w:sz w:val="20"/>
          <w:szCs w:val="20"/>
          <w:color w:val="auto"/>
        </w:rPr>
        <w:t>13</w:t>
      </w:r>
    </w:p>
    <w:p>
      <w:pPr>
        <w:sectPr>
          <w:pgSz w:w="12240" w:h="15840" w:orient="portrait"/>
          <w:cols w:equalWidth="0" w:num="1">
            <w:col w:w="9360"/>
          </w:cols>
          <w:pgMar w:left="1440" w:top="1430" w:right="1440" w:bottom="772" w:gutter="0" w:footer="0" w:header="0"/>
        </w:sectPr>
      </w:pPr>
    </w:p>
    <w:bookmarkStart w:id="13" w:name="page14"/>
    <w:bookmarkEnd w:id="13"/>
    <w:p>
      <w:pPr>
        <w:ind w:left="640"/>
        <w:spacing w:after="0" w:line="276" w:lineRule="exact"/>
        <w:rPr>
          <w:sz w:val="20"/>
          <w:szCs w:val="20"/>
          <w:color w:val="auto"/>
        </w:rPr>
      </w:pPr>
      <w:r>
        <w:rPr>
          <w:rFonts w:ascii="Times New Roman" w:cs="Times New Roman" w:eastAsia="Times New Roman" w:hAnsi="Times New Roman"/>
          <w:sz w:val="24"/>
          <w:szCs w:val="24"/>
          <w:color w:val="auto"/>
        </w:rPr>
        <w:t>in Bangladesh: A population-</w:t>
      </w:r>
      <w:r>
        <w:rPr>
          <w:rFonts w:ascii="MS PGothic" w:cs="MS PGothic" w:eastAsia="MS PGothic" w:hAnsi="MS PGothic"/>
          <w:sz w:val="24"/>
          <w:szCs w:val="24"/>
          <w:color w:val="auto"/>
        </w:rPr>
        <w:t>based nationwide study,”</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J. Affect. Disord.</w:t>
      </w:r>
      <w:r>
        <w:rPr>
          <w:rFonts w:ascii="Times New Roman" w:cs="Times New Roman" w:eastAsia="Times New Roman" w:hAnsi="Times New Roman"/>
          <w:sz w:val="24"/>
          <w:szCs w:val="24"/>
          <w:color w:val="auto"/>
        </w:rPr>
        <w:t>, vol. 279, pp.</w:t>
      </w:r>
    </w:p>
    <w:p>
      <w:pPr>
        <w:spacing w:after="0" w:line="137" w:lineRule="exact"/>
        <w:rPr>
          <w:sz w:val="20"/>
          <w:szCs w:val="20"/>
          <w:color w:val="auto"/>
        </w:rPr>
      </w:pPr>
    </w:p>
    <w:p>
      <w:pPr>
        <w:ind w:left="640"/>
        <w:spacing w:after="0" w:line="276" w:lineRule="exact"/>
        <w:rPr>
          <w:sz w:val="20"/>
          <w:szCs w:val="20"/>
          <w:color w:val="auto"/>
        </w:rPr>
      </w:pPr>
      <w:r>
        <w:rPr>
          <w:rFonts w:ascii="Times New Roman" w:cs="Times New Roman" w:eastAsia="Times New Roman" w:hAnsi="Times New Roman"/>
          <w:sz w:val="24"/>
          <w:szCs w:val="24"/>
          <w:color w:val="auto"/>
        </w:rPr>
        <w:t>462</w:t>
      </w:r>
      <w:r>
        <w:rPr>
          <w:rFonts w:ascii="MS PGothic" w:cs="MS PGothic" w:eastAsia="MS PGothic" w:hAnsi="MS PGothic"/>
          <w:sz w:val="24"/>
          <w:szCs w:val="24"/>
          <w:color w:val="auto"/>
        </w:rPr>
        <w:t>–</w:t>
      </w:r>
      <w:r>
        <w:rPr>
          <w:rFonts w:ascii="Times New Roman" w:cs="Times New Roman" w:eastAsia="Times New Roman" w:hAnsi="Times New Roman"/>
          <w:sz w:val="24"/>
          <w:szCs w:val="24"/>
          <w:color w:val="auto"/>
        </w:rPr>
        <w:t>472, Jan. 2021, doi: 10.1016/j.jad.2020.10.036.</w:t>
      </w:r>
    </w:p>
    <w:p>
      <w:pPr>
        <w:spacing w:after="0" w:line="313" w:lineRule="exact"/>
        <w:rPr>
          <w:sz w:val="20"/>
          <w:szCs w:val="20"/>
          <w:color w:val="auto"/>
        </w:rPr>
      </w:pPr>
    </w:p>
    <w:p>
      <w:pPr>
        <w:jc w:val="both"/>
        <w:ind w:left="640" w:hanging="640"/>
        <w:spacing w:after="0" w:line="363" w:lineRule="exact"/>
        <w:tabs>
          <w:tab w:leader="none" w:pos="640" w:val="left"/>
        </w:tabs>
        <w:numPr>
          <w:ilvl w:val="0"/>
          <w:numId w:val="12"/>
        </w:numPr>
        <w:rPr>
          <w:rFonts w:ascii="Times New Roman" w:cs="Times New Roman" w:eastAsia="Times New Roman" w:hAnsi="Times New Roman"/>
          <w:sz w:val="24"/>
          <w:szCs w:val="24"/>
          <w:color w:val="auto"/>
        </w:rPr>
      </w:pPr>
      <w:r>
        <w:rPr>
          <w:rFonts w:ascii="MS PGothic" w:cs="MS PGothic" w:eastAsia="MS PGothic" w:hAnsi="MS PGothic"/>
          <w:sz w:val="24"/>
          <w:szCs w:val="24"/>
          <w:color w:val="auto"/>
        </w:rPr>
        <w:t>M. A. Mamun, A. K. M. I. Bhuiyan, and M. D. Manzar, “The first COVID</w:t>
      </w:r>
      <w:r>
        <w:rPr>
          <w:rFonts w:ascii="Times New Roman" w:cs="Times New Roman" w:eastAsia="Times New Roman" w:hAnsi="Times New Roman"/>
          <w:sz w:val="24"/>
          <w:szCs w:val="24"/>
          <w:color w:val="auto"/>
        </w:rPr>
        <w:t>-19 infanticide-suicide case: Financial crisis and fear of COVID-</w:t>
      </w:r>
      <w:r>
        <w:rPr>
          <w:rFonts w:ascii="MS PGothic" w:cs="MS PGothic" w:eastAsia="MS PGothic" w:hAnsi="MS PGothic"/>
          <w:sz w:val="24"/>
          <w:szCs w:val="24"/>
          <w:color w:val="auto"/>
        </w:rPr>
        <w:t>19 infection are the causative factors,”</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Asian Journal of Psychiatry</w:t>
      </w:r>
      <w:r>
        <w:rPr>
          <w:rFonts w:ascii="Times New Roman" w:cs="Times New Roman" w:eastAsia="Times New Roman" w:hAnsi="Times New Roman"/>
          <w:sz w:val="24"/>
          <w:szCs w:val="24"/>
          <w:color w:val="auto"/>
        </w:rPr>
        <w:t>. 2020, doi: 10.1016/j.ajp.2020.102365.</w:t>
      </w:r>
    </w:p>
    <w:p>
      <w:pPr>
        <w:spacing w:after="0" w:line="314" w:lineRule="exact"/>
        <w:rPr>
          <w:rFonts w:ascii="Times New Roman" w:cs="Times New Roman" w:eastAsia="Times New Roman" w:hAnsi="Times New Roman"/>
          <w:sz w:val="24"/>
          <w:szCs w:val="24"/>
          <w:color w:val="auto"/>
        </w:rPr>
      </w:pPr>
    </w:p>
    <w:p>
      <w:pPr>
        <w:jc w:val="both"/>
        <w:ind w:left="640" w:hanging="640"/>
        <w:spacing w:after="0" w:line="363" w:lineRule="exact"/>
        <w:tabs>
          <w:tab w:leader="none" w:pos="640" w:val="left"/>
        </w:tabs>
        <w:numPr>
          <w:ilvl w:val="0"/>
          <w:numId w:val="1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L. A. de Araújo, C. F. Veloso, M. de C. Souza, J. M. C. de Azevedo, and G. Tarro, </w:t>
      </w:r>
      <w:r>
        <w:rPr>
          <w:rFonts w:ascii="MS PGothic" w:cs="MS PGothic" w:eastAsia="MS PGothic" w:hAnsi="MS PGothic"/>
          <w:sz w:val="24"/>
          <w:szCs w:val="24"/>
          <w:color w:val="auto"/>
        </w:rPr>
        <w:t>“The</w:t>
      </w:r>
      <w:r>
        <w:rPr>
          <w:rFonts w:ascii="Times New Roman" w:cs="Times New Roman" w:eastAsia="Times New Roman" w:hAnsi="Times New Roman"/>
          <w:sz w:val="24"/>
          <w:szCs w:val="24"/>
          <w:color w:val="auto"/>
        </w:rPr>
        <w:t xml:space="preserve"> potential impact of the COVID-19 pandemic on child growth and development: a </w:t>
      </w:r>
      <w:r>
        <w:rPr>
          <w:rFonts w:ascii="MS PGothic" w:cs="MS PGothic" w:eastAsia="MS PGothic" w:hAnsi="MS PGothic"/>
          <w:sz w:val="24"/>
          <w:szCs w:val="24"/>
          <w:color w:val="auto"/>
        </w:rPr>
        <w:t>systematic review,”</w:t>
      </w:r>
      <w:r>
        <w:rPr>
          <w:rFonts w:ascii="Times New Roman" w:cs="Times New Roman" w:eastAsia="Times New Roman" w:hAnsi="Times New Roman"/>
          <w:sz w:val="24"/>
          <w:szCs w:val="24"/>
          <w:i w:val="1"/>
          <w:iCs w:val="1"/>
          <w:color w:val="auto"/>
        </w:rPr>
        <w:t xml:space="preserve"> Jornal de Pediatria</w:t>
      </w:r>
      <w:r>
        <w:rPr>
          <w:rFonts w:ascii="Times New Roman" w:cs="Times New Roman" w:eastAsia="Times New Roman" w:hAnsi="Times New Roman"/>
          <w:sz w:val="24"/>
          <w:szCs w:val="24"/>
          <w:color w:val="auto"/>
        </w:rPr>
        <w:t>. 2020, doi: 10.1016/j.jped.2020.08.008.</w:t>
      </w:r>
    </w:p>
    <w:p>
      <w:pPr>
        <w:spacing w:after="0" w:line="315" w:lineRule="exact"/>
        <w:rPr>
          <w:rFonts w:ascii="Times New Roman" w:cs="Times New Roman" w:eastAsia="Times New Roman" w:hAnsi="Times New Roman"/>
          <w:sz w:val="24"/>
          <w:szCs w:val="24"/>
          <w:color w:val="auto"/>
        </w:rPr>
      </w:pPr>
    </w:p>
    <w:p>
      <w:pPr>
        <w:jc w:val="both"/>
        <w:ind w:left="640" w:hanging="640"/>
        <w:spacing w:after="0" w:line="363" w:lineRule="exact"/>
        <w:tabs>
          <w:tab w:leader="none" w:pos="640" w:val="left"/>
        </w:tabs>
        <w:numPr>
          <w:ilvl w:val="0"/>
          <w:numId w:val="12"/>
        </w:numPr>
        <w:rPr>
          <w:rFonts w:ascii="Times New Roman" w:cs="Times New Roman" w:eastAsia="Times New Roman" w:hAnsi="Times New Roman"/>
          <w:sz w:val="24"/>
          <w:szCs w:val="24"/>
          <w:color w:val="auto"/>
        </w:rPr>
      </w:pPr>
      <w:r>
        <w:rPr>
          <w:rFonts w:ascii="MS PGothic" w:cs="MS PGothic" w:eastAsia="MS PGothic" w:hAnsi="MS PGothic"/>
          <w:sz w:val="24"/>
          <w:szCs w:val="24"/>
          <w:color w:val="auto"/>
        </w:rPr>
        <w:t>A. Sheikh, A. Sheikh, Z. Sheikh, and S. Dhami, “Reopening schools after the COVID</w:t>
      </w:r>
      <w:r>
        <w:rPr>
          <w:rFonts w:ascii="Times New Roman" w:cs="Times New Roman" w:eastAsia="Times New Roman" w:hAnsi="Times New Roman"/>
          <w:sz w:val="24"/>
          <w:szCs w:val="24"/>
          <w:color w:val="auto"/>
        </w:rPr>
        <w:t>-19 loc</w:t>
      </w:r>
      <w:r>
        <w:rPr>
          <w:rFonts w:ascii="MS PGothic" w:cs="MS PGothic" w:eastAsia="MS PGothic" w:hAnsi="MS PGothic"/>
          <w:sz w:val="24"/>
          <w:szCs w:val="24"/>
          <w:color w:val="auto"/>
        </w:rPr>
        <w:t>kdown,”</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Journal of Global Health</w:t>
      </w:r>
      <w:r>
        <w:rPr>
          <w:rFonts w:ascii="Times New Roman" w:cs="Times New Roman" w:eastAsia="Times New Roman" w:hAnsi="Times New Roman"/>
          <w:sz w:val="24"/>
          <w:szCs w:val="24"/>
          <w:color w:val="auto"/>
        </w:rPr>
        <w:t>, vol. 10, no. 1. University of Edinburgh, Jun. 01, 2020, doi: 10.7189/JOGH.10.010376.</w:t>
      </w:r>
    </w:p>
    <w:p>
      <w:pPr>
        <w:spacing w:after="0" w:line="315" w:lineRule="exact"/>
        <w:rPr>
          <w:rFonts w:ascii="Times New Roman" w:cs="Times New Roman" w:eastAsia="Times New Roman" w:hAnsi="Times New Roman"/>
          <w:sz w:val="24"/>
          <w:szCs w:val="24"/>
          <w:color w:val="auto"/>
        </w:rPr>
      </w:pPr>
    </w:p>
    <w:p>
      <w:pPr>
        <w:jc w:val="both"/>
        <w:ind w:left="640" w:hanging="640"/>
        <w:spacing w:after="0" w:line="363" w:lineRule="exact"/>
        <w:tabs>
          <w:tab w:leader="none" w:pos="640" w:val="left"/>
        </w:tabs>
        <w:numPr>
          <w:ilvl w:val="0"/>
          <w:numId w:val="1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A. Pietrobelli </w:t>
      </w:r>
      <w:r>
        <w:rPr>
          <w:rFonts w:ascii="Times New Roman" w:cs="Times New Roman" w:eastAsia="Times New Roman" w:hAnsi="Times New Roman"/>
          <w:sz w:val="24"/>
          <w:szCs w:val="24"/>
          <w:i w:val="1"/>
          <w:iCs w:val="1"/>
          <w:color w:val="auto"/>
        </w:rPr>
        <w:t>et al.</w:t>
      </w:r>
      <w:r>
        <w:rPr>
          <w:rFonts w:ascii="MS PGothic" w:cs="MS PGothic" w:eastAsia="MS PGothic" w:hAnsi="MS PGothic"/>
          <w:sz w:val="24"/>
          <w:szCs w:val="24"/>
          <w:color w:val="auto"/>
        </w:rPr>
        <w:t>, “Effects of COVID‐19 Lockdown on Lifestyle Behaviors in Children</w:t>
      </w:r>
      <w:r>
        <w:rPr>
          <w:rFonts w:ascii="Times New Roman" w:cs="Times New Roman" w:eastAsia="Times New Roman" w:hAnsi="Times New Roman"/>
          <w:sz w:val="24"/>
          <w:szCs w:val="24"/>
          <w:color w:val="auto"/>
        </w:rPr>
        <w:t xml:space="preserve"> </w:t>
      </w:r>
      <w:r>
        <w:rPr>
          <w:rFonts w:ascii="MS PGothic" w:cs="MS PGothic" w:eastAsia="MS PGothic" w:hAnsi="MS PGothic"/>
          <w:sz w:val="24"/>
          <w:szCs w:val="24"/>
          <w:color w:val="auto"/>
        </w:rPr>
        <w:t>with Obesity Living in Verona, Italy: A Longitudinal Study,”</w:t>
      </w:r>
      <w:r>
        <w:rPr>
          <w:rFonts w:ascii="Times New Roman" w:cs="Times New Roman" w:eastAsia="Times New Roman" w:hAnsi="Times New Roman"/>
          <w:sz w:val="24"/>
          <w:szCs w:val="24"/>
          <w:i w:val="1"/>
          <w:iCs w:val="1"/>
          <w:color w:val="auto"/>
        </w:rPr>
        <w:t xml:space="preserve"> Obesity</w:t>
      </w:r>
      <w:r>
        <w:rPr>
          <w:rFonts w:ascii="Times New Roman" w:cs="Times New Roman" w:eastAsia="Times New Roman" w:hAnsi="Times New Roman"/>
          <w:sz w:val="24"/>
          <w:szCs w:val="24"/>
          <w:color w:val="auto"/>
        </w:rPr>
        <w:t>, vol. 28, no. 8, pp.</w:t>
      </w:r>
      <w:r>
        <w:rPr>
          <w:rFonts w:ascii="Times New Roman" w:cs="Times New Roman" w:eastAsia="Times New Roman" w:hAnsi="Times New Roman"/>
          <w:sz w:val="24"/>
          <w:szCs w:val="24"/>
          <w:i w:val="1"/>
          <w:iCs w:val="1"/>
          <w:color w:val="auto"/>
        </w:rPr>
        <w:t xml:space="preserve"> </w:t>
      </w:r>
      <w:r>
        <w:rPr>
          <w:rFonts w:ascii="Times New Roman" w:cs="Times New Roman" w:eastAsia="Times New Roman" w:hAnsi="Times New Roman"/>
          <w:sz w:val="24"/>
          <w:szCs w:val="24"/>
          <w:color w:val="auto"/>
        </w:rPr>
        <w:t>1382</w:t>
      </w:r>
      <w:r>
        <w:rPr>
          <w:rFonts w:ascii="MS PGothic" w:cs="MS PGothic" w:eastAsia="MS PGothic" w:hAnsi="MS PGothic"/>
          <w:sz w:val="24"/>
          <w:szCs w:val="24"/>
          <w:color w:val="auto"/>
        </w:rPr>
        <w:t>–</w:t>
      </w:r>
      <w:r>
        <w:rPr>
          <w:rFonts w:ascii="Times New Roman" w:cs="Times New Roman" w:eastAsia="Times New Roman" w:hAnsi="Times New Roman"/>
          <w:sz w:val="24"/>
          <w:szCs w:val="24"/>
          <w:color w:val="auto"/>
        </w:rPr>
        <w:t>1385, Aug. 2020, doi: 10.1002/oby.22861.</w:t>
      </w:r>
    </w:p>
    <w:p>
      <w:pPr>
        <w:spacing w:after="0" w:line="303" w:lineRule="exact"/>
        <w:rPr>
          <w:rFonts w:ascii="Times New Roman" w:cs="Times New Roman" w:eastAsia="Times New Roman" w:hAnsi="Times New Roman"/>
          <w:sz w:val="24"/>
          <w:szCs w:val="24"/>
          <w:color w:val="auto"/>
        </w:rPr>
      </w:pPr>
    </w:p>
    <w:p>
      <w:pPr>
        <w:ind w:left="640" w:hanging="640"/>
        <w:spacing w:after="0" w:line="276" w:lineRule="exact"/>
        <w:tabs>
          <w:tab w:leader="none" w:pos="640" w:val="left"/>
        </w:tabs>
        <w:numPr>
          <w:ilvl w:val="0"/>
          <w:numId w:val="1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A. G. Rundle, Y. Park, J. B. Herbstman, E. W. Ki</w:t>
      </w:r>
      <w:r>
        <w:rPr>
          <w:rFonts w:ascii="MS PGothic" w:cs="MS PGothic" w:eastAsia="MS PGothic" w:hAnsi="MS PGothic"/>
          <w:sz w:val="24"/>
          <w:szCs w:val="24"/>
          <w:color w:val="auto"/>
        </w:rPr>
        <w:t>nsey, and Y. C. Wang, “COVID</w:t>
      </w:r>
      <w:r>
        <w:rPr>
          <w:rFonts w:ascii="Times New Roman" w:cs="Times New Roman" w:eastAsia="Times New Roman" w:hAnsi="Times New Roman"/>
          <w:sz w:val="24"/>
          <w:szCs w:val="24"/>
          <w:color w:val="auto"/>
        </w:rPr>
        <w:t>-19</w:t>
      </w:r>
      <w:r>
        <w:rPr>
          <w:rFonts w:ascii="MS PGothic" w:cs="MS PGothic" w:eastAsia="MS PGothic" w:hAnsi="MS PGothic"/>
          <w:sz w:val="24"/>
          <w:szCs w:val="24"/>
          <w:color w:val="auto"/>
        </w:rPr>
        <w:t>–</w:t>
      </w:r>
    </w:p>
    <w:p>
      <w:pPr>
        <w:spacing w:after="0" w:line="136" w:lineRule="exact"/>
        <w:rPr>
          <w:rFonts w:ascii="Times New Roman" w:cs="Times New Roman" w:eastAsia="Times New Roman" w:hAnsi="Times New Roman"/>
          <w:sz w:val="24"/>
          <w:szCs w:val="24"/>
          <w:color w:val="auto"/>
        </w:rPr>
      </w:pPr>
    </w:p>
    <w:p>
      <w:pPr>
        <w:ind w:left="640"/>
        <w:spacing w:after="0" w:line="276" w:lineRule="exact"/>
        <w:rPr>
          <w:rFonts w:ascii="Times New Roman" w:cs="Times New Roman" w:eastAsia="Times New Roman" w:hAnsi="Times New Roman"/>
          <w:sz w:val="24"/>
          <w:szCs w:val="24"/>
          <w:color w:val="auto"/>
        </w:rPr>
      </w:pPr>
      <w:r>
        <w:rPr>
          <w:rFonts w:ascii="MS PGothic" w:cs="MS PGothic" w:eastAsia="MS PGothic" w:hAnsi="MS PGothic"/>
          <w:sz w:val="24"/>
          <w:szCs w:val="24"/>
          <w:color w:val="auto"/>
        </w:rPr>
        <w:t>Related School Closings and Risk of Weight Gain Among Children,”</w:t>
      </w:r>
      <w:r>
        <w:rPr>
          <w:rFonts w:ascii="Times New Roman" w:cs="Times New Roman" w:eastAsia="Times New Roman" w:hAnsi="Times New Roman"/>
          <w:sz w:val="24"/>
          <w:szCs w:val="24"/>
          <w:i w:val="1"/>
          <w:iCs w:val="1"/>
          <w:color w:val="auto"/>
        </w:rPr>
        <w:t xml:space="preserve"> Obesity</w:t>
      </w:r>
      <w:r>
        <w:rPr>
          <w:rFonts w:ascii="Times New Roman" w:cs="Times New Roman" w:eastAsia="Times New Roman" w:hAnsi="Times New Roman"/>
          <w:sz w:val="24"/>
          <w:szCs w:val="24"/>
          <w:color w:val="auto"/>
        </w:rPr>
        <w:t>, vol. 28, no.</w:t>
      </w:r>
    </w:p>
    <w:p>
      <w:pPr>
        <w:spacing w:after="0" w:line="141" w:lineRule="exact"/>
        <w:rPr>
          <w:rFonts w:ascii="Times New Roman" w:cs="Times New Roman" w:eastAsia="Times New Roman" w:hAnsi="Times New Roman"/>
          <w:sz w:val="24"/>
          <w:szCs w:val="24"/>
          <w:color w:val="auto"/>
        </w:rPr>
      </w:pPr>
    </w:p>
    <w:p>
      <w:pPr>
        <w:ind w:left="880" w:hanging="241"/>
        <w:spacing w:after="0" w:line="276" w:lineRule="exact"/>
        <w:tabs>
          <w:tab w:leader="none" w:pos="880" w:val="left"/>
        </w:tabs>
        <w:numPr>
          <w:ilvl w:val="1"/>
          <w:numId w:val="1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Blackwell Publishing Inc., pp. 1008</w:t>
      </w:r>
      <w:r>
        <w:rPr>
          <w:rFonts w:ascii="MS PGothic" w:cs="MS PGothic" w:eastAsia="MS PGothic" w:hAnsi="MS PGothic"/>
          <w:sz w:val="24"/>
          <w:szCs w:val="24"/>
          <w:color w:val="auto"/>
        </w:rPr>
        <w:t>–</w:t>
      </w:r>
      <w:r>
        <w:rPr>
          <w:rFonts w:ascii="Times New Roman" w:cs="Times New Roman" w:eastAsia="Times New Roman" w:hAnsi="Times New Roman"/>
          <w:sz w:val="24"/>
          <w:szCs w:val="24"/>
          <w:color w:val="auto"/>
        </w:rPr>
        <w:t>1009, Jun. 01, 2020, doi: 10.1002/oby.22813.</w:t>
      </w:r>
    </w:p>
    <w:p>
      <w:pPr>
        <w:spacing w:after="0" w:line="307" w:lineRule="exact"/>
        <w:rPr>
          <w:rFonts w:ascii="Times New Roman" w:cs="Times New Roman" w:eastAsia="Times New Roman" w:hAnsi="Times New Roman"/>
          <w:sz w:val="24"/>
          <w:szCs w:val="24"/>
          <w:color w:val="auto"/>
        </w:rPr>
      </w:pPr>
    </w:p>
    <w:p>
      <w:pPr>
        <w:jc w:val="both"/>
        <w:ind w:left="640" w:hanging="640"/>
        <w:spacing w:after="0" w:line="339" w:lineRule="exact"/>
        <w:tabs>
          <w:tab w:leader="none" w:pos="640" w:val="left"/>
        </w:tabs>
        <w:numPr>
          <w:ilvl w:val="0"/>
          <w:numId w:val="1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Q. Liu </w:t>
      </w:r>
      <w:r>
        <w:rPr>
          <w:rFonts w:ascii="Times New Roman" w:cs="Times New Roman" w:eastAsia="Times New Roman" w:hAnsi="Times New Roman"/>
          <w:sz w:val="24"/>
          <w:szCs w:val="24"/>
          <w:i w:val="1"/>
          <w:iCs w:val="1"/>
          <w:color w:val="auto"/>
        </w:rPr>
        <w:t>et al.</w:t>
      </w:r>
      <w:r>
        <w:rPr>
          <w:rFonts w:ascii="MS PGothic" w:cs="MS PGothic" w:eastAsia="MS PGothic" w:hAnsi="MS PGothic"/>
          <w:sz w:val="24"/>
          <w:szCs w:val="24"/>
          <w:color w:val="auto"/>
        </w:rPr>
        <w:t>, “The prevalence of behavioral pro</w:t>
      </w:r>
      <w:r>
        <w:rPr>
          <w:rFonts w:ascii="Times New Roman" w:cs="Times New Roman" w:eastAsia="Times New Roman" w:hAnsi="Times New Roman"/>
          <w:sz w:val="24"/>
          <w:szCs w:val="24"/>
          <w:color w:val="auto"/>
        </w:rPr>
        <w:t>blems among school-aged children in home quarantine during the COVID-</w:t>
      </w:r>
      <w:r>
        <w:rPr>
          <w:rFonts w:ascii="MS PGothic" w:cs="MS PGothic" w:eastAsia="MS PGothic" w:hAnsi="MS PGothic"/>
          <w:sz w:val="24"/>
          <w:szCs w:val="24"/>
          <w:color w:val="auto"/>
        </w:rPr>
        <w:t>19 pandemic in china,”</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J. Affect. Disord.</w:t>
      </w:r>
      <w:r>
        <w:rPr>
          <w:rFonts w:ascii="Times New Roman" w:cs="Times New Roman" w:eastAsia="Times New Roman" w:hAnsi="Times New Roman"/>
          <w:sz w:val="24"/>
          <w:szCs w:val="24"/>
          <w:color w:val="auto"/>
        </w:rPr>
        <w:t>, 2021, doi:</w:t>
      </w:r>
    </w:p>
    <w:p>
      <w:pPr>
        <w:spacing w:after="0" w:line="142" w:lineRule="exact"/>
        <w:rPr>
          <w:rFonts w:ascii="Times New Roman" w:cs="Times New Roman" w:eastAsia="Times New Roman" w:hAnsi="Times New Roman"/>
          <w:sz w:val="24"/>
          <w:szCs w:val="24"/>
          <w:color w:val="auto"/>
        </w:rPr>
      </w:pPr>
    </w:p>
    <w:p>
      <w:pPr>
        <w:ind w:left="940" w:hanging="301"/>
        <w:spacing w:after="0"/>
        <w:tabs>
          <w:tab w:leader="none" w:pos="940" w:val="left"/>
        </w:tabs>
        <w:numPr>
          <w:ilvl w:val="1"/>
          <w:numId w:val="13"/>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1016/j.jad.2020.10.008.</w:t>
      </w:r>
    </w:p>
    <w:p>
      <w:pPr>
        <w:spacing w:after="0" w:line="308" w:lineRule="exact"/>
        <w:rPr>
          <w:rFonts w:ascii="Times New Roman" w:cs="Times New Roman" w:eastAsia="Times New Roman" w:hAnsi="Times New Roman"/>
          <w:sz w:val="24"/>
          <w:szCs w:val="24"/>
          <w:color w:val="auto"/>
        </w:rPr>
      </w:pPr>
    </w:p>
    <w:p>
      <w:pPr>
        <w:jc w:val="both"/>
        <w:ind w:left="640" w:hanging="640"/>
        <w:spacing w:after="0" w:line="365" w:lineRule="exact"/>
        <w:tabs>
          <w:tab w:leader="none" w:pos="640" w:val="left"/>
        </w:tabs>
        <w:numPr>
          <w:ilvl w:val="0"/>
          <w:numId w:val="14"/>
        </w:numPr>
        <w:rPr>
          <w:rFonts w:ascii="Times New Roman" w:cs="Times New Roman" w:eastAsia="Times New Roman" w:hAnsi="Times New Roman"/>
          <w:sz w:val="24"/>
          <w:szCs w:val="24"/>
          <w:color w:val="auto"/>
        </w:rPr>
      </w:pPr>
      <w:r>
        <w:rPr>
          <w:rFonts w:ascii="MS PGothic" w:cs="MS PGothic" w:eastAsia="MS PGothic" w:hAnsi="MS PGothic"/>
          <w:sz w:val="24"/>
          <w:szCs w:val="24"/>
          <w:color w:val="auto"/>
        </w:rPr>
        <w:t>“Coronavirus Age, Sex, Demographics (COVID</w:t>
      </w:r>
      <w:r>
        <w:rPr>
          <w:rFonts w:ascii="Times New Roman" w:cs="Times New Roman" w:eastAsia="Times New Roman" w:hAnsi="Times New Roman"/>
          <w:sz w:val="24"/>
          <w:szCs w:val="24"/>
          <w:color w:val="auto"/>
        </w:rPr>
        <w:t xml:space="preserve">-19) - </w:t>
      </w:r>
      <w:r>
        <w:rPr>
          <w:rFonts w:ascii="MS PGothic" w:cs="MS PGothic" w:eastAsia="MS PGothic" w:hAnsi="MS PGothic"/>
          <w:sz w:val="24"/>
          <w:szCs w:val="24"/>
          <w:color w:val="auto"/>
        </w:rPr>
        <w:t>Worldometer.”</w:t>
      </w:r>
      <w:r>
        <w:rPr>
          <w:rFonts w:ascii="Times New Roman" w:cs="Times New Roman" w:eastAsia="Times New Roman" w:hAnsi="Times New Roman"/>
          <w:sz w:val="24"/>
          <w:szCs w:val="24"/>
          <w:color w:val="auto"/>
        </w:rPr>
        <w:t xml:space="preserve"> https://www.worldometers.info/coronavirus/coronavirus-age-sex-demographics/ (accessed Nov. 29, 2020).</w:t>
      </w:r>
    </w:p>
    <w:p>
      <w:pPr>
        <w:spacing w:after="0" w:line="308" w:lineRule="exact"/>
        <w:rPr>
          <w:rFonts w:ascii="Times New Roman" w:cs="Times New Roman" w:eastAsia="Times New Roman" w:hAnsi="Times New Roman"/>
          <w:sz w:val="24"/>
          <w:szCs w:val="24"/>
          <w:color w:val="auto"/>
        </w:rPr>
      </w:pPr>
    </w:p>
    <w:p>
      <w:pPr>
        <w:ind w:left="640" w:hanging="640"/>
        <w:spacing w:after="0" w:line="339" w:lineRule="exact"/>
        <w:tabs>
          <w:tab w:leader="none" w:pos="640" w:val="left"/>
        </w:tabs>
        <w:numPr>
          <w:ilvl w:val="0"/>
          <w:numId w:val="1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I. P. Sinha </w:t>
      </w:r>
      <w:r>
        <w:rPr>
          <w:rFonts w:ascii="Times New Roman" w:cs="Times New Roman" w:eastAsia="Times New Roman" w:hAnsi="Times New Roman"/>
          <w:sz w:val="24"/>
          <w:szCs w:val="24"/>
          <w:i w:val="1"/>
          <w:iCs w:val="1"/>
          <w:color w:val="auto"/>
        </w:rPr>
        <w:t>et al.</w:t>
      </w:r>
      <w:r>
        <w:rPr>
          <w:rFonts w:ascii="MS PGothic" w:cs="MS PGothic" w:eastAsia="MS PGothic" w:hAnsi="MS PGothic"/>
          <w:sz w:val="24"/>
          <w:szCs w:val="24"/>
          <w:color w:val="auto"/>
        </w:rPr>
        <w:t>, “COVID</w:t>
      </w:r>
      <w:r>
        <w:rPr>
          <w:rFonts w:ascii="Times New Roman" w:cs="Times New Roman" w:eastAsia="Times New Roman" w:hAnsi="Times New Roman"/>
          <w:sz w:val="24"/>
          <w:szCs w:val="24"/>
          <w:color w:val="auto"/>
        </w:rPr>
        <w:t>-</w:t>
      </w:r>
      <w:r>
        <w:rPr>
          <w:rFonts w:ascii="MS PGothic" w:cs="MS PGothic" w:eastAsia="MS PGothic" w:hAnsi="MS PGothic"/>
          <w:sz w:val="24"/>
          <w:szCs w:val="24"/>
          <w:color w:val="auto"/>
        </w:rPr>
        <w:t>19 infection in children,”</w:t>
      </w:r>
      <w:r>
        <w:rPr>
          <w:rFonts w:ascii="Times New Roman" w:cs="Times New Roman" w:eastAsia="Times New Roman" w:hAnsi="Times New Roman"/>
          <w:sz w:val="24"/>
          <w:szCs w:val="24"/>
          <w:color w:val="auto"/>
        </w:rPr>
        <w:t xml:space="preserve"> </w:t>
      </w:r>
      <w:r>
        <w:rPr>
          <w:rFonts w:ascii="Times New Roman" w:cs="Times New Roman" w:eastAsia="Times New Roman" w:hAnsi="Times New Roman"/>
          <w:sz w:val="24"/>
          <w:szCs w:val="24"/>
          <w:i w:val="1"/>
          <w:iCs w:val="1"/>
          <w:color w:val="auto"/>
        </w:rPr>
        <w:t>Lancet Respir. Med.</w:t>
      </w:r>
      <w:r>
        <w:rPr>
          <w:rFonts w:ascii="Times New Roman" w:cs="Times New Roman" w:eastAsia="Times New Roman" w:hAnsi="Times New Roman"/>
          <w:sz w:val="24"/>
          <w:szCs w:val="24"/>
          <w:color w:val="auto"/>
        </w:rPr>
        <w:t>, vol. 8, no. 5, pp. 446</w:t>
      </w:r>
      <w:r>
        <w:rPr>
          <w:rFonts w:ascii="MS PGothic" w:cs="MS PGothic" w:eastAsia="MS PGothic" w:hAnsi="MS PGothic"/>
          <w:sz w:val="24"/>
          <w:szCs w:val="24"/>
          <w:color w:val="auto"/>
        </w:rPr>
        <w:t>–</w:t>
      </w:r>
      <w:r>
        <w:rPr>
          <w:rFonts w:ascii="Times New Roman" w:cs="Times New Roman" w:eastAsia="Times New Roman" w:hAnsi="Times New Roman"/>
          <w:sz w:val="24"/>
          <w:szCs w:val="24"/>
          <w:color w:val="auto"/>
        </w:rPr>
        <w:t>447, May 2020, doi: 10.1016/S2213-2600(20)30152-1.</w:t>
      </w:r>
    </w:p>
    <w:p>
      <w:pPr>
        <w:spacing w:after="0" w:line="313" w:lineRule="exact"/>
        <w:rPr>
          <w:rFonts w:ascii="Times New Roman" w:cs="Times New Roman" w:eastAsia="Times New Roman" w:hAnsi="Times New Roman"/>
          <w:sz w:val="24"/>
          <w:szCs w:val="24"/>
          <w:color w:val="auto"/>
        </w:rPr>
      </w:pPr>
    </w:p>
    <w:p>
      <w:pPr>
        <w:jc w:val="both"/>
        <w:ind w:left="640" w:hanging="640"/>
        <w:spacing w:after="0" w:line="339" w:lineRule="exact"/>
        <w:tabs>
          <w:tab w:leader="none" w:pos="640" w:val="left"/>
        </w:tabs>
        <w:numPr>
          <w:ilvl w:val="0"/>
          <w:numId w:val="1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L. Heavey, G. Casey, C. Kelly, D. </w:t>
      </w:r>
      <w:r>
        <w:rPr>
          <w:rFonts w:ascii="MS PGothic" w:cs="MS PGothic" w:eastAsia="MS PGothic" w:hAnsi="MS PGothic"/>
          <w:sz w:val="24"/>
          <w:szCs w:val="24"/>
          <w:color w:val="auto"/>
        </w:rPr>
        <w:t>Kelly, and G. McDarby, “No evidence of secondary</w:t>
      </w:r>
      <w:r>
        <w:rPr>
          <w:rFonts w:ascii="Times New Roman" w:cs="Times New Roman" w:eastAsia="Times New Roman" w:hAnsi="Times New Roman"/>
          <w:sz w:val="24"/>
          <w:szCs w:val="24"/>
          <w:color w:val="auto"/>
        </w:rPr>
        <w:t xml:space="preserve"> transmission of COVID-</w:t>
      </w:r>
      <w:r>
        <w:rPr>
          <w:rFonts w:ascii="MS PGothic" w:cs="MS PGothic" w:eastAsia="MS PGothic" w:hAnsi="MS PGothic"/>
          <w:sz w:val="24"/>
          <w:szCs w:val="24"/>
          <w:color w:val="auto"/>
        </w:rPr>
        <w:t>19 from children attending school in Ireland, 2020,”</w:t>
      </w:r>
    </w:p>
    <w:p>
      <w:pPr>
        <w:spacing w:after="0" w:line="363"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20"/>
          <w:szCs w:val="20"/>
          <w:color w:val="auto"/>
        </w:rPr>
        <w:t>14</w:t>
      </w:r>
    </w:p>
    <w:p>
      <w:pPr>
        <w:sectPr>
          <w:pgSz w:w="12240" w:h="15840" w:orient="portrait"/>
          <w:cols w:equalWidth="0" w:num="1">
            <w:col w:w="9360"/>
          </w:cols>
          <w:pgMar w:left="1440" w:top="1430" w:right="1440" w:bottom="772" w:gutter="0" w:footer="0" w:header="0"/>
        </w:sectPr>
      </w:pPr>
    </w:p>
    <w:bookmarkStart w:id="14" w:name="page15"/>
    <w:bookmarkEnd w:id="14"/>
    <w:p>
      <w:pPr>
        <w:spacing w:after="0" w:line="3" w:lineRule="exact"/>
        <w:rPr>
          <w:sz w:val="20"/>
          <w:szCs w:val="20"/>
          <w:color w:val="auto"/>
        </w:rPr>
      </w:pPr>
    </w:p>
    <w:p>
      <w:pPr>
        <w:ind w:left="640"/>
        <w:spacing w:after="0" w:line="348" w:lineRule="auto"/>
        <w:rPr>
          <w:sz w:val="20"/>
          <w:szCs w:val="20"/>
          <w:color w:val="auto"/>
        </w:rPr>
      </w:pPr>
      <w:r>
        <w:rPr>
          <w:rFonts w:ascii="Times New Roman" w:cs="Times New Roman" w:eastAsia="Times New Roman" w:hAnsi="Times New Roman"/>
          <w:sz w:val="24"/>
          <w:szCs w:val="24"/>
          <w:i w:val="1"/>
          <w:iCs w:val="1"/>
          <w:color w:val="auto"/>
        </w:rPr>
        <w:t>Eurosurveillance</w:t>
      </w:r>
      <w:r>
        <w:rPr>
          <w:rFonts w:ascii="Times New Roman" w:cs="Times New Roman" w:eastAsia="Times New Roman" w:hAnsi="Times New Roman"/>
          <w:sz w:val="24"/>
          <w:szCs w:val="24"/>
          <w:color w:val="auto"/>
        </w:rPr>
        <w:t>, vol. 25, no. 21, p. 2000903, May 2020, doi: 10.2807/1560-7917.ES.2020.25.21.2000903.</w:t>
      </w:r>
    </w:p>
    <w:p>
      <w:pPr>
        <w:spacing w:after="0" w:line="189" w:lineRule="exact"/>
        <w:rPr>
          <w:sz w:val="20"/>
          <w:szCs w:val="20"/>
          <w:color w:val="auto"/>
        </w:rPr>
      </w:pPr>
    </w:p>
    <w:p>
      <w:pPr>
        <w:jc w:val="both"/>
        <w:ind w:left="640" w:hanging="640"/>
        <w:spacing w:after="0" w:line="356"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T. B. Johansen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xml:space="preserve">, “Infection prevention guidelines and considerations for paediatric risk groups when reopening primary schools during COVID-19 pandemic, Norway, April 2020,” </w:t>
      </w:r>
      <w:r>
        <w:rPr>
          <w:rFonts w:ascii="Times New Roman" w:cs="Times New Roman" w:eastAsia="Times New Roman" w:hAnsi="Times New Roman"/>
          <w:sz w:val="24"/>
          <w:szCs w:val="24"/>
          <w:i w:val="1"/>
          <w:iCs w:val="1"/>
          <w:color w:val="auto"/>
        </w:rPr>
        <w:t>Eurosurveillance</w:t>
      </w:r>
      <w:r>
        <w:rPr>
          <w:rFonts w:ascii="Times New Roman" w:cs="Times New Roman" w:eastAsia="Times New Roman" w:hAnsi="Times New Roman"/>
          <w:sz w:val="24"/>
          <w:szCs w:val="24"/>
          <w:color w:val="auto"/>
        </w:rPr>
        <w:t>, vol. 25, no. 22, p. 2000921, Jun. 2020, doi: 10.2807/1560-7917.ES.2020.25.22.2000921.</w:t>
      </w:r>
    </w:p>
    <w:p>
      <w:pPr>
        <w:spacing w:after="0" w:line="177"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“Children appear half as likely to catch COVID-19 as adults | UCL News - UCL – University College London.” https://www.ucl.ac.uk/news/2020/may/children-appear-half-likely-catch-covid-19-adults (accessed Nov. 24, 2020).</w:t>
      </w:r>
    </w:p>
    <w:p>
      <w:pPr>
        <w:spacing w:after="0" w:line="177"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Q. L. Jing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xml:space="preserve">, “Household secondary attack rate of COVID-19 and associated determinants in Guangzhou, China: a retrospective cohort study,” </w:t>
      </w:r>
      <w:r>
        <w:rPr>
          <w:rFonts w:ascii="Times New Roman" w:cs="Times New Roman" w:eastAsia="Times New Roman" w:hAnsi="Times New Roman"/>
          <w:sz w:val="24"/>
          <w:szCs w:val="24"/>
          <w:i w:val="1"/>
          <w:iCs w:val="1"/>
          <w:color w:val="auto"/>
        </w:rPr>
        <w:t>Lancet Infect. Dis.</w:t>
      </w:r>
      <w:r>
        <w:rPr>
          <w:rFonts w:ascii="Times New Roman" w:cs="Times New Roman" w:eastAsia="Times New Roman" w:hAnsi="Times New Roman"/>
          <w:sz w:val="24"/>
          <w:szCs w:val="24"/>
          <w:color w:val="auto"/>
        </w:rPr>
        <w:t>, vol. 20, no. 10, pp. 1141–1150, Oct. 2020, doi: 10.1016/S1473-3099(20)30471-0.</w:t>
      </w:r>
    </w:p>
    <w:p>
      <w:pPr>
        <w:spacing w:after="0" w:line="176" w:lineRule="exact"/>
        <w:rPr>
          <w:rFonts w:ascii="Times New Roman" w:cs="Times New Roman" w:eastAsia="Times New Roman" w:hAnsi="Times New Roman"/>
          <w:sz w:val="24"/>
          <w:szCs w:val="24"/>
          <w:color w:val="auto"/>
        </w:rPr>
      </w:pPr>
    </w:p>
    <w:p>
      <w:pPr>
        <w:ind w:left="640" w:hanging="640"/>
        <w:spacing w:after="0" w:line="348"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N. M. Ferguson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“of non-pharmaceutical interventions (NPIs) to reduce COVID-19 mortality and healthcare demand,” doi: 10.25561/77482.</w:t>
      </w:r>
    </w:p>
    <w:p>
      <w:pPr>
        <w:spacing w:after="0" w:line="176"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O. Kriger </w:t>
      </w:r>
      <w:r>
        <w:rPr>
          <w:rFonts w:ascii="Times New Roman" w:cs="Times New Roman" w:eastAsia="Times New Roman" w:hAnsi="Times New Roman"/>
          <w:sz w:val="24"/>
          <w:szCs w:val="24"/>
          <w:i w:val="1"/>
          <w:iCs w:val="1"/>
          <w:color w:val="auto"/>
        </w:rPr>
        <w:t>et al.</w:t>
      </w:r>
      <w:r>
        <w:rPr>
          <w:rFonts w:ascii="Times New Roman" w:cs="Times New Roman" w:eastAsia="Times New Roman" w:hAnsi="Times New Roman"/>
          <w:sz w:val="24"/>
          <w:szCs w:val="24"/>
          <w:color w:val="auto"/>
        </w:rPr>
        <w:t>, “The Sheba Medical Center healthcare workers’ children’s school: can we</w:t>
      </w:r>
    </w:p>
    <w:p>
      <w:pPr>
        <w:spacing w:after="0" w:line="149" w:lineRule="exact"/>
        <w:rPr>
          <w:rFonts w:ascii="Times New Roman" w:cs="Times New Roman" w:eastAsia="Times New Roman" w:hAnsi="Times New Roman"/>
          <w:sz w:val="24"/>
          <w:szCs w:val="24"/>
          <w:color w:val="auto"/>
        </w:rPr>
      </w:pPr>
    </w:p>
    <w:p>
      <w:pPr>
        <w:ind w:left="640"/>
        <w:spacing w:after="0" w:line="352"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open schools safely?,” </w:t>
      </w:r>
      <w:r>
        <w:rPr>
          <w:rFonts w:ascii="Times New Roman" w:cs="Times New Roman" w:eastAsia="Times New Roman" w:hAnsi="Times New Roman"/>
          <w:sz w:val="24"/>
          <w:szCs w:val="24"/>
          <w:i w:val="1"/>
          <w:iCs w:val="1"/>
          <w:color w:val="auto"/>
        </w:rPr>
        <w:t>Clin. Microbiol. Infect.</w:t>
      </w:r>
      <w:r>
        <w:rPr>
          <w:rFonts w:ascii="Times New Roman" w:cs="Times New Roman" w:eastAsia="Times New Roman" w:hAnsi="Times New Roman"/>
          <w:sz w:val="24"/>
          <w:szCs w:val="24"/>
          <w:color w:val="auto"/>
        </w:rPr>
        <w:t>, Dec. 2020, doi: 10.1016/j.cmi.2020.11.030.</w:t>
      </w:r>
    </w:p>
    <w:p>
      <w:pPr>
        <w:spacing w:after="0" w:line="167"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D. A. Christakis, W. Van Cleve, and F. J. Zimmerman, “Estimation of US Children’s</w:t>
      </w:r>
    </w:p>
    <w:p>
      <w:pPr>
        <w:spacing w:after="0" w:line="149" w:lineRule="exact"/>
        <w:rPr>
          <w:rFonts w:ascii="Times New Roman" w:cs="Times New Roman" w:eastAsia="Times New Roman" w:hAnsi="Times New Roman"/>
          <w:sz w:val="24"/>
          <w:szCs w:val="24"/>
          <w:color w:val="auto"/>
        </w:rPr>
      </w:pPr>
    </w:p>
    <w:p>
      <w:pPr>
        <w:jc w:val="both"/>
        <w:ind w:left="640"/>
        <w:spacing w:after="0" w:line="356"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Educational Attainment and Years of Life Lost Associated With Primary School Closures During the Coronavirus Disease 2019 Pandemic,” </w:t>
      </w:r>
      <w:r>
        <w:rPr>
          <w:rFonts w:ascii="Times New Roman" w:cs="Times New Roman" w:eastAsia="Times New Roman" w:hAnsi="Times New Roman"/>
          <w:sz w:val="24"/>
          <w:szCs w:val="24"/>
          <w:i w:val="1"/>
          <w:iCs w:val="1"/>
          <w:color w:val="auto"/>
        </w:rPr>
        <w:t>JAMA Netw. open</w:t>
      </w:r>
      <w:r>
        <w:rPr>
          <w:rFonts w:ascii="Times New Roman" w:cs="Times New Roman" w:eastAsia="Times New Roman" w:hAnsi="Times New Roman"/>
          <w:sz w:val="24"/>
          <w:szCs w:val="24"/>
          <w:color w:val="auto"/>
        </w:rPr>
        <w:t>, 2020, doi: 10.1001/jamanetworkopen.2020.28786.</w:t>
      </w:r>
    </w:p>
    <w:p>
      <w:pPr>
        <w:spacing w:after="0" w:line="174" w:lineRule="exact"/>
        <w:rPr>
          <w:rFonts w:ascii="Times New Roman" w:cs="Times New Roman" w:eastAsia="Times New Roman" w:hAnsi="Times New Roman"/>
          <w:sz w:val="24"/>
          <w:szCs w:val="24"/>
          <w:color w:val="auto"/>
        </w:rPr>
      </w:pPr>
    </w:p>
    <w:p>
      <w:pPr>
        <w:ind w:left="640" w:hanging="640"/>
        <w:spacing w:after="0" w:line="352"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“Coronavirus: How the lockdown has changed schooling in South Asia - BBC News.” https://www.bbc.com/news/world-south-asia-54009306 (accessed Nov. 29, 2020).</w:t>
      </w:r>
    </w:p>
    <w:p>
      <w:pPr>
        <w:spacing w:after="0" w:line="179" w:lineRule="exact"/>
        <w:rPr>
          <w:rFonts w:ascii="Times New Roman" w:cs="Times New Roman" w:eastAsia="Times New Roman" w:hAnsi="Times New Roman"/>
          <w:sz w:val="24"/>
          <w:szCs w:val="24"/>
          <w:color w:val="auto"/>
        </w:rPr>
      </w:pPr>
    </w:p>
    <w:p>
      <w:pPr>
        <w:jc w:val="both"/>
        <w:ind w:left="640" w:hanging="640"/>
        <w:spacing w:after="0" w:line="355" w:lineRule="auto"/>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“COVID-19 - School Reopening: Indicators to Inform Decision Making | CDC.” https://www.cdc.gov/coronavirus/2019-ncov/community/schools-childcare/indicators.html (accessed Dec. 05, 2020).</w:t>
      </w:r>
    </w:p>
    <w:p>
      <w:pPr>
        <w:spacing w:after="0" w:line="165" w:lineRule="exact"/>
        <w:rPr>
          <w:rFonts w:ascii="Times New Roman" w:cs="Times New Roman" w:eastAsia="Times New Roman" w:hAnsi="Times New Roman"/>
          <w:sz w:val="24"/>
          <w:szCs w:val="24"/>
          <w:color w:val="auto"/>
        </w:rPr>
      </w:pPr>
    </w:p>
    <w:p>
      <w:pPr>
        <w:ind w:left="640" w:hanging="640"/>
        <w:spacing w:after="0"/>
        <w:tabs>
          <w:tab w:leader="none" w:pos="640" w:val="left"/>
        </w:tabs>
        <w:numPr>
          <w:ilvl w:val="0"/>
          <w:numId w:val="1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W. Van Lancker and Z. Parolin, “COVID-19, school closures, and child poverty: a social</w:t>
      </w:r>
    </w:p>
    <w:p>
      <w:pPr>
        <w:spacing w:after="0" w:line="363" w:lineRule="exact"/>
        <w:rPr>
          <w:sz w:val="20"/>
          <w:szCs w:val="20"/>
          <w:color w:val="auto"/>
        </w:rPr>
      </w:pPr>
    </w:p>
    <w:p>
      <w:pPr>
        <w:ind w:left="9160"/>
        <w:spacing w:after="0"/>
        <w:rPr>
          <w:sz w:val="20"/>
          <w:szCs w:val="20"/>
          <w:color w:val="auto"/>
        </w:rPr>
      </w:pPr>
      <w:r>
        <w:rPr>
          <w:rFonts w:ascii="Times New Roman" w:cs="Times New Roman" w:eastAsia="Times New Roman" w:hAnsi="Times New Roman"/>
          <w:sz w:val="20"/>
          <w:szCs w:val="20"/>
          <w:color w:val="auto"/>
        </w:rPr>
        <w:t>15</w:t>
      </w:r>
    </w:p>
    <w:p>
      <w:pPr>
        <w:sectPr>
          <w:pgSz w:w="12240" w:h="15840" w:orient="portrait"/>
          <w:cols w:equalWidth="0" w:num="1">
            <w:col w:w="9360"/>
          </w:cols>
          <w:pgMar w:left="1440" w:top="1440" w:right="1440" w:bottom="772" w:gutter="0" w:footer="0" w:header="0"/>
        </w:sectPr>
      </w:pPr>
    </w:p>
    <w:bookmarkStart w:id="15" w:name="page16"/>
    <w:bookmarkEnd w:id="15"/>
    <w:p>
      <w:pPr>
        <w:spacing w:after="0" w:line="3" w:lineRule="exact"/>
        <w:rPr>
          <w:sz w:val="20"/>
          <w:szCs w:val="20"/>
          <w:color w:val="auto"/>
        </w:rPr>
      </w:pPr>
    </w:p>
    <w:p>
      <w:pPr>
        <w:ind w:left="640"/>
        <w:spacing w:after="0" w:line="348" w:lineRule="auto"/>
        <w:rPr>
          <w:sz w:val="20"/>
          <w:szCs w:val="20"/>
          <w:color w:val="auto"/>
        </w:rPr>
      </w:pPr>
      <w:r>
        <w:rPr>
          <w:rFonts w:ascii="Times New Roman" w:cs="Times New Roman" w:eastAsia="Times New Roman" w:hAnsi="Times New Roman"/>
          <w:sz w:val="24"/>
          <w:szCs w:val="24"/>
          <w:color w:val="auto"/>
        </w:rPr>
        <w:t xml:space="preserve">crisis in the making,” </w:t>
      </w:r>
      <w:r>
        <w:rPr>
          <w:rFonts w:ascii="Times New Roman" w:cs="Times New Roman" w:eastAsia="Times New Roman" w:hAnsi="Times New Roman"/>
          <w:sz w:val="24"/>
          <w:szCs w:val="24"/>
          <w:i w:val="1"/>
          <w:iCs w:val="1"/>
          <w:color w:val="auto"/>
        </w:rPr>
        <w:t>The Lancet Public Health</w:t>
      </w:r>
      <w:r>
        <w:rPr>
          <w:rFonts w:ascii="Times New Roman" w:cs="Times New Roman" w:eastAsia="Times New Roman" w:hAnsi="Times New Roman"/>
          <w:sz w:val="24"/>
          <w:szCs w:val="24"/>
          <w:color w:val="auto"/>
        </w:rPr>
        <w:t>, vol. 5, no. 5. Elsevier Ltd, pp. e243– e244, May 01, 2020, doi: 10.1016/S2468-2667(20)30084-0.</w:t>
      </w:r>
    </w:p>
    <w:p>
      <w:pPr>
        <w:spacing w:after="0" w:line="189" w:lineRule="exact"/>
        <w:rPr>
          <w:sz w:val="20"/>
          <w:szCs w:val="20"/>
          <w:color w:val="auto"/>
        </w:rPr>
      </w:pPr>
    </w:p>
    <w:p>
      <w:pPr>
        <w:jc w:val="both"/>
        <w:ind w:left="640" w:right="20" w:hanging="640"/>
        <w:spacing w:after="0" w:line="353"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R. Armitage and L. B. Nellums, “Considering inequalities in the school closure response to COVID-19,” </w:t>
      </w:r>
      <w:r>
        <w:rPr>
          <w:rFonts w:ascii="Times New Roman" w:cs="Times New Roman" w:eastAsia="Times New Roman" w:hAnsi="Times New Roman"/>
          <w:sz w:val="24"/>
          <w:szCs w:val="24"/>
          <w:i w:val="1"/>
          <w:iCs w:val="1"/>
          <w:color w:val="auto"/>
        </w:rPr>
        <w:t>The Lancet Global Health</w:t>
      </w:r>
      <w:r>
        <w:rPr>
          <w:rFonts w:ascii="Times New Roman" w:cs="Times New Roman" w:eastAsia="Times New Roman" w:hAnsi="Times New Roman"/>
          <w:sz w:val="24"/>
          <w:szCs w:val="24"/>
          <w:color w:val="auto"/>
        </w:rPr>
        <w:t>, vol. 8, no. 5. Elsevier Ltd, p. e644, May 01, 2020, doi: 10.1016/S2214-109X(20)30116-9.</w:t>
      </w:r>
    </w:p>
    <w:p>
      <w:pPr>
        <w:spacing w:after="0" w:line="183"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 xml:space="preserve">M. P. Fantini, C. Reno, G. B. Biserni, E. Savoia, and M. Lanari, “COVID-19 and the re-opening of schools: A policy maker’s dilemma,” </w:t>
      </w:r>
      <w:r>
        <w:rPr>
          <w:rFonts w:ascii="Times New Roman" w:cs="Times New Roman" w:eastAsia="Times New Roman" w:hAnsi="Times New Roman"/>
          <w:sz w:val="24"/>
          <w:szCs w:val="24"/>
          <w:i w:val="1"/>
          <w:iCs w:val="1"/>
          <w:color w:val="auto"/>
        </w:rPr>
        <w:t>Italian Journal of Pediatrics</w:t>
      </w:r>
      <w:r>
        <w:rPr>
          <w:rFonts w:ascii="Times New Roman" w:cs="Times New Roman" w:eastAsia="Times New Roman" w:hAnsi="Times New Roman"/>
          <w:sz w:val="24"/>
          <w:szCs w:val="24"/>
          <w:color w:val="auto"/>
        </w:rPr>
        <w:t>, vol. 46, no. 1. BioMed Central, 2020, doi: 10.1186/s13052-020-00844-1.</w:t>
      </w:r>
    </w:p>
    <w:p>
      <w:pPr>
        <w:spacing w:after="0" w:line="184" w:lineRule="exact"/>
        <w:rPr>
          <w:rFonts w:ascii="Times New Roman" w:cs="Times New Roman" w:eastAsia="Times New Roman" w:hAnsi="Times New Roman"/>
          <w:sz w:val="24"/>
          <w:szCs w:val="24"/>
          <w:color w:val="auto"/>
        </w:rPr>
      </w:pPr>
    </w:p>
    <w:p>
      <w:pPr>
        <w:jc w:val="both"/>
        <w:ind w:left="640" w:hanging="640"/>
        <w:spacing w:after="0" w:line="353"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“Literacy rate, adult total (% of people ages 15 and above) - Bangladesh | Data.” https://data.worldbank.org/indicator/SE.ADT.LITR.ZS?locations=BD (accessed Dec. 01, 2020).</w:t>
      </w:r>
    </w:p>
    <w:p>
      <w:pPr>
        <w:spacing w:after="0" w:line="184" w:lineRule="exact"/>
        <w:rPr>
          <w:rFonts w:ascii="Times New Roman" w:cs="Times New Roman" w:eastAsia="Times New Roman" w:hAnsi="Times New Roman"/>
          <w:sz w:val="24"/>
          <w:szCs w:val="24"/>
          <w:color w:val="auto"/>
        </w:rPr>
      </w:pPr>
    </w:p>
    <w:p>
      <w:pPr>
        <w:ind w:left="640" w:hanging="640"/>
        <w:spacing w:after="0" w:line="356"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“Teacher training shows best practice during COVID-19 in Champasak province, Lao | International Cooperation and Development.” https://ec.europa.eu/international-partnerships/stories/teacher-training-shows-best-practice-during-covid-19-champasak-province-lao_en (accessed Dec. 16, 2020).</w:t>
      </w:r>
    </w:p>
    <w:p>
      <w:pPr>
        <w:spacing w:after="0" w:line="177" w:lineRule="exact"/>
        <w:rPr>
          <w:rFonts w:ascii="Times New Roman" w:cs="Times New Roman" w:eastAsia="Times New Roman" w:hAnsi="Times New Roman"/>
          <w:sz w:val="24"/>
          <w:szCs w:val="24"/>
          <w:color w:val="auto"/>
        </w:rPr>
      </w:pPr>
    </w:p>
    <w:p>
      <w:pPr>
        <w:ind w:left="640" w:right="20" w:hanging="640"/>
        <w:spacing w:after="0" w:line="355"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“Back to school: how European classrooms are coping with COVID | Reuters.” https://www.reuters.com/article/us-health-coronavirus-europe-education-f-idUSKBN25S4L4 (accessed Dec. 03, 2020).</w:t>
      </w:r>
    </w:p>
    <w:p>
      <w:pPr>
        <w:spacing w:after="0" w:line="177" w:lineRule="exact"/>
        <w:rPr>
          <w:rFonts w:ascii="Times New Roman" w:cs="Times New Roman" w:eastAsia="Times New Roman" w:hAnsi="Times New Roman"/>
          <w:sz w:val="24"/>
          <w:szCs w:val="24"/>
          <w:color w:val="auto"/>
        </w:rPr>
      </w:pPr>
    </w:p>
    <w:p>
      <w:pPr>
        <w:jc w:val="both"/>
        <w:ind w:left="640" w:hanging="640"/>
        <w:spacing w:after="0" w:line="356" w:lineRule="auto"/>
        <w:tabs>
          <w:tab w:leader="none" w:pos="640" w:val="left"/>
        </w:tabs>
        <w:numPr>
          <w:ilvl w:val="0"/>
          <w:numId w:val="1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“school reopening date: Latest News, Videos and Photos of school reopening date | Times of India.” https://timesofindia.indiatimes.com/topic/school-reopening-date (accessed Dec. 18, 2020).</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1"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20"/>
          <w:szCs w:val="20"/>
          <w:color w:val="auto"/>
        </w:rPr>
        <w:t>16</w:t>
      </w:r>
    </w:p>
    <w:sectPr>
      <w:pgSz w:w="12240" w:h="15840" w:orient="portrait"/>
      <w:cols w:equalWidth="0" w:num="1">
        <w:col w:w="9360"/>
      </w:cols>
      <w:pgMar w:left="1440" w:top="1440" w:right="1440" w:bottom="772"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rmala UI">
    <w:panose1 w:val="020B0502040204020203"/>
    <w:charset w:val="00"/>
    <w:family w:val="swiss"/>
    <w:pitch w:val="variable"/>
    <w:sig w:usb0="80FF8023" w:usb1="0000004A" w:usb2="00000200" w:usb3="00040000" w:csb0="00000001"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515F007C"/>
    <w:multiLevelType w:val="hybridMultilevel"/>
    <w:lvl w:ilvl="0">
      <w:lvlJc w:val="left"/>
      <w:lvlText w:val="[%1]."/>
      <w:numFmt w:val="decimal"/>
      <w:start w:val="21"/>
    </w:lvl>
  </w:abstractNum>
  <w:abstractNum w:abstractNumId="1">
    <w:nsid w:val="5BD062C2"/>
    <w:multiLevelType w:val="hybridMultilevel"/>
    <w:lvl w:ilvl="0">
      <w:lvlJc w:val="left"/>
      <w:lvlText w:val="[%1]."/>
      <w:numFmt w:val="decimal"/>
      <w:start w:val="26"/>
    </w:lvl>
  </w:abstractNum>
  <w:abstractNum w:abstractNumId="2">
    <w:nsid w:val="12200854"/>
    <w:multiLevelType w:val="hybridMultilevel"/>
    <w:lvl w:ilvl="0">
      <w:lvlJc w:val="left"/>
      <w:lvlText w:val="[%1]"/>
      <w:numFmt w:val="decimal"/>
      <w:start w:val="38"/>
    </w:lvl>
  </w:abstractNum>
  <w:abstractNum w:abstractNumId="3">
    <w:nsid w:val="4DB127F8"/>
    <w:multiLevelType w:val="hybridMultilevel"/>
    <w:lvl w:ilvl="0">
      <w:lvlJc w:val="left"/>
      <w:lvlText w:val="[%1]."/>
      <w:numFmt w:val="decimal"/>
      <w:start w:val="42"/>
    </w:lvl>
  </w:abstractNum>
  <w:abstractNum w:abstractNumId="4">
    <w:nsid w:val="216231B"/>
    <w:multiLevelType w:val="hybridMultilevel"/>
    <w:lvl w:ilvl="0">
      <w:lvlJc w:val="left"/>
      <w:lvlText w:val="[%1]."/>
      <w:numFmt w:val="decimal"/>
      <w:start w:val="48"/>
    </w:lvl>
  </w:abstractNum>
  <w:abstractNum w:abstractNumId="5">
    <w:nsid w:val="1F16E9E8"/>
    <w:multiLevelType w:val="hybridMultilevel"/>
    <w:lvl w:ilvl="0">
      <w:lvlJc w:val="left"/>
      <w:lvlText w:val="[%1]"/>
      <w:numFmt w:val="decimal"/>
      <w:start w:val="1"/>
    </w:lvl>
  </w:abstractNum>
  <w:abstractNum w:abstractNumId="6">
    <w:nsid w:val="1190CDE7"/>
    <w:multiLevelType w:val="hybridMultilevel"/>
    <w:lvl w:ilvl="0">
      <w:lvlJc w:val="left"/>
      <w:lvlText w:val="[%1]"/>
      <w:numFmt w:val="decimal"/>
      <w:start w:val="4"/>
    </w:lvl>
  </w:abstractNum>
  <w:abstractNum w:abstractNumId="7">
    <w:nsid w:val="66EF438D"/>
    <w:multiLevelType w:val="hybridMultilevel"/>
    <w:lvl w:ilvl="0">
      <w:lvlJc w:val="left"/>
      <w:lvlText w:val="[%1]"/>
      <w:numFmt w:val="decimal"/>
      <w:start w:val="13"/>
    </w:lvl>
  </w:abstractNum>
  <w:abstractNum w:abstractNumId="8">
    <w:nsid w:val="140E0F76"/>
    <w:multiLevelType w:val="hybridMultilevel"/>
    <w:lvl w:ilvl="0">
      <w:lvlJc w:val="left"/>
      <w:lvlText w:val="[%1]"/>
      <w:numFmt w:val="decimal"/>
      <w:start w:val="17"/>
    </w:lvl>
  </w:abstractNum>
  <w:abstractNum w:abstractNumId="9">
    <w:nsid w:val="3352255A"/>
    <w:multiLevelType w:val="hybridMultilevel"/>
    <w:lvl w:ilvl="0">
      <w:lvlJc w:val="left"/>
      <w:lvlText w:val="[%1]"/>
      <w:numFmt w:val="decimal"/>
      <w:start w:val="21"/>
    </w:lvl>
  </w:abstractNum>
  <w:abstractNum w:abstractNumId="10">
    <w:nsid w:val="109CF92E"/>
    <w:multiLevelType w:val="hybridMultilevel"/>
    <w:lvl w:ilvl="0">
      <w:lvlJc w:val="left"/>
      <w:lvlText w:val="[%1]"/>
      <w:numFmt w:val="decimal"/>
      <w:start w:val="30"/>
    </w:lvl>
  </w:abstractNum>
  <w:abstractNum w:abstractNumId="11">
    <w:nsid w:val="DED7263"/>
    <w:multiLevelType w:val="hybridMultilevel"/>
    <w:lvl w:ilvl="0">
      <w:lvlJc w:val="left"/>
      <w:lvlText w:val="[%1]"/>
      <w:numFmt w:val="decimal"/>
      <w:start w:val="40"/>
    </w:lvl>
    <w:lvl w:ilvl="1">
      <w:lvlJc w:val="left"/>
      <w:lvlText w:val="%2."/>
      <w:numFmt w:val="decimal"/>
      <w:start w:val="6"/>
    </w:lvl>
  </w:abstractNum>
  <w:abstractNum w:abstractNumId="12">
    <w:nsid w:val="7FDCC233"/>
    <w:multiLevelType w:val="hybridMultilevel"/>
    <w:lvl w:ilvl="0">
      <w:lvlJc w:val="left"/>
      <w:lvlText w:val="%1"/>
      <w:numFmt w:val="decimal"/>
      <w:start w:val="1"/>
    </w:lvl>
    <w:lvl w:ilvl="1">
      <w:lvlJc w:val="left"/>
      <w:lvlText w:val="%2."/>
      <w:numFmt w:val="decimal"/>
      <w:start w:val="10"/>
    </w:lvl>
  </w:abstractNum>
  <w:abstractNum w:abstractNumId="13">
    <w:nsid w:val="1BEFD79F"/>
    <w:multiLevelType w:val="hybridMultilevel"/>
    <w:lvl w:ilvl="0">
      <w:lvlJc w:val="left"/>
      <w:lvlText w:val="[%1]"/>
      <w:numFmt w:val="decimal"/>
      <w:start w:val="46"/>
    </w:lvl>
    <w:lvl w:ilvl="1">
      <w:lvlJc w:val="left"/>
      <w:lvlText w:val="%2"/>
      <w:numFmt w:val="decimal"/>
      <w:start w:val="1"/>
    </w:lvl>
  </w:abstractNum>
  <w:abstractNum w:abstractNumId="14">
    <w:nsid w:val="41A7C4C9"/>
    <w:multiLevelType w:val="hybridMultilevel"/>
    <w:lvl w:ilvl="0">
      <w:lvlJc w:val="left"/>
      <w:lvlText w:val="[%1]"/>
      <w:numFmt w:val="decimal"/>
      <w:start w:val="49"/>
    </w:lvl>
  </w:abstractNum>
  <w:abstractNum w:abstractNumId="15">
    <w:nsid w:val="6B68079A"/>
    <w:multiLevelType w:val="hybridMultilevel"/>
    <w:lvl w:ilvl="0">
      <w:lvlJc w:val="left"/>
      <w:lvlText w:val="[%1]"/>
      <w:numFmt w:val="decimal"/>
      <w:start w:val="58"/>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9" Type="http://schemas.openxmlformats.org/officeDocument/2006/relationships/image" Target="media/image1.jpeg"/><Relationship Id="rId8" Type="http://schemas.openxmlformats.org/officeDocument/2006/relationships/hyperlink" Target="mailto:kamrul.hasan11@northosouth.edu"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2021-01-02T05:54:07Z</dcterms:created>
  <dcterms:modified xsi:type="dcterms:W3CDTF">2021-01-02T05:54:07Z</dcterms:modified>
</cp:coreProperties>
</file>