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97D04" w14:textId="69D472C4" w:rsidR="00C246C5" w:rsidRPr="0059698A" w:rsidRDefault="0059698A" w:rsidP="00C427CF">
      <w:pPr>
        <w:pStyle w:val="Articletitle"/>
        <w:rPr>
          <w:lang w:val="en"/>
        </w:rPr>
      </w:pPr>
      <w:r w:rsidRPr="008B11A1">
        <w:rPr>
          <w:lang w:val="en"/>
        </w:rPr>
        <w:t xml:space="preserve">Quantifying Marginality </w:t>
      </w:r>
      <w:r w:rsidR="00174485">
        <w:rPr>
          <w:lang w:val="en"/>
        </w:rPr>
        <w:t>A</w:t>
      </w:r>
      <w:r w:rsidRPr="008B11A1">
        <w:rPr>
          <w:lang w:val="en"/>
        </w:rPr>
        <w:t>cross the Globe: An Empirical Assessment of Vigil’s Multiple Marginality</w:t>
      </w:r>
      <w:r w:rsidR="00174485">
        <w:rPr>
          <w:lang w:val="en"/>
        </w:rPr>
        <w:t xml:space="preserve"> Model</w:t>
      </w:r>
      <w:r w:rsidRPr="008B11A1">
        <w:rPr>
          <w:lang w:val="en"/>
        </w:rPr>
        <w:t xml:space="preserve"> in Predicting Gang Involvement</w:t>
      </w:r>
    </w:p>
    <w:p w14:paraId="32074DA1" w14:textId="00052CF3" w:rsidR="00E11BC0" w:rsidRPr="00770C14" w:rsidRDefault="1BAFAA6F" w:rsidP="006652D2">
      <w:pPr>
        <w:pStyle w:val="Abstract"/>
        <w:spacing w:line="480" w:lineRule="auto"/>
        <w:contextualSpacing/>
        <w:rPr>
          <w:lang w:val="en"/>
        </w:rPr>
      </w:pPr>
      <w:r w:rsidRPr="1BAFAA6F">
        <w:rPr>
          <w:lang w:val="en"/>
        </w:rPr>
        <w:t>Vigil’s (1983; 1988; 2002) Multiple Marginality (MM) model of gang formation has resulted in hypotheses about why minority youth join gangs, and how these processes play out at multiple levels of analysis and across contexts. However, with a few exceptions, this framework has rarely been tested quantitatively, and especially in countries outside of North America. The current study assesses the MM model using data from the Second International Self-Report Delinquency Study and aggregate country-level data. Results from multilevel analyses reveal some support for the framework, in that at least one measure of each component of the MM model was found to be a significant predictor of gang membership. Controlling for individual and country variables, measures of street socialization exhibited the strongest effects on gang involvement. Yet not all proposed factors were significant predictors across all models. Longitudinal data are necessary to fully support the dynamics of the MM model.</w:t>
      </w:r>
    </w:p>
    <w:p w14:paraId="3ADAB91E" w14:textId="73FC8EB5" w:rsidR="0067455F" w:rsidRPr="0067455F" w:rsidRDefault="00997B0F" w:rsidP="006652D2">
      <w:pPr>
        <w:pStyle w:val="Keywords"/>
        <w:spacing w:line="480" w:lineRule="auto"/>
        <w:contextualSpacing/>
      </w:pPr>
      <w:r w:rsidRPr="00770C14">
        <w:t>Keywor</w:t>
      </w:r>
      <w:r w:rsidR="008B11A1" w:rsidRPr="00770C14">
        <w:t>ds: multiple marginality</w:t>
      </w:r>
      <w:r w:rsidRPr="00770C14">
        <w:t xml:space="preserve">; </w:t>
      </w:r>
      <w:r w:rsidR="0089491F" w:rsidRPr="00770C14">
        <w:t>gang</w:t>
      </w:r>
      <w:r w:rsidR="000A4FE3" w:rsidRPr="00770C14">
        <w:t>s</w:t>
      </w:r>
      <w:r w:rsidRPr="00770C14">
        <w:t xml:space="preserve">; </w:t>
      </w:r>
      <w:r w:rsidR="000A4FE3" w:rsidRPr="00770C14">
        <w:t>multilevel</w:t>
      </w:r>
      <w:r w:rsidR="008A48BD" w:rsidRPr="00F37947">
        <w:t xml:space="preserve"> models;</w:t>
      </w:r>
      <w:r w:rsidR="000A4FE3" w:rsidRPr="00F37947">
        <w:t xml:space="preserve"> ISRD-2</w:t>
      </w:r>
    </w:p>
    <w:p w14:paraId="707BD759" w14:textId="46047878" w:rsidR="00997B0F" w:rsidRDefault="003F13F3" w:rsidP="006652D2">
      <w:pPr>
        <w:pStyle w:val="Heading1"/>
        <w:spacing w:line="480" w:lineRule="auto"/>
        <w:ind w:right="562"/>
        <w:jc w:val="center"/>
      </w:pPr>
      <w:r>
        <w:t>Introduction</w:t>
      </w:r>
    </w:p>
    <w:p w14:paraId="5A01695E" w14:textId="619A078B" w:rsidR="003F13F3" w:rsidRPr="003F13F3" w:rsidRDefault="76620C13" w:rsidP="006652D2">
      <w:pPr>
        <w:pStyle w:val="Paragraph"/>
        <w:contextualSpacing/>
        <w:rPr>
          <w:lang w:val="en"/>
        </w:rPr>
      </w:pPr>
      <w:r w:rsidRPr="76620C13">
        <w:rPr>
          <w:lang w:val="en"/>
        </w:rPr>
        <w:t xml:space="preserve">Because of the violence that often accompanies street gangs, it is important to understand the fundamental processes that lead youth to join gangs in the first place (Klein, 2007). Fortunately, in their recent article taking stock of gang scholarship, Decker, </w:t>
      </w:r>
      <w:proofErr w:type="spellStart"/>
      <w:r w:rsidRPr="76620C13">
        <w:rPr>
          <w:lang w:val="en"/>
        </w:rPr>
        <w:t>Melde</w:t>
      </w:r>
      <w:proofErr w:type="spellEnd"/>
      <w:r w:rsidRPr="76620C13">
        <w:rPr>
          <w:lang w:val="en"/>
        </w:rPr>
        <w:t xml:space="preserve">, and </w:t>
      </w:r>
      <w:proofErr w:type="spellStart"/>
      <w:r w:rsidRPr="76620C13">
        <w:rPr>
          <w:lang w:val="en"/>
        </w:rPr>
        <w:t>Pyrooz</w:t>
      </w:r>
      <w:proofErr w:type="spellEnd"/>
      <w:r w:rsidRPr="76620C13">
        <w:rPr>
          <w:lang w:val="en"/>
        </w:rPr>
        <w:t xml:space="preserve"> (2013) note that “The last two decades have seen exponential growth in the study of gangs, gang members, and the group processes that make gangs a distinctive group” (p. 369). And while the literature has made advances in our understanding of gang-joining (e.g. </w:t>
      </w:r>
      <w:proofErr w:type="spellStart"/>
      <w:r w:rsidRPr="76620C13">
        <w:rPr>
          <w:lang w:val="en"/>
        </w:rPr>
        <w:t>Densley</w:t>
      </w:r>
      <w:proofErr w:type="spellEnd"/>
      <w:r w:rsidRPr="76620C13">
        <w:rPr>
          <w:lang w:val="en"/>
        </w:rPr>
        <w:t xml:space="preserve">, 2015; </w:t>
      </w:r>
      <w:proofErr w:type="spellStart"/>
      <w:r w:rsidRPr="76620C13">
        <w:rPr>
          <w:lang w:val="en"/>
        </w:rPr>
        <w:t>Pyrooz</w:t>
      </w:r>
      <w:proofErr w:type="spellEnd"/>
      <w:r w:rsidRPr="76620C13">
        <w:rPr>
          <w:lang w:val="en"/>
        </w:rPr>
        <w:t xml:space="preserve"> &amp; </w:t>
      </w:r>
      <w:proofErr w:type="spellStart"/>
      <w:r w:rsidRPr="76620C13">
        <w:rPr>
          <w:lang w:val="en"/>
        </w:rPr>
        <w:t>Densley</w:t>
      </w:r>
      <w:proofErr w:type="spellEnd"/>
      <w:r w:rsidRPr="76620C13">
        <w:rPr>
          <w:lang w:val="en"/>
        </w:rPr>
        <w:t>, 2016), there remain unanswered questions regarding the factors that lead youth to become gang-</w:t>
      </w:r>
      <w:r w:rsidRPr="76620C13">
        <w:rPr>
          <w:lang w:val="en"/>
        </w:rPr>
        <w:lastRenderedPageBreak/>
        <w:t xml:space="preserve">involved. Better understanding of how these factors and processes vary based on race or ethnicity is also needed, particularly because gang-involved youth in the United States tend to belong to ethnic or racial minority groups (Howell &amp; Griffiths, 2019). </w:t>
      </w:r>
    </w:p>
    <w:p w14:paraId="033414B1" w14:textId="0BFECCD8" w:rsidR="003F13F3" w:rsidRPr="003F13F3" w:rsidRDefault="76620C13" w:rsidP="006652D2">
      <w:pPr>
        <w:pStyle w:val="Newparagraph"/>
        <w:contextualSpacing/>
        <w:rPr>
          <w:lang w:val="en"/>
        </w:rPr>
      </w:pPr>
      <w:bookmarkStart w:id="0" w:name="_Hlk16190157"/>
      <w:r w:rsidRPr="76620C13">
        <w:rPr>
          <w:lang w:val="en"/>
        </w:rPr>
        <w:t>Theoretical development over the past several decades by Vigil (1983; 1988; 2002) has not only produced hypotheses about processes that lead some minority youth to join gangs, but also how these processes might play out at multiple levels, which has</w:t>
      </w:r>
      <w:r w:rsidR="00616E1F">
        <w:rPr>
          <w:lang w:val="en"/>
        </w:rPr>
        <w:t xml:space="preserve"> </w:t>
      </w:r>
      <w:r w:rsidRPr="76620C13">
        <w:rPr>
          <w:lang w:val="en"/>
        </w:rPr>
        <w:t xml:space="preserve">contributed to a complex model that includes macro-level social forces, meso-level neighborhood, school, and family contextual factors, and individual-level psychological constructs. But despite the qualitative research undertaken by Vigil (2002) and others (e.g. Page &amp; Marcelin, 2003; Lee, 2016; Van Ngo, Calhoun, Worthington, </w:t>
      </w:r>
      <w:proofErr w:type="spellStart"/>
      <w:r w:rsidRPr="76620C13">
        <w:rPr>
          <w:lang w:val="en"/>
        </w:rPr>
        <w:t>Pyrch</w:t>
      </w:r>
      <w:proofErr w:type="spellEnd"/>
      <w:r w:rsidRPr="76620C13">
        <w:rPr>
          <w:lang w:val="en"/>
        </w:rPr>
        <w:t>, &amp; Este, 2017) in explaining gang formation and in particular minority gang involvement at multiple levels of analysis, these studies are often limited in their scope by taking place in a single geographic location with members of only one or two minority groups (</w:t>
      </w:r>
      <w:proofErr w:type="spellStart"/>
      <w:r w:rsidRPr="76620C13">
        <w:rPr>
          <w:lang w:val="en"/>
        </w:rPr>
        <w:t>Krohn</w:t>
      </w:r>
      <w:proofErr w:type="spellEnd"/>
      <w:r w:rsidRPr="76620C13">
        <w:rPr>
          <w:lang w:val="en"/>
        </w:rPr>
        <w:t>, Schmidt, Lizotte, &amp; Baldwin, 2011). Moreover, empirical assessments of these multi-level and cross-cultural explanatory models of gang formation are needed, yet often difficult to test quantitatively due to data or methodology limitations (</w:t>
      </w:r>
      <w:proofErr w:type="spellStart"/>
      <w:r w:rsidRPr="76620C13">
        <w:rPr>
          <w:lang w:val="en"/>
        </w:rPr>
        <w:t>Freng</w:t>
      </w:r>
      <w:proofErr w:type="spellEnd"/>
      <w:r w:rsidRPr="76620C13">
        <w:rPr>
          <w:lang w:val="en"/>
        </w:rPr>
        <w:t xml:space="preserve"> &amp; </w:t>
      </w:r>
      <w:proofErr w:type="spellStart"/>
      <w:r w:rsidRPr="76620C13">
        <w:rPr>
          <w:lang w:val="en"/>
        </w:rPr>
        <w:t>Esbensen</w:t>
      </w:r>
      <w:proofErr w:type="spellEnd"/>
      <w:r w:rsidRPr="76620C13">
        <w:rPr>
          <w:lang w:val="en"/>
        </w:rPr>
        <w:t xml:space="preserve">, 2007).  The current study adds value to the growing stock of gang literature by quantitatively assessing one such multi-level model of gang involvement, specifically Vigil’s (2002) Multiple Marginality (MM) model of gang formation. </w:t>
      </w:r>
    </w:p>
    <w:bookmarkEnd w:id="0"/>
    <w:p w14:paraId="000A801B" w14:textId="7CD754DF" w:rsidR="00796F08" w:rsidRDefault="16C21D55" w:rsidP="006652D2">
      <w:pPr>
        <w:pStyle w:val="Newparagraph"/>
        <w:contextualSpacing/>
        <w:rPr>
          <w:lang w:val="en"/>
        </w:rPr>
      </w:pPr>
      <w:r w:rsidRPr="16C21D55">
        <w:rPr>
          <w:lang w:val="en"/>
        </w:rPr>
        <w:t>At its inception, the MM model intended to explain why Latino youth living in Los Angeles formed or joined gangs. Vigil’s model (1988; 2002) proposed that macro-historical and -structural processes created marginalized groups with disadvantaged ecological/sociological conditions, which</w:t>
      </w:r>
      <w:r w:rsidR="00616E1F">
        <w:rPr>
          <w:lang w:val="en"/>
        </w:rPr>
        <w:t xml:space="preserve"> </w:t>
      </w:r>
      <w:r w:rsidRPr="16C21D55">
        <w:rPr>
          <w:lang w:val="en"/>
        </w:rPr>
        <w:t xml:space="preserve">weakened social controls and allowed youth to be “street socialized” and form a “street identity.” The author eventually proposed to apply this model to any ethno-racial minority group. Despite multiple qualitative </w:t>
      </w:r>
      <w:r w:rsidRPr="16C21D55">
        <w:rPr>
          <w:lang w:val="en"/>
        </w:rPr>
        <w:lastRenderedPageBreak/>
        <w:t xml:space="preserve">applications of this model to date, there have been relatively few quantitative tests of these concepts. This study aims to extend this literature base by operationalizing Vigil’s (1988) MM concepts and incorporating key macro-structural components into our analyses that have typically been excluded in previous tests. In addition to offering a more complete test of Vigil’s theoretical model, this study also answers Klein’s (2007) call for more comparative gang research. Van </w:t>
      </w:r>
      <w:proofErr w:type="spellStart"/>
      <w:r w:rsidRPr="16C21D55">
        <w:rPr>
          <w:lang w:val="en"/>
        </w:rPr>
        <w:t>Gemert</w:t>
      </w:r>
      <w:proofErr w:type="spellEnd"/>
      <w:r w:rsidRPr="16C21D55">
        <w:rPr>
          <w:lang w:val="en"/>
        </w:rPr>
        <w:t xml:space="preserve"> and </w:t>
      </w:r>
      <w:proofErr w:type="spellStart"/>
      <w:r w:rsidRPr="16C21D55">
        <w:rPr>
          <w:lang w:val="en"/>
        </w:rPr>
        <w:t>Weerman</w:t>
      </w:r>
      <w:proofErr w:type="spellEnd"/>
      <w:r w:rsidRPr="16C21D55">
        <w:rPr>
          <w:lang w:val="en"/>
        </w:rPr>
        <w:t xml:space="preserve"> (2015) found that gang delinquency in Europe is “linked to the marginalized position of migrants youths” (p. 514), suggesting that the MM model could be applicable outside the US. By leveraging an international delinquency survey, this study ultimately examines whether the processes initially intended to describe Latino youth gang involvement in the United States extend to a more diverse population of youth across different country contexts. In the following sections, we describe Vigil’s MM framework in more detail, as well as the studies that have used this framework to date. We will then describe the current study, including the data, methods, and analyses used to answer our main research questions. We discuss our findings in light of Vigil’s model and prior research. In the final sections, we describe some of the limitations of this work and offer some concluding remarks as well as aims for future research.</w:t>
      </w:r>
    </w:p>
    <w:p w14:paraId="2DE128F6" w14:textId="77777777" w:rsidR="009572CE" w:rsidRPr="009572CE" w:rsidRDefault="003F13F3" w:rsidP="006652D2">
      <w:pPr>
        <w:pStyle w:val="Heading1"/>
        <w:spacing w:line="480" w:lineRule="auto"/>
        <w:jc w:val="center"/>
      </w:pPr>
      <w:r>
        <w:t>Literature Review</w:t>
      </w:r>
    </w:p>
    <w:p w14:paraId="31ED22BB" w14:textId="77777777" w:rsidR="009572CE" w:rsidRPr="008D266A" w:rsidRDefault="009572CE" w:rsidP="006652D2">
      <w:pPr>
        <w:pStyle w:val="Heading2"/>
        <w:spacing w:line="480" w:lineRule="auto"/>
        <w:rPr>
          <w:i w:val="0"/>
          <w:iCs w:val="0"/>
        </w:rPr>
      </w:pPr>
      <w:r w:rsidRPr="008D266A">
        <w:rPr>
          <w:i w:val="0"/>
          <w:iCs w:val="0"/>
        </w:rPr>
        <w:t>Multiple Marginality Framework</w:t>
      </w:r>
    </w:p>
    <w:p w14:paraId="715A1FBB" w14:textId="4137BD4B" w:rsidR="003F13F3" w:rsidRPr="003F13F3" w:rsidRDefault="76620C13" w:rsidP="006652D2">
      <w:pPr>
        <w:pStyle w:val="Newparagraph"/>
        <w:ind w:firstLine="0"/>
        <w:contextualSpacing/>
        <w:rPr>
          <w:lang w:val="en"/>
        </w:rPr>
      </w:pPr>
      <w:r w:rsidRPr="76620C13">
        <w:rPr>
          <w:lang w:val="en"/>
        </w:rPr>
        <w:t xml:space="preserve">Vigil’s (1988; 2002) MM framework describes a sequence of processes that lead to gang formation among ethnic and racial minorities. He describes this </w:t>
      </w:r>
      <w:proofErr w:type="gramStart"/>
      <w:r w:rsidRPr="76620C13">
        <w:rPr>
          <w:lang w:val="en"/>
        </w:rPr>
        <w:t>framework  as</w:t>
      </w:r>
      <w:proofErr w:type="gramEnd"/>
      <w:r w:rsidRPr="76620C13">
        <w:rPr>
          <w:lang w:val="en"/>
        </w:rPr>
        <w:t xml:space="preserve"> a holistic depiction of how gangs form amid multiple social, economic, and cultural barriers (Vigil, 1988; 2002). These barriers operate at multiple levels, ranging from macro-structural and historical factors to meso-level processes of socioeconomic </w:t>
      </w:r>
      <w:r w:rsidRPr="76620C13">
        <w:rPr>
          <w:lang w:val="en"/>
        </w:rPr>
        <w:lastRenderedPageBreak/>
        <w:t>marginalization to socio-psychological processes of identity formation. His model further incorporates aspects of existing criminological theory, especially elements of systemic theory (</w:t>
      </w:r>
      <w:proofErr w:type="spellStart"/>
      <w:r w:rsidRPr="76620C13">
        <w:rPr>
          <w:lang w:val="en"/>
        </w:rPr>
        <w:t>Bursik</w:t>
      </w:r>
      <w:proofErr w:type="spellEnd"/>
      <w:r w:rsidRPr="76620C13">
        <w:rPr>
          <w:lang w:val="en"/>
        </w:rPr>
        <w:t xml:space="preserve"> &amp; </w:t>
      </w:r>
      <w:proofErr w:type="spellStart"/>
      <w:r w:rsidRPr="76620C13">
        <w:rPr>
          <w:lang w:val="en"/>
        </w:rPr>
        <w:t>Grasmick</w:t>
      </w:r>
      <w:proofErr w:type="spellEnd"/>
      <w:r w:rsidRPr="76620C13">
        <w:rPr>
          <w:lang w:val="en"/>
        </w:rPr>
        <w:t xml:space="preserve">, 1993; Shaw &amp; McKay, 1942), subculture of violence (Wolfgang &amp; </w:t>
      </w:r>
      <w:proofErr w:type="spellStart"/>
      <w:r w:rsidRPr="76620C13">
        <w:rPr>
          <w:lang w:val="en"/>
        </w:rPr>
        <w:t>Ferracuti</w:t>
      </w:r>
      <w:proofErr w:type="spellEnd"/>
      <w:r w:rsidRPr="76620C13">
        <w:rPr>
          <w:lang w:val="en"/>
        </w:rPr>
        <w:t xml:space="preserve">, 1967), as well as social control (Hirschi, 1969). While Vigil originally developed his model in the late 1980s with regard to Latino youth in Los Angeles, he has since sought to expand its application to other groups as well (Vigil, 2002). </w:t>
      </w:r>
    </w:p>
    <w:p w14:paraId="29804F8B" w14:textId="2861D270" w:rsidR="009572CE" w:rsidRDefault="003F13F3" w:rsidP="006652D2">
      <w:pPr>
        <w:pStyle w:val="Newparagraph"/>
        <w:contextualSpacing/>
        <w:rPr>
          <w:lang w:val="en"/>
        </w:rPr>
      </w:pPr>
      <w:r w:rsidRPr="003F13F3">
        <w:rPr>
          <w:lang w:val="en"/>
        </w:rPr>
        <w:t xml:space="preserve">A visual depiction of the model is included in Figure 1 below (Vigil, 2010). Briefly, Vigil (1988) argues that youth who are marginalized culturally and socioeconomically, who do not experience prosocial controls from their families, schools, or formal authorities, and who turn to and eventually become socialized in the streets, are more likely to join gangs as part of a street identity (Vigil, 1988). In the sections below, the main processes associated with </w:t>
      </w:r>
      <w:r w:rsidR="00CB64A3">
        <w:rPr>
          <w:lang w:val="en"/>
        </w:rPr>
        <w:t>MM</w:t>
      </w:r>
      <w:r w:rsidRPr="003F13F3">
        <w:rPr>
          <w:lang w:val="en"/>
        </w:rPr>
        <w:t xml:space="preserve"> that are relevant to the current study will be discussed in turn.</w:t>
      </w:r>
    </w:p>
    <w:p w14:paraId="34609B37" w14:textId="2B8D6EFF" w:rsidR="00D8758D" w:rsidRPr="00770C14" w:rsidRDefault="00D8758D" w:rsidP="006652D2">
      <w:pPr>
        <w:pStyle w:val="Newparagraph"/>
        <w:ind w:firstLine="0"/>
        <w:contextualSpacing/>
        <w:jc w:val="center"/>
      </w:pPr>
      <w:r>
        <w:rPr>
          <w:lang w:val="en"/>
        </w:rPr>
        <w:t>[Insert Figure 1 about here]</w:t>
      </w:r>
    </w:p>
    <w:p w14:paraId="5FFD2E3A" w14:textId="3988884F" w:rsidR="003F13F3" w:rsidRPr="003F13F3" w:rsidRDefault="00D8758D" w:rsidP="006652D2">
      <w:pPr>
        <w:pStyle w:val="Newparagraph"/>
        <w:contextualSpacing/>
        <w:rPr>
          <w:lang w:val="en"/>
        </w:rPr>
      </w:pPr>
      <w:r>
        <w:rPr>
          <w:lang w:val="en"/>
        </w:rPr>
        <w:t xml:space="preserve"> </w:t>
      </w:r>
      <w:r w:rsidR="003F13F3" w:rsidRPr="003F13F3">
        <w:rPr>
          <w:lang w:val="en"/>
        </w:rPr>
        <w:t xml:space="preserve">The </w:t>
      </w:r>
      <w:r w:rsidR="00B27D72">
        <w:rPr>
          <w:lang w:val="en"/>
        </w:rPr>
        <w:t>MM</w:t>
      </w:r>
      <w:r w:rsidR="003F13F3" w:rsidRPr="003F13F3">
        <w:rPr>
          <w:lang w:val="en"/>
        </w:rPr>
        <w:t xml:space="preserve"> framework begins with the supposition that broad social processes such as immigration and migration lead to the spatial concentration of groups who are often of racial or ethnic minority status (Vigil, 1988, 2002). Vigil (1988, 2002) lays out specific macro-level forces in the upper left quadrant of his model, including historical elements such as racism and fragmented institutions, as well as structural processes such as immigration and enclave settlement. As most of his ethnographic work detailed the experiences of Latino youth in Los Angeles, he used this case to describe how immigration from Mexico and other Latin American countries led to patterns of social and economic marginalization among youth. According to Vigil (1988; 2002), the</w:t>
      </w:r>
      <w:r w:rsidR="00A226F9">
        <w:rPr>
          <w:lang w:val="en"/>
        </w:rPr>
        <w:t>se</w:t>
      </w:r>
      <w:r w:rsidR="003F13F3" w:rsidRPr="003F13F3">
        <w:rPr>
          <w:lang w:val="en"/>
        </w:rPr>
        <w:t xml:space="preserve"> macro-level forces are precipitants to the ecological and socioeconomic situation </w:t>
      </w:r>
      <w:r w:rsidR="005E125F">
        <w:rPr>
          <w:lang w:val="en"/>
        </w:rPr>
        <w:t xml:space="preserve">in </w:t>
      </w:r>
      <w:r w:rsidR="005E125F">
        <w:rPr>
          <w:lang w:val="en"/>
        </w:rPr>
        <w:lastRenderedPageBreak/>
        <w:t xml:space="preserve">which </w:t>
      </w:r>
      <w:r w:rsidR="003F13F3" w:rsidRPr="003F13F3">
        <w:rPr>
          <w:lang w:val="en"/>
        </w:rPr>
        <w:t>many minority populations find themselves. Put simply, newly-arrived immigrants or migrants tend to move to and concentrate in the interstitial areas of a city, referring to the spatially and visually segregated areas far from the city center (Shaw &amp; McKay, 1942). These areas tend to be socially disorganized, characterized by low residential stability, high population density, concentrated poverty, a dearth of job availability, and disrupted households (Shaw &amp; McKay, 1942). Youth who grow up in these areas marked by high poverty and little job relief, along with a lack of personal space in their own home, may come to feel frustrated at their “underclass” status (Vigil, 1988, 2003) and turn to, and begin to be socialized by, the streets.</w:t>
      </w:r>
    </w:p>
    <w:p w14:paraId="43378E89" w14:textId="0A19E2BF" w:rsidR="003F13F3" w:rsidRPr="003F13F3" w:rsidRDefault="4758A04D" w:rsidP="006652D2">
      <w:pPr>
        <w:pStyle w:val="Newparagraph"/>
        <w:contextualSpacing/>
        <w:rPr>
          <w:lang w:val="en"/>
        </w:rPr>
      </w:pPr>
      <w:r w:rsidRPr="4758A04D">
        <w:rPr>
          <w:lang w:val="en"/>
        </w:rPr>
        <w:t>Vigil also describes how experiences such as discrimination in school and by authorities, or those that generally are in conflict with one’s cultural identity, can lead to further marginalization of youth. He implicitly notes the role of acculturation in gang formation (Vigil, 1983), and postulates that Latino youth undergo a process of Choloization</w:t>
      </w:r>
      <w:r w:rsidRPr="4758A04D">
        <w:rPr>
          <w:vertAlign w:val="superscript"/>
          <w:lang w:val="en"/>
        </w:rPr>
        <w:t>1</w:t>
      </w:r>
      <w:r w:rsidRPr="4758A04D">
        <w:rPr>
          <w:lang w:val="en"/>
        </w:rPr>
        <w:t xml:space="preserve"> when they are unable to identify with either Mexican or Anglo culture (Vigil, 1983; 1988). </w:t>
      </w:r>
      <w:proofErr w:type="spellStart"/>
      <w:r w:rsidRPr="4758A04D">
        <w:rPr>
          <w:lang w:val="en"/>
        </w:rPr>
        <w:t>Choloization</w:t>
      </w:r>
      <w:proofErr w:type="spellEnd"/>
      <w:r w:rsidRPr="4758A04D">
        <w:rPr>
          <w:lang w:val="en"/>
        </w:rPr>
        <w:t xml:space="preserve"> can facilitate street socialization and can help </w:t>
      </w:r>
      <w:proofErr w:type="spellStart"/>
      <w:r w:rsidRPr="4758A04D">
        <w:rPr>
          <w:lang w:val="en"/>
        </w:rPr>
        <w:t>Cholos</w:t>
      </w:r>
      <w:proofErr w:type="spellEnd"/>
      <w:r w:rsidRPr="4758A04D">
        <w:rPr>
          <w:lang w:val="en"/>
        </w:rPr>
        <w:t xml:space="preserve"> find a sense of identity by affiliating with the gang subculture. In some of his earlier work, he examined acculturation among Mexican American adolescents, and how they adapted to their environments (Vigil, 1979). He conducted in-depth case studies with a total of 12 students from one urban and one suburban high school. In each school, he selected the two most nativist (Mexican-oriented), the two most intermediate (Chicano-oriented), and the two most acculturated (Anglo-oriented) students, and found that the suburban Chicano- and Anglo-oriented students participated in gang-related activities, despite being more acculturated. </w:t>
      </w:r>
    </w:p>
    <w:p w14:paraId="6E30AD97" w14:textId="017BB65C" w:rsidR="003F13F3" w:rsidRDefault="005A31DF" w:rsidP="006652D2">
      <w:pPr>
        <w:pStyle w:val="Newparagraph"/>
        <w:contextualSpacing/>
        <w:rPr>
          <w:lang w:val="en"/>
        </w:rPr>
      </w:pPr>
      <w:r>
        <w:rPr>
          <w:lang w:val="en"/>
        </w:rPr>
        <w:t>Lacking</w:t>
      </w:r>
      <w:r w:rsidR="003F13F3" w:rsidRPr="003F13F3">
        <w:rPr>
          <w:lang w:val="en"/>
        </w:rPr>
        <w:t xml:space="preserve"> effective controls from the family unit, the schools, or law enforcement, </w:t>
      </w:r>
      <w:r w:rsidR="00CF68C3">
        <w:rPr>
          <w:lang w:val="en"/>
        </w:rPr>
        <w:t xml:space="preserve">marginalized </w:t>
      </w:r>
      <w:r w:rsidR="003F13F3" w:rsidRPr="003F13F3">
        <w:rPr>
          <w:lang w:val="en"/>
        </w:rPr>
        <w:t>youth</w:t>
      </w:r>
      <w:r w:rsidR="00C372CC">
        <w:rPr>
          <w:lang w:val="en"/>
        </w:rPr>
        <w:t xml:space="preserve"> </w:t>
      </w:r>
      <w:r w:rsidR="003F13F3" w:rsidRPr="003F13F3">
        <w:rPr>
          <w:lang w:val="en"/>
        </w:rPr>
        <w:t xml:space="preserve">spend more time on the streets, and eventually internalize and adopt </w:t>
      </w:r>
      <w:r w:rsidR="003F13F3" w:rsidRPr="003F13F3">
        <w:rPr>
          <w:lang w:val="en"/>
        </w:rPr>
        <w:lastRenderedPageBreak/>
        <w:t xml:space="preserve">a street mentality. </w:t>
      </w:r>
      <w:r>
        <w:rPr>
          <w:lang w:val="en"/>
        </w:rPr>
        <w:t>The street socialization process, and internalization of the street mentality, is what Vigil (2003) posits ultimately</w:t>
      </w:r>
      <w:r w:rsidRPr="003F13F3">
        <w:rPr>
          <w:lang w:val="en"/>
        </w:rPr>
        <w:t xml:space="preserve"> accompanies gang involvement</w:t>
      </w:r>
      <w:r>
        <w:rPr>
          <w:lang w:val="en"/>
        </w:rPr>
        <w:t xml:space="preserve">. His </w:t>
      </w:r>
      <w:r w:rsidR="003F13F3" w:rsidRPr="003F13F3">
        <w:rPr>
          <w:lang w:val="en"/>
        </w:rPr>
        <w:t xml:space="preserve">initial concern in explaining Latino gang formation eventually gave way to his argument that the same mechanisms apply to other groups of racial or ethnic minority status. That is indeed the theme of his text, </w:t>
      </w:r>
      <w:r w:rsidR="003F13F3" w:rsidRPr="003F13F3">
        <w:rPr>
          <w:i/>
          <w:lang w:val="en"/>
        </w:rPr>
        <w:t xml:space="preserve">A Rainbow of Gangs </w:t>
      </w:r>
      <w:r w:rsidR="003F13F3" w:rsidRPr="003F13F3">
        <w:rPr>
          <w:lang w:val="en"/>
        </w:rPr>
        <w:t>(Vigil, 2002)</w:t>
      </w:r>
      <w:r w:rsidR="0027206F">
        <w:rPr>
          <w:lang w:val="en"/>
        </w:rPr>
        <w:t xml:space="preserve">, where he </w:t>
      </w:r>
      <w:r w:rsidR="003F13F3" w:rsidRPr="003F13F3">
        <w:rPr>
          <w:lang w:val="en"/>
        </w:rPr>
        <w:t>describ</w:t>
      </w:r>
      <w:r w:rsidR="0027206F">
        <w:rPr>
          <w:lang w:val="en"/>
        </w:rPr>
        <w:t>es</w:t>
      </w:r>
      <w:r w:rsidR="003F13F3" w:rsidRPr="003F13F3">
        <w:rPr>
          <w:lang w:val="en"/>
        </w:rPr>
        <w:t xml:space="preserve"> the context and history of Vietnamese, Salvadoran, Mexican, and African American immigration and migration into Los Angeles</w:t>
      </w:r>
      <w:r w:rsidR="0027206F">
        <w:rPr>
          <w:lang w:val="en"/>
        </w:rPr>
        <w:t>, and how it sets the stage for the gang experience</w:t>
      </w:r>
      <w:r w:rsidR="00B27D72">
        <w:rPr>
          <w:lang w:val="en"/>
        </w:rPr>
        <w:t xml:space="preserve">. </w:t>
      </w:r>
      <w:r w:rsidR="003F13F3" w:rsidRPr="003F13F3">
        <w:rPr>
          <w:lang w:val="en"/>
        </w:rPr>
        <w:t xml:space="preserve">Through these case studies, Vigil found that many of the same processes and outcomes of marginalization identified through his early fieldwork in the barrios applied just as well to the Vietnamese, Salvadoran, and African American youth he examined in this work. Despite his cross-cultural sample however, his model for gang joining was developed in a single place (i.e. Los Angeles), which begs the question of whether this model does in fact transcend any particular minority group outside of this city. Vigil (2010) claims it does in </w:t>
      </w:r>
      <w:r w:rsidR="003F13F3" w:rsidRPr="003F13F3">
        <w:rPr>
          <w:i/>
          <w:lang w:val="en"/>
        </w:rPr>
        <w:t>Gang Redux: A Balanced Anti-</w:t>
      </w:r>
      <w:proofErr w:type="gramStart"/>
      <w:r w:rsidR="003F13F3" w:rsidRPr="003F13F3">
        <w:rPr>
          <w:i/>
          <w:lang w:val="en"/>
        </w:rPr>
        <w:t>gang</w:t>
      </w:r>
      <w:proofErr w:type="gramEnd"/>
      <w:r w:rsidR="003F13F3" w:rsidRPr="003F13F3">
        <w:rPr>
          <w:i/>
          <w:lang w:val="en"/>
        </w:rPr>
        <w:t xml:space="preserve"> Strategy</w:t>
      </w:r>
      <w:r w:rsidR="003F13F3" w:rsidRPr="003F13F3">
        <w:rPr>
          <w:lang w:val="en"/>
        </w:rPr>
        <w:t>, noting that the “gang subcultural process unfolds in like manner from place to place—not only in the United States but in other nations as well” (Vigil, 2010, p. 2). However, as discussed more fully below, most empirical assessments of this framework to date have been limited to North America and the dominant ethno-racial minorities therein.</w:t>
      </w:r>
    </w:p>
    <w:p w14:paraId="5C8065AD" w14:textId="77777777" w:rsidR="00313DCA" w:rsidRPr="008D266A" w:rsidRDefault="00313DCA" w:rsidP="006652D2">
      <w:pPr>
        <w:pStyle w:val="Heading2"/>
        <w:spacing w:line="480" w:lineRule="auto"/>
        <w:rPr>
          <w:i w:val="0"/>
          <w:iCs w:val="0"/>
        </w:rPr>
      </w:pPr>
      <w:r w:rsidRPr="008D266A">
        <w:rPr>
          <w:i w:val="0"/>
          <w:iCs w:val="0"/>
        </w:rPr>
        <w:t>Previous Tests of the Framework</w:t>
      </w:r>
    </w:p>
    <w:p w14:paraId="44C9865F" w14:textId="418982FA" w:rsidR="00313DCA" w:rsidRPr="00313DCA" w:rsidRDefault="4758A04D" w:rsidP="006652D2">
      <w:pPr>
        <w:pStyle w:val="Newparagraph"/>
        <w:ind w:firstLine="0"/>
        <w:contextualSpacing/>
        <w:rPr>
          <w:lang w:val="en"/>
        </w:rPr>
      </w:pPr>
      <w:r w:rsidRPr="4758A04D">
        <w:rPr>
          <w:lang w:val="en"/>
        </w:rPr>
        <w:t xml:space="preserve">Several qualitative studies by other researchers have utilized Vigil’s framework across the United States and in Canada, and have applied it to groups outside of Mexican Americans. Such studies include examinations of gang formation amongst Haitian youth in Miami (Page &amp; Marcelin, 2003), Asian gang onset and persistence (Lee, 2016), </w:t>
      </w:r>
      <w:r w:rsidRPr="4758A04D">
        <w:rPr>
          <w:lang w:val="en"/>
        </w:rPr>
        <w:lastRenderedPageBreak/>
        <w:t>former gang members’ reasons for joining gangs and their lived experience in Tulsa, OK (</w:t>
      </w:r>
      <w:proofErr w:type="spellStart"/>
      <w:r w:rsidRPr="4758A04D">
        <w:rPr>
          <w:lang w:val="en"/>
        </w:rPr>
        <w:t>Cephus</w:t>
      </w:r>
      <w:proofErr w:type="spellEnd"/>
      <w:r w:rsidRPr="4758A04D">
        <w:rPr>
          <w:lang w:val="en"/>
        </w:rPr>
        <w:t xml:space="preserve">-Wilson, 2012), gang-joining reasons from immigrant youth in Calgary (Van Ngo, Calhoun, Worthington, </w:t>
      </w:r>
      <w:proofErr w:type="spellStart"/>
      <w:r w:rsidRPr="4758A04D">
        <w:rPr>
          <w:lang w:val="en"/>
        </w:rPr>
        <w:t>Pyrch</w:t>
      </w:r>
      <w:proofErr w:type="spellEnd"/>
      <w:r w:rsidRPr="4758A04D">
        <w:rPr>
          <w:lang w:val="en"/>
        </w:rPr>
        <w:t xml:space="preserve">, &amp; Este, 2017), and the further marginalization effects of gang injunctions (Caldwell, 2010). Each of these studies found support for, or utility in using, the MM framework. </w:t>
      </w:r>
    </w:p>
    <w:p w14:paraId="001B79C9" w14:textId="084F3B9B" w:rsidR="00313DCA" w:rsidRPr="00313DCA" w:rsidRDefault="4758A04D" w:rsidP="006652D2">
      <w:pPr>
        <w:pStyle w:val="Newparagraph"/>
        <w:contextualSpacing/>
        <w:rPr>
          <w:lang w:val="en"/>
        </w:rPr>
      </w:pPr>
      <w:r w:rsidRPr="4758A04D">
        <w:rPr>
          <w:lang w:val="en"/>
        </w:rPr>
        <w:t xml:space="preserve">In recent years, researchers have also adapted the MM model for quantitative testing, incorporating variables that correspond to the main constructs in Vigil’s model (Ventura Miller, Barnes, &amp; Hartley, 2011; </w:t>
      </w:r>
      <w:proofErr w:type="spellStart"/>
      <w:r w:rsidRPr="4758A04D">
        <w:rPr>
          <w:lang w:val="en"/>
        </w:rPr>
        <w:t>Freng</w:t>
      </w:r>
      <w:proofErr w:type="spellEnd"/>
      <w:r w:rsidRPr="4758A04D">
        <w:rPr>
          <w:lang w:val="en"/>
        </w:rPr>
        <w:t xml:space="preserve"> &amp; </w:t>
      </w:r>
      <w:proofErr w:type="spellStart"/>
      <w:r w:rsidRPr="4758A04D">
        <w:rPr>
          <w:lang w:val="en"/>
        </w:rPr>
        <w:t>Esbensen</w:t>
      </w:r>
      <w:proofErr w:type="spellEnd"/>
      <w:r w:rsidRPr="4758A04D">
        <w:rPr>
          <w:lang w:val="en"/>
        </w:rPr>
        <w:t xml:space="preserve">, 2007; </w:t>
      </w:r>
      <w:proofErr w:type="spellStart"/>
      <w:r w:rsidRPr="4758A04D">
        <w:rPr>
          <w:lang w:val="en"/>
        </w:rPr>
        <w:t>Krohn</w:t>
      </w:r>
      <w:proofErr w:type="spellEnd"/>
      <w:r w:rsidRPr="4758A04D">
        <w:rPr>
          <w:lang w:val="en"/>
        </w:rPr>
        <w:t xml:space="preserve">, Schmidt, Lizotte, &amp; Baldwin, 2011). </w:t>
      </w:r>
      <w:proofErr w:type="spellStart"/>
      <w:r w:rsidRPr="4758A04D">
        <w:rPr>
          <w:lang w:val="en"/>
        </w:rPr>
        <w:t>Freng</w:t>
      </w:r>
      <w:proofErr w:type="spellEnd"/>
      <w:r w:rsidRPr="4758A04D">
        <w:rPr>
          <w:lang w:val="en"/>
        </w:rPr>
        <w:t xml:space="preserve"> and </w:t>
      </w:r>
      <w:proofErr w:type="spellStart"/>
      <w:r w:rsidRPr="4758A04D">
        <w:rPr>
          <w:lang w:val="en"/>
        </w:rPr>
        <w:t>Esbensen</w:t>
      </w:r>
      <w:proofErr w:type="spellEnd"/>
      <w:r w:rsidRPr="4758A04D">
        <w:rPr>
          <w:lang w:val="en"/>
        </w:rPr>
        <w:t xml:space="preserve"> (2007) conducted the first quantitative test of the MM framework. They examined whether the MM model, as conceptualized, provided a viable explanation for gang membership and whether it applied globally or uniquely to different racial/ethnic groups, using multi-site survey data from a national evaluation of the G.R.E.A.T. gang prevention program. Their conceptualization of the MM framework included ecological/economic stressors, social control and street socialization elements.</w:t>
      </w:r>
      <w:r w:rsidRPr="4758A04D">
        <w:rPr>
          <w:vertAlign w:val="superscript"/>
          <w:lang w:val="en"/>
        </w:rPr>
        <w:t>2</w:t>
      </w:r>
      <w:r w:rsidRPr="4758A04D">
        <w:rPr>
          <w:lang w:val="en"/>
        </w:rPr>
        <w:t xml:space="preserve"> Their results showed general support for MM in predicting current gang membership, as a majority of the concepts were found to be important predictors. Whether the framework functioned similarly for different ethnic and racial groups depended on if looking at current gang membership (differences in predictors for White and minority youth) or if youth were ever in a gang (more similarity across groups). </w:t>
      </w:r>
    </w:p>
    <w:p w14:paraId="391BD0B6" w14:textId="62AE5F55" w:rsidR="00313DCA" w:rsidRDefault="4758A04D" w:rsidP="006652D2">
      <w:pPr>
        <w:pStyle w:val="Newparagraph"/>
        <w:contextualSpacing/>
        <w:rPr>
          <w:lang w:val="en"/>
        </w:rPr>
      </w:pPr>
      <w:r w:rsidRPr="4758A04D">
        <w:rPr>
          <w:lang w:val="en"/>
        </w:rPr>
        <w:t xml:space="preserve">In the conclusion of their paper, </w:t>
      </w:r>
      <w:proofErr w:type="spellStart"/>
      <w:r w:rsidRPr="4758A04D">
        <w:rPr>
          <w:lang w:val="en"/>
        </w:rPr>
        <w:t>Freng</w:t>
      </w:r>
      <w:proofErr w:type="spellEnd"/>
      <w:r w:rsidRPr="4758A04D">
        <w:rPr>
          <w:lang w:val="en"/>
        </w:rPr>
        <w:t xml:space="preserve"> and </w:t>
      </w:r>
      <w:proofErr w:type="spellStart"/>
      <w:r w:rsidRPr="4758A04D">
        <w:rPr>
          <w:lang w:val="en"/>
        </w:rPr>
        <w:t>Esbensen</w:t>
      </w:r>
      <w:proofErr w:type="spellEnd"/>
      <w:r w:rsidRPr="4758A04D">
        <w:rPr>
          <w:lang w:val="en"/>
        </w:rPr>
        <w:t xml:space="preserve"> (2007) discussed the cross-sectional nature of the data as a limitation. </w:t>
      </w:r>
      <w:proofErr w:type="spellStart"/>
      <w:r w:rsidRPr="4758A04D">
        <w:rPr>
          <w:lang w:val="en"/>
        </w:rPr>
        <w:t>Krohn</w:t>
      </w:r>
      <w:proofErr w:type="spellEnd"/>
      <w:r w:rsidRPr="4758A04D">
        <w:rPr>
          <w:lang w:val="en"/>
        </w:rPr>
        <w:t xml:space="preserve"> and colleagues (2011) answered the call for longitudinal research with their study of youth participating in the Rochester Youth Development Study. They examined the relationship between economic marginalization, parental and school ties, self-esteem, and risky time with friends on </w:t>
      </w:r>
      <w:r w:rsidRPr="4758A04D">
        <w:rPr>
          <w:lang w:val="en"/>
        </w:rPr>
        <w:lastRenderedPageBreak/>
        <w:t xml:space="preserve">respondents’ ever being in a gang. They found that the framework did not apply consistently across all races, and some predictors (family-process and school-related measures) did not affect gang membership for any race. However, while this study improved upon the cross-sectional design of the previous research, it was limited by ethnic group sample size.  </w:t>
      </w:r>
    </w:p>
    <w:p w14:paraId="5CC50A75" w14:textId="008DA195" w:rsidR="00283C4A" w:rsidRPr="008D266A" w:rsidRDefault="4758A04D" w:rsidP="006652D2">
      <w:pPr>
        <w:pStyle w:val="Newparagraph"/>
        <w:contextualSpacing/>
        <w:rPr>
          <w:color w:val="FF0000"/>
          <w:lang w:val="en"/>
        </w:rPr>
      </w:pPr>
      <w:r w:rsidRPr="4758A04D">
        <w:rPr>
          <w:lang w:val="en"/>
        </w:rPr>
        <w:t xml:space="preserve">Drake and </w:t>
      </w:r>
      <w:proofErr w:type="spellStart"/>
      <w:r w:rsidRPr="4758A04D">
        <w:rPr>
          <w:lang w:val="en"/>
        </w:rPr>
        <w:t>Melde</w:t>
      </w:r>
      <w:proofErr w:type="spellEnd"/>
      <w:r w:rsidRPr="4758A04D">
        <w:rPr>
          <w:lang w:val="en"/>
        </w:rPr>
        <w:t xml:space="preserve"> (2014) examined the ability of Vigil’s framework to predict gang membership using cross-sectional and prospective models. Using longitudinal G.R.E.A.T. data and the same operationalizations of MM model constructs as </w:t>
      </w:r>
      <w:proofErr w:type="spellStart"/>
      <w:r w:rsidRPr="4758A04D">
        <w:rPr>
          <w:lang w:val="en"/>
        </w:rPr>
        <w:t>Freng</w:t>
      </w:r>
      <w:proofErr w:type="spellEnd"/>
      <w:r w:rsidRPr="4758A04D">
        <w:rPr>
          <w:lang w:val="en"/>
        </w:rPr>
        <w:t xml:space="preserve"> and </w:t>
      </w:r>
      <w:proofErr w:type="spellStart"/>
      <w:r w:rsidRPr="4758A04D">
        <w:rPr>
          <w:lang w:val="en"/>
        </w:rPr>
        <w:t>Esbensen</w:t>
      </w:r>
      <w:proofErr w:type="spellEnd"/>
      <w:r w:rsidRPr="4758A04D">
        <w:rPr>
          <w:lang w:val="en"/>
        </w:rPr>
        <w:t xml:space="preserve"> (2007), they found the results from these types of models differed. Their cross-sectional results were similar to </w:t>
      </w:r>
      <w:proofErr w:type="spellStart"/>
      <w:r w:rsidRPr="4758A04D">
        <w:rPr>
          <w:lang w:val="en"/>
        </w:rPr>
        <w:t>Freng</w:t>
      </w:r>
      <w:proofErr w:type="spellEnd"/>
      <w:r w:rsidRPr="4758A04D">
        <w:rPr>
          <w:lang w:val="en"/>
        </w:rPr>
        <w:t xml:space="preserve"> and </w:t>
      </w:r>
      <w:proofErr w:type="spellStart"/>
      <w:r w:rsidRPr="4758A04D">
        <w:rPr>
          <w:lang w:val="en"/>
        </w:rPr>
        <w:t>Esbensen</w:t>
      </w:r>
      <w:proofErr w:type="spellEnd"/>
      <w:r w:rsidRPr="4758A04D">
        <w:rPr>
          <w:lang w:val="en"/>
        </w:rPr>
        <w:t xml:space="preserve"> (2007), however their lagged model revealed educational opportunity as the sole MM-related predictor, leading them to conclude that gang membership predicts the MM factors, not the other way around. </w:t>
      </w:r>
    </w:p>
    <w:p w14:paraId="7B22B4E6" w14:textId="56C65D38" w:rsidR="00313DCA" w:rsidRDefault="00313DCA" w:rsidP="006652D2">
      <w:pPr>
        <w:pStyle w:val="Newparagraph"/>
        <w:contextualSpacing/>
        <w:rPr>
          <w:lang w:val="en"/>
        </w:rPr>
      </w:pPr>
      <w:r w:rsidRPr="00313DCA">
        <w:rPr>
          <w:lang w:val="en"/>
        </w:rPr>
        <w:t xml:space="preserve">Despite the progress these studies have made in applying the MM framework to a broader audience, it still remains to be seen how far this framework can travel. Vigil’s original focus was on Mexican immigrants in America, and he expanded his analysis to include other marginalized </w:t>
      </w:r>
      <w:r w:rsidR="00C07CA3">
        <w:rPr>
          <w:lang w:val="en"/>
        </w:rPr>
        <w:t xml:space="preserve">immigrant </w:t>
      </w:r>
      <w:r w:rsidRPr="00313DCA">
        <w:rPr>
          <w:lang w:val="en"/>
        </w:rPr>
        <w:t xml:space="preserve">populations. Other scholars, such as Decker, Van </w:t>
      </w:r>
      <w:proofErr w:type="spellStart"/>
      <w:r w:rsidRPr="00313DCA">
        <w:rPr>
          <w:lang w:val="en"/>
        </w:rPr>
        <w:t>Gemert</w:t>
      </w:r>
      <w:proofErr w:type="spellEnd"/>
      <w:r w:rsidRPr="00313DCA">
        <w:rPr>
          <w:lang w:val="en"/>
        </w:rPr>
        <w:t xml:space="preserve">, and </w:t>
      </w:r>
      <w:proofErr w:type="spellStart"/>
      <w:r w:rsidRPr="00313DCA">
        <w:rPr>
          <w:lang w:val="en"/>
        </w:rPr>
        <w:t>Pyrooz</w:t>
      </w:r>
      <w:proofErr w:type="spellEnd"/>
      <w:r w:rsidRPr="00313DCA">
        <w:rPr>
          <w:lang w:val="en"/>
        </w:rPr>
        <w:t xml:space="preserve"> (2009), have examined the role of immigration on gang formation, and their findings suggest that the marginalization that immigrants face when coming to a new country could impact gang formation and membership outside of the US as well. Our research hopes to understand whether the MM framework, therefore, could be applied around the world, as similar structural conditions and marginalization could exist globally.</w:t>
      </w:r>
    </w:p>
    <w:p w14:paraId="7D82E186" w14:textId="77777777" w:rsidR="00313DCA" w:rsidRPr="008D266A" w:rsidRDefault="00313DCA" w:rsidP="006652D2">
      <w:pPr>
        <w:pStyle w:val="Heading2"/>
        <w:spacing w:line="480" w:lineRule="auto"/>
        <w:rPr>
          <w:i w:val="0"/>
          <w:iCs w:val="0"/>
          <w:lang w:val="en"/>
        </w:rPr>
      </w:pPr>
      <w:r w:rsidRPr="008D266A">
        <w:rPr>
          <w:i w:val="0"/>
          <w:iCs w:val="0"/>
          <w:lang w:val="en"/>
        </w:rPr>
        <w:t>Current Research</w:t>
      </w:r>
    </w:p>
    <w:p w14:paraId="2112C931" w14:textId="51DFBA6B" w:rsidR="00313DCA" w:rsidRPr="00313DCA" w:rsidRDefault="4758A04D" w:rsidP="006652D2">
      <w:pPr>
        <w:pStyle w:val="Paragraph"/>
        <w:spacing w:before="0"/>
        <w:contextualSpacing/>
        <w:rPr>
          <w:lang w:val="en"/>
        </w:rPr>
      </w:pPr>
      <w:r w:rsidRPr="4758A04D">
        <w:rPr>
          <w:lang w:val="en"/>
        </w:rPr>
        <w:t xml:space="preserve">This study builds on prior work that has examined Vigil’s theoretical propositions </w:t>
      </w:r>
      <w:r w:rsidRPr="4758A04D">
        <w:rPr>
          <w:lang w:val="en"/>
        </w:rPr>
        <w:lastRenderedPageBreak/>
        <w:t xml:space="preserve">through quantitative methodologies. We examine measures corresponding to the MM model constructs that prior researchers have investigated, including economic marginalization, social marginalization, neighborhood/social environment, ties to family, ties to school, street socialization, and attitudes towards violence, though we were unable to include measures of ties to law enforcement due to data limitations. Departing from previous tests, we also include some country-level measures to tap into the macro-structural forces described in the MM model.  This study leverages an international delinquency survey to help test Vigil’s propositions in part, focusing our regression analyses on the European continent. We limit our test to European countries, as we were necessarily guided by data availability at multiple levels of analysis (i.e. individual-level and country-level). Additionally, this study responds to the relative lack of macro-structural variables included in previous tests of this framework. This research answers two main questions: </w:t>
      </w:r>
    </w:p>
    <w:p w14:paraId="68BD2BD9" w14:textId="13A34281" w:rsidR="00313DCA" w:rsidRPr="00313DCA" w:rsidRDefault="00313DCA" w:rsidP="006652D2">
      <w:pPr>
        <w:pStyle w:val="Paragraph"/>
        <w:numPr>
          <w:ilvl w:val="0"/>
          <w:numId w:val="34"/>
        </w:numPr>
        <w:spacing w:before="0"/>
        <w:contextualSpacing/>
        <w:rPr>
          <w:lang w:val="en"/>
        </w:rPr>
      </w:pPr>
      <w:r w:rsidRPr="00313DCA">
        <w:rPr>
          <w:lang w:val="en"/>
        </w:rPr>
        <w:t xml:space="preserve">Do </w:t>
      </w:r>
      <w:r w:rsidR="00B27D72">
        <w:rPr>
          <w:lang w:val="en"/>
        </w:rPr>
        <w:t>MM</w:t>
      </w:r>
      <w:r w:rsidRPr="00313DCA">
        <w:rPr>
          <w:lang w:val="en"/>
        </w:rPr>
        <w:t xml:space="preserve"> constructs predict gang membership across Europe?</w:t>
      </w:r>
    </w:p>
    <w:p w14:paraId="3C4815E0" w14:textId="793B0449" w:rsidR="00313DCA" w:rsidRDefault="00313DCA" w:rsidP="006652D2">
      <w:pPr>
        <w:pStyle w:val="Paragraph"/>
        <w:numPr>
          <w:ilvl w:val="0"/>
          <w:numId w:val="34"/>
        </w:numPr>
        <w:spacing w:before="0"/>
        <w:contextualSpacing/>
        <w:rPr>
          <w:lang w:val="en"/>
        </w:rPr>
      </w:pPr>
      <w:r w:rsidRPr="00313DCA">
        <w:rPr>
          <w:lang w:val="en"/>
        </w:rPr>
        <w:t xml:space="preserve">Does inclusion of certain country-level variables help </w:t>
      </w:r>
      <w:r w:rsidR="0027206F">
        <w:rPr>
          <w:lang w:val="en"/>
        </w:rPr>
        <w:t>MM’s</w:t>
      </w:r>
      <w:r w:rsidRPr="00313DCA">
        <w:rPr>
          <w:lang w:val="en"/>
        </w:rPr>
        <w:t xml:space="preserve"> predictive power?</w:t>
      </w:r>
    </w:p>
    <w:p w14:paraId="347BF763" w14:textId="77777777" w:rsidR="00313DCA" w:rsidRDefault="00313DCA" w:rsidP="006652D2">
      <w:pPr>
        <w:pStyle w:val="Heading1"/>
        <w:spacing w:line="480" w:lineRule="auto"/>
        <w:jc w:val="center"/>
        <w:rPr>
          <w:lang w:val="en"/>
        </w:rPr>
      </w:pPr>
      <w:r w:rsidRPr="00313DCA">
        <w:rPr>
          <w:lang w:val="en"/>
        </w:rPr>
        <w:t>Methods</w:t>
      </w:r>
    </w:p>
    <w:p w14:paraId="569A584E" w14:textId="0EFF8858" w:rsidR="00313DCA" w:rsidRDefault="1BAFAA6F" w:rsidP="006652D2">
      <w:pPr>
        <w:pStyle w:val="Newparagraph"/>
        <w:ind w:firstLine="0"/>
        <w:contextualSpacing/>
        <w:rPr>
          <w:lang w:val="en"/>
        </w:rPr>
      </w:pPr>
      <w:r w:rsidRPr="1BAFAA6F">
        <w:rPr>
          <w:lang w:val="en"/>
        </w:rPr>
        <w:t>To answer the research questions, data must be used at both the individual level and the country level. Therefore, the analytic framework used in this research is hierarchical linear modelling (HLM). HLM is useful when studying individuals in context, because it adjusts for the non-independence of observations from the same context, thus providing a more rigorous statistical assessment of these relationships than standard models (</w:t>
      </w:r>
      <w:proofErr w:type="spellStart"/>
      <w:r w:rsidRPr="1BAFAA6F">
        <w:rPr>
          <w:lang w:val="en"/>
        </w:rPr>
        <w:t>Raudenbush</w:t>
      </w:r>
      <w:proofErr w:type="spellEnd"/>
      <w:r w:rsidRPr="1BAFAA6F">
        <w:rPr>
          <w:lang w:val="en"/>
        </w:rPr>
        <w:t xml:space="preserve"> &amp; Bryk, 2002; Luke, 2004; </w:t>
      </w:r>
      <w:proofErr w:type="spellStart"/>
      <w:r w:rsidRPr="1BAFAA6F">
        <w:rPr>
          <w:lang w:val="en"/>
        </w:rPr>
        <w:t>Baumer</w:t>
      </w:r>
      <w:proofErr w:type="spellEnd"/>
      <w:r w:rsidRPr="1BAFAA6F">
        <w:rPr>
          <w:lang w:val="en"/>
        </w:rPr>
        <w:t xml:space="preserve"> &amp; </w:t>
      </w:r>
      <w:proofErr w:type="spellStart"/>
      <w:r w:rsidRPr="1BAFAA6F">
        <w:rPr>
          <w:lang w:val="en"/>
        </w:rPr>
        <w:t>Arnio</w:t>
      </w:r>
      <w:proofErr w:type="spellEnd"/>
      <w:r w:rsidRPr="1BAFAA6F">
        <w:rPr>
          <w:lang w:val="en"/>
        </w:rPr>
        <w:t>, 2012). This research leverages available data from</w:t>
      </w:r>
      <w:r>
        <w:t xml:space="preserve"> the </w:t>
      </w:r>
      <w:r w:rsidRPr="1BAFAA6F">
        <w:rPr>
          <w:lang w:val="en"/>
        </w:rPr>
        <w:t xml:space="preserve">Second International Self-Reported Delinquency Study (ISRD-2); the World Bank; the United Nations; and the European Social Survey. </w:t>
      </w:r>
    </w:p>
    <w:p w14:paraId="7A3A8804" w14:textId="6A338CDF" w:rsidR="00313DCA" w:rsidRPr="00313DCA" w:rsidRDefault="4758A04D" w:rsidP="006652D2">
      <w:pPr>
        <w:pStyle w:val="Newparagraph"/>
        <w:contextualSpacing/>
        <w:rPr>
          <w:lang w:val="en"/>
        </w:rPr>
      </w:pPr>
      <w:r w:rsidRPr="4758A04D">
        <w:rPr>
          <w:lang w:val="en"/>
        </w:rPr>
        <w:lastRenderedPageBreak/>
        <w:t>Responses to the ISRD-2 are used in this research to provide data at the individual level (</w:t>
      </w:r>
      <w:proofErr w:type="spellStart"/>
      <w:r w:rsidRPr="4758A04D">
        <w:rPr>
          <w:lang w:val="en"/>
        </w:rPr>
        <w:t>Enzmann</w:t>
      </w:r>
      <w:proofErr w:type="spellEnd"/>
      <w:r w:rsidRPr="4758A04D">
        <w:rPr>
          <w:lang w:val="en"/>
        </w:rPr>
        <w:t xml:space="preserve"> et al., 2015). The ISRD-2 is a cross-sectional, transnational survey of delinquency and victimization among mostly 12 to 15-year-old students in 30 countries from 2005-2007.</w:t>
      </w:r>
      <w:r w:rsidRPr="4758A04D">
        <w:rPr>
          <w:vertAlign w:val="superscript"/>
          <w:lang w:val="en"/>
        </w:rPr>
        <w:t>3</w:t>
      </w:r>
      <w:r w:rsidRPr="4758A04D">
        <w:rPr>
          <w:lang w:val="en"/>
        </w:rPr>
        <w:t xml:space="preserve"> The sample of countries is mostly a convenience sample comprising European nations, but also includes a small number in North America and South America. The sampling design for the ISRD-2 was school-based, and randomly drawn at the city- or national-level, with classrooms as the primary sampling unit (Marshall &amp; </w:t>
      </w:r>
      <w:proofErr w:type="spellStart"/>
      <w:r w:rsidRPr="4758A04D">
        <w:rPr>
          <w:lang w:val="en"/>
        </w:rPr>
        <w:t>Enzmann</w:t>
      </w:r>
      <w:proofErr w:type="spellEnd"/>
      <w:r w:rsidRPr="4758A04D">
        <w:rPr>
          <w:lang w:val="en"/>
        </w:rPr>
        <w:t xml:space="preserve">, 2012). While there were many complexities in sampling schools and reaching students across multiple countries, the total ISRD-2 sample response rate was around 65-70%, which is within the normal range (Marshall &amp; </w:t>
      </w:r>
      <w:proofErr w:type="spellStart"/>
      <w:r w:rsidRPr="4758A04D">
        <w:rPr>
          <w:lang w:val="en"/>
        </w:rPr>
        <w:t>Enzmann</w:t>
      </w:r>
      <w:proofErr w:type="spellEnd"/>
      <w:r w:rsidRPr="4758A04D">
        <w:rPr>
          <w:lang w:val="en"/>
        </w:rPr>
        <w:t>, 2012). Surveys were administered primarily by paper and pencil, but computers were used for data collection in some countries (Aebi, 2009). The target was around 2,100 responses for each country, with a third conducted in a large city, a third in a medium-sized city, and a third in a few small towns (</w:t>
      </w:r>
      <w:proofErr w:type="spellStart"/>
      <w:r w:rsidRPr="4758A04D">
        <w:rPr>
          <w:lang w:val="en"/>
        </w:rPr>
        <w:t>Enzmann</w:t>
      </w:r>
      <w:proofErr w:type="spellEnd"/>
      <w:r w:rsidRPr="4758A04D">
        <w:rPr>
          <w:lang w:val="en"/>
        </w:rPr>
        <w:t xml:space="preserve"> et al., 2010). One limitation of the study is that some countries have a sample that is only city-based, and is therefore not nationally representative (</w:t>
      </w:r>
      <w:proofErr w:type="spellStart"/>
      <w:r w:rsidRPr="4758A04D">
        <w:rPr>
          <w:lang w:val="en"/>
        </w:rPr>
        <w:t>Enzmann</w:t>
      </w:r>
      <w:proofErr w:type="spellEnd"/>
      <w:r w:rsidRPr="4758A04D">
        <w:rPr>
          <w:lang w:val="en"/>
        </w:rPr>
        <w:t xml:space="preserve"> et al., 2010); however, when looking at explanations of offending behavior, the representativeness of the sample is not as important (Marshall &amp; </w:t>
      </w:r>
      <w:proofErr w:type="spellStart"/>
      <w:r w:rsidRPr="4758A04D">
        <w:rPr>
          <w:lang w:val="en"/>
        </w:rPr>
        <w:t>Enzmann</w:t>
      </w:r>
      <w:proofErr w:type="spellEnd"/>
      <w:r w:rsidRPr="4758A04D">
        <w:rPr>
          <w:lang w:val="en"/>
        </w:rPr>
        <w:t xml:space="preserve">, 2012). </w:t>
      </w:r>
    </w:p>
    <w:p w14:paraId="0B8404D8" w14:textId="5470206E" w:rsidR="76620C13" w:rsidRDefault="76620C13" w:rsidP="006652D2">
      <w:pPr>
        <w:pStyle w:val="Newparagraph"/>
        <w:contextualSpacing/>
        <w:rPr>
          <w:lang w:val="en"/>
        </w:rPr>
      </w:pPr>
      <w:r w:rsidRPr="76620C13">
        <w:rPr>
          <w:lang w:val="en"/>
        </w:rPr>
        <w:t>The ISRD-2 was an expansion upon the ISRD-1, which was initiated in 1988 and implemented in 13 countries, with a goal of examining different patterns of delinquency and testing the generalizability of multiple theories (</w:t>
      </w:r>
      <w:proofErr w:type="spellStart"/>
      <w:r w:rsidRPr="76620C13">
        <w:rPr>
          <w:lang w:val="en"/>
        </w:rPr>
        <w:t>Enzmann</w:t>
      </w:r>
      <w:proofErr w:type="spellEnd"/>
      <w:r w:rsidRPr="76620C13">
        <w:rPr>
          <w:lang w:val="en"/>
        </w:rPr>
        <w:t xml:space="preserve"> et al., 2010). The main component of the ISRD-2 is the student questionnaire, which incorporates items and scales about a range of factors thought to be theoretically relevant to juvenile delinquency and victimization; these include questions about socioeconomic status, immigrant status and ethnic minority group, family, school, neighborhood, </w:t>
      </w:r>
      <w:r w:rsidRPr="76620C13">
        <w:rPr>
          <w:lang w:val="en"/>
        </w:rPr>
        <w:lastRenderedPageBreak/>
        <w:t xml:space="preserve">lifestyle/leisure time, life events, attitudes towards violence, and self-control, in addition to delinquency, victimization, and risky behavior themselves (Marshall &amp; </w:t>
      </w:r>
      <w:proofErr w:type="spellStart"/>
      <w:r w:rsidRPr="76620C13">
        <w:rPr>
          <w:lang w:val="en"/>
        </w:rPr>
        <w:t>Enzmann</w:t>
      </w:r>
      <w:proofErr w:type="spellEnd"/>
      <w:r w:rsidRPr="76620C13">
        <w:rPr>
          <w:lang w:val="en"/>
        </w:rPr>
        <w:t xml:space="preserve">, 2012). </w:t>
      </w:r>
    </w:p>
    <w:p w14:paraId="3280FFEF" w14:textId="56B046C3" w:rsidR="00313DCA" w:rsidRPr="00313DCA" w:rsidRDefault="4758A04D" w:rsidP="006652D2">
      <w:pPr>
        <w:pStyle w:val="Newparagraph"/>
        <w:contextualSpacing/>
        <w:rPr>
          <w:lang w:val="en"/>
        </w:rPr>
      </w:pPr>
      <w:r w:rsidRPr="4758A04D">
        <w:rPr>
          <w:lang w:val="en"/>
        </w:rPr>
        <w:t>We also incorporate theoretically-relevant macro-level constructs in our models using data from the World Bank, the United Nations (UN), and the 2006 European Social Survey. World Bank estimates are obtained through household survey data for each country, and through World Bank country departments (World Bank, n.d.). UN migration data are primarily sourced through national population censuses (United Nations, 2017). The European Social Survey is conducted with a cross-national sample of European countries every 2 years, and is intended to measure respondents’ attitudes, beliefs, and behaviors over time.</w:t>
      </w:r>
      <w:r w:rsidRPr="00616E1F">
        <w:rPr>
          <w:vertAlign w:val="superscript"/>
          <w:lang w:val="en"/>
        </w:rPr>
        <w:t>4</w:t>
      </w:r>
      <w:r w:rsidRPr="4758A04D">
        <w:rPr>
          <w:lang w:val="en"/>
        </w:rPr>
        <w:t xml:space="preserve"> The current study uses 2005 estimates from these sources as much as possible, though the 2006 round of the European Social Survey is used.</w:t>
      </w:r>
    </w:p>
    <w:p w14:paraId="19E73EAE" w14:textId="09697E7C" w:rsidR="00313DCA" w:rsidRPr="008D266A" w:rsidRDefault="0097146F" w:rsidP="006652D2">
      <w:pPr>
        <w:pStyle w:val="Heading2"/>
        <w:spacing w:line="480" w:lineRule="auto"/>
        <w:rPr>
          <w:i w:val="0"/>
          <w:iCs w:val="0"/>
          <w:lang w:val="en"/>
        </w:rPr>
      </w:pPr>
      <w:r w:rsidRPr="008D266A">
        <w:rPr>
          <w:i w:val="0"/>
          <w:iCs w:val="0"/>
          <w:lang w:val="en"/>
        </w:rPr>
        <w:t xml:space="preserve">Dependent </w:t>
      </w:r>
      <w:r w:rsidR="00F04A82">
        <w:rPr>
          <w:i w:val="0"/>
          <w:iCs w:val="0"/>
          <w:lang w:val="en"/>
        </w:rPr>
        <w:t>V</w:t>
      </w:r>
      <w:r w:rsidRPr="008D266A">
        <w:rPr>
          <w:i w:val="0"/>
          <w:iCs w:val="0"/>
          <w:lang w:val="en"/>
        </w:rPr>
        <w:t>ariable</w:t>
      </w:r>
    </w:p>
    <w:p w14:paraId="575C5E4B" w14:textId="55808763" w:rsidR="0097146F" w:rsidRPr="0097146F" w:rsidRDefault="09B79ABC" w:rsidP="006652D2">
      <w:pPr>
        <w:pStyle w:val="Paragraph"/>
        <w:contextualSpacing/>
        <w:rPr>
          <w:lang w:val="en"/>
        </w:rPr>
      </w:pPr>
      <w:r w:rsidRPr="09B79ABC">
        <w:rPr>
          <w:lang w:val="en"/>
        </w:rPr>
        <w:t xml:space="preserve">The dependent variable in this study is gang membership. The construction of this variable is based off of the </w:t>
      </w:r>
      <w:proofErr w:type="spellStart"/>
      <w:r w:rsidRPr="09B79ABC">
        <w:rPr>
          <w:lang w:val="en"/>
        </w:rPr>
        <w:t>Eurogang</w:t>
      </w:r>
      <w:proofErr w:type="spellEnd"/>
      <w:r w:rsidRPr="09B79ABC">
        <w:rPr>
          <w:lang w:val="en"/>
        </w:rPr>
        <w:t xml:space="preserve"> definition: “any durable street-oriented youth group whose involvement in illegal activity is part of their group identity’’ (</w:t>
      </w:r>
      <w:proofErr w:type="spellStart"/>
      <w:r w:rsidRPr="09B79ABC">
        <w:rPr>
          <w:lang w:val="en"/>
        </w:rPr>
        <w:t>Weerman</w:t>
      </w:r>
      <w:proofErr w:type="spellEnd"/>
      <w:r w:rsidRPr="09B79ABC">
        <w:rPr>
          <w:lang w:val="en"/>
        </w:rPr>
        <w:t xml:space="preserve"> et al., 2009, p. 20). This binary outcome is based on responses to the following questions in the ISRD-2:</w:t>
      </w:r>
    </w:p>
    <w:p w14:paraId="0D9A4F39" w14:textId="77777777" w:rsidR="0097146F" w:rsidRPr="0097146F" w:rsidRDefault="0097146F" w:rsidP="006652D2">
      <w:pPr>
        <w:pStyle w:val="Bulletedlist"/>
        <w:rPr>
          <w:lang w:val="en"/>
        </w:rPr>
      </w:pPr>
      <w:r w:rsidRPr="0097146F">
        <w:rPr>
          <w:lang w:val="en"/>
        </w:rPr>
        <w:t>Do you have a group of friends?</w:t>
      </w:r>
    </w:p>
    <w:p w14:paraId="73DDE75D" w14:textId="77777777" w:rsidR="0097146F" w:rsidRPr="0097146F" w:rsidRDefault="0097146F" w:rsidP="006652D2">
      <w:pPr>
        <w:pStyle w:val="Bulletedlist"/>
        <w:rPr>
          <w:lang w:val="en"/>
        </w:rPr>
      </w:pPr>
      <w:r w:rsidRPr="0097146F">
        <w:rPr>
          <w:lang w:val="en"/>
        </w:rPr>
        <w:t>How long has this group existed? (&gt;3 months)</w:t>
      </w:r>
    </w:p>
    <w:p w14:paraId="2301DAB1" w14:textId="3ED6B58F" w:rsidR="0097146F" w:rsidRPr="0097146F" w:rsidRDefault="4758A04D" w:rsidP="006652D2">
      <w:pPr>
        <w:pStyle w:val="Bulletedlist"/>
        <w:rPr>
          <w:lang w:val="en"/>
        </w:rPr>
      </w:pPr>
      <w:r w:rsidRPr="4758A04D">
        <w:rPr>
          <w:lang w:val="en"/>
        </w:rPr>
        <w:t>Which of the following best describes the age of people in your group? (12-25)</w:t>
      </w:r>
      <w:r w:rsidRPr="00616E1F">
        <w:rPr>
          <w:vertAlign w:val="superscript"/>
          <w:lang w:val="en"/>
        </w:rPr>
        <w:t>5</w:t>
      </w:r>
    </w:p>
    <w:p w14:paraId="192F6E2D" w14:textId="77777777" w:rsidR="0097146F" w:rsidRPr="0097146F" w:rsidRDefault="0097146F" w:rsidP="006652D2">
      <w:pPr>
        <w:pStyle w:val="Bulletedlist"/>
        <w:rPr>
          <w:lang w:val="en"/>
        </w:rPr>
      </w:pPr>
      <w:r w:rsidRPr="0097146F">
        <w:rPr>
          <w:lang w:val="en"/>
        </w:rPr>
        <w:t>Does this group spend a lot of time together in public places?</w:t>
      </w:r>
    </w:p>
    <w:p w14:paraId="4BA27ED3" w14:textId="77777777" w:rsidR="0097146F" w:rsidRPr="0097146F" w:rsidRDefault="0097146F" w:rsidP="006652D2">
      <w:pPr>
        <w:pStyle w:val="Bulletedlist"/>
        <w:rPr>
          <w:lang w:val="en"/>
        </w:rPr>
      </w:pPr>
      <w:r w:rsidRPr="0097146F">
        <w:rPr>
          <w:lang w:val="en"/>
        </w:rPr>
        <w:t>Is doing illegal things accepted by your group?</w:t>
      </w:r>
    </w:p>
    <w:p w14:paraId="33E8539F" w14:textId="77777777" w:rsidR="0097146F" w:rsidRPr="0097146F" w:rsidRDefault="0097146F" w:rsidP="006652D2">
      <w:pPr>
        <w:pStyle w:val="Bulletedlist"/>
        <w:rPr>
          <w:lang w:val="en"/>
        </w:rPr>
      </w:pPr>
      <w:r w:rsidRPr="0097146F">
        <w:rPr>
          <w:lang w:val="en"/>
        </w:rPr>
        <w:lastRenderedPageBreak/>
        <w:t>Do people in your group actually do illegal things together?</w:t>
      </w:r>
    </w:p>
    <w:p w14:paraId="6C51DF58" w14:textId="3569A202" w:rsidR="002659F6" w:rsidRDefault="4758A04D" w:rsidP="006652D2">
      <w:pPr>
        <w:pStyle w:val="Paragraph"/>
        <w:contextualSpacing/>
        <w:rPr>
          <w:lang w:val="en"/>
        </w:rPr>
      </w:pPr>
      <w:r w:rsidRPr="4758A04D">
        <w:rPr>
          <w:lang w:val="en"/>
        </w:rPr>
        <w:t>Respondents had to reply “yes”, or responses had to fall within the correct category, to each of these questions to be considered a gang member; just responding in the affirmative to some or a majority of the questions was not sufficient. The survey also included the question “Do you consider your group of friends to be a gang?”, but there is denial of a gang problem in many parts of the world because their “groups” do not fit the idea of a “gang” in the traditional American sense of the word (Klein, 2007), and therefore we do not include this self-report measure. The percentage of gang members in each country for the total sample, as identified by this definition, is presented in Figure 2.</w:t>
      </w:r>
      <w:r w:rsidRPr="00616E1F">
        <w:rPr>
          <w:vertAlign w:val="superscript"/>
          <w:lang w:val="en"/>
        </w:rPr>
        <w:t>6</w:t>
      </w:r>
    </w:p>
    <w:p w14:paraId="1FD2752A" w14:textId="11F679A7" w:rsidR="00573F71" w:rsidRDefault="002659F6" w:rsidP="006652D2">
      <w:pPr>
        <w:pStyle w:val="Newparagraph"/>
        <w:ind w:firstLine="0"/>
        <w:contextualSpacing/>
        <w:jc w:val="center"/>
        <w:rPr>
          <w:lang w:val="en"/>
        </w:rPr>
      </w:pPr>
      <w:r>
        <w:rPr>
          <w:lang w:val="en"/>
        </w:rPr>
        <w:t>[Insert Figure 2 about here]</w:t>
      </w:r>
    </w:p>
    <w:p w14:paraId="67E57E4F" w14:textId="62ABD4FA" w:rsidR="00313DCA" w:rsidRPr="008D266A" w:rsidRDefault="00573F71" w:rsidP="006652D2">
      <w:pPr>
        <w:pStyle w:val="Heading2"/>
        <w:spacing w:line="480" w:lineRule="auto"/>
        <w:rPr>
          <w:i w:val="0"/>
          <w:iCs w:val="0"/>
          <w:lang w:val="en"/>
        </w:rPr>
      </w:pPr>
      <w:r w:rsidRPr="008D266A">
        <w:rPr>
          <w:i w:val="0"/>
          <w:iCs w:val="0"/>
          <w:lang w:val="en"/>
        </w:rPr>
        <w:t xml:space="preserve">Independent </w:t>
      </w:r>
      <w:r w:rsidR="00F04A82">
        <w:rPr>
          <w:i w:val="0"/>
          <w:iCs w:val="0"/>
          <w:lang w:val="en"/>
        </w:rPr>
        <w:t>V</w:t>
      </w:r>
      <w:r w:rsidRPr="008D266A">
        <w:rPr>
          <w:i w:val="0"/>
          <w:iCs w:val="0"/>
          <w:lang w:val="en"/>
        </w:rPr>
        <w:t>ariables</w:t>
      </w:r>
    </w:p>
    <w:p w14:paraId="0A95A7D7" w14:textId="2A826A18" w:rsidR="00710B3F" w:rsidRPr="00710B3F" w:rsidRDefault="624E573A" w:rsidP="006652D2">
      <w:pPr>
        <w:pStyle w:val="Newparagraph"/>
        <w:ind w:firstLine="0"/>
        <w:contextualSpacing/>
        <w:rPr>
          <w:lang w:val="en"/>
        </w:rPr>
      </w:pPr>
      <w:r w:rsidRPr="624E573A">
        <w:rPr>
          <w:lang w:val="en"/>
        </w:rPr>
        <w:t xml:space="preserve">To test as full of a conceptualization of the MM framework as possible, independent variables are included at the individual and country levels. Data for the descriptive statistics come from all 30 countries, but regression analyses are conducted on a more limited European subsample of 19 </w:t>
      </w:r>
      <w:proofErr w:type="gramStart"/>
      <w:r w:rsidRPr="624E573A">
        <w:rPr>
          <w:lang w:val="en"/>
        </w:rPr>
        <w:t>countries  due</w:t>
      </w:r>
      <w:proofErr w:type="gramEnd"/>
      <w:r w:rsidRPr="624E573A">
        <w:rPr>
          <w:lang w:val="en"/>
        </w:rPr>
        <w:t xml:space="preserve"> to missing country-level data.</w:t>
      </w:r>
    </w:p>
    <w:p w14:paraId="02BDA66C" w14:textId="79B40FC6" w:rsidR="00573F71" w:rsidRPr="002A1B53" w:rsidRDefault="00573F71" w:rsidP="006652D2">
      <w:pPr>
        <w:contextualSpacing/>
      </w:pPr>
      <w:r w:rsidRPr="008D266A">
        <w:rPr>
          <w:i/>
          <w:iCs/>
          <w:lang w:val="en"/>
        </w:rPr>
        <w:t>Country</w:t>
      </w:r>
      <w:r w:rsidR="008D266A">
        <w:rPr>
          <w:i/>
          <w:iCs/>
          <w:lang w:val="en"/>
        </w:rPr>
        <w:t>-l</w:t>
      </w:r>
      <w:r w:rsidRPr="008D266A">
        <w:rPr>
          <w:i/>
          <w:iCs/>
          <w:lang w:val="en"/>
        </w:rPr>
        <w:t>evel</w:t>
      </w:r>
      <w:r w:rsidR="008D266A">
        <w:rPr>
          <w:i/>
          <w:iCs/>
          <w:lang w:val="en"/>
        </w:rPr>
        <w:t xml:space="preserve"> Variables</w:t>
      </w:r>
      <w:r w:rsidR="00F04A82" w:rsidRPr="008D266A">
        <w:rPr>
          <w:i/>
          <w:iCs/>
          <w:lang w:val="en"/>
        </w:rPr>
        <w:t xml:space="preserve">. </w:t>
      </w:r>
      <w:r w:rsidRPr="002A1B53">
        <w:t>Immigration and migration are important constructs in the MM framework. They represent major processes that situate ethno-racial minority youth in contexts where they can become marginalized. We aim to capture this important part of the MM model in our study by including a measure for country-level migration. We specifically use a measure from the U</w:t>
      </w:r>
      <w:r w:rsidR="00DA1EFF">
        <w:t>N</w:t>
      </w:r>
      <w:r w:rsidRPr="002A1B53">
        <w:t xml:space="preserve"> Migration Data that measures the percent of each country’s population who were migrants in 2005 (United Nations, 2017). Migrants, in this case, refers to individuals who were born in a different country from the one where they currently reside, and also includes refugees. </w:t>
      </w:r>
    </w:p>
    <w:p w14:paraId="40A63F2C" w14:textId="3610BDE0" w:rsidR="00573F71" w:rsidRPr="002A1B53" w:rsidRDefault="624E573A" w:rsidP="006652D2">
      <w:pPr>
        <w:ind w:firstLine="720"/>
        <w:contextualSpacing/>
      </w:pPr>
      <w:r>
        <w:lastRenderedPageBreak/>
        <w:t>Aggregate measures of discrimination and attitudes towards immigration are constructed from estimates in the 2006 European Social Survey.</w:t>
      </w:r>
      <w:r w:rsidRPr="624E573A">
        <w:rPr>
          <w:vertAlign w:val="superscript"/>
        </w:rPr>
        <w:t>7</w:t>
      </w:r>
      <w:r>
        <w:t xml:space="preserve"> These measures are used to account for potential country-level discrimination and immigration attitudes separate from individual-level measures of marginalization in the ISRD-2. Aggregate discrimination is constructed as a dichotomous (0/1) variable that indicates 1 if individual respondents reported being the member of a discriminated group in their country. A discriminated group could be based on race, nationality, ethnicity, language, or religion. The mean of this variable is used to represent the country-level proportion of respondents who reported being a member of a discriminated group, and then log-transformed to adjust for skewness across countries. Aggregate attitudes towards immigration were also obtained through the 2006 European Social Survey. Respondents were asked a series of 6 questions relating to their attitudes towards immigration and immigrants in their country. They include such statements as “Immigration is bad or good for the economy”, where respondents could answer anywhere on a range from 0 (bad for the economy) to 10 (good for the economy). The 6 immigration items were combined to create an additive scale that ranged from negative attitudes towards immigration to positive attitudes towards immigration. The alpha coefficient for the 6 items is α&gt;0.82. Respondents’ scores were then aggregated to create a mean score for each country.</w:t>
      </w:r>
    </w:p>
    <w:p w14:paraId="44D24ED5" w14:textId="140DD157" w:rsidR="00573F71" w:rsidRPr="002A1B53" w:rsidRDefault="09B79ABC" w:rsidP="006652D2">
      <w:pPr>
        <w:ind w:firstLine="720"/>
        <w:contextualSpacing/>
      </w:pPr>
      <w:r>
        <w:t xml:space="preserve">Other macro-level constructs such as economic inequality and poverty are also included in the model to control for potential variation in the socioeconomic characteristics across countries. Economic inequality is measured as the Gini index estimate from the World Bank (World Bank, n.d.). The Gini index estimate measures the degree to which a country’s actual income distribution differs from a perfectly equal income distribution (World Bank, n.d.). The values of the Gini index </w:t>
      </w:r>
      <w:proofErr w:type="gramStart"/>
      <w:r>
        <w:t>estimate  range</w:t>
      </w:r>
      <w:proofErr w:type="gramEnd"/>
      <w:r>
        <w:t xml:space="preserve"> </w:t>
      </w:r>
      <w:r>
        <w:lastRenderedPageBreak/>
        <w:t>from 0 (or perfectly equal), to 100 (or completely unequal distribution). Poverty is measured as the percentage of the country’s population who were living on less than $5.50 a day (World Bank, n.d.).</w:t>
      </w:r>
    </w:p>
    <w:p w14:paraId="532715AC" w14:textId="2DFDA882" w:rsidR="00573F71" w:rsidRPr="002A1B53" w:rsidRDefault="00573F71" w:rsidP="006652D2">
      <w:pPr>
        <w:ind w:firstLine="720"/>
        <w:contextualSpacing/>
        <w:rPr>
          <w:i/>
        </w:rPr>
      </w:pPr>
      <w:r w:rsidRPr="002A1B53">
        <w:t>Finally, we include aggregate measures of fear of crime and victimization in each country</w:t>
      </w:r>
      <w:r w:rsidR="0027206F">
        <w:t xml:space="preserve"> to</w:t>
      </w:r>
      <w:r w:rsidRPr="002A1B53">
        <w:t xml:space="preserve"> control for the variation in crime incidence that likely exists across country contexts. We use measures from the 2006 European Social Survey to capture reported victimization as well as an index indicating how worried the respondents are about being victimized. For both measures, victimization refers to being victimized by burglary or violent assault. The victimization measure is a dichotomous (0/1) variable, where 1 indicates the respondent or a member of the respondent’s household was a victim of a burglary or assault in the previous 5 years. The mean of this variable was calculated by country to reflect a country-level proportion of respondents who reported being victimized. The index of how often respondents worry about being victimized is </w:t>
      </w:r>
      <w:r w:rsidR="00F97613">
        <w:t xml:space="preserve">an additive index of two items </w:t>
      </w:r>
      <w:r w:rsidRPr="002A1B53">
        <w:t xml:space="preserve">asking respondents to indicate how often they worry about being victimized by violent crime or burglary. The index ranges from “not at all” to “all the time”, and has an alpha coefficient of α&gt;0.70. The mean scores by country for each of the country-level indicators are included in Table 1. </w:t>
      </w:r>
    </w:p>
    <w:p w14:paraId="500BC6BA" w14:textId="77777777" w:rsidR="00A52831" w:rsidRDefault="00D8758D" w:rsidP="006652D2">
      <w:pPr>
        <w:pStyle w:val="Newparagraph"/>
        <w:contextualSpacing/>
        <w:jc w:val="center"/>
        <w:rPr>
          <w:lang w:val="en"/>
        </w:rPr>
      </w:pPr>
      <w:r>
        <w:rPr>
          <w:lang w:val="en"/>
        </w:rPr>
        <w:t>[</w:t>
      </w:r>
      <w:r w:rsidR="00A52831">
        <w:rPr>
          <w:lang w:val="en"/>
        </w:rPr>
        <w:t xml:space="preserve">Insert Table </w:t>
      </w:r>
      <w:r>
        <w:rPr>
          <w:lang w:val="en"/>
        </w:rPr>
        <w:t>1 about here]</w:t>
      </w:r>
    </w:p>
    <w:p w14:paraId="4796618E" w14:textId="7B227EFC" w:rsidR="4758A04D" w:rsidRDefault="78A5F519" w:rsidP="006652D2">
      <w:pPr>
        <w:pStyle w:val="Newparagraph"/>
        <w:contextualSpacing/>
        <w:rPr>
          <w:lang w:val="en"/>
        </w:rPr>
      </w:pPr>
      <w:r w:rsidRPr="09B79ABC">
        <w:rPr>
          <w:i/>
          <w:iCs/>
        </w:rPr>
        <w:t>Individual</w:t>
      </w:r>
      <w:r w:rsidRPr="09B79ABC">
        <w:rPr>
          <w:i/>
          <w:iCs/>
          <w:lang w:val="en"/>
        </w:rPr>
        <w:t xml:space="preserve">-level Variables. </w:t>
      </w:r>
      <w:r w:rsidRPr="78A5F519">
        <w:rPr>
          <w:lang w:val="en"/>
        </w:rPr>
        <w:t xml:space="preserve">The individual-level independent variables include items related to youth survey responses surrounding economic marginalization (3 items), social marginalization (3 items), neighborhood environment (index of 13 items), ties to parents (3 items), ties to school (8 items), street socialization (4 items), and </w:t>
      </w:r>
      <w:r w:rsidR="09B79ABC" w:rsidRPr="09B79ABC">
        <w:rPr>
          <w:lang w:val="en"/>
        </w:rPr>
        <w:t xml:space="preserve">attitudes towards violence </w:t>
      </w:r>
      <w:r w:rsidRPr="78A5F519">
        <w:rPr>
          <w:lang w:val="en"/>
        </w:rPr>
        <w:t>(3 items)</w:t>
      </w:r>
      <w:r w:rsidR="09B79ABC" w:rsidRPr="09B79ABC">
        <w:rPr>
          <w:lang w:val="en"/>
        </w:rPr>
        <w:t xml:space="preserve"> (as a proxy for components of the street subculture and one’s street identity)</w:t>
      </w:r>
      <w:r w:rsidRPr="78A5F519">
        <w:rPr>
          <w:lang w:val="en"/>
        </w:rPr>
        <w:t xml:space="preserve">. </w:t>
      </w:r>
      <w:r w:rsidR="09B79ABC">
        <w:t xml:space="preserve">None of these measures have previously been used and validated in the exact composition that occurs in this study, with the exception of the </w:t>
      </w:r>
      <w:r w:rsidR="09B79ABC">
        <w:lastRenderedPageBreak/>
        <w:t xml:space="preserve">index of </w:t>
      </w:r>
      <w:proofErr w:type="spellStart"/>
      <w:r w:rsidR="09B79ABC">
        <w:t>neighborhood</w:t>
      </w:r>
      <w:proofErr w:type="spellEnd"/>
      <w:r w:rsidR="09B79ABC">
        <w:t xml:space="preserve"> quality, which was part of a scale developed by Sampson and colleagues (1997; 1999) (</w:t>
      </w:r>
      <w:r w:rsidR="00616E1F">
        <w:t xml:space="preserve">Marshall &amp; </w:t>
      </w:r>
      <w:proofErr w:type="spellStart"/>
      <w:r w:rsidR="09B79ABC">
        <w:t>Enzmann</w:t>
      </w:r>
      <w:proofErr w:type="spellEnd"/>
      <w:r w:rsidR="09B79ABC">
        <w:t xml:space="preserve">, 2012, p. 55). The other items have been included in other studies and empirically tested in some format, but were selected for our study not as an entire index of a theoretical construct, but as individual items that matched previous operationalizations of Vigil’s model, as well as those that conceptually made sense to include based on qualitative work. </w:t>
      </w:r>
      <w:r w:rsidR="00616E1F">
        <w:t>Our</w:t>
      </w:r>
      <w:r w:rsidR="09B79ABC">
        <w:t xml:space="preserve"> ability to fully explore the MM framework is limited by the items included in the ISRD-2, which, while including questions related to a variety of theoretical frameworks, was not created with the testing of this one in mind. Appendix B provides the conceptualization and operationalization of the individual-level MM constructs, in addition to operationalization in previous research, and justifications for inclusion in the current study.</w:t>
      </w:r>
      <w:r w:rsidR="004F4488">
        <w:t xml:space="preserve"> </w:t>
      </w:r>
      <w:r w:rsidRPr="78A5F519">
        <w:rPr>
          <w:lang w:val="en"/>
        </w:rPr>
        <w:t xml:space="preserve">The descriptive frequencies for each variable (and mean, standard error for neighborhood index), for the total survey sample and the limited European subsample, can be found in Table 2. While the regression analyses are only conducted on this European subsample, the descriptive frequencies are shown for the total sample available from the ISRD-2 to provide context for the regression results and illustrate how these might differ from analyses that could provide a more complete global analysis in the future. </w:t>
      </w:r>
    </w:p>
    <w:p w14:paraId="69BEAB46" w14:textId="36F4AF52" w:rsidR="00D8758D" w:rsidRDefault="052E1228" w:rsidP="006652D2">
      <w:pPr>
        <w:pStyle w:val="Newparagraph"/>
        <w:contextualSpacing/>
        <w:jc w:val="center"/>
        <w:rPr>
          <w:lang w:val="en"/>
        </w:rPr>
      </w:pPr>
      <w:r w:rsidRPr="052E1228">
        <w:rPr>
          <w:lang w:val="en"/>
        </w:rPr>
        <w:t>[Insert Table 2 about here]</w:t>
      </w:r>
    </w:p>
    <w:p w14:paraId="0B4E0BAC" w14:textId="77777777" w:rsidR="004F4488" w:rsidRDefault="78A5F519" w:rsidP="006652D2">
      <w:pPr>
        <w:ind w:firstLine="720"/>
        <w:contextualSpacing/>
        <w:rPr>
          <w:color w:val="333333"/>
          <w:lang w:val="en"/>
        </w:rPr>
      </w:pPr>
      <w:r w:rsidRPr="78A5F519">
        <w:rPr>
          <w:lang w:val="en"/>
        </w:rPr>
        <w:t>Correlations were conducted with both the set of individual-level and country-level variables (not shown)</w:t>
      </w:r>
      <w:r w:rsidRPr="78A5F519">
        <w:rPr>
          <w:vertAlign w:val="superscript"/>
          <w:lang w:val="en"/>
        </w:rPr>
        <w:t>8</w:t>
      </w:r>
      <w:r w:rsidRPr="78A5F519">
        <w:rPr>
          <w:lang w:val="en"/>
        </w:rPr>
        <w:t>. For relations among individual predictors, a</w:t>
      </w:r>
      <w:r w:rsidRPr="78A5F519">
        <w:rPr>
          <w:color w:val="333333"/>
          <w:lang w:val="en"/>
        </w:rPr>
        <w:t xml:space="preserve">side from dummy variables representing categorical variables with more than two groups, none of the bivariate relations exceeded moderate correlation (-0.5 &gt; </w:t>
      </w:r>
      <w:r w:rsidRPr="78A5F519">
        <w:rPr>
          <w:i/>
          <w:iCs/>
          <w:color w:val="333333"/>
          <w:lang w:val="en"/>
        </w:rPr>
        <w:t xml:space="preserve">r &gt; </w:t>
      </w:r>
      <w:r w:rsidRPr="78A5F519">
        <w:rPr>
          <w:color w:val="333333"/>
          <w:lang w:val="en"/>
        </w:rPr>
        <w:t xml:space="preserve">0.5). For country-level predictors, only the variable measuring worry about victimization was moderately </w:t>
      </w:r>
      <w:r w:rsidRPr="78A5F519">
        <w:rPr>
          <w:color w:val="333333"/>
          <w:lang w:val="en"/>
        </w:rPr>
        <w:lastRenderedPageBreak/>
        <w:t>correlated with crime victimization (</w:t>
      </w:r>
      <w:r w:rsidRPr="78A5F519">
        <w:rPr>
          <w:i/>
          <w:iCs/>
          <w:color w:val="333333"/>
          <w:lang w:val="en"/>
        </w:rPr>
        <w:t>r=.</w:t>
      </w:r>
      <w:r w:rsidRPr="78A5F519">
        <w:rPr>
          <w:color w:val="333333"/>
          <w:lang w:val="en"/>
        </w:rPr>
        <w:t>57), and the country-level discrimination variable (</w:t>
      </w:r>
      <w:r w:rsidRPr="78A5F519">
        <w:rPr>
          <w:i/>
          <w:iCs/>
          <w:color w:val="333333"/>
          <w:lang w:val="en"/>
        </w:rPr>
        <w:t xml:space="preserve">r= </w:t>
      </w:r>
      <w:r w:rsidRPr="78A5F519">
        <w:rPr>
          <w:color w:val="333333"/>
          <w:lang w:val="en"/>
        </w:rPr>
        <w:t xml:space="preserve">.51). </w:t>
      </w:r>
    </w:p>
    <w:p w14:paraId="3DC12707" w14:textId="00E5CF4A" w:rsidR="00CA4019" w:rsidRPr="008D266A" w:rsidRDefault="00CA4019" w:rsidP="006652D2">
      <w:pPr>
        <w:pStyle w:val="Heading2"/>
        <w:spacing w:line="480" w:lineRule="auto"/>
        <w:rPr>
          <w:i w:val="0"/>
          <w:iCs w:val="0"/>
          <w:lang w:val="en"/>
        </w:rPr>
      </w:pPr>
      <w:r w:rsidRPr="008D266A">
        <w:rPr>
          <w:i w:val="0"/>
          <w:iCs w:val="0"/>
          <w:lang w:val="en"/>
        </w:rPr>
        <w:t>Data Analysis</w:t>
      </w:r>
    </w:p>
    <w:p w14:paraId="36030FA9" w14:textId="7B813A6B" w:rsidR="00CA4019" w:rsidRPr="00CA4019" w:rsidRDefault="78A5F519" w:rsidP="006652D2">
      <w:pPr>
        <w:pStyle w:val="Paragraph"/>
        <w:contextualSpacing/>
        <w:rPr>
          <w:lang w:val="en"/>
        </w:rPr>
      </w:pPr>
      <w:r w:rsidRPr="78A5F519">
        <w:rPr>
          <w:lang w:val="en"/>
        </w:rPr>
        <w:t xml:space="preserve">Following the example of </w:t>
      </w:r>
      <w:proofErr w:type="spellStart"/>
      <w:r w:rsidRPr="78A5F519">
        <w:rPr>
          <w:lang w:val="en"/>
        </w:rPr>
        <w:t>Freng</w:t>
      </w:r>
      <w:proofErr w:type="spellEnd"/>
      <w:r w:rsidRPr="78A5F519">
        <w:rPr>
          <w:lang w:val="en"/>
        </w:rPr>
        <w:t xml:space="preserve"> and </w:t>
      </w:r>
      <w:proofErr w:type="spellStart"/>
      <w:r w:rsidRPr="78A5F519">
        <w:rPr>
          <w:lang w:val="en"/>
        </w:rPr>
        <w:t>Esbensen</w:t>
      </w:r>
      <w:proofErr w:type="spellEnd"/>
      <w:r w:rsidRPr="78A5F519">
        <w:rPr>
          <w:lang w:val="en"/>
        </w:rPr>
        <w:t xml:space="preserve"> (2007), our main analyses are stepwise mixed-effects logistic regression models of responses from 19 European countries, with each additional model incorporating variables from the next theoretical level of the framework.</w:t>
      </w:r>
      <w:r w:rsidRPr="78A5F519">
        <w:rPr>
          <w:vertAlign w:val="superscript"/>
          <w:lang w:val="en"/>
        </w:rPr>
        <w:t>9</w:t>
      </w:r>
      <w:r w:rsidRPr="78A5F519">
        <w:rPr>
          <w:lang w:val="en"/>
        </w:rPr>
        <w:t xml:space="preserve"> Because the ISRD-2 data include individuals nested within countries and the potential for significant between-country differences, this study first tests to see whether a multi-level model is appropriate. In order to test this, a null model is run to see whether the between-country differences are significant. We use the Stata 15 command </w:t>
      </w:r>
      <w:r w:rsidRPr="78A5F519">
        <w:rPr>
          <w:i/>
          <w:iCs/>
          <w:lang w:val="en"/>
        </w:rPr>
        <w:t>melogit</w:t>
      </w:r>
      <w:r w:rsidRPr="004F4488">
        <w:rPr>
          <w:vertAlign w:val="superscript"/>
          <w:lang w:val="en"/>
        </w:rPr>
        <w:t>10</w:t>
      </w:r>
      <w:r w:rsidRPr="78A5F519">
        <w:rPr>
          <w:i/>
          <w:iCs/>
          <w:lang w:val="en"/>
        </w:rPr>
        <w:t xml:space="preserve">, </w:t>
      </w:r>
      <w:r w:rsidRPr="78A5F519">
        <w:rPr>
          <w:lang w:val="en"/>
        </w:rPr>
        <w:t>analyzing individuals (Level-1) nested within countries (Level-2). Including the ANOVA model to test whether a multi-level model is needed and the full model without the country-level variables to answer our second research question, nine sequential models are analyzed in the following section.</w:t>
      </w:r>
    </w:p>
    <w:p w14:paraId="2E7C9140" w14:textId="77777777" w:rsidR="00CA4019" w:rsidRDefault="00CA4019" w:rsidP="006652D2">
      <w:pPr>
        <w:pStyle w:val="Heading1"/>
        <w:spacing w:line="480" w:lineRule="auto"/>
        <w:jc w:val="center"/>
        <w:rPr>
          <w:lang w:val="en"/>
        </w:rPr>
      </w:pPr>
      <w:r w:rsidRPr="00CA4019">
        <w:rPr>
          <w:lang w:val="en"/>
        </w:rPr>
        <w:t>Results</w:t>
      </w:r>
    </w:p>
    <w:p w14:paraId="7BDD0955" w14:textId="709455A0" w:rsidR="00EA1FCD" w:rsidRDefault="78A5F519" w:rsidP="006652D2">
      <w:pPr>
        <w:pStyle w:val="Paragraph"/>
        <w:contextualSpacing/>
        <w:rPr>
          <w:lang w:val="en"/>
        </w:rPr>
      </w:pPr>
      <w:r w:rsidRPr="78A5F519">
        <w:rPr>
          <w:lang w:val="en"/>
        </w:rPr>
        <w:t xml:space="preserve">Our first model was a test to determine whether there are significant differences in gang membership by country to justify a nested model. The likelihood ratio test, for a null hypothesis that between-country variance is zero, found that this null hypothesis could be rejected (χ²=824.66, p&lt;0.001), indicating that a multi-level model was appropriate for these analyses. Furthermore, the between-country intraclass correlation coefficient (ICC) was 0.06, indicating that a small, albeit significant, 6% of variation in gang membership was explained by country-level differences. Subsequent models incorporate control demographic variables and blocks corresponding to the MM </w:t>
      </w:r>
      <w:r w:rsidRPr="78A5F519">
        <w:rPr>
          <w:lang w:val="en"/>
        </w:rPr>
        <w:lastRenderedPageBreak/>
        <w:t>framework. The details of the following eight models, incorporating controls and the MM covariates, can be found in Table 3.</w:t>
      </w:r>
      <w:r w:rsidRPr="78A5F519">
        <w:rPr>
          <w:vertAlign w:val="superscript"/>
          <w:lang w:val="en"/>
        </w:rPr>
        <w:t>11</w:t>
      </w:r>
    </w:p>
    <w:p w14:paraId="7BCB339D" w14:textId="68983C1D" w:rsidR="00634B5D" w:rsidRDefault="00D8758D" w:rsidP="006652D2">
      <w:pPr>
        <w:pStyle w:val="Newparagraph"/>
        <w:contextualSpacing/>
        <w:jc w:val="center"/>
        <w:rPr>
          <w:lang w:val="en"/>
        </w:rPr>
      </w:pPr>
      <w:r>
        <w:rPr>
          <w:lang w:val="en"/>
        </w:rPr>
        <w:t>[Insert Table 3 about here]</w:t>
      </w:r>
    </w:p>
    <w:p w14:paraId="6F928127" w14:textId="31823475" w:rsidR="00EA1FCD" w:rsidRPr="002A1B53" w:rsidRDefault="00EA1FCD" w:rsidP="006652D2">
      <w:pPr>
        <w:pStyle w:val="Newparagraph"/>
        <w:contextualSpacing/>
      </w:pPr>
      <w:r w:rsidRPr="002A1B53">
        <w:t xml:space="preserve">As might be expected, </w:t>
      </w:r>
      <w:r w:rsidR="00334FE9">
        <w:t>being male and an older</w:t>
      </w:r>
      <w:r w:rsidRPr="002A1B53">
        <w:t xml:space="preserve"> teenager (16-18 years old) were</w:t>
      </w:r>
      <w:r w:rsidR="00E95557">
        <w:t xml:space="preserve"> </w:t>
      </w:r>
      <w:r w:rsidRPr="002A1B53">
        <w:t xml:space="preserve">associated with higher odds of being gang involved than </w:t>
      </w:r>
      <w:r w:rsidR="00CC7C4A">
        <w:t xml:space="preserve">being female </w:t>
      </w:r>
      <w:r w:rsidRPr="002A1B53">
        <w:t>and 12-15</w:t>
      </w:r>
      <w:r w:rsidR="00443268">
        <w:t>-</w:t>
      </w:r>
      <w:r w:rsidRPr="002A1B53">
        <w:t>year</w:t>
      </w:r>
      <w:r w:rsidR="00334FE9">
        <w:t>s</w:t>
      </w:r>
      <w:r w:rsidRPr="002A1B53">
        <w:t>-old,</w:t>
      </w:r>
      <w:r w:rsidR="00E95557">
        <w:t xml:space="preserve"> </w:t>
      </w:r>
      <w:r w:rsidRPr="002A1B53">
        <w:t xml:space="preserve">respectively. These effects remained significant until measures of street socialization and </w:t>
      </w:r>
      <w:r w:rsidR="00D34DA4">
        <w:t>attitudes towards violence</w:t>
      </w:r>
      <w:r w:rsidR="00397E78">
        <w:t xml:space="preserve"> (as a proxy for street identity) </w:t>
      </w:r>
      <w:r w:rsidRPr="002A1B53">
        <w:t>were introduced into the model, at which point, neither one’s gender nor age independently predicted gang membership.</w:t>
      </w:r>
    </w:p>
    <w:p w14:paraId="38E21E6C" w14:textId="7CB4B0CD" w:rsidR="00AE2D31" w:rsidRDefault="00EA1FCD" w:rsidP="006652D2">
      <w:pPr>
        <w:ind w:firstLine="720"/>
        <w:contextualSpacing/>
        <w:rPr>
          <w:lang w:val="en"/>
        </w:rPr>
      </w:pPr>
      <w:r w:rsidRPr="00EA1FCD">
        <w:rPr>
          <w:lang w:val="en"/>
        </w:rPr>
        <w:t>Country-level variables tapped into multiple constructs; however</w:t>
      </w:r>
      <w:r w:rsidR="00397E78">
        <w:rPr>
          <w:lang w:val="en"/>
        </w:rPr>
        <w:t>,</w:t>
      </w:r>
      <w:r w:rsidRPr="00EA1FCD">
        <w:rPr>
          <w:lang w:val="en"/>
        </w:rPr>
        <w:t xml:space="preserve"> there w</w:t>
      </w:r>
      <w:r w:rsidR="00E9318D">
        <w:rPr>
          <w:lang w:val="en"/>
        </w:rPr>
        <w:t xml:space="preserve">as only one predictor, </w:t>
      </w:r>
      <w:r w:rsidRPr="00EA1FCD">
        <w:rPr>
          <w:lang w:val="en"/>
        </w:rPr>
        <w:t>attitudes toward immigration, that w</w:t>
      </w:r>
      <w:r w:rsidR="00E9318D">
        <w:rPr>
          <w:lang w:val="en"/>
        </w:rPr>
        <w:t>as</w:t>
      </w:r>
      <w:r w:rsidRPr="00EA1FCD">
        <w:rPr>
          <w:lang w:val="en"/>
        </w:rPr>
        <w:t xml:space="preserve"> significantly related to gang membership. In general, when respondents lived in a country where </w:t>
      </w:r>
      <w:r w:rsidR="00D34DA4">
        <w:rPr>
          <w:lang w:val="en"/>
        </w:rPr>
        <w:t>the attitudes towards immigration were more positive, they were more likely to be gang involved than not</w:t>
      </w:r>
      <w:r w:rsidRPr="00D34DA4">
        <w:rPr>
          <w:lang w:val="en"/>
        </w:rPr>
        <w:t xml:space="preserve"> (</w:t>
      </w:r>
      <w:r w:rsidR="00D34DA4">
        <w:rPr>
          <w:lang w:val="en"/>
        </w:rPr>
        <w:t>o</w:t>
      </w:r>
      <w:r w:rsidRPr="00D34DA4">
        <w:rPr>
          <w:lang w:val="en"/>
        </w:rPr>
        <w:t>dds ratios ranging from 1.</w:t>
      </w:r>
      <w:r w:rsidR="00D34DA4" w:rsidRPr="004F4488">
        <w:rPr>
          <w:lang w:val="en"/>
        </w:rPr>
        <w:t>09</w:t>
      </w:r>
      <w:r w:rsidRPr="00D34DA4">
        <w:rPr>
          <w:lang w:val="en"/>
        </w:rPr>
        <w:t xml:space="preserve"> (p&lt;0.05) to 1.</w:t>
      </w:r>
      <w:r w:rsidR="00D34DA4" w:rsidRPr="004F4488">
        <w:rPr>
          <w:lang w:val="en"/>
        </w:rPr>
        <w:t>1</w:t>
      </w:r>
      <w:r w:rsidRPr="00D34DA4">
        <w:rPr>
          <w:lang w:val="en"/>
        </w:rPr>
        <w:t xml:space="preserve">2 (p&lt;0.01)). </w:t>
      </w:r>
    </w:p>
    <w:p w14:paraId="0A52A53F" w14:textId="430E4668" w:rsidR="00BD21D1" w:rsidRDefault="00B70374" w:rsidP="006652D2">
      <w:pPr>
        <w:ind w:firstLine="720"/>
        <w:contextualSpacing/>
        <w:rPr>
          <w:lang w:val="en"/>
        </w:rPr>
      </w:pPr>
      <w:r>
        <w:t>W</w:t>
      </w:r>
      <w:r w:rsidR="00EA1FCD" w:rsidRPr="002A1B53">
        <w:t xml:space="preserve">hether </w:t>
      </w:r>
      <w:r>
        <w:t>youth</w:t>
      </w:r>
      <w:r w:rsidR="00EA1FCD" w:rsidRPr="002A1B53">
        <w:t xml:space="preserve"> reported living with both parents versus some other living situation</w:t>
      </w:r>
      <w:r>
        <w:t xml:space="preserve"> </w:t>
      </w:r>
      <w:r w:rsidRPr="002A1B53">
        <w:t>(OR 0.89, p&lt;0.05)</w:t>
      </w:r>
      <w:r>
        <w:t>, and w</w:t>
      </w:r>
      <w:r w:rsidRPr="002A1B53">
        <w:t xml:space="preserve">hether </w:t>
      </w:r>
      <w:r>
        <w:t>they</w:t>
      </w:r>
      <w:r w:rsidRPr="002A1B53">
        <w:t xml:space="preserve"> reported having their own room versus sharing a room</w:t>
      </w:r>
      <w:r>
        <w:t xml:space="preserve"> </w:t>
      </w:r>
      <w:r w:rsidRPr="002A1B53">
        <w:t>(OR 1.16, p&lt;0.01),</w:t>
      </w:r>
      <w:r>
        <w:t xml:space="preserve"> </w:t>
      </w:r>
      <w:r w:rsidR="006862DA">
        <w:t>were the only economic marginalization variables that were significantly related to gang involvement</w:t>
      </w:r>
      <w:r>
        <w:t>,</w:t>
      </w:r>
      <w:r w:rsidR="002C5248">
        <w:t xml:space="preserve"> though this</w:t>
      </w:r>
      <w:r>
        <w:t xml:space="preserve"> latter</w:t>
      </w:r>
      <w:r w:rsidR="002C5248">
        <w:t xml:space="preserve"> effect </w:t>
      </w:r>
      <w:r w:rsidR="00EA1FCD" w:rsidRPr="002A1B53">
        <w:t xml:space="preserve">washed out once the predictors measuring street socialization and </w:t>
      </w:r>
      <w:r w:rsidR="004D794C">
        <w:t>attitudes towards violence</w:t>
      </w:r>
      <w:r w:rsidR="00EA1FCD" w:rsidRPr="002A1B53">
        <w:t xml:space="preserve"> were entered into the model.</w:t>
      </w:r>
      <w:r w:rsidR="00AE2D31">
        <w:rPr>
          <w:lang w:val="en"/>
        </w:rPr>
        <w:t xml:space="preserve"> </w:t>
      </w:r>
      <w:r w:rsidR="00BD21D1" w:rsidRPr="00BD21D1">
        <w:rPr>
          <w:lang w:val="en"/>
        </w:rPr>
        <w:t xml:space="preserve">All predictors associated with individual-level social marginalization were significantly related to gang membership, though only the variable measuring household language spoken remained significant in all models. When considering country context in addition to all other MM predictors </w:t>
      </w:r>
      <w:r w:rsidR="00397E78">
        <w:rPr>
          <w:lang w:val="en"/>
        </w:rPr>
        <w:t>included</w:t>
      </w:r>
      <w:r w:rsidR="00BD21D1" w:rsidRPr="00BD21D1">
        <w:rPr>
          <w:lang w:val="en"/>
        </w:rPr>
        <w:t xml:space="preserve"> in this study, youth who reported speaking the native language of their current country at home were 30% more likely than youth who reported speaking another language at home in </w:t>
      </w:r>
      <w:r w:rsidR="00BD21D1" w:rsidRPr="00BD21D1">
        <w:rPr>
          <w:lang w:val="en"/>
        </w:rPr>
        <w:lastRenderedPageBreak/>
        <w:t>being gang involved (OR 1.31, p&lt;0.001). This variable was also the only social marginalization variable that went in the opposite direction than was predicted. For instance, respondents reporting never having been discriminated against were less likely than their counterparts to be gang involved</w:t>
      </w:r>
      <w:r w:rsidR="002C5248">
        <w:rPr>
          <w:lang w:val="en"/>
        </w:rPr>
        <w:t xml:space="preserve"> </w:t>
      </w:r>
      <w:r w:rsidR="00BD21D1" w:rsidRPr="00BD21D1">
        <w:rPr>
          <w:lang w:val="en"/>
        </w:rPr>
        <w:t>(OR 0.8</w:t>
      </w:r>
      <w:r w:rsidR="00D34DA4">
        <w:rPr>
          <w:lang w:val="en"/>
        </w:rPr>
        <w:t>6</w:t>
      </w:r>
      <w:r w:rsidR="00BD21D1" w:rsidRPr="00BD21D1">
        <w:rPr>
          <w:lang w:val="en"/>
        </w:rPr>
        <w:t>, p&lt;0.0</w:t>
      </w:r>
      <w:r w:rsidR="00D34DA4">
        <w:rPr>
          <w:lang w:val="en"/>
        </w:rPr>
        <w:t>1</w:t>
      </w:r>
      <w:r w:rsidR="00BD21D1" w:rsidRPr="00BD21D1">
        <w:rPr>
          <w:lang w:val="en"/>
        </w:rPr>
        <w:t>)</w:t>
      </w:r>
      <w:r w:rsidR="002C5248">
        <w:rPr>
          <w:lang w:val="en"/>
        </w:rPr>
        <w:t xml:space="preserve">, and </w:t>
      </w:r>
      <w:r w:rsidR="00BD21D1" w:rsidRPr="00BD21D1">
        <w:rPr>
          <w:lang w:val="en"/>
        </w:rPr>
        <w:t>non-native youth whose friends were mostly native were also less likely than non-native youth w</w:t>
      </w:r>
      <w:r w:rsidR="00A76396">
        <w:rPr>
          <w:lang w:val="en"/>
        </w:rPr>
        <w:t>ith</w:t>
      </w:r>
      <w:r w:rsidR="00BD21D1" w:rsidRPr="00BD21D1">
        <w:rPr>
          <w:lang w:val="en"/>
        </w:rPr>
        <w:t xml:space="preserve"> mostly non-native friends at being gang involved</w:t>
      </w:r>
      <w:r w:rsidR="00A76396">
        <w:rPr>
          <w:lang w:val="en"/>
        </w:rPr>
        <w:t xml:space="preserve">, though these effects disappeared with the introduction of the </w:t>
      </w:r>
      <w:r w:rsidR="004D794C">
        <w:rPr>
          <w:lang w:val="en"/>
        </w:rPr>
        <w:t>attitudes towards violence</w:t>
      </w:r>
      <w:r w:rsidR="00A76396">
        <w:rPr>
          <w:lang w:val="en"/>
        </w:rPr>
        <w:t xml:space="preserve"> measures.</w:t>
      </w:r>
    </w:p>
    <w:p w14:paraId="0883D6A3" w14:textId="15AFE6FD" w:rsidR="00962492" w:rsidRPr="00BD21D1" w:rsidRDefault="052E1228" w:rsidP="006652D2">
      <w:pPr>
        <w:ind w:firstLine="720"/>
        <w:contextualSpacing/>
        <w:rPr>
          <w:lang w:val="en"/>
        </w:rPr>
      </w:pPr>
      <w:r w:rsidRPr="052E1228">
        <w:rPr>
          <w:lang w:val="en"/>
        </w:rPr>
        <w:t>The impact of neighborhood context on gang involvement was significant and negative for all models, though this effect decreased as more of the theoretical variables were entered into the model (Full model OR 0.79, p&lt;0.001). Ties to parents, particularly whether parents always knew a respondent’s friends when they went out were strong predictors of gang involvement (Full model OR 0.65, p&lt;0.001). There were multiple school-related variables that were significant predictors of gang membership. Those strongest predictors were never being truant (OR 0.44, p&lt;0.001), the amount of time spent on homework being an hour or more (OR 0.62, p&lt;0.001), and teachers noticing when respondents do well and saying so (OR 0.89, p&lt;0.01). The latter variable increased in predictive strength once street socialization was included in the model (Full model OR 0.83, p&lt;0.001). All street socialization variables were significant in the final models, controlling for all other predictors. Particularly strong predictors include if the respondent’s friend group did not use substances or ever shoplift items versus engaging in this behavior at least sometimes. Similarly, the attitudes towards violence variables were all significant predictors of gang membership, with the measure indicating the respondent would fight back if attacked being the largest in magnitude.</w:t>
      </w:r>
    </w:p>
    <w:p w14:paraId="068CCB75" w14:textId="7F94673D" w:rsidR="052E1228" w:rsidRDefault="052E1228" w:rsidP="006652D2">
      <w:pPr>
        <w:ind w:firstLine="720"/>
        <w:contextualSpacing/>
        <w:rPr>
          <w:lang w:val="en"/>
        </w:rPr>
      </w:pPr>
      <w:r w:rsidRPr="052E1228">
        <w:rPr>
          <w:color w:val="333333"/>
          <w:lang w:val="en"/>
        </w:rPr>
        <w:t xml:space="preserve">To assess for potential issues related to multicollinearity, </w:t>
      </w:r>
      <w:r w:rsidRPr="052E1228">
        <w:rPr>
          <w:lang w:val="en"/>
        </w:rPr>
        <w:t xml:space="preserve">Variance Inflation Factors (VIFs) were calculated after running the fully specified model. All VIFs were </w:t>
      </w:r>
      <w:r w:rsidRPr="052E1228">
        <w:rPr>
          <w:lang w:val="en"/>
        </w:rPr>
        <w:lastRenderedPageBreak/>
        <w:t xml:space="preserve">less than 3, with the exception of two dummy variables representing two categories of the parental work status variable, for which the VIFs were 5.7 and 5.9, suggesting multicollinearity is not a major issue in these models. </w:t>
      </w:r>
    </w:p>
    <w:p w14:paraId="61BD2E7A" w14:textId="16B184F6" w:rsidR="001B133C" w:rsidRPr="008D266A" w:rsidRDefault="00BD21D1" w:rsidP="006652D2">
      <w:pPr>
        <w:pStyle w:val="Heading2"/>
        <w:spacing w:line="480" w:lineRule="auto"/>
      </w:pPr>
      <w:r w:rsidRPr="008D266A">
        <w:rPr>
          <w:i w:val="0"/>
          <w:iCs w:val="0"/>
          <w:lang w:val="en"/>
        </w:rPr>
        <w:t>Model Fit</w:t>
      </w:r>
      <w:r w:rsidR="00F04A82" w:rsidRPr="008D266A">
        <w:rPr>
          <w:i w:val="0"/>
          <w:iCs w:val="0"/>
          <w:lang w:val="en"/>
        </w:rPr>
        <w:t xml:space="preserve"> </w:t>
      </w:r>
    </w:p>
    <w:p w14:paraId="661E60A3" w14:textId="3B62EC16" w:rsidR="00BD21D1" w:rsidRDefault="4758A04D" w:rsidP="006652D2">
      <w:pPr>
        <w:contextualSpacing/>
        <w:rPr>
          <w:lang w:val="en"/>
        </w:rPr>
      </w:pPr>
      <w:r w:rsidRPr="4758A04D">
        <w:rPr>
          <w:lang w:val="en"/>
        </w:rPr>
        <w:t xml:space="preserve">The level-2 variance of Model 1 was 0.2251, and this drops to 0.0877 by Model 8, a reduction of 61%. The BIC values of Models 1 through 8 suggest better fit with the inclusion of each set of variables, with the initial BIC in Model 1 being 28,748.21 and the BIC in Model 8 being 17,014.55, a drop of over 10,000. Model 9 shows the trade-offs of including the country-level variables. While the BIC of Model 9 dropped to 16,952.41 when the country-level variables were excluded, indicating a better model fit, the level-2 variance increased to 0.166. </w:t>
      </w:r>
      <w:proofErr w:type="gramStart"/>
      <w:r w:rsidRPr="4758A04D">
        <w:rPr>
          <w:lang w:val="en"/>
        </w:rPr>
        <w:t>So</w:t>
      </w:r>
      <w:proofErr w:type="gramEnd"/>
      <w:r w:rsidRPr="4758A04D">
        <w:rPr>
          <w:lang w:val="en"/>
        </w:rPr>
        <w:t xml:space="preserve"> while the model might be slightly better specified without them, a model including the country-level predictors can account for almost 50% more of the level-2 variation than one that includes only individual-level predictors.</w:t>
      </w:r>
    </w:p>
    <w:p w14:paraId="366E4D45" w14:textId="77777777" w:rsidR="00BD21D1" w:rsidRDefault="00BD21D1" w:rsidP="006652D2">
      <w:pPr>
        <w:pStyle w:val="Heading1"/>
        <w:spacing w:line="480" w:lineRule="auto"/>
        <w:jc w:val="center"/>
        <w:rPr>
          <w:lang w:val="en"/>
        </w:rPr>
      </w:pPr>
      <w:r w:rsidRPr="00BD21D1">
        <w:rPr>
          <w:lang w:val="en"/>
        </w:rPr>
        <w:t>Discussion</w:t>
      </w:r>
    </w:p>
    <w:p w14:paraId="409713CD" w14:textId="5D07E0B5" w:rsidR="0089491F" w:rsidRPr="00770C14" w:rsidRDefault="78A5F519" w:rsidP="006652D2">
      <w:pPr>
        <w:pStyle w:val="Newparagraph"/>
        <w:ind w:firstLine="0"/>
        <w:contextualSpacing/>
      </w:pPr>
      <w:r w:rsidRPr="78A5F519">
        <w:rPr>
          <w:lang w:val="en"/>
        </w:rPr>
        <w:t xml:space="preserve">The current research found partial support for the influence of country context on individual-level gang membership, and yielded some seemingly counterintuitive results. For instance, the economic context of countries did not matter much in predicting individual gang membership, at least in the current models. While we would intuit that countries with higher income inequality would facilitate some of the strain that marginalized youth feel, it might be that state-level context does not matter so much for individual-level strains compared to economic strains more locally felt (i.e. city or community-level). Additionally, there may be a moderation effect between economic disadvantage at the structural level and ethno-racial heterogeneity. For instance, </w:t>
      </w:r>
      <w:proofErr w:type="spellStart"/>
      <w:r w:rsidRPr="78A5F519">
        <w:rPr>
          <w:lang w:val="en"/>
        </w:rPr>
        <w:t>Pyrooz</w:t>
      </w:r>
      <w:proofErr w:type="spellEnd"/>
      <w:r w:rsidRPr="78A5F519">
        <w:rPr>
          <w:lang w:val="en"/>
        </w:rPr>
        <w:t xml:space="preserve">, </w:t>
      </w:r>
      <w:r w:rsidRPr="78A5F519">
        <w:rPr>
          <w:lang w:val="en"/>
        </w:rPr>
        <w:lastRenderedPageBreak/>
        <w:t>Fox, and Decker (2010) found that, at the state level, when racial heterogeneity is high, economic disadvantage matters more for gang formation than when heterogeneity is low</w:t>
      </w:r>
      <w:r>
        <w:t>.</w:t>
      </w:r>
    </w:p>
    <w:p w14:paraId="7EDF811A" w14:textId="756FD087" w:rsidR="00BD21D1" w:rsidRDefault="09B79ABC" w:rsidP="006652D2">
      <w:pPr>
        <w:pStyle w:val="Newparagraph"/>
        <w:contextualSpacing/>
        <w:rPr>
          <w:lang w:val="en"/>
        </w:rPr>
      </w:pPr>
      <w:r w:rsidRPr="09B79ABC">
        <w:rPr>
          <w:lang w:val="en"/>
        </w:rPr>
        <w:t xml:space="preserve">In addition, the direction of the relationship between country-level attitudes towards immigration and individual-level gang membership was surprising. Vigil (1988) does not discuss attitudes towards immigration in his model specifically, but he references the influence of historical racism and discrimination on social marginalization. Following this thread, we expected that youth living in countries where attitudes towards immigration were more negative than positive would be </w:t>
      </w:r>
      <w:r w:rsidRPr="09B79ABC">
        <w:rPr>
          <w:i/>
          <w:iCs/>
          <w:lang w:val="en"/>
        </w:rPr>
        <w:t>more</w:t>
      </w:r>
      <w:r w:rsidRPr="09B79ABC">
        <w:rPr>
          <w:lang w:val="en"/>
        </w:rPr>
        <w:t xml:space="preserve"> likely to be gang-involved, yet we found the opposite to be true. One reason could potentially be due to the implicit need for sufficient time to experience marginalization. Countries that have a historic or older migrant population relative to newer migrant populations (e.g. such as that brought on by refugees) may hold more positive attitudes towards immigration. If so, we should expect that migrant populations that have been in residence for longer would be more entrenched in the society and thus have more time to experience the economic and social marginalization processes that Vigil (1988) discusses. Alternatively, measures of the migrant population’s race or skin color might explain the positive effect of immigration attitudes on gang </w:t>
      </w:r>
      <w:proofErr w:type="spellStart"/>
      <w:proofErr w:type="gramStart"/>
      <w:r w:rsidRPr="09B79ABC">
        <w:rPr>
          <w:lang w:val="en"/>
        </w:rPr>
        <w:t>membership:for</w:t>
      </w:r>
      <w:proofErr w:type="spellEnd"/>
      <w:proofErr w:type="gramEnd"/>
      <w:r w:rsidRPr="09B79ABC">
        <w:rPr>
          <w:lang w:val="en"/>
        </w:rPr>
        <w:t xml:space="preserve"> instance, if positive attitudes towards immigrants is specific to those migrating from certain regions, such as Western Europe versus Middle East/North Africa. The current study may be missing key predictors at the country level related to race, skin color, or ethno-racial heterogeneity that should be included in future iterations of this model.</w:t>
      </w:r>
    </w:p>
    <w:p w14:paraId="4F25E177" w14:textId="5D9FB524" w:rsidR="00BD21D1" w:rsidRPr="00BD21D1" w:rsidRDefault="78A5F519" w:rsidP="006652D2">
      <w:pPr>
        <w:pStyle w:val="Newparagraph"/>
        <w:contextualSpacing/>
        <w:rPr>
          <w:lang w:val="en"/>
        </w:rPr>
      </w:pPr>
      <w:r w:rsidRPr="78A5F519">
        <w:rPr>
          <w:lang w:val="en"/>
        </w:rPr>
        <w:t xml:space="preserve">Consistent with </w:t>
      </w:r>
      <w:proofErr w:type="spellStart"/>
      <w:r w:rsidRPr="78A5F519">
        <w:rPr>
          <w:lang w:val="en"/>
        </w:rPr>
        <w:t>Freng</w:t>
      </w:r>
      <w:proofErr w:type="spellEnd"/>
      <w:r w:rsidRPr="78A5F519">
        <w:rPr>
          <w:lang w:val="en"/>
        </w:rPr>
        <w:t xml:space="preserve"> and </w:t>
      </w:r>
      <w:proofErr w:type="spellStart"/>
      <w:r w:rsidRPr="78A5F519">
        <w:rPr>
          <w:lang w:val="en"/>
        </w:rPr>
        <w:t>Esbensen’s</w:t>
      </w:r>
      <w:proofErr w:type="spellEnd"/>
      <w:r w:rsidRPr="78A5F519">
        <w:rPr>
          <w:lang w:val="en"/>
        </w:rPr>
        <w:t xml:space="preserve"> (2007) findings, some measures of economic marginalization, social marginalization, parental and school ties, street socialization, and </w:t>
      </w:r>
      <w:r w:rsidRPr="004F4488">
        <w:rPr>
          <w:lang w:val="en"/>
        </w:rPr>
        <w:t>attitudes towards violence/neutralizations</w:t>
      </w:r>
      <w:r w:rsidRPr="78A5F519">
        <w:rPr>
          <w:lang w:val="en"/>
        </w:rPr>
        <w:t xml:space="preserve"> were found to be </w:t>
      </w:r>
      <w:r w:rsidRPr="78A5F519">
        <w:rPr>
          <w:lang w:val="en"/>
        </w:rPr>
        <w:lastRenderedPageBreak/>
        <w:t>significantly related to gang membership. Our finding about the positive impact of alternative language spoken at home was particularly interesting because it is consistent with what Vigil has suggested in regards to culture as a protective factor for gang membership (Vigil, 1979) and results from prior studies (</w:t>
      </w:r>
      <w:proofErr w:type="spellStart"/>
      <w:r w:rsidRPr="78A5F519">
        <w:rPr>
          <w:lang w:val="en"/>
        </w:rPr>
        <w:t>Krohn</w:t>
      </w:r>
      <w:proofErr w:type="spellEnd"/>
      <w:r w:rsidRPr="78A5F519">
        <w:rPr>
          <w:lang w:val="en"/>
        </w:rPr>
        <w:t xml:space="preserve"> et al., 2011), yet it contradicts findings from other scholars that the more acculturated a youth is (including more Anglo-oriented), the less likely they are to report gang involvement (Ventura Miller et al., 2011). Our finding hearkens back to Vigil’s concepts of </w:t>
      </w:r>
      <w:proofErr w:type="spellStart"/>
      <w:r w:rsidRPr="78A5F519">
        <w:rPr>
          <w:lang w:val="en"/>
        </w:rPr>
        <w:t>Choloization</w:t>
      </w:r>
      <w:proofErr w:type="spellEnd"/>
      <w:r w:rsidRPr="78A5F519">
        <w:rPr>
          <w:lang w:val="en"/>
        </w:rPr>
        <w:t xml:space="preserve"> in the context of Mexican-American youth, where he found that individuals who were more Anglicized or more Chicano (i.e. somewhere “between” Mexican and American culture) were more likely to be gang involved than the nativist Mexican youth (Vigil, 1979).</w:t>
      </w:r>
    </w:p>
    <w:p w14:paraId="7B476EFD" w14:textId="1FA3B26E" w:rsidR="00BD21D1" w:rsidRPr="00BD21D1" w:rsidRDefault="00BD21D1" w:rsidP="006652D2">
      <w:pPr>
        <w:pStyle w:val="Newparagraph"/>
        <w:contextualSpacing/>
        <w:rPr>
          <w:b/>
          <w:bCs/>
          <w:lang w:val="en"/>
        </w:rPr>
      </w:pPr>
      <w:r w:rsidRPr="00BD21D1">
        <w:rPr>
          <w:lang w:val="en"/>
        </w:rPr>
        <w:t>The importance of neighborhood context in these models is consistent with what some scholars have found in regards to collective monitoring on gang members’ delinquency and substance use (Quinn, Walsh, &amp; Dickinson-Gomez, 2018). The findings from the current research shed light on the importance of community contextual factors, and may even point towards the relevance of other controls (</w:t>
      </w:r>
      <w:proofErr w:type="spellStart"/>
      <w:r w:rsidRPr="00BD21D1">
        <w:rPr>
          <w:lang w:val="en"/>
        </w:rPr>
        <w:t>Bursik</w:t>
      </w:r>
      <w:proofErr w:type="spellEnd"/>
      <w:r w:rsidRPr="00BD21D1">
        <w:rPr>
          <w:lang w:val="en"/>
        </w:rPr>
        <w:t xml:space="preserve"> &amp; </w:t>
      </w:r>
      <w:proofErr w:type="spellStart"/>
      <w:r w:rsidRPr="00BD21D1">
        <w:rPr>
          <w:lang w:val="en"/>
        </w:rPr>
        <w:t>Grasmi</w:t>
      </w:r>
      <w:r w:rsidR="00710B3F">
        <w:rPr>
          <w:lang w:val="en"/>
        </w:rPr>
        <w:t>c</w:t>
      </w:r>
      <w:r w:rsidRPr="00BD21D1">
        <w:rPr>
          <w:lang w:val="en"/>
        </w:rPr>
        <w:t>k</w:t>
      </w:r>
      <w:proofErr w:type="spellEnd"/>
      <w:r w:rsidRPr="00BD21D1">
        <w:rPr>
          <w:lang w:val="en"/>
        </w:rPr>
        <w:t>, 1993) in predicting gang involvement, as opposed to just those exerted by family, school and law enforcement</w:t>
      </w:r>
      <w:r w:rsidR="00AE2D31">
        <w:rPr>
          <w:lang w:val="en"/>
        </w:rPr>
        <w:t xml:space="preserve"> as specified in Vigil’s model. </w:t>
      </w:r>
      <w:r w:rsidRPr="00BD21D1">
        <w:rPr>
          <w:lang w:val="en"/>
        </w:rPr>
        <w:t xml:space="preserve"> </w:t>
      </w:r>
    </w:p>
    <w:p w14:paraId="7E79DB2A" w14:textId="00598EB4" w:rsidR="00BD21D1" w:rsidRPr="00BD21D1" w:rsidRDefault="00BD21D1" w:rsidP="006652D2">
      <w:pPr>
        <w:pStyle w:val="Newparagraph"/>
        <w:contextualSpacing/>
        <w:rPr>
          <w:i/>
          <w:iCs/>
          <w:lang w:val="en"/>
        </w:rPr>
      </w:pPr>
      <w:r w:rsidRPr="00BD21D1">
        <w:rPr>
          <w:lang w:val="en"/>
        </w:rPr>
        <w:t xml:space="preserve">While mostly in line with </w:t>
      </w:r>
      <w:proofErr w:type="spellStart"/>
      <w:r w:rsidRPr="00BD21D1">
        <w:rPr>
          <w:lang w:val="en"/>
        </w:rPr>
        <w:t>Freng</w:t>
      </w:r>
      <w:proofErr w:type="spellEnd"/>
      <w:r w:rsidRPr="00BD21D1">
        <w:rPr>
          <w:lang w:val="en"/>
        </w:rPr>
        <w:t xml:space="preserve"> and </w:t>
      </w:r>
      <w:proofErr w:type="spellStart"/>
      <w:r w:rsidRPr="00BD21D1">
        <w:rPr>
          <w:lang w:val="en"/>
        </w:rPr>
        <w:t>Esbensen’s</w:t>
      </w:r>
      <w:proofErr w:type="spellEnd"/>
      <w:r w:rsidRPr="00BD21D1">
        <w:rPr>
          <w:lang w:val="en"/>
        </w:rPr>
        <w:t xml:space="preserve"> (2007) findings, some of our social control findings contrasted those of previous tests of MM. We found that parental monitoring (in the form of parents knowing who their children are out with) was a significant predictor, which contradicts </w:t>
      </w:r>
      <w:proofErr w:type="spellStart"/>
      <w:r w:rsidRPr="00BD21D1">
        <w:rPr>
          <w:lang w:val="en"/>
        </w:rPr>
        <w:t>Krohn</w:t>
      </w:r>
      <w:proofErr w:type="spellEnd"/>
      <w:r w:rsidRPr="00BD21D1">
        <w:rPr>
          <w:lang w:val="en"/>
        </w:rPr>
        <w:t xml:space="preserve"> and colleagues (2011), who did not find any significance of parental monitoring in their longitudinal test of the MM framework. For ties to school, we found that variables related to school commitment and school attachment were significantly related to gang membership across all the models, while </w:t>
      </w:r>
      <w:r w:rsidRPr="00BD21D1">
        <w:rPr>
          <w:lang w:val="en"/>
        </w:rPr>
        <w:lastRenderedPageBreak/>
        <w:t xml:space="preserve">those more related to achievement dropped out once street socialization was taken into account. The significance of school commitment is in line with </w:t>
      </w:r>
      <w:proofErr w:type="spellStart"/>
      <w:r w:rsidRPr="00BD21D1">
        <w:rPr>
          <w:lang w:val="en"/>
        </w:rPr>
        <w:t>Freng</w:t>
      </w:r>
      <w:proofErr w:type="spellEnd"/>
      <w:r w:rsidRPr="00BD21D1">
        <w:rPr>
          <w:lang w:val="en"/>
        </w:rPr>
        <w:t xml:space="preserve"> and </w:t>
      </w:r>
      <w:proofErr w:type="spellStart"/>
      <w:r w:rsidRPr="00BD21D1">
        <w:rPr>
          <w:lang w:val="en"/>
        </w:rPr>
        <w:t>Esbensen’s</w:t>
      </w:r>
      <w:proofErr w:type="spellEnd"/>
      <w:r w:rsidRPr="00BD21D1">
        <w:rPr>
          <w:lang w:val="en"/>
        </w:rPr>
        <w:t xml:space="preserve"> (2007) findings, but non-significance was found in other studies (</w:t>
      </w:r>
      <w:proofErr w:type="spellStart"/>
      <w:r w:rsidRPr="00BD21D1">
        <w:rPr>
          <w:lang w:val="en"/>
        </w:rPr>
        <w:t>Krohn</w:t>
      </w:r>
      <w:proofErr w:type="spellEnd"/>
      <w:r w:rsidRPr="00BD21D1">
        <w:rPr>
          <w:lang w:val="en"/>
        </w:rPr>
        <w:t xml:space="preserve"> et al., 2011; Drake &amp; </w:t>
      </w:r>
      <w:proofErr w:type="spellStart"/>
      <w:r w:rsidRPr="00BD21D1">
        <w:rPr>
          <w:lang w:val="en"/>
        </w:rPr>
        <w:t>Melde</w:t>
      </w:r>
      <w:proofErr w:type="spellEnd"/>
      <w:r w:rsidRPr="00BD21D1">
        <w:rPr>
          <w:lang w:val="en"/>
        </w:rPr>
        <w:t xml:space="preserve">, 2014). </w:t>
      </w:r>
    </w:p>
    <w:p w14:paraId="23D9D2D2" w14:textId="1C62A3D6" w:rsidR="00BD21D1" w:rsidRPr="00BD21D1" w:rsidRDefault="78A5F519" w:rsidP="006652D2">
      <w:pPr>
        <w:pStyle w:val="Newparagraph"/>
        <w:contextualSpacing/>
        <w:rPr>
          <w:lang w:val="en"/>
        </w:rPr>
      </w:pPr>
      <w:r w:rsidRPr="78A5F519">
        <w:rPr>
          <w:lang w:val="en"/>
        </w:rPr>
        <w:t xml:space="preserve">All of the street socialization and attitudes towards violence variables included in this analysis were highly significant predictors in the models. However, the issue with these variables in cross-sectional data is that we cannot account for time ordering. We know that these friend-group behaviors and attitudes are significantly related to gang membership, but we cannot prove that they came before entrance into a gang. This issue was highlighted by Drake and </w:t>
      </w:r>
      <w:proofErr w:type="spellStart"/>
      <w:r w:rsidRPr="78A5F519">
        <w:rPr>
          <w:lang w:val="en"/>
        </w:rPr>
        <w:t>Melde</w:t>
      </w:r>
      <w:proofErr w:type="spellEnd"/>
      <w:r w:rsidRPr="78A5F519">
        <w:rPr>
          <w:lang w:val="en"/>
        </w:rPr>
        <w:t xml:space="preserve"> (2014), who found that their street socialization variable of being in the presence of alcohol or drugs with friends, along with variables measuring neutralizations, were significant in a cross-sectional model, but not in a time-lagged model. </w:t>
      </w:r>
    </w:p>
    <w:p w14:paraId="1EC45D50" w14:textId="59E0F0AF" w:rsidR="00454851" w:rsidRDefault="4758A04D" w:rsidP="006652D2">
      <w:pPr>
        <w:pStyle w:val="Newparagraph"/>
        <w:contextualSpacing/>
        <w:rPr>
          <w:lang w:val="en"/>
        </w:rPr>
      </w:pPr>
      <w:r w:rsidRPr="4758A04D">
        <w:rPr>
          <w:lang w:val="en"/>
        </w:rPr>
        <w:t xml:space="preserve">The analyses presented here find some support for Vigil’s model, and some evidence of external validity. Gang research has long acknowledged the role of marginalization in predicting gang membership, and we can see this is no less important in non-U.S. contexts. Our model results also speak to the relative importance of individual-level factors in explaining why some youth become gang involved while others do not. At the same time, it is evident that accounting for broader context is also important in explaining variations in gang joining. Although only one country-level predictor included in this model was significant, their inclusion as a whole helped explain 50% more of the variation in gang membership between countries than just individual-level predictors alone. </w:t>
      </w:r>
    </w:p>
    <w:p w14:paraId="722DDAC3" w14:textId="4C3EB444" w:rsidR="00454851" w:rsidRDefault="4758A04D" w:rsidP="006652D2">
      <w:pPr>
        <w:pStyle w:val="Newparagraph"/>
        <w:contextualSpacing/>
        <w:rPr>
          <w:lang w:val="en"/>
        </w:rPr>
      </w:pPr>
      <w:r w:rsidRPr="4758A04D">
        <w:rPr>
          <w:lang w:val="en"/>
        </w:rPr>
        <w:t xml:space="preserve">Perhaps more importantly from a policy perspective is the effect that neighborhoods had on gang involvement in our models. Youths’ own perceptions of </w:t>
      </w:r>
      <w:r w:rsidRPr="4758A04D">
        <w:rPr>
          <w:lang w:val="en"/>
        </w:rPr>
        <w:lastRenderedPageBreak/>
        <w:t xml:space="preserve">neighborhood context was an important predictor of their belonging to a gang, even in light of their relationship with their family and school. While Vigil (2010) has often emphasized better equipping schools and parents as socializing institutions to keep youth from gang life, our models suggest further attention should be paid to strengthening communities in general as socializing institutions. The notable effect of culture as indicated by language spoken at home further suggests policies geared towards maintaining cultural ties for minority youth. Supplementing communities with culture-specific organizations or increasing the cultural competency of public schools (Vigil, 2010) may serve as protective forces against youth gang involvement. </w:t>
      </w:r>
    </w:p>
    <w:p w14:paraId="2E28E08C" w14:textId="77777777" w:rsidR="00BD21D1" w:rsidRPr="008D266A" w:rsidRDefault="00BD21D1" w:rsidP="006652D2">
      <w:pPr>
        <w:pStyle w:val="Heading2"/>
        <w:spacing w:line="480" w:lineRule="auto"/>
        <w:rPr>
          <w:i w:val="0"/>
          <w:iCs w:val="0"/>
        </w:rPr>
      </w:pPr>
      <w:r w:rsidRPr="008D266A">
        <w:rPr>
          <w:i w:val="0"/>
          <w:iCs w:val="0"/>
        </w:rPr>
        <w:t>Limitations</w:t>
      </w:r>
    </w:p>
    <w:p w14:paraId="4B696FE0" w14:textId="5A3BFFCB" w:rsidR="00BD21D1" w:rsidRPr="00BD21D1" w:rsidRDefault="4758A04D" w:rsidP="006652D2">
      <w:pPr>
        <w:pStyle w:val="Newparagraph"/>
        <w:ind w:firstLine="0"/>
        <w:contextualSpacing/>
        <w:rPr>
          <w:lang w:val="en"/>
        </w:rPr>
      </w:pPr>
      <w:r w:rsidRPr="4758A04D">
        <w:rPr>
          <w:lang w:val="en"/>
        </w:rPr>
        <w:t xml:space="preserve">There were several limitations to the current study that require mention, primarily related to our use of secondary cross-sectional data. First, we were constrained to the specific wording and questions asked in the original survey. The current study was unable to measure youth ties to law enforcement. Thus, this source of social control was not accounted for in our models. Even for those variables we were able to include, these measures are imperfect, and do not capture the full essence of the MM framework’s qualitative components. Items were taken from scales meant to test other criminological theories and constructs, and their wording reflects that. However, these measures allowed exploration of this complex framework of gang membership incorporating macro- and micro-level factors, even if in a more simplistic manner than desired. </w:t>
      </w:r>
    </w:p>
    <w:p w14:paraId="050BA39A" w14:textId="7D4FC85D" w:rsidR="00BD21D1" w:rsidRPr="00BD21D1" w:rsidRDefault="4758A04D" w:rsidP="006652D2">
      <w:pPr>
        <w:pStyle w:val="Newparagraph"/>
        <w:contextualSpacing/>
        <w:rPr>
          <w:lang w:val="en"/>
        </w:rPr>
      </w:pPr>
      <w:r w:rsidRPr="4758A04D">
        <w:rPr>
          <w:lang w:val="en"/>
        </w:rPr>
        <w:t xml:space="preserve">Next, as mentioned above, due to the cross-sectional nature of these data we are unable to establish time-ordering in our models. It may be the case that youth who are gang-involved are more inclined to report poor family ties, engaging in deviant peer activities, and so on. This concern is well supported by Drake and </w:t>
      </w:r>
      <w:proofErr w:type="spellStart"/>
      <w:r w:rsidRPr="4758A04D">
        <w:rPr>
          <w:lang w:val="en"/>
        </w:rPr>
        <w:t>Melde’s</w:t>
      </w:r>
      <w:proofErr w:type="spellEnd"/>
      <w:r w:rsidRPr="4758A04D">
        <w:rPr>
          <w:lang w:val="en"/>
        </w:rPr>
        <w:t xml:space="preserve"> (2014) study </w:t>
      </w:r>
      <w:r w:rsidRPr="4758A04D">
        <w:rPr>
          <w:lang w:val="en"/>
        </w:rPr>
        <w:lastRenderedPageBreak/>
        <w:t xml:space="preserve">of MM and gang formation, in which they found different results depending on whether their model was a cross-sectional versus a time-lagged test. The dynamic nature of Vigil’s (1988; 2002) framework may lend itself better to a longitudinal assessment. </w:t>
      </w:r>
    </w:p>
    <w:p w14:paraId="730EB0A9" w14:textId="7B56E3DC" w:rsidR="00BD21D1" w:rsidRDefault="052E1228" w:rsidP="006652D2">
      <w:pPr>
        <w:pStyle w:val="Newparagraph"/>
        <w:contextualSpacing/>
        <w:rPr>
          <w:lang w:val="en"/>
        </w:rPr>
      </w:pPr>
      <w:r w:rsidRPr="052E1228">
        <w:rPr>
          <w:lang w:val="en"/>
        </w:rPr>
        <w:t>Finally, we found that country-level variation was important in predicting individual-level gang membership; however, future research should incorporate different or additional country-level predictors than were possible with the current models. In particular, there may be more suitable measures of poverty that can be incorporated in future analyses, such as the AROPE (at risk of poverty and social exclusion) measure that is available</w:t>
      </w:r>
      <w:r w:rsidRPr="004F4488">
        <w:rPr>
          <w:lang w:val="en"/>
        </w:rPr>
        <w:t xml:space="preserve"> through the European Union Survey of Income and Living C</w:t>
      </w:r>
      <w:r w:rsidRPr="052E1228">
        <w:rPr>
          <w:lang w:val="en"/>
        </w:rPr>
        <w:t xml:space="preserve">onditions (EU-SILC) (Eurostat, n.d.). Unfortunately, the AROPE measure was not available for all countries in our sample, and thus we were constrained to use the most inclusive, albeit imperfect measure of national poverty, but sensitivity analyses conducted with a more limited sample for which AROPE estimates were available showed that poverty, as measured more appropriately, may be an important country-level predictor of gang membership in this framework. Importantly, incorporating measures of race and ethnicity as well as ethno-racial heterogeneity would be valuable for future specifications of this model, both at the country level and individual level. While </w:t>
      </w:r>
      <w:proofErr w:type="spellStart"/>
      <w:r w:rsidRPr="052E1228">
        <w:rPr>
          <w:lang w:val="en"/>
        </w:rPr>
        <w:t>Pyrooz</w:t>
      </w:r>
      <w:proofErr w:type="spellEnd"/>
      <w:r w:rsidRPr="052E1228">
        <w:rPr>
          <w:lang w:val="en"/>
        </w:rPr>
        <w:t xml:space="preserve"> and colleagues (2010) point to the importance of structural ethno-racial heterogeneity, other findings that MM predictors vary across ethno-racial group in the US might apply similarly in other countries as well. Despite these limitations, however, this study provides value in being the most complete quantitative assessment of Vigil’s (1988) MM framework to date, and is able to provide partial support for some of the components outlined in the MM model.</w:t>
      </w:r>
    </w:p>
    <w:p w14:paraId="159C30DE" w14:textId="77777777" w:rsidR="00573F71" w:rsidRDefault="00BD21D1" w:rsidP="006652D2">
      <w:pPr>
        <w:pStyle w:val="Heading1"/>
        <w:spacing w:line="480" w:lineRule="auto"/>
        <w:jc w:val="center"/>
        <w:rPr>
          <w:lang w:val="en"/>
        </w:rPr>
      </w:pPr>
      <w:r w:rsidRPr="00BD21D1">
        <w:rPr>
          <w:lang w:val="en"/>
        </w:rPr>
        <w:lastRenderedPageBreak/>
        <w:t>Conclusion</w:t>
      </w:r>
    </w:p>
    <w:p w14:paraId="240B76AA" w14:textId="736F69B8" w:rsidR="00BD21D1" w:rsidRDefault="00BD21D1" w:rsidP="006652D2">
      <w:pPr>
        <w:pStyle w:val="Paragraph"/>
        <w:contextualSpacing/>
        <w:rPr>
          <w:lang w:val="en"/>
        </w:rPr>
      </w:pPr>
      <w:r w:rsidRPr="00BD21D1">
        <w:rPr>
          <w:lang w:val="en"/>
        </w:rPr>
        <w:t>The veracity of Vigil’s (2002) model of minority youth gang involvement is important to assess because of the large share of street gangs who are minority youth (</w:t>
      </w:r>
      <w:r w:rsidR="009C1AF8">
        <w:rPr>
          <w:lang w:val="en"/>
        </w:rPr>
        <w:t>Howell, 2015</w:t>
      </w:r>
      <w:r w:rsidRPr="00BD21D1">
        <w:rPr>
          <w:lang w:val="en"/>
        </w:rPr>
        <w:t xml:space="preserve">). Quantitatively testing key variables related to marginalization, especially in a diverse sample of nations and youth, can tell us whether we are hitting the mark with regard to the processes by which many minority </w:t>
      </w:r>
      <w:proofErr w:type="gramStart"/>
      <w:r w:rsidRPr="00BD21D1">
        <w:rPr>
          <w:lang w:val="en"/>
        </w:rPr>
        <w:t>youth</w:t>
      </w:r>
      <w:proofErr w:type="gramEnd"/>
      <w:r w:rsidRPr="00BD21D1">
        <w:rPr>
          <w:lang w:val="en"/>
        </w:rPr>
        <w:t xml:space="preserve"> join gangs. Overall, this study found support for many factors involved in Vigil’s MM framework, although the study is limited by cross-sectional data in terms of testing the exact dynamics proposed. Across nineteen European countries, elements of the MM framework were found to significantly predict gang membership, as defined by the </w:t>
      </w:r>
      <w:proofErr w:type="spellStart"/>
      <w:r w:rsidRPr="00BD21D1">
        <w:rPr>
          <w:lang w:val="en"/>
        </w:rPr>
        <w:t>Eurogang</w:t>
      </w:r>
      <w:proofErr w:type="spellEnd"/>
      <w:r w:rsidRPr="00BD21D1">
        <w:rPr>
          <w:lang w:val="en"/>
        </w:rPr>
        <w:t xml:space="preserve"> consensus group. Our findings also indicate that including country-level predictors is important in understanding gang membership across different country contexts, although future research should attempt to incorporate different measures such as ethno-racial heterogeneity. Future research should also look at how the framework functions within each country, and whether it fits similarly well. Although longitudinal research is unlikely to be accomplished at the scale of this research, longitudinal assessment in a context outside of the US would be helpful in understanding whether the dynamics Vigil proposes translate across national contexts.</w:t>
      </w:r>
    </w:p>
    <w:p w14:paraId="66D40C35" w14:textId="7EA47C09" w:rsidR="00BD21D1" w:rsidRDefault="00BD21D1" w:rsidP="006652D2">
      <w:pPr>
        <w:contextualSpacing/>
        <w:rPr>
          <w:lang w:val="en"/>
        </w:rPr>
      </w:pPr>
    </w:p>
    <w:p w14:paraId="4DAF1E63" w14:textId="52CAC50A" w:rsidR="00703151" w:rsidRPr="00F04A82" w:rsidRDefault="00703151" w:rsidP="006652D2">
      <w:pPr>
        <w:contextualSpacing/>
        <w:rPr>
          <w:b/>
          <w:bCs/>
        </w:rPr>
      </w:pPr>
      <w:r w:rsidRPr="008D266A">
        <w:rPr>
          <w:b/>
          <w:bCs/>
        </w:rPr>
        <w:t>Notes</w:t>
      </w:r>
    </w:p>
    <w:p w14:paraId="19248AC2" w14:textId="566448EA" w:rsidR="00385F2D" w:rsidRDefault="00385F2D" w:rsidP="006652D2">
      <w:pPr>
        <w:contextualSpacing/>
        <w:rPr>
          <w:lang w:val="en"/>
        </w:rPr>
      </w:pPr>
      <w:r>
        <w:rPr>
          <w:lang w:val="en"/>
        </w:rPr>
        <w:t xml:space="preserve">1. </w:t>
      </w:r>
      <w:r w:rsidRPr="00385F2D">
        <w:t>According to Vigil (1999), “</w:t>
      </w:r>
      <w:r w:rsidRPr="00385F2D">
        <w:rPr>
          <w:i/>
          <w:iCs/>
        </w:rPr>
        <w:t xml:space="preserve">Cholo” </w:t>
      </w:r>
      <w:r w:rsidRPr="00385F2D">
        <w:t xml:space="preserve">is derived from the Spanish </w:t>
      </w:r>
      <w:r w:rsidRPr="00385F2D">
        <w:rPr>
          <w:i/>
          <w:iCs/>
        </w:rPr>
        <w:t xml:space="preserve">solo </w:t>
      </w:r>
      <w:r w:rsidRPr="00385F2D">
        <w:t xml:space="preserve">(alone), and has been used to describe a sense of racial and cultural marginality experienced by natives during the early Spanish colonial period. Today, it is a label depicting a street lifestyle, particularly among gang members who are marginalized from mainstream society” (p. 271). </w:t>
      </w:r>
      <w:proofErr w:type="spellStart"/>
      <w:r w:rsidRPr="00385F2D">
        <w:t>Choloization</w:t>
      </w:r>
      <w:proofErr w:type="spellEnd"/>
      <w:r w:rsidRPr="00385F2D">
        <w:t xml:space="preserve"> refers to a process by which marginalized individuals fail to fully </w:t>
      </w:r>
      <w:r w:rsidRPr="00385F2D">
        <w:lastRenderedPageBreak/>
        <w:t>assimilate to Anglo culture, adopting instead a cholo identity and lifestyle (Vigil, 1988; Lopez and Brummett, 2003).</w:t>
      </w:r>
    </w:p>
    <w:p w14:paraId="68837247" w14:textId="4F707BDD" w:rsidR="00703151" w:rsidRPr="00F04A82" w:rsidRDefault="4758A04D" w:rsidP="006652D2">
      <w:pPr>
        <w:contextualSpacing/>
        <w:rPr>
          <w:lang w:val="en"/>
        </w:rPr>
      </w:pPr>
      <w:r w:rsidRPr="4758A04D">
        <w:rPr>
          <w:lang w:val="en"/>
        </w:rPr>
        <w:t>2. Their models excluded macro-historical and macro-structural forces, and the authors rationalized this by saying Vigil (2002) himself said it would be difficult to impact these forces through intervention.</w:t>
      </w:r>
    </w:p>
    <w:p w14:paraId="5C09C5CD" w14:textId="294C9A63" w:rsidR="00703151" w:rsidRPr="00F04A82" w:rsidRDefault="4758A04D" w:rsidP="006652D2">
      <w:pPr>
        <w:contextualSpacing/>
        <w:rPr>
          <w:lang w:val="en-US"/>
        </w:rPr>
      </w:pPr>
      <w:r w:rsidRPr="4758A04D">
        <w:rPr>
          <w:lang w:val="en-US"/>
        </w:rPr>
        <w:t xml:space="preserve">3. As will be shown in Table 2, although </w:t>
      </w:r>
      <w:proofErr w:type="gramStart"/>
      <w:r w:rsidRPr="4758A04D">
        <w:rPr>
          <w:lang w:val="en-US"/>
        </w:rPr>
        <w:t>12-15 year-olds</w:t>
      </w:r>
      <w:proofErr w:type="gramEnd"/>
      <w:r w:rsidRPr="4758A04D">
        <w:rPr>
          <w:lang w:val="en-US"/>
        </w:rPr>
        <w:t xml:space="preserve"> may have been the target sample, sixteen to eighteen year-olds ended up comprising about 8% of the total sample.</w:t>
      </w:r>
    </w:p>
    <w:p w14:paraId="03FB2C8C" w14:textId="7ACB9E47" w:rsidR="00703151" w:rsidRPr="008D266A" w:rsidRDefault="4758A04D" w:rsidP="006652D2">
      <w:pPr>
        <w:contextualSpacing/>
      </w:pPr>
      <w:r>
        <w:t xml:space="preserve">4. </w:t>
      </w:r>
      <w:hyperlink r:id="rId8">
        <w:r w:rsidRPr="4758A04D">
          <w:rPr>
            <w:rStyle w:val="Hyperlink"/>
          </w:rPr>
          <w:t>https://www.europeansocialsurvey.org/</w:t>
        </w:r>
      </w:hyperlink>
    </w:p>
    <w:p w14:paraId="7E89B53F" w14:textId="70841395" w:rsidR="00703151" w:rsidRPr="00F04A82" w:rsidRDefault="4758A04D" w:rsidP="006652D2">
      <w:pPr>
        <w:contextualSpacing/>
      </w:pPr>
      <w:r>
        <w:t>5. Previous studies did not include this question, and while they do not explicitly explain why, we believe it is because it was not asked in France (</w:t>
      </w:r>
      <w:proofErr w:type="spellStart"/>
      <w:r>
        <w:t>Gatti</w:t>
      </w:r>
      <w:proofErr w:type="spellEnd"/>
      <w:r>
        <w:t xml:space="preserve">, </w:t>
      </w:r>
      <w:proofErr w:type="spellStart"/>
      <w:r>
        <w:t>Haymoz</w:t>
      </w:r>
      <w:proofErr w:type="spellEnd"/>
      <w:r>
        <w:t xml:space="preserve">, &amp; </w:t>
      </w:r>
      <w:proofErr w:type="spellStart"/>
      <w:r>
        <w:t>Schadee</w:t>
      </w:r>
      <w:proofErr w:type="spellEnd"/>
      <w:r>
        <w:t xml:space="preserve">, 2011; </w:t>
      </w:r>
      <w:proofErr w:type="spellStart"/>
      <w:r>
        <w:t>Haymoz</w:t>
      </w:r>
      <w:proofErr w:type="spellEnd"/>
      <w:r>
        <w:t xml:space="preserve">, Maxson, &amp; </w:t>
      </w:r>
      <w:proofErr w:type="spellStart"/>
      <w:r>
        <w:t>Killias</w:t>
      </w:r>
      <w:proofErr w:type="spellEnd"/>
      <w:r>
        <w:t>, 2014). The authors felt it was an important aspect of the youth gang definition, so we included this question for all countries except for France.</w:t>
      </w:r>
    </w:p>
    <w:p w14:paraId="4DD47A9E" w14:textId="15F03CD5" w:rsidR="00B8661F" w:rsidRDefault="4758A04D" w:rsidP="006652D2">
      <w:pPr>
        <w:contextualSpacing/>
        <w:rPr>
          <w:lang w:val="en-US"/>
        </w:rPr>
      </w:pPr>
      <w:r w:rsidRPr="4758A04D">
        <w:rPr>
          <w:lang w:val="en-US"/>
        </w:rPr>
        <w:t>6. Country acronyms are as follows: AM = Armenia; AN = NL Antilles; *AT = Austria; AW = Aruba; BA = Bosnia and Herzegovina; *BE = Belgium; *CH = Switzerland; *CY = Cyprus; CZ = Czech Republic; *DE = Germany; *DK = Denmark; *EE = Estonia; *ES = Spain; *IE = Ireland; IS = Iceland; IT = Italy; *FI = Finland; *FR = France; *HU = Hungary; LT = Lithuania; *NL = Netherlands; *NO = Norway; *PL = Poland; *PT = Portugal; *RU = Russia; *SE = Sweden; *SI = Slovenia; SR = Suriname; US = United States; VE = Venezuela. * indicates the country was included in the final sample for analyses (N=19)</w:t>
      </w:r>
    </w:p>
    <w:p w14:paraId="11BBEE98" w14:textId="10EBB054" w:rsidR="00703151" w:rsidRPr="00F04A82" w:rsidRDefault="4758A04D" w:rsidP="006652D2">
      <w:pPr>
        <w:contextualSpacing/>
      </w:pPr>
      <w:r w:rsidRPr="4758A04D">
        <w:rPr>
          <w:lang w:val="en-US"/>
        </w:rPr>
        <w:t>7. Note that in the current study, data from the European Social Survey were used solely to construct aggregate predictor variables as measures of country context. All individual-level variables, including the gang membership outcome variable were obtained from the ISRD-2.</w:t>
      </w:r>
    </w:p>
    <w:p w14:paraId="1910C74A" w14:textId="4231AE20" w:rsidR="1FD60E2C" w:rsidRDefault="1FD60E2C" w:rsidP="006652D2">
      <w:pPr>
        <w:pStyle w:val="FootnoteText"/>
      </w:pPr>
      <w:r>
        <w:lastRenderedPageBreak/>
        <w:t>8. These tables are available upon request.</w:t>
      </w:r>
    </w:p>
    <w:p w14:paraId="451858BE" w14:textId="4CAEA888" w:rsidR="00703151" w:rsidRPr="00F04A82" w:rsidRDefault="78A5F519" w:rsidP="006652D2">
      <w:pPr>
        <w:contextualSpacing/>
      </w:pPr>
      <w:r>
        <w:t xml:space="preserve">9. The main difference between our inclusion of theoretical levels and those of </w:t>
      </w:r>
      <w:proofErr w:type="spellStart"/>
      <w:r>
        <w:t>Freng</w:t>
      </w:r>
      <w:proofErr w:type="spellEnd"/>
      <w:r>
        <w:t xml:space="preserve"> and </w:t>
      </w:r>
      <w:proofErr w:type="spellStart"/>
      <w:r>
        <w:t>Esbensen’s</w:t>
      </w:r>
      <w:proofErr w:type="spellEnd"/>
      <w:r>
        <w:t xml:space="preserve"> (2007) is that variables measuring attitudes towards violence, which are similar to some of </w:t>
      </w:r>
      <w:proofErr w:type="spellStart"/>
      <w:r>
        <w:t>Freng</w:t>
      </w:r>
      <w:proofErr w:type="spellEnd"/>
      <w:r>
        <w:t xml:space="preserve"> and </w:t>
      </w:r>
      <w:proofErr w:type="spellStart"/>
      <w:r>
        <w:t>Esbenson’s</w:t>
      </w:r>
      <w:proofErr w:type="spellEnd"/>
      <w:r>
        <w:t xml:space="preserve"> (2007) items in their neutralization index (shown in Appendix B)</w:t>
      </w:r>
      <w:r w:rsidRPr="004F4488">
        <w:t>,</w:t>
      </w:r>
      <w:r>
        <w:t xml:space="preserve"> are included as the final step in the model, rather than as part of the formal social control of law enforcement. We feel that this makes more sense in terms of time ordering, as street socialization would be likely to influence adoption of these attitudes/use of these techniques, not the other way around, and correspond with Vigil’s concept of “street identity”.</w:t>
      </w:r>
    </w:p>
    <w:p w14:paraId="22E1649E" w14:textId="63845A2C" w:rsidR="00F04A82" w:rsidRPr="00F04A82" w:rsidRDefault="1FD60E2C" w:rsidP="006652D2">
      <w:pPr>
        <w:pStyle w:val="FootnoteText"/>
      </w:pPr>
      <w:r>
        <w:t xml:space="preserve">10. </w:t>
      </w:r>
      <w:hyperlink r:id="rId9">
        <w:r w:rsidRPr="1FD60E2C">
          <w:rPr>
            <w:rStyle w:val="Hyperlink"/>
          </w:rPr>
          <w:t>https://www.stata.com/manuals/memelogit.pdf</w:t>
        </w:r>
      </w:hyperlink>
    </w:p>
    <w:p w14:paraId="2C891B19" w14:textId="678431FC" w:rsidR="00F04A82" w:rsidRPr="00F04A82" w:rsidRDefault="1FD60E2C" w:rsidP="006652D2">
      <w:pPr>
        <w:contextualSpacing/>
        <w:rPr>
          <w:lang w:val="en"/>
        </w:rPr>
      </w:pPr>
      <w:r>
        <w:t xml:space="preserve">11. </w:t>
      </w:r>
      <w:r w:rsidRPr="1FD60E2C">
        <w:rPr>
          <w:vertAlign w:val="superscript"/>
        </w:rPr>
        <w:t xml:space="preserve"> </w:t>
      </w:r>
      <w:r>
        <w:t>The parental supervision variable was removed from the final models because it was perfectly predicted by the responses to parents knowing friends.</w:t>
      </w:r>
    </w:p>
    <w:p w14:paraId="5B7E9DC1" w14:textId="2A53B640" w:rsidR="00703151" w:rsidRPr="008D266A" w:rsidRDefault="00703151" w:rsidP="006652D2">
      <w:pPr>
        <w:contextualSpacing/>
        <w:rPr>
          <w:b/>
          <w:bCs/>
        </w:rPr>
      </w:pPr>
      <w:r w:rsidRPr="008D266A">
        <w:rPr>
          <w:b/>
          <w:bCs/>
        </w:rPr>
        <w:br w:type="page"/>
      </w:r>
    </w:p>
    <w:p w14:paraId="6FE52CC9" w14:textId="335E5724" w:rsidR="00BD21D1" w:rsidRDefault="00BD21D1" w:rsidP="006652D2">
      <w:pPr>
        <w:pStyle w:val="Heading1"/>
        <w:spacing w:line="480" w:lineRule="auto"/>
      </w:pPr>
      <w:r>
        <w:lastRenderedPageBreak/>
        <w:t>References</w:t>
      </w:r>
    </w:p>
    <w:p w14:paraId="45F40B90" w14:textId="77777777" w:rsidR="00BD21D1" w:rsidRPr="00BD21D1" w:rsidRDefault="00BD21D1" w:rsidP="006652D2">
      <w:pPr>
        <w:pStyle w:val="References"/>
        <w:spacing w:line="480" w:lineRule="auto"/>
        <w:rPr>
          <w:lang w:val="en"/>
        </w:rPr>
      </w:pPr>
      <w:r w:rsidRPr="00BD21D1">
        <w:rPr>
          <w:lang w:val="en"/>
        </w:rPr>
        <w:t xml:space="preserve">Aebi, M. (2009). </w:t>
      </w:r>
      <w:proofErr w:type="spellStart"/>
      <w:r w:rsidRPr="00BD21D1">
        <w:rPr>
          <w:lang w:val="en"/>
        </w:rPr>
        <w:t>Enqueˆtes</w:t>
      </w:r>
      <w:proofErr w:type="spellEnd"/>
      <w:r w:rsidRPr="00BD21D1">
        <w:rPr>
          <w:lang w:val="en"/>
        </w:rPr>
        <w:t xml:space="preserve"> de </w:t>
      </w:r>
      <w:proofErr w:type="spellStart"/>
      <w:r w:rsidRPr="00BD21D1">
        <w:rPr>
          <w:lang w:val="en"/>
        </w:rPr>
        <w:t>de´linquance</w:t>
      </w:r>
      <w:proofErr w:type="spellEnd"/>
      <w:r w:rsidRPr="00BD21D1">
        <w:rPr>
          <w:lang w:val="en"/>
        </w:rPr>
        <w:t xml:space="preserve"> </w:t>
      </w:r>
      <w:proofErr w:type="spellStart"/>
      <w:r w:rsidRPr="00BD21D1">
        <w:rPr>
          <w:lang w:val="en"/>
        </w:rPr>
        <w:t>autoreporte´e</w:t>
      </w:r>
      <w:proofErr w:type="spellEnd"/>
      <w:r w:rsidRPr="00BD21D1">
        <w:rPr>
          <w:lang w:val="en"/>
        </w:rPr>
        <w:t xml:space="preserve"> </w:t>
      </w:r>
      <w:proofErr w:type="spellStart"/>
      <w:r w:rsidRPr="00BD21D1">
        <w:rPr>
          <w:lang w:val="en"/>
        </w:rPr>
        <w:t>en</w:t>
      </w:r>
      <w:proofErr w:type="spellEnd"/>
      <w:r w:rsidRPr="00BD21D1">
        <w:rPr>
          <w:lang w:val="en"/>
        </w:rPr>
        <w:t xml:space="preserve"> Europe [Assessing deviance, crime and prevention in Europe]. </w:t>
      </w:r>
      <w:proofErr w:type="spellStart"/>
      <w:r w:rsidRPr="00BD21D1">
        <w:rPr>
          <w:lang w:val="en"/>
        </w:rPr>
        <w:t>Fle´mal</w:t>
      </w:r>
      <w:proofErr w:type="spellEnd"/>
      <w:r w:rsidRPr="00BD21D1">
        <w:rPr>
          <w:lang w:val="en"/>
        </w:rPr>
        <w:t xml:space="preserve">: </w:t>
      </w:r>
      <w:proofErr w:type="spellStart"/>
      <w:r w:rsidRPr="00BD21D1">
        <w:rPr>
          <w:lang w:val="en"/>
        </w:rPr>
        <w:t>Communaute</w:t>
      </w:r>
      <w:proofErr w:type="spellEnd"/>
      <w:r w:rsidRPr="00BD21D1">
        <w:rPr>
          <w:lang w:val="en"/>
        </w:rPr>
        <w:t xml:space="preserve">´ </w:t>
      </w:r>
      <w:proofErr w:type="spellStart"/>
      <w:r w:rsidRPr="00BD21D1">
        <w:rPr>
          <w:lang w:val="en"/>
        </w:rPr>
        <w:t>Europe´enne</w:t>
      </w:r>
      <w:proofErr w:type="spellEnd"/>
      <w:r w:rsidRPr="00BD21D1">
        <w:rPr>
          <w:lang w:val="en"/>
        </w:rPr>
        <w:t xml:space="preserve"> sur les presses de </w:t>
      </w:r>
      <w:proofErr w:type="spellStart"/>
      <w:r w:rsidRPr="00BD21D1">
        <w:rPr>
          <w:lang w:val="en"/>
        </w:rPr>
        <w:t>l’imprimerie</w:t>
      </w:r>
      <w:proofErr w:type="spellEnd"/>
      <w:r w:rsidRPr="00BD21D1">
        <w:rPr>
          <w:lang w:val="en"/>
        </w:rPr>
        <w:t>.</w:t>
      </w:r>
    </w:p>
    <w:p w14:paraId="3E6C668F" w14:textId="75359174" w:rsidR="00BD21D1" w:rsidRPr="00BD21D1" w:rsidRDefault="00BD21D1" w:rsidP="006652D2">
      <w:pPr>
        <w:pStyle w:val="References"/>
        <w:spacing w:line="480" w:lineRule="auto"/>
        <w:rPr>
          <w:lang w:val="en-US"/>
        </w:rPr>
      </w:pPr>
      <w:proofErr w:type="spellStart"/>
      <w:r w:rsidRPr="00BD21D1">
        <w:rPr>
          <w:lang w:val="en"/>
        </w:rPr>
        <w:t>Baumer</w:t>
      </w:r>
      <w:proofErr w:type="spellEnd"/>
      <w:r w:rsidRPr="00BD21D1">
        <w:rPr>
          <w:lang w:val="en"/>
        </w:rPr>
        <w:t xml:space="preserve">, E. P., &amp; </w:t>
      </w:r>
      <w:proofErr w:type="spellStart"/>
      <w:r w:rsidRPr="00BD21D1">
        <w:rPr>
          <w:lang w:val="en"/>
        </w:rPr>
        <w:t>Arnio</w:t>
      </w:r>
      <w:proofErr w:type="spellEnd"/>
      <w:r w:rsidRPr="00BD21D1">
        <w:rPr>
          <w:lang w:val="en"/>
        </w:rPr>
        <w:t>, A. N. (2012). Multi-level modeling and criminological inquiry.</w:t>
      </w:r>
      <w:r w:rsidR="006B1638">
        <w:rPr>
          <w:lang w:val="en"/>
        </w:rPr>
        <w:t xml:space="preserve"> In D. Gadd, S. </w:t>
      </w:r>
      <w:proofErr w:type="spellStart"/>
      <w:r w:rsidR="006B1638">
        <w:rPr>
          <w:lang w:val="en"/>
        </w:rPr>
        <w:t>Karstedt</w:t>
      </w:r>
      <w:proofErr w:type="spellEnd"/>
      <w:r w:rsidR="006B1638">
        <w:rPr>
          <w:lang w:val="en"/>
        </w:rPr>
        <w:t>, &amp; S. F. Messner (Eds.),</w:t>
      </w:r>
      <w:r w:rsidRPr="00BD21D1">
        <w:rPr>
          <w:lang w:val="en"/>
        </w:rPr>
        <w:t> </w:t>
      </w:r>
      <w:r w:rsidRPr="00BD21D1">
        <w:rPr>
          <w:i/>
          <w:iCs/>
          <w:lang w:val="en"/>
        </w:rPr>
        <w:t>The SAGE handbook of criminological research methods</w:t>
      </w:r>
      <w:r w:rsidRPr="00BD21D1">
        <w:rPr>
          <w:lang w:val="en"/>
        </w:rPr>
        <w:t xml:space="preserve"> </w:t>
      </w:r>
      <w:r w:rsidR="006B1638">
        <w:rPr>
          <w:lang w:val="en"/>
        </w:rPr>
        <w:t xml:space="preserve">(pp. </w:t>
      </w:r>
      <w:r w:rsidRPr="00BD21D1">
        <w:rPr>
          <w:lang w:val="en"/>
        </w:rPr>
        <w:t>97-110</w:t>
      </w:r>
      <w:r w:rsidR="006B1638">
        <w:rPr>
          <w:lang w:val="en"/>
        </w:rPr>
        <w:t>), Thousand Oaks, CA: SAGE Publishing</w:t>
      </w:r>
      <w:r w:rsidRPr="00BD21D1">
        <w:rPr>
          <w:lang w:val="en"/>
        </w:rPr>
        <w:t>.</w:t>
      </w:r>
    </w:p>
    <w:p w14:paraId="5FA74E38" w14:textId="6EF04C66" w:rsidR="00BD21D1" w:rsidRPr="00BD21D1" w:rsidRDefault="00BD21D1" w:rsidP="006652D2">
      <w:pPr>
        <w:pStyle w:val="References"/>
        <w:spacing w:line="480" w:lineRule="auto"/>
        <w:rPr>
          <w:lang w:val="en-US"/>
        </w:rPr>
      </w:pPr>
      <w:proofErr w:type="spellStart"/>
      <w:r w:rsidRPr="00BD21D1">
        <w:rPr>
          <w:lang w:val="en-US"/>
        </w:rPr>
        <w:t>Bursik</w:t>
      </w:r>
      <w:proofErr w:type="spellEnd"/>
      <w:r w:rsidRPr="00BD21D1">
        <w:rPr>
          <w:lang w:val="en-US"/>
        </w:rPr>
        <w:t xml:space="preserve">, R., &amp; </w:t>
      </w:r>
      <w:proofErr w:type="spellStart"/>
      <w:r w:rsidRPr="00BD21D1">
        <w:rPr>
          <w:lang w:val="en-US"/>
        </w:rPr>
        <w:t>Grasmick</w:t>
      </w:r>
      <w:proofErr w:type="spellEnd"/>
      <w:r w:rsidRPr="00BD21D1">
        <w:rPr>
          <w:lang w:val="en-US"/>
        </w:rPr>
        <w:t>, H. G. (1993). </w:t>
      </w:r>
      <w:r w:rsidRPr="00BD21D1">
        <w:rPr>
          <w:i/>
          <w:iCs/>
          <w:lang w:val="en-US"/>
        </w:rPr>
        <w:t>Neighborhoods and crime: The dimensions of effective community control</w:t>
      </w:r>
      <w:r w:rsidRPr="00BD21D1">
        <w:rPr>
          <w:lang w:val="en-US"/>
        </w:rPr>
        <w:t>. New York</w:t>
      </w:r>
      <w:r w:rsidR="006B1638">
        <w:rPr>
          <w:lang w:val="en-US"/>
        </w:rPr>
        <w:t>, NY</w:t>
      </w:r>
      <w:r w:rsidRPr="00BD21D1">
        <w:rPr>
          <w:lang w:val="en-US"/>
        </w:rPr>
        <w:t>: Lexington Books.</w:t>
      </w:r>
    </w:p>
    <w:p w14:paraId="3070A51E" w14:textId="231A036E" w:rsidR="00BD21D1" w:rsidRPr="00BD21D1" w:rsidRDefault="00BD21D1" w:rsidP="006652D2">
      <w:pPr>
        <w:pStyle w:val="References"/>
        <w:spacing w:line="480" w:lineRule="auto"/>
        <w:rPr>
          <w:lang w:val="en-US"/>
        </w:rPr>
      </w:pPr>
      <w:r w:rsidRPr="00BD21D1">
        <w:rPr>
          <w:lang w:val="en"/>
        </w:rPr>
        <w:t>Caldwell, B. (2010). Latin</w:t>
      </w:r>
      <w:r w:rsidR="006B1638">
        <w:rPr>
          <w:lang w:val="en"/>
        </w:rPr>
        <w:t>a</w:t>
      </w:r>
      <w:r w:rsidRPr="00BD21D1">
        <w:rPr>
          <w:lang w:val="en"/>
        </w:rPr>
        <w:t>s</w:t>
      </w:r>
      <w:r w:rsidR="006B1638">
        <w:rPr>
          <w:lang w:val="en"/>
        </w:rPr>
        <w:t>’</w:t>
      </w:r>
      <w:r w:rsidRPr="00BD21D1">
        <w:rPr>
          <w:lang w:val="en"/>
        </w:rPr>
        <w:t xml:space="preserve"> experiences in relation to gangs: Intersectionality of race, class, gender, and the state. </w:t>
      </w:r>
      <w:r w:rsidRPr="00BD21D1">
        <w:rPr>
          <w:i/>
          <w:iCs/>
          <w:lang w:val="en"/>
        </w:rPr>
        <w:t>Georgetown Journal of Law &amp; Modern Critical Race Perspective</w:t>
      </w:r>
      <w:r w:rsidRPr="00BD21D1">
        <w:rPr>
          <w:lang w:val="en"/>
        </w:rPr>
        <w:t>, </w:t>
      </w:r>
      <w:r w:rsidRPr="00BD21D1">
        <w:rPr>
          <w:i/>
          <w:iCs/>
          <w:lang w:val="en"/>
        </w:rPr>
        <w:t>2</w:t>
      </w:r>
      <w:r w:rsidRPr="00BD21D1">
        <w:rPr>
          <w:lang w:val="en"/>
        </w:rPr>
        <w:t>, 19.</w:t>
      </w:r>
    </w:p>
    <w:p w14:paraId="6C7B4384" w14:textId="77777777" w:rsidR="00BD21D1" w:rsidRPr="00BD21D1" w:rsidRDefault="00BD21D1" w:rsidP="006652D2">
      <w:pPr>
        <w:pStyle w:val="References"/>
        <w:spacing w:line="480" w:lineRule="auto"/>
        <w:rPr>
          <w:lang w:val="en"/>
        </w:rPr>
      </w:pPr>
      <w:proofErr w:type="spellStart"/>
      <w:r w:rsidRPr="00BD21D1">
        <w:rPr>
          <w:lang w:val="en"/>
        </w:rPr>
        <w:t>Cephus</w:t>
      </w:r>
      <w:proofErr w:type="spellEnd"/>
      <w:r w:rsidRPr="00BD21D1">
        <w:rPr>
          <w:lang w:val="en"/>
        </w:rPr>
        <w:t xml:space="preserve">-Wilson, C. L. (2012). </w:t>
      </w:r>
      <w:r w:rsidRPr="00BD21D1">
        <w:rPr>
          <w:i/>
          <w:lang w:val="en"/>
        </w:rPr>
        <w:t>I am who you say I am; I am what you make me. An exploratory analysis of gangs in the heartland</w:t>
      </w:r>
      <w:r w:rsidRPr="00BD21D1">
        <w:rPr>
          <w:lang w:val="en"/>
        </w:rPr>
        <w:t xml:space="preserve"> (Unpublished doctoral dissertation). Oklahoma State University, OK.</w:t>
      </w:r>
    </w:p>
    <w:p w14:paraId="61E72369" w14:textId="77777777" w:rsidR="00BD21D1" w:rsidRPr="00BD21D1" w:rsidRDefault="00BD21D1" w:rsidP="006652D2">
      <w:pPr>
        <w:pStyle w:val="References"/>
        <w:spacing w:line="480" w:lineRule="auto"/>
        <w:rPr>
          <w:lang w:val="en"/>
        </w:rPr>
      </w:pPr>
      <w:r w:rsidRPr="00BD21D1">
        <w:rPr>
          <w:lang w:val="en"/>
        </w:rPr>
        <w:t xml:space="preserve">Decker, S. H., </w:t>
      </w:r>
      <w:proofErr w:type="spellStart"/>
      <w:r w:rsidRPr="00BD21D1">
        <w:rPr>
          <w:lang w:val="en"/>
        </w:rPr>
        <w:t>Melde</w:t>
      </w:r>
      <w:proofErr w:type="spellEnd"/>
      <w:r w:rsidRPr="00BD21D1">
        <w:rPr>
          <w:lang w:val="en"/>
        </w:rPr>
        <w:t xml:space="preserve">, C., &amp; </w:t>
      </w:r>
      <w:proofErr w:type="spellStart"/>
      <w:r w:rsidRPr="00BD21D1">
        <w:rPr>
          <w:lang w:val="en"/>
        </w:rPr>
        <w:t>Pyrooz</w:t>
      </w:r>
      <w:proofErr w:type="spellEnd"/>
      <w:r w:rsidRPr="00BD21D1">
        <w:rPr>
          <w:lang w:val="en"/>
        </w:rPr>
        <w:t xml:space="preserve">, D. C. (2013). What do we know about gangs and gang members and where do we go from </w:t>
      </w:r>
      <w:proofErr w:type="gramStart"/>
      <w:r w:rsidRPr="00BD21D1">
        <w:rPr>
          <w:lang w:val="en"/>
        </w:rPr>
        <w:t>here?.</w:t>
      </w:r>
      <w:proofErr w:type="gramEnd"/>
      <w:r w:rsidRPr="00BD21D1">
        <w:rPr>
          <w:lang w:val="en"/>
        </w:rPr>
        <w:t> </w:t>
      </w:r>
      <w:r w:rsidRPr="00BD21D1">
        <w:rPr>
          <w:i/>
          <w:iCs/>
          <w:lang w:val="en"/>
        </w:rPr>
        <w:t>Justice Quarterly</w:t>
      </w:r>
      <w:r w:rsidRPr="00BD21D1">
        <w:rPr>
          <w:lang w:val="en"/>
        </w:rPr>
        <w:t>, </w:t>
      </w:r>
      <w:r w:rsidRPr="00BD21D1">
        <w:rPr>
          <w:i/>
          <w:iCs/>
          <w:lang w:val="en"/>
        </w:rPr>
        <w:t>30</w:t>
      </w:r>
      <w:r w:rsidRPr="00BD21D1">
        <w:rPr>
          <w:lang w:val="en"/>
        </w:rPr>
        <w:t>(3), 369-402.</w:t>
      </w:r>
    </w:p>
    <w:p w14:paraId="7B4663AF" w14:textId="206E5EB6" w:rsidR="00BD21D1" w:rsidRDefault="00BD21D1" w:rsidP="006652D2">
      <w:pPr>
        <w:pStyle w:val="References"/>
        <w:spacing w:line="480" w:lineRule="auto"/>
        <w:rPr>
          <w:lang w:val="en"/>
        </w:rPr>
      </w:pPr>
      <w:r w:rsidRPr="00BD21D1">
        <w:rPr>
          <w:lang w:val="en"/>
        </w:rPr>
        <w:t xml:space="preserve">Decker, S. H., Van </w:t>
      </w:r>
      <w:proofErr w:type="spellStart"/>
      <w:r w:rsidRPr="00BD21D1">
        <w:rPr>
          <w:lang w:val="en"/>
        </w:rPr>
        <w:t>Gemert</w:t>
      </w:r>
      <w:proofErr w:type="spellEnd"/>
      <w:r w:rsidRPr="00BD21D1">
        <w:rPr>
          <w:lang w:val="en"/>
        </w:rPr>
        <w:t xml:space="preserve">, F., &amp; </w:t>
      </w:r>
      <w:proofErr w:type="spellStart"/>
      <w:r w:rsidRPr="00BD21D1">
        <w:rPr>
          <w:lang w:val="en"/>
        </w:rPr>
        <w:t>Pyrooz</w:t>
      </w:r>
      <w:proofErr w:type="spellEnd"/>
      <w:r w:rsidRPr="00BD21D1">
        <w:rPr>
          <w:lang w:val="en"/>
        </w:rPr>
        <w:t xml:space="preserve">, D. C. (2009). Gangs, migration, and crime: The changing landscape in Europe and the USA. </w:t>
      </w:r>
      <w:r w:rsidRPr="00BD21D1">
        <w:rPr>
          <w:i/>
          <w:lang w:val="en"/>
        </w:rPr>
        <w:t xml:space="preserve">Journal of International Migration and Integration/Revue de </w:t>
      </w:r>
      <w:proofErr w:type="spellStart"/>
      <w:r w:rsidRPr="00BD21D1">
        <w:rPr>
          <w:i/>
          <w:lang w:val="en"/>
        </w:rPr>
        <w:t>l'integration</w:t>
      </w:r>
      <w:proofErr w:type="spellEnd"/>
      <w:r w:rsidRPr="00BD21D1">
        <w:rPr>
          <w:i/>
          <w:lang w:val="en"/>
        </w:rPr>
        <w:t xml:space="preserve"> et de la migration </w:t>
      </w:r>
      <w:proofErr w:type="spellStart"/>
      <w:r w:rsidRPr="00BD21D1">
        <w:rPr>
          <w:i/>
          <w:lang w:val="en"/>
        </w:rPr>
        <w:t>internationale</w:t>
      </w:r>
      <w:proofErr w:type="spellEnd"/>
      <w:r w:rsidRPr="00BD21D1">
        <w:rPr>
          <w:i/>
          <w:lang w:val="en"/>
        </w:rPr>
        <w:t>, 10</w:t>
      </w:r>
      <w:r w:rsidRPr="00BD21D1">
        <w:rPr>
          <w:lang w:val="en"/>
        </w:rPr>
        <w:t>(4), 393-408.</w:t>
      </w:r>
    </w:p>
    <w:p w14:paraId="566B2A08" w14:textId="219A6019" w:rsidR="00BD21D1" w:rsidRPr="00BD21D1" w:rsidRDefault="00F75887" w:rsidP="006652D2">
      <w:pPr>
        <w:pStyle w:val="References"/>
        <w:spacing w:line="480" w:lineRule="auto"/>
        <w:rPr>
          <w:lang w:val="en"/>
        </w:rPr>
      </w:pPr>
      <w:proofErr w:type="spellStart"/>
      <w:r w:rsidRPr="00F75887">
        <w:t>Densley</w:t>
      </w:r>
      <w:proofErr w:type="spellEnd"/>
      <w:r w:rsidRPr="00F75887">
        <w:t>, J. A. (2015). Joining the Gang: A Process of Supply and Demand. </w:t>
      </w:r>
      <w:r w:rsidRPr="00F75887">
        <w:rPr>
          <w:i/>
          <w:iCs/>
        </w:rPr>
        <w:t>The Handbook of Gangs</w:t>
      </w:r>
      <w:r w:rsidRPr="00F75887">
        <w:t>, 235-256.</w:t>
      </w:r>
      <w:r w:rsidR="00BD21D1" w:rsidRPr="00BD21D1">
        <w:rPr>
          <w:lang w:val="en"/>
        </w:rPr>
        <w:t xml:space="preserve">Drake, G.  &amp; </w:t>
      </w:r>
      <w:proofErr w:type="spellStart"/>
      <w:r w:rsidR="00BD21D1" w:rsidRPr="00BD21D1">
        <w:rPr>
          <w:lang w:val="en"/>
        </w:rPr>
        <w:t>Melde</w:t>
      </w:r>
      <w:proofErr w:type="spellEnd"/>
      <w:r w:rsidR="00BD21D1" w:rsidRPr="00BD21D1">
        <w:rPr>
          <w:lang w:val="en"/>
        </w:rPr>
        <w:t xml:space="preserve">, C. (2014) The problem of </w:t>
      </w:r>
      <w:r w:rsidR="00BD21D1" w:rsidRPr="00BD21D1">
        <w:rPr>
          <w:lang w:val="en"/>
        </w:rPr>
        <w:lastRenderedPageBreak/>
        <w:t xml:space="preserve">prediction: the efficacy of Multiple Marginality in cross-sectional versus prospective models. </w:t>
      </w:r>
      <w:r w:rsidR="00BD21D1" w:rsidRPr="00BD21D1">
        <w:rPr>
          <w:i/>
          <w:lang w:val="en"/>
        </w:rPr>
        <w:t>Journal of Crime and Justice, 37</w:t>
      </w:r>
      <w:r w:rsidR="00BD21D1" w:rsidRPr="00BD21D1">
        <w:rPr>
          <w:lang w:val="en"/>
        </w:rPr>
        <w:t>(1), 61-78</w:t>
      </w:r>
      <w:r w:rsidR="006B1638">
        <w:rPr>
          <w:lang w:val="en"/>
        </w:rPr>
        <w:t>.</w:t>
      </w:r>
      <w:r w:rsidR="00BD21D1" w:rsidRPr="00BD21D1">
        <w:rPr>
          <w:lang w:val="en"/>
        </w:rPr>
        <w:t xml:space="preserve"> </w:t>
      </w:r>
    </w:p>
    <w:p w14:paraId="55BB69D4" w14:textId="0A991E43" w:rsidR="00BD21D1" w:rsidRPr="00BD21D1" w:rsidRDefault="1BAFAA6F" w:rsidP="006652D2">
      <w:pPr>
        <w:pStyle w:val="References"/>
        <w:spacing w:line="480" w:lineRule="auto"/>
        <w:rPr>
          <w:lang w:val="en"/>
        </w:rPr>
      </w:pPr>
      <w:proofErr w:type="spellStart"/>
      <w:r w:rsidRPr="1BAFAA6F">
        <w:rPr>
          <w:lang w:val="en"/>
        </w:rPr>
        <w:t>Enzmann</w:t>
      </w:r>
      <w:proofErr w:type="spellEnd"/>
      <w:r w:rsidRPr="1BAFAA6F">
        <w:rPr>
          <w:lang w:val="en"/>
        </w:rPr>
        <w:t xml:space="preserve">, D., Marshall, I. H., </w:t>
      </w:r>
      <w:proofErr w:type="spellStart"/>
      <w:r w:rsidRPr="1BAFAA6F">
        <w:rPr>
          <w:lang w:val="en"/>
        </w:rPr>
        <w:t>Killias</w:t>
      </w:r>
      <w:proofErr w:type="spellEnd"/>
      <w:r w:rsidRPr="1BAFAA6F">
        <w:rPr>
          <w:lang w:val="en"/>
        </w:rPr>
        <w:t xml:space="preserve">, M., Junger-Tas, J., </w:t>
      </w:r>
      <w:proofErr w:type="spellStart"/>
      <w:r w:rsidRPr="1BAFAA6F">
        <w:rPr>
          <w:lang w:val="en"/>
        </w:rPr>
        <w:t>Steketee</w:t>
      </w:r>
      <w:proofErr w:type="spellEnd"/>
      <w:r w:rsidRPr="1BAFAA6F">
        <w:rPr>
          <w:lang w:val="en"/>
        </w:rPr>
        <w:t xml:space="preserve">, M., &amp; </w:t>
      </w:r>
      <w:proofErr w:type="spellStart"/>
      <w:r w:rsidRPr="1BAFAA6F">
        <w:rPr>
          <w:lang w:val="en"/>
        </w:rPr>
        <w:t>Gruszczynska</w:t>
      </w:r>
      <w:proofErr w:type="spellEnd"/>
      <w:r w:rsidRPr="1BAFAA6F">
        <w:rPr>
          <w:lang w:val="en"/>
        </w:rPr>
        <w:t xml:space="preserve">, B. (2010). Self-reported youth delinquency in Europe and beyond: First results of the Second International Self-Report Delinquency Study in the context of police and victimization data. </w:t>
      </w:r>
      <w:r w:rsidRPr="1BAFAA6F">
        <w:rPr>
          <w:i/>
          <w:iCs/>
          <w:lang w:val="en"/>
        </w:rPr>
        <w:t>European Journal of Criminology, 7</w:t>
      </w:r>
      <w:r w:rsidRPr="1BAFAA6F">
        <w:rPr>
          <w:lang w:val="en"/>
        </w:rPr>
        <w:t>, 159-183.</w:t>
      </w:r>
    </w:p>
    <w:p w14:paraId="5F01C6EA" w14:textId="3F120ADD" w:rsidR="1BAFAA6F" w:rsidRDefault="052E1228" w:rsidP="006652D2">
      <w:pPr>
        <w:ind w:left="720" w:hanging="720"/>
        <w:contextualSpacing/>
        <w:rPr>
          <w:lang w:val="en"/>
        </w:rPr>
      </w:pPr>
      <w:proofErr w:type="spellStart"/>
      <w:r w:rsidRPr="052E1228">
        <w:rPr>
          <w:lang w:val="en-US"/>
        </w:rPr>
        <w:t>Enzmann</w:t>
      </w:r>
      <w:proofErr w:type="spellEnd"/>
      <w:r w:rsidRPr="052E1228">
        <w:rPr>
          <w:lang w:val="en-US"/>
        </w:rPr>
        <w:t xml:space="preserve">, D., H. Marshall, I., </w:t>
      </w:r>
      <w:proofErr w:type="spellStart"/>
      <w:r w:rsidRPr="052E1228">
        <w:rPr>
          <w:lang w:val="en-US"/>
        </w:rPr>
        <w:t>Killias</w:t>
      </w:r>
      <w:proofErr w:type="spellEnd"/>
      <w:r w:rsidRPr="052E1228">
        <w:rPr>
          <w:lang w:val="en-US"/>
        </w:rPr>
        <w:t xml:space="preserve">, M., Junger-Tas, J., </w:t>
      </w:r>
      <w:proofErr w:type="spellStart"/>
      <w:r w:rsidRPr="052E1228">
        <w:rPr>
          <w:lang w:val="en-US"/>
        </w:rPr>
        <w:t>Steketee</w:t>
      </w:r>
      <w:proofErr w:type="spellEnd"/>
      <w:r w:rsidRPr="052E1228">
        <w:rPr>
          <w:lang w:val="en-US"/>
        </w:rPr>
        <w:t xml:space="preserve">, M., &amp; </w:t>
      </w:r>
      <w:proofErr w:type="spellStart"/>
      <w:r w:rsidRPr="052E1228">
        <w:rPr>
          <w:lang w:val="en-US"/>
        </w:rPr>
        <w:t>Gruszczynska</w:t>
      </w:r>
      <w:proofErr w:type="spellEnd"/>
      <w:r w:rsidRPr="052E1228">
        <w:rPr>
          <w:lang w:val="en-US"/>
        </w:rPr>
        <w:t xml:space="preserve">, B. (2015). </w:t>
      </w:r>
      <w:r w:rsidRPr="004F4488">
        <w:rPr>
          <w:i/>
          <w:iCs/>
          <w:lang w:val="en-US"/>
        </w:rPr>
        <w:t>Second International Self-Reported Delinquency Study, 2005-2007</w:t>
      </w:r>
      <w:r w:rsidRPr="052E1228">
        <w:rPr>
          <w:lang w:val="en-US"/>
        </w:rPr>
        <w:t>. Inter-university Consortium for Political and Social Research [distributor].</w:t>
      </w:r>
    </w:p>
    <w:p w14:paraId="777C464B" w14:textId="3CD769CB" w:rsidR="052E1228" w:rsidRDefault="052E1228" w:rsidP="006652D2">
      <w:pPr>
        <w:ind w:left="720" w:hanging="720"/>
        <w:contextualSpacing/>
        <w:rPr>
          <w:rStyle w:val="Hyperlink"/>
          <w:color w:val="0000FF"/>
        </w:rPr>
      </w:pPr>
      <w:r w:rsidRPr="052E1228">
        <w:rPr>
          <w:lang w:val="en"/>
        </w:rPr>
        <w:t xml:space="preserve">Eurostat (n.d.). European Union Statistics on Income and Living Conditions (EU-SILC). Retrieved [May 7, 2020] from </w:t>
      </w:r>
      <w:hyperlink r:id="rId10" w:history="1">
        <w:r w:rsidRPr="052E1228">
          <w:rPr>
            <w:rStyle w:val="Hyperlink"/>
            <w:color w:val="0000FF"/>
          </w:rPr>
          <w:t>https://ec.europa.eu/eurostat/web/microdata/european-union-statistics-on-income-and-living-conditions</w:t>
        </w:r>
      </w:hyperlink>
    </w:p>
    <w:p w14:paraId="11D7DF22" w14:textId="77777777" w:rsidR="00BD21D1" w:rsidRPr="00BD21D1" w:rsidRDefault="00BD21D1" w:rsidP="006652D2">
      <w:pPr>
        <w:pStyle w:val="References"/>
        <w:spacing w:line="480" w:lineRule="auto"/>
        <w:rPr>
          <w:lang w:val="en"/>
        </w:rPr>
      </w:pPr>
      <w:proofErr w:type="spellStart"/>
      <w:r w:rsidRPr="00BD21D1">
        <w:rPr>
          <w:lang w:val="en"/>
        </w:rPr>
        <w:t>Freng</w:t>
      </w:r>
      <w:proofErr w:type="spellEnd"/>
      <w:r w:rsidRPr="00BD21D1">
        <w:rPr>
          <w:lang w:val="en"/>
        </w:rPr>
        <w:t xml:space="preserve">, A., &amp; </w:t>
      </w:r>
      <w:proofErr w:type="spellStart"/>
      <w:r w:rsidRPr="00BD21D1">
        <w:rPr>
          <w:lang w:val="en"/>
        </w:rPr>
        <w:t>Esbensen</w:t>
      </w:r>
      <w:proofErr w:type="spellEnd"/>
      <w:r w:rsidRPr="00BD21D1">
        <w:rPr>
          <w:lang w:val="en"/>
        </w:rPr>
        <w:t xml:space="preserve">, F. A. (2007). Race and gang affiliation: An examination of Multiple Marginality. </w:t>
      </w:r>
      <w:r w:rsidRPr="00BD21D1">
        <w:rPr>
          <w:i/>
          <w:lang w:val="en"/>
        </w:rPr>
        <w:t>Justice Quarterly, 24</w:t>
      </w:r>
      <w:r w:rsidRPr="00BD21D1">
        <w:rPr>
          <w:lang w:val="en"/>
        </w:rPr>
        <w:t>(4), 600-628.</w:t>
      </w:r>
    </w:p>
    <w:p w14:paraId="2197CB28" w14:textId="4E420191" w:rsidR="00BD21D1" w:rsidRPr="00BD21D1" w:rsidRDefault="00BD21D1" w:rsidP="006652D2">
      <w:pPr>
        <w:pStyle w:val="References"/>
        <w:spacing w:line="480" w:lineRule="auto"/>
        <w:rPr>
          <w:lang w:val="en"/>
        </w:rPr>
      </w:pPr>
      <w:proofErr w:type="spellStart"/>
      <w:r w:rsidRPr="00BD21D1">
        <w:rPr>
          <w:lang w:val="en"/>
        </w:rPr>
        <w:t>Gatti</w:t>
      </w:r>
      <w:proofErr w:type="spellEnd"/>
      <w:r w:rsidRPr="00BD21D1">
        <w:rPr>
          <w:lang w:val="en"/>
        </w:rPr>
        <w:t xml:space="preserve">, U., </w:t>
      </w:r>
      <w:proofErr w:type="spellStart"/>
      <w:r w:rsidRPr="00BD21D1">
        <w:rPr>
          <w:lang w:val="en"/>
        </w:rPr>
        <w:t>Haymoz</w:t>
      </w:r>
      <w:proofErr w:type="spellEnd"/>
      <w:r w:rsidRPr="00BD21D1">
        <w:rPr>
          <w:lang w:val="en"/>
        </w:rPr>
        <w:t xml:space="preserve">, S., &amp; </w:t>
      </w:r>
      <w:proofErr w:type="spellStart"/>
      <w:r w:rsidRPr="00BD21D1">
        <w:rPr>
          <w:lang w:val="en"/>
        </w:rPr>
        <w:t>Schadee</w:t>
      </w:r>
      <w:proofErr w:type="spellEnd"/>
      <w:r w:rsidRPr="00BD21D1">
        <w:rPr>
          <w:lang w:val="en"/>
        </w:rPr>
        <w:t xml:space="preserve">, H. M. A. (2011). Deviant youth groups in 30 countries: Results from the Second International Self-Report Delinquency Study. </w:t>
      </w:r>
      <w:r w:rsidRPr="00BD21D1">
        <w:rPr>
          <w:i/>
          <w:lang w:val="en"/>
        </w:rPr>
        <w:t>International Criminal Justice Review, 21</w:t>
      </w:r>
      <w:r w:rsidRPr="00BD21D1">
        <w:rPr>
          <w:lang w:val="en"/>
        </w:rPr>
        <w:t xml:space="preserve">(3), 208–224. </w:t>
      </w:r>
    </w:p>
    <w:p w14:paraId="226A30B0" w14:textId="71DF1373" w:rsidR="00BD21D1" w:rsidRDefault="00BD21D1" w:rsidP="006652D2">
      <w:pPr>
        <w:pStyle w:val="References"/>
        <w:spacing w:line="480" w:lineRule="auto"/>
        <w:rPr>
          <w:lang w:val="en"/>
        </w:rPr>
      </w:pPr>
      <w:proofErr w:type="spellStart"/>
      <w:r w:rsidRPr="00BD21D1">
        <w:rPr>
          <w:lang w:val="en"/>
        </w:rPr>
        <w:t>Haymoz</w:t>
      </w:r>
      <w:proofErr w:type="spellEnd"/>
      <w:r w:rsidRPr="00BD21D1">
        <w:rPr>
          <w:lang w:val="en"/>
        </w:rPr>
        <w:t xml:space="preserve">, S., Maxson, C., &amp; </w:t>
      </w:r>
      <w:proofErr w:type="spellStart"/>
      <w:r w:rsidRPr="00BD21D1">
        <w:rPr>
          <w:lang w:val="en"/>
        </w:rPr>
        <w:t>Killias</w:t>
      </w:r>
      <w:proofErr w:type="spellEnd"/>
      <w:r w:rsidRPr="00BD21D1">
        <w:rPr>
          <w:lang w:val="en"/>
        </w:rPr>
        <w:t xml:space="preserve">, M. (2014). Street gang participation in Europe: A comparison of correlates. </w:t>
      </w:r>
      <w:r w:rsidRPr="00BD21D1">
        <w:rPr>
          <w:i/>
          <w:lang w:val="en"/>
        </w:rPr>
        <w:t>European Journal of Criminology, 11</w:t>
      </w:r>
      <w:r w:rsidRPr="00BD21D1">
        <w:rPr>
          <w:lang w:val="en"/>
        </w:rPr>
        <w:t xml:space="preserve">(6), 659–681. </w:t>
      </w:r>
    </w:p>
    <w:p w14:paraId="15FA1053" w14:textId="1A4C1426" w:rsidR="009C1AF8" w:rsidRDefault="009C1AF8" w:rsidP="006652D2">
      <w:pPr>
        <w:pStyle w:val="References"/>
        <w:spacing w:line="480" w:lineRule="auto"/>
        <w:rPr>
          <w:lang w:val="en"/>
        </w:rPr>
      </w:pPr>
      <w:r>
        <w:rPr>
          <w:lang w:val="en"/>
        </w:rPr>
        <w:t xml:space="preserve">Howell, J.C. (2015). </w:t>
      </w:r>
      <w:r w:rsidRPr="008D266A">
        <w:rPr>
          <w:i/>
          <w:iCs/>
          <w:lang w:val="en"/>
        </w:rPr>
        <w:t>The history of street gangs in the United States: Their origins and transformations.</w:t>
      </w:r>
      <w:r>
        <w:rPr>
          <w:lang w:val="en"/>
        </w:rPr>
        <w:t xml:space="preserve"> Lanham, MD: Lexington Books. </w:t>
      </w:r>
    </w:p>
    <w:p w14:paraId="2DC307E2" w14:textId="7C667D08" w:rsidR="00481F3F" w:rsidRPr="00BD21D1" w:rsidRDefault="00481F3F" w:rsidP="006652D2">
      <w:pPr>
        <w:pStyle w:val="References"/>
        <w:spacing w:line="480" w:lineRule="auto"/>
        <w:rPr>
          <w:lang w:val="en"/>
        </w:rPr>
      </w:pPr>
      <w:r>
        <w:rPr>
          <w:lang w:val="en"/>
        </w:rPr>
        <w:t xml:space="preserve">Howell, J.C. &amp; Griffiths, E. (2019). </w:t>
      </w:r>
      <w:r w:rsidRPr="008D266A">
        <w:rPr>
          <w:i/>
          <w:iCs/>
          <w:lang w:val="en"/>
        </w:rPr>
        <w:t>Gangs in America’s Communities.</w:t>
      </w:r>
      <w:r>
        <w:rPr>
          <w:lang w:val="en"/>
        </w:rPr>
        <w:t xml:space="preserve"> Thousand Oaks, CA: Sage Publications. </w:t>
      </w:r>
    </w:p>
    <w:p w14:paraId="5EDA8BCE" w14:textId="77777777" w:rsidR="00BD21D1" w:rsidRPr="00BD21D1" w:rsidRDefault="00BD21D1" w:rsidP="006652D2">
      <w:pPr>
        <w:pStyle w:val="References"/>
        <w:spacing w:line="480" w:lineRule="auto"/>
        <w:rPr>
          <w:lang w:val="en-US"/>
        </w:rPr>
      </w:pPr>
      <w:r w:rsidRPr="00BD21D1">
        <w:rPr>
          <w:lang w:val="en-US"/>
        </w:rPr>
        <w:t>Hirschi, T. (1969). </w:t>
      </w:r>
      <w:r w:rsidRPr="00BD21D1">
        <w:rPr>
          <w:i/>
          <w:iCs/>
          <w:lang w:val="en-US"/>
        </w:rPr>
        <w:t>Causes of delinquency</w:t>
      </w:r>
      <w:r w:rsidRPr="00BD21D1">
        <w:rPr>
          <w:lang w:val="en-US"/>
        </w:rPr>
        <w:t>. Berkeley: University of California Press.</w:t>
      </w:r>
    </w:p>
    <w:p w14:paraId="01323CB3" w14:textId="5A840277" w:rsidR="00BD21D1" w:rsidRPr="00BD21D1" w:rsidRDefault="00BD21D1" w:rsidP="006652D2">
      <w:pPr>
        <w:pStyle w:val="References"/>
        <w:spacing w:line="480" w:lineRule="auto"/>
        <w:rPr>
          <w:lang w:val="en"/>
        </w:rPr>
      </w:pPr>
      <w:r w:rsidRPr="00BD21D1">
        <w:rPr>
          <w:lang w:val="en"/>
        </w:rPr>
        <w:lastRenderedPageBreak/>
        <w:t xml:space="preserve">Klein, M. W. (2007). </w:t>
      </w:r>
      <w:r w:rsidRPr="00BD21D1">
        <w:rPr>
          <w:i/>
          <w:lang w:val="en"/>
        </w:rPr>
        <w:t>Chasing after street gangs: A forty-year journey</w:t>
      </w:r>
      <w:r w:rsidRPr="00BD21D1">
        <w:rPr>
          <w:lang w:val="en"/>
        </w:rPr>
        <w:t xml:space="preserve">. </w:t>
      </w:r>
      <w:r w:rsidR="008F1415">
        <w:rPr>
          <w:lang w:val="en"/>
        </w:rPr>
        <w:t xml:space="preserve">Upper Saddle River, NJ: </w:t>
      </w:r>
      <w:r w:rsidRPr="00BD21D1">
        <w:rPr>
          <w:lang w:val="en"/>
        </w:rPr>
        <w:t>Pearson Prentice Hall.</w:t>
      </w:r>
    </w:p>
    <w:p w14:paraId="7F4F50DA" w14:textId="77777777" w:rsidR="00BD21D1" w:rsidRPr="00BD21D1" w:rsidRDefault="00BD21D1" w:rsidP="006652D2">
      <w:pPr>
        <w:pStyle w:val="References"/>
        <w:spacing w:line="480" w:lineRule="auto"/>
        <w:rPr>
          <w:lang w:val="en"/>
        </w:rPr>
      </w:pPr>
      <w:proofErr w:type="spellStart"/>
      <w:r w:rsidRPr="00BD21D1">
        <w:rPr>
          <w:lang w:val="en"/>
        </w:rPr>
        <w:t>Krohn</w:t>
      </w:r>
      <w:proofErr w:type="spellEnd"/>
      <w:r w:rsidRPr="00BD21D1">
        <w:rPr>
          <w:lang w:val="en"/>
        </w:rPr>
        <w:t xml:space="preserve">, M. D., Schmidt, N. M., Lizotte, A. J., &amp; Baldwin, J. M. (2011). The impact of Multiple Marginality on gang membership and delinquent behavior for Hispanic, African American, and white male adolescents. </w:t>
      </w:r>
      <w:r w:rsidRPr="00BD21D1">
        <w:rPr>
          <w:i/>
          <w:lang w:val="en"/>
        </w:rPr>
        <w:t>Journal of Contemporary Criminal Justice, 27</w:t>
      </w:r>
      <w:r w:rsidRPr="00BD21D1">
        <w:rPr>
          <w:lang w:val="en"/>
        </w:rPr>
        <w:t>(1), 18-42.</w:t>
      </w:r>
    </w:p>
    <w:p w14:paraId="20DDB362" w14:textId="6A8961F1" w:rsidR="00BD21D1" w:rsidRPr="00BD21D1" w:rsidRDefault="00BD21D1" w:rsidP="006652D2">
      <w:pPr>
        <w:pStyle w:val="References"/>
        <w:spacing w:line="480" w:lineRule="auto"/>
        <w:rPr>
          <w:lang w:val="en"/>
        </w:rPr>
      </w:pPr>
      <w:r w:rsidRPr="00BD21D1">
        <w:rPr>
          <w:lang w:val="en"/>
        </w:rPr>
        <w:t xml:space="preserve">Lee, S. (2016). </w:t>
      </w:r>
      <w:r w:rsidRPr="00BD21D1">
        <w:rPr>
          <w:i/>
          <w:lang w:val="en"/>
        </w:rPr>
        <w:t xml:space="preserve">Asian gangs in the </w:t>
      </w:r>
      <w:r w:rsidR="008F1415">
        <w:rPr>
          <w:i/>
          <w:lang w:val="en"/>
        </w:rPr>
        <w:t>U</w:t>
      </w:r>
      <w:r w:rsidRPr="00BD21D1">
        <w:rPr>
          <w:i/>
          <w:lang w:val="en"/>
        </w:rPr>
        <w:t xml:space="preserve">nited </w:t>
      </w:r>
      <w:r w:rsidR="008F1415">
        <w:rPr>
          <w:i/>
          <w:lang w:val="en"/>
        </w:rPr>
        <w:t>S</w:t>
      </w:r>
      <w:r w:rsidRPr="00BD21D1">
        <w:rPr>
          <w:i/>
          <w:lang w:val="en"/>
        </w:rPr>
        <w:t>tates: A meta-synthesis</w:t>
      </w:r>
      <w:r w:rsidRPr="00BD21D1">
        <w:rPr>
          <w:lang w:val="en"/>
        </w:rPr>
        <w:t xml:space="preserve"> (Unpublished Master’s Thesis). Retrieved from </w:t>
      </w:r>
      <w:hyperlink r:id="rId11" w:history="1">
        <w:r w:rsidR="008F1415" w:rsidRPr="001C2B71">
          <w:rPr>
            <w:rStyle w:val="Hyperlink"/>
            <w:lang w:val="en"/>
          </w:rPr>
          <w:t>https://core.ac.uk/download/pdf/60589284.pdf</w:t>
        </w:r>
      </w:hyperlink>
      <w:r w:rsidR="008F1415">
        <w:rPr>
          <w:lang w:val="en"/>
        </w:rPr>
        <w:t xml:space="preserve">. </w:t>
      </w:r>
    </w:p>
    <w:p w14:paraId="698B80CF" w14:textId="77777777" w:rsidR="00727520" w:rsidRDefault="624E573A" w:rsidP="006652D2">
      <w:pPr>
        <w:pStyle w:val="References"/>
        <w:spacing w:line="480" w:lineRule="auto"/>
      </w:pPr>
      <w:r>
        <w:t xml:space="preserve">Lopez, D. A., &amp; Brummett, P. O. D. (2003). Gang membership and acculturation: ARSMA-II and </w:t>
      </w:r>
      <w:proofErr w:type="spellStart"/>
      <w:r>
        <w:t>choloization</w:t>
      </w:r>
      <w:proofErr w:type="spellEnd"/>
      <w:r>
        <w:t>. </w:t>
      </w:r>
      <w:r w:rsidRPr="624E573A">
        <w:rPr>
          <w:i/>
          <w:iCs/>
        </w:rPr>
        <w:t>Crime &amp; Delinquency</w:t>
      </w:r>
      <w:r>
        <w:t>, </w:t>
      </w:r>
      <w:r w:rsidRPr="624E573A">
        <w:rPr>
          <w:i/>
          <w:iCs/>
        </w:rPr>
        <w:t>49</w:t>
      </w:r>
      <w:r>
        <w:t>(4), 627-642.</w:t>
      </w:r>
    </w:p>
    <w:p w14:paraId="0C95475B" w14:textId="7257C97B" w:rsidR="624E573A" w:rsidRPr="004F4488" w:rsidRDefault="004F5ADC" w:rsidP="006652D2">
      <w:pPr>
        <w:pStyle w:val="References"/>
        <w:spacing w:line="480" w:lineRule="auto"/>
        <w:rPr>
          <w:color w:val="444444"/>
          <w:lang w:val="en"/>
        </w:rPr>
      </w:pPr>
      <w:proofErr w:type="spellStart"/>
      <w:r w:rsidRPr="004F4488">
        <w:t>Lösel</w:t>
      </w:r>
      <w:proofErr w:type="spellEnd"/>
      <w:r w:rsidR="624E573A" w:rsidRPr="004F4488">
        <w:rPr>
          <w:color w:val="444444"/>
          <w:lang w:val="en"/>
        </w:rPr>
        <w:t xml:space="preserve">, F. (2001). Nonviolence: Protective factors. In Smelser, N. J., &amp; </w:t>
      </w:r>
      <w:proofErr w:type="spellStart"/>
      <w:r w:rsidR="624E573A" w:rsidRPr="004F4488">
        <w:rPr>
          <w:color w:val="444444"/>
          <w:lang w:val="en"/>
        </w:rPr>
        <w:t>Baltes</w:t>
      </w:r>
      <w:proofErr w:type="spellEnd"/>
      <w:r w:rsidR="624E573A" w:rsidRPr="004F4488">
        <w:rPr>
          <w:color w:val="444444"/>
          <w:lang w:val="en"/>
        </w:rPr>
        <w:t xml:space="preserve">, P. B. (Eds.), </w:t>
      </w:r>
      <w:r w:rsidR="624E573A" w:rsidRPr="004F4488">
        <w:rPr>
          <w:i/>
          <w:iCs/>
          <w:color w:val="444444"/>
          <w:lang w:val="en"/>
        </w:rPr>
        <w:t>International encyclopedia of the social &amp; behavioral sciences</w:t>
      </w:r>
      <w:r w:rsidR="624E573A" w:rsidRPr="004F4488">
        <w:rPr>
          <w:color w:val="444444"/>
          <w:lang w:val="en"/>
        </w:rPr>
        <w:t xml:space="preserve"> (pp. 10706-10711). Amsterdam: Elsevier.</w:t>
      </w:r>
    </w:p>
    <w:p w14:paraId="7437831A" w14:textId="6EAC782E" w:rsidR="00BD21D1" w:rsidRPr="00BD21D1" w:rsidRDefault="00BD21D1" w:rsidP="006652D2">
      <w:pPr>
        <w:pStyle w:val="References"/>
        <w:spacing w:line="480" w:lineRule="auto"/>
        <w:rPr>
          <w:lang w:val="en"/>
        </w:rPr>
      </w:pPr>
      <w:r w:rsidRPr="00BD21D1">
        <w:rPr>
          <w:lang w:val="en"/>
        </w:rPr>
        <w:t>Luke, D. A. (2004). </w:t>
      </w:r>
      <w:r w:rsidRPr="00BD21D1">
        <w:rPr>
          <w:i/>
          <w:iCs/>
          <w:lang w:val="en"/>
        </w:rPr>
        <w:t>Multilevel modeling</w:t>
      </w:r>
      <w:r w:rsidRPr="00BD21D1">
        <w:rPr>
          <w:lang w:val="en"/>
        </w:rPr>
        <w:t> (Vol. 143). Sage</w:t>
      </w:r>
      <w:r w:rsidR="008F1415">
        <w:rPr>
          <w:lang w:val="en"/>
        </w:rPr>
        <w:t xml:space="preserve"> Publishing</w:t>
      </w:r>
      <w:r w:rsidRPr="00BD21D1">
        <w:rPr>
          <w:lang w:val="en"/>
        </w:rPr>
        <w:t>.</w:t>
      </w:r>
    </w:p>
    <w:p w14:paraId="6771C20E" w14:textId="47263969" w:rsidR="00BD21D1" w:rsidRDefault="00BD21D1" w:rsidP="006652D2">
      <w:pPr>
        <w:pStyle w:val="References"/>
        <w:spacing w:line="480" w:lineRule="auto"/>
        <w:rPr>
          <w:lang w:val="en"/>
        </w:rPr>
      </w:pPr>
      <w:r w:rsidRPr="00BD21D1">
        <w:rPr>
          <w:lang w:val="en"/>
        </w:rPr>
        <w:t xml:space="preserve">Page, B., &amp; Marcelin, L. H. (2003). Formation of gangs and involvement in drug use among marginalized youth: Uses of the anthropological view. </w:t>
      </w:r>
      <w:r w:rsidRPr="00BD21D1">
        <w:rPr>
          <w:i/>
          <w:lang w:val="en"/>
        </w:rPr>
        <w:t xml:space="preserve">Free Inquiry </w:t>
      </w:r>
      <w:proofErr w:type="gramStart"/>
      <w:r w:rsidRPr="00BD21D1">
        <w:rPr>
          <w:i/>
          <w:lang w:val="en"/>
        </w:rPr>
        <w:t>In</w:t>
      </w:r>
      <w:proofErr w:type="gramEnd"/>
      <w:r w:rsidRPr="00BD21D1">
        <w:rPr>
          <w:i/>
          <w:lang w:val="en"/>
        </w:rPr>
        <w:t xml:space="preserve"> Creative Sociology, 31</w:t>
      </w:r>
      <w:r w:rsidRPr="00BD21D1">
        <w:rPr>
          <w:lang w:val="en"/>
        </w:rPr>
        <w:t xml:space="preserve">(2), </w:t>
      </w:r>
      <w:r w:rsidR="008F1415">
        <w:rPr>
          <w:lang w:val="en"/>
        </w:rPr>
        <w:t>175-182</w:t>
      </w:r>
      <w:r w:rsidRPr="00BD21D1">
        <w:rPr>
          <w:lang w:val="en"/>
        </w:rPr>
        <w:t>.</w:t>
      </w:r>
    </w:p>
    <w:p w14:paraId="20755686" w14:textId="04918A9B" w:rsidR="00F75887" w:rsidRPr="00BD21D1" w:rsidRDefault="00F75887" w:rsidP="006652D2">
      <w:pPr>
        <w:pStyle w:val="References"/>
        <w:spacing w:line="480" w:lineRule="auto"/>
        <w:rPr>
          <w:lang w:val="en"/>
        </w:rPr>
      </w:pPr>
      <w:proofErr w:type="spellStart"/>
      <w:r w:rsidRPr="00F75887">
        <w:t>Pyrooz</w:t>
      </w:r>
      <w:proofErr w:type="spellEnd"/>
      <w:r w:rsidRPr="00F75887">
        <w:t xml:space="preserve">, D. C., &amp; </w:t>
      </w:r>
      <w:proofErr w:type="spellStart"/>
      <w:r w:rsidRPr="00F75887">
        <w:t>Densley</w:t>
      </w:r>
      <w:proofErr w:type="spellEnd"/>
      <w:r w:rsidRPr="00F75887">
        <w:t xml:space="preserve">, J. A. (2016). Selection into street gangs: </w:t>
      </w:r>
      <w:proofErr w:type="spellStart"/>
      <w:r w:rsidRPr="00F75887">
        <w:t>Signaling</w:t>
      </w:r>
      <w:proofErr w:type="spellEnd"/>
      <w:r w:rsidRPr="00F75887">
        <w:t xml:space="preserve"> theory, gang membership, and criminal offending. </w:t>
      </w:r>
      <w:r w:rsidRPr="00F75887">
        <w:rPr>
          <w:i/>
          <w:iCs/>
        </w:rPr>
        <w:t>Journal of Research in Crime and Delinquency</w:t>
      </w:r>
      <w:r w:rsidRPr="00F75887">
        <w:t>, </w:t>
      </w:r>
      <w:r w:rsidRPr="00F75887">
        <w:rPr>
          <w:i/>
          <w:iCs/>
        </w:rPr>
        <w:t>53</w:t>
      </w:r>
      <w:r w:rsidRPr="00F75887">
        <w:t>(4), 447-481.</w:t>
      </w:r>
    </w:p>
    <w:p w14:paraId="122E91B8" w14:textId="77777777" w:rsidR="00BD21D1" w:rsidRPr="00BD21D1" w:rsidRDefault="00BD21D1" w:rsidP="006652D2">
      <w:pPr>
        <w:pStyle w:val="References"/>
        <w:spacing w:line="480" w:lineRule="auto"/>
        <w:rPr>
          <w:lang w:val="en"/>
        </w:rPr>
      </w:pPr>
      <w:proofErr w:type="spellStart"/>
      <w:r w:rsidRPr="00BD21D1">
        <w:rPr>
          <w:lang w:val="en"/>
        </w:rPr>
        <w:t>Pyrooz</w:t>
      </w:r>
      <w:proofErr w:type="spellEnd"/>
      <w:r w:rsidRPr="00BD21D1">
        <w:rPr>
          <w:lang w:val="en"/>
        </w:rPr>
        <w:t xml:space="preserve">, D. C., Fox, A. M., &amp; Decker, S. H. (2010). Racial and ethnic heterogeneity, economic disadvantage, and gangs: A macro‐level study of gang membership in urban America. </w:t>
      </w:r>
      <w:r w:rsidRPr="00BD21D1">
        <w:rPr>
          <w:i/>
          <w:lang w:val="en"/>
        </w:rPr>
        <w:t>Justice Quarterly, 27</w:t>
      </w:r>
      <w:r w:rsidRPr="00BD21D1">
        <w:rPr>
          <w:lang w:val="en"/>
        </w:rPr>
        <w:t>(6), 867-892.</w:t>
      </w:r>
    </w:p>
    <w:p w14:paraId="1F98F246" w14:textId="6EE899BD" w:rsidR="00BD21D1" w:rsidRPr="00BD21D1" w:rsidRDefault="00BD21D1" w:rsidP="006652D2">
      <w:pPr>
        <w:pStyle w:val="References"/>
        <w:spacing w:line="480" w:lineRule="auto"/>
        <w:rPr>
          <w:lang w:val="en"/>
        </w:rPr>
      </w:pPr>
      <w:r w:rsidRPr="00BD21D1">
        <w:rPr>
          <w:lang w:val="en"/>
        </w:rPr>
        <w:lastRenderedPageBreak/>
        <w:t xml:space="preserve">Quinn, K., Walsh, J. L., &amp; Dickson-Gomez, J. (2018). Multiple marginality and the variation in delinquency and substance use among adolescent gang members. </w:t>
      </w:r>
      <w:r w:rsidRPr="00BD21D1">
        <w:rPr>
          <w:i/>
          <w:lang w:val="en"/>
        </w:rPr>
        <w:t xml:space="preserve">Substance Use &amp; Misuse, </w:t>
      </w:r>
      <w:r w:rsidRPr="00BD21D1">
        <w:rPr>
          <w:lang w:val="en"/>
        </w:rPr>
        <w:t xml:space="preserve">1–16. </w:t>
      </w:r>
    </w:p>
    <w:p w14:paraId="49932445" w14:textId="7509AD2A" w:rsidR="00BD21D1" w:rsidRPr="00BD21D1" w:rsidRDefault="00BD21D1" w:rsidP="006652D2">
      <w:pPr>
        <w:pStyle w:val="References"/>
        <w:spacing w:line="480" w:lineRule="auto"/>
        <w:rPr>
          <w:lang w:val="en"/>
        </w:rPr>
      </w:pPr>
      <w:proofErr w:type="spellStart"/>
      <w:r w:rsidRPr="00BD21D1">
        <w:rPr>
          <w:lang w:val="en"/>
        </w:rPr>
        <w:t>Raudenbush</w:t>
      </w:r>
      <w:proofErr w:type="spellEnd"/>
      <w:r w:rsidRPr="00BD21D1">
        <w:rPr>
          <w:lang w:val="en"/>
        </w:rPr>
        <w:t>, S. W., &amp; Bryk, A. S. (2002). </w:t>
      </w:r>
      <w:r w:rsidRPr="00BD21D1">
        <w:rPr>
          <w:i/>
          <w:iCs/>
          <w:lang w:val="en"/>
        </w:rPr>
        <w:t>Hierarchical linear models: Applications and data analysis methods</w:t>
      </w:r>
      <w:r w:rsidRPr="00BD21D1">
        <w:rPr>
          <w:lang w:val="en"/>
        </w:rPr>
        <w:t> (Vol. 1). Sage</w:t>
      </w:r>
      <w:r w:rsidR="00666986">
        <w:rPr>
          <w:lang w:val="en"/>
        </w:rPr>
        <w:t xml:space="preserve"> Publishing</w:t>
      </w:r>
      <w:r w:rsidRPr="00BD21D1">
        <w:rPr>
          <w:lang w:val="en"/>
        </w:rPr>
        <w:t>.</w:t>
      </w:r>
    </w:p>
    <w:p w14:paraId="2CE357CA" w14:textId="6C5ED640" w:rsidR="00BD21D1" w:rsidRPr="00BD21D1" w:rsidRDefault="00BD21D1" w:rsidP="006652D2">
      <w:pPr>
        <w:pStyle w:val="References"/>
        <w:spacing w:line="480" w:lineRule="auto"/>
        <w:rPr>
          <w:lang w:val="en-US"/>
        </w:rPr>
      </w:pPr>
      <w:r w:rsidRPr="00BD21D1">
        <w:rPr>
          <w:lang w:val="en-US"/>
        </w:rPr>
        <w:t>Shaw, C. R., &amp; McKay, H. D. (1942). </w:t>
      </w:r>
      <w:r w:rsidRPr="00BD21D1">
        <w:rPr>
          <w:i/>
          <w:iCs/>
          <w:lang w:val="en-US"/>
        </w:rPr>
        <w:t>Juvenile delinquency and urban areas: A study of rates of delinquents in relation to differential characteristics of local communities in American cities</w:t>
      </w:r>
      <w:r w:rsidRPr="00BD21D1">
        <w:rPr>
          <w:lang w:val="en-US"/>
        </w:rPr>
        <w:t>. Chicago, I</w:t>
      </w:r>
      <w:r w:rsidR="00666986">
        <w:rPr>
          <w:lang w:val="en-US"/>
        </w:rPr>
        <w:t>L</w:t>
      </w:r>
      <w:r w:rsidRPr="00BD21D1">
        <w:rPr>
          <w:lang w:val="en-US"/>
        </w:rPr>
        <w:t>: The University of Chicago Press.</w:t>
      </w:r>
    </w:p>
    <w:p w14:paraId="28ABA95D" w14:textId="3BC8EB83" w:rsidR="00BD21D1" w:rsidRPr="00BD21D1" w:rsidRDefault="00BD21D1" w:rsidP="006652D2">
      <w:pPr>
        <w:pStyle w:val="References"/>
        <w:spacing w:line="480" w:lineRule="auto"/>
        <w:rPr>
          <w:lang w:val="en"/>
        </w:rPr>
      </w:pPr>
      <w:r w:rsidRPr="00BD21D1">
        <w:rPr>
          <w:lang w:val="en-US"/>
        </w:rPr>
        <w:t>United Nations Population Division</w:t>
      </w:r>
      <w:r w:rsidR="00666986">
        <w:rPr>
          <w:lang w:val="en-US"/>
        </w:rPr>
        <w:t xml:space="preserve">. (2017). </w:t>
      </w:r>
      <w:r w:rsidRPr="00A226F9">
        <w:rPr>
          <w:i/>
          <w:iCs/>
          <w:lang w:val="en-US"/>
        </w:rPr>
        <w:t xml:space="preserve">Trends in </w:t>
      </w:r>
      <w:r w:rsidR="00666986" w:rsidRPr="00A226F9">
        <w:rPr>
          <w:i/>
          <w:iCs/>
          <w:lang w:val="en-US"/>
        </w:rPr>
        <w:t>t</w:t>
      </w:r>
      <w:r w:rsidRPr="00A226F9">
        <w:rPr>
          <w:i/>
          <w:iCs/>
          <w:lang w:val="en-US"/>
        </w:rPr>
        <w:t xml:space="preserve">otal </w:t>
      </w:r>
      <w:r w:rsidR="00666986" w:rsidRPr="00A226F9">
        <w:rPr>
          <w:i/>
          <w:iCs/>
          <w:lang w:val="en-US"/>
        </w:rPr>
        <w:t>m</w:t>
      </w:r>
      <w:r w:rsidRPr="00A226F9">
        <w:rPr>
          <w:i/>
          <w:iCs/>
          <w:lang w:val="en-US"/>
        </w:rPr>
        <w:t xml:space="preserve">igrant </w:t>
      </w:r>
      <w:r w:rsidR="00666986" w:rsidRPr="00A226F9">
        <w:rPr>
          <w:i/>
          <w:iCs/>
          <w:lang w:val="en-US"/>
        </w:rPr>
        <w:t>s</w:t>
      </w:r>
      <w:r w:rsidRPr="00A226F9">
        <w:rPr>
          <w:i/>
          <w:iCs/>
          <w:lang w:val="en-US"/>
        </w:rPr>
        <w:t xml:space="preserve">tock: 2017 </w:t>
      </w:r>
      <w:r w:rsidR="00666986" w:rsidRPr="00A226F9">
        <w:rPr>
          <w:i/>
          <w:iCs/>
          <w:lang w:val="en-US"/>
        </w:rPr>
        <w:t>r</w:t>
      </w:r>
      <w:r w:rsidRPr="00A226F9">
        <w:rPr>
          <w:i/>
          <w:iCs/>
          <w:lang w:val="en-US"/>
        </w:rPr>
        <w:t>evision.</w:t>
      </w:r>
      <w:r w:rsidRPr="00BD21D1">
        <w:rPr>
          <w:lang w:val="en-US"/>
        </w:rPr>
        <w:t xml:space="preserve"> Retrieved [March 21, 2019] from</w:t>
      </w:r>
      <w:r w:rsidR="00666986">
        <w:rPr>
          <w:lang w:val="en-US"/>
        </w:rPr>
        <w:t xml:space="preserve"> </w:t>
      </w:r>
      <w:r w:rsidR="00666986" w:rsidRPr="00A226F9">
        <w:t>https://www.un.org/en/development/desa/population/migration/</w:t>
      </w:r>
      <w:r w:rsidR="00666986">
        <w:rPr>
          <w:lang w:val="en"/>
        </w:rPr>
        <w:t xml:space="preserve"> </w:t>
      </w:r>
      <w:r w:rsidRPr="00BD21D1">
        <w:rPr>
          <w:lang w:val="en"/>
        </w:rPr>
        <w:t>data/estimates2/estimates15.asp</w:t>
      </w:r>
    </w:p>
    <w:p w14:paraId="5C8D2B7A" w14:textId="25FFDC3B" w:rsidR="00BD21D1" w:rsidRPr="00BD21D1" w:rsidRDefault="00BD21D1" w:rsidP="006652D2">
      <w:pPr>
        <w:pStyle w:val="References"/>
        <w:spacing w:line="480" w:lineRule="auto"/>
        <w:rPr>
          <w:lang w:val="en-US"/>
        </w:rPr>
      </w:pPr>
      <w:r w:rsidRPr="00BD21D1">
        <w:rPr>
          <w:lang w:val="en"/>
        </w:rPr>
        <w:t xml:space="preserve">Van </w:t>
      </w:r>
      <w:proofErr w:type="spellStart"/>
      <w:r w:rsidRPr="00BD21D1">
        <w:rPr>
          <w:lang w:val="en"/>
        </w:rPr>
        <w:t>Gemert</w:t>
      </w:r>
      <w:proofErr w:type="spellEnd"/>
      <w:r w:rsidRPr="00BD21D1">
        <w:rPr>
          <w:lang w:val="en"/>
        </w:rPr>
        <w:t xml:space="preserve">, F., &amp; </w:t>
      </w:r>
      <w:proofErr w:type="spellStart"/>
      <w:r w:rsidRPr="00BD21D1">
        <w:rPr>
          <w:lang w:val="en"/>
        </w:rPr>
        <w:t>Weerman</w:t>
      </w:r>
      <w:proofErr w:type="spellEnd"/>
      <w:r w:rsidRPr="00BD21D1">
        <w:rPr>
          <w:lang w:val="en"/>
        </w:rPr>
        <w:t>, F. (2015). Understanding European gangs.</w:t>
      </w:r>
      <w:r w:rsidR="00666986">
        <w:rPr>
          <w:lang w:val="en"/>
        </w:rPr>
        <w:t xml:space="preserve"> In S. H. Decker &amp; D. C. </w:t>
      </w:r>
      <w:proofErr w:type="spellStart"/>
      <w:r w:rsidR="00666986">
        <w:rPr>
          <w:lang w:val="en"/>
        </w:rPr>
        <w:t>Pyrooz</w:t>
      </w:r>
      <w:proofErr w:type="spellEnd"/>
      <w:r w:rsidR="00666986">
        <w:rPr>
          <w:lang w:val="en"/>
        </w:rPr>
        <w:t xml:space="preserve"> (Eds.),</w:t>
      </w:r>
      <w:r w:rsidRPr="00BD21D1">
        <w:rPr>
          <w:lang w:val="en"/>
        </w:rPr>
        <w:t> </w:t>
      </w:r>
      <w:r w:rsidRPr="00BD21D1">
        <w:rPr>
          <w:i/>
          <w:iCs/>
          <w:lang w:val="en"/>
        </w:rPr>
        <w:t>The handbook of gangs</w:t>
      </w:r>
      <w:r w:rsidR="00666986">
        <w:rPr>
          <w:lang w:val="en"/>
        </w:rPr>
        <w:t xml:space="preserve"> (pp. </w:t>
      </w:r>
      <w:r w:rsidRPr="00BD21D1">
        <w:rPr>
          <w:lang w:val="en"/>
        </w:rPr>
        <w:t>503-19</w:t>
      </w:r>
      <w:r w:rsidR="00666986">
        <w:rPr>
          <w:lang w:val="en"/>
        </w:rPr>
        <w:t>)</w:t>
      </w:r>
      <w:r w:rsidRPr="00BD21D1">
        <w:rPr>
          <w:lang w:val="en"/>
        </w:rPr>
        <w:t>.</w:t>
      </w:r>
      <w:r w:rsidR="00666986">
        <w:rPr>
          <w:lang w:val="en"/>
        </w:rPr>
        <w:t xml:space="preserve"> John Wiley &amp; Sons, Inc.</w:t>
      </w:r>
    </w:p>
    <w:p w14:paraId="2EC9C73B" w14:textId="77777777" w:rsidR="00BD21D1" w:rsidRPr="00BD21D1" w:rsidRDefault="00BD21D1" w:rsidP="006652D2">
      <w:pPr>
        <w:pStyle w:val="References"/>
        <w:spacing w:line="480" w:lineRule="auto"/>
        <w:rPr>
          <w:lang w:val="en"/>
        </w:rPr>
      </w:pPr>
      <w:r w:rsidRPr="00BD21D1">
        <w:rPr>
          <w:lang w:val="en"/>
        </w:rPr>
        <w:t xml:space="preserve">Van Ngo, H., Calhoun, A., Worthington, C., </w:t>
      </w:r>
      <w:proofErr w:type="spellStart"/>
      <w:r w:rsidRPr="00BD21D1">
        <w:rPr>
          <w:lang w:val="en"/>
        </w:rPr>
        <w:t>Pyrch</w:t>
      </w:r>
      <w:proofErr w:type="spellEnd"/>
      <w:r w:rsidRPr="00BD21D1">
        <w:rPr>
          <w:lang w:val="en"/>
        </w:rPr>
        <w:t xml:space="preserve">, T., &amp; Este, D. (2017). The unravelling of identities and belonging: Criminal gang involvement of youth from immigrant families. </w:t>
      </w:r>
      <w:r w:rsidRPr="00BD21D1">
        <w:rPr>
          <w:i/>
          <w:lang w:val="en"/>
        </w:rPr>
        <w:t>Journal of International Migration and Integration, 18</w:t>
      </w:r>
      <w:r w:rsidRPr="00BD21D1">
        <w:rPr>
          <w:lang w:val="en"/>
        </w:rPr>
        <w:t xml:space="preserve">(1), 63-84. </w:t>
      </w:r>
    </w:p>
    <w:p w14:paraId="0DECE918" w14:textId="77777777" w:rsidR="00BD21D1" w:rsidRPr="00BD21D1" w:rsidRDefault="00BD21D1" w:rsidP="006652D2">
      <w:pPr>
        <w:pStyle w:val="References"/>
        <w:spacing w:line="480" w:lineRule="auto"/>
        <w:rPr>
          <w:lang w:val="en"/>
        </w:rPr>
      </w:pPr>
      <w:r w:rsidRPr="00BD21D1">
        <w:rPr>
          <w:lang w:val="en"/>
        </w:rPr>
        <w:t xml:space="preserve">Ventura Miller, H., Barnes, J. C., &amp; Hartley, R. D. (2011). Reconsidering Hispanic gang membership and acculturation in a multivariate context. </w:t>
      </w:r>
      <w:r w:rsidRPr="00BD21D1">
        <w:rPr>
          <w:i/>
          <w:lang w:val="en"/>
        </w:rPr>
        <w:t>Crime &amp; Delinquency, 57</w:t>
      </w:r>
      <w:r w:rsidRPr="00BD21D1">
        <w:rPr>
          <w:lang w:val="en"/>
        </w:rPr>
        <w:t>(3), 331-355.</w:t>
      </w:r>
    </w:p>
    <w:p w14:paraId="54B6FC35" w14:textId="77777777" w:rsidR="00BD21D1" w:rsidRPr="00BD21D1" w:rsidRDefault="00BD21D1" w:rsidP="006652D2">
      <w:pPr>
        <w:pStyle w:val="References"/>
        <w:spacing w:line="480" w:lineRule="auto"/>
        <w:rPr>
          <w:lang w:val="en"/>
        </w:rPr>
      </w:pPr>
      <w:r w:rsidRPr="00BD21D1">
        <w:rPr>
          <w:lang w:val="en"/>
        </w:rPr>
        <w:t xml:space="preserve">Vigil, D. (1979). Adaptation strategies and cultural life styles of Mexican American adolescents. </w:t>
      </w:r>
      <w:r w:rsidRPr="00BD21D1">
        <w:rPr>
          <w:i/>
          <w:lang w:val="en"/>
        </w:rPr>
        <w:t>Hispanic journal of behavioral sciences, 1</w:t>
      </w:r>
      <w:r w:rsidRPr="00BD21D1">
        <w:rPr>
          <w:lang w:val="en"/>
        </w:rPr>
        <w:t>(4), 375-392.</w:t>
      </w:r>
    </w:p>
    <w:p w14:paraId="0AF669D4" w14:textId="77777777" w:rsidR="00BD21D1" w:rsidRPr="00BD21D1" w:rsidRDefault="00BD21D1" w:rsidP="006652D2">
      <w:pPr>
        <w:pStyle w:val="References"/>
        <w:spacing w:line="480" w:lineRule="auto"/>
        <w:rPr>
          <w:lang w:val="en"/>
        </w:rPr>
      </w:pPr>
      <w:r w:rsidRPr="00BD21D1">
        <w:rPr>
          <w:lang w:val="en"/>
        </w:rPr>
        <w:lastRenderedPageBreak/>
        <w:t xml:space="preserve">Vigil, J. D. (1983). Chicano gangs: One response to Mexican urban adaptation in the Los Angeles area. </w:t>
      </w:r>
      <w:r w:rsidRPr="00BD21D1">
        <w:rPr>
          <w:i/>
          <w:lang w:val="en"/>
        </w:rPr>
        <w:t>Urban anthropology, 12</w:t>
      </w:r>
      <w:r w:rsidRPr="00BD21D1">
        <w:rPr>
          <w:lang w:val="en"/>
        </w:rPr>
        <w:t>(1), 45-75.</w:t>
      </w:r>
    </w:p>
    <w:p w14:paraId="2A46A510" w14:textId="1D8A7D8C" w:rsidR="00BD21D1" w:rsidRPr="00BD21D1" w:rsidRDefault="00BD21D1" w:rsidP="006652D2">
      <w:pPr>
        <w:pStyle w:val="References"/>
        <w:spacing w:line="480" w:lineRule="auto"/>
        <w:rPr>
          <w:lang w:val="en"/>
        </w:rPr>
      </w:pPr>
      <w:r w:rsidRPr="00BD21D1">
        <w:rPr>
          <w:lang w:val="en"/>
        </w:rPr>
        <w:t xml:space="preserve">Vigil, J. D. (1988). </w:t>
      </w:r>
      <w:r w:rsidRPr="00BD21D1">
        <w:rPr>
          <w:i/>
          <w:lang w:val="en"/>
        </w:rPr>
        <w:t>Barrio gangs: Street life and identity in Southern California</w:t>
      </w:r>
      <w:r w:rsidRPr="00BD21D1">
        <w:rPr>
          <w:lang w:val="en"/>
        </w:rPr>
        <w:t xml:space="preserve">. </w:t>
      </w:r>
      <w:r w:rsidR="00666986">
        <w:rPr>
          <w:lang w:val="en"/>
        </w:rPr>
        <w:t xml:space="preserve">Austin, TX: </w:t>
      </w:r>
      <w:r w:rsidRPr="00BD21D1">
        <w:rPr>
          <w:lang w:val="en"/>
        </w:rPr>
        <w:t xml:space="preserve">University of Texas Press. </w:t>
      </w:r>
    </w:p>
    <w:p w14:paraId="225601C3" w14:textId="054C4498" w:rsidR="00BD21D1" w:rsidRPr="00BD21D1" w:rsidRDefault="00BD21D1" w:rsidP="006652D2">
      <w:pPr>
        <w:pStyle w:val="References"/>
        <w:spacing w:line="480" w:lineRule="auto"/>
        <w:rPr>
          <w:lang w:val="en"/>
        </w:rPr>
      </w:pPr>
      <w:r w:rsidRPr="00BD21D1">
        <w:rPr>
          <w:lang w:val="en"/>
        </w:rPr>
        <w:t xml:space="preserve">Vigil, D. (2002). </w:t>
      </w:r>
      <w:r w:rsidRPr="00BD21D1">
        <w:rPr>
          <w:i/>
          <w:lang w:val="en"/>
        </w:rPr>
        <w:t>A rainbow of gangs: Street cultures in the mega-city.</w:t>
      </w:r>
      <w:r w:rsidRPr="00BD21D1">
        <w:rPr>
          <w:lang w:val="en"/>
        </w:rPr>
        <w:t xml:space="preserve"> </w:t>
      </w:r>
      <w:r w:rsidR="00666986">
        <w:rPr>
          <w:lang w:val="en"/>
        </w:rPr>
        <w:t xml:space="preserve">Austin, TX: </w:t>
      </w:r>
      <w:r w:rsidRPr="00BD21D1">
        <w:rPr>
          <w:lang w:val="en"/>
        </w:rPr>
        <w:t>University of Texas Press.</w:t>
      </w:r>
    </w:p>
    <w:p w14:paraId="588E63B0" w14:textId="77777777" w:rsidR="00BD21D1" w:rsidRPr="00BD21D1" w:rsidRDefault="00BD21D1" w:rsidP="006652D2">
      <w:pPr>
        <w:pStyle w:val="References"/>
        <w:spacing w:line="480" w:lineRule="auto"/>
        <w:rPr>
          <w:lang w:val="en"/>
        </w:rPr>
      </w:pPr>
      <w:r w:rsidRPr="00BD21D1">
        <w:rPr>
          <w:lang w:val="en"/>
        </w:rPr>
        <w:t>Vigil, J. D. (2003). Urban violence and street gangs</w:t>
      </w:r>
      <w:r w:rsidRPr="00BD21D1">
        <w:rPr>
          <w:i/>
          <w:lang w:val="en"/>
        </w:rPr>
        <w:t>. Annual Review of Anthropology, 32</w:t>
      </w:r>
      <w:r w:rsidRPr="00BD21D1">
        <w:rPr>
          <w:lang w:val="en"/>
        </w:rPr>
        <w:t>(1), 225-242.</w:t>
      </w:r>
    </w:p>
    <w:p w14:paraId="69934C93" w14:textId="7063A090" w:rsidR="00BD21D1" w:rsidRPr="00BD21D1" w:rsidRDefault="00BD21D1" w:rsidP="006652D2">
      <w:pPr>
        <w:pStyle w:val="References"/>
        <w:spacing w:line="480" w:lineRule="auto"/>
        <w:rPr>
          <w:lang w:val="en"/>
        </w:rPr>
      </w:pPr>
      <w:r w:rsidRPr="00BD21D1">
        <w:rPr>
          <w:lang w:val="en"/>
        </w:rPr>
        <w:t xml:space="preserve">Vigil, J. D. (2010). </w:t>
      </w:r>
      <w:r w:rsidRPr="00BD21D1">
        <w:rPr>
          <w:i/>
          <w:lang w:val="en"/>
        </w:rPr>
        <w:t>Gang redux: A balanced anti-gang strategy.</w:t>
      </w:r>
      <w:r w:rsidRPr="00BD21D1">
        <w:rPr>
          <w:lang w:val="en"/>
        </w:rPr>
        <w:t xml:space="preserve"> Long Grove I</w:t>
      </w:r>
      <w:r w:rsidR="00666986">
        <w:rPr>
          <w:lang w:val="en"/>
        </w:rPr>
        <w:t>L</w:t>
      </w:r>
      <w:r w:rsidRPr="00BD21D1">
        <w:rPr>
          <w:lang w:val="en"/>
        </w:rPr>
        <w:t>: Waveland Press.</w:t>
      </w:r>
    </w:p>
    <w:p w14:paraId="52ED83FC" w14:textId="77777777" w:rsidR="00BD21D1" w:rsidRPr="00BD21D1" w:rsidRDefault="00BD21D1" w:rsidP="006652D2">
      <w:pPr>
        <w:pStyle w:val="References"/>
        <w:spacing w:line="480" w:lineRule="auto"/>
        <w:rPr>
          <w:lang w:val="en"/>
        </w:rPr>
      </w:pPr>
      <w:proofErr w:type="spellStart"/>
      <w:r w:rsidRPr="00BD21D1">
        <w:rPr>
          <w:lang w:val="en"/>
        </w:rPr>
        <w:t>Weerman</w:t>
      </w:r>
      <w:proofErr w:type="spellEnd"/>
      <w:r w:rsidRPr="00BD21D1">
        <w:rPr>
          <w:lang w:val="en"/>
        </w:rPr>
        <w:t xml:space="preserve">, F. M., Maxson, C. L., </w:t>
      </w:r>
      <w:proofErr w:type="spellStart"/>
      <w:r w:rsidRPr="00BD21D1">
        <w:rPr>
          <w:lang w:val="en"/>
        </w:rPr>
        <w:t>Esbensen</w:t>
      </w:r>
      <w:proofErr w:type="spellEnd"/>
      <w:r w:rsidRPr="00BD21D1">
        <w:rPr>
          <w:lang w:val="en"/>
        </w:rPr>
        <w:t xml:space="preserve">, F. A., Aldridge, J., Medina, J., &amp; van </w:t>
      </w:r>
      <w:proofErr w:type="spellStart"/>
      <w:r w:rsidRPr="00BD21D1">
        <w:rPr>
          <w:lang w:val="en"/>
        </w:rPr>
        <w:t>Gemert</w:t>
      </w:r>
      <w:proofErr w:type="spellEnd"/>
      <w:r w:rsidRPr="00BD21D1">
        <w:rPr>
          <w:lang w:val="en"/>
        </w:rPr>
        <w:t xml:space="preserve">, F. (2009). </w:t>
      </w:r>
      <w:proofErr w:type="spellStart"/>
      <w:r w:rsidRPr="00BD21D1">
        <w:rPr>
          <w:i/>
          <w:iCs/>
          <w:lang w:val="en"/>
        </w:rPr>
        <w:t>Eurogang</w:t>
      </w:r>
      <w:proofErr w:type="spellEnd"/>
      <w:r w:rsidRPr="00BD21D1">
        <w:rPr>
          <w:i/>
          <w:iCs/>
          <w:lang w:val="en"/>
        </w:rPr>
        <w:t xml:space="preserve"> program manual.</w:t>
      </w:r>
      <w:r w:rsidRPr="00BD21D1">
        <w:rPr>
          <w:lang w:val="en"/>
        </w:rPr>
        <w:t xml:space="preserve"> University of Missouri-St. Louis. Online report.</w:t>
      </w:r>
    </w:p>
    <w:p w14:paraId="7CED398D" w14:textId="427FCF08" w:rsidR="00BD21D1" w:rsidRPr="00BD21D1" w:rsidRDefault="00BD21D1" w:rsidP="006652D2">
      <w:pPr>
        <w:pStyle w:val="References"/>
        <w:spacing w:line="480" w:lineRule="auto"/>
        <w:rPr>
          <w:lang w:val="en"/>
        </w:rPr>
      </w:pPr>
      <w:r w:rsidRPr="00BD21D1">
        <w:rPr>
          <w:lang w:val="en"/>
        </w:rPr>
        <w:t>Wolfgang M</w:t>
      </w:r>
      <w:r w:rsidR="00D961EE">
        <w:rPr>
          <w:lang w:val="en"/>
        </w:rPr>
        <w:t xml:space="preserve">. </w:t>
      </w:r>
      <w:r w:rsidRPr="00BD21D1">
        <w:rPr>
          <w:lang w:val="en"/>
        </w:rPr>
        <w:t>E</w:t>
      </w:r>
      <w:r w:rsidR="00D961EE">
        <w:rPr>
          <w:lang w:val="en"/>
        </w:rPr>
        <w:t>.</w:t>
      </w:r>
      <w:r w:rsidRPr="00BD21D1">
        <w:rPr>
          <w:lang w:val="en"/>
        </w:rPr>
        <w:t xml:space="preserve">, </w:t>
      </w:r>
      <w:r w:rsidR="00D961EE">
        <w:rPr>
          <w:lang w:val="en"/>
        </w:rPr>
        <w:t xml:space="preserve">&amp; </w:t>
      </w:r>
      <w:proofErr w:type="spellStart"/>
      <w:r w:rsidRPr="00BD21D1">
        <w:rPr>
          <w:lang w:val="en"/>
        </w:rPr>
        <w:t>Ferracuti</w:t>
      </w:r>
      <w:proofErr w:type="spellEnd"/>
      <w:r w:rsidRPr="00BD21D1">
        <w:rPr>
          <w:lang w:val="en"/>
        </w:rPr>
        <w:t xml:space="preserve"> F. </w:t>
      </w:r>
      <w:r w:rsidR="00D961EE">
        <w:rPr>
          <w:lang w:val="en"/>
        </w:rPr>
        <w:t>(</w:t>
      </w:r>
      <w:r w:rsidRPr="00BD21D1">
        <w:rPr>
          <w:lang w:val="en"/>
        </w:rPr>
        <w:t>1967</w:t>
      </w:r>
      <w:r w:rsidR="00D961EE">
        <w:rPr>
          <w:lang w:val="en"/>
        </w:rPr>
        <w:t>)</w:t>
      </w:r>
      <w:r w:rsidRPr="00BD21D1">
        <w:rPr>
          <w:lang w:val="en"/>
        </w:rPr>
        <w:t xml:space="preserve">. </w:t>
      </w:r>
      <w:r w:rsidRPr="00A226F9">
        <w:rPr>
          <w:i/>
          <w:iCs/>
          <w:lang w:val="en"/>
        </w:rPr>
        <w:t xml:space="preserve">The </w:t>
      </w:r>
      <w:r w:rsidR="00D961EE" w:rsidRPr="00A226F9">
        <w:rPr>
          <w:i/>
          <w:iCs/>
          <w:lang w:val="en"/>
        </w:rPr>
        <w:t>s</w:t>
      </w:r>
      <w:r w:rsidRPr="00A226F9">
        <w:rPr>
          <w:i/>
          <w:iCs/>
          <w:lang w:val="en"/>
        </w:rPr>
        <w:t xml:space="preserve">ubculture of </w:t>
      </w:r>
      <w:r w:rsidR="00D961EE" w:rsidRPr="00A226F9">
        <w:rPr>
          <w:i/>
          <w:iCs/>
          <w:lang w:val="en"/>
        </w:rPr>
        <w:t>v</w:t>
      </w:r>
      <w:r w:rsidRPr="00A226F9">
        <w:rPr>
          <w:i/>
          <w:iCs/>
          <w:lang w:val="en"/>
        </w:rPr>
        <w:t>iolence.</w:t>
      </w:r>
      <w:r w:rsidRPr="00BD21D1">
        <w:rPr>
          <w:lang w:val="en"/>
        </w:rPr>
        <w:t xml:space="preserve"> London</w:t>
      </w:r>
      <w:r w:rsidR="00666986">
        <w:rPr>
          <w:lang w:val="en"/>
        </w:rPr>
        <w:t>, UK</w:t>
      </w:r>
      <w:r w:rsidRPr="00BD21D1">
        <w:rPr>
          <w:lang w:val="en"/>
        </w:rPr>
        <w:t xml:space="preserve">: </w:t>
      </w:r>
      <w:proofErr w:type="spellStart"/>
      <w:r w:rsidRPr="00BD21D1">
        <w:rPr>
          <w:lang w:val="en"/>
        </w:rPr>
        <w:t>Tavistock</w:t>
      </w:r>
      <w:proofErr w:type="spellEnd"/>
      <w:r w:rsidR="00D961EE">
        <w:rPr>
          <w:lang w:val="en"/>
        </w:rPr>
        <w:t>.</w:t>
      </w:r>
    </w:p>
    <w:p w14:paraId="33C5E2B7" w14:textId="234E5321" w:rsidR="0038219D" w:rsidRDefault="00BD21D1" w:rsidP="006652D2">
      <w:pPr>
        <w:pStyle w:val="References"/>
        <w:spacing w:line="480" w:lineRule="auto"/>
        <w:rPr>
          <w:rStyle w:val="Hyperlink"/>
          <w:lang w:val="en"/>
        </w:rPr>
      </w:pPr>
      <w:r w:rsidRPr="00BD21D1">
        <w:rPr>
          <w:lang w:val="en"/>
        </w:rPr>
        <w:t>World Bank</w:t>
      </w:r>
      <w:r w:rsidR="00666986">
        <w:rPr>
          <w:lang w:val="en"/>
        </w:rPr>
        <w:t>. (n.d.).</w:t>
      </w:r>
      <w:r w:rsidRPr="00BD21D1">
        <w:rPr>
          <w:lang w:val="en"/>
        </w:rPr>
        <w:t xml:space="preserve"> World </w:t>
      </w:r>
      <w:r w:rsidR="00666986">
        <w:rPr>
          <w:lang w:val="en"/>
        </w:rPr>
        <w:t>d</w:t>
      </w:r>
      <w:r w:rsidR="00666986" w:rsidRPr="00BD21D1">
        <w:rPr>
          <w:lang w:val="en"/>
        </w:rPr>
        <w:t xml:space="preserve">evelopment </w:t>
      </w:r>
      <w:r w:rsidR="00666986">
        <w:rPr>
          <w:lang w:val="en"/>
        </w:rPr>
        <w:t>i</w:t>
      </w:r>
      <w:r w:rsidRPr="00BD21D1">
        <w:rPr>
          <w:lang w:val="en"/>
        </w:rPr>
        <w:t xml:space="preserve">ndicators. Retrieved [March 21, 2019] from </w:t>
      </w:r>
      <w:hyperlink r:id="rId12" w:history="1">
        <w:r w:rsidR="002659F6" w:rsidRPr="00E81565">
          <w:rPr>
            <w:rStyle w:val="Hyperlink"/>
            <w:lang w:val="en"/>
          </w:rPr>
          <w:t>https://datacatalog.worldbank.org/</w:t>
        </w:r>
      </w:hyperlink>
    </w:p>
    <w:p w14:paraId="0ED7DC0D" w14:textId="77777777" w:rsidR="0038219D" w:rsidRDefault="0038219D" w:rsidP="006652D2">
      <w:pPr>
        <w:contextualSpacing/>
        <w:rPr>
          <w:rStyle w:val="Hyperlink"/>
          <w:lang w:val="en"/>
        </w:rPr>
      </w:pPr>
      <w:r>
        <w:rPr>
          <w:rStyle w:val="Hyperlink"/>
          <w:lang w:val="en"/>
        </w:rPr>
        <w:br w:type="page"/>
      </w:r>
    </w:p>
    <w:p w14:paraId="766A39EA" w14:textId="6FB320E8" w:rsidR="0038219D" w:rsidRDefault="0038219D" w:rsidP="006652D2">
      <w:pPr>
        <w:pStyle w:val="Figurecaption"/>
        <w:spacing w:before="0" w:line="480" w:lineRule="auto"/>
        <w:contextualSpacing/>
      </w:pPr>
      <w:r>
        <w:lastRenderedPageBreak/>
        <w:t>Figure 1. Multiple Marginality Framework</w:t>
      </w:r>
    </w:p>
    <w:p w14:paraId="643CB6D9" w14:textId="77777777" w:rsidR="0038219D" w:rsidRPr="009572CE" w:rsidRDefault="0038219D" w:rsidP="006652D2">
      <w:pPr>
        <w:pStyle w:val="Figurecaption"/>
        <w:spacing w:line="480" w:lineRule="auto"/>
        <w:contextualSpacing/>
      </w:pPr>
      <w:r>
        <w:rPr>
          <w:noProof/>
          <w:lang w:val="en-US" w:eastAsia="en-US"/>
        </w:rPr>
        <w:drawing>
          <wp:inline distT="0" distB="0" distL="0" distR="0" wp14:anchorId="6529E4DE" wp14:editId="133E048C">
            <wp:extent cx="6212205" cy="4097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12205" cy="4097020"/>
                    </a:xfrm>
                    <a:prstGeom prst="rect">
                      <a:avLst/>
                    </a:prstGeom>
                    <a:noFill/>
                  </pic:spPr>
                </pic:pic>
              </a:graphicData>
            </a:graphic>
          </wp:inline>
        </w:drawing>
      </w:r>
    </w:p>
    <w:p w14:paraId="736F00F4" w14:textId="433A810F" w:rsidR="0038219D" w:rsidRDefault="0038219D" w:rsidP="006652D2">
      <w:pPr>
        <w:contextualSpacing/>
        <w:rPr>
          <w:bCs/>
          <w:lang w:val="en-US"/>
        </w:rPr>
      </w:pPr>
      <w:r w:rsidRPr="0082112E">
        <w:rPr>
          <w:bCs/>
          <w:lang w:val="en-US"/>
        </w:rPr>
        <w:t>Reprinted by permission of Waveland Press, Inc.</w:t>
      </w:r>
      <w:bookmarkStart w:id="1" w:name="_Hlk496608154"/>
      <w:r w:rsidRPr="0082112E">
        <w:rPr>
          <w:bCs/>
          <w:lang w:val="en-US"/>
        </w:rPr>
        <w:t xml:space="preserve"> from </w:t>
      </w:r>
      <w:bookmarkEnd w:id="1"/>
      <w:r w:rsidRPr="0082112E">
        <w:rPr>
          <w:bCs/>
          <w:lang w:val="en-US"/>
        </w:rPr>
        <w:t>Vigil: GANG REDUX: A BALANCED ANTI-GANG STRATEGY. Long Grove, IL: Waveland Press, Inc., © 2010 All rights reserved.</w:t>
      </w:r>
    </w:p>
    <w:p w14:paraId="5737519E" w14:textId="77777777" w:rsidR="005636E1" w:rsidRDefault="005636E1">
      <w:pPr>
        <w:spacing w:line="240" w:lineRule="auto"/>
      </w:pPr>
      <w:r>
        <w:br w:type="page"/>
      </w:r>
    </w:p>
    <w:p w14:paraId="1DD80AA5" w14:textId="205AD202" w:rsidR="00123264" w:rsidRDefault="00123264" w:rsidP="006652D2">
      <w:pPr>
        <w:contextualSpacing/>
      </w:pPr>
      <w:r>
        <w:lastRenderedPageBreak/>
        <w:t xml:space="preserve">Figure 2. Gang </w:t>
      </w:r>
      <w:r w:rsidR="00921374">
        <w:t>M</w:t>
      </w:r>
      <w:r>
        <w:t xml:space="preserve">embership in </w:t>
      </w:r>
      <w:r w:rsidR="00921374">
        <w:t>S</w:t>
      </w:r>
      <w:r>
        <w:t xml:space="preserve">ample by </w:t>
      </w:r>
      <w:r w:rsidR="00921374">
        <w:t>C</w:t>
      </w:r>
      <w:r>
        <w:t>ountry</w:t>
      </w:r>
    </w:p>
    <w:p w14:paraId="2C156A3A" w14:textId="63E6D874" w:rsidR="00123264" w:rsidRDefault="00123264" w:rsidP="006652D2">
      <w:pPr>
        <w:contextualSpacing/>
      </w:pPr>
      <w:r>
        <w:rPr>
          <w:noProof/>
        </w:rPr>
        <w:drawing>
          <wp:inline distT="0" distB="0" distL="0" distR="0" wp14:anchorId="2A0AB568" wp14:editId="6093F004">
            <wp:extent cx="5379720" cy="2563621"/>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28238" t="36008" r="32651" b="29551"/>
                    <a:stretch/>
                  </pic:blipFill>
                  <pic:spPr bwMode="auto">
                    <a:xfrm>
                      <a:off x="0" y="0"/>
                      <a:ext cx="5414124" cy="2580016"/>
                    </a:xfrm>
                    <a:prstGeom prst="rect">
                      <a:avLst/>
                    </a:prstGeom>
                    <a:ln>
                      <a:noFill/>
                    </a:ln>
                    <a:extLst>
                      <a:ext uri="{53640926-AAD7-44D8-BBD7-CCE9431645EC}">
                        <a14:shadowObscured xmlns:a14="http://schemas.microsoft.com/office/drawing/2010/main"/>
                      </a:ext>
                    </a:extLst>
                  </pic:spPr>
                </pic:pic>
              </a:graphicData>
            </a:graphic>
          </wp:inline>
        </w:drawing>
      </w:r>
    </w:p>
    <w:p w14:paraId="734AE088" w14:textId="07A71DD8" w:rsidR="00123264" w:rsidRDefault="00123264" w:rsidP="006652D2">
      <w:pPr>
        <w:contextualSpacing/>
      </w:pPr>
      <w:r w:rsidRPr="00123264">
        <w:t>* = Country included in regression analyses</w:t>
      </w:r>
    </w:p>
    <w:p w14:paraId="23947AB8" w14:textId="77777777" w:rsidR="00123264" w:rsidRDefault="00123264" w:rsidP="006652D2">
      <w:pPr>
        <w:contextualSpacing/>
      </w:pPr>
    </w:p>
    <w:p w14:paraId="6EE473FE" w14:textId="77777777" w:rsidR="00123264" w:rsidRDefault="00123264" w:rsidP="006652D2">
      <w:pPr>
        <w:contextualSpacing/>
      </w:pPr>
    </w:p>
    <w:p w14:paraId="311C809B" w14:textId="77777777" w:rsidR="00921374" w:rsidRDefault="00921374" w:rsidP="006652D2">
      <w:pPr>
        <w:contextualSpacing/>
      </w:pPr>
    </w:p>
    <w:p w14:paraId="280D26E1" w14:textId="77777777" w:rsidR="005636E1" w:rsidRDefault="005636E1">
      <w:pPr>
        <w:spacing w:line="240" w:lineRule="auto"/>
      </w:pPr>
      <w:r>
        <w:br w:type="page"/>
      </w:r>
    </w:p>
    <w:p w14:paraId="048489E1" w14:textId="004311C3" w:rsidR="0038219D" w:rsidRPr="004E2459" w:rsidRDefault="0038219D" w:rsidP="006652D2">
      <w:pPr>
        <w:contextualSpacing/>
      </w:pPr>
      <w:r w:rsidRPr="00123264">
        <w:lastRenderedPageBreak/>
        <w:t xml:space="preserve">Table 1. </w:t>
      </w:r>
      <w:r w:rsidRPr="004E2459">
        <w:t xml:space="preserve">Descriptive </w:t>
      </w:r>
      <w:r w:rsidR="00921374">
        <w:t>S</w:t>
      </w:r>
      <w:r w:rsidRPr="004E2459">
        <w:t xml:space="preserve">tatistics for </w:t>
      </w:r>
      <w:r w:rsidR="00921374">
        <w:t>C</w:t>
      </w:r>
      <w:r w:rsidRPr="004E2459">
        <w:t xml:space="preserve">ountry-level </w:t>
      </w:r>
      <w:r w:rsidR="00921374">
        <w:t>V</w:t>
      </w:r>
      <w:r w:rsidRPr="004E2459">
        <w:t>ariables</w:t>
      </w:r>
    </w:p>
    <w:tbl>
      <w:tblPr>
        <w:tblW w:w="5000" w:type="pct"/>
        <w:tblBorders>
          <w:top w:val="single" w:sz="4" w:space="0" w:color="auto"/>
          <w:bottom w:val="single" w:sz="4" w:space="0" w:color="auto"/>
        </w:tblBorders>
        <w:tblLook w:val="04A0" w:firstRow="1" w:lastRow="0" w:firstColumn="1" w:lastColumn="0" w:noHBand="0" w:noVBand="1"/>
      </w:tblPr>
      <w:tblGrid>
        <w:gridCol w:w="3328"/>
        <w:gridCol w:w="456"/>
        <w:gridCol w:w="1891"/>
        <w:gridCol w:w="1440"/>
        <w:gridCol w:w="1384"/>
      </w:tblGrid>
      <w:tr w:rsidR="0038219D" w:rsidRPr="004E2459" w14:paraId="7491ABBE" w14:textId="77777777" w:rsidTr="5F7A8300">
        <w:trPr>
          <w:trHeight w:val="300"/>
        </w:trPr>
        <w:tc>
          <w:tcPr>
            <w:tcW w:w="1959" w:type="pct"/>
            <w:tcBorders>
              <w:top w:val="single" w:sz="4" w:space="0" w:color="auto"/>
              <w:bottom w:val="single" w:sz="4" w:space="0" w:color="auto"/>
            </w:tcBorders>
            <w:shd w:val="clear" w:color="auto" w:fill="auto"/>
            <w:vAlign w:val="bottom"/>
            <w:hideMark/>
          </w:tcPr>
          <w:p w14:paraId="6BAA2C51" w14:textId="77777777" w:rsidR="0038219D" w:rsidRPr="004E2459" w:rsidRDefault="0038219D" w:rsidP="005636E1">
            <w:pPr>
              <w:spacing w:line="240" w:lineRule="auto"/>
              <w:contextualSpacing/>
              <w:rPr>
                <w:b/>
                <w:bCs/>
              </w:rPr>
            </w:pPr>
            <w:r w:rsidRPr="004E2459">
              <w:rPr>
                <w:b/>
                <w:bCs/>
              </w:rPr>
              <w:t>Measures</w:t>
            </w:r>
          </w:p>
        </w:tc>
        <w:tc>
          <w:tcPr>
            <w:tcW w:w="265" w:type="pct"/>
            <w:tcBorders>
              <w:top w:val="single" w:sz="4" w:space="0" w:color="auto"/>
              <w:bottom w:val="single" w:sz="4" w:space="0" w:color="auto"/>
            </w:tcBorders>
          </w:tcPr>
          <w:p w14:paraId="7A730660" w14:textId="77777777" w:rsidR="0038219D" w:rsidRPr="004E2459" w:rsidRDefault="0038219D" w:rsidP="005636E1">
            <w:pPr>
              <w:spacing w:line="240" w:lineRule="auto"/>
              <w:contextualSpacing/>
              <w:jc w:val="center"/>
              <w:rPr>
                <w:b/>
                <w:bCs/>
              </w:rPr>
            </w:pPr>
          </w:p>
          <w:p w14:paraId="29C880E5" w14:textId="77777777" w:rsidR="0038219D" w:rsidRPr="004E2459" w:rsidRDefault="0038219D" w:rsidP="005636E1">
            <w:pPr>
              <w:spacing w:line="240" w:lineRule="auto"/>
              <w:contextualSpacing/>
              <w:jc w:val="center"/>
              <w:rPr>
                <w:b/>
                <w:bCs/>
              </w:rPr>
            </w:pPr>
            <w:r w:rsidRPr="004E2459">
              <w:rPr>
                <w:b/>
                <w:bCs/>
              </w:rPr>
              <w:t>N</w:t>
            </w:r>
          </w:p>
        </w:tc>
        <w:tc>
          <w:tcPr>
            <w:tcW w:w="1113" w:type="pct"/>
            <w:tcBorders>
              <w:top w:val="single" w:sz="4" w:space="0" w:color="auto"/>
              <w:bottom w:val="single" w:sz="4" w:space="0" w:color="auto"/>
            </w:tcBorders>
            <w:shd w:val="clear" w:color="auto" w:fill="auto"/>
            <w:vAlign w:val="bottom"/>
            <w:hideMark/>
          </w:tcPr>
          <w:p w14:paraId="0C0599F3" w14:textId="77777777" w:rsidR="0038219D" w:rsidRPr="004E2459" w:rsidRDefault="0038219D" w:rsidP="005636E1">
            <w:pPr>
              <w:spacing w:line="240" w:lineRule="auto"/>
              <w:contextualSpacing/>
              <w:jc w:val="center"/>
              <w:rPr>
                <w:b/>
                <w:bCs/>
              </w:rPr>
            </w:pPr>
            <w:r w:rsidRPr="004E2459">
              <w:rPr>
                <w:b/>
                <w:bCs/>
              </w:rPr>
              <w:t>Mean (SD)</w:t>
            </w:r>
          </w:p>
        </w:tc>
        <w:tc>
          <w:tcPr>
            <w:tcW w:w="848" w:type="pct"/>
            <w:tcBorders>
              <w:top w:val="single" w:sz="4" w:space="0" w:color="auto"/>
              <w:bottom w:val="single" w:sz="4" w:space="0" w:color="auto"/>
            </w:tcBorders>
          </w:tcPr>
          <w:p w14:paraId="4DEFC110" w14:textId="77777777" w:rsidR="0038219D" w:rsidRPr="004E2459" w:rsidRDefault="0038219D" w:rsidP="005636E1">
            <w:pPr>
              <w:spacing w:line="240" w:lineRule="auto"/>
              <w:contextualSpacing/>
              <w:jc w:val="center"/>
              <w:rPr>
                <w:b/>
                <w:bCs/>
              </w:rPr>
            </w:pPr>
          </w:p>
          <w:p w14:paraId="01CE6F17" w14:textId="77777777" w:rsidR="0038219D" w:rsidRPr="004E2459" w:rsidRDefault="0038219D" w:rsidP="005636E1">
            <w:pPr>
              <w:spacing w:line="240" w:lineRule="auto"/>
              <w:contextualSpacing/>
              <w:jc w:val="center"/>
              <w:rPr>
                <w:b/>
                <w:bCs/>
              </w:rPr>
            </w:pPr>
            <w:r w:rsidRPr="004E2459">
              <w:rPr>
                <w:b/>
                <w:bCs/>
              </w:rPr>
              <w:t>Min</w:t>
            </w:r>
          </w:p>
        </w:tc>
        <w:tc>
          <w:tcPr>
            <w:tcW w:w="815" w:type="pct"/>
            <w:tcBorders>
              <w:top w:val="single" w:sz="4" w:space="0" w:color="auto"/>
              <w:bottom w:val="single" w:sz="4" w:space="0" w:color="auto"/>
            </w:tcBorders>
          </w:tcPr>
          <w:p w14:paraId="67886486" w14:textId="77777777" w:rsidR="0038219D" w:rsidRPr="004E2459" w:rsidRDefault="0038219D" w:rsidP="005636E1">
            <w:pPr>
              <w:spacing w:line="240" w:lineRule="auto"/>
              <w:contextualSpacing/>
              <w:jc w:val="center"/>
              <w:rPr>
                <w:b/>
                <w:bCs/>
              </w:rPr>
            </w:pPr>
          </w:p>
          <w:p w14:paraId="76855819" w14:textId="77777777" w:rsidR="0038219D" w:rsidRPr="004E2459" w:rsidRDefault="0038219D" w:rsidP="005636E1">
            <w:pPr>
              <w:spacing w:line="240" w:lineRule="auto"/>
              <w:contextualSpacing/>
              <w:jc w:val="center"/>
              <w:rPr>
                <w:b/>
                <w:bCs/>
              </w:rPr>
            </w:pPr>
            <w:r w:rsidRPr="004E2459">
              <w:rPr>
                <w:b/>
                <w:bCs/>
              </w:rPr>
              <w:t>Max</w:t>
            </w:r>
          </w:p>
        </w:tc>
      </w:tr>
      <w:tr w:rsidR="0038219D" w:rsidRPr="004E2459" w14:paraId="1C71C0DE" w14:textId="77777777" w:rsidTr="5F7A8300">
        <w:trPr>
          <w:trHeight w:val="300"/>
        </w:trPr>
        <w:tc>
          <w:tcPr>
            <w:tcW w:w="1959" w:type="pct"/>
            <w:tcBorders>
              <w:top w:val="single" w:sz="4" w:space="0" w:color="auto"/>
            </w:tcBorders>
            <w:shd w:val="clear" w:color="auto" w:fill="auto"/>
            <w:vAlign w:val="bottom"/>
            <w:hideMark/>
          </w:tcPr>
          <w:p w14:paraId="1376912F" w14:textId="77777777" w:rsidR="0038219D" w:rsidRPr="004E2459" w:rsidRDefault="0038219D" w:rsidP="005636E1">
            <w:pPr>
              <w:spacing w:line="240" w:lineRule="auto"/>
              <w:contextualSpacing/>
              <w:rPr>
                <w:i/>
                <w:iCs/>
                <w:u w:val="single"/>
              </w:rPr>
            </w:pPr>
            <w:r w:rsidRPr="004E2459">
              <w:rPr>
                <w:i/>
                <w:iCs/>
                <w:u w:val="single"/>
              </w:rPr>
              <w:t>Total country sample</w:t>
            </w:r>
          </w:p>
        </w:tc>
        <w:tc>
          <w:tcPr>
            <w:tcW w:w="265" w:type="pct"/>
            <w:tcBorders>
              <w:top w:val="single" w:sz="4" w:space="0" w:color="auto"/>
            </w:tcBorders>
          </w:tcPr>
          <w:p w14:paraId="46AC86F9" w14:textId="77777777" w:rsidR="0038219D" w:rsidRPr="004E2459" w:rsidRDefault="0038219D" w:rsidP="005636E1">
            <w:pPr>
              <w:spacing w:line="240" w:lineRule="auto"/>
              <w:contextualSpacing/>
              <w:jc w:val="center"/>
            </w:pPr>
            <w:r w:rsidRPr="004E2459">
              <w:t>30</w:t>
            </w:r>
          </w:p>
        </w:tc>
        <w:tc>
          <w:tcPr>
            <w:tcW w:w="1113" w:type="pct"/>
            <w:tcBorders>
              <w:top w:val="single" w:sz="4" w:space="0" w:color="auto"/>
            </w:tcBorders>
            <w:shd w:val="clear" w:color="auto" w:fill="auto"/>
            <w:vAlign w:val="bottom"/>
            <w:hideMark/>
          </w:tcPr>
          <w:p w14:paraId="63C2E28F" w14:textId="77777777" w:rsidR="0038219D" w:rsidRPr="004E2459" w:rsidRDefault="0038219D" w:rsidP="005636E1">
            <w:pPr>
              <w:spacing w:line="240" w:lineRule="auto"/>
              <w:contextualSpacing/>
              <w:jc w:val="center"/>
            </w:pPr>
          </w:p>
        </w:tc>
        <w:tc>
          <w:tcPr>
            <w:tcW w:w="848" w:type="pct"/>
            <w:tcBorders>
              <w:top w:val="single" w:sz="4" w:space="0" w:color="auto"/>
            </w:tcBorders>
          </w:tcPr>
          <w:p w14:paraId="467A7B90" w14:textId="77777777" w:rsidR="0038219D" w:rsidRPr="004E2459" w:rsidRDefault="0038219D" w:rsidP="005636E1">
            <w:pPr>
              <w:spacing w:line="240" w:lineRule="auto"/>
              <w:contextualSpacing/>
              <w:jc w:val="center"/>
            </w:pPr>
          </w:p>
        </w:tc>
        <w:tc>
          <w:tcPr>
            <w:tcW w:w="815" w:type="pct"/>
            <w:tcBorders>
              <w:top w:val="single" w:sz="4" w:space="0" w:color="auto"/>
            </w:tcBorders>
          </w:tcPr>
          <w:p w14:paraId="63E32791" w14:textId="77777777" w:rsidR="0038219D" w:rsidRPr="004E2459" w:rsidRDefault="0038219D" w:rsidP="005636E1">
            <w:pPr>
              <w:spacing w:line="240" w:lineRule="auto"/>
              <w:contextualSpacing/>
              <w:jc w:val="center"/>
            </w:pPr>
          </w:p>
        </w:tc>
      </w:tr>
      <w:tr w:rsidR="0038219D" w:rsidRPr="004E2459" w14:paraId="35937EEB" w14:textId="77777777" w:rsidTr="5F7A8300">
        <w:trPr>
          <w:trHeight w:val="300"/>
        </w:trPr>
        <w:tc>
          <w:tcPr>
            <w:tcW w:w="1959" w:type="pct"/>
            <w:shd w:val="clear" w:color="auto" w:fill="auto"/>
            <w:hideMark/>
          </w:tcPr>
          <w:p w14:paraId="5300BA4C" w14:textId="77777777" w:rsidR="0038219D" w:rsidRPr="004E2459" w:rsidRDefault="0038219D" w:rsidP="005636E1">
            <w:pPr>
              <w:spacing w:line="240" w:lineRule="auto"/>
              <w:contextualSpacing/>
            </w:pPr>
            <w:r w:rsidRPr="004E2459">
              <w:t xml:space="preserve">  % Migrants</w:t>
            </w:r>
          </w:p>
        </w:tc>
        <w:tc>
          <w:tcPr>
            <w:tcW w:w="265" w:type="pct"/>
          </w:tcPr>
          <w:p w14:paraId="5DF7D18B" w14:textId="77777777" w:rsidR="0038219D" w:rsidRPr="004E2459" w:rsidRDefault="0038219D" w:rsidP="005636E1">
            <w:pPr>
              <w:spacing w:line="240" w:lineRule="auto"/>
              <w:contextualSpacing/>
              <w:jc w:val="center"/>
            </w:pPr>
            <w:r w:rsidRPr="004E2459">
              <w:t>29</w:t>
            </w:r>
          </w:p>
        </w:tc>
        <w:tc>
          <w:tcPr>
            <w:tcW w:w="1113" w:type="pct"/>
            <w:shd w:val="clear" w:color="auto" w:fill="auto"/>
            <w:hideMark/>
          </w:tcPr>
          <w:p w14:paraId="072EBCD5" w14:textId="77777777" w:rsidR="0038219D" w:rsidRPr="004E2459" w:rsidRDefault="0038219D" w:rsidP="005636E1">
            <w:pPr>
              <w:spacing w:line="240" w:lineRule="auto"/>
              <w:contextualSpacing/>
              <w:jc w:val="center"/>
            </w:pPr>
            <w:r w:rsidRPr="004E2459">
              <w:t>10.1 (5.8)</w:t>
            </w:r>
          </w:p>
        </w:tc>
        <w:tc>
          <w:tcPr>
            <w:tcW w:w="848" w:type="pct"/>
          </w:tcPr>
          <w:p w14:paraId="270EEA1B" w14:textId="77777777" w:rsidR="0038219D" w:rsidRPr="004E2459" w:rsidRDefault="0038219D" w:rsidP="005636E1">
            <w:pPr>
              <w:spacing w:line="240" w:lineRule="auto"/>
              <w:contextualSpacing/>
              <w:jc w:val="center"/>
            </w:pPr>
            <w:r w:rsidRPr="004E2459">
              <w:t>BA (1.2)</w:t>
            </w:r>
          </w:p>
        </w:tc>
        <w:tc>
          <w:tcPr>
            <w:tcW w:w="815" w:type="pct"/>
          </w:tcPr>
          <w:p w14:paraId="0237E687" w14:textId="77777777" w:rsidR="0038219D" w:rsidRPr="004E2459" w:rsidRDefault="0038219D" w:rsidP="005636E1">
            <w:pPr>
              <w:spacing w:line="240" w:lineRule="auto"/>
              <w:contextualSpacing/>
              <w:jc w:val="center"/>
            </w:pPr>
            <w:r w:rsidRPr="004E2459">
              <w:t>AW (32.5)</w:t>
            </w:r>
          </w:p>
        </w:tc>
      </w:tr>
      <w:tr w:rsidR="0038219D" w:rsidRPr="004E2459" w14:paraId="3EF98C75" w14:textId="77777777" w:rsidTr="5F7A8300">
        <w:trPr>
          <w:trHeight w:val="300"/>
        </w:trPr>
        <w:tc>
          <w:tcPr>
            <w:tcW w:w="1959" w:type="pct"/>
            <w:shd w:val="clear" w:color="auto" w:fill="auto"/>
            <w:hideMark/>
          </w:tcPr>
          <w:p w14:paraId="7678C7D9" w14:textId="77777777" w:rsidR="0038219D" w:rsidRPr="004E2459" w:rsidRDefault="0038219D" w:rsidP="005636E1">
            <w:pPr>
              <w:spacing w:line="240" w:lineRule="auto"/>
              <w:contextualSpacing/>
            </w:pPr>
            <w:r w:rsidRPr="004E2459">
              <w:t xml:space="preserve">  Attitudes towards immigration</w:t>
            </w:r>
          </w:p>
        </w:tc>
        <w:tc>
          <w:tcPr>
            <w:tcW w:w="265" w:type="pct"/>
          </w:tcPr>
          <w:p w14:paraId="1297D5CF" w14:textId="77777777" w:rsidR="0038219D" w:rsidRPr="004E2459" w:rsidRDefault="0038219D" w:rsidP="005636E1">
            <w:pPr>
              <w:spacing w:line="240" w:lineRule="auto"/>
              <w:contextualSpacing/>
            </w:pPr>
            <w:r w:rsidRPr="004E2459">
              <w:t>19</w:t>
            </w:r>
          </w:p>
        </w:tc>
        <w:tc>
          <w:tcPr>
            <w:tcW w:w="1113" w:type="pct"/>
            <w:shd w:val="clear" w:color="auto" w:fill="auto"/>
            <w:hideMark/>
          </w:tcPr>
          <w:p w14:paraId="65F210FB" w14:textId="77777777" w:rsidR="0038219D" w:rsidRPr="004E2459" w:rsidRDefault="0038219D" w:rsidP="005636E1">
            <w:pPr>
              <w:spacing w:line="240" w:lineRule="auto"/>
              <w:contextualSpacing/>
              <w:jc w:val="center"/>
            </w:pPr>
            <w:r w:rsidRPr="004E2459">
              <w:t>20.7 (2.9)</w:t>
            </w:r>
          </w:p>
        </w:tc>
        <w:tc>
          <w:tcPr>
            <w:tcW w:w="848" w:type="pct"/>
          </w:tcPr>
          <w:p w14:paraId="12826286" w14:textId="77777777" w:rsidR="0038219D" w:rsidRPr="004E2459" w:rsidRDefault="0038219D" w:rsidP="005636E1">
            <w:pPr>
              <w:spacing w:line="240" w:lineRule="auto"/>
              <w:contextualSpacing/>
              <w:jc w:val="center"/>
            </w:pPr>
            <w:r w:rsidRPr="004E2459">
              <w:t>RU (15.3)</w:t>
            </w:r>
          </w:p>
        </w:tc>
        <w:tc>
          <w:tcPr>
            <w:tcW w:w="815" w:type="pct"/>
          </w:tcPr>
          <w:p w14:paraId="2F0A7364" w14:textId="77777777" w:rsidR="0038219D" w:rsidRPr="004E2459" w:rsidRDefault="0038219D" w:rsidP="005636E1">
            <w:pPr>
              <w:spacing w:line="240" w:lineRule="auto"/>
              <w:contextualSpacing/>
              <w:jc w:val="center"/>
            </w:pPr>
            <w:r w:rsidRPr="004E2459">
              <w:t>SE (26.1)</w:t>
            </w:r>
          </w:p>
        </w:tc>
      </w:tr>
      <w:tr w:rsidR="0038219D" w:rsidRPr="004E2459" w14:paraId="5629EF13" w14:textId="77777777" w:rsidTr="5F7A8300">
        <w:trPr>
          <w:trHeight w:val="300"/>
        </w:trPr>
        <w:tc>
          <w:tcPr>
            <w:tcW w:w="1959" w:type="pct"/>
            <w:shd w:val="clear" w:color="auto" w:fill="auto"/>
            <w:hideMark/>
          </w:tcPr>
          <w:p w14:paraId="068E4923" w14:textId="1285FB50" w:rsidR="0038219D" w:rsidRPr="004E2459" w:rsidRDefault="0038219D" w:rsidP="005636E1">
            <w:pPr>
              <w:spacing w:line="240" w:lineRule="auto"/>
              <w:contextualSpacing/>
            </w:pPr>
            <w:r w:rsidRPr="004E2459">
              <w:t xml:space="preserve">  Discrimination</w:t>
            </w:r>
            <w:r w:rsidR="007674B9">
              <w:t xml:space="preserve"> (ln)</w:t>
            </w:r>
          </w:p>
        </w:tc>
        <w:tc>
          <w:tcPr>
            <w:tcW w:w="265" w:type="pct"/>
          </w:tcPr>
          <w:p w14:paraId="1B987505"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42CE0839" w14:textId="1CEC589C" w:rsidR="0038219D" w:rsidRPr="004E2459" w:rsidRDefault="5F7A8300" w:rsidP="005636E1">
            <w:pPr>
              <w:spacing w:line="240" w:lineRule="auto"/>
              <w:contextualSpacing/>
              <w:jc w:val="center"/>
            </w:pPr>
            <w:r>
              <w:t>-3.9 (0.7)</w:t>
            </w:r>
          </w:p>
        </w:tc>
        <w:tc>
          <w:tcPr>
            <w:tcW w:w="848" w:type="pct"/>
          </w:tcPr>
          <w:p w14:paraId="751E5084" w14:textId="32101ECE" w:rsidR="0038219D" w:rsidRPr="004E2459" w:rsidRDefault="5F7A8300" w:rsidP="005636E1">
            <w:pPr>
              <w:spacing w:line="240" w:lineRule="auto"/>
              <w:contextualSpacing/>
              <w:jc w:val="center"/>
            </w:pPr>
            <w:r>
              <w:t>PL (-5.2)</w:t>
            </w:r>
          </w:p>
        </w:tc>
        <w:tc>
          <w:tcPr>
            <w:tcW w:w="815" w:type="pct"/>
          </w:tcPr>
          <w:p w14:paraId="2703C1AE" w14:textId="2F7A9F47" w:rsidR="0038219D" w:rsidRPr="004E2459" w:rsidRDefault="5F7A8300" w:rsidP="005636E1">
            <w:pPr>
              <w:spacing w:line="240" w:lineRule="auto"/>
              <w:contextualSpacing/>
              <w:jc w:val="center"/>
            </w:pPr>
            <w:r>
              <w:t>EE (-2.0)</w:t>
            </w:r>
          </w:p>
        </w:tc>
      </w:tr>
      <w:tr w:rsidR="0038219D" w:rsidRPr="004E2459" w14:paraId="3DAB5BE9" w14:textId="77777777" w:rsidTr="5F7A8300">
        <w:trPr>
          <w:trHeight w:val="300"/>
        </w:trPr>
        <w:tc>
          <w:tcPr>
            <w:tcW w:w="1959" w:type="pct"/>
            <w:shd w:val="clear" w:color="auto" w:fill="auto"/>
            <w:hideMark/>
          </w:tcPr>
          <w:p w14:paraId="21C594F4" w14:textId="77777777" w:rsidR="0038219D" w:rsidRPr="004E2459" w:rsidRDefault="0038219D" w:rsidP="005636E1">
            <w:pPr>
              <w:spacing w:line="240" w:lineRule="auto"/>
              <w:contextualSpacing/>
            </w:pPr>
            <w:r w:rsidRPr="004E2459">
              <w:t xml:space="preserve">  Gini coefficient</w:t>
            </w:r>
          </w:p>
        </w:tc>
        <w:tc>
          <w:tcPr>
            <w:tcW w:w="265" w:type="pct"/>
          </w:tcPr>
          <w:p w14:paraId="33F02171" w14:textId="77777777" w:rsidR="0038219D" w:rsidRPr="004E2459" w:rsidRDefault="0038219D" w:rsidP="005636E1">
            <w:pPr>
              <w:spacing w:line="240" w:lineRule="auto"/>
              <w:contextualSpacing/>
              <w:jc w:val="center"/>
            </w:pPr>
            <w:r w:rsidRPr="004E2459">
              <w:t>27</w:t>
            </w:r>
          </w:p>
        </w:tc>
        <w:tc>
          <w:tcPr>
            <w:tcW w:w="1113" w:type="pct"/>
            <w:shd w:val="clear" w:color="auto" w:fill="auto"/>
            <w:hideMark/>
          </w:tcPr>
          <w:p w14:paraId="1E3FCCDC" w14:textId="77777777" w:rsidR="0038219D" w:rsidRPr="004E2459" w:rsidRDefault="0038219D" w:rsidP="005636E1">
            <w:pPr>
              <w:spacing w:line="240" w:lineRule="auto"/>
              <w:contextualSpacing/>
              <w:jc w:val="center"/>
            </w:pPr>
            <w:r w:rsidRPr="004E2459">
              <w:t>32.8 (5.8)</w:t>
            </w:r>
          </w:p>
        </w:tc>
        <w:tc>
          <w:tcPr>
            <w:tcW w:w="848" w:type="pct"/>
          </w:tcPr>
          <w:p w14:paraId="10A2E17A" w14:textId="77777777" w:rsidR="0038219D" w:rsidRPr="004E2459" w:rsidRDefault="0038219D" w:rsidP="005636E1">
            <w:pPr>
              <w:spacing w:line="240" w:lineRule="auto"/>
              <w:contextualSpacing/>
              <w:jc w:val="center"/>
            </w:pPr>
            <w:r w:rsidRPr="004E2459">
              <w:t>SI (24.6)</w:t>
            </w:r>
          </w:p>
        </w:tc>
        <w:tc>
          <w:tcPr>
            <w:tcW w:w="815" w:type="pct"/>
          </w:tcPr>
          <w:p w14:paraId="53B0B8B8" w14:textId="77777777" w:rsidR="0038219D" w:rsidRPr="004E2459" w:rsidRDefault="0038219D" w:rsidP="005636E1">
            <w:pPr>
              <w:spacing w:line="240" w:lineRule="auto"/>
              <w:contextualSpacing/>
              <w:jc w:val="center"/>
            </w:pPr>
            <w:r w:rsidRPr="004E2459">
              <w:t>VE (52.4)</w:t>
            </w:r>
          </w:p>
        </w:tc>
      </w:tr>
      <w:tr w:rsidR="0038219D" w:rsidRPr="004E2459" w14:paraId="0AB2ED6C" w14:textId="77777777" w:rsidTr="5F7A8300">
        <w:trPr>
          <w:trHeight w:val="300"/>
        </w:trPr>
        <w:tc>
          <w:tcPr>
            <w:tcW w:w="1959" w:type="pct"/>
            <w:shd w:val="clear" w:color="auto" w:fill="auto"/>
            <w:hideMark/>
          </w:tcPr>
          <w:p w14:paraId="71F1D727" w14:textId="77777777" w:rsidR="0038219D" w:rsidRPr="004E2459" w:rsidRDefault="0038219D" w:rsidP="005636E1">
            <w:pPr>
              <w:spacing w:line="240" w:lineRule="auto"/>
              <w:contextualSpacing/>
            </w:pPr>
            <w:r w:rsidRPr="004E2459">
              <w:t xml:space="preserve">  Poverty </w:t>
            </w:r>
          </w:p>
        </w:tc>
        <w:tc>
          <w:tcPr>
            <w:tcW w:w="265" w:type="pct"/>
          </w:tcPr>
          <w:p w14:paraId="65D7E761" w14:textId="77777777" w:rsidR="0038219D" w:rsidRPr="004E2459" w:rsidRDefault="0038219D" w:rsidP="005636E1">
            <w:pPr>
              <w:spacing w:line="240" w:lineRule="auto"/>
              <w:contextualSpacing/>
              <w:jc w:val="center"/>
            </w:pPr>
            <w:r w:rsidRPr="004E2459">
              <w:t>27</w:t>
            </w:r>
          </w:p>
        </w:tc>
        <w:tc>
          <w:tcPr>
            <w:tcW w:w="1113" w:type="pct"/>
            <w:shd w:val="clear" w:color="auto" w:fill="auto"/>
            <w:hideMark/>
          </w:tcPr>
          <w:p w14:paraId="26D469F4" w14:textId="77777777" w:rsidR="0038219D" w:rsidRPr="004E2459" w:rsidRDefault="0038219D" w:rsidP="005636E1">
            <w:pPr>
              <w:spacing w:line="240" w:lineRule="auto"/>
              <w:contextualSpacing/>
              <w:jc w:val="center"/>
            </w:pPr>
            <w:r w:rsidRPr="004E2459">
              <w:t>6.9 (15.7)</w:t>
            </w:r>
          </w:p>
        </w:tc>
        <w:tc>
          <w:tcPr>
            <w:tcW w:w="848" w:type="pct"/>
          </w:tcPr>
          <w:p w14:paraId="3DF176D4" w14:textId="77777777" w:rsidR="0038219D" w:rsidRPr="004E2459" w:rsidRDefault="0038219D" w:rsidP="005636E1">
            <w:pPr>
              <w:spacing w:line="240" w:lineRule="auto"/>
              <w:contextualSpacing/>
              <w:jc w:val="center"/>
            </w:pPr>
            <w:r w:rsidRPr="004E2459">
              <w:t>CY (0.0)</w:t>
            </w:r>
          </w:p>
        </w:tc>
        <w:tc>
          <w:tcPr>
            <w:tcW w:w="815" w:type="pct"/>
          </w:tcPr>
          <w:p w14:paraId="73687DE7" w14:textId="77777777" w:rsidR="0038219D" w:rsidRPr="004E2459" w:rsidRDefault="0038219D" w:rsidP="005636E1">
            <w:pPr>
              <w:spacing w:line="240" w:lineRule="auto"/>
              <w:contextualSpacing/>
              <w:jc w:val="center"/>
            </w:pPr>
            <w:r w:rsidRPr="004E2459">
              <w:t>AM (68.7)</w:t>
            </w:r>
          </w:p>
        </w:tc>
      </w:tr>
      <w:tr w:rsidR="0038219D" w:rsidRPr="004E2459" w14:paraId="2B65754C" w14:textId="77777777" w:rsidTr="5F7A8300">
        <w:trPr>
          <w:trHeight w:val="300"/>
        </w:trPr>
        <w:tc>
          <w:tcPr>
            <w:tcW w:w="1959" w:type="pct"/>
            <w:shd w:val="clear" w:color="auto" w:fill="auto"/>
            <w:hideMark/>
          </w:tcPr>
          <w:p w14:paraId="0D4B0E4C" w14:textId="77777777" w:rsidR="0038219D" w:rsidRPr="004E2459" w:rsidRDefault="0038219D" w:rsidP="005636E1">
            <w:pPr>
              <w:spacing w:line="240" w:lineRule="auto"/>
              <w:contextualSpacing/>
            </w:pPr>
            <w:r w:rsidRPr="004E2459">
              <w:t xml:space="preserve">  Victimized last 5 years</w:t>
            </w:r>
          </w:p>
        </w:tc>
        <w:tc>
          <w:tcPr>
            <w:tcW w:w="265" w:type="pct"/>
          </w:tcPr>
          <w:p w14:paraId="137026B8"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508A21A8" w14:textId="77777777" w:rsidR="0038219D" w:rsidRPr="004E2459" w:rsidRDefault="0038219D" w:rsidP="005636E1">
            <w:pPr>
              <w:spacing w:line="240" w:lineRule="auto"/>
              <w:contextualSpacing/>
              <w:jc w:val="center"/>
            </w:pPr>
            <w:r w:rsidRPr="004E2459">
              <w:t>0.2 (0.06)</w:t>
            </w:r>
          </w:p>
        </w:tc>
        <w:tc>
          <w:tcPr>
            <w:tcW w:w="848" w:type="pct"/>
          </w:tcPr>
          <w:p w14:paraId="5E3A0870" w14:textId="77777777" w:rsidR="0038219D" w:rsidRPr="004E2459" w:rsidRDefault="0038219D" w:rsidP="005636E1">
            <w:pPr>
              <w:spacing w:line="240" w:lineRule="auto"/>
              <w:contextualSpacing/>
              <w:jc w:val="center"/>
            </w:pPr>
            <w:r w:rsidRPr="004E2459">
              <w:t>CY (0.1)</w:t>
            </w:r>
          </w:p>
        </w:tc>
        <w:tc>
          <w:tcPr>
            <w:tcW w:w="815" w:type="pct"/>
          </w:tcPr>
          <w:p w14:paraId="7362ABCB" w14:textId="77777777" w:rsidR="0038219D" w:rsidRPr="004E2459" w:rsidRDefault="0038219D" w:rsidP="005636E1">
            <w:pPr>
              <w:spacing w:line="240" w:lineRule="auto"/>
              <w:contextualSpacing/>
              <w:jc w:val="center"/>
            </w:pPr>
            <w:r w:rsidRPr="004E2459">
              <w:t>FI (0.29)</w:t>
            </w:r>
          </w:p>
        </w:tc>
      </w:tr>
      <w:tr w:rsidR="0038219D" w:rsidRPr="004E2459" w14:paraId="62DA438E" w14:textId="77777777" w:rsidTr="5F7A8300">
        <w:trPr>
          <w:trHeight w:val="300"/>
        </w:trPr>
        <w:tc>
          <w:tcPr>
            <w:tcW w:w="1959" w:type="pct"/>
            <w:shd w:val="clear" w:color="auto" w:fill="auto"/>
            <w:hideMark/>
          </w:tcPr>
          <w:p w14:paraId="6E51A379" w14:textId="77777777" w:rsidR="0038219D" w:rsidRPr="004E2459" w:rsidRDefault="0038219D" w:rsidP="005636E1">
            <w:pPr>
              <w:spacing w:line="240" w:lineRule="auto"/>
              <w:contextualSpacing/>
            </w:pPr>
            <w:r w:rsidRPr="004E2459">
              <w:t xml:space="preserve">  Worry about victimization</w:t>
            </w:r>
          </w:p>
        </w:tc>
        <w:tc>
          <w:tcPr>
            <w:tcW w:w="265" w:type="pct"/>
          </w:tcPr>
          <w:p w14:paraId="4CF94202"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116613AE" w14:textId="77777777" w:rsidR="0038219D" w:rsidRPr="004E2459" w:rsidRDefault="0038219D" w:rsidP="005636E1">
            <w:pPr>
              <w:spacing w:line="240" w:lineRule="auto"/>
              <w:contextualSpacing/>
              <w:jc w:val="center"/>
            </w:pPr>
            <w:r w:rsidRPr="004E2459">
              <w:t>2.6 (0.4)</w:t>
            </w:r>
          </w:p>
        </w:tc>
        <w:tc>
          <w:tcPr>
            <w:tcW w:w="848" w:type="pct"/>
          </w:tcPr>
          <w:p w14:paraId="140DC298" w14:textId="77777777" w:rsidR="0038219D" w:rsidRPr="004E2459" w:rsidRDefault="0038219D" w:rsidP="005636E1">
            <w:pPr>
              <w:spacing w:line="240" w:lineRule="auto"/>
              <w:contextualSpacing/>
              <w:jc w:val="center"/>
            </w:pPr>
            <w:r w:rsidRPr="004E2459">
              <w:t>NO (2.0)</w:t>
            </w:r>
          </w:p>
        </w:tc>
        <w:tc>
          <w:tcPr>
            <w:tcW w:w="815" w:type="pct"/>
          </w:tcPr>
          <w:p w14:paraId="6EEF0686" w14:textId="77777777" w:rsidR="0038219D" w:rsidRPr="004E2459" w:rsidRDefault="0038219D" w:rsidP="005636E1">
            <w:pPr>
              <w:spacing w:line="240" w:lineRule="auto"/>
              <w:contextualSpacing/>
              <w:jc w:val="center"/>
            </w:pPr>
            <w:r w:rsidRPr="004E2459">
              <w:t>FR (3.3)</w:t>
            </w:r>
          </w:p>
        </w:tc>
      </w:tr>
      <w:tr w:rsidR="0038219D" w:rsidRPr="004E2459" w14:paraId="549FF1B4" w14:textId="77777777" w:rsidTr="5F7A8300">
        <w:trPr>
          <w:trHeight w:val="300"/>
        </w:trPr>
        <w:tc>
          <w:tcPr>
            <w:tcW w:w="1959" w:type="pct"/>
            <w:shd w:val="clear" w:color="auto" w:fill="auto"/>
            <w:hideMark/>
          </w:tcPr>
          <w:p w14:paraId="6A5E889B" w14:textId="77777777" w:rsidR="0038219D" w:rsidRPr="004E2459" w:rsidRDefault="0038219D" w:rsidP="005636E1">
            <w:pPr>
              <w:spacing w:line="240" w:lineRule="auto"/>
              <w:contextualSpacing/>
            </w:pPr>
          </w:p>
        </w:tc>
        <w:tc>
          <w:tcPr>
            <w:tcW w:w="265" w:type="pct"/>
          </w:tcPr>
          <w:p w14:paraId="47ABA356" w14:textId="77777777" w:rsidR="0038219D" w:rsidRPr="004E2459" w:rsidRDefault="0038219D" w:rsidP="005636E1">
            <w:pPr>
              <w:spacing w:line="240" w:lineRule="auto"/>
              <w:contextualSpacing/>
              <w:jc w:val="center"/>
            </w:pPr>
          </w:p>
        </w:tc>
        <w:tc>
          <w:tcPr>
            <w:tcW w:w="1113" w:type="pct"/>
            <w:shd w:val="clear" w:color="auto" w:fill="auto"/>
            <w:hideMark/>
          </w:tcPr>
          <w:p w14:paraId="1EA5EBD7" w14:textId="77777777" w:rsidR="0038219D" w:rsidRPr="004E2459" w:rsidRDefault="0038219D" w:rsidP="005636E1">
            <w:pPr>
              <w:spacing w:line="240" w:lineRule="auto"/>
              <w:contextualSpacing/>
              <w:jc w:val="center"/>
            </w:pPr>
          </w:p>
        </w:tc>
        <w:tc>
          <w:tcPr>
            <w:tcW w:w="848" w:type="pct"/>
          </w:tcPr>
          <w:p w14:paraId="5E556986" w14:textId="77777777" w:rsidR="0038219D" w:rsidRPr="004E2459" w:rsidRDefault="0038219D" w:rsidP="005636E1">
            <w:pPr>
              <w:spacing w:line="240" w:lineRule="auto"/>
              <w:contextualSpacing/>
              <w:jc w:val="center"/>
            </w:pPr>
          </w:p>
        </w:tc>
        <w:tc>
          <w:tcPr>
            <w:tcW w:w="815" w:type="pct"/>
          </w:tcPr>
          <w:p w14:paraId="0DBE3264" w14:textId="77777777" w:rsidR="0038219D" w:rsidRPr="004E2459" w:rsidRDefault="0038219D" w:rsidP="005636E1">
            <w:pPr>
              <w:spacing w:line="240" w:lineRule="auto"/>
              <w:contextualSpacing/>
              <w:jc w:val="center"/>
            </w:pPr>
          </w:p>
        </w:tc>
      </w:tr>
      <w:tr w:rsidR="0038219D" w:rsidRPr="004E2459" w14:paraId="7F481EA2" w14:textId="77777777" w:rsidTr="5F7A8300">
        <w:trPr>
          <w:trHeight w:val="300"/>
        </w:trPr>
        <w:tc>
          <w:tcPr>
            <w:tcW w:w="1959" w:type="pct"/>
            <w:shd w:val="clear" w:color="auto" w:fill="auto"/>
            <w:hideMark/>
          </w:tcPr>
          <w:p w14:paraId="17087C41" w14:textId="77777777" w:rsidR="0038219D" w:rsidRPr="004E2459" w:rsidRDefault="0038219D" w:rsidP="005636E1">
            <w:pPr>
              <w:spacing w:line="240" w:lineRule="auto"/>
              <w:contextualSpacing/>
              <w:rPr>
                <w:i/>
                <w:iCs/>
                <w:u w:val="single"/>
              </w:rPr>
            </w:pPr>
            <w:r w:rsidRPr="004E2459">
              <w:rPr>
                <w:i/>
                <w:iCs/>
                <w:u w:val="single"/>
              </w:rPr>
              <w:t>European subsample</w:t>
            </w:r>
          </w:p>
        </w:tc>
        <w:tc>
          <w:tcPr>
            <w:tcW w:w="265" w:type="pct"/>
          </w:tcPr>
          <w:p w14:paraId="3B9398BD"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28575D4F" w14:textId="77777777" w:rsidR="0038219D" w:rsidRPr="004E2459" w:rsidRDefault="0038219D" w:rsidP="005636E1">
            <w:pPr>
              <w:spacing w:line="240" w:lineRule="auto"/>
              <w:contextualSpacing/>
              <w:jc w:val="center"/>
            </w:pPr>
          </w:p>
        </w:tc>
        <w:tc>
          <w:tcPr>
            <w:tcW w:w="848" w:type="pct"/>
          </w:tcPr>
          <w:p w14:paraId="3AA36096" w14:textId="77777777" w:rsidR="0038219D" w:rsidRPr="004E2459" w:rsidRDefault="0038219D" w:rsidP="005636E1">
            <w:pPr>
              <w:spacing w:line="240" w:lineRule="auto"/>
              <w:contextualSpacing/>
              <w:jc w:val="center"/>
            </w:pPr>
          </w:p>
        </w:tc>
        <w:tc>
          <w:tcPr>
            <w:tcW w:w="815" w:type="pct"/>
          </w:tcPr>
          <w:p w14:paraId="28BD3FDF" w14:textId="77777777" w:rsidR="0038219D" w:rsidRPr="004E2459" w:rsidRDefault="0038219D" w:rsidP="005636E1">
            <w:pPr>
              <w:spacing w:line="240" w:lineRule="auto"/>
              <w:contextualSpacing/>
              <w:jc w:val="center"/>
            </w:pPr>
          </w:p>
        </w:tc>
      </w:tr>
      <w:tr w:rsidR="0038219D" w:rsidRPr="004E2459" w14:paraId="0A2A90E9" w14:textId="77777777" w:rsidTr="5F7A8300">
        <w:trPr>
          <w:trHeight w:val="300"/>
        </w:trPr>
        <w:tc>
          <w:tcPr>
            <w:tcW w:w="1959" w:type="pct"/>
            <w:shd w:val="clear" w:color="auto" w:fill="auto"/>
            <w:hideMark/>
          </w:tcPr>
          <w:p w14:paraId="0CCC17C7" w14:textId="77777777" w:rsidR="0038219D" w:rsidRPr="004E2459" w:rsidRDefault="0038219D" w:rsidP="005636E1">
            <w:pPr>
              <w:spacing w:line="240" w:lineRule="auto"/>
              <w:contextualSpacing/>
            </w:pPr>
            <w:r w:rsidRPr="004E2459">
              <w:t xml:space="preserve">  % Migrants</w:t>
            </w:r>
          </w:p>
        </w:tc>
        <w:tc>
          <w:tcPr>
            <w:tcW w:w="265" w:type="pct"/>
          </w:tcPr>
          <w:p w14:paraId="0CB8E891"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2CBEA9CA" w14:textId="77777777" w:rsidR="0038219D" w:rsidRPr="004E2459" w:rsidRDefault="0038219D" w:rsidP="005636E1">
            <w:pPr>
              <w:spacing w:line="240" w:lineRule="auto"/>
              <w:contextualSpacing/>
              <w:jc w:val="center"/>
            </w:pPr>
            <w:r w:rsidRPr="004E2459">
              <w:t>10.3 (5.1)</w:t>
            </w:r>
          </w:p>
        </w:tc>
        <w:tc>
          <w:tcPr>
            <w:tcW w:w="848" w:type="pct"/>
          </w:tcPr>
          <w:p w14:paraId="29847D2E" w14:textId="77777777" w:rsidR="0038219D" w:rsidRPr="004E2459" w:rsidRDefault="0038219D" w:rsidP="005636E1">
            <w:pPr>
              <w:spacing w:line="240" w:lineRule="auto"/>
              <w:contextualSpacing/>
              <w:jc w:val="center"/>
            </w:pPr>
            <w:r w:rsidRPr="004E2459">
              <w:t>PL (1.9)</w:t>
            </w:r>
          </w:p>
        </w:tc>
        <w:tc>
          <w:tcPr>
            <w:tcW w:w="815" w:type="pct"/>
          </w:tcPr>
          <w:p w14:paraId="5AC31C89" w14:textId="77777777" w:rsidR="0038219D" w:rsidRPr="004E2459" w:rsidRDefault="0038219D" w:rsidP="005636E1">
            <w:pPr>
              <w:spacing w:line="240" w:lineRule="auto"/>
              <w:contextualSpacing/>
              <w:jc w:val="center"/>
            </w:pPr>
            <w:r w:rsidRPr="004E2459">
              <w:t>CH (24.4)</w:t>
            </w:r>
          </w:p>
        </w:tc>
      </w:tr>
      <w:tr w:rsidR="0038219D" w:rsidRPr="004E2459" w14:paraId="46A6A347" w14:textId="77777777" w:rsidTr="5F7A8300">
        <w:trPr>
          <w:trHeight w:val="247"/>
        </w:trPr>
        <w:tc>
          <w:tcPr>
            <w:tcW w:w="1959" w:type="pct"/>
            <w:shd w:val="clear" w:color="auto" w:fill="auto"/>
            <w:hideMark/>
          </w:tcPr>
          <w:p w14:paraId="1E05E5A8" w14:textId="77777777" w:rsidR="0038219D" w:rsidRPr="004E2459" w:rsidRDefault="0038219D" w:rsidP="005636E1">
            <w:pPr>
              <w:spacing w:line="240" w:lineRule="auto"/>
              <w:contextualSpacing/>
            </w:pPr>
            <w:r w:rsidRPr="004E2459">
              <w:t xml:space="preserve">  Attitudes towards immigration</w:t>
            </w:r>
          </w:p>
        </w:tc>
        <w:tc>
          <w:tcPr>
            <w:tcW w:w="265" w:type="pct"/>
          </w:tcPr>
          <w:p w14:paraId="63481B8C" w14:textId="77777777" w:rsidR="0038219D" w:rsidRPr="004E2459" w:rsidRDefault="0038219D" w:rsidP="005636E1">
            <w:pPr>
              <w:spacing w:line="240" w:lineRule="auto"/>
              <w:contextualSpacing/>
            </w:pPr>
            <w:r w:rsidRPr="004E2459">
              <w:t>19</w:t>
            </w:r>
          </w:p>
        </w:tc>
        <w:tc>
          <w:tcPr>
            <w:tcW w:w="1113" w:type="pct"/>
            <w:shd w:val="clear" w:color="auto" w:fill="auto"/>
            <w:hideMark/>
          </w:tcPr>
          <w:p w14:paraId="6055A891" w14:textId="77777777" w:rsidR="0038219D" w:rsidRPr="004E2459" w:rsidRDefault="0038219D" w:rsidP="005636E1">
            <w:pPr>
              <w:spacing w:line="240" w:lineRule="auto"/>
              <w:contextualSpacing/>
              <w:jc w:val="center"/>
            </w:pPr>
            <w:r w:rsidRPr="004E2459">
              <w:t>21.0 (3.1)</w:t>
            </w:r>
          </w:p>
        </w:tc>
        <w:tc>
          <w:tcPr>
            <w:tcW w:w="848" w:type="pct"/>
          </w:tcPr>
          <w:p w14:paraId="5130B34B" w14:textId="77777777" w:rsidR="0038219D" w:rsidRPr="004E2459" w:rsidRDefault="0038219D" w:rsidP="005636E1">
            <w:pPr>
              <w:spacing w:line="240" w:lineRule="auto"/>
              <w:contextualSpacing/>
              <w:jc w:val="center"/>
            </w:pPr>
            <w:r w:rsidRPr="004E2459">
              <w:t>RU (15.3)</w:t>
            </w:r>
          </w:p>
        </w:tc>
        <w:tc>
          <w:tcPr>
            <w:tcW w:w="815" w:type="pct"/>
          </w:tcPr>
          <w:p w14:paraId="545B1E4F" w14:textId="77777777" w:rsidR="0038219D" w:rsidRPr="004E2459" w:rsidRDefault="0038219D" w:rsidP="005636E1">
            <w:pPr>
              <w:spacing w:line="240" w:lineRule="auto"/>
              <w:contextualSpacing/>
              <w:jc w:val="center"/>
            </w:pPr>
            <w:r w:rsidRPr="004E2459">
              <w:t>SE (26.1)</w:t>
            </w:r>
          </w:p>
        </w:tc>
      </w:tr>
      <w:tr w:rsidR="0038219D" w:rsidRPr="004E2459" w14:paraId="068A0121" w14:textId="77777777" w:rsidTr="5F7A8300">
        <w:trPr>
          <w:trHeight w:val="300"/>
        </w:trPr>
        <w:tc>
          <w:tcPr>
            <w:tcW w:w="1959" w:type="pct"/>
            <w:shd w:val="clear" w:color="auto" w:fill="auto"/>
            <w:hideMark/>
          </w:tcPr>
          <w:p w14:paraId="01D2A7D3" w14:textId="6D3C402B" w:rsidR="0038219D" w:rsidRPr="004E2459" w:rsidRDefault="0038219D" w:rsidP="005636E1">
            <w:pPr>
              <w:spacing w:line="240" w:lineRule="auto"/>
              <w:contextualSpacing/>
            </w:pPr>
            <w:r w:rsidRPr="004E2459">
              <w:t xml:space="preserve">  Discrimination</w:t>
            </w:r>
            <w:r w:rsidR="007674B9">
              <w:t xml:space="preserve"> (ln)</w:t>
            </w:r>
          </w:p>
        </w:tc>
        <w:tc>
          <w:tcPr>
            <w:tcW w:w="265" w:type="pct"/>
          </w:tcPr>
          <w:p w14:paraId="097CF2A4"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19753EC5" w14:textId="5A872AD4" w:rsidR="0038219D" w:rsidRPr="004E2459" w:rsidRDefault="5F7A8300" w:rsidP="005636E1">
            <w:pPr>
              <w:spacing w:line="240" w:lineRule="auto"/>
              <w:contextualSpacing/>
              <w:jc w:val="center"/>
            </w:pPr>
            <w:r>
              <w:t>-3.9 (0.7)</w:t>
            </w:r>
          </w:p>
        </w:tc>
        <w:tc>
          <w:tcPr>
            <w:tcW w:w="848" w:type="pct"/>
          </w:tcPr>
          <w:p w14:paraId="41F5D716" w14:textId="0E82FE9B" w:rsidR="0038219D" w:rsidRPr="004E2459" w:rsidRDefault="5F7A8300" w:rsidP="005636E1">
            <w:pPr>
              <w:spacing w:line="240" w:lineRule="auto"/>
              <w:contextualSpacing/>
              <w:jc w:val="center"/>
            </w:pPr>
            <w:r>
              <w:t>PL (-5.2)</w:t>
            </w:r>
          </w:p>
        </w:tc>
        <w:tc>
          <w:tcPr>
            <w:tcW w:w="815" w:type="pct"/>
          </w:tcPr>
          <w:p w14:paraId="0F49352F" w14:textId="526E2FE3" w:rsidR="0038219D" w:rsidRPr="004E2459" w:rsidRDefault="5F7A8300" w:rsidP="005636E1">
            <w:pPr>
              <w:spacing w:line="240" w:lineRule="auto"/>
              <w:contextualSpacing/>
              <w:jc w:val="center"/>
            </w:pPr>
            <w:r>
              <w:t>EE (-2.0)</w:t>
            </w:r>
          </w:p>
        </w:tc>
      </w:tr>
      <w:tr w:rsidR="0038219D" w:rsidRPr="004E2459" w14:paraId="2E7CF0BE" w14:textId="77777777" w:rsidTr="5F7A8300">
        <w:trPr>
          <w:trHeight w:val="300"/>
        </w:trPr>
        <w:tc>
          <w:tcPr>
            <w:tcW w:w="1959" w:type="pct"/>
            <w:shd w:val="clear" w:color="auto" w:fill="auto"/>
            <w:hideMark/>
          </w:tcPr>
          <w:p w14:paraId="7759F32D" w14:textId="77777777" w:rsidR="0038219D" w:rsidRPr="004E2459" w:rsidRDefault="0038219D" w:rsidP="005636E1">
            <w:pPr>
              <w:spacing w:line="240" w:lineRule="auto"/>
              <w:contextualSpacing/>
            </w:pPr>
            <w:r w:rsidRPr="004E2459">
              <w:t xml:space="preserve">  Gini coefficient</w:t>
            </w:r>
          </w:p>
        </w:tc>
        <w:tc>
          <w:tcPr>
            <w:tcW w:w="265" w:type="pct"/>
          </w:tcPr>
          <w:p w14:paraId="50D2FB49"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48FEF5C3" w14:textId="77777777" w:rsidR="0038219D" w:rsidRPr="004E2459" w:rsidRDefault="0038219D" w:rsidP="005636E1">
            <w:pPr>
              <w:spacing w:line="240" w:lineRule="auto"/>
              <w:contextualSpacing/>
              <w:jc w:val="center"/>
            </w:pPr>
            <w:r w:rsidRPr="004E2459">
              <w:t>31.4 (4.3)</w:t>
            </w:r>
          </w:p>
        </w:tc>
        <w:tc>
          <w:tcPr>
            <w:tcW w:w="848" w:type="pct"/>
          </w:tcPr>
          <w:p w14:paraId="7827164C" w14:textId="77777777" w:rsidR="0038219D" w:rsidRPr="004E2459" w:rsidRDefault="0038219D" w:rsidP="005636E1">
            <w:pPr>
              <w:spacing w:line="240" w:lineRule="auto"/>
              <w:contextualSpacing/>
              <w:jc w:val="center"/>
            </w:pPr>
            <w:r w:rsidRPr="004E2459">
              <w:t>SI (24.6)</w:t>
            </w:r>
          </w:p>
        </w:tc>
        <w:tc>
          <w:tcPr>
            <w:tcW w:w="815" w:type="pct"/>
          </w:tcPr>
          <w:p w14:paraId="0E8F675C" w14:textId="77777777" w:rsidR="0038219D" w:rsidRPr="004E2459" w:rsidRDefault="0038219D" w:rsidP="005636E1">
            <w:pPr>
              <w:spacing w:line="240" w:lineRule="auto"/>
              <w:contextualSpacing/>
              <w:jc w:val="center"/>
            </w:pPr>
            <w:r w:rsidRPr="004E2459">
              <w:t>RU (41.3)</w:t>
            </w:r>
          </w:p>
        </w:tc>
      </w:tr>
      <w:tr w:rsidR="0038219D" w:rsidRPr="004E2459" w14:paraId="307F1FEF" w14:textId="77777777" w:rsidTr="5F7A8300">
        <w:trPr>
          <w:trHeight w:val="300"/>
        </w:trPr>
        <w:tc>
          <w:tcPr>
            <w:tcW w:w="1959" w:type="pct"/>
            <w:shd w:val="clear" w:color="auto" w:fill="auto"/>
            <w:hideMark/>
          </w:tcPr>
          <w:p w14:paraId="0A2C64F8" w14:textId="77777777" w:rsidR="0038219D" w:rsidRPr="004E2459" w:rsidRDefault="0038219D" w:rsidP="005636E1">
            <w:pPr>
              <w:spacing w:line="240" w:lineRule="auto"/>
              <w:contextualSpacing/>
            </w:pPr>
            <w:r w:rsidRPr="004E2459">
              <w:t xml:space="preserve">  Poverty </w:t>
            </w:r>
          </w:p>
        </w:tc>
        <w:tc>
          <w:tcPr>
            <w:tcW w:w="265" w:type="pct"/>
          </w:tcPr>
          <w:p w14:paraId="642A3D8E"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43886B05" w14:textId="77777777" w:rsidR="0038219D" w:rsidRPr="004E2459" w:rsidRDefault="0038219D" w:rsidP="005636E1">
            <w:pPr>
              <w:spacing w:line="240" w:lineRule="auto"/>
              <w:contextualSpacing/>
              <w:jc w:val="center"/>
            </w:pPr>
            <w:r w:rsidRPr="004E2459">
              <w:t>2.5 (4.2)</w:t>
            </w:r>
          </w:p>
        </w:tc>
        <w:tc>
          <w:tcPr>
            <w:tcW w:w="848" w:type="pct"/>
          </w:tcPr>
          <w:p w14:paraId="637E7103" w14:textId="77777777" w:rsidR="0038219D" w:rsidRPr="004E2459" w:rsidRDefault="0038219D" w:rsidP="005636E1">
            <w:pPr>
              <w:spacing w:line="240" w:lineRule="auto"/>
              <w:contextualSpacing/>
              <w:jc w:val="center"/>
            </w:pPr>
            <w:r w:rsidRPr="004E2459">
              <w:t>CY (0.0)</w:t>
            </w:r>
          </w:p>
        </w:tc>
        <w:tc>
          <w:tcPr>
            <w:tcW w:w="815" w:type="pct"/>
          </w:tcPr>
          <w:p w14:paraId="04C263E6" w14:textId="77777777" w:rsidR="0038219D" w:rsidRPr="004E2459" w:rsidRDefault="0038219D" w:rsidP="005636E1">
            <w:pPr>
              <w:spacing w:line="240" w:lineRule="auto"/>
              <w:contextualSpacing/>
              <w:jc w:val="center"/>
            </w:pPr>
            <w:r w:rsidRPr="004E2459">
              <w:t>RU (14.7)</w:t>
            </w:r>
          </w:p>
        </w:tc>
      </w:tr>
      <w:tr w:rsidR="0038219D" w:rsidRPr="004E2459" w14:paraId="4BC6D6B4" w14:textId="77777777" w:rsidTr="5F7A8300">
        <w:trPr>
          <w:trHeight w:val="300"/>
        </w:trPr>
        <w:tc>
          <w:tcPr>
            <w:tcW w:w="1959" w:type="pct"/>
            <w:shd w:val="clear" w:color="auto" w:fill="auto"/>
            <w:hideMark/>
          </w:tcPr>
          <w:p w14:paraId="17F8E234" w14:textId="77777777" w:rsidR="0038219D" w:rsidRPr="004E2459" w:rsidRDefault="0038219D" w:rsidP="005636E1">
            <w:pPr>
              <w:spacing w:line="240" w:lineRule="auto"/>
              <w:contextualSpacing/>
            </w:pPr>
            <w:r w:rsidRPr="004E2459">
              <w:t xml:space="preserve">  Victimized last 5 years</w:t>
            </w:r>
          </w:p>
        </w:tc>
        <w:tc>
          <w:tcPr>
            <w:tcW w:w="265" w:type="pct"/>
          </w:tcPr>
          <w:p w14:paraId="420A9837"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2B7E6015" w14:textId="77777777" w:rsidR="0038219D" w:rsidRPr="004E2459" w:rsidRDefault="0038219D" w:rsidP="005636E1">
            <w:pPr>
              <w:spacing w:line="240" w:lineRule="auto"/>
              <w:contextualSpacing/>
              <w:jc w:val="center"/>
            </w:pPr>
            <w:r w:rsidRPr="004E2459">
              <w:t>0.2 (0.06)</w:t>
            </w:r>
          </w:p>
        </w:tc>
        <w:tc>
          <w:tcPr>
            <w:tcW w:w="848" w:type="pct"/>
          </w:tcPr>
          <w:p w14:paraId="2A38C0E6" w14:textId="77777777" w:rsidR="0038219D" w:rsidRPr="004E2459" w:rsidRDefault="0038219D" w:rsidP="005636E1">
            <w:pPr>
              <w:spacing w:line="240" w:lineRule="auto"/>
              <w:contextualSpacing/>
              <w:jc w:val="center"/>
            </w:pPr>
            <w:r w:rsidRPr="004E2459">
              <w:t>CY (0.1)</w:t>
            </w:r>
          </w:p>
        </w:tc>
        <w:tc>
          <w:tcPr>
            <w:tcW w:w="815" w:type="pct"/>
          </w:tcPr>
          <w:p w14:paraId="5E4D0507" w14:textId="77777777" w:rsidR="0038219D" w:rsidRPr="004E2459" w:rsidRDefault="0038219D" w:rsidP="005636E1">
            <w:pPr>
              <w:spacing w:line="240" w:lineRule="auto"/>
              <w:contextualSpacing/>
              <w:jc w:val="center"/>
            </w:pPr>
            <w:r w:rsidRPr="004E2459">
              <w:t>FI (0.29)</w:t>
            </w:r>
          </w:p>
        </w:tc>
      </w:tr>
      <w:tr w:rsidR="0038219D" w:rsidRPr="004E2459" w14:paraId="5D065161" w14:textId="77777777" w:rsidTr="5F7A8300">
        <w:trPr>
          <w:trHeight w:val="300"/>
        </w:trPr>
        <w:tc>
          <w:tcPr>
            <w:tcW w:w="1959" w:type="pct"/>
            <w:shd w:val="clear" w:color="auto" w:fill="auto"/>
            <w:hideMark/>
          </w:tcPr>
          <w:p w14:paraId="26278638" w14:textId="77777777" w:rsidR="0038219D" w:rsidRPr="004E2459" w:rsidRDefault="0038219D" w:rsidP="005636E1">
            <w:pPr>
              <w:spacing w:line="240" w:lineRule="auto"/>
              <w:contextualSpacing/>
            </w:pPr>
            <w:r w:rsidRPr="004E2459">
              <w:t xml:space="preserve">  Worry about victimization</w:t>
            </w:r>
          </w:p>
        </w:tc>
        <w:tc>
          <w:tcPr>
            <w:tcW w:w="265" w:type="pct"/>
          </w:tcPr>
          <w:p w14:paraId="5554C91E" w14:textId="77777777" w:rsidR="0038219D" w:rsidRPr="004E2459" w:rsidRDefault="0038219D" w:rsidP="005636E1">
            <w:pPr>
              <w:spacing w:line="240" w:lineRule="auto"/>
              <w:contextualSpacing/>
              <w:jc w:val="center"/>
            </w:pPr>
            <w:r w:rsidRPr="004E2459">
              <w:t>19</w:t>
            </w:r>
          </w:p>
        </w:tc>
        <w:tc>
          <w:tcPr>
            <w:tcW w:w="1113" w:type="pct"/>
            <w:shd w:val="clear" w:color="auto" w:fill="auto"/>
            <w:hideMark/>
          </w:tcPr>
          <w:p w14:paraId="30B45546" w14:textId="77777777" w:rsidR="0038219D" w:rsidRPr="004E2459" w:rsidRDefault="0038219D" w:rsidP="005636E1">
            <w:pPr>
              <w:spacing w:line="240" w:lineRule="auto"/>
              <w:contextualSpacing/>
              <w:jc w:val="center"/>
            </w:pPr>
            <w:r w:rsidRPr="004E2459">
              <w:t>2.6 (0.4)</w:t>
            </w:r>
          </w:p>
        </w:tc>
        <w:tc>
          <w:tcPr>
            <w:tcW w:w="848" w:type="pct"/>
          </w:tcPr>
          <w:p w14:paraId="11381BF3" w14:textId="77777777" w:rsidR="0038219D" w:rsidRPr="004E2459" w:rsidRDefault="0038219D" w:rsidP="005636E1">
            <w:pPr>
              <w:spacing w:line="240" w:lineRule="auto"/>
              <w:contextualSpacing/>
              <w:jc w:val="center"/>
            </w:pPr>
            <w:r w:rsidRPr="004E2459">
              <w:t>NO (2.0)</w:t>
            </w:r>
          </w:p>
        </w:tc>
        <w:tc>
          <w:tcPr>
            <w:tcW w:w="815" w:type="pct"/>
          </w:tcPr>
          <w:p w14:paraId="3094F1A0" w14:textId="77777777" w:rsidR="0038219D" w:rsidRPr="004E2459" w:rsidRDefault="0038219D" w:rsidP="005636E1">
            <w:pPr>
              <w:spacing w:line="240" w:lineRule="auto"/>
              <w:contextualSpacing/>
              <w:jc w:val="center"/>
            </w:pPr>
            <w:r w:rsidRPr="004E2459">
              <w:t>FR (3.3)</w:t>
            </w:r>
          </w:p>
        </w:tc>
      </w:tr>
    </w:tbl>
    <w:p w14:paraId="2E08B50E" w14:textId="77777777" w:rsidR="00982E69" w:rsidRDefault="0038219D" w:rsidP="00982E69">
      <w:pPr>
        <w:contextualSpacing/>
      </w:pPr>
      <w:r w:rsidRPr="004E2459">
        <w:t>Note. SD = standard deviation. Country abbreviations noted in Min and Max columns</w:t>
      </w:r>
      <w:r>
        <w:t xml:space="preserve">. </w:t>
      </w:r>
    </w:p>
    <w:p w14:paraId="2189FC7A" w14:textId="77777777" w:rsidR="005636E1" w:rsidRDefault="005636E1">
      <w:pPr>
        <w:spacing w:line="240" w:lineRule="auto"/>
        <w:rPr>
          <w:lang w:val="en"/>
        </w:rPr>
      </w:pPr>
      <w:r>
        <w:rPr>
          <w:lang w:val="en"/>
        </w:rPr>
        <w:br w:type="page"/>
      </w:r>
    </w:p>
    <w:p w14:paraId="74A1EE3F" w14:textId="3F25A078" w:rsidR="0038219D" w:rsidRPr="00982E69" w:rsidRDefault="624E573A" w:rsidP="00982E69">
      <w:pPr>
        <w:contextualSpacing/>
      </w:pPr>
      <w:r w:rsidRPr="624E573A">
        <w:rPr>
          <w:lang w:val="en"/>
        </w:rPr>
        <w:lastRenderedPageBreak/>
        <w:t>Table 2. Descriptive Statistics for Individual-level Variables</w:t>
      </w:r>
    </w:p>
    <w:tbl>
      <w:tblPr>
        <w:tblStyle w:val="TableGrid"/>
        <w:tblW w:w="9196" w:type="dxa"/>
        <w:tblLayout w:type="fixed"/>
        <w:tblLook w:val="04A0" w:firstRow="1" w:lastRow="0" w:firstColumn="1" w:lastColumn="0" w:noHBand="0" w:noVBand="1"/>
      </w:tblPr>
      <w:tblGrid>
        <w:gridCol w:w="3505"/>
        <w:gridCol w:w="1350"/>
        <w:gridCol w:w="1350"/>
        <w:gridCol w:w="1620"/>
        <w:gridCol w:w="1371"/>
      </w:tblGrid>
      <w:tr w:rsidR="0038219D" w:rsidRPr="007D22E0" w14:paraId="4AF479BD" w14:textId="77777777" w:rsidTr="005636E1">
        <w:trPr>
          <w:trHeight w:val="741"/>
        </w:trPr>
        <w:tc>
          <w:tcPr>
            <w:tcW w:w="3505" w:type="dxa"/>
            <w:noWrap/>
            <w:vAlign w:val="center"/>
            <w:hideMark/>
          </w:tcPr>
          <w:p w14:paraId="6F6C5BA1" w14:textId="77777777" w:rsidR="0038219D" w:rsidRPr="008D266A" w:rsidRDefault="0038219D" w:rsidP="005636E1">
            <w:pPr>
              <w:spacing w:line="240" w:lineRule="auto"/>
              <w:contextualSpacing/>
              <w:rPr>
                <w:rFonts w:ascii="Times New Roman" w:hAnsi="Times New Roman" w:cs="Times New Roman"/>
                <w:b/>
                <w:bCs/>
              </w:rPr>
            </w:pPr>
            <w:r w:rsidRPr="008D266A">
              <w:rPr>
                <w:rFonts w:ascii="Times New Roman" w:hAnsi="Times New Roman" w:cs="Times New Roman"/>
                <w:b/>
                <w:bCs/>
              </w:rPr>
              <w:t>Measure</w:t>
            </w:r>
          </w:p>
        </w:tc>
        <w:tc>
          <w:tcPr>
            <w:tcW w:w="1350" w:type="dxa"/>
            <w:vAlign w:val="center"/>
            <w:hideMark/>
          </w:tcPr>
          <w:p w14:paraId="1C71F53B" w14:textId="77777777" w:rsidR="0038219D" w:rsidRPr="008D266A" w:rsidRDefault="0038219D" w:rsidP="005636E1">
            <w:pPr>
              <w:spacing w:line="240" w:lineRule="auto"/>
              <w:contextualSpacing/>
              <w:jc w:val="center"/>
              <w:rPr>
                <w:rFonts w:ascii="Times New Roman" w:hAnsi="Times New Roman" w:cs="Times New Roman"/>
                <w:b/>
                <w:bCs/>
              </w:rPr>
            </w:pPr>
            <w:r w:rsidRPr="008D266A">
              <w:rPr>
                <w:rFonts w:ascii="Times New Roman" w:hAnsi="Times New Roman" w:cs="Times New Roman"/>
                <w:b/>
                <w:bCs/>
              </w:rPr>
              <w:t xml:space="preserve">Total </w:t>
            </w:r>
            <w:r w:rsidRPr="008D266A">
              <w:rPr>
                <w:rFonts w:ascii="Times New Roman" w:hAnsi="Times New Roman" w:cs="Times New Roman"/>
                <w:b/>
                <w:bCs/>
              </w:rPr>
              <w:br/>
              <w:t>Sample %</w:t>
            </w:r>
          </w:p>
        </w:tc>
        <w:tc>
          <w:tcPr>
            <w:tcW w:w="1350" w:type="dxa"/>
            <w:noWrap/>
            <w:vAlign w:val="center"/>
            <w:hideMark/>
          </w:tcPr>
          <w:p w14:paraId="1CAD1434" w14:textId="77777777" w:rsidR="0038219D" w:rsidRPr="008D266A" w:rsidRDefault="0038219D" w:rsidP="005636E1">
            <w:pPr>
              <w:spacing w:line="240" w:lineRule="auto"/>
              <w:contextualSpacing/>
              <w:jc w:val="center"/>
              <w:rPr>
                <w:rFonts w:ascii="Times New Roman" w:hAnsi="Times New Roman" w:cs="Times New Roman"/>
                <w:b/>
                <w:bCs/>
              </w:rPr>
            </w:pPr>
            <w:r w:rsidRPr="008D266A">
              <w:rPr>
                <w:rFonts w:ascii="Times New Roman" w:hAnsi="Times New Roman" w:cs="Times New Roman"/>
                <w:b/>
                <w:bCs/>
              </w:rPr>
              <w:t>Highest %</w:t>
            </w:r>
          </w:p>
        </w:tc>
        <w:tc>
          <w:tcPr>
            <w:tcW w:w="1620" w:type="dxa"/>
            <w:vAlign w:val="center"/>
            <w:hideMark/>
          </w:tcPr>
          <w:p w14:paraId="0EF84D72" w14:textId="77777777" w:rsidR="0038219D" w:rsidRPr="008D266A" w:rsidRDefault="0038219D" w:rsidP="005636E1">
            <w:pPr>
              <w:spacing w:line="240" w:lineRule="auto"/>
              <w:contextualSpacing/>
              <w:jc w:val="center"/>
              <w:rPr>
                <w:rFonts w:ascii="Times New Roman" w:hAnsi="Times New Roman" w:cs="Times New Roman"/>
                <w:b/>
                <w:bCs/>
              </w:rPr>
            </w:pPr>
            <w:r w:rsidRPr="008D266A">
              <w:rPr>
                <w:rFonts w:ascii="Times New Roman" w:hAnsi="Times New Roman" w:cs="Times New Roman"/>
                <w:b/>
                <w:bCs/>
              </w:rPr>
              <w:t xml:space="preserve">European </w:t>
            </w:r>
            <w:r w:rsidRPr="008D266A">
              <w:rPr>
                <w:rFonts w:ascii="Times New Roman" w:hAnsi="Times New Roman" w:cs="Times New Roman"/>
                <w:b/>
                <w:bCs/>
              </w:rPr>
              <w:br/>
              <w:t>Subsample %</w:t>
            </w:r>
          </w:p>
        </w:tc>
        <w:tc>
          <w:tcPr>
            <w:tcW w:w="1371" w:type="dxa"/>
            <w:noWrap/>
            <w:vAlign w:val="center"/>
            <w:hideMark/>
          </w:tcPr>
          <w:p w14:paraId="72589261" w14:textId="77777777" w:rsidR="0038219D" w:rsidRPr="008D266A" w:rsidRDefault="0038219D" w:rsidP="005636E1">
            <w:pPr>
              <w:spacing w:line="240" w:lineRule="auto"/>
              <w:contextualSpacing/>
              <w:jc w:val="center"/>
              <w:rPr>
                <w:rFonts w:ascii="Times New Roman" w:hAnsi="Times New Roman" w:cs="Times New Roman"/>
                <w:b/>
                <w:bCs/>
              </w:rPr>
            </w:pPr>
            <w:r w:rsidRPr="008D266A">
              <w:rPr>
                <w:rFonts w:ascii="Times New Roman" w:hAnsi="Times New Roman" w:cs="Times New Roman"/>
                <w:b/>
                <w:bCs/>
              </w:rPr>
              <w:t>Highest %</w:t>
            </w:r>
          </w:p>
        </w:tc>
      </w:tr>
      <w:tr w:rsidR="0038219D" w:rsidRPr="007D22E0" w14:paraId="7268C94D" w14:textId="77777777" w:rsidTr="005636E1">
        <w:trPr>
          <w:trHeight w:val="144"/>
        </w:trPr>
        <w:tc>
          <w:tcPr>
            <w:tcW w:w="3505" w:type="dxa"/>
            <w:noWrap/>
            <w:hideMark/>
          </w:tcPr>
          <w:p w14:paraId="1FEF3415" w14:textId="77777777" w:rsidR="0038219D" w:rsidRPr="008D266A" w:rsidRDefault="0038219D" w:rsidP="005636E1">
            <w:pPr>
              <w:spacing w:line="240" w:lineRule="auto"/>
              <w:contextualSpacing/>
              <w:rPr>
                <w:rFonts w:ascii="Times New Roman" w:hAnsi="Times New Roman" w:cs="Times New Roman"/>
                <w:b/>
                <w:bCs/>
              </w:rPr>
            </w:pPr>
            <w:r w:rsidRPr="008D266A">
              <w:rPr>
                <w:rFonts w:ascii="Times New Roman" w:hAnsi="Times New Roman" w:cs="Times New Roman"/>
                <w:b/>
                <w:bCs/>
              </w:rPr>
              <w:t>Demographics</w:t>
            </w:r>
          </w:p>
        </w:tc>
        <w:tc>
          <w:tcPr>
            <w:tcW w:w="1350" w:type="dxa"/>
            <w:noWrap/>
            <w:vAlign w:val="center"/>
            <w:hideMark/>
          </w:tcPr>
          <w:p w14:paraId="36ADDD1A" w14:textId="77777777" w:rsidR="0038219D" w:rsidRPr="008D266A" w:rsidRDefault="0038219D" w:rsidP="005636E1">
            <w:pPr>
              <w:spacing w:line="240" w:lineRule="auto"/>
              <w:contextualSpacing/>
              <w:jc w:val="center"/>
              <w:rPr>
                <w:rFonts w:ascii="Times New Roman" w:hAnsi="Times New Roman" w:cs="Times New Roman"/>
                <w:b/>
                <w:bCs/>
              </w:rPr>
            </w:pPr>
          </w:p>
        </w:tc>
        <w:tc>
          <w:tcPr>
            <w:tcW w:w="1350" w:type="dxa"/>
            <w:noWrap/>
            <w:vAlign w:val="center"/>
            <w:hideMark/>
          </w:tcPr>
          <w:p w14:paraId="4707EF42"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16729564" w14:textId="77777777" w:rsidR="0038219D" w:rsidRPr="008D266A" w:rsidRDefault="0038219D" w:rsidP="005636E1">
            <w:pPr>
              <w:spacing w:line="240" w:lineRule="auto"/>
              <w:contextualSpacing/>
              <w:jc w:val="center"/>
              <w:rPr>
                <w:rFonts w:ascii="Times New Roman" w:hAnsi="Times New Roman" w:cs="Times New Roman"/>
              </w:rPr>
            </w:pPr>
          </w:p>
        </w:tc>
        <w:tc>
          <w:tcPr>
            <w:tcW w:w="1371" w:type="dxa"/>
            <w:noWrap/>
            <w:vAlign w:val="center"/>
            <w:hideMark/>
          </w:tcPr>
          <w:p w14:paraId="44D9CBB5"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32B4C90E" w14:textId="77777777" w:rsidTr="005636E1">
        <w:trPr>
          <w:trHeight w:val="144"/>
        </w:trPr>
        <w:tc>
          <w:tcPr>
            <w:tcW w:w="3505" w:type="dxa"/>
            <w:noWrap/>
            <w:hideMark/>
          </w:tcPr>
          <w:p w14:paraId="38FF740D"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Gender</w:t>
            </w:r>
          </w:p>
        </w:tc>
        <w:tc>
          <w:tcPr>
            <w:tcW w:w="1350" w:type="dxa"/>
            <w:noWrap/>
            <w:vAlign w:val="center"/>
            <w:hideMark/>
          </w:tcPr>
          <w:p w14:paraId="3B13F1E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w:t>
            </w:r>
          </w:p>
        </w:tc>
        <w:tc>
          <w:tcPr>
            <w:tcW w:w="1350" w:type="dxa"/>
            <w:noWrap/>
            <w:vAlign w:val="center"/>
            <w:hideMark/>
          </w:tcPr>
          <w:p w14:paraId="073453A9"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7D7A2FF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w:t>
            </w:r>
          </w:p>
        </w:tc>
        <w:tc>
          <w:tcPr>
            <w:tcW w:w="1371" w:type="dxa"/>
            <w:noWrap/>
            <w:vAlign w:val="center"/>
            <w:hideMark/>
          </w:tcPr>
          <w:p w14:paraId="538F1210"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02724831" w14:textId="77777777" w:rsidTr="005636E1">
        <w:trPr>
          <w:trHeight w:val="144"/>
        </w:trPr>
        <w:tc>
          <w:tcPr>
            <w:tcW w:w="3505" w:type="dxa"/>
            <w:noWrap/>
            <w:hideMark/>
          </w:tcPr>
          <w:p w14:paraId="5C91DE5F"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Male</w:t>
            </w:r>
          </w:p>
        </w:tc>
        <w:tc>
          <w:tcPr>
            <w:tcW w:w="1350" w:type="dxa"/>
            <w:noWrap/>
            <w:vAlign w:val="center"/>
            <w:hideMark/>
          </w:tcPr>
          <w:p w14:paraId="630CDCD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49.3</w:t>
            </w:r>
          </w:p>
        </w:tc>
        <w:tc>
          <w:tcPr>
            <w:tcW w:w="1350" w:type="dxa"/>
            <w:noWrap/>
            <w:vAlign w:val="center"/>
            <w:hideMark/>
          </w:tcPr>
          <w:p w14:paraId="7F82223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IE (52.5)</w:t>
            </w:r>
          </w:p>
        </w:tc>
        <w:tc>
          <w:tcPr>
            <w:tcW w:w="1620" w:type="dxa"/>
            <w:noWrap/>
            <w:vAlign w:val="center"/>
            <w:hideMark/>
          </w:tcPr>
          <w:p w14:paraId="3E68661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49. 8</w:t>
            </w:r>
          </w:p>
        </w:tc>
        <w:tc>
          <w:tcPr>
            <w:tcW w:w="1371" w:type="dxa"/>
            <w:noWrap/>
            <w:vAlign w:val="center"/>
            <w:hideMark/>
          </w:tcPr>
          <w:p w14:paraId="4621316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IE (52.5)</w:t>
            </w:r>
          </w:p>
        </w:tc>
      </w:tr>
      <w:tr w:rsidR="0038219D" w:rsidRPr="007D22E0" w14:paraId="654973D4" w14:textId="77777777" w:rsidTr="005636E1">
        <w:trPr>
          <w:trHeight w:val="144"/>
        </w:trPr>
        <w:tc>
          <w:tcPr>
            <w:tcW w:w="3505" w:type="dxa"/>
            <w:noWrap/>
            <w:hideMark/>
          </w:tcPr>
          <w:p w14:paraId="7548439C"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Age</w:t>
            </w:r>
          </w:p>
        </w:tc>
        <w:tc>
          <w:tcPr>
            <w:tcW w:w="1350" w:type="dxa"/>
            <w:noWrap/>
            <w:vAlign w:val="center"/>
            <w:hideMark/>
          </w:tcPr>
          <w:p w14:paraId="7056A04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(m=.7)</w:t>
            </w:r>
          </w:p>
        </w:tc>
        <w:tc>
          <w:tcPr>
            <w:tcW w:w="1350" w:type="dxa"/>
            <w:noWrap/>
            <w:vAlign w:val="center"/>
            <w:hideMark/>
          </w:tcPr>
          <w:p w14:paraId="464F7DDD"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729C586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(m=.5)</w:t>
            </w:r>
          </w:p>
        </w:tc>
        <w:tc>
          <w:tcPr>
            <w:tcW w:w="1371" w:type="dxa"/>
            <w:noWrap/>
            <w:vAlign w:val="center"/>
            <w:hideMark/>
          </w:tcPr>
          <w:p w14:paraId="72F9694C"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4CEE7C37" w14:textId="77777777" w:rsidTr="005636E1">
        <w:trPr>
          <w:trHeight w:val="144"/>
        </w:trPr>
        <w:tc>
          <w:tcPr>
            <w:tcW w:w="3505" w:type="dxa"/>
            <w:noWrap/>
            <w:hideMark/>
          </w:tcPr>
          <w:p w14:paraId="4DED8985"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12-15</w:t>
            </w:r>
          </w:p>
        </w:tc>
        <w:tc>
          <w:tcPr>
            <w:tcW w:w="1350" w:type="dxa"/>
            <w:noWrap/>
            <w:vAlign w:val="center"/>
            <w:hideMark/>
          </w:tcPr>
          <w:p w14:paraId="2CC196A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91.5</w:t>
            </w:r>
          </w:p>
        </w:tc>
        <w:tc>
          <w:tcPr>
            <w:tcW w:w="1350" w:type="dxa"/>
            <w:noWrap/>
            <w:vAlign w:val="center"/>
            <w:hideMark/>
          </w:tcPr>
          <w:p w14:paraId="19BE18C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BA (99.1)</w:t>
            </w:r>
          </w:p>
        </w:tc>
        <w:tc>
          <w:tcPr>
            <w:tcW w:w="1620" w:type="dxa"/>
            <w:noWrap/>
            <w:vAlign w:val="center"/>
            <w:hideMark/>
          </w:tcPr>
          <w:p w14:paraId="2CC9716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91.8</w:t>
            </w:r>
          </w:p>
        </w:tc>
        <w:tc>
          <w:tcPr>
            <w:tcW w:w="1371" w:type="dxa"/>
            <w:noWrap/>
            <w:vAlign w:val="center"/>
            <w:hideMark/>
          </w:tcPr>
          <w:p w14:paraId="4710072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SI (98.8)</w:t>
            </w:r>
          </w:p>
        </w:tc>
      </w:tr>
      <w:tr w:rsidR="0038219D" w:rsidRPr="007D22E0" w14:paraId="4B420FC4" w14:textId="77777777" w:rsidTr="005636E1">
        <w:trPr>
          <w:trHeight w:val="144"/>
        </w:trPr>
        <w:tc>
          <w:tcPr>
            <w:tcW w:w="3505" w:type="dxa"/>
            <w:noWrap/>
            <w:hideMark/>
          </w:tcPr>
          <w:p w14:paraId="74203427"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16-18</w:t>
            </w:r>
          </w:p>
        </w:tc>
        <w:tc>
          <w:tcPr>
            <w:tcW w:w="1350" w:type="dxa"/>
            <w:noWrap/>
            <w:vAlign w:val="center"/>
            <w:hideMark/>
          </w:tcPr>
          <w:p w14:paraId="127DA4C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7.9</w:t>
            </w:r>
          </w:p>
        </w:tc>
        <w:tc>
          <w:tcPr>
            <w:tcW w:w="1350" w:type="dxa"/>
            <w:noWrap/>
            <w:vAlign w:val="center"/>
            <w:hideMark/>
          </w:tcPr>
          <w:p w14:paraId="7926E2E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SR (32.5)</w:t>
            </w:r>
          </w:p>
        </w:tc>
        <w:tc>
          <w:tcPr>
            <w:tcW w:w="1620" w:type="dxa"/>
            <w:noWrap/>
            <w:vAlign w:val="center"/>
            <w:hideMark/>
          </w:tcPr>
          <w:p w14:paraId="63DC4AE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7.8</w:t>
            </w:r>
          </w:p>
        </w:tc>
        <w:tc>
          <w:tcPr>
            <w:tcW w:w="1371" w:type="dxa"/>
            <w:noWrap/>
            <w:vAlign w:val="center"/>
            <w:hideMark/>
          </w:tcPr>
          <w:p w14:paraId="153271B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(15.7)</w:t>
            </w:r>
          </w:p>
        </w:tc>
      </w:tr>
      <w:tr w:rsidR="0038219D" w:rsidRPr="007D22E0" w14:paraId="675C8FB6" w14:textId="77777777" w:rsidTr="005636E1">
        <w:trPr>
          <w:trHeight w:val="144"/>
        </w:trPr>
        <w:tc>
          <w:tcPr>
            <w:tcW w:w="3505" w:type="dxa"/>
            <w:noWrap/>
            <w:hideMark/>
          </w:tcPr>
          <w:p w14:paraId="40639D35" w14:textId="77777777" w:rsidR="0038219D" w:rsidRPr="008D266A" w:rsidRDefault="0038219D" w:rsidP="005636E1">
            <w:pPr>
              <w:spacing w:line="240" w:lineRule="auto"/>
              <w:contextualSpacing/>
              <w:rPr>
                <w:rFonts w:ascii="Times New Roman" w:hAnsi="Times New Roman" w:cs="Times New Roman"/>
                <w:b/>
                <w:bCs/>
              </w:rPr>
            </w:pPr>
            <w:r w:rsidRPr="008D266A">
              <w:rPr>
                <w:rFonts w:ascii="Times New Roman" w:hAnsi="Times New Roman" w:cs="Times New Roman"/>
                <w:b/>
                <w:bCs/>
              </w:rPr>
              <w:t>Economic marginalization</w:t>
            </w:r>
          </w:p>
        </w:tc>
        <w:tc>
          <w:tcPr>
            <w:tcW w:w="1350" w:type="dxa"/>
            <w:noWrap/>
            <w:vAlign w:val="center"/>
            <w:hideMark/>
          </w:tcPr>
          <w:p w14:paraId="4892CD46" w14:textId="77777777" w:rsidR="0038219D" w:rsidRPr="008D266A" w:rsidRDefault="0038219D" w:rsidP="005636E1">
            <w:pPr>
              <w:spacing w:line="240" w:lineRule="auto"/>
              <w:contextualSpacing/>
              <w:jc w:val="center"/>
              <w:rPr>
                <w:rFonts w:ascii="Times New Roman" w:hAnsi="Times New Roman" w:cs="Times New Roman"/>
              </w:rPr>
            </w:pPr>
          </w:p>
        </w:tc>
        <w:tc>
          <w:tcPr>
            <w:tcW w:w="1350" w:type="dxa"/>
            <w:noWrap/>
            <w:vAlign w:val="center"/>
            <w:hideMark/>
          </w:tcPr>
          <w:p w14:paraId="42D9DA29"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3A9327AB" w14:textId="77777777" w:rsidR="0038219D" w:rsidRPr="008D266A" w:rsidRDefault="0038219D" w:rsidP="005636E1">
            <w:pPr>
              <w:spacing w:line="240" w:lineRule="auto"/>
              <w:contextualSpacing/>
              <w:jc w:val="center"/>
              <w:rPr>
                <w:rFonts w:ascii="Times New Roman" w:hAnsi="Times New Roman" w:cs="Times New Roman"/>
              </w:rPr>
            </w:pPr>
          </w:p>
        </w:tc>
        <w:tc>
          <w:tcPr>
            <w:tcW w:w="1371" w:type="dxa"/>
            <w:noWrap/>
            <w:vAlign w:val="center"/>
            <w:hideMark/>
          </w:tcPr>
          <w:p w14:paraId="3A659D9E"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272E6D33" w14:textId="77777777" w:rsidTr="005636E1">
        <w:trPr>
          <w:trHeight w:val="144"/>
        </w:trPr>
        <w:tc>
          <w:tcPr>
            <w:tcW w:w="3505" w:type="dxa"/>
            <w:noWrap/>
            <w:hideMark/>
          </w:tcPr>
          <w:p w14:paraId="650226BC"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Parental employment</w:t>
            </w:r>
          </w:p>
        </w:tc>
        <w:tc>
          <w:tcPr>
            <w:tcW w:w="1350" w:type="dxa"/>
            <w:noWrap/>
            <w:vAlign w:val="center"/>
            <w:hideMark/>
          </w:tcPr>
          <w:p w14:paraId="1E94F08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(m=1.1)</w:t>
            </w:r>
          </w:p>
        </w:tc>
        <w:tc>
          <w:tcPr>
            <w:tcW w:w="1350" w:type="dxa"/>
            <w:noWrap/>
            <w:vAlign w:val="center"/>
            <w:hideMark/>
          </w:tcPr>
          <w:p w14:paraId="52DC835F"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70A8B7E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(m=1.2)</w:t>
            </w:r>
          </w:p>
        </w:tc>
        <w:tc>
          <w:tcPr>
            <w:tcW w:w="1371" w:type="dxa"/>
            <w:noWrap/>
            <w:vAlign w:val="center"/>
            <w:hideMark/>
          </w:tcPr>
          <w:p w14:paraId="13A47523"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2AED0BAD" w14:textId="77777777" w:rsidTr="005636E1">
        <w:trPr>
          <w:trHeight w:val="144"/>
        </w:trPr>
        <w:tc>
          <w:tcPr>
            <w:tcW w:w="3505" w:type="dxa"/>
            <w:noWrap/>
            <w:hideMark/>
          </w:tcPr>
          <w:p w14:paraId="3B1FFAD2"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Neither</w:t>
            </w:r>
          </w:p>
        </w:tc>
        <w:tc>
          <w:tcPr>
            <w:tcW w:w="1350" w:type="dxa"/>
            <w:noWrap/>
            <w:vAlign w:val="center"/>
            <w:hideMark/>
          </w:tcPr>
          <w:p w14:paraId="54E6141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3.9</w:t>
            </w:r>
          </w:p>
        </w:tc>
        <w:tc>
          <w:tcPr>
            <w:tcW w:w="1350" w:type="dxa"/>
            <w:noWrap/>
            <w:vAlign w:val="center"/>
            <w:hideMark/>
          </w:tcPr>
          <w:p w14:paraId="199DB35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BA (11.2)</w:t>
            </w:r>
          </w:p>
        </w:tc>
        <w:tc>
          <w:tcPr>
            <w:tcW w:w="1620" w:type="dxa"/>
            <w:noWrap/>
            <w:vAlign w:val="center"/>
            <w:hideMark/>
          </w:tcPr>
          <w:p w14:paraId="51F5C32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4.2</w:t>
            </w:r>
          </w:p>
        </w:tc>
        <w:tc>
          <w:tcPr>
            <w:tcW w:w="1371" w:type="dxa"/>
            <w:noWrap/>
            <w:vAlign w:val="center"/>
            <w:hideMark/>
          </w:tcPr>
          <w:p w14:paraId="5C4DACD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(10.8)</w:t>
            </w:r>
          </w:p>
        </w:tc>
      </w:tr>
      <w:tr w:rsidR="0038219D" w:rsidRPr="007D22E0" w14:paraId="6901E7ED" w14:textId="77777777" w:rsidTr="005636E1">
        <w:trPr>
          <w:trHeight w:val="144"/>
        </w:trPr>
        <w:tc>
          <w:tcPr>
            <w:tcW w:w="3505" w:type="dxa"/>
            <w:noWrap/>
            <w:hideMark/>
          </w:tcPr>
          <w:p w14:paraId="62E5B593"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One</w:t>
            </w:r>
          </w:p>
        </w:tc>
        <w:tc>
          <w:tcPr>
            <w:tcW w:w="1350" w:type="dxa"/>
            <w:noWrap/>
            <w:vAlign w:val="center"/>
            <w:hideMark/>
          </w:tcPr>
          <w:p w14:paraId="2173BE6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28.6</w:t>
            </w:r>
          </w:p>
        </w:tc>
        <w:tc>
          <w:tcPr>
            <w:tcW w:w="1350" w:type="dxa"/>
            <w:noWrap/>
            <w:vAlign w:val="center"/>
            <w:hideMark/>
          </w:tcPr>
          <w:p w14:paraId="705CC59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AM (48.2)</w:t>
            </w:r>
          </w:p>
        </w:tc>
        <w:tc>
          <w:tcPr>
            <w:tcW w:w="1620" w:type="dxa"/>
            <w:noWrap/>
            <w:vAlign w:val="center"/>
            <w:hideMark/>
          </w:tcPr>
          <w:p w14:paraId="32143C7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27.7</w:t>
            </w:r>
          </w:p>
        </w:tc>
        <w:tc>
          <w:tcPr>
            <w:tcW w:w="1371" w:type="dxa"/>
            <w:noWrap/>
            <w:vAlign w:val="center"/>
            <w:hideMark/>
          </w:tcPr>
          <w:p w14:paraId="4D5FA32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ES (36.4)</w:t>
            </w:r>
          </w:p>
        </w:tc>
      </w:tr>
      <w:tr w:rsidR="0038219D" w:rsidRPr="007D22E0" w14:paraId="5D5C1780" w14:textId="77777777" w:rsidTr="005636E1">
        <w:trPr>
          <w:trHeight w:val="144"/>
        </w:trPr>
        <w:tc>
          <w:tcPr>
            <w:tcW w:w="3505" w:type="dxa"/>
            <w:noWrap/>
            <w:hideMark/>
          </w:tcPr>
          <w:p w14:paraId="092B5F1E"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Both</w:t>
            </w:r>
          </w:p>
        </w:tc>
        <w:tc>
          <w:tcPr>
            <w:tcW w:w="1350" w:type="dxa"/>
            <w:noWrap/>
            <w:vAlign w:val="center"/>
            <w:hideMark/>
          </w:tcPr>
          <w:p w14:paraId="5FECCA9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66.5</w:t>
            </w:r>
          </w:p>
        </w:tc>
        <w:tc>
          <w:tcPr>
            <w:tcW w:w="1350" w:type="dxa"/>
            <w:noWrap/>
            <w:vAlign w:val="center"/>
            <w:hideMark/>
          </w:tcPr>
          <w:p w14:paraId="1A2470F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SI (80.8)</w:t>
            </w:r>
          </w:p>
        </w:tc>
        <w:tc>
          <w:tcPr>
            <w:tcW w:w="1620" w:type="dxa"/>
            <w:noWrap/>
            <w:vAlign w:val="center"/>
            <w:hideMark/>
          </w:tcPr>
          <w:p w14:paraId="030DE44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66.9</w:t>
            </w:r>
          </w:p>
        </w:tc>
        <w:tc>
          <w:tcPr>
            <w:tcW w:w="1371" w:type="dxa"/>
            <w:noWrap/>
            <w:vAlign w:val="center"/>
            <w:hideMark/>
          </w:tcPr>
          <w:p w14:paraId="46FC6FD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SI (80.8)</w:t>
            </w:r>
          </w:p>
        </w:tc>
      </w:tr>
      <w:tr w:rsidR="0038219D" w:rsidRPr="007D22E0" w14:paraId="5E49703A" w14:textId="77777777" w:rsidTr="005636E1">
        <w:trPr>
          <w:trHeight w:val="144"/>
        </w:trPr>
        <w:tc>
          <w:tcPr>
            <w:tcW w:w="3505" w:type="dxa"/>
            <w:noWrap/>
            <w:hideMark/>
          </w:tcPr>
          <w:p w14:paraId="30FE6C68"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Own room</w:t>
            </w:r>
          </w:p>
        </w:tc>
        <w:tc>
          <w:tcPr>
            <w:tcW w:w="1350" w:type="dxa"/>
            <w:noWrap/>
            <w:vAlign w:val="center"/>
            <w:hideMark/>
          </w:tcPr>
          <w:p w14:paraId="2B91A2A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(m=.3)</w:t>
            </w:r>
          </w:p>
        </w:tc>
        <w:tc>
          <w:tcPr>
            <w:tcW w:w="1350" w:type="dxa"/>
            <w:noWrap/>
            <w:vAlign w:val="center"/>
            <w:hideMark/>
          </w:tcPr>
          <w:p w14:paraId="0D18D3F5"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0C880CD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(m=.3)</w:t>
            </w:r>
          </w:p>
        </w:tc>
        <w:tc>
          <w:tcPr>
            <w:tcW w:w="1371" w:type="dxa"/>
            <w:noWrap/>
            <w:vAlign w:val="center"/>
            <w:hideMark/>
          </w:tcPr>
          <w:p w14:paraId="5A61355F"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30A3C330" w14:textId="77777777" w:rsidTr="005636E1">
        <w:trPr>
          <w:trHeight w:val="144"/>
        </w:trPr>
        <w:tc>
          <w:tcPr>
            <w:tcW w:w="3505" w:type="dxa"/>
            <w:noWrap/>
            <w:hideMark/>
          </w:tcPr>
          <w:p w14:paraId="42633E6E"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No</w:t>
            </w:r>
          </w:p>
        </w:tc>
        <w:tc>
          <w:tcPr>
            <w:tcW w:w="1350" w:type="dxa"/>
            <w:noWrap/>
            <w:vAlign w:val="center"/>
            <w:hideMark/>
          </w:tcPr>
          <w:p w14:paraId="745EE83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24.4</w:t>
            </w:r>
          </w:p>
        </w:tc>
        <w:tc>
          <w:tcPr>
            <w:tcW w:w="1350" w:type="dxa"/>
            <w:noWrap/>
            <w:vAlign w:val="center"/>
            <w:hideMark/>
          </w:tcPr>
          <w:p w14:paraId="780043A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VE (49.4)</w:t>
            </w:r>
          </w:p>
        </w:tc>
        <w:tc>
          <w:tcPr>
            <w:tcW w:w="1620" w:type="dxa"/>
            <w:noWrap/>
            <w:vAlign w:val="center"/>
            <w:hideMark/>
          </w:tcPr>
          <w:p w14:paraId="3D3123A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19.8</w:t>
            </w:r>
          </w:p>
        </w:tc>
        <w:tc>
          <w:tcPr>
            <w:tcW w:w="1371" w:type="dxa"/>
            <w:noWrap/>
            <w:vAlign w:val="center"/>
            <w:hideMark/>
          </w:tcPr>
          <w:p w14:paraId="2132B05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RU (39.0)</w:t>
            </w:r>
          </w:p>
        </w:tc>
      </w:tr>
      <w:tr w:rsidR="0038219D" w:rsidRPr="007D22E0" w14:paraId="5388D6E7" w14:textId="77777777" w:rsidTr="005636E1">
        <w:trPr>
          <w:trHeight w:val="144"/>
        </w:trPr>
        <w:tc>
          <w:tcPr>
            <w:tcW w:w="3505" w:type="dxa"/>
            <w:noWrap/>
            <w:hideMark/>
          </w:tcPr>
          <w:p w14:paraId="1583CA27"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Traditional family (live with </w:t>
            </w:r>
            <w:proofErr w:type="spellStart"/>
            <w:r w:rsidRPr="008D266A">
              <w:rPr>
                <w:rFonts w:ascii="Times New Roman" w:hAnsi="Times New Roman" w:cs="Times New Roman"/>
              </w:rPr>
              <w:t>mom+dad</w:t>
            </w:r>
            <w:proofErr w:type="spellEnd"/>
            <w:r w:rsidRPr="008D266A">
              <w:rPr>
                <w:rFonts w:ascii="Times New Roman" w:hAnsi="Times New Roman" w:cs="Times New Roman"/>
              </w:rPr>
              <w:t>)</w:t>
            </w:r>
          </w:p>
        </w:tc>
        <w:tc>
          <w:tcPr>
            <w:tcW w:w="1350" w:type="dxa"/>
            <w:noWrap/>
            <w:vAlign w:val="center"/>
            <w:hideMark/>
          </w:tcPr>
          <w:p w14:paraId="7BEEF91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(m=.5)</w:t>
            </w:r>
          </w:p>
        </w:tc>
        <w:tc>
          <w:tcPr>
            <w:tcW w:w="1350" w:type="dxa"/>
            <w:noWrap/>
            <w:vAlign w:val="center"/>
            <w:hideMark/>
          </w:tcPr>
          <w:p w14:paraId="19D770D4"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79103DC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(m=.5)</w:t>
            </w:r>
          </w:p>
        </w:tc>
        <w:tc>
          <w:tcPr>
            <w:tcW w:w="1371" w:type="dxa"/>
            <w:noWrap/>
            <w:vAlign w:val="center"/>
            <w:hideMark/>
          </w:tcPr>
          <w:p w14:paraId="7F1E96B7"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4ECB3D77" w14:textId="77777777" w:rsidTr="005636E1">
        <w:trPr>
          <w:trHeight w:val="144"/>
        </w:trPr>
        <w:tc>
          <w:tcPr>
            <w:tcW w:w="3505" w:type="dxa"/>
            <w:noWrap/>
            <w:hideMark/>
          </w:tcPr>
          <w:p w14:paraId="43A92F77"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No</w:t>
            </w:r>
          </w:p>
        </w:tc>
        <w:tc>
          <w:tcPr>
            <w:tcW w:w="1350" w:type="dxa"/>
            <w:noWrap/>
            <w:vAlign w:val="center"/>
            <w:hideMark/>
          </w:tcPr>
          <w:p w14:paraId="4C8EB00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27.2</w:t>
            </w:r>
          </w:p>
        </w:tc>
        <w:tc>
          <w:tcPr>
            <w:tcW w:w="1350" w:type="dxa"/>
            <w:noWrap/>
            <w:vAlign w:val="center"/>
            <w:hideMark/>
          </w:tcPr>
          <w:p w14:paraId="19033D6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AN (48.7)</w:t>
            </w:r>
          </w:p>
        </w:tc>
        <w:tc>
          <w:tcPr>
            <w:tcW w:w="1620" w:type="dxa"/>
            <w:noWrap/>
            <w:vAlign w:val="center"/>
            <w:hideMark/>
          </w:tcPr>
          <w:p w14:paraId="2C56875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26.9</w:t>
            </w:r>
          </w:p>
        </w:tc>
        <w:tc>
          <w:tcPr>
            <w:tcW w:w="1371" w:type="dxa"/>
            <w:noWrap/>
            <w:vAlign w:val="center"/>
            <w:hideMark/>
          </w:tcPr>
          <w:p w14:paraId="0E93951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(38.1)</w:t>
            </w:r>
          </w:p>
        </w:tc>
      </w:tr>
      <w:tr w:rsidR="0038219D" w:rsidRPr="007D22E0" w14:paraId="650A7980" w14:textId="77777777" w:rsidTr="005636E1">
        <w:trPr>
          <w:trHeight w:val="144"/>
        </w:trPr>
        <w:tc>
          <w:tcPr>
            <w:tcW w:w="3505" w:type="dxa"/>
            <w:noWrap/>
            <w:hideMark/>
          </w:tcPr>
          <w:p w14:paraId="6601DB37" w14:textId="77777777" w:rsidR="0038219D" w:rsidRPr="008D266A" w:rsidRDefault="0038219D" w:rsidP="005636E1">
            <w:pPr>
              <w:spacing w:line="240" w:lineRule="auto"/>
              <w:contextualSpacing/>
              <w:rPr>
                <w:rFonts w:ascii="Times New Roman" w:hAnsi="Times New Roman" w:cs="Times New Roman"/>
                <w:b/>
                <w:bCs/>
              </w:rPr>
            </w:pPr>
            <w:r w:rsidRPr="008D266A">
              <w:rPr>
                <w:rFonts w:ascii="Times New Roman" w:hAnsi="Times New Roman" w:cs="Times New Roman"/>
                <w:b/>
                <w:bCs/>
              </w:rPr>
              <w:t>Social marginalization</w:t>
            </w:r>
          </w:p>
        </w:tc>
        <w:tc>
          <w:tcPr>
            <w:tcW w:w="1350" w:type="dxa"/>
            <w:noWrap/>
            <w:vAlign w:val="center"/>
            <w:hideMark/>
          </w:tcPr>
          <w:p w14:paraId="7043B6C7" w14:textId="77777777" w:rsidR="0038219D" w:rsidRPr="008D266A" w:rsidRDefault="0038219D" w:rsidP="005636E1">
            <w:pPr>
              <w:spacing w:line="240" w:lineRule="auto"/>
              <w:contextualSpacing/>
              <w:jc w:val="center"/>
              <w:rPr>
                <w:rFonts w:ascii="Times New Roman" w:hAnsi="Times New Roman" w:cs="Times New Roman"/>
              </w:rPr>
            </w:pPr>
          </w:p>
        </w:tc>
        <w:tc>
          <w:tcPr>
            <w:tcW w:w="1350" w:type="dxa"/>
            <w:noWrap/>
            <w:vAlign w:val="center"/>
            <w:hideMark/>
          </w:tcPr>
          <w:p w14:paraId="70C7DC69"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3E5FAC8B" w14:textId="77777777" w:rsidR="0038219D" w:rsidRPr="008D266A" w:rsidRDefault="0038219D" w:rsidP="005636E1">
            <w:pPr>
              <w:spacing w:line="240" w:lineRule="auto"/>
              <w:contextualSpacing/>
              <w:jc w:val="center"/>
              <w:rPr>
                <w:rFonts w:ascii="Times New Roman" w:hAnsi="Times New Roman" w:cs="Times New Roman"/>
              </w:rPr>
            </w:pPr>
          </w:p>
        </w:tc>
        <w:tc>
          <w:tcPr>
            <w:tcW w:w="1371" w:type="dxa"/>
            <w:noWrap/>
            <w:vAlign w:val="center"/>
            <w:hideMark/>
          </w:tcPr>
          <w:p w14:paraId="776B28D5"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5C5E33CF" w14:textId="77777777" w:rsidTr="005636E1">
        <w:trPr>
          <w:trHeight w:val="144"/>
        </w:trPr>
        <w:tc>
          <w:tcPr>
            <w:tcW w:w="3505" w:type="dxa"/>
            <w:noWrap/>
            <w:hideMark/>
          </w:tcPr>
          <w:p w14:paraId="5DE402BB" w14:textId="1FB50268" w:rsidR="0038219D" w:rsidRPr="008D266A" w:rsidRDefault="624E573A" w:rsidP="005636E1">
            <w:pPr>
              <w:spacing w:line="240" w:lineRule="auto"/>
              <w:contextualSpacing/>
              <w:rPr>
                <w:rFonts w:ascii="Times New Roman" w:hAnsi="Times New Roman" w:cs="Times New Roman"/>
              </w:rPr>
            </w:pPr>
            <w:r w:rsidRPr="624E573A">
              <w:rPr>
                <w:rFonts w:ascii="Times New Roman" w:hAnsi="Times New Roman" w:cs="Times New Roman"/>
              </w:rPr>
              <w:t xml:space="preserve">  Origin of self and friend group*</w:t>
            </w:r>
          </w:p>
        </w:tc>
        <w:tc>
          <w:tcPr>
            <w:tcW w:w="1350" w:type="dxa"/>
            <w:noWrap/>
            <w:vAlign w:val="center"/>
            <w:hideMark/>
          </w:tcPr>
          <w:p w14:paraId="0F49BAF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(m=.8)</w:t>
            </w:r>
          </w:p>
        </w:tc>
        <w:tc>
          <w:tcPr>
            <w:tcW w:w="1350" w:type="dxa"/>
            <w:noWrap/>
            <w:vAlign w:val="center"/>
            <w:hideMark/>
          </w:tcPr>
          <w:p w14:paraId="1A967950"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19B8B4E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(m=.9)</w:t>
            </w:r>
          </w:p>
        </w:tc>
        <w:tc>
          <w:tcPr>
            <w:tcW w:w="1371" w:type="dxa"/>
            <w:noWrap/>
            <w:vAlign w:val="center"/>
            <w:hideMark/>
          </w:tcPr>
          <w:p w14:paraId="5E00B64B"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2C3554C5" w14:textId="77777777" w:rsidTr="005636E1">
        <w:trPr>
          <w:trHeight w:val="144"/>
        </w:trPr>
        <w:tc>
          <w:tcPr>
            <w:tcW w:w="3505" w:type="dxa"/>
            <w:noWrap/>
            <w:hideMark/>
          </w:tcPr>
          <w:p w14:paraId="24F680DD"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Non-native, friends mostly non-native</w:t>
            </w:r>
          </w:p>
        </w:tc>
        <w:tc>
          <w:tcPr>
            <w:tcW w:w="1350" w:type="dxa"/>
            <w:noWrap/>
            <w:vAlign w:val="center"/>
            <w:hideMark/>
          </w:tcPr>
          <w:p w14:paraId="1FBA710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9.0</w:t>
            </w:r>
          </w:p>
        </w:tc>
        <w:tc>
          <w:tcPr>
            <w:tcW w:w="1350" w:type="dxa"/>
            <w:noWrap/>
            <w:vAlign w:val="center"/>
            <w:hideMark/>
          </w:tcPr>
          <w:p w14:paraId="4E8E219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(37.8)</w:t>
            </w:r>
          </w:p>
        </w:tc>
        <w:tc>
          <w:tcPr>
            <w:tcW w:w="1620" w:type="dxa"/>
            <w:noWrap/>
            <w:vAlign w:val="center"/>
            <w:hideMark/>
          </w:tcPr>
          <w:p w14:paraId="3DAB326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12.2</w:t>
            </w:r>
          </w:p>
        </w:tc>
        <w:tc>
          <w:tcPr>
            <w:tcW w:w="1371" w:type="dxa"/>
            <w:noWrap/>
            <w:vAlign w:val="center"/>
            <w:hideMark/>
          </w:tcPr>
          <w:p w14:paraId="6BB8D0F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(37.8)</w:t>
            </w:r>
          </w:p>
        </w:tc>
      </w:tr>
      <w:tr w:rsidR="0038219D" w:rsidRPr="007D22E0" w14:paraId="0A8960AE" w14:textId="77777777" w:rsidTr="005636E1">
        <w:trPr>
          <w:trHeight w:val="144"/>
        </w:trPr>
        <w:tc>
          <w:tcPr>
            <w:tcW w:w="3505" w:type="dxa"/>
            <w:noWrap/>
            <w:hideMark/>
          </w:tcPr>
          <w:p w14:paraId="1501D685"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Non-native, friends mostly native</w:t>
            </w:r>
          </w:p>
        </w:tc>
        <w:tc>
          <w:tcPr>
            <w:tcW w:w="1350" w:type="dxa"/>
            <w:noWrap/>
            <w:vAlign w:val="center"/>
            <w:hideMark/>
          </w:tcPr>
          <w:p w14:paraId="028F74B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13.1</w:t>
            </w:r>
          </w:p>
        </w:tc>
        <w:tc>
          <w:tcPr>
            <w:tcW w:w="1350" w:type="dxa"/>
            <w:noWrap/>
            <w:vAlign w:val="center"/>
            <w:hideMark/>
          </w:tcPr>
          <w:p w14:paraId="547CBC5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AW (32.6)</w:t>
            </w:r>
          </w:p>
        </w:tc>
        <w:tc>
          <w:tcPr>
            <w:tcW w:w="1620" w:type="dxa"/>
            <w:noWrap/>
            <w:vAlign w:val="center"/>
            <w:hideMark/>
          </w:tcPr>
          <w:p w14:paraId="505209C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14.1</w:t>
            </w:r>
          </w:p>
        </w:tc>
        <w:tc>
          <w:tcPr>
            <w:tcW w:w="1371" w:type="dxa"/>
            <w:noWrap/>
            <w:vAlign w:val="center"/>
            <w:hideMark/>
          </w:tcPr>
          <w:p w14:paraId="764D322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CH (20.6)</w:t>
            </w:r>
          </w:p>
        </w:tc>
      </w:tr>
      <w:tr w:rsidR="0038219D" w:rsidRPr="007D22E0" w14:paraId="040FE91D" w14:textId="77777777" w:rsidTr="005636E1">
        <w:trPr>
          <w:trHeight w:val="144"/>
        </w:trPr>
        <w:tc>
          <w:tcPr>
            <w:tcW w:w="3505" w:type="dxa"/>
            <w:noWrap/>
            <w:hideMark/>
          </w:tcPr>
          <w:p w14:paraId="534E9F58"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Native</w:t>
            </w:r>
          </w:p>
        </w:tc>
        <w:tc>
          <w:tcPr>
            <w:tcW w:w="1350" w:type="dxa"/>
            <w:noWrap/>
            <w:vAlign w:val="center"/>
            <w:hideMark/>
          </w:tcPr>
          <w:p w14:paraId="0A43CC4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77.1</w:t>
            </w:r>
          </w:p>
        </w:tc>
        <w:tc>
          <w:tcPr>
            <w:tcW w:w="1350" w:type="dxa"/>
            <w:noWrap/>
            <w:vAlign w:val="center"/>
            <w:hideMark/>
          </w:tcPr>
          <w:p w14:paraId="6600D3C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PL (97.7)</w:t>
            </w:r>
          </w:p>
        </w:tc>
        <w:tc>
          <w:tcPr>
            <w:tcW w:w="1620" w:type="dxa"/>
            <w:noWrap/>
            <w:vAlign w:val="center"/>
            <w:hideMark/>
          </w:tcPr>
          <w:p w14:paraId="48C9492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72.8</w:t>
            </w:r>
          </w:p>
        </w:tc>
        <w:tc>
          <w:tcPr>
            <w:tcW w:w="1371" w:type="dxa"/>
            <w:noWrap/>
            <w:vAlign w:val="center"/>
            <w:hideMark/>
          </w:tcPr>
          <w:p w14:paraId="6D08C23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PL (97.7)</w:t>
            </w:r>
          </w:p>
        </w:tc>
      </w:tr>
      <w:tr w:rsidR="0038219D" w:rsidRPr="007D22E0" w14:paraId="75F3FA19" w14:textId="77777777" w:rsidTr="005636E1">
        <w:trPr>
          <w:trHeight w:val="144"/>
        </w:trPr>
        <w:tc>
          <w:tcPr>
            <w:tcW w:w="3505" w:type="dxa"/>
            <w:noWrap/>
            <w:hideMark/>
          </w:tcPr>
          <w:p w14:paraId="716EC04B"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Language spoken at home</w:t>
            </w:r>
          </w:p>
        </w:tc>
        <w:tc>
          <w:tcPr>
            <w:tcW w:w="1350" w:type="dxa"/>
            <w:noWrap/>
            <w:vAlign w:val="center"/>
            <w:hideMark/>
          </w:tcPr>
          <w:p w14:paraId="40D3F76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(m=6.5)</w:t>
            </w:r>
          </w:p>
        </w:tc>
        <w:tc>
          <w:tcPr>
            <w:tcW w:w="1350" w:type="dxa"/>
            <w:noWrap/>
            <w:vAlign w:val="center"/>
            <w:hideMark/>
          </w:tcPr>
          <w:p w14:paraId="1EC62114"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31EFB1C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(m=.5)</w:t>
            </w:r>
          </w:p>
        </w:tc>
        <w:tc>
          <w:tcPr>
            <w:tcW w:w="1371" w:type="dxa"/>
            <w:noWrap/>
            <w:vAlign w:val="center"/>
            <w:hideMark/>
          </w:tcPr>
          <w:p w14:paraId="53837A34"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458E8EB3" w14:textId="77777777" w:rsidTr="005636E1">
        <w:trPr>
          <w:trHeight w:val="144"/>
        </w:trPr>
        <w:tc>
          <w:tcPr>
            <w:tcW w:w="3505" w:type="dxa"/>
            <w:noWrap/>
            <w:hideMark/>
          </w:tcPr>
          <w:p w14:paraId="2BCE8FCA"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Not from country</w:t>
            </w:r>
          </w:p>
        </w:tc>
        <w:tc>
          <w:tcPr>
            <w:tcW w:w="1350" w:type="dxa"/>
            <w:noWrap/>
            <w:vAlign w:val="center"/>
            <w:hideMark/>
          </w:tcPr>
          <w:p w14:paraId="2E6EF1D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9.0</w:t>
            </w:r>
          </w:p>
        </w:tc>
        <w:tc>
          <w:tcPr>
            <w:tcW w:w="1350" w:type="dxa"/>
            <w:noWrap/>
            <w:vAlign w:val="center"/>
            <w:hideMark/>
          </w:tcPr>
          <w:p w14:paraId="71411E3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AW (32.5)</w:t>
            </w:r>
          </w:p>
        </w:tc>
        <w:tc>
          <w:tcPr>
            <w:tcW w:w="1620" w:type="dxa"/>
            <w:noWrap/>
            <w:vAlign w:val="center"/>
            <w:hideMark/>
          </w:tcPr>
          <w:p w14:paraId="6A323FD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10.9</w:t>
            </w:r>
          </w:p>
        </w:tc>
        <w:tc>
          <w:tcPr>
            <w:tcW w:w="1371" w:type="dxa"/>
            <w:noWrap/>
            <w:vAlign w:val="center"/>
            <w:hideMark/>
          </w:tcPr>
          <w:p w14:paraId="24C8C73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(24.5)</w:t>
            </w:r>
          </w:p>
        </w:tc>
      </w:tr>
      <w:tr w:rsidR="0038219D" w:rsidRPr="007D22E0" w14:paraId="0BBF597D" w14:textId="77777777" w:rsidTr="005636E1">
        <w:trPr>
          <w:trHeight w:val="144"/>
        </w:trPr>
        <w:tc>
          <w:tcPr>
            <w:tcW w:w="3505" w:type="dxa"/>
            <w:noWrap/>
            <w:hideMark/>
          </w:tcPr>
          <w:p w14:paraId="09053216"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From country</w:t>
            </w:r>
          </w:p>
        </w:tc>
        <w:tc>
          <w:tcPr>
            <w:tcW w:w="1350" w:type="dxa"/>
            <w:noWrap/>
            <w:vAlign w:val="center"/>
            <w:hideMark/>
          </w:tcPr>
          <w:p w14:paraId="275F2D4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84.5</w:t>
            </w:r>
          </w:p>
        </w:tc>
        <w:tc>
          <w:tcPr>
            <w:tcW w:w="1350" w:type="dxa"/>
            <w:noWrap/>
            <w:vAlign w:val="center"/>
            <w:hideMark/>
          </w:tcPr>
          <w:p w14:paraId="09594BA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PL (98.8)</w:t>
            </w:r>
          </w:p>
        </w:tc>
        <w:tc>
          <w:tcPr>
            <w:tcW w:w="1620" w:type="dxa"/>
            <w:noWrap/>
            <w:vAlign w:val="center"/>
            <w:hideMark/>
          </w:tcPr>
          <w:p w14:paraId="41B8CC8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88.6</w:t>
            </w:r>
          </w:p>
        </w:tc>
        <w:tc>
          <w:tcPr>
            <w:tcW w:w="1371" w:type="dxa"/>
            <w:noWrap/>
            <w:vAlign w:val="center"/>
            <w:hideMark/>
          </w:tcPr>
          <w:p w14:paraId="698AC54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PL (98.8)</w:t>
            </w:r>
          </w:p>
        </w:tc>
      </w:tr>
      <w:tr w:rsidR="0038219D" w:rsidRPr="007D22E0" w14:paraId="0D82F05F" w14:textId="77777777" w:rsidTr="005636E1">
        <w:trPr>
          <w:trHeight w:val="144"/>
        </w:trPr>
        <w:tc>
          <w:tcPr>
            <w:tcW w:w="3505" w:type="dxa"/>
            <w:noWrap/>
            <w:hideMark/>
          </w:tcPr>
          <w:p w14:paraId="46D8CD54"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Discrimination</w:t>
            </w:r>
          </w:p>
        </w:tc>
        <w:tc>
          <w:tcPr>
            <w:tcW w:w="1350" w:type="dxa"/>
            <w:noWrap/>
            <w:vAlign w:val="center"/>
            <w:hideMark/>
          </w:tcPr>
          <w:p w14:paraId="0649DCD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(m=.6)</w:t>
            </w:r>
          </w:p>
        </w:tc>
        <w:tc>
          <w:tcPr>
            <w:tcW w:w="1350" w:type="dxa"/>
            <w:noWrap/>
            <w:vAlign w:val="center"/>
            <w:hideMark/>
          </w:tcPr>
          <w:p w14:paraId="5AAA0F54"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491AE09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(m=.6)</w:t>
            </w:r>
          </w:p>
        </w:tc>
        <w:tc>
          <w:tcPr>
            <w:tcW w:w="1371" w:type="dxa"/>
            <w:noWrap/>
            <w:vAlign w:val="center"/>
            <w:hideMark/>
          </w:tcPr>
          <w:p w14:paraId="27269084"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289CB249" w14:textId="77777777" w:rsidTr="005636E1">
        <w:trPr>
          <w:trHeight w:val="144"/>
        </w:trPr>
        <w:tc>
          <w:tcPr>
            <w:tcW w:w="3505" w:type="dxa"/>
            <w:noWrap/>
            <w:hideMark/>
          </w:tcPr>
          <w:p w14:paraId="734C2CDF"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Yes</w:t>
            </w:r>
          </w:p>
        </w:tc>
        <w:tc>
          <w:tcPr>
            <w:tcW w:w="1350" w:type="dxa"/>
            <w:noWrap/>
            <w:vAlign w:val="center"/>
            <w:hideMark/>
          </w:tcPr>
          <w:p w14:paraId="4C62685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12.2</w:t>
            </w:r>
          </w:p>
        </w:tc>
        <w:tc>
          <w:tcPr>
            <w:tcW w:w="1350" w:type="dxa"/>
            <w:noWrap/>
            <w:vAlign w:val="center"/>
            <w:hideMark/>
          </w:tcPr>
          <w:p w14:paraId="764998D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US (25.6)</w:t>
            </w:r>
          </w:p>
        </w:tc>
        <w:tc>
          <w:tcPr>
            <w:tcW w:w="1620" w:type="dxa"/>
            <w:noWrap/>
            <w:vAlign w:val="center"/>
            <w:hideMark/>
          </w:tcPr>
          <w:p w14:paraId="007A262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12.1</w:t>
            </w:r>
          </w:p>
        </w:tc>
        <w:tc>
          <w:tcPr>
            <w:tcW w:w="1371" w:type="dxa"/>
            <w:noWrap/>
            <w:vAlign w:val="center"/>
            <w:hideMark/>
          </w:tcPr>
          <w:p w14:paraId="6916BEA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DK (22.3)</w:t>
            </w:r>
          </w:p>
        </w:tc>
      </w:tr>
      <w:tr w:rsidR="0038219D" w:rsidRPr="007D22E0" w14:paraId="2197FBF9" w14:textId="77777777" w:rsidTr="005636E1">
        <w:trPr>
          <w:trHeight w:val="144"/>
        </w:trPr>
        <w:tc>
          <w:tcPr>
            <w:tcW w:w="3505" w:type="dxa"/>
            <w:noWrap/>
            <w:hideMark/>
          </w:tcPr>
          <w:p w14:paraId="1E706081" w14:textId="77777777" w:rsidR="0038219D" w:rsidRPr="008D266A" w:rsidRDefault="0038219D" w:rsidP="005636E1">
            <w:pPr>
              <w:spacing w:line="240" w:lineRule="auto"/>
              <w:contextualSpacing/>
              <w:rPr>
                <w:rFonts w:ascii="Times New Roman" w:hAnsi="Times New Roman" w:cs="Times New Roman"/>
                <w:b/>
                <w:bCs/>
              </w:rPr>
            </w:pPr>
            <w:r w:rsidRPr="008D266A">
              <w:rPr>
                <w:rFonts w:ascii="Times New Roman" w:hAnsi="Times New Roman" w:cs="Times New Roman"/>
                <w:b/>
                <w:bCs/>
              </w:rPr>
              <w:t xml:space="preserve">Neighborhood environment </w:t>
            </w:r>
          </w:p>
        </w:tc>
        <w:tc>
          <w:tcPr>
            <w:tcW w:w="1350" w:type="dxa"/>
            <w:noWrap/>
            <w:vAlign w:val="center"/>
            <w:hideMark/>
          </w:tcPr>
          <w:p w14:paraId="5833015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n=65,628</w:t>
            </w:r>
          </w:p>
        </w:tc>
        <w:tc>
          <w:tcPr>
            <w:tcW w:w="1350" w:type="dxa"/>
            <w:noWrap/>
            <w:vAlign w:val="center"/>
            <w:hideMark/>
          </w:tcPr>
          <w:p w14:paraId="37C83815"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171C5BA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n=41,968</w:t>
            </w:r>
          </w:p>
        </w:tc>
        <w:tc>
          <w:tcPr>
            <w:tcW w:w="1371" w:type="dxa"/>
            <w:noWrap/>
            <w:vAlign w:val="center"/>
            <w:hideMark/>
          </w:tcPr>
          <w:p w14:paraId="35F56106"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25B54B93" w14:textId="77777777" w:rsidTr="005636E1">
        <w:trPr>
          <w:trHeight w:val="144"/>
        </w:trPr>
        <w:tc>
          <w:tcPr>
            <w:tcW w:w="3505" w:type="dxa"/>
            <w:noWrap/>
            <w:vAlign w:val="center"/>
            <w:hideMark/>
          </w:tcPr>
          <w:p w14:paraId="5EAA3C4C"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Neighborhood index (mean, SE)</w:t>
            </w:r>
          </w:p>
        </w:tc>
        <w:tc>
          <w:tcPr>
            <w:tcW w:w="1350" w:type="dxa"/>
            <w:noWrap/>
            <w:vAlign w:val="center"/>
            <w:hideMark/>
          </w:tcPr>
          <w:p w14:paraId="43D81C5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0.57 (.002)</w:t>
            </w:r>
          </w:p>
        </w:tc>
        <w:tc>
          <w:tcPr>
            <w:tcW w:w="1350" w:type="dxa"/>
            <w:vAlign w:val="center"/>
            <w:hideMark/>
          </w:tcPr>
          <w:p w14:paraId="54C3B1D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 xml:space="preserve">BA (.82); </w:t>
            </w:r>
            <w:r w:rsidRPr="008D266A">
              <w:rPr>
                <w:rFonts w:ascii="Times New Roman" w:hAnsi="Times New Roman" w:cs="Times New Roman"/>
              </w:rPr>
              <w:br/>
              <w:t>Lowest: PL (.39)</w:t>
            </w:r>
          </w:p>
        </w:tc>
        <w:tc>
          <w:tcPr>
            <w:tcW w:w="1620" w:type="dxa"/>
            <w:noWrap/>
            <w:vAlign w:val="center"/>
            <w:hideMark/>
          </w:tcPr>
          <w:p w14:paraId="728B1B9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0.59 (.002)</w:t>
            </w:r>
          </w:p>
        </w:tc>
        <w:tc>
          <w:tcPr>
            <w:tcW w:w="1371" w:type="dxa"/>
            <w:vAlign w:val="center"/>
            <w:hideMark/>
          </w:tcPr>
          <w:p w14:paraId="5DAF35F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 xml:space="preserve">CY (.80); </w:t>
            </w:r>
            <w:r w:rsidRPr="008D266A">
              <w:rPr>
                <w:rFonts w:ascii="Times New Roman" w:hAnsi="Times New Roman" w:cs="Times New Roman"/>
              </w:rPr>
              <w:br/>
              <w:t>Lowest: PL (.38)</w:t>
            </w:r>
          </w:p>
        </w:tc>
      </w:tr>
      <w:tr w:rsidR="0038219D" w:rsidRPr="007D22E0" w14:paraId="290AF18E" w14:textId="77777777" w:rsidTr="005636E1">
        <w:trPr>
          <w:trHeight w:val="144"/>
        </w:trPr>
        <w:tc>
          <w:tcPr>
            <w:tcW w:w="3505" w:type="dxa"/>
            <w:noWrap/>
            <w:hideMark/>
          </w:tcPr>
          <w:p w14:paraId="372104E5" w14:textId="77777777" w:rsidR="0038219D" w:rsidRPr="008D266A" w:rsidRDefault="0038219D" w:rsidP="005636E1">
            <w:pPr>
              <w:spacing w:line="240" w:lineRule="auto"/>
              <w:contextualSpacing/>
              <w:rPr>
                <w:rFonts w:ascii="Times New Roman" w:hAnsi="Times New Roman" w:cs="Times New Roman"/>
                <w:b/>
                <w:bCs/>
              </w:rPr>
            </w:pPr>
            <w:r w:rsidRPr="008D266A">
              <w:rPr>
                <w:rFonts w:ascii="Times New Roman" w:hAnsi="Times New Roman" w:cs="Times New Roman"/>
                <w:b/>
                <w:bCs/>
              </w:rPr>
              <w:t>Ties to family</w:t>
            </w:r>
          </w:p>
        </w:tc>
        <w:tc>
          <w:tcPr>
            <w:tcW w:w="1350" w:type="dxa"/>
            <w:noWrap/>
            <w:vAlign w:val="center"/>
            <w:hideMark/>
          </w:tcPr>
          <w:p w14:paraId="08C58B67" w14:textId="77777777" w:rsidR="0038219D" w:rsidRPr="008D266A" w:rsidRDefault="0038219D" w:rsidP="005636E1">
            <w:pPr>
              <w:spacing w:line="240" w:lineRule="auto"/>
              <w:contextualSpacing/>
              <w:jc w:val="center"/>
              <w:rPr>
                <w:rFonts w:ascii="Times New Roman" w:hAnsi="Times New Roman" w:cs="Times New Roman"/>
              </w:rPr>
            </w:pPr>
          </w:p>
        </w:tc>
        <w:tc>
          <w:tcPr>
            <w:tcW w:w="1350" w:type="dxa"/>
            <w:noWrap/>
            <w:vAlign w:val="center"/>
            <w:hideMark/>
          </w:tcPr>
          <w:p w14:paraId="1D81A977"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124EF2CE" w14:textId="77777777" w:rsidR="0038219D" w:rsidRPr="008D266A" w:rsidRDefault="0038219D" w:rsidP="005636E1">
            <w:pPr>
              <w:spacing w:line="240" w:lineRule="auto"/>
              <w:contextualSpacing/>
              <w:jc w:val="center"/>
              <w:rPr>
                <w:rFonts w:ascii="Times New Roman" w:hAnsi="Times New Roman" w:cs="Times New Roman"/>
              </w:rPr>
            </w:pPr>
          </w:p>
        </w:tc>
        <w:tc>
          <w:tcPr>
            <w:tcW w:w="1371" w:type="dxa"/>
            <w:noWrap/>
            <w:vAlign w:val="center"/>
            <w:hideMark/>
          </w:tcPr>
          <w:p w14:paraId="79C581A1"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5A450828" w14:textId="77777777" w:rsidTr="005636E1">
        <w:trPr>
          <w:trHeight w:val="144"/>
        </w:trPr>
        <w:tc>
          <w:tcPr>
            <w:tcW w:w="3505" w:type="dxa"/>
            <w:noWrap/>
            <w:hideMark/>
          </w:tcPr>
          <w:p w14:paraId="23E19600"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Get along with parents very well</w:t>
            </w:r>
          </w:p>
        </w:tc>
        <w:tc>
          <w:tcPr>
            <w:tcW w:w="1350" w:type="dxa"/>
            <w:noWrap/>
            <w:vAlign w:val="center"/>
            <w:hideMark/>
          </w:tcPr>
          <w:p w14:paraId="2044476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(m=.8)</w:t>
            </w:r>
          </w:p>
        </w:tc>
        <w:tc>
          <w:tcPr>
            <w:tcW w:w="1350" w:type="dxa"/>
            <w:noWrap/>
            <w:vAlign w:val="center"/>
            <w:hideMark/>
          </w:tcPr>
          <w:p w14:paraId="76752119"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0683A9A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(m=.9)</w:t>
            </w:r>
          </w:p>
        </w:tc>
        <w:tc>
          <w:tcPr>
            <w:tcW w:w="1371" w:type="dxa"/>
            <w:noWrap/>
            <w:vAlign w:val="center"/>
            <w:hideMark/>
          </w:tcPr>
          <w:p w14:paraId="040F4E8C"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5DE69C85" w14:textId="77777777" w:rsidTr="005636E1">
        <w:trPr>
          <w:trHeight w:val="144"/>
        </w:trPr>
        <w:tc>
          <w:tcPr>
            <w:tcW w:w="3505" w:type="dxa"/>
            <w:noWrap/>
            <w:hideMark/>
          </w:tcPr>
          <w:p w14:paraId="2556C252"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Neither</w:t>
            </w:r>
          </w:p>
        </w:tc>
        <w:tc>
          <w:tcPr>
            <w:tcW w:w="1350" w:type="dxa"/>
            <w:noWrap/>
            <w:vAlign w:val="center"/>
            <w:hideMark/>
          </w:tcPr>
          <w:p w14:paraId="0C698AD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20.0</w:t>
            </w:r>
          </w:p>
        </w:tc>
        <w:tc>
          <w:tcPr>
            <w:tcW w:w="1350" w:type="dxa"/>
            <w:noWrap/>
            <w:vAlign w:val="center"/>
            <w:hideMark/>
          </w:tcPr>
          <w:p w14:paraId="47FF7B9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PT (63.4)</w:t>
            </w:r>
          </w:p>
        </w:tc>
        <w:tc>
          <w:tcPr>
            <w:tcW w:w="1620" w:type="dxa"/>
            <w:noWrap/>
            <w:vAlign w:val="center"/>
            <w:hideMark/>
          </w:tcPr>
          <w:p w14:paraId="2F365AB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20.9</w:t>
            </w:r>
          </w:p>
        </w:tc>
        <w:tc>
          <w:tcPr>
            <w:tcW w:w="1371" w:type="dxa"/>
            <w:noWrap/>
            <w:vAlign w:val="center"/>
            <w:hideMark/>
          </w:tcPr>
          <w:p w14:paraId="534374D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PT (63.4)</w:t>
            </w:r>
          </w:p>
        </w:tc>
      </w:tr>
      <w:tr w:rsidR="0038219D" w:rsidRPr="007D22E0" w14:paraId="7A72E079" w14:textId="77777777" w:rsidTr="005636E1">
        <w:trPr>
          <w:trHeight w:val="144"/>
        </w:trPr>
        <w:tc>
          <w:tcPr>
            <w:tcW w:w="3505" w:type="dxa"/>
            <w:noWrap/>
            <w:hideMark/>
          </w:tcPr>
          <w:p w14:paraId="730F8589"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One</w:t>
            </w:r>
          </w:p>
        </w:tc>
        <w:tc>
          <w:tcPr>
            <w:tcW w:w="1350" w:type="dxa"/>
            <w:noWrap/>
            <w:vAlign w:val="center"/>
            <w:hideMark/>
          </w:tcPr>
          <w:p w14:paraId="3582D63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23.5</w:t>
            </w:r>
          </w:p>
        </w:tc>
        <w:tc>
          <w:tcPr>
            <w:tcW w:w="1350" w:type="dxa"/>
            <w:noWrap/>
            <w:vAlign w:val="center"/>
            <w:hideMark/>
          </w:tcPr>
          <w:p w14:paraId="77603F1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AN (33.0)</w:t>
            </w:r>
          </w:p>
        </w:tc>
        <w:tc>
          <w:tcPr>
            <w:tcW w:w="1620" w:type="dxa"/>
            <w:noWrap/>
            <w:vAlign w:val="center"/>
            <w:hideMark/>
          </w:tcPr>
          <w:p w14:paraId="42602F2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22.5</w:t>
            </w:r>
          </w:p>
        </w:tc>
        <w:tc>
          <w:tcPr>
            <w:tcW w:w="1371" w:type="dxa"/>
            <w:noWrap/>
            <w:vAlign w:val="center"/>
            <w:hideMark/>
          </w:tcPr>
          <w:p w14:paraId="7EFE3CE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RU (31.3)</w:t>
            </w:r>
          </w:p>
        </w:tc>
      </w:tr>
      <w:tr w:rsidR="0038219D" w:rsidRPr="007D22E0" w14:paraId="20F32DB9" w14:textId="77777777" w:rsidTr="005636E1">
        <w:trPr>
          <w:trHeight w:val="144"/>
        </w:trPr>
        <w:tc>
          <w:tcPr>
            <w:tcW w:w="3505" w:type="dxa"/>
            <w:noWrap/>
            <w:hideMark/>
          </w:tcPr>
          <w:p w14:paraId="241A86A8"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Both</w:t>
            </w:r>
          </w:p>
        </w:tc>
        <w:tc>
          <w:tcPr>
            <w:tcW w:w="1350" w:type="dxa"/>
            <w:noWrap/>
            <w:vAlign w:val="center"/>
            <w:hideMark/>
          </w:tcPr>
          <w:p w14:paraId="28ACA8E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55.7</w:t>
            </w:r>
          </w:p>
        </w:tc>
        <w:tc>
          <w:tcPr>
            <w:tcW w:w="1350" w:type="dxa"/>
            <w:noWrap/>
            <w:vAlign w:val="center"/>
            <w:hideMark/>
          </w:tcPr>
          <w:p w14:paraId="02D7B56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CY (83.3)</w:t>
            </w:r>
          </w:p>
        </w:tc>
        <w:tc>
          <w:tcPr>
            <w:tcW w:w="1620" w:type="dxa"/>
            <w:noWrap/>
            <w:vAlign w:val="center"/>
            <w:hideMark/>
          </w:tcPr>
          <w:p w14:paraId="2856047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55.7</w:t>
            </w:r>
          </w:p>
        </w:tc>
        <w:tc>
          <w:tcPr>
            <w:tcW w:w="1371" w:type="dxa"/>
            <w:noWrap/>
            <w:vAlign w:val="center"/>
            <w:hideMark/>
          </w:tcPr>
          <w:p w14:paraId="06F5DB8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CY (83.3)</w:t>
            </w:r>
          </w:p>
        </w:tc>
      </w:tr>
      <w:tr w:rsidR="0038219D" w:rsidRPr="007D22E0" w14:paraId="50A25FA1" w14:textId="77777777" w:rsidTr="005636E1">
        <w:trPr>
          <w:trHeight w:val="144"/>
        </w:trPr>
        <w:tc>
          <w:tcPr>
            <w:tcW w:w="3505" w:type="dxa"/>
            <w:noWrap/>
            <w:hideMark/>
          </w:tcPr>
          <w:p w14:paraId="2C2DD2B9"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Parents know friends</w:t>
            </w:r>
          </w:p>
        </w:tc>
        <w:tc>
          <w:tcPr>
            <w:tcW w:w="1350" w:type="dxa"/>
            <w:noWrap/>
            <w:vAlign w:val="center"/>
            <w:hideMark/>
          </w:tcPr>
          <w:p w14:paraId="74F9C5B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(m=5.2)</w:t>
            </w:r>
          </w:p>
        </w:tc>
        <w:tc>
          <w:tcPr>
            <w:tcW w:w="1350" w:type="dxa"/>
            <w:noWrap/>
            <w:vAlign w:val="center"/>
            <w:hideMark/>
          </w:tcPr>
          <w:p w14:paraId="2D23EF41"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569E536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(m=5.7)</w:t>
            </w:r>
          </w:p>
        </w:tc>
        <w:tc>
          <w:tcPr>
            <w:tcW w:w="1371" w:type="dxa"/>
            <w:noWrap/>
            <w:vAlign w:val="center"/>
            <w:hideMark/>
          </w:tcPr>
          <w:p w14:paraId="12F15DA6"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702F26CE" w14:textId="77777777" w:rsidTr="005636E1">
        <w:trPr>
          <w:trHeight w:val="144"/>
        </w:trPr>
        <w:tc>
          <w:tcPr>
            <w:tcW w:w="3505" w:type="dxa"/>
            <w:noWrap/>
            <w:hideMark/>
          </w:tcPr>
          <w:p w14:paraId="003B716B"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Sometimes/never</w:t>
            </w:r>
          </w:p>
        </w:tc>
        <w:tc>
          <w:tcPr>
            <w:tcW w:w="1350" w:type="dxa"/>
            <w:noWrap/>
            <w:vAlign w:val="center"/>
            <w:hideMark/>
          </w:tcPr>
          <w:p w14:paraId="037AC5C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39.3</w:t>
            </w:r>
          </w:p>
        </w:tc>
        <w:tc>
          <w:tcPr>
            <w:tcW w:w="1350" w:type="dxa"/>
            <w:noWrap/>
            <w:vAlign w:val="center"/>
            <w:hideMark/>
          </w:tcPr>
          <w:p w14:paraId="1801333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(65.2)</w:t>
            </w:r>
          </w:p>
        </w:tc>
        <w:tc>
          <w:tcPr>
            <w:tcW w:w="1620" w:type="dxa"/>
            <w:noWrap/>
            <w:vAlign w:val="center"/>
            <w:hideMark/>
          </w:tcPr>
          <w:p w14:paraId="01168C6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41.3</w:t>
            </w:r>
          </w:p>
        </w:tc>
        <w:tc>
          <w:tcPr>
            <w:tcW w:w="1371" w:type="dxa"/>
            <w:noWrap/>
            <w:vAlign w:val="center"/>
            <w:hideMark/>
          </w:tcPr>
          <w:p w14:paraId="591405C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(65.2)</w:t>
            </w:r>
          </w:p>
        </w:tc>
      </w:tr>
      <w:tr w:rsidR="0038219D" w:rsidRPr="007D22E0" w14:paraId="34536B36" w14:textId="77777777" w:rsidTr="005636E1">
        <w:trPr>
          <w:trHeight w:val="144"/>
        </w:trPr>
        <w:tc>
          <w:tcPr>
            <w:tcW w:w="3505" w:type="dxa"/>
            <w:noWrap/>
            <w:hideMark/>
          </w:tcPr>
          <w:p w14:paraId="5BF0A9AA"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Always</w:t>
            </w:r>
          </w:p>
        </w:tc>
        <w:tc>
          <w:tcPr>
            <w:tcW w:w="1350" w:type="dxa"/>
            <w:noWrap/>
            <w:vAlign w:val="center"/>
            <w:hideMark/>
          </w:tcPr>
          <w:p w14:paraId="3AA9D04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55.5</w:t>
            </w:r>
          </w:p>
        </w:tc>
        <w:tc>
          <w:tcPr>
            <w:tcW w:w="1350" w:type="dxa"/>
            <w:noWrap/>
            <w:vAlign w:val="center"/>
            <w:hideMark/>
          </w:tcPr>
          <w:p w14:paraId="1FA7EE6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ES (73.7)</w:t>
            </w:r>
          </w:p>
        </w:tc>
        <w:tc>
          <w:tcPr>
            <w:tcW w:w="1620" w:type="dxa"/>
            <w:noWrap/>
            <w:vAlign w:val="center"/>
            <w:hideMark/>
          </w:tcPr>
          <w:p w14:paraId="0871277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53.0</w:t>
            </w:r>
          </w:p>
        </w:tc>
        <w:tc>
          <w:tcPr>
            <w:tcW w:w="1371" w:type="dxa"/>
            <w:noWrap/>
            <w:vAlign w:val="center"/>
            <w:hideMark/>
          </w:tcPr>
          <w:p w14:paraId="78035EA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ES (73.7)</w:t>
            </w:r>
          </w:p>
        </w:tc>
      </w:tr>
      <w:tr w:rsidR="0038219D" w:rsidRPr="007D22E0" w14:paraId="32B7BD96" w14:textId="77777777" w:rsidTr="005636E1">
        <w:trPr>
          <w:trHeight w:val="144"/>
        </w:trPr>
        <w:tc>
          <w:tcPr>
            <w:tcW w:w="3505" w:type="dxa"/>
            <w:noWrap/>
            <w:hideMark/>
          </w:tcPr>
          <w:p w14:paraId="7F44CD28"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Parental supervision</w:t>
            </w:r>
          </w:p>
        </w:tc>
        <w:tc>
          <w:tcPr>
            <w:tcW w:w="1350" w:type="dxa"/>
            <w:noWrap/>
            <w:vAlign w:val="center"/>
            <w:hideMark/>
          </w:tcPr>
          <w:p w14:paraId="0D7F6FD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(m=1.3)</w:t>
            </w:r>
          </w:p>
        </w:tc>
        <w:tc>
          <w:tcPr>
            <w:tcW w:w="1350" w:type="dxa"/>
            <w:noWrap/>
            <w:vAlign w:val="center"/>
            <w:hideMark/>
          </w:tcPr>
          <w:p w14:paraId="6CF366B2"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50B7ACB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(m=1.4)</w:t>
            </w:r>
          </w:p>
        </w:tc>
        <w:tc>
          <w:tcPr>
            <w:tcW w:w="1371" w:type="dxa"/>
            <w:noWrap/>
            <w:vAlign w:val="center"/>
            <w:hideMark/>
          </w:tcPr>
          <w:p w14:paraId="316960EA"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2A000BD7" w14:textId="77777777" w:rsidTr="005636E1">
        <w:trPr>
          <w:trHeight w:val="144"/>
        </w:trPr>
        <w:tc>
          <w:tcPr>
            <w:tcW w:w="3505" w:type="dxa"/>
            <w:noWrap/>
            <w:hideMark/>
          </w:tcPr>
          <w:p w14:paraId="4DF0EF65"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Sometimes/never</w:t>
            </w:r>
          </w:p>
        </w:tc>
        <w:tc>
          <w:tcPr>
            <w:tcW w:w="1350" w:type="dxa"/>
            <w:noWrap/>
            <w:vAlign w:val="center"/>
            <w:hideMark/>
          </w:tcPr>
          <w:p w14:paraId="2F1CCF9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39.3</w:t>
            </w:r>
          </w:p>
        </w:tc>
        <w:tc>
          <w:tcPr>
            <w:tcW w:w="1350" w:type="dxa"/>
            <w:noWrap/>
            <w:vAlign w:val="center"/>
            <w:hideMark/>
          </w:tcPr>
          <w:p w14:paraId="7F5545F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(65.2)</w:t>
            </w:r>
          </w:p>
        </w:tc>
        <w:tc>
          <w:tcPr>
            <w:tcW w:w="1620" w:type="dxa"/>
            <w:noWrap/>
            <w:vAlign w:val="center"/>
            <w:hideMark/>
          </w:tcPr>
          <w:p w14:paraId="0569508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41.3</w:t>
            </w:r>
          </w:p>
        </w:tc>
        <w:tc>
          <w:tcPr>
            <w:tcW w:w="1371" w:type="dxa"/>
            <w:noWrap/>
            <w:vAlign w:val="center"/>
            <w:hideMark/>
          </w:tcPr>
          <w:p w14:paraId="3443D99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(65.2)</w:t>
            </w:r>
          </w:p>
        </w:tc>
      </w:tr>
      <w:tr w:rsidR="0038219D" w:rsidRPr="007D22E0" w14:paraId="368AF436" w14:textId="77777777" w:rsidTr="005636E1">
        <w:trPr>
          <w:trHeight w:val="144"/>
        </w:trPr>
        <w:tc>
          <w:tcPr>
            <w:tcW w:w="3505" w:type="dxa"/>
            <w:noWrap/>
            <w:hideMark/>
          </w:tcPr>
          <w:p w14:paraId="5ED30C99"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Always</w:t>
            </w:r>
          </w:p>
        </w:tc>
        <w:tc>
          <w:tcPr>
            <w:tcW w:w="1350" w:type="dxa"/>
            <w:noWrap/>
            <w:vAlign w:val="center"/>
            <w:hideMark/>
          </w:tcPr>
          <w:p w14:paraId="61972D1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59.4</w:t>
            </w:r>
          </w:p>
        </w:tc>
        <w:tc>
          <w:tcPr>
            <w:tcW w:w="1350" w:type="dxa"/>
            <w:noWrap/>
            <w:vAlign w:val="center"/>
            <w:hideMark/>
          </w:tcPr>
          <w:p w14:paraId="7FA9873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ES (76.2)</w:t>
            </w:r>
          </w:p>
        </w:tc>
        <w:tc>
          <w:tcPr>
            <w:tcW w:w="1620" w:type="dxa"/>
            <w:noWrap/>
            <w:vAlign w:val="center"/>
            <w:hideMark/>
          </w:tcPr>
          <w:p w14:paraId="25B5749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57.3</w:t>
            </w:r>
          </w:p>
        </w:tc>
        <w:tc>
          <w:tcPr>
            <w:tcW w:w="1371" w:type="dxa"/>
            <w:noWrap/>
            <w:vAlign w:val="center"/>
            <w:hideMark/>
          </w:tcPr>
          <w:p w14:paraId="3D45B70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ES (76.2)</w:t>
            </w:r>
          </w:p>
        </w:tc>
      </w:tr>
      <w:tr w:rsidR="0038219D" w:rsidRPr="007D22E0" w14:paraId="6D5F89C5" w14:textId="77777777" w:rsidTr="005636E1">
        <w:trPr>
          <w:trHeight w:val="144"/>
        </w:trPr>
        <w:tc>
          <w:tcPr>
            <w:tcW w:w="3505" w:type="dxa"/>
            <w:noWrap/>
            <w:hideMark/>
          </w:tcPr>
          <w:p w14:paraId="0BC79AB4" w14:textId="77777777" w:rsidR="0038219D" w:rsidRPr="008D266A" w:rsidRDefault="0038219D" w:rsidP="005636E1">
            <w:pPr>
              <w:spacing w:line="240" w:lineRule="auto"/>
              <w:contextualSpacing/>
              <w:rPr>
                <w:rFonts w:ascii="Times New Roman" w:hAnsi="Times New Roman" w:cs="Times New Roman"/>
                <w:b/>
                <w:bCs/>
              </w:rPr>
            </w:pPr>
            <w:r w:rsidRPr="008D266A">
              <w:rPr>
                <w:rFonts w:ascii="Times New Roman" w:hAnsi="Times New Roman" w:cs="Times New Roman"/>
                <w:b/>
                <w:bCs/>
              </w:rPr>
              <w:lastRenderedPageBreak/>
              <w:t>Ties to school</w:t>
            </w:r>
          </w:p>
        </w:tc>
        <w:tc>
          <w:tcPr>
            <w:tcW w:w="1350" w:type="dxa"/>
            <w:noWrap/>
            <w:vAlign w:val="center"/>
            <w:hideMark/>
          </w:tcPr>
          <w:p w14:paraId="0386B220" w14:textId="77777777" w:rsidR="0038219D" w:rsidRPr="008D266A" w:rsidRDefault="0038219D" w:rsidP="005636E1">
            <w:pPr>
              <w:spacing w:line="240" w:lineRule="auto"/>
              <w:contextualSpacing/>
              <w:jc w:val="center"/>
              <w:rPr>
                <w:rFonts w:ascii="Times New Roman" w:hAnsi="Times New Roman" w:cs="Times New Roman"/>
              </w:rPr>
            </w:pPr>
          </w:p>
        </w:tc>
        <w:tc>
          <w:tcPr>
            <w:tcW w:w="1350" w:type="dxa"/>
            <w:noWrap/>
            <w:vAlign w:val="center"/>
            <w:hideMark/>
          </w:tcPr>
          <w:p w14:paraId="616C3B15"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10237D15" w14:textId="77777777" w:rsidR="0038219D" w:rsidRPr="008D266A" w:rsidRDefault="0038219D" w:rsidP="005636E1">
            <w:pPr>
              <w:spacing w:line="240" w:lineRule="auto"/>
              <w:contextualSpacing/>
              <w:jc w:val="center"/>
              <w:rPr>
                <w:rFonts w:ascii="Times New Roman" w:hAnsi="Times New Roman" w:cs="Times New Roman"/>
              </w:rPr>
            </w:pPr>
          </w:p>
        </w:tc>
        <w:tc>
          <w:tcPr>
            <w:tcW w:w="1371" w:type="dxa"/>
            <w:noWrap/>
            <w:vAlign w:val="center"/>
            <w:hideMark/>
          </w:tcPr>
          <w:p w14:paraId="3C824A0C"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7EA45FD6" w14:textId="77777777" w:rsidTr="005636E1">
        <w:trPr>
          <w:trHeight w:val="144"/>
        </w:trPr>
        <w:tc>
          <w:tcPr>
            <w:tcW w:w="3505" w:type="dxa"/>
            <w:noWrap/>
            <w:hideMark/>
          </w:tcPr>
          <w:p w14:paraId="05353B7D"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Time spent on homework</w:t>
            </w:r>
          </w:p>
        </w:tc>
        <w:tc>
          <w:tcPr>
            <w:tcW w:w="1350" w:type="dxa"/>
            <w:noWrap/>
            <w:vAlign w:val="center"/>
            <w:hideMark/>
          </w:tcPr>
          <w:p w14:paraId="6637D3B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(m=1.9)</w:t>
            </w:r>
          </w:p>
        </w:tc>
        <w:tc>
          <w:tcPr>
            <w:tcW w:w="1350" w:type="dxa"/>
            <w:noWrap/>
            <w:vAlign w:val="center"/>
            <w:hideMark/>
          </w:tcPr>
          <w:p w14:paraId="06C130BB"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3C7719F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(m=1.6)</w:t>
            </w:r>
          </w:p>
        </w:tc>
        <w:tc>
          <w:tcPr>
            <w:tcW w:w="1371" w:type="dxa"/>
            <w:noWrap/>
            <w:vAlign w:val="center"/>
            <w:hideMark/>
          </w:tcPr>
          <w:p w14:paraId="402C4D75"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4D5F2847" w14:textId="77777777" w:rsidTr="005636E1">
        <w:trPr>
          <w:trHeight w:val="144"/>
        </w:trPr>
        <w:tc>
          <w:tcPr>
            <w:tcW w:w="3505" w:type="dxa"/>
            <w:noWrap/>
            <w:hideMark/>
          </w:tcPr>
          <w:p w14:paraId="02FD88E3"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Half hour or less</w:t>
            </w:r>
          </w:p>
        </w:tc>
        <w:tc>
          <w:tcPr>
            <w:tcW w:w="1350" w:type="dxa"/>
            <w:noWrap/>
            <w:vAlign w:val="center"/>
            <w:hideMark/>
          </w:tcPr>
          <w:p w14:paraId="53790E8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35.0</w:t>
            </w:r>
          </w:p>
        </w:tc>
        <w:tc>
          <w:tcPr>
            <w:tcW w:w="1350" w:type="dxa"/>
            <w:noWrap/>
            <w:vAlign w:val="center"/>
            <w:hideMark/>
          </w:tcPr>
          <w:p w14:paraId="6630503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FI (67.5)</w:t>
            </w:r>
          </w:p>
        </w:tc>
        <w:tc>
          <w:tcPr>
            <w:tcW w:w="1620" w:type="dxa"/>
            <w:noWrap/>
            <w:vAlign w:val="center"/>
            <w:hideMark/>
          </w:tcPr>
          <w:p w14:paraId="6682AE7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36.9</w:t>
            </w:r>
          </w:p>
        </w:tc>
        <w:tc>
          <w:tcPr>
            <w:tcW w:w="1371" w:type="dxa"/>
            <w:noWrap/>
            <w:vAlign w:val="center"/>
            <w:hideMark/>
          </w:tcPr>
          <w:p w14:paraId="3E6BEC9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FI (67.5)</w:t>
            </w:r>
          </w:p>
        </w:tc>
      </w:tr>
      <w:tr w:rsidR="0038219D" w:rsidRPr="007D22E0" w14:paraId="019FD203" w14:textId="77777777" w:rsidTr="005636E1">
        <w:trPr>
          <w:trHeight w:val="144"/>
        </w:trPr>
        <w:tc>
          <w:tcPr>
            <w:tcW w:w="3505" w:type="dxa"/>
            <w:noWrap/>
            <w:hideMark/>
          </w:tcPr>
          <w:p w14:paraId="56990F12"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Hour or more</w:t>
            </w:r>
          </w:p>
        </w:tc>
        <w:tc>
          <w:tcPr>
            <w:tcW w:w="1350" w:type="dxa"/>
            <w:noWrap/>
            <w:vAlign w:val="center"/>
            <w:hideMark/>
          </w:tcPr>
          <w:p w14:paraId="48E4193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63.1</w:t>
            </w:r>
          </w:p>
        </w:tc>
        <w:tc>
          <w:tcPr>
            <w:tcW w:w="1350" w:type="dxa"/>
            <w:noWrap/>
            <w:vAlign w:val="center"/>
            <w:hideMark/>
          </w:tcPr>
          <w:p w14:paraId="71A8B14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RU (83.1)</w:t>
            </w:r>
          </w:p>
        </w:tc>
        <w:tc>
          <w:tcPr>
            <w:tcW w:w="1620" w:type="dxa"/>
            <w:noWrap/>
            <w:vAlign w:val="center"/>
            <w:hideMark/>
          </w:tcPr>
          <w:p w14:paraId="6FA6614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61.5</w:t>
            </w:r>
          </w:p>
        </w:tc>
        <w:tc>
          <w:tcPr>
            <w:tcW w:w="1371" w:type="dxa"/>
            <w:noWrap/>
            <w:vAlign w:val="center"/>
            <w:hideMark/>
          </w:tcPr>
          <w:p w14:paraId="5CF0169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RU (83.1)</w:t>
            </w:r>
          </w:p>
        </w:tc>
      </w:tr>
      <w:tr w:rsidR="0038219D" w:rsidRPr="007D22E0" w14:paraId="0AC3B92C" w14:textId="77777777" w:rsidTr="005636E1">
        <w:trPr>
          <w:trHeight w:val="144"/>
        </w:trPr>
        <w:tc>
          <w:tcPr>
            <w:tcW w:w="3505" w:type="dxa"/>
            <w:noWrap/>
            <w:hideMark/>
          </w:tcPr>
          <w:p w14:paraId="6B487C2D"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Likes school</w:t>
            </w:r>
          </w:p>
        </w:tc>
        <w:tc>
          <w:tcPr>
            <w:tcW w:w="1350" w:type="dxa"/>
            <w:noWrap/>
            <w:vAlign w:val="center"/>
            <w:hideMark/>
          </w:tcPr>
          <w:p w14:paraId="56D0C84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(m=.9)</w:t>
            </w:r>
          </w:p>
        </w:tc>
        <w:tc>
          <w:tcPr>
            <w:tcW w:w="1350" w:type="dxa"/>
            <w:noWrap/>
            <w:vAlign w:val="center"/>
            <w:hideMark/>
          </w:tcPr>
          <w:p w14:paraId="22A12464"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1AFDD1D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(m=1.0)</w:t>
            </w:r>
          </w:p>
        </w:tc>
        <w:tc>
          <w:tcPr>
            <w:tcW w:w="1371" w:type="dxa"/>
            <w:noWrap/>
            <w:vAlign w:val="center"/>
            <w:hideMark/>
          </w:tcPr>
          <w:p w14:paraId="16670F54"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5552952C" w14:textId="77777777" w:rsidTr="005636E1">
        <w:trPr>
          <w:trHeight w:val="144"/>
        </w:trPr>
        <w:tc>
          <w:tcPr>
            <w:tcW w:w="3505" w:type="dxa"/>
            <w:noWrap/>
            <w:hideMark/>
          </w:tcPr>
          <w:p w14:paraId="11A3948B"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Dislikes</w:t>
            </w:r>
          </w:p>
        </w:tc>
        <w:tc>
          <w:tcPr>
            <w:tcW w:w="1350" w:type="dxa"/>
            <w:noWrap/>
            <w:vAlign w:val="center"/>
            <w:hideMark/>
          </w:tcPr>
          <w:p w14:paraId="4B865DE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38.2</w:t>
            </w:r>
          </w:p>
        </w:tc>
        <w:tc>
          <w:tcPr>
            <w:tcW w:w="1350" w:type="dxa"/>
            <w:noWrap/>
            <w:vAlign w:val="center"/>
            <w:hideMark/>
          </w:tcPr>
          <w:p w14:paraId="7CCC623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SI (68.8)</w:t>
            </w:r>
          </w:p>
        </w:tc>
        <w:tc>
          <w:tcPr>
            <w:tcW w:w="1620" w:type="dxa"/>
            <w:noWrap/>
            <w:vAlign w:val="center"/>
            <w:hideMark/>
          </w:tcPr>
          <w:p w14:paraId="47E0E43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41.3</w:t>
            </w:r>
          </w:p>
        </w:tc>
        <w:tc>
          <w:tcPr>
            <w:tcW w:w="1371" w:type="dxa"/>
            <w:noWrap/>
            <w:vAlign w:val="center"/>
            <w:hideMark/>
          </w:tcPr>
          <w:p w14:paraId="19A11FE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SI (68.8)</w:t>
            </w:r>
          </w:p>
        </w:tc>
      </w:tr>
      <w:tr w:rsidR="0038219D" w:rsidRPr="007D22E0" w14:paraId="72E73131" w14:textId="77777777" w:rsidTr="005636E1">
        <w:trPr>
          <w:trHeight w:val="144"/>
        </w:trPr>
        <w:tc>
          <w:tcPr>
            <w:tcW w:w="3505" w:type="dxa"/>
            <w:noWrap/>
            <w:hideMark/>
          </w:tcPr>
          <w:p w14:paraId="5C319D29"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Repeated a grade</w:t>
            </w:r>
          </w:p>
        </w:tc>
        <w:tc>
          <w:tcPr>
            <w:tcW w:w="1350" w:type="dxa"/>
            <w:noWrap/>
            <w:vAlign w:val="center"/>
            <w:hideMark/>
          </w:tcPr>
          <w:p w14:paraId="7667287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(m=.6)</w:t>
            </w:r>
          </w:p>
        </w:tc>
        <w:tc>
          <w:tcPr>
            <w:tcW w:w="1350" w:type="dxa"/>
            <w:noWrap/>
            <w:vAlign w:val="center"/>
            <w:hideMark/>
          </w:tcPr>
          <w:p w14:paraId="6E88B073"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0CE62DC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(m=.7)</w:t>
            </w:r>
          </w:p>
        </w:tc>
        <w:tc>
          <w:tcPr>
            <w:tcW w:w="1371" w:type="dxa"/>
            <w:noWrap/>
            <w:vAlign w:val="center"/>
            <w:hideMark/>
          </w:tcPr>
          <w:p w14:paraId="75770AD3"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76EA9E50" w14:textId="77777777" w:rsidTr="005636E1">
        <w:trPr>
          <w:trHeight w:val="144"/>
        </w:trPr>
        <w:tc>
          <w:tcPr>
            <w:tcW w:w="3505" w:type="dxa"/>
            <w:noWrap/>
            <w:hideMark/>
          </w:tcPr>
          <w:p w14:paraId="2A571E69"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At least once</w:t>
            </w:r>
          </w:p>
        </w:tc>
        <w:tc>
          <w:tcPr>
            <w:tcW w:w="1350" w:type="dxa"/>
            <w:noWrap/>
            <w:vAlign w:val="center"/>
            <w:hideMark/>
          </w:tcPr>
          <w:p w14:paraId="6B36747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15.7</w:t>
            </w:r>
          </w:p>
        </w:tc>
        <w:tc>
          <w:tcPr>
            <w:tcW w:w="1350" w:type="dxa"/>
            <w:noWrap/>
            <w:vAlign w:val="center"/>
            <w:hideMark/>
          </w:tcPr>
          <w:p w14:paraId="231FD12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SR (67.7)</w:t>
            </w:r>
          </w:p>
        </w:tc>
        <w:tc>
          <w:tcPr>
            <w:tcW w:w="1620" w:type="dxa"/>
            <w:noWrap/>
            <w:vAlign w:val="center"/>
            <w:hideMark/>
          </w:tcPr>
          <w:p w14:paraId="16A794D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15.0</w:t>
            </w:r>
          </w:p>
        </w:tc>
        <w:tc>
          <w:tcPr>
            <w:tcW w:w="1371" w:type="dxa"/>
            <w:noWrap/>
            <w:vAlign w:val="center"/>
            <w:hideMark/>
          </w:tcPr>
          <w:p w14:paraId="3604F2F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(36.8)</w:t>
            </w:r>
          </w:p>
        </w:tc>
      </w:tr>
      <w:tr w:rsidR="0038219D" w:rsidRPr="007D22E0" w14:paraId="2FF7602E" w14:textId="77777777" w:rsidTr="005636E1">
        <w:trPr>
          <w:trHeight w:val="144"/>
        </w:trPr>
        <w:tc>
          <w:tcPr>
            <w:tcW w:w="3505" w:type="dxa"/>
            <w:noWrap/>
            <w:hideMark/>
          </w:tcPr>
          <w:p w14:paraId="21C84B11"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Never</w:t>
            </w:r>
          </w:p>
        </w:tc>
        <w:tc>
          <w:tcPr>
            <w:tcW w:w="1350" w:type="dxa"/>
            <w:noWrap/>
            <w:vAlign w:val="center"/>
            <w:hideMark/>
          </w:tcPr>
          <w:p w14:paraId="1BF4832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83.7</w:t>
            </w:r>
          </w:p>
        </w:tc>
        <w:tc>
          <w:tcPr>
            <w:tcW w:w="1350" w:type="dxa"/>
            <w:noWrap/>
            <w:vAlign w:val="center"/>
            <w:hideMark/>
          </w:tcPr>
          <w:p w14:paraId="0E58169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AM (99.2)</w:t>
            </w:r>
          </w:p>
        </w:tc>
        <w:tc>
          <w:tcPr>
            <w:tcW w:w="1620" w:type="dxa"/>
            <w:noWrap/>
            <w:vAlign w:val="center"/>
            <w:hideMark/>
          </w:tcPr>
          <w:p w14:paraId="64671A6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84.3</w:t>
            </w:r>
          </w:p>
        </w:tc>
        <w:tc>
          <w:tcPr>
            <w:tcW w:w="1371" w:type="dxa"/>
            <w:noWrap/>
            <w:vAlign w:val="center"/>
            <w:hideMark/>
          </w:tcPr>
          <w:p w14:paraId="626DF90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RU (97.9)</w:t>
            </w:r>
          </w:p>
        </w:tc>
      </w:tr>
      <w:tr w:rsidR="0038219D" w:rsidRPr="007D22E0" w14:paraId="2C549EB4" w14:textId="77777777" w:rsidTr="005636E1">
        <w:trPr>
          <w:trHeight w:val="144"/>
        </w:trPr>
        <w:tc>
          <w:tcPr>
            <w:tcW w:w="3505" w:type="dxa"/>
            <w:noWrap/>
            <w:hideMark/>
          </w:tcPr>
          <w:p w14:paraId="403187FF"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Truancy</w:t>
            </w:r>
          </w:p>
        </w:tc>
        <w:tc>
          <w:tcPr>
            <w:tcW w:w="1350" w:type="dxa"/>
            <w:noWrap/>
            <w:vAlign w:val="center"/>
            <w:hideMark/>
          </w:tcPr>
          <w:p w14:paraId="473B1FD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(m=.7)</w:t>
            </w:r>
          </w:p>
        </w:tc>
        <w:tc>
          <w:tcPr>
            <w:tcW w:w="1350" w:type="dxa"/>
            <w:noWrap/>
            <w:vAlign w:val="center"/>
            <w:hideMark/>
          </w:tcPr>
          <w:p w14:paraId="4240A17E"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44802F5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(m=.8)</w:t>
            </w:r>
          </w:p>
        </w:tc>
        <w:tc>
          <w:tcPr>
            <w:tcW w:w="1371" w:type="dxa"/>
            <w:noWrap/>
            <w:vAlign w:val="center"/>
            <w:hideMark/>
          </w:tcPr>
          <w:p w14:paraId="04A440BF"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1708883C" w14:textId="77777777" w:rsidTr="005636E1">
        <w:trPr>
          <w:trHeight w:val="144"/>
        </w:trPr>
        <w:tc>
          <w:tcPr>
            <w:tcW w:w="3505" w:type="dxa"/>
            <w:noWrap/>
            <w:hideMark/>
          </w:tcPr>
          <w:p w14:paraId="45592586"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At least once</w:t>
            </w:r>
          </w:p>
        </w:tc>
        <w:tc>
          <w:tcPr>
            <w:tcW w:w="1350" w:type="dxa"/>
            <w:noWrap/>
            <w:vAlign w:val="center"/>
            <w:hideMark/>
          </w:tcPr>
          <w:p w14:paraId="0801601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27.9</w:t>
            </w:r>
          </w:p>
        </w:tc>
        <w:tc>
          <w:tcPr>
            <w:tcW w:w="1350" w:type="dxa"/>
            <w:noWrap/>
            <w:vAlign w:val="center"/>
            <w:hideMark/>
          </w:tcPr>
          <w:p w14:paraId="37D141F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AM (61.5)</w:t>
            </w:r>
          </w:p>
        </w:tc>
        <w:tc>
          <w:tcPr>
            <w:tcW w:w="1620" w:type="dxa"/>
            <w:noWrap/>
            <w:vAlign w:val="center"/>
            <w:hideMark/>
          </w:tcPr>
          <w:p w14:paraId="71DC0C6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26.2</w:t>
            </w:r>
          </w:p>
        </w:tc>
        <w:tc>
          <w:tcPr>
            <w:tcW w:w="1371" w:type="dxa"/>
            <w:noWrap/>
            <w:vAlign w:val="center"/>
            <w:hideMark/>
          </w:tcPr>
          <w:p w14:paraId="21D582D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(49.8)</w:t>
            </w:r>
          </w:p>
        </w:tc>
      </w:tr>
      <w:tr w:rsidR="0038219D" w:rsidRPr="007D22E0" w14:paraId="76717F6F" w14:textId="77777777" w:rsidTr="005636E1">
        <w:trPr>
          <w:trHeight w:val="144"/>
        </w:trPr>
        <w:tc>
          <w:tcPr>
            <w:tcW w:w="3505" w:type="dxa"/>
            <w:noWrap/>
            <w:hideMark/>
          </w:tcPr>
          <w:p w14:paraId="3D5F2663"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Never</w:t>
            </w:r>
          </w:p>
        </w:tc>
        <w:tc>
          <w:tcPr>
            <w:tcW w:w="1350" w:type="dxa"/>
            <w:noWrap/>
            <w:vAlign w:val="center"/>
            <w:hideMark/>
          </w:tcPr>
          <w:p w14:paraId="06506D7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71.4</w:t>
            </w:r>
          </w:p>
        </w:tc>
        <w:tc>
          <w:tcPr>
            <w:tcW w:w="1350" w:type="dxa"/>
            <w:noWrap/>
            <w:vAlign w:val="center"/>
            <w:hideMark/>
          </w:tcPr>
          <w:p w14:paraId="568475B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CZ (94.6)</w:t>
            </w:r>
          </w:p>
        </w:tc>
        <w:tc>
          <w:tcPr>
            <w:tcW w:w="1620" w:type="dxa"/>
            <w:noWrap/>
            <w:vAlign w:val="center"/>
            <w:hideMark/>
          </w:tcPr>
          <w:p w14:paraId="32A43D7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73.0</w:t>
            </w:r>
          </w:p>
        </w:tc>
        <w:tc>
          <w:tcPr>
            <w:tcW w:w="1371" w:type="dxa"/>
            <w:noWrap/>
            <w:vAlign w:val="center"/>
            <w:hideMark/>
          </w:tcPr>
          <w:p w14:paraId="61D6546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BE (84.5)</w:t>
            </w:r>
          </w:p>
        </w:tc>
      </w:tr>
      <w:tr w:rsidR="0038219D" w:rsidRPr="007D22E0" w14:paraId="70F3F331" w14:textId="77777777" w:rsidTr="005636E1">
        <w:trPr>
          <w:trHeight w:val="144"/>
        </w:trPr>
        <w:tc>
          <w:tcPr>
            <w:tcW w:w="3505" w:type="dxa"/>
            <w:noWrap/>
            <w:hideMark/>
          </w:tcPr>
          <w:p w14:paraId="7B32BB1C"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Achievement</w:t>
            </w:r>
          </w:p>
        </w:tc>
        <w:tc>
          <w:tcPr>
            <w:tcW w:w="1350" w:type="dxa"/>
            <w:noWrap/>
            <w:vAlign w:val="center"/>
            <w:hideMark/>
          </w:tcPr>
          <w:p w14:paraId="64410FB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(m=1.4)</w:t>
            </w:r>
          </w:p>
        </w:tc>
        <w:tc>
          <w:tcPr>
            <w:tcW w:w="1350" w:type="dxa"/>
            <w:noWrap/>
            <w:vAlign w:val="center"/>
            <w:hideMark/>
          </w:tcPr>
          <w:p w14:paraId="2F03D025"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4054E2E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(m=1.4)</w:t>
            </w:r>
          </w:p>
        </w:tc>
        <w:tc>
          <w:tcPr>
            <w:tcW w:w="1371" w:type="dxa"/>
            <w:noWrap/>
            <w:vAlign w:val="center"/>
            <w:hideMark/>
          </w:tcPr>
          <w:p w14:paraId="13925C84"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462EB19B" w14:textId="77777777" w:rsidTr="005636E1">
        <w:trPr>
          <w:trHeight w:val="144"/>
        </w:trPr>
        <w:tc>
          <w:tcPr>
            <w:tcW w:w="3505" w:type="dxa"/>
            <w:noWrap/>
            <w:hideMark/>
          </w:tcPr>
          <w:p w14:paraId="59C58454"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Below average</w:t>
            </w:r>
          </w:p>
        </w:tc>
        <w:tc>
          <w:tcPr>
            <w:tcW w:w="1350" w:type="dxa"/>
            <w:noWrap/>
            <w:vAlign w:val="center"/>
            <w:hideMark/>
          </w:tcPr>
          <w:p w14:paraId="0972692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9.8</w:t>
            </w:r>
          </w:p>
        </w:tc>
        <w:tc>
          <w:tcPr>
            <w:tcW w:w="1350" w:type="dxa"/>
            <w:noWrap/>
            <w:vAlign w:val="center"/>
            <w:hideMark/>
          </w:tcPr>
          <w:p w14:paraId="0538C07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VE (19.6)</w:t>
            </w:r>
          </w:p>
        </w:tc>
        <w:tc>
          <w:tcPr>
            <w:tcW w:w="1620" w:type="dxa"/>
            <w:noWrap/>
            <w:vAlign w:val="center"/>
            <w:hideMark/>
          </w:tcPr>
          <w:p w14:paraId="6D3C005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9.3</w:t>
            </w:r>
          </w:p>
        </w:tc>
        <w:tc>
          <w:tcPr>
            <w:tcW w:w="1371" w:type="dxa"/>
            <w:noWrap/>
            <w:vAlign w:val="center"/>
            <w:hideMark/>
          </w:tcPr>
          <w:p w14:paraId="31E5565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BE (13.7)</w:t>
            </w:r>
          </w:p>
        </w:tc>
      </w:tr>
      <w:tr w:rsidR="0038219D" w:rsidRPr="007D22E0" w14:paraId="41B1F56D" w14:textId="77777777" w:rsidTr="005636E1">
        <w:trPr>
          <w:trHeight w:val="144"/>
        </w:trPr>
        <w:tc>
          <w:tcPr>
            <w:tcW w:w="3505" w:type="dxa"/>
            <w:noWrap/>
            <w:hideMark/>
          </w:tcPr>
          <w:p w14:paraId="08606B44"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Average or above</w:t>
            </w:r>
          </w:p>
        </w:tc>
        <w:tc>
          <w:tcPr>
            <w:tcW w:w="1350" w:type="dxa"/>
            <w:noWrap/>
            <w:vAlign w:val="center"/>
            <w:hideMark/>
          </w:tcPr>
          <w:p w14:paraId="75FFCF0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88.8</w:t>
            </w:r>
          </w:p>
        </w:tc>
        <w:tc>
          <w:tcPr>
            <w:tcW w:w="1350" w:type="dxa"/>
            <w:noWrap/>
            <w:vAlign w:val="center"/>
            <w:hideMark/>
          </w:tcPr>
          <w:p w14:paraId="71B5B8F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SR (94.8)</w:t>
            </w:r>
          </w:p>
        </w:tc>
        <w:tc>
          <w:tcPr>
            <w:tcW w:w="1620" w:type="dxa"/>
            <w:noWrap/>
            <w:vAlign w:val="center"/>
            <w:hideMark/>
          </w:tcPr>
          <w:p w14:paraId="63851CB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89.3</w:t>
            </w:r>
          </w:p>
        </w:tc>
        <w:tc>
          <w:tcPr>
            <w:tcW w:w="1371" w:type="dxa"/>
            <w:noWrap/>
            <w:vAlign w:val="center"/>
            <w:hideMark/>
          </w:tcPr>
          <w:p w14:paraId="04AB7B9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CY (93.7)</w:t>
            </w:r>
          </w:p>
        </w:tc>
      </w:tr>
      <w:tr w:rsidR="0038219D" w:rsidRPr="007D22E0" w14:paraId="4ADF9E99" w14:textId="77777777" w:rsidTr="005636E1">
        <w:trPr>
          <w:trHeight w:val="144"/>
        </w:trPr>
        <w:tc>
          <w:tcPr>
            <w:tcW w:w="3505" w:type="dxa"/>
            <w:noWrap/>
            <w:hideMark/>
          </w:tcPr>
          <w:p w14:paraId="632123B2"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Would miss school if moved</w:t>
            </w:r>
          </w:p>
        </w:tc>
        <w:tc>
          <w:tcPr>
            <w:tcW w:w="1350" w:type="dxa"/>
            <w:noWrap/>
            <w:vAlign w:val="center"/>
            <w:hideMark/>
          </w:tcPr>
          <w:p w14:paraId="0963605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(m=1.3)</w:t>
            </w:r>
          </w:p>
        </w:tc>
        <w:tc>
          <w:tcPr>
            <w:tcW w:w="1350" w:type="dxa"/>
            <w:noWrap/>
            <w:vAlign w:val="center"/>
            <w:hideMark/>
          </w:tcPr>
          <w:p w14:paraId="4473F366"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2F4D6B5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(m=1.2)</w:t>
            </w:r>
          </w:p>
        </w:tc>
        <w:tc>
          <w:tcPr>
            <w:tcW w:w="1371" w:type="dxa"/>
            <w:noWrap/>
            <w:vAlign w:val="center"/>
            <w:hideMark/>
          </w:tcPr>
          <w:p w14:paraId="481AE568"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602E51A5" w14:textId="77777777" w:rsidTr="005636E1">
        <w:trPr>
          <w:trHeight w:val="144"/>
        </w:trPr>
        <w:tc>
          <w:tcPr>
            <w:tcW w:w="3505" w:type="dxa"/>
            <w:noWrap/>
            <w:hideMark/>
          </w:tcPr>
          <w:p w14:paraId="7FD428EC"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Not true</w:t>
            </w:r>
          </w:p>
        </w:tc>
        <w:tc>
          <w:tcPr>
            <w:tcW w:w="1350" w:type="dxa"/>
            <w:noWrap/>
            <w:vAlign w:val="center"/>
            <w:hideMark/>
          </w:tcPr>
          <w:p w14:paraId="0932E1A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21.7</w:t>
            </w:r>
          </w:p>
        </w:tc>
        <w:tc>
          <w:tcPr>
            <w:tcW w:w="1350" w:type="dxa"/>
            <w:noWrap/>
            <w:vAlign w:val="center"/>
            <w:hideMark/>
          </w:tcPr>
          <w:p w14:paraId="0008216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(37.4)</w:t>
            </w:r>
          </w:p>
        </w:tc>
        <w:tc>
          <w:tcPr>
            <w:tcW w:w="1620" w:type="dxa"/>
            <w:noWrap/>
            <w:vAlign w:val="center"/>
            <w:hideMark/>
          </w:tcPr>
          <w:p w14:paraId="52F5724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23.7</w:t>
            </w:r>
          </w:p>
        </w:tc>
        <w:tc>
          <w:tcPr>
            <w:tcW w:w="1371" w:type="dxa"/>
            <w:noWrap/>
            <w:vAlign w:val="center"/>
            <w:hideMark/>
          </w:tcPr>
          <w:p w14:paraId="2D2E318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(37.4)</w:t>
            </w:r>
          </w:p>
        </w:tc>
      </w:tr>
      <w:tr w:rsidR="0038219D" w:rsidRPr="007D22E0" w14:paraId="174FCDFD" w14:textId="77777777" w:rsidTr="005636E1">
        <w:trPr>
          <w:trHeight w:val="144"/>
        </w:trPr>
        <w:tc>
          <w:tcPr>
            <w:tcW w:w="3505" w:type="dxa"/>
            <w:noWrap/>
            <w:hideMark/>
          </w:tcPr>
          <w:p w14:paraId="6BFF05B9"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Teachers notice and say doing well</w:t>
            </w:r>
          </w:p>
        </w:tc>
        <w:tc>
          <w:tcPr>
            <w:tcW w:w="1350" w:type="dxa"/>
            <w:noWrap/>
            <w:vAlign w:val="center"/>
            <w:hideMark/>
          </w:tcPr>
          <w:p w14:paraId="318B81C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(m=1.8)</w:t>
            </w:r>
          </w:p>
        </w:tc>
        <w:tc>
          <w:tcPr>
            <w:tcW w:w="1350" w:type="dxa"/>
            <w:noWrap/>
            <w:vAlign w:val="center"/>
            <w:hideMark/>
          </w:tcPr>
          <w:p w14:paraId="4FFF1EB0"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09492CE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(m=1.8)</w:t>
            </w:r>
          </w:p>
        </w:tc>
        <w:tc>
          <w:tcPr>
            <w:tcW w:w="1371" w:type="dxa"/>
            <w:noWrap/>
            <w:vAlign w:val="center"/>
            <w:hideMark/>
          </w:tcPr>
          <w:p w14:paraId="574BF055"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4B205F9A" w14:textId="77777777" w:rsidTr="005636E1">
        <w:trPr>
          <w:trHeight w:val="144"/>
        </w:trPr>
        <w:tc>
          <w:tcPr>
            <w:tcW w:w="3505" w:type="dxa"/>
            <w:noWrap/>
            <w:hideMark/>
          </w:tcPr>
          <w:p w14:paraId="6B9E25F8"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Not true</w:t>
            </w:r>
          </w:p>
        </w:tc>
        <w:tc>
          <w:tcPr>
            <w:tcW w:w="1350" w:type="dxa"/>
            <w:noWrap/>
            <w:vAlign w:val="center"/>
            <w:hideMark/>
          </w:tcPr>
          <w:p w14:paraId="2D238AB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23.0</w:t>
            </w:r>
          </w:p>
        </w:tc>
        <w:tc>
          <w:tcPr>
            <w:tcW w:w="1350" w:type="dxa"/>
            <w:noWrap/>
            <w:vAlign w:val="center"/>
            <w:hideMark/>
          </w:tcPr>
          <w:p w14:paraId="478E410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(35.0)</w:t>
            </w:r>
          </w:p>
        </w:tc>
        <w:tc>
          <w:tcPr>
            <w:tcW w:w="1620" w:type="dxa"/>
            <w:noWrap/>
            <w:vAlign w:val="center"/>
            <w:hideMark/>
          </w:tcPr>
          <w:p w14:paraId="3760ED7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25.0</w:t>
            </w:r>
          </w:p>
        </w:tc>
        <w:tc>
          <w:tcPr>
            <w:tcW w:w="1371" w:type="dxa"/>
            <w:noWrap/>
            <w:vAlign w:val="center"/>
            <w:hideMark/>
          </w:tcPr>
          <w:p w14:paraId="1C823B0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(35.0)</w:t>
            </w:r>
          </w:p>
        </w:tc>
      </w:tr>
      <w:tr w:rsidR="0038219D" w:rsidRPr="007D22E0" w14:paraId="262AE39B" w14:textId="77777777" w:rsidTr="005636E1">
        <w:trPr>
          <w:trHeight w:val="144"/>
        </w:trPr>
        <w:tc>
          <w:tcPr>
            <w:tcW w:w="3505" w:type="dxa"/>
            <w:noWrap/>
            <w:hideMark/>
          </w:tcPr>
          <w:p w14:paraId="340076C8"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Likes school</w:t>
            </w:r>
          </w:p>
        </w:tc>
        <w:tc>
          <w:tcPr>
            <w:tcW w:w="1350" w:type="dxa"/>
            <w:noWrap/>
            <w:vAlign w:val="center"/>
            <w:hideMark/>
          </w:tcPr>
          <w:p w14:paraId="10D9965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(m=2.4)</w:t>
            </w:r>
          </w:p>
        </w:tc>
        <w:tc>
          <w:tcPr>
            <w:tcW w:w="1350" w:type="dxa"/>
            <w:noWrap/>
            <w:vAlign w:val="center"/>
            <w:hideMark/>
          </w:tcPr>
          <w:p w14:paraId="066996F2"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1BD087C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(m=2.3)</w:t>
            </w:r>
          </w:p>
        </w:tc>
        <w:tc>
          <w:tcPr>
            <w:tcW w:w="1371" w:type="dxa"/>
            <w:noWrap/>
            <w:vAlign w:val="center"/>
            <w:hideMark/>
          </w:tcPr>
          <w:p w14:paraId="29F48F51"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0BDCE4C9" w14:textId="77777777" w:rsidTr="005636E1">
        <w:trPr>
          <w:trHeight w:val="144"/>
        </w:trPr>
        <w:tc>
          <w:tcPr>
            <w:tcW w:w="3505" w:type="dxa"/>
            <w:noWrap/>
            <w:hideMark/>
          </w:tcPr>
          <w:p w14:paraId="566A683B"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Not true</w:t>
            </w:r>
          </w:p>
        </w:tc>
        <w:tc>
          <w:tcPr>
            <w:tcW w:w="1350" w:type="dxa"/>
            <w:noWrap/>
            <w:vAlign w:val="center"/>
            <w:hideMark/>
          </w:tcPr>
          <w:p w14:paraId="4B2D7EB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27.5</w:t>
            </w:r>
          </w:p>
        </w:tc>
        <w:tc>
          <w:tcPr>
            <w:tcW w:w="1350" w:type="dxa"/>
            <w:noWrap/>
            <w:vAlign w:val="center"/>
            <w:hideMark/>
          </w:tcPr>
          <w:p w14:paraId="2B641AA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(41.0)</w:t>
            </w:r>
          </w:p>
        </w:tc>
        <w:tc>
          <w:tcPr>
            <w:tcW w:w="1620" w:type="dxa"/>
            <w:noWrap/>
            <w:vAlign w:val="center"/>
            <w:hideMark/>
          </w:tcPr>
          <w:p w14:paraId="3A5FA4DB"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30.2</w:t>
            </w:r>
          </w:p>
        </w:tc>
        <w:tc>
          <w:tcPr>
            <w:tcW w:w="1371" w:type="dxa"/>
            <w:noWrap/>
            <w:vAlign w:val="center"/>
            <w:hideMark/>
          </w:tcPr>
          <w:p w14:paraId="024428C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(41.0)</w:t>
            </w:r>
          </w:p>
        </w:tc>
      </w:tr>
      <w:tr w:rsidR="0038219D" w:rsidRPr="007D22E0" w14:paraId="2F36C654" w14:textId="77777777" w:rsidTr="005636E1">
        <w:trPr>
          <w:trHeight w:val="144"/>
        </w:trPr>
        <w:tc>
          <w:tcPr>
            <w:tcW w:w="3505" w:type="dxa"/>
            <w:noWrap/>
            <w:hideMark/>
          </w:tcPr>
          <w:p w14:paraId="3441B6FC" w14:textId="77777777" w:rsidR="0038219D" w:rsidRPr="008D266A" w:rsidRDefault="0038219D" w:rsidP="005636E1">
            <w:pPr>
              <w:spacing w:line="240" w:lineRule="auto"/>
              <w:contextualSpacing/>
              <w:rPr>
                <w:rFonts w:ascii="Times New Roman" w:hAnsi="Times New Roman" w:cs="Times New Roman"/>
                <w:b/>
                <w:bCs/>
              </w:rPr>
            </w:pPr>
            <w:r w:rsidRPr="008D266A">
              <w:rPr>
                <w:rFonts w:ascii="Times New Roman" w:hAnsi="Times New Roman" w:cs="Times New Roman"/>
                <w:b/>
                <w:bCs/>
              </w:rPr>
              <w:t>Street socialization</w:t>
            </w:r>
          </w:p>
        </w:tc>
        <w:tc>
          <w:tcPr>
            <w:tcW w:w="1350" w:type="dxa"/>
            <w:noWrap/>
            <w:vAlign w:val="center"/>
            <w:hideMark/>
          </w:tcPr>
          <w:p w14:paraId="5815A259" w14:textId="77777777" w:rsidR="0038219D" w:rsidRPr="008D266A" w:rsidRDefault="0038219D" w:rsidP="005636E1">
            <w:pPr>
              <w:spacing w:line="240" w:lineRule="auto"/>
              <w:contextualSpacing/>
              <w:jc w:val="center"/>
              <w:rPr>
                <w:rFonts w:ascii="Times New Roman" w:hAnsi="Times New Roman" w:cs="Times New Roman"/>
              </w:rPr>
            </w:pPr>
          </w:p>
        </w:tc>
        <w:tc>
          <w:tcPr>
            <w:tcW w:w="1350" w:type="dxa"/>
            <w:noWrap/>
            <w:vAlign w:val="center"/>
            <w:hideMark/>
          </w:tcPr>
          <w:p w14:paraId="510225DB"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5A732BE8" w14:textId="77777777" w:rsidR="0038219D" w:rsidRPr="008D266A" w:rsidRDefault="0038219D" w:rsidP="005636E1">
            <w:pPr>
              <w:spacing w:line="240" w:lineRule="auto"/>
              <w:contextualSpacing/>
              <w:jc w:val="center"/>
              <w:rPr>
                <w:rFonts w:ascii="Times New Roman" w:hAnsi="Times New Roman" w:cs="Times New Roman"/>
              </w:rPr>
            </w:pPr>
          </w:p>
        </w:tc>
        <w:tc>
          <w:tcPr>
            <w:tcW w:w="1371" w:type="dxa"/>
            <w:noWrap/>
            <w:vAlign w:val="center"/>
            <w:hideMark/>
          </w:tcPr>
          <w:p w14:paraId="0F684BF6"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4B3FEA9D" w14:textId="77777777" w:rsidTr="005636E1">
        <w:trPr>
          <w:trHeight w:val="144"/>
        </w:trPr>
        <w:tc>
          <w:tcPr>
            <w:tcW w:w="3505" w:type="dxa"/>
            <w:noWrap/>
            <w:hideMark/>
          </w:tcPr>
          <w:p w14:paraId="63635390"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Friend group drinks a lot/takes drugs</w:t>
            </w:r>
          </w:p>
        </w:tc>
        <w:tc>
          <w:tcPr>
            <w:tcW w:w="1350" w:type="dxa"/>
            <w:noWrap/>
            <w:vAlign w:val="center"/>
            <w:hideMark/>
          </w:tcPr>
          <w:p w14:paraId="7489AD5A"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(m=2.2)</w:t>
            </w:r>
          </w:p>
        </w:tc>
        <w:tc>
          <w:tcPr>
            <w:tcW w:w="1350" w:type="dxa"/>
            <w:noWrap/>
            <w:vAlign w:val="center"/>
            <w:hideMark/>
          </w:tcPr>
          <w:p w14:paraId="60CC4111"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16E90E4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(m=2.0)</w:t>
            </w:r>
          </w:p>
        </w:tc>
        <w:tc>
          <w:tcPr>
            <w:tcW w:w="1371" w:type="dxa"/>
            <w:noWrap/>
            <w:vAlign w:val="center"/>
            <w:hideMark/>
          </w:tcPr>
          <w:p w14:paraId="05D4AEBB"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433FFFD1" w14:textId="77777777" w:rsidTr="005636E1">
        <w:trPr>
          <w:trHeight w:val="144"/>
        </w:trPr>
        <w:tc>
          <w:tcPr>
            <w:tcW w:w="3505" w:type="dxa"/>
            <w:noWrap/>
            <w:hideMark/>
          </w:tcPr>
          <w:p w14:paraId="6E186917"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Sometimes+</w:t>
            </w:r>
          </w:p>
        </w:tc>
        <w:tc>
          <w:tcPr>
            <w:tcW w:w="1350" w:type="dxa"/>
            <w:noWrap/>
            <w:vAlign w:val="center"/>
            <w:hideMark/>
          </w:tcPr>
          <w:p w14:paraId="3984925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20.4</w:t>
            </w:r>
          </w:p>
        </w:tc>
        <w:tc>
          <w:tcPr>
            <w:tcW w:w="1350" w:type="dxa"/>
            <w:noWrap/>
            <w:vAlign w:val="center"/>
            <w:hideMark/>
          </w:tcPr>
          <w:p w14:paraId="2DEDE3C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(43.2)</w:t>
            </w:r>
          </w:p>
        </w:tc>
        <w:tc>
          <w:tcPr>
            <w:tcW w:w="1620" w:type="dxa"/>
            <w:noWrap/>
            <w:vAlign w:val="center"/>
            <w:hideMark/>
          </w:tcPr>
          <w:p w14:paraId="1A470AA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24.1</w:t>
            </w:r>
          </w:p>
        </w:tc>
        <w:tc>
          <w:tcPr>
            <w:tcW w:w="1371" w:type="dxa"/>
            <w:noWrap/>
            <w:vAlign w:val="center"/>
            <w:hideMark/>
          </w:tcPr>
          <w:p w14:paraId="3271651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EE (43.2)</w:t>
            </w:r>
          </w:p>
        </w:tc>
      </w:tr>
      <w:tr w:rsidR="0038219D" w:rsidRPr="007D22E0" w14:paraId="719BA788" w14:textId="77777777" w:rsidTr="005636E1">
        <w:trPr>
          <w:trHeight w:val="144"/>
        </w:trPr>
        <w:tc>
          <w:tcPr>
            <w:tcW w:w="3505" w:type="dxa"/>
            <w:noWrap/>
            <w:hideMark/>
          </w:tcPr>
          <w:p w14:paraId="0945D450"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Never</w:t>
            </w:r>
          </w:p>
        </w:tc>
        <w:tc>
          <w:tcPr>
            <w:tcW w:w="1350" w:type="dxa"/>
            <w:noWrap/>
            <w:vAlign w:val="center"/>
            <w:hideMark/>
          </w:tcPr>
          <w:p w14:paraId="56EEBD4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77.4</w:t>
            </w:r>
          </w:p>
        </w:tc>
        <w:tc>
          <w:tcPr>
            <w:tcW w:w="1350" w:type="dxa"/>
            <w:noWrap/>
            <w:vAlign w:val="center"/>
            <w:hideMark/>
          </w:tcPr>
          <w:p w14:paraId="1FE134A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AM (95.4)</w:t>
            </w:r>
          </w:p>
        </w:tc>
        <w:tc>
          <w:tcPr>
            <w:tcW w:w="1620" w:type="dxa"/>
            <w:noWrap/>
            <w:vAlign w:val="center"/>
            <w:hideMark/>
          </w:tcPr>
          <w:p w14:paraId="1DAE946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74.0</w:t>
            </w:r>
          </w:p>
        </w:tc>
        <w:tc>
          <w:tcPr>
            <w:tcW w:w="1371" w:type="dxa"/>
            <w:noWrap/>
            <w:vAlign w:val="center"/>
            <w:hideMark/>
          </w:tcPr>
          <w:p w14:paraId="4D813A0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CY (89.7)</w:t>
            </w:r>
          </w:p>
        </w:tc>
      </w:tr>
      <w:tr w:rsidR="0038219D" w:rsidRPr="007D22E0" w14:paraId="663F2ABA" w14:textId="77777777" w:rsidTr="005636E1">
        <w:trPr>
          <w:trHeight w:val="144"/>
        </w:trPr>
        <w:tc>
          <w:tcPr>
            <w:tcW w:w="3505" w:type="dxa"/>
            <w:noWrap/>
            <w:hideMark/>
          </w:tcPr>
          <w:p w14:paraId="7B7704D0"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Friend group vandalizes</w:t>
            </w:r>
          </w:p>
        </w:tc>
        <w:tc>
          <w:tcPr>
            <w:tcW w:w="1350" w:type="dxa"/>
            <w:noWrap/>
            <w:vAlign w:val="center"/>
            <w:hideMark/>
          </w:tcPr>
          <w:p w14:paraId="20009BD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(m=2.0)</w:t>
            </w:r>
          </w:p>
        </w:tc>
        <w:tc>
          <w:tcPr>
            <w:tcW w:w="1350" w:type="dxa"/>
            <w:noWrap/>
            <w:vAlign w:val="center"/>
            <w:hideMark/>
          </w:tcPr>
          <w:p w14:paraId="52687AAD"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0D370F5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(m=1.8)</w:t>
            </w:r>
          </w:p>
        </w:tc>
        <w:tc>
          <w:tcPr>
            <w:tcW w:w="1371" w:type="dxa"/>
            <w:noWrap/>
            <w:vAlign w:val="center"/>
            <w:hideMark/>
          </w:tcPr>
          <w:p w14:paraId="145399C7"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3A599662" w14:textId="77777777" w:rsidTr="005636E1">
        <w:trPr>
          <w:trHeight w:val="144"/>
        </w:trPr>
        <w:tc>
          <w:tcPr>
            <w:tcW w:w="3505" w:type="dxa"/>
            <w:noWrap/>
            <w:hideMark/>
          </w:tcPr>
          <w:p w14:paraId="20570DB2"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Sometimes+</w:t>
            </w:r>
          </w:p>
        </w:tc>
        <w:tc>
          <w:tcPr>
            <w:tcW w:w="1350" w:type="dxa"/>
            <w:noWrap/>
            <w:vAlign w:val="center"/>
            <w:hideMark/>
          </w:tcPr>
          <w:p w14:paraId="46B51D4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15.2</w:t>
            </w:r>
          </w:p>
        </w:tc>
        <w:tc>
          <w:tcPr>
            <w:tcW w:w="1350" w:type="dxa"/>
            <w:noWrap/>
            <w:vAlign w:val="center"/>
            <w:hideMark/>
          </w:tcPr>
          <w:p w14:paraId="2D3064A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IE (22.9)</w:t>
            </w:r>
          </w:p>
        </w:tc>
        <w:tc>
          <w:tcPr>
            <w:tcW w:w="1620" w:type="dxa"/>
            <w:noWrap/>
            <w:vAlign w:val="center"/>
            <w:hideMark/>
          </w:tcPr>
          <w:p w14:paraId="34919E2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15.8</w:t>
            </w:r>
          </w:p>
        </w:tc>
        <w:tc>
          <w:tcPr>
            <w:tcW w:w="1371" w:type="dxa"/>
            <w:noWrap/>
            <w:vAlign w:val="center"/>
            <w:hideMark/>
          </w:tcPr>
          <w:p w14:paraId="516C147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IE (22.9)</w:t>
            </w:r>
          </w:p>
        </w:tc>
      </w:tr>
      <w:tr w:rsidR="0038219D" w:rsidRPr="007D22E0" w14:paraId="5935A5AE" w14:textId="77777777" w:rsidTr="005636E1">
        <w:trPr>
          <w:trHeight w:val="144"/>
        </w:trPr>
        <w:tc>
          <w:tcPr>
            <w:tcW w:w="3505" w:type="dxa"/>
            <w:noWrap/>
            <w:hideMark/>
          </w:tcPr>
          <w:p w14:paraId="19EB0B31"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Never</w:t>
            </w:r>
          </w:p>
        </w:tc>
        <w:tc>
          <w:tcPr>
            <w:tcW w:w="1350" w:type="dxa"/>
            <w:noWrap/>
            <w:vAlign w:val="center"/>
            <w:hideMark/>
          </w:tcPr>
          <w:p w14:paraId="6919054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82.9</w:t>
            </w:r>
          </w:p>
        </w:tc>
        <w:tc>
          <w:tcPr>
            <w:tcW w:w="1350" w:type="dxa"/>
            <w:noWrap/>
            <w:vAlign w:val="center"/>
            <w:hideMark/>
          </w:tcPr>
          <w:p w14:paraId="7FEB802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AM (89.6)</w:t>
            </w:r>
          </w:p>
        </w:tc>
        <w:tc>
          <w:tcPr>
            <w:tcW w:w="1620" w:type="dxa"/>
            <w:noWrap/>
            <w:vAlign w:val="center"/>
            <w:hideMark/>
          </w:tcPr>
          <w:p w14:paraId="089F52F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82.4</w:t>
            </w:r>
          </w:p>
        </w:tc>
        <w:tc>
          <w:tcPr>
            <w:tcW w:w="1371" w:type="dxa"/>
            <w:noWrap/>
            <w:vAlign w:val="center"/>
            <w:hideMark/>
          </w:tcPr>
          <w:p w14:paraId="633DE98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PT (88.9)</w:t>
            </w:r>
          </w:p>
        </w:tc>
      </w:tr>
      <w:tr w:rsidR="0038219D" w:rsidRPr="007D22E0" w14:paraId="6EF36DB0" w14:textId="77777777" w:rsidTr="005636E1">
        <w:trPr>
          <w:trHeight w:val="144"/>
        </w:trPr>
        <w:tc>
          <w:tcPr>
            <w:tcW w:w="3505" w:type="dxa"/>
            <w:noWrap/>
            <w:hideMark/>
          </w:tcPr>
          <w:p w14:paraId="7A21EDC8"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Friend group shoplifts for fun</w:t>
            </w:r>
          </w:p>
        </w:tc>
        <w:tc>
          <w:tcPr>
            <w:tcW w:w="1350" w:type="dxa"/>
            <w:noWrap/>
            <w:vAlign w:val="center"/>
            <w:hideMark/>
          </w:tcPr>
          <w:p w14:paraId="02AC0F3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(m=2.4)</w:t>
            </w:r>
          </w:p>
        </w:tc>
        <w:tc>
          <w:tcPr>
            <w:tcW w:w="1350" w:type="dxa"/>
            <w:noWrap/>
            <w:vAlign w:val="center"/>
            <w:hideMark/>
          </w:tcPr>
          <w:p w14:paraId="1DD15B1F"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03A1847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(m=2.2)</w:t>
            </w:r>
          </w:p>
        </w:tc>
        <w:tc>
          <w:tcPr>
            <w:tcW w:w="1371" w:type="dxa"/>
            <w:noWrap/>
            <w:vAlign w:val="center"/>
            <w:hideMark/>
          </w:tcPr>
          <w:p w14:paraId="666294CD"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3A6028EB" w14:textId="77777777" w:rsidTr="005636E1">
        <w:trPr>
          <w:trHeight w:val="144"/>
        </w:trPr>
        <w:tc>
          <w:tcPr>
            <w:tcW w:w="3505" w:type="dxa"/>
            <w:noWrap/>
            <w:hideMark/>
          </w:tcPr>
          <w:p w14:paraId="0BC3E463"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Sometimes+</w:t>
            </w:r>
          </w:p>
        </w:tc>
        <w:tc>
          <w:tcPr>
            <w:tcW w:w="1350" w:type="dxa"/>
            <w:noWrap/>
            <w:vAlign w:val="center"/>
            <w:hideMark/>
          </w:tcPr>
          <w:p w14:paraId="751D6FB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8.0</w:t>
            </w:r>
          </w:p>
        </w:tc>
        <w:tc>
          <w:tcPr>
            <w:tcW w:w="1350" w:type="dxa"/>
            <w:noWrap/>
            <w:vAlign w:val="center"/>
            <w:hideMark/>
          </w:tcPr>
          <w:p w14:paraId="0553EA2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(54.9)</w:t>
            </w:r>
          </w:p>
        </w:tc>
        <w:tc>
          <w:tcPr>
            <w:tcW w:w="1620" w:type="dxa"/>
            <w:noWrap/>
            <w:vAlign w:val="center"/>
            <w:hideMark/>
          </w:tcPr>
          <w:p w14:paraId="7F4B451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9.4</w:t>
            </w:r>
          </w:p>
        </w:tc>
        <w:tc>
          <w:tcPr>
            <w:tcW w:w="1371" w:type="dxa"/>
            <w:noWrap/>
            <w:vAlign w:val="center"/>
            <w:hideMark/>
          </w:tcPr>
          <w:p w14:paraId="05A5880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FR (54.9)</w:t>
            </w:r>
          </w:p>
        </w:tc>
      </w:tr>
      <w:tr w:rsidR="0038219D" w:rsidRPr="007D22E0" w14:paraId="0B4FE276" w14:textId="77777777" w:rsidTr="005636E1">
        <w:trPr>
          <w:trHeight w:val="144"/>
        </w:trPr>
        <w:tc>
          <w:tcPr>
            <w:tcW w:w="3505" w:type="dxa"/>
            <w:noWrap/>
            <w:hideMark/>
          </w:tcPr>
          <w:p w14:paraId="160E97F0"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Never</w:t>
            </w:r>
          </w:p>
        </w:tc>
        <w:tc>
          <w:tcPr>
            <w:tcW w:w="1350" w:type="dxa"/>
            <w:noWrap/>
            <w:vAlign w:val="center"/>
            <w:hideMark/>
          </w:tcPr>
          <w:p w14:paraId="48E7A07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89.6</w:t>
            </w:r>
          </w:p>
        </w:tc>
        <w:tc>
          <w:tcPr>
            <w:tcW w:w="1350" w:type="dxa"/>
            <w:noWrap/>
            <w:vAlign w:val="center"/>
            <w:hideMark/>
          </w:tcPr>
          <w:p w14:paraId="7904AE2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LT (96.7)</w:t>
            </w:r>
          </w:p>
        </w:tc>
        <w:tc>
          <w:tcPr>
            <w:tcW w:w="1620" w:type="dxa"/>
            <w:noWrap/>
            <w:vAlign w:val="center"/>
            <w:hideMark/>
          </w:tcPr>
          <w:p w14:paraId="4399163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88.5</w:t>
            </w:r>
          </w:p>
        </w:tc>
        <w:tc>
          <w:tcPr>
            <w:tcW w:w="1371" w:type="dxa"/>
            <w:noWrap/>
            <w:vAlign w:val="center"/>
            <w:hideMark/>
          </w:tcPr>
          <w:p w14:paraId="62F5D09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RU (95.5)</w:t>
            </w:r>
          </w:p>
        </w:tc>
      </w:tr>
      <w:tr w:rsidR="0038219D" w:rsidRPr="007D22E0" w14:paraId="758E0A93" w14:textId="77777777" w:rsidTr="005636E1">
        <w:trPr>
          <w:trHeight w:val="144"/>
        </w:trPr>
        <w:tc>
          <w:tcPr>
            <w:tcW w:w="3505" w:type="dxa"/>
            <w:noWrap/>
            <w:hideMark/>
          </w:tcPr>
          <w:p w14:paraId="12AF85C9"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Friend group frightens/annoys for fun</w:t>
            </w:r>
          </w:p>
        </w:tc>
        <w:tc>
          <w:tcPr>
            <w:tcW w:w="1350" w:type="dxa"/>
            <w:noWrap/>
            <w:vAlign w:val="center"/>
            <w:hideMark/>
          </w:tcPr>
          <w:p w14:paraId="72AC3D5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(m=3.7)</w:t>
            </w:r>
          </w:p>
        </w:tc>
        <w:tc>
          <w:tcPr>
            <w:tcW w:w="1350" w:type="dxa"/>
            <w:noWrap/>
            <w:vAlign w:val="center"/>
            <w:hideMark/>
          </w:tcPr>
          <w:p w14:paraId="54BA4431"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08D6E2F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(m=3.9)</w:t>
            </w:r>
          </w:p>
        </w:tc>
        <w:tc>
          <w:tcPr>
            <w:tcW w:w="1371" w:type="dxa"/>
            <w:noWrap/>
            <w:vAlign w:val="center"/>
            <w:hideMark/>
          </w:tcPr>
          <w:p w14:paraId="36CD1AE8"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13E73FD9" w14:textId="77777777" w:rsidTr="005636E1">
        <w:trPr>
          <w:trHeight w:val="144"/>
        </w:trPr>
        <w:tc>
          <w:tcPr>
            <w:tcW w:w="3505" w:type="dxa"/>
            <w:noWrap/>
            <w:hideMark/>
          </w:tcPr>
          <w:p w14:paraId="65389080"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Sometimes+</w:t>
            </w:r>
          </w:p>
        </w:tc>
        <w:tc>
          <w:tcPr>
            <w:tcW w:w="1350" w:type="dxa"/>
            <w:noWrap/>
            <w:vAlign w:val="center"/>
            <w:hideMark/>
          </w:tcPr>
          <w:p w14:paraId="460C7C4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25.1</w:t>
            </w:r>
          </w:p>
        </w:tc>
        <w:tc>
          <w:tcPr>
            <w:tcW w:w="1350" w:type="dxa"/>
            <w:noWrap/>
            <w:vAlign w:val="center"/>
            <w:hideMark/>
          </w:tcPr>
          <w:p w14:paraId="6809953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US (38.5)</w:t>
            </w:r>
          </w:p>
        </w:tc>
        <w:tc>
          <w:tcPr>
            <w:tcW w:w="1620" w:type="dxa"/>
            <w:noWrap/>
            <w:vAlign w:val="center"/>
            <w:hideMark/>
          </w:tcPr>
          <w:p w14:paraId="52ADAFB3"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25.2</w:t>
            </w:r>
          </w:p>
        </w:tc>
        <w:tc>
          <w:tcPr>
            <w:tcW w:w="1371" w:type="dxa"/>
            <w:noWrap/>
            <w:vAlign w:val="center"/>
            <w:hideMark/>
          </w:tcPr>
          <w:p w14:paraId="6C3A4EA0"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DE (35.0)</w:t>
            </w:r>
          </w:p>
        </w:tc>
      </w:tr>
      <w:tr w:rsidR="0038219D" w:rsidRPr="007D22E0" w14:paraId="3CE34160" w14:textId="77777777" w:rsidTr="005636E1">
        <w:trPr>
          <w:trHeight w:val="144"/>
        </w:trPr>
        <w:tc>
          <w:tcPr>
            <w:tcW w:w="3505" w:type="dxa"/>
            <w:noWrap/>
            <w:hideMark/>
          </w:tcPr>
          <w:p w14:paraId="298914B7"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Never</w:t>
            </w:r>
          </w:p>
        </w:tc>
        <w:tc>
          <w:tcPr>
            <w:tcW w:w="1350" w:type="dxa"/>
            <w:noWrap/>
            <w:vAlign w:val="center"/>
            <w:hideMark/>
          </w:tcPr>
          <w:p w14:paraId="0AEC82C1"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71.2</w:t>
            </w:r>
          </w:p>
        </w:tc>
        <w:tc>
          <w:tcPr>
            <w:tcW w:w="1350" w:type="dxa"/>
            <w:noWrap/>
            <w:vAlign w:val="center"/>
            <w:hideMark/>
          </w:tcPr>
          <w:p w14:paraId="2E60EA8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AM (88.2)</w:t>
            </w:r>
          </w:p>
        </w:tc>
        <w:tc>
          <w:tcPr>
            <w:tcW w:w="1620" w:type="dxa"/>
            <w:noWrap/>
            <w:vAlign w:val="center"/>
            <w:hideMark/>
          </w:tcPr>
          <w:p w14:paraId="5711EA4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70.9</w:t>
            </w:r>
          </w:p>
        </w:tc>
        <w:tc>
          <w:tcPr>
            <w:tcW w:w="1371" w:type="dxa"/>
            <w:noWrap/>
            <w:vAlign w:val="center"/>
            <w:hideMark/>
          </w:tcPr>
          <w:p w14:paraId="65565AB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RU (86.6)</w:t>
            </w:r>
          </w:p>
        </w:tc>
      </w:tr>
      <w:tr w:rsidR="0038219D" w:rsidRPr="007D22E0" w14:paraId="26677E98" w14:textId="77777777" w:rsidTr="005636E1">
        <w:trPr>
          <w:trHeight w:val="144"/>
        </w:trPr>
        <w:tc>
          <w:tcPr>
            <w:tcW w:w="3505" w:type="dxa"/>
            <w:noWrap/>
            <w:hideMark/>
          </w:tcPr>
          <w:p w14:paraId="754FD55E" w14:textId="682FFE6A" w:rsidR="0038219D" w:rsidRPr="004F4488" w:rsidRDefault="624E573A" w:rsidP="005636E1">
            <w:pPr>
              <w:spacing w:line="240" w:lineRule="auto"/>
              <w:contextualSpacing/>
              <w:rPr>
                <w:rFonts w:ascii="Times New Roman" w:hAnsi="Times New Roman" w:cs="Times New Roman"/>
                <w:b/>
                <w:bCs/>
              </w:rPr>
            </w:pPr>
            <w:r w:rsidRPr="004F4488">
              <w:rPr>
                <w:rFonts w:ascii="Times New Roman" w:hAnsi="Times New Roman" w:cs="Times New Roman"/>
                <w:b/>
                <w:bCs/>
              </w:rPr>
              <w:t>Attitudes towards violence</w:t>
            </w:r>
          </w:p>
        </w:tc>
        <w:tc>
          <w:tcPr>
            <w:tcW w:w="1350" w:type="dxa"/>
            <w:noWrap/>
            <w:vAlign w:val="center"/>
            <w:hideMark/>
          </w:tcPr>
          <w:p w14:paraId="12B95AA8" w14:textId="77777777" w:rsidR="0038219D" w:rsidRPr="008D266A" w:rsidRDefault="0038219D" w:rsidP="005636E1">
            <w:pPr>
              <w:spacing w:line="240" w:lineRule="auto"/>
              <w:contextualSpacing/>
              <w:jc w:val="center"/>
              <w:rPr>
                <w:rFonts w:ascii="Times New Roman" w:hAnsi="Times New Roman" w:cs="Times New Roman"/>
              </w:rPr>
            </w:pPr>
          </w:p>
        </w:tc>
        <w:tc>
          <w:tcPr>
            <w:tcW w:w="1350" w:type="dxa"/>
            <w:noWrap/>
            <w:vAlign w:val="center"/>
            <w:hideMark/>
          </w:tcPr>
          <w:p w14:paraId="6BD79AE6"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495E486A" w14:textId="77777777" w:rsidR="0038219D" w:rsidRPr="008D266A" w:rsidRDefault="0038219D" w:rsidP="005636E1">
            <w:pPr>
              <w:spacing w:line="240" w:lineRule="auto"/>
              <w:contextualSpacing/>
              <w:jc w:val="center"/>
              <w:rPr>
                <w:rFonts w:ascii="Times New Roman" w:hAnsi="Times New Roman" w:cs="Times New Roman"/>
              </w:rPr>
            </w:pPr>
          </w:p>
        </w:tc>
        <w:tc>
          <w:tcPr>
            <w:tcW w:w="1371" w:type="dxa"/>
            <w:noWrap/>
            <w:vAlign w:val="center"/>
            <w:hideMark/>
          </w:tcPr>
          <w:p w14:paraId="410CE2D9"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3AC29CFD" w14:textId="77777777" w:rsidTr="005636E1">
        <w:trPr>
          <w:trHeight w:val="144"/>
        </w:trPr>
        <w:tc>
          <w:tcPr>
            <w:tcW w:w="3505" w:type="dxa"/>
            <w:noWrap/>
            <w:hideMark/>
          </w:tcPr>
          <w:p w14:paraId="6B7045F0"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Need to use force to gain respect</w:t>
            </w:r>
          </w:p>
        </w:tc>
        <w:tc>
          <w:tcPr>
            <w:tcW w:w="1350" w:type="dxa"/>
            <w:noWrap/>
            <w:vAlign w:val="center"/>
            <w:hideMark/>
          </w:tcPr>
          <w:p w14:paraId="4D37F548"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(m=1.8)</w:t>
            </w:r>
          </w:p>
        </w:tc>
        <w:tc>
          <w:tcPr>
            <w:tcW w:w="1350" w:type="dxa"/>
            <w:noWrap/>
            <w:vAlign w:val="center"/>
            <w:hideMark/>
          </w:tcPr>
          <w:p w14:paraId="76C9B6FA"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337D7D4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(m=1.5)</w:t>
            </w:r>
          </w:p>
        </w:tc>
        <w:tc>
          <w:tcPr>
            <w:tcW w:w="1371" w:type="dxa"/>
            <w:noWrap/>
            <w:vAlign w:val="center"/>
            <w:hideMark/>
          </w:tcPr>
          <w:p w14:paraId="703BA1FF"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4ABBDEF2" w14:textId="77777777" w:rsidTr="005636E1">
        <w:trPr>
          <w:trHeight w:val="144"/>
        </w:trPr>
        <w:tc>
          <w:tcPr>
            <w:tcW w:w="3505" w:type="dxa"/>
            <w:noWrap/>
            <w:hideMark/>
          </w:tcPr>
          <w:p w14:paraId="570D585F"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Agree</w:t>
            </w:r>
          </w:p>
        </w:tc>
        <w:tc>
          <w:tcPr>
            <w:tcW w:w="1350" w:type="dxa"/>
            <w:noWrap/>
            <w:vAlign w:val="center"/>
            <w:hideMark/>
          </w:tcPr>
          <w:p w14:paraId="360412C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18.4</w:t>
            </w:r>
          </w:p>
        </w:tc>
        <w:tc>
          <w:tcPr>
            <w:tcW w:w="1350" w:type="dxa"/>
            <w:noWrap/>
            <w:vAlign w:val="center"/>
            <w:hideMark/>
          </w:tcPr>
          <w:p w14:paraId="5550FCB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AW (34.9)</w:t>
            </w:r>
          </w:p>
        </w:tc>
        <w:tc>
          <w:tcPr>
            <w:tcW w:w="1620" w:type="dxa"/>
            <w:noWrap/>
            <w:vAlign w:val="center"/>
            <w:hideMark/>
          </w:tcPr>
          <w:p w14:paraId="1EFCAB17"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15.6</w:t>
            </w:r>
          </w:p>
        </w:tc>
        <w:tc>
          <w:tcPr>
            <w:tcW w:w="1371" w:type="dxa"/>
            <w:noWrap/>
            <w:vAlign w:val="center"/>
            <w:hideMark/>
          </w:tcPr>
          <w:p w14:paraId="5E3C4F5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RU (26.9)</w:t>
            </w:r>
          </w:p>
        </w:tc>
      </w:tr>
      <w:tr w:rsidR="0038219D" w:rsidRPr="007D22E0" w14:paraId="4237DEDB" w14:textId="77777777" w:rsidTr="005636E1">
        <w:trPr>
          <w:trHeight w:val="144"/>
        </w:trPr>
        <w:tc>
          <w:tcPr>
            <w:tcW w:w="3505" w:type="dxa"/>
            <w:noWrap/>
            <w:hideMark/>
          </w:tcPr>
          <w:p w14:paraId="2464C1CF"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Somebody attacks, will hit back</w:t>
            </w:r>
          </w:p>
        </w:tc>
        <w:tc>
          <w:tcPr>
            <w:tcW w:w="1350" w:type="dxa"/>
            <w:noWrap/>
            <w:vAlign w:val="center"/>
            <w:hideMark/>
          </w:tcPr>
          <w:p w14:paraId="486BD82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(m=2.2)</w:t>
            </w:r>
          </w:p>
        </w:tc>
        <w:tc>
          <w:tcPr>
            <w:tcW w:w="1350" w:type="dxa"/>
            <w:noWrap/>
            <w:vAlign w:val="center"/>
            <w:hideMark/>
          </w:tcPr>
          <w:p w14:paraId="6C4FFB40"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5366B119"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(m=1.8)</w:t>
            </w:r>
          </w:p>
        </w:tc>
        <w:tc>
          <w:tcPr>
            <w:tcW w:w="1371" w:type="dxa"/>
            <w:noWrap/>
            <w:vAlign w:val="center"/>
            <w:hideMark/>
          </w:tcPr>
          <w:p w14:paraId="25A4E6D2"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1A26F8D8" w14:textId="77777777" w:rsidTr="005636E1">
        <w:trPr>
          <w:trHeight w:val="144"/>
        </w:trPr>
        <w:tc>
          <w:tcPr>
            <w:tcW w:w="3505" w:type="dxa"/>
            <w:noWrap/>
            <w:hideMark/>
          </w:tcPr>
          <w:p w14:paraId="746D45DB"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Agree</w:t>
            </w:r>
          </w:p>
        </w:tc>
        <w:tc>
          <w:tcPr>
            <w:tcW w:w="1350" w:type="dxa"/>
            <w:noWrap/>
            <w:vAlign w:val="center"/>
            <w:hideMark/>
          </w:tcPr>
          <w:p w14:paraId="1F1DDBA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66.1</w:t>
            </w:r>
          </w:p>
        </w:tc>
        <w:tc>
          <w:tcPr>
            <w:tcW w:w="1350" w:type="dxa"/>
            <w:noWrap/>
            <w:vAlign w:val="center"/>
            <w:hideMark/>
          </w:tcPr>
          <w:p w14:paraId="578010CC"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AM (82.8)</w:t>
            </w:r>
          </w:p>
        </w:tc>
        <w:tc>
          <w:tcPr>
            <w:tcW w:w="1620" w:type="dxa"/>
            <w:noWrap/>
            <w:vAlign w:val="center"/>
            <w:hideMark/>
          </w:tcPr>
          <w:p w14:paraId="6711435D"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63.6</w:t>
            </w:r>
          </w:p>
        </w:tc>
        <w:tc>
          <w:tcPr>
            <w:tcW w:w="1371" w:type="dxa"/>
            <w:noWrap/>
            <w:vAlign w:val="center"/>
            <w:hideMark/>
          </w:tcPr>
          <w:p w14:paraId="1C523E26"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NL (82.0)</w:t>
            </w:r>
          </w:p>
        </w:tc>
      </w:tr>
      <w:tr w:rsidR="0038219D" w:rsidRPr="007D22E0" w14:paraId="7ADE5E3B" w14:textId="77777777" w:rsidTr="005636E1">
        <w:trPr>
          <w:trHeight w:val="144"/>
        </w:trPr>
        <w:tc>
          <w:tcPr>
            <w:tcW w:w="3505" w:type="dxa"/>
            <w:noWrap/>
            <w:hideMark/>
          </w:tcPr>
          <w:p w14:paraId="6425436B"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Normal for boys to prove selves with fights</w:t>
            </w:r>
          </w:p>
        </w:tc>
        <w:tc>
          <w:tcPr>
            <w:tcW w:w="1350" w:type="dxa"/>
            <w:noWrap/>
            <w:vAlign w:val="center"/>
            <w:hideMark/>
          </w:tcPr>
          <w:p w14:paraId="04984E9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(m=1.7)</w:t>
            </w:r>
          </w:p>
        </w:tc>
        <w:tc>
          <w:tcPr>
            <w:tcW w:w="1350" w:type="dxa"/>
            <w:noWrap/>
            <w:vAlign w:val="center"/>
            <w:hideMark/>
          </w:tcPr>
          <w:p w14:paraId="620CC8B5" w14:textId="77777777" w:rsidR="0038219D" w:rsidRPr="008D266A" w:rsidRDefault="0038219D" w:rsidP="005636E1">
            <w:pPr>
              <w:spacing w:line="240" w:lineRule="auto"/>
              <w:contextualSpacing/>
              <w:jc w:val="center"/>
              <w:rPr>
                <w:rFonts w:ascii="Times New Roman" w:hAnsi="Times New Roman" w:cs="Times New Roman"/>
              </w:rPr>
            </w:pPr>
          </w:p>
        </w:tc>
        <w:tc>
          <w:tcPr>
            <w:tcW w:w="1620" w:type="dxa"/>
            <w:noWrap/>
            <w:vAlign w:val="center"/>
            <w:hideMark/>
          </w:tcPr>
          <w:p w14:paraId="1F7CA245"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(m=1.5)</w:t>
            </w:r>
          </w:p>
        </w:tc>
        <w:tc>
          <w:tcPr>
            <w:tcW w:w="1371" w:type="dxa"/>
            <w:noWrap/>
            <w:vAlign w:val="center"/>
            <w:hideMark/>
          </w:tcPr>
          <w:p w14:paraId="0B69F4BB" w14:textId="77777777" w:rsidR="0038219D" w:rsidRPr="008D266A" w:rsidRDefault="0038219D" w:rsidP="005636E1">
            <w:pPr>
              <w:spacing w:line="240" w:lineRule="auto"/>
              <w:contextualSpacing/>
              <w:jc w:val="center"/>
              <w:rPr>
                <w:rFonts w:ascii="Times New Roman" w:hAnsi="Times New Roman" w:cs="Times New Roman"/>
              </w:rPr>
            </w:pPr>
          </w:p>
        </w:tc>
      </w:tr>
      <w:tr w:rsidR="0038219D" w:rsidRPr="007D22E0" w14:paraId="5B81A792" w14:textId="77777777" w:rsidTr="005636E1">
        <w:trPr>
          <w:trHeight w:val="144"/>
        </w:trPr>
        <w:tc>
          <w:tcPr>
            <w:tcW w:w="3505" w:type="dxa"/>
            <w:noWrap/>
            <w:hideMark/>
          </w:tcPr>
          <w:p w14:paraId="3FD1F565" w14:textId="77777777" w:rsidR="0038219D" w:rsidRPr="008D266A" w:rsidRDefault="0038219D" w:rsidP="005636E1">
            <w:pPr>
              <w:spacing w:line="240" w:lineRule="auto"/>
              <w:contextualSpacing/>
              <w:rPr>
                <w:rFonts w:ascii="Times New Roman" w:hAnsi="Times New Roman" w:cs="Times New Roman"/>
              </w:rPr>
            </w:pPr>
            <w:r w:rsidRPr="008D266A">
              <w:rPr>
                <w:rFonts w:ascii="Times New Roman" w:hAnsi="Times New Roman" w:cs="Times New Roman"/>
              </w:rPr>
              <w:t xml:space="preserve">    Agree</w:t>
            </w:r>
          </w:p>
        </w:tc>
        <w:tc>
          <w:tcPr>
            <w:tcW w:w="1350" w:type="dxa"/>
            <w:noWrap/>
            <w:vAlign w:val="center"/>
            <w:hideMark/>
          </w:tcPr>
          <w:p w14:paraId="74BFF62F"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40.4</w:t>
            </w:r>
          </w:p>
        </w:tc>
        <w:tc>
          <w:tcPr>
            <w:tcW w:w="1350" w:type="dxa"/>
            <w:noWrap/>
            <w:vAlign w:val="center"/>
            <w:hideMark/>
          </w:tcPr>
          <w:p w14:paraId="035468C2"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AT (59.6)</w:t>
            </w:r>
          </w:p>
        </w:tc>
        <w:tc>
          <w:tcPr>
            <w:tcW w:w="1620" w:type="dxa"/>
            <w:noWrap/>
            <w:vAlign w:val="center"/>
            <w:hideMark/>
          </w:tcPr>
          <w:p w14:paraId="58437B5E"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39.9</w:t>
            </w:r>
          </w:p>
        </w:tc>
        <w:tc>
          <w:tcPr>
            <w:tcW w:w="1371" w:type="dxa"/>
            <w:noWrap/>
            <w:vAlign w:val="center"/>
            <w:hideMark/>
          </w:tcPr>
          <w:p w14:paraId="2FE0BB64" w14:textId="77777777" w:rsidR="0038219D" w:rsidRPr="008D266A" w:rsidRDefault="0038219D" w:rsidP="005636E1">
            <w:pPr>
              <w:spacing w:line="240" w:lineRule="auto"/>
              <w:contextualSpacing/>
              <w:jc w:val="center"/>
              <w:rPr>
                <w:rFonts w:ascii="Times New Roman" w:hAnsi="Times New Roman" w:cs="Times New Roman"/>
              </w:rPr>
            </w:pPr>
            <w:r w:rsidRPr="008D266A">
              <w:rPr>
                <w:rFonts w:ascii="Times New Roman" w:hAnsi="Times New Roman" w:cs="Times New Roman"/>
              </w:rPr>
              <w:t>AT (59.6)</w:t>
            </w:r>
          </w:p>
        </w:tc>
      </w:tr>
    </w:tbl>
    <w:p w14:paraId="01574FB2" w14:textId="5EB99060" w:rsidR="00632E12" w:rsidRPr="007674B9" w:rsidRDefault="624E573A" w:rsidP="005636E1">
      <w:pPr>
        <w:spacing w:line="240" w:lineRule="auto"/>
        <w:contextualSpacing/>
        <w:rPr>
          <w:sz w:val="20"/>
          <w:szCs w:val="20"/>
          <w:lang w:val="en"/>
        </w:rPr>
        <w:sectPr w:rsidR="00632E12" w:rsidRPr="007674B9" w:rsidSect="00A226F9">
          <w:footerReference w:type="default" r:id="rId15"/>
          <w:pgSz w:w="11901" w:h="16840" w:code="9"/>
          <w:pgMar w:top="1418" w:right="1701" w:bottom="1418" w:left="1701" w:header="709" w:footer="709" w:gutter="0"/>
          <w:cols w:space="708"/>
          <w:titlePg/>
          <w:docGrid w:linePitch="360"/>
        </w:sectPr>
      </w:pPr>
      <w:r w:rsidRPr="007674B9">
        <w:rPr>
          <w:sz w:val="20"/>
          <w:szCs w:val="20"/>
          <w:lang w:val="en"/>
        </w:rPr>
        <w:t>* We do not break out the native category by the origin of their friend group, as a relatively small percentage (8%) of the native youth reported having mostly non-native friends.</w:t>
      </w:r>
    </w:p>
    <w:p w14:paraId="48B8B7D3" w14:textId="539CFD33" w:rsidR="0038219D" w:rsidRDefault="624E573A" w:rsidP="006652D2">
      <w:pPr>
        <w:pStyle w:val="Tabletitle"/>
        <w:spacing w:before="0" w:line="480" w:lineRule="auto"/>
        <w:contextualSpacing/>
        <w:rPr>
          <w:lang w:val="en"/>
        </w:rPr>
      </w:pPr>
      <w:r w:rsidRPr="624E573A">
        <w:rPr>
          <w:lang w:val="en"/>
        </w:rPr>
        <w:lastRenderedPageBreak/>
        <w:t>Table 3. Logistic Regression Results for MM indicators on Gang Involvement</w:t>
      </w:r>
    </w:p>
    <w:tbl>
      <w:tblPr>
        <w:tblW w:w="14018" w:type="dxa"/>
        <w:tblLook w:val="04A0" w:firstRow="1" w:lastRow="0" w:firstColumn="1" w:lastColumn="0" w:noHBand="0" w:noVBand="1"/>
      </w:tblPr>
      <w:tblGrid>
        <w:gridCol w:w="3304"/>
        <w:gridCol w:w="926"/>
        <w:gridCol w:w="1080"/>
        <w:gridCol w:w="799"/>
        <w:gridCol w:w="308"/>
        <w:gridCol w:w="1021"/>
        <w:gridCol w:w="651"/>
        <w:gridCol w:w="563"/>
        <w:gridCol w:w="261"/>
        <w:gridCol w:w="1128"/>
        <w:gridCol w:w="731"/>
        <w:gridCol w:w="563"/>
        <w:gridCol w:w="261"/>
        <w:gridCol w:w="1128"/>
        <w:gridCol w:w="731"/>
        <w:gridCol w:w="563"/>
      </w:tblGrid>
      <w:tr w:rsidR="0048638A" w:rsidRPr="0041348B" w14:paraId="26F61EB6" w14:textId="77777777" w:rsidTr="0048638A">
        <w:trPr>
          <w:trHeight w:val="290"/>
        </w:trPr>
        <w:tc>
          <w:tcPr>
            <w:tcW w:w="3304" w:type="dxa"/>
            <w:tcBorders>
              <w:top w:val="single" w:sz="4" w:space="0" w:color="auto"/>
              <w:left w:val="nil"/>
              <w:bottom w:val="nil"/>
              <w:right w:val="nil"/>
            </w:tcBorders>
            <w:shd w:val="clear" w:color="auto" w:fill="auto"/>
            <w:noWrap/>
            <w:vAlign w:val="bottom"/>
            <w:hideMark/>
          </w:tcPr>
          <w:p w14:paraId="21D9540A" w14:textId="77777777" w:rsidR="0041348B" w:rsidRPr="0048638A" w:rsidRDefault="0041348B" w:rsidP="005636E1">
            <w:pPr>
              <w:spacing w:line="240" w:lineRule="auto"/>
              <w:contextualSpacing/>
              <w:rPr>
                <w:b/>
                <w:bCs/>
                <w:color w:val="000000"/>
                <w:sz w:val="18"/>
                <w:szCs w:val="18"/>
                <w:lang w:val="en-US" w:eastAsia="en-US"/>
              </w:rPr>
            </w:pPr>
            <w:r w:rsidRPr="0048638A">
              <w:rPr>
                <w:b/>
                <w:bCs/>
                <w:color w:val="000000"/>
                <w:sz w:val="18"/>
                <w:szCs w:val="18"/>
                <w:lang w:val="en-US" w:eastAsia="en-US"/>
              </w:rPr>
              <w:t> </w:t>
            </w:r>
          </w:p>
        </w:tc>
        <w:tc>
          <w:tcPr>
            <w:tcW w:w="2805" w:type="dxa"/>
            <w:gridSpan w:val="3"/>
            <w:tcBorders>
              <w:top w:val="single" w:sz="4" w:space="0" w:color="auto"/>
              <w:left w:val="nil"/>
              <w:bottom w:val="single" w:sz="4" w:space="0" w:color="auto"/>
              <w:right w:val="nil"/>
            </w:tcBorders>
            <w:shd w:val="clear" w:color="auto" w:fill="auto"/>
            <w:noWrap/>
            <w:vAlign w:val="bottom"/>
            <w:hideMark/>
          </w:tcPr>
          <w:p w14:paraId="2979C7AB"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Model 2</w:t>
            </w:r>
          </w:p>
        </w:tc>
        <w:tc>
          <w:tcPr>
            <w:tcW w:w="308" w:type="dxa"/>
            <w:tcBorders>
              <w:top w:val="single" w:sz="4" w:space="0" w:color="auto"/>
              <w:left w:val="nil"/>
              <w:bottom w:val="nil"/>
              <w:right w:val="nil"/>
            </w:tcBorders>
            <w:shd w:val="clear" w:color="auto" w:fill="auto"/>
            <w:noWrap/>
            <w:vAlign w:val="bottom"/>
            <w:hideMark/>
          </w:tcPr>
          <w:p w14:paraId="3FEDC243"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 </w:t>
            </w:r>
          </w:p>
        </w:tc>
        <w:tc>
          <w:tcPr>
            <w:tcW w:w="2235" w:type="dxa"/>
            <w:gridSpan w:val="3"/>
            <w:tcBorders>
              <w:top w:val="single" w:sz="4" w:space="0" w:color="auto"/>
              <w:left w:val="nil"/>
              <w:bottom w:val="single" w:sz="4" w:space="0" w:color="auto"/>
              <w:right w:val="nil"/>
            </w:tcBorders>
            <w:shd w:val="clear" w:color="auto" w:fill="auto"/>
            <w:noWrap/>
            <w:vAlign w:val="bottom"/>
            <w:hideMark/>
          </w:tcPr>
          <w:p w14:paraId="1F4267B2"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Model 3</w:t>
            </w:r>
          </w:p>
        </w:tc>
        <w:tc>
          <w:tcPr>
            <w:tcW w:w="261" w:type="dxa"/>
            <w:tcBorders>
              <w:top w:val="single" w:sz="4" w:space="0" w:color="auto"/>
              <w:left w:val="nil"/>
              <w:bottom w:val="nil"/>
              <w:right w:val="nil"/>
            </w:tcBorders>
            <w:shd w:val="clear" w:color="auto" w:fill="auto"/>
            <w:noWrap/>
            <w:vAlign w:val="bottom"/>
            <w:hideMark/>
          </w:tcPr>
          <w:p w14:paraId="5190EBF5"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 </w:t>
            </w:r>
          </w:p>
        </w:tc>
        <w:tc>
          <w:tcPr>
            <w:tcW w:w="2422" w:type="dxa"/>
            <w:gridSpan w:val="3"/>
            <w:tcBorders>
              <w:top w:val="single" w:sz="4" w:space="0" w:color="auto"/>
              <w:left w:val="nil"/>
              <w:bottom w:val="single" w:sz="4" w:space="0" w:color="auto"/>
              <w:right w:val="nil"/>
            </w:tcBorders>
            <w:shd w:val="clear" w:color="auto" w:fill="auto"/>
            <w:noWrap/>
            <w:vAlign w:val="bottom"/>
            <w:hideMark/>
          </w:tcPr>
          <w:p w14:paraId="3FB8FD1B"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Model 4</w:t>
            </w:r>
          </w:p>
        </w:tc>
        <w:tc>
          <w:tcPr>
            <w:tcW w:w="261" w:type="dxa"/>
            <w:tcBorders>
              <w:top w:val="single" w:sz="4" w:space="0" w:color="auto"/>
              <w:left w:val="nil"/>
              <w:bottom w:val="nil"/>
              <w:right w:val="nil"/>
            </w:tcBorders>
            <w:shd w:val="clear" w:color="auto" w:fill="auto"/>
            <w:noWrap/>
            <w:vAlign w:val="bottom"/>
            <w:hideMark/>
          </w:tcPr>
          <w:p w14:paraId="36D2CC40"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 </w:t>
            </w:r>
          </w:p>
        </w:tc>
        <w:tc>
          <w:tcPr>
            <w:tcW w:w="2422" w:type="dxa"/>
            <w:gridSpan w:val="3"/>
            <w:tcBorders>
              <w:top w:val="single" w:sz="4" w:space="0" w:color="auto"/>
              <w:left w:val="nil"/>
              <w:bottom w:val="single" w:sz="4" w:space="0" w:color="auto"/>
              <w:right w:val="nil"/>
            </w:tcBorders>
            <w:shd w:val="clear" w:color="auto" w:fill="auto"/>
            <w:noWrap/>
            <w:vAlign w:val="bottom"/>
            <w:hideMark/>
          </w:tcPr>
          <w:p w14:paraId="4FF28C1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Model 5</w:t>
            </w:r>
          </w:p>
        </w:tc>
      </w:tr>
      <w:tr w:rsidR="0048638A" w:rsidRPr="0041348B" w14:paraId="4C75820E" w14:textId="77777777" w:rsidTr="0048638A">
        <w:trPr>
          <w:trHeight w:val="290"/>
        </w:trPr>
        <w:tc>
          <w:tcPr>
            <w:tcW w:w="3304" w:type="dxa"/>
            <w:tcBorders>
              <w:top w:val="nil"/>
              <w:left w:val="nil"/>
              <w:bottom w:val="single" w:sz="4" w:space="0" w:color="auto"/>
              <w:right w:val="nil"/>
            </w:tcBorders>
            <w:shd w:val="clear" w:color="auto" w:fill="auto"/>
            <w:noWrap/>
            <w:vAlign w:val="bottom"/>
            <w:hideMark/>
          </w:tcPr>
          <w:p w14:paraId="4B04EE5A" w14:textId="77777777" w:rsidR="0041348B" w:rsidRPr="0048638A" w:rsidRDefault="0041348B" w:rsidP="005636E1">
            <w:pPr>
              <w:spacing w:line="240" w:lineRule="auto"/>
              <w:contextualSpacing/>
              <w:rPr>
                <w:b/>
                <w:bCs/>
                <w:color w:val="000000"/>
                <w:sz w:val="18"/>
                <w:szCs w:val="18"/>
                <w:lang w:val="en-US" w:eastAsia="en-US"/>
              </w:rPr>
            </w:pPr>
            <w:r w:rsidRPr="0048638A">
              <w:rPr>
                <w:b/>
                <w:bCs/>
                <w:color w:val="000000"/>
                <w:sz w:val="18"/>
                <w:szCs w:val="18"/>
                <w:lang w:val="en-US" w:eastAsia="en-US"/>
              </w:rPr>
              <w:t>Variables</w:t>
            </w:r>
          </w:p>
        </w:tc>
        <w:tc>
          <w:tcPr>
            <w:tcW w:w="926" w:type="dxa"/>
            <w:tcBorders>
              <w:top w:val="nil"/>
              <w:left w:val="nil"/>
              <w:bottom w:val="single" w:sz="4" w:space="0" w:color="auto"/>
              <w:right w:val="nil"/>
            </w:tcBorders>
            <w:shd w:val="clear" w:color="auto" w:fill="auto"/>
            <w:noWrap/>
            <w:vAlign w:val="bottom"/>
            <w:hideMark/>
          </w:tcPr>
          <w:p w14:paraId="1738E26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Coef.</w:t>
            </w:r>
          </w:p>
        </w:tc>
        <w:tc>
          <w:tcPr>
            <w:tcW w:w="1080" w:type="dxa"/>
            <w:tcBorders>
              <w:top w:val="nil"/>
              <w:left w:val="nil"/>
              <w:bottom w:val="single" w:sz="4" w:space="0" w:color="auto"/>
              <w:right w:val="nil"/>
            </w:tcBorders>
            <w:shd w:val="clear" w:color="auto" w:fill="auto"/>
            <w:noWrap/>
            <w:vAlign w:val="bottom"/>
            <w:hideMark/>
          </w:tcPr>
          <w:p w14:paraId="7C52CFA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S.E.</w:t>
            </w:r>
          </w:p>
        </w:tc>
        <w:tc>
          <w:tcPr>
            <w:tcW w:w="799" w:type="dxa"/>
            <w:tcBorders>
              <w:top w:val="nil"/>
              <w:left w:val="nil"/>
              <w:bottom w:val="single" w:sz="4" w:space="0" w:color="auto"/>
              <w:right w:val="nil"/>
            </w:tcBorders>
            <w:shd w:val="clear" w:color="auto" w:fill="auto"/>
            <w:noWrap/>
            <w:vAlign w:val="bottom"/>
            <w:hideMark/>
          </w:tcPr>
          <w:p w14:paraId="0FF6118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OR</w:t>
            </w:r>
          </w:p>
        </w:tc>
        <w:tc>
          <w:tcPr>
            <w:tcW w:w="308" w:type="dxa"/>
            <w:tcBorders>
              <w:top w:val="nil"/>
              <w:left w:val="nil"/>
              <w:bottom w:val="single" w:sz="4" w:space="0" w:color="auto"/>
              <w:right w:val="nil"/>
            </w:tcBorders>
            <w:shd w:val="clear" w:color="auto" w:fill="auto"/>
            <w:noWrap/>
            <w:vAlign w:val="bottom"/>
            <w:hideMark/>
          </w:tcPr>
          <w:p w14:paraId="6E0ABD8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21" w:type="dxa"/>
            <w:tcBorders>
              <w:top w:val="nil"/>
              <w:left w:val="nil"/>
              <w:bottom w:val="single" w:sz="4" w:space="0" w:color="auto"/>
              <w:right w:val="nil"/>
            </w:tcBorders>
            <w:shd w:val="clear" w:color="auto" w:fill="auto"/>
            <w:noWrap/>
            <w:vAlign w:val="bottom"/>
            <w:hideMark/>
          </w:tcPr>
          <w:p w14:paraId="2D16F12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Coef.</w:t>
            </w:r>
          </w:p>
        </w:tc>
        <w:tc>
          <w:tcPr>
            <w:tcW w:w="651" w:type="dxa"/>
            <w:tcBorders>
              <w:top w:val="nil"/>
              <w:left w:val="nil"/>
              <w:bottom w:val="single" w:sz="4" w:space="0" w:color="auto"/>
              <w:right w:val="nil"/>
            </w:tcBorders>
            <w:shd w:val="clear" w:color="auto" w:fill="auto"/>
            <w:noWrap/>
            <w:vAlign w:val="bottom"/>
            <w:hideMark/>
          </w:tcPr>
          <w:p w14:paraId="642EA66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S.E.</w:t>
            </w:r>
          </w:p>
        </w:tc>
        <w:tc>
          <w:tcPr>
            <w:tcW w:w="563" w:type="dxa"/>
            <w:tcBorders>
              <w:top w:val="nil"/>
              <w:left w:val="nil"/>
              <w:bottom w:val="single" w:sz="4" w:space="0" w:color="auto"/>
              <w:right w:val="nil"/>
            </w:tcBorders>
            <w:shd w:val="clear" w:color="auto" w:fill="auto"/>
            <w:noWrap/>
            <w:vAlign w:val="bottom"/>
            <w:hideMark/>
          </w:tcPr>
          <w:p w14:paraId="6CB2CEE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OR</w:t>
            </w:r>
          </w:p>
        </w:tc>
        <w:tc>
          <w:tcPr>
            <w:tcW w:w="261" w:type="dxa"/>
            <w:tcBorders>
              <w:top w:val="nil"/>
              <w:left w:val="nil"/>
              <w:bottom w:val="single" w:sz="4" w:space="0" w:color="auto"/>
              <w:right w:val="nil"/>
            </w:tcBorders>
            <w:shd w:val="clear" w:color="auto" w:fill="auto"/>
            <w:noWrap/>
            <w:vAlign w:val="bottom"/>
            <w:hideMark/>
          </w:tcPr>
          <w:p w14:paraId="22B9509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128" w:type="dxa"/>
            <w:tcBorders>
              <w:top w:val="nil"/>
              <w:left w:val="nil"/>
              <w:bottom w:val="single" w:sz="4" w:space="0" w:color="auto"/>
              <w:right w:val="nil"/>
            </w:tcBorders>
            <w:shd w:val="clear" w:color="auto" w:fill="auto"/>
            <w:noWrap/>
            <w:vAlign w:val="bottom"/>
            <w:hideMark/>
          </w:tcPr>
          <w:p w14:paraId="3A545E8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Coef.</w:t>
            </w:r>
          </w:p>
        </w:tc>
        <w:tc>
          <w:tcPr>
            <w:tcW w:w="731" w:type="dxa"/>
            <w:tcBorders>
              <w:top w:val="nil"/>
              <w:left w:val="nil"/>
              <w:bottom w:val="single" w:sz="4" w:space="0" w:color="auto"/>
              <w:right w:val="nil"/>
            </w:tcBorders>
            <w:shd w:val="clear" w:color="auto" w:fill="auto"/>
            <w:noWrap/>
            <w:vAlign w:val="bottom"/>
            <w:hideMark/>
          </w:tcPr>
          <w:p w14:paraId="51BB666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S.E.</w:t>
            </w:r>
          </w:p>
        </w:tc>
        <w:tc>
          <w:tcPr>
            <w:tcW w:w="563" w:type="dxa"/>
            <w:tcBorders>
              <w:top w:val="nil"/>
              <w:left w:val="nil"/>
              <w:bottom w:val="single" w:sz="4" w:space="0" w:color="auto"/>
              <w:right w:val="nil"/>
            </w:tcBorders>
            <w:shd w:val="clear" w:color="auto" w:fill="auto"/>
            <w:noWrap/>
            <w:vAlign w:val="bottom"/>
            <w:hideMark/>
          </w:tcPr>
          <w:p w14:paraId="1D54D6A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OR</w:t>
            </w:r>
          </w:p>
        </w:tc>
        <w:tc>
          <w:tcPr>
            <w:tcW w:w="261" w:type="dxa"/>
            <w:tcBorders>
              <w:top w:val="nil"/>
              <w:left w:val="nil"/>
              <w:bottom w:val="single" w:sz="4" w:space="0" w:color="auto"/>
              <w:right w:val="nil"/>
            </w:tcBorders>
            <w:shd w:val="clear" w:color="auto" w:fill="auto"/>
            <w:noWrap/>
            <w:vAlign w:val="bottom"/>
            <w:hideMark/>
          </w:tcPr>
          <w:p w14:paraId="5ABAF4C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128" w:type="dxa"/>
            <w:tcBorders>
              <w:top w:val="nil"/>
              <w:left w:val="nil"/>
              <w:bottom w:val="single" w:sz="4" w:space="0" w:color="auto"/>
              <w:right w:val="nil"/>
            </w:tcBorders>
            <w:shd w:val="clear" w:color="auto" w:fill="auto"/>
            <w:noWrap/>
            <w:vAlign w:val="bottom"/>
            <w:hideMark/>
          </w:tcPr>
          <w:p w14:paraId="514DF7D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Coef.</w:t>
            </w:r>
          </w:p>
        </w:tc>
        <w:tc>
          <w:tcPr>
            <w:tcW w:w="731" w:type="dxa"/>
            <w:tcBorders>
              <w:top w:val="nil"/>
              <w:left w:val="nil"/>
              <w:bottom w:val="single" w:sz="4" w:space="0" w:color="auto"/>
              <w:right w:val="nil"/>
            </w:tcBorders>
            <w:shd w:val="clear" w:color="auto" w:fill="auto"/>
            <w:noWrap/>
            <w:vAlign w:val="bottom"/>
            <w:hideMark/>
          </w:tcPr>
          <w:p w14:paraId="3729189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S.E.</w:t>
            </w:r>
          </w:p>
        </w:tc>
        <w:tc>
          <w:tcPr>
            <w:tcW w:w="563" w:type="dxa"/>
            <w:tcBorders>
              <w:top w:val="nil"/>
              <w:left w:val="nil"/>
              <w:bottom w:val="single" w:sz="4" w:space="0" w:color="auto"/>
              <w:right w:val="nil"/>
            </w:tcBorders>
            <w:shd w:val="clear" w:color="auto" w:fill="auto"/>
            <w:noWrap/>
            <w:vAlign w:val="bottom"/>
            <w:hideMark/>
          </w:tcPr>
          <w:p w14:paraId="3EA148E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OR</w:t>
            </w:r>
          </w:p>
        </w:tc>
      </w:tr>
      <w:tr w:rsidR="0048638A" w:rsidRPr="0041348B" w14:paraId="621531AA" w14:textId="77777777" w:rsidTr="0048638A">
        <w:trPr>
          <w:trHeight w:val="288"/>
        </w:trPr>
        <w:tc>
          <w:tcPr>
            <w:tcW w:w="3304" w:type="dxa"/>
            <w:tcBorders>
              <w:top w:val="single" w:sz="4" w:space="0" w:color="auto"/>
              <w:left w:val="nil"/>
              <w:right w:val="nil"/>
            </w:tcBorders>
            <w:shd w:val="clear" w:color="auto" w:fill="auto"/>
            <w:noWrap/>
            <w:vAlign w:val="center"/>
          </w:tcPr>
          <w:p w14:paraId="503469BF" w14:textId="3CA35710" w:rsidR="0041348B" w:rsidRPr="0048638A" w:rsidRDefault="0041348B" w:rsidP="005636E1">
            <w:pPr>
              <w:spacing w:line="240" w:lineRule="auto"/>
              <w:contextualSpacing/>
              <w:rPr>
                <w:color w:val="000000"/>
                <w:sz w:val="18"/>
                <w:szCs w:val="18"/>
                <w:lang w:val="en-US" w:eastAsia="en-US"/>
              </w:rPr>
            </w:pPr>
            <w:r w:rsidRPr="0064381C">
              <w:rPr>
                <w:color w:val="000000"/>
                <w:sz w:val="18"/>
                <w:szCs w:val="18"/>
                <w:lang w:val="en-US" w:eastAsia="en-US"/>
              </w:rPr>
              <w:t>Constant</w:t>
            </w:r>
          </w:p>
        </w:tc>
        <w:tc>
          <w:tcPr>
            <w:tcW w:w="926" w:type="dxa"/>
            <w:tcBorders>
              <w:top w:val="single" w:sz="4" w:space="0" w:color="auto"/>
              <w:left w:val="nil"/>
              <w:right w:val="nil"/>
            </w:tcBorders>
            <w:shd w:val="clear" w:color="auto" w:fill="auto"/>
            <w:noWrap/>
            <w:vAlign w:val="bottom"/>
          </w:tcPr>
          <w:p w14:paraId="05C9977C" w14:textId="614FDEC5"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-2.50***</w:t>
            </w:r>
          </w:p>
        </w:tc>
        <w:tc>
          <w:tcPr>
            <w:tcW w:w="1080" w:type="dxa"/>
            <w:tcBorders>
              <w:top w:val="single" w:sz="4" w:space="0" w:color="auto"/>
              <w:left w:val="nil"/>
              <w:right w:val="nil"/>
            </w:tcBorders>
            <w:shd w:val="clear" w:color="auto" w:fill="auto"/>
            <w:noWrap/>
            <w:vAlign w:val="bottom"/>
          </w:tcPr>
          <w:p w14:paraId="21C53462" w14:textId="5022233A"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(0.11)</w:t>
            </w:r>
          </w:p>
        </w:tc>
        <w:tc>
          <w:tcPr>
            <w:tcW w:w="799" w:type="dxa"/>
            <w:tcBorders>
              <w:top w:val="single" w:sz="4" w:space="0" w:color="auto"/>
              <w:left w:val="nil"/>
              <w:right w:val="nil"/>
            </w:tcBorders>
            <w:shd w:val="clear" w:color="auto" w:fill="auto"/>
            <w:noWrap/>
            <w:vAlign w:val="bottom"/>
          </w:tcPr>
          <w:p w14:paraId="25776041" w14:textId="48AE44FB"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0.08</w:t>
            </w:r>
          </w:p>
        </w:tc>
        <w:tc>
          <w:tcPr>
            <w:tcW w:w="308" w:type="dxa"/>
            <w:tcBorders>
              <w:top w:val="single" w:sz="4" w:space="0" w:color="auto"/>
              <w:left w:val="nil"/>
              <w:right w:val="nil"/>
            </w:tcBorders>
            <w:shd w:val="clear" w:color="auto" w:fill="auto"/>
            <w:noWrap/>
            <w:vAlign w:val="bottom"/>
          </w:tcPr>
          <w:p w14:paraId="6FB4707B" w14:textId="77777777" w:rsidR="0041348B" w:rsidRPr="0048638A" w:rsidRDefault="0041348B" w:rsidP="005636E1">
            <w:pPr>
              <w:spacing w:line="240" w:lineRule="auto"/>
              <w:contextualSpacing/>
              <w:jc w:val="center"/>
              <w:rPr>
                <w:color w:val="000000"/>
                <w:sz w:val="18"/>
                <w:szCs w:val="18"/>
                <w:lang w:val="en-US" w:eastAsia="en-US"/>
              </w:rPr>
            </w:pPr>
          </w:p>
        </w:tc>
        <w:tc>
          <w:tcPr>
            <w:tcW w:w="1021" w:type="dxa"/>
            <w:tcBorders>
              <w:top w:val="single" w:sz="4" w:space="0" w:color="auto"/>
              <w:left w:val="nil"/>
              <w:right w:val="nil"/>
            </w:tcBorders>
            <w:shd w:val="clear" w:color="auto" w:fill="auto"/>
            <w:noWrap/>
            <w:vAlign w:val="bottom"/>
          </w:tcPr>
          <w:p w14:paraId="784C1AD6" w14:textId="5FFE07F5"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-1.38</w:t>
            </w:r>
            <w:r>
              <w:rPr>
                <w:color w:val="000000"/>
                <w:sz w:val="18"/>
                <w:szCs w:val="18"/>
                <w:vertAlign w:val="superscript"/>
                <w:lang w:val="en-US" w:eastAsia="en-US"/>
              </w:rPr>
              <w:t>+</w:t>
            </w:r>
          </w:p>
        </w:tc>
        <w:tc>
          <w:tcPr>
            <w:tcW w:w="651" w:type="dxa"/>
            <w:tcBorders>
              <w:top w:val="single" w:sz="4" w:space="0" w:color="auto"/>
              <w:left w:val="nil"/>
              <w:right w:val="nil"/>
            </w:tcBorders>
            <w:shd w:val="clear" w:color="auto" w:fill="auto"/>
            <w:noWrap/>
            <w:vAlign w:val="bottom"/>
          </w:tcPr>
          <w:p w14:paraId="1AAE8333" w14:textId="706D4754"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(0.83)</w:t>
            </w:r>
          </w:p>
        </w:tc>
        <w:tc>
          <w:tcPr>
            <w:tcW w:w="563" w:type="dxa"/>
            <w:tcBorders>
              <w:top w:val="single" w:sz="4" w:space="0" w:color="auto"/>
              <w:left w:val="nil"/>
              <w:right w:val="nil"/>
            </w:tcBorders>
            <w:shd w:val="clear" w:color="auto" w:fill="auto"/>
            <w:noWrap/>
            <w:vAlign w:val="bottom"/>
          </w:tcPr>
          <w:p w14:paraId="33EBEDF5" w14:textId="2B566577"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0.25</w:t>
            </w:r>
          </w:p>
        </w:tc>
        <w:tc>
          <w:tcPr>
            <w:tcW w:w="261" w:type="dxa"/>
            <w:tcBorders>
              <w:top w:val="single" w:sz="4" w:space="0" w:color="auto"/>
              <w:left w:val="nil"/>
              <w:right w:val="nil"/>
            </w:tcBorders>
            <w:shd w:val="clear" w:color="auto" w:fill="auto"/>
            <w:noWrap/>
            <w:vAlign w:val="bottom"/>
          </w:tcPr>
          <w:p w14:paraId="7D148CD8"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single" w:sz="4" w:space="0" w:color="auto"/>
              <w:left w:val="nil"/>
              <w:right w:val="nil"/>
            </w:tcBorders>
            <w:shd w:val="clear" w:color="auto" w:fill="auto"/>
            <w:noWrap/>
            <w:vAlign w:val="bottom"/>
          </w:tcPr>
          <w:p w14:paraId="186C2731" w14:textId="2C7F5B20"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-0.93</w:t>
            </w:r>
          </w:p>
        </w:tc>
        <w:tc>
          <w:tcPr>
            <w:tcW w:w="731" w:type="dxa"/>
            <w:tcBorders>
              <w:top w:val="single" w:sz="4" w:space="0" w:color="auto"/>
              <w:left w:val="nil"/>
              <w:right w:val="nil"/>
            </w:tcBorders>
            <w:shd w:val="clear" w:color="auto" w:fill="auto"/>
            <w:noWrap/>
            <w:vAlign w:val="bottom"/>
          </w:tcPr>
          <w:p w14:paraId="08284BDC" w14:textId="2CD7ACBF"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(0.85)</w:t>
            </w:r>
          </w:p>
        </w:tc>
        <w:tc>
          <w:tcPr>
            <w:tcW w:w="563" w:type="dxa"/>
            <w:tcBorders>
              <w:top w:val="single" w:sz="4" w:space="0" w:color="auto"/>
              <w:left w:val="nil"/>
              <w:right w:val="nil"/>
            </w:tcBorders>
            <w:shd w:val="clear" w:color="auto" w:fill="auto"/>
            <w:noWrap/>
            <w:vAlign w:val="bottom"/>
          </w:tcPr>
          <w:p w14:paraId="0CF2EE39" w14:textId="690AF838"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0.40</w:t>
            </w:r>
          </w:p>
        </w:tc>
        <w:tc>
          <w:tcPr>
            <w:tcW w:w="261" w:type="dxa"/>
            <w:tcBorders>
              <w:top w:val="single" w:sz="4" w:space="0" w:color="auto"/>
              <w:left w:val="nil"/>
              <w:right w:val="nil"/>
            </w:tcBorders>
            <w:shd w:val="clear" w:color="auto" w:fill="auto"/>
            <w:noWrap/>
            <w:vAlign w:val="bottom"/>
          </w:tcPr>
          <w:p w14:paraId="5EA9B621"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single" w:sz="4" w:space="0" w:color="auto"/>
              <w:left w:val="nil"/>
              <w:right w:val="nil"/>
            </w:tcBorders>
            <w:shd w:val="clear" w:color="auto" w:fill="auto"/>
            <w:noWrap/>
            <w:vAlign w:val="bottom"/>
          </w:tcPr>
          <w:p w14:paraId="2FBCFD63" w14:textId="64E17E91"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-0.71</w:t>
            </w:r>
          </w:p>
        </w:tc>
        <w:tc>
          <w:tcPr>
            <w:tcW w:w="731" w:type="dxa"/>
            <w:tcBorders>
              <w:top w:val="single" w:sz="4" w:space="0" w:color="auto"/>
              <w:left w:val="nil"/>
              <w:right w:val="nil"/>
            </w:tcBorders>
            <w:shd w:val="clear" w:color="auto" w:fill="auto"/>
            <w:noWrap/>
            <w:vAlign w:val="bottom"/>
          </w:tcPr>
          <w:p w14:paraId="005179F0" w14:textId="39C1750A"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(0.82)</w:t>
            </w:r>
          </w:p>
        </w:tc>
        <w:tc>
          <w:tcPr>
            <w:tcW w:w="563" w:type="dxa"/>
            <w:tcBorders>
              <w:top w:val="single" w:sz="4" w:space="0" w:color="auto"/>
              <w:left w:val="nil"/>
              <w:right w:val="nil"/>
            </w:tcBorders>
            <w:shd w:val="clear" w:color="auto" w:fill="auto"/>
            <w:noWrap/>
            <w:vAlign w:val="bottom"/>
          </w:tcPr>
          <w:p w14:paraId="50BF9DCA" w14:textId="4DB3DDD8" w:rsidR="0041348B" w:rsidRPr="0048638A" w:rsidRDefault="0041348B" w:rsidP="005636E1">
            <w:pPr>
              <w:spacing w:line="240" w:lineRule="auto"/>
              <w:contextualSpacing/>
              <w:jc w:val="center"/>
              <w:rPr>
                <w:color w:val="000000"/>
                <w:sz w:val="18"/>
                <w:szCs w:val="18"/>
                <w:lang w:val="en-US" w:eastAsia="en-US"/>
              </w:rPr>
            </w:pPr>
            <w:r w:rsidRPr="0064381C">
              <w:rPr>
                <w:color w:val="000000"/>
                <w:sz w:val="18"/>
                <w:szCs w:val="18"/>
                <w:lang w:val="en-US" w:eastAsia="en-US"/>
              </w:rPr>
              <w:t>0.49</w:t>
            </w:r>
          </w:p>
        </w:tc>
      </w:tr>
      <w:tr w:rsidR="0048638A" w:rsidRPr="0041348B" w14:paraId="4EE6F5C4" w14:textId="77777777" w:rsidTr="0048638A">
        <w:trPr>
          <w:trHeight w:val="288"/>
        </w:trPr>
        <w:tc>
          <w:tcPr>
            <w:tcW w:w="3304" w:type="dxa"/>
            <w:tcBorders>
              <w:left w:val="nil"/>
              <w:bottom w:val="nil"/>
              <w:right w:val="nil"/>
            </w:tcBorders>
            <w:shd w:val="clear" w:color="auto" w:fill="auto"/>
            <w:vAlign w:val="center"/>
            <w:hideMark/>
          </w:tcPr>
          <w:p w14:paraId="530B3444"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Demographics</w:t>
            </w:r>
          </w:p>
        </w:tc>
        <w:tc>
          <w:tcPr>
            <w:tcW w:w="926" w:type="dxa"/>
            <w:tcBorders>
              <w:left w:val="nil"/>
              <w:bottom w:val="nil"/>
              <w:right w:val="nil"/>
            </w:tcBorders>
            <w:shd w:val="clear" w:color="auto" w:fill="auto"/>
            <w:noWrap/>
            <w:vAlign w:val="bottom"/>
            <w:hideMark/>
          </w:tcPr>
          <w:p w14:paraId="6FE10518" w14:textId="77777777" w:rsidR="0041348B" w:rsidRPr="0048638A" w:rsidRDefault="0041348B" w:rsidP="005636E1">
            <w:pPr>
              <w:spacing w:line="240" w:lineRule="auto"/>
              <w:contextualSpacing/>
              <w:rPr>
                <w:i/>
                <w:iCs/>
                <w:color w:val="000000"/>
                <w:sz w:val="18"/>
                <w:szCs w:val="18"/>
                <w:lang w:val="en-US" w:eastAsia="en-US"/>
              </w:rPr>
            </w:pPr>
          </w:p>
        </w:tc>
        <w:tc>
          <w:tcPr>
            <w:tcW w:w="1080" w:type="dxa"/>
            <w:tcBorders>
              <w:left w:val="nil"/>
              <w:bottom w:val="nil"/>
              <w:right w:val="nil"/>
            </w:tcBorders>
            <w:shd w:val="clear" w:color="auto" w:fill="auto"/>
            <w:noWrap/>
            <w:vAlign w:val="bottom"/>
            <w:hideMark/>
          </w:tcPr>
          <w:p w14:paraId="268D553E" w14:textId="77777777" w:rsidR="0041348B" w:rsidRPr="0048638A" w:rsidRDefault="0041348B" w:rsidP="005636E1">
            <w:pPr>
              <w:spacing w:line="240" w:lineRule="auto"/>
              <w:contextualSpacing/>
              <w:jc w:val="center"/>
              <w:rPr>
                <w:sz w:val="18"/>
                <w:szCs w:val="18"/>
                <w:lang w:val="en-US" w:eastAsia="en-US"/>
              </w:rPr>
            </w:pPr>
          </w:p>
        </w:tc>
        <w:tc>
          <w:tcPr>
            <w:tcW w:w="799" w:type="dxa"/>
            <w:tcBorders>
              <w:left w:val="nil"/>
              <w:bottom w:val="nil"/>
              <w:right w:val="nil"/>
            </w:tcBorders>
            <w:shd w:val="clear" w:color="auto" w:fill="auto"/>
            <w:noWrap/>
            <w:vAlign w:val="bottom"/>
            <w:hideMark/>
          </w:tcPr>
          <w:p w14:paraId="170BF82E" w14:textId="77777777" w:rsidR="0041348B" w:rsidRPr="0048638A" w:rsidRDefault="0041348B" w:rsidP="005636E1">
            <w:pPr>
              <w:spacing w:line="240" w:lineRule="auto"/>
              <w:contextualSpacing/>
              <w:jc w:val="center"/>
              <w:rPr>
                <w:sz w:val="18"/>
                <w:szCs w:val="18"/>
                <w:lang w:val="en-US" w:eastAsia="en-US"/>
              </w:rPr>
            </w:pPr>
          </w:p>
        </w:tc>
        <w:tc>
          <w:tcPr>
            <w:tcW w:w="308" w:type="dxa"/>
            <w:tcBorders>
              <w:left w:val="nil"/>
              <w:bottom w:val="nil"/>
              <w:right w:val="nil"/>
            </w:tcBorders>
            <w:shd w:val="clear" w:color="auto" w:fill="auto"/>
            <w:noWrap/>
            <w:vAlign w:val="bottom"/>
            <w:hideMark/>
          </w:tcPr>
          <w:p w14:paraId="413CA938" w14:textId="77777777" w:rsidR="0041348B" w:rsidRPr="0048638A" w:rsidRDefault="0041348B" w:rsidP="005636E1">
            <w:pPr>
              <w:spacing w:line="240" w:lineRule="auto"/>
              <w:contextualSpacing/>
              <w:jc w:val="center"/>
              <w:rPr>
                <w:sz w:val="18"/>
                <w:szCs w:val="18"/>
                <w:lang w:val="en-US" w:eastAsia="en-US"/>
              </w:rPr>
            </w:pPr>
          </w:p>
        </w:tc>
        <w:tc>
          <w:tcPr>
            <w:tcW w:w="1021" w:type="dxa"/>
            <w:tcBorders>
              <w:left w:val="nil"/>
              <w:bottom w:val="nil"/>
              <w:right w:val="nil"/>
            </w:tcBorders>
            <w:shd w:val="clear" w:color="auto" w:fill="auto"/>
            <w:noWrap/>
            <w:vAlign w:val="bottom"/>
            <w:hideMark/>
          </w:tcPr>
          <w:p w14:paraId="4F349F23" w14:textId="77777777" w:rsidR="0041348B" w:rsidRPr="0048638A" w:rsidRDefault="0041348B" w:rsidP="005636E1">
            <w:pPr>
              <w:spacing w:line="240" w:lineRule="auto"/>
              <w:contextualSpacing/>
              <w:jc w:val="center"/>
              <w:rPr>
                <w:sz w:val="18"/>
                <w:szCs w:val="18"/>
                <w:lang w:val="en-US" w:eastAsia="en-US"/>
              </w:rPr>
            </w:pPr>
          </w:p>
        </w:tc>
        <w:tc>
          <w:tcPr>
            <w:tcW w:w="651" w:type="dxa"/>
            <w:tcBorders>
              <w:left w:val="nil"/>
              <w:bottom w:val="nil"/>
              <w:right w:val="nil"/>
            </w:tcBorders>
            <w:shd w:val="clear" w:color="auto" w:fill="auto"/>
            <w:noWrap/>
            <w:vAlign w:val="bottom"/>
            <w:hideMark/>
          </w:tcPr>
          <w:p w14:paraId="30C9DABB" w14:textId="77777777" w:rsidR="0041348B" w:rsidRPr="0048638A" w:rsidRDefault="0041348B" w:rsidP="005636E1">
            <w:pPr>
              <w:spacing w:line="240" w:lineRule="auto"/>
              <w:contextualSpacing/>
              <w:jc w:val="center"/>
              <w:rPr>
                <w:sz w:val="18"/>
                <w:szCs w:val="18"/>
                <w:lang w:val="en-US" w:eastAsia="en-US"/>
              </w:rPr>
            </w:pPr>
          </w:p>
        </w:tc>
        <w:tc>
          <w:tcPr>
            <w:tcW w:w="563" w:type="dxa"/>
            <w:tcBorders>
              <w:left w:val="nil"/>
              <w:bottom w:val="nil"/>
              <w:right w:val="nil"/>
            </w:tcBorders>
            <w:shd w:val="clear" w:color="auto" w:fill="auto"/>
            <w:noWrap/>
            <w:vAlign w:val="bottom"/>
            <w:hideMark/>
          </w:tcPr>
          <w:p w14:paraId="4AD909AE" w14:textId="77777777" w:rsidR="0041348B" w:rsidRPr="0048638A" w:rsidRDefault="0041348B" w:rsidP="005636E1">
            <w:pPr>
              <w:spacing w:line="240" w:lineRule="auto"/>
              <w:contextualSpacing/>
              <w:jc w:val="center"/>
              <w:rPr>
                <w:sz w:val="18"/>
                <w:szCs w:val="18"/>
                <w:lang w:val="en-US" w:eastAsia="en-US"/>
              </w:rPr>
            </w:pPr>
          </w:p>
        </w:tc>
        <w:tc>
          <w:tcPr>
            <w:tcW w:w="261" w:type="dxa"/>
            <w:tcBorders>
              <w:left w:val="nil"/>
              <w:bottom w:val="nil"/>
              <w:right w:val="nil"/>
            </w:tcBorders>
            <w:shd w:val="clear" w:color="auto" w:fill="auto"/>
            <w:noWrap/>
            <w:vAlign w:val="bottom"/>
            <w:hideMark/>
          </w:tcPr>
          <w:p w14:paraId="03553893" w14:textId="77777777" w:rsidR="0041348B" w:rsidRPr="0048638A" w:rsidRDefault="0041348B" w:rsidP="005636E1">
            <w:pPr>
              <w:spacing w:line="240" w:lineRule="auto"/>
              <w:contextualSpacing/>
              <w:jc w:val="center"/>
              <w:rPr>
                <w:sz w:val="18"/>
                <w:szCs w:val="18"/>
                <w:lang w:val="en-US" w:eastAsia="en-US"/>
              </w:rPr>
            </w:pPr>
          </w:p>
        </w:tc>
        <w:tc>
          <w:tcPr>
            <w:tcW w:w="1128" w:type="dxa"/>
            <w:tcBorders>
              <w:left w:val="nil"/>
              <w:bottom w:val="nil"/>
              <w:right w:val="nil"/>
            </w:tcBorders>
            <w:shd w:val="clear" w:color="auto" w:fill="auto"/>
            <w:noWrap/>
            <w:vAlign w:val="bottom"/>
            <w:hideMark/>
          </w:tcPr>
          <w:p w14:paraId="77680324" w14:textId="77777777" w:rsidR="0041348B" w:rsidRPr="0048638A" w:rsidRDefault="0041348B" w:rsidP="005636E1">
            <w:pPr>
              <w:spacing w:line="240" w:lineRule="auto"/>
              <w:contextualSpacing/>
              <w:jc w:val="center"/>
              <w:rPr>
                <w:sz w:val="18"/>
                <w:szCs w:val="18"/>
                <w:lang w:val="en-US" w:eastAsia="en-US"/>
              </w:rPr>
            </w:pPr>
          </w:p>
        </w:tc>
        <w:tc>
          <w:tcPr>
            <w:tcW w:w="731" w:type="dxa"/>
            <w:tcBorders>
              <w:left w:val="nil"/>
              <w:bottom w:val="nil"/>
              <w:right w:val="nil"/>
            </w:tcBorders>
            <w:shd w:val="clear" w:color="auto" w:fill="auto"/>
            <w:noWrap/>
            <w:vAlign w:val="bottom"/>
            <w:hideMark/>
          </w:tcPr>
          <w:p w14:paraId="6C4D6E92" w14:textId="77777777" w:rsidR="0041348B" w:rsidRPr="0048638A" w:rsidRDefault="0041348B" w:rsidP="005636E1">
            <w:pPr>
              <w:spacing w:line="240" w:lineRule="auto"/>
              <w:contextualSpacing/>
              <w:jc w:val="center"/>
              <w:rPr>
                <w:sz w:val="18"/>
                <w:szCs w:val="18"/>
                <w:lang w:val="en-US" w:eastAsia="en-US"/>
              </w:rPr>
            </w:pPr>
          </w:p>
        </w:tc>
        <w:tc>
          <w:tcPr>
            <w:tcW w:w="563" w:type="dxa"/>
            <w:tcBorders>
              <w:left w:val="nil"/>
              <w:bottom w:val="nil"/>
              <w:right w:val="nil"/>
            </w:tcBorders>
            <w:shd w:val="clear" w:color="auto" w:fill="auto"/>
            <w:noWrap/>
            <w:vAlign w:val="bottom"/>
            <w:hideMark/>
          </w:tcPr>
          <w:p w14:paraId="7197B692" w14:textId="77777777" w:rsidR="0041348B" w:rsidRPr="0048638A" w:rsidRDefault="0041348B" w:rsidP="005636E1">
            <w:pPr>
              <w:spacing w:line="240" w:lineRule="auto"/>
              <w:contextualSpacing/>
              <w:jc w:val="center"/>
              <w:rPr>
                <w:sz w:val="18"/>
                <w:szCs w:val="18"/>
                <w:lang w:val="en-US" w:eastAsia="en-US"/>
              </w:rPr>
            </w:pPr>
          </w:p>
        </w:tc>
        <w:tc>
          <w:tcPr>
            <w:tcW w:w="261" w:type="dxa"/>
            <w:tcBorders>
              <w:left w:val="nil"/>
              <w:bottom w:val="nil"/>
              <w:right w:val="nil"/>
            </w:tcBorders>
            <w:shd w:val="clear" w:color="auto" w:fill="auto"/>
            <w:noWrap/>
            <w:vAlign w:val="bottom"/>
            <w:hideMark/>
          </w:tcPr>
          <w:p w14:paraId="6443EFA8" w14:textId="77777777" w:rsidR="0041348B" w:rsidRPr="0048638A" w:rsidRDefault="0041348B" w:rsidP="005636E1">
            <w:pPr>
              <w:spacing w:line="240" w:lineRule="auto"/>
              <w:contextualSpacing/>
              <w:jc w:val="center"/>
              <w:rPr>
                <w:sz w:val="18"/>
                <w:szCs w:val="18"/>
                <w:lang w:val="en-US" w:eastAsia="en-US"/>
              </w:rPr>
            </w:pPr>
          </w:p>
        </w:tc>
        <w:tc>
          <w:tcPr>
            <w:tcW w:w="1128" w:type="dxa"/>
            <w:tcBorders>
              <w:left w:val="nil"/>
              <w:bottom w:val="nil"/>
              <w:right w:val="nil"/>
            </w:tcBorders>
            <w:shd w:val="clear" w:color="auto" w:fill="auto"/>
            <w:noWrap/>
            <w:vAlign w:val="bottom"/>
            <w:hideMark/>
          </w:tcPr>
          <w:p w14:paraId="1D4DDA2C" w14:textId="77777777" w:rsidR="0041348B" w:rsidRPr="0048638A" w:rsidRDefault="0041348B" w:rsidP="005636E1">
            <w:pPr>
              <w:spacing w:line="240" w:lineRule="auto"/>
              <w:contextualSpacing/>
              <w:jc w:val="center"/>
              <w:rPr>
                <w:sz w:val="18"/>
                <w:szCs w:val="18"/>
                <w:lang w:val="en-US" w:eastAsia="en-US"/>
              </w:rPr>
            </w:pPr>
          </w:p>
        </w:tc>
        <w:tc>
          <w:tcPr>
            <w:tcW w:w="731" w:type="dxa"/>
            <w:tcBorders>
              <w:left w:val="nil"/>
              <w:bottom w:val="nil"/>
              <w:right w:val="nil"/>
            </w:tcBorders>
            <w:shd w:val="clear" w:color="auto" w:fill="auto"/>
            <w:noWrap/>
            <w:vAlign w:val="bottom"/>
            <w:hideMark/>
          </w:tcPr>
          <w:p w14:paraId="4EB7912A" w14:textId="77777777" w:rsidR="0041348B" w:rsidRPr="0048638A" w:rsidRDefault="0041348B" w:rsidP="005636E1">
            <w:pPr>
              <w:spacing w:line="240" w:lineRule="auto"/>
              <w:contextualSpacing/>
              <w:jc w:val="center"/>
              <w:rPr>
                <w:sz w:val="18"/>
                <w:szCs w:val="18"/>
                <w:lang w:val="en-US" w:eastAsia="en-US"/>
              </w:rPr>
            </w:pPr>
          </w:p>
        </w:tc>
        <w:tc>
          <w:tcPr>
            <w:tcW w:w="563" w:type="dxa"/>
            <w:tcBorders>
              <w:left w:val="nil"/>
              <w:bottom w:val="nil"/>
              <w:right w:val="nil"/>
            </w:tcBorders>
            <w:shd w:val="clear" w:color="auto" w:fill="auto"/>
            <w:noWrap/>
            <w:vAlign w:val="bottom"/>
            <w:hideMark/>
          </w:tcPr>
          <w:p w14:paraId="7348E786" w14:textId="77777777" w:rsidR="0041348B" w:rsidRPr="0048638A" w:rsidRDefault="0041348B" w:rsidP="005636E1">
            <w:pPr>
              <w:spacing w:line="240" w:lineRule="auto"/>
              <w:contextualSpacing/>
              <w:jc w:val="center"/>
              <w:rPr>
                <w:sz w:val="18"/>
                <w:szCs w:val="18"/>
                <w:lang w:val="en-US" w:eastAsia="en-US"/>
              </w:rPr>
            </w:pPr>
          </w:p>
        </w:tc>
      </w:tr>
      <w:tr w:rsidR="0048638A" w:rsidRPr="0041348B" w14:paraId="45618ECB" w14:textId="77777777" w:rsidTr="0048638A">
        <w:trPr>
          <w:trHeight w:val="288"/>
        </w:trPr>
        <w:tc>
          <w:tcPr>
            <w:tcW w:w="3304" w:type="dxa"/>
            <w:tcBorders>
              <w:top w:val="nil"/>
              <w:left w:val="nil"/>
              <w:bottom w:val="nil"/>
              <w:right w:val="nil"/>
            </w:tcBorders>
            <w:shd w:val="clear" w:color="auto" w:fill="auto"/>
            <w:vAlign w:val="center"/>
            <w:hideMark/>
          </w:tcPr>
          <w:p w14:paraId="0D6F443C"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Male</w:t>
            </w:r>
          </w:p>
        </w:tc>
        <w:tc>
          <w:tcPr>
            <w:tcW w:w="926" w:type="dxa"/>
            <w:tcBorders>
              <w:top w:val="nil"/>
              <w:left w:val="nil"/>
              <w:bottom w:val="nil"/>
              <w:right w:val="nil"/>
            </w:tcBorders>
            <w:shd w:val="clear" w:color="auto" w:fill="auto"/>
            <w:noWrap/>
            <w:vAlign w:val="bottom"/>
            <w:hideMark/>
          </w:tcPr>
          <w:p w14:paraId="00997815"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0.51***</w:t>
            </w:r>
          </w:p>
        </w:tc>
        <w:tc>
          <w:tcPr>
            <w:tcW w:w="1080" w:type="dxa"/>
            <w:tcBorders>
              <w:top w:val="nil"/>
              <w:left w:val="nil"/>
              <w:bottom w:val="nil"/>
              <w:right w:val="nil"/>
            </w:tcBorders>
            <w:shd w:val="clear" w:color="auto" w:fill="auto"/>
            <w:noWrap/>
            <w:vAlign w:val="bottom"/>
            <w:hideMark/>
          </w:tcPr>
          <w:p w14:paraId="1AA07FA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799" w:type="dxa"/>
            <w:tcBorders>
              <w:top w:val="nil"/>
              <w:left w:val="nil"/>
              <w:bottom w:val="nil"/>
              <w:right w:val="nil"/>
            </w:tcBorders>
            <w:shd w:val="clear" w:color="auto" w:fill="auto"/>
            <w:noWrap/>
            <w:vAlign w:val="bottom"/>
            <w:hideMark/>
          </w:tcPr>
          <w:p w14:paraId="1A4D916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1.66</w:t>
            </w:r>
          </w:p>
        </w:tc>
        <w:tc>
          <w:tcPr>
            <w:tcW w:w="308" w:type="dxa"/>
            <w:tcBorders>
              <w:top w:val="nil"/>
              <w:left w:val="nil"/>
              <w:bottom w:val="nil"/>
              <w:right w:val="nil"/>
            </w:tcBorders>
            <w:shd w:val="clear" w:color="auto" w:fill="auto"/>
            <w:noWrap/>
            <w:vAlign w:val="bottom"/>
            <w:hideMark/>
          </w:tcPr>
          <w:p w14:paraId="2CCF945D" w14:textId="77777777" w:rsidR="0041348B" w:rsidRPr="0048638A" w:rsidRDefault="0041348B" w:rsidP="005636E1">
            <w:pPr>
              <w:spacing w:line="240" w:lineRule="auto"/>
              <w:contextualSpacing/>
              <w:jc w:val="center"/>
              <w:rPr>
                <w:color w:val="000000"/>
                <w:sz w:val="18"/>
                <w:szCs w:val="18"/>
                <w:lang w:val="en-US" w:eastAsia="en-US"/>
              </w:rPr>
            </w:pPr>
          </w:p>
        </w:tc>
        <w:tc>
          <w:tcPr>
            <w:tcW w:w="1021" w:type="dxa"/>
            <w:tcBorders>
              <w:top w:val="nil"/>
              <w:left w:val="nil"/>
              <w:bottom w:val="nil"/>
              <w:right w:val="nil"/>
            </w:tcBorders>
            <w:shd w:val="clear" w:color="auto" w:fill="auto"/>
            <w:noWrap/>
            <w:vAlign w:val="bottom"/>
            <w:hideMark/>
          </w:tcPr>
          <w:p w14:paraId="327B8C9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0.51***</w:t>
            </w:r>
          </w:p>
        </w:tc>
        <w:tc>
          <w:tcPr>
            <w:tcW w:w="651" w:type="dxa"/>
            <w:tcBorders>
              <w:top w:val="nil"/>
              <w:left w:val="nil"/>
              <w:bottom w:val="nil"/>
              <w:right w:val="nil"/>
            </w:tcBorders>
            <w:shd w:val="clear" w:color="auto" w:fill="auto"/>
            <w:noWrap/>
            <w:vAlign w:val="bottom"/>
            <w:hideMark/>
          </w:tcPr>
          <w:p w14:paraId="48CE368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nil"/>
              <w:right w:val="nil"/>
            </w:tcBorders>
            <w:shd w:val="clear" w:color="auto" w:fill="auto"/>
            <w:noWrap/>
            <w:vAlign w:val="bottom"/>
            <w:hideMark/>
          </w:tcPr>
          <w:p w14:paraId="2A0F49F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1.66</w:t>
            </w:r>
          </w:p>
        </w:tc>
        <w:tc>
          <w:tcPr>
            <w:tcW w:w="261" w:type="dxa"/>
            <w:tcBorders>
              <w:top w:val="nil"/>
              <w:left w:val="nil"/>
              <w:bottom w:val="nil"/>
              <w:right w:val="nil"/>
            </w:tcBorders>
            <w:shd w:val="clear" w:color="auto" w:fill="auto"/>
            <w:noWrap/>
            <w:vAlign w:val="bottom"/>
            <w:hideMark/>
          </w:tcPr>
          <w:p w14:paraId="2795C4F4"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37B182E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0.52***</w:t>
            </w:r>
          </w:p>
        </w:tc>
        <w:tc>
          <w:tcPr>
            <w:tcW w:w="731" w:type="dxa"/>
            <w:tcBorders>
              <w:top w:val="nil"/>
              <w:left w:val="nil"/>
              <w:bottom w:val="nil"/>
              <w:right w:val="nil"/>
            </w:tcBorders>
            <w:shd w:val="clear" w:color="auto" w:fill="auto"/>
            <w:noWrap/>
            <w:vAlign w:val="bottom"/>
            <w:hideMark/>
          </w:tcPr>
          <w:p w14:paraId="2FF7D5F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nil"/>
              <w:right w:val="nil"/>
            </w:tcBorders>
            <w:shd w:val="clear" w:color="auto" w:fill="auto"/>
            <w:noWrap/>
            <w:vAlign w:val="bottom"/>
            <w:hideMark/>
          </w:tcPr>
          <w:p w14:paraId="51D792A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1.68</w:t>
            </w:r>
          </w:p>
        </w:tc>
        <w:tc>
          <w:tcPr>
            <w:tcW w:w="261" w:type="dxa"/>
            <w:tcBorders>
              <w:top w:val="nil"/>
              <w:left w:val="nil"/>
              <w:bottom w:val="nil"/>
              <w:right w:val="nil"/>
            </w:tcBorders>
            <w:shd w:val="clear" w:color="auto" w:fill="auto"/>
            <w:noWrap/>
            <w:vAlign w:val="bottom"/>
            <w:hideMark/>
          </w:tcPr>
          <w:p w14:paraId="56232162"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1CC49654"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0.50***</w:t>
            </w:r>
          </w:p>
        </w:tc>
        <w:tc>
          <w:tcPr>
            <w:tcW w:w="731" w:type="dxa"/>
            <w:tcBorders>
              <w:top w:val="nil"/>
              <w:left w:val="nil"/>
              <w:bottom w:val="nil"/>
              <w:right w:val="nil"/>
            </w:tcBorders>
            <w:shd w:val="clear" w:color="auto" w:fill="auto"/>
            <w:noWrap/>
            <w:vAlign w:val="bottom"/>
            <w:hideMark/>
          </w:tcPr>
          <w:p w14:paraId="3CC7D34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nil"/>
              <w:right w:val="nil"/>
            </w:tcBorders>
            <w:shd w:val="clear" w:color="auto" w:fill="auto"/>
            <w:noWrap/>
            <w:vAlign w:val="bottom"/>
            <w:hideMark/>
          </w:tcPr>
          <w:p w14:paraId="5902396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1.65</w:t>
            </w:r>
          </w:p>
        </w:tc>
      </w:tr>
      <w:tr w:rsidR="0048638A" w:rsidRPr="0041348B" w14:paraId="4B97F402" w14:textId="77777777" w:rsidTr="0048638A">
        <w:trPr>
          <w:trHeight w:val="288"/>
        </w:trPr>
        <w:tc>
          <w:tcPr>
            <w:tcW w:w="3304" w:type="dxa"/>
            <w:tcBorders>
              <w:top w:val="nil"/>
              <w:left w:val="nil"/>
              <w:bottom w:val="nil"/>
              <w:right w:val="nil"/>
            </w:tcBorders>
            <w:shd w:val="clear" w:color="auto" w:fill="auto"/>
            <w:vAlign w:val="center"/>
            <w:hideMark/>
          </w:tcPr>
          <w:p w14:paraId="4AAFE22E"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Age - 16-18</w:t>
            </w:r>
            <w:r w:rsidRPr="0048638A">
              <w:rPr>
                <w:color w:val="000000"/>
                <w:sz w:val="18"/>
                <w:szCs w:val="18"/>
                <w:vertAlign w:val="superscript"/>
                <w:lang w:val="en-US" w:eastAsia="en-US"/>
              </w:rPr>
              <w:t>a</w:t>
            </w:r>
          </w:p>
        </w:tc>
        <w:tc>
          <w:tcPr>
            <w:tcW w:w="926" w:type="dxa"/>
            <w:tcBorders>
              <w:top w:val="nil"/>
              <w:left w:val="nil"/>
              <w:bottom w:val="nil"/>
              <w:right w:val="nil"/>
            </w:tcBorders>
            <w:shd w:val="clear" w:color="auto" w:fill="auto"/>
            <w:noWrap/>
            <w:vAlign w:val="bottom"/>
            <w:hideMark/>
          </w:tcPr>
          <w:p w14:paraId="5884CFC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0.52***</w:t>
            </w:r>
          </w:p>
        </w:tc>
        <w:tc>
          <w:tcPr>
            <w:tcW w:w="1080" w:type="dxa"/>
            <w:tcBorders>
              <w:top w:val="nil"/>
              <w:left w:val="nil"/>
              <w:bottom w:val="nil"/>
              <w:right w:val="nil"/>
            </w:tcBorders>
            <w:shd w:val="clear" w:color="auto" w:fill="auto"/>
            <w:noWrap/>
            <w:vAlign w:val="bottom"/>
            <w:hideMark/>
          </w:tcPr>
          <w:p w14:paraId="7A241A0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799" w:type="dxa"/>
            <w:tcBorders>
              <w:top w:val="nil"/>
              <w:left w:val="nil"/>
              <w:bottom w:val="nil"/>
              <w:right w:val="nil"/>
            </w:tcBorders>
            <w:shd w:val="clear" w:color="auto" w:fill="auto"/>
            <w:noWrap/>
            <w:vAlign w:val="bottom"/>
            <w:hideMark/>
          </w:tcPr>
          <w:p w14:paraId="5607475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1.69</w:t>
            </w:r>
          </w:p>
        </w:tc>
        <w:tc>
          <w:tcPr>
            <w:tcW w:w="308" w:type="dxa"/>
            <w:tcBorders>
              <w:top w:val="nil"/>
              <w:left w:val="nil"/>
              <w:bottom w:val="nil"/>
              <w:right w:val="nil"/>
            </w:tcBorders>
            <w:shd w:val="clear" w:color="auto" w:fill="auto"/>
            <w:noWrap/>
            <w:vAlign w:val="bottom"/>
            <w:hideMark/>
          </w:tcPr>
          <w:p w14:paraId="7049F6A1" w14:textId="77777777" w:rsidR="0041348B" w:rsidRPr="0048638A" w:rsidRDefault="0041348B" w:rsidP="005636E1">
            <w:pPr>
              <w:spacing w:line="240" w:lineRule="auto"/>
              <w:contextualSpacing/>
              <w:jc w:val="center"/>
              <w:rPr>
                <w:color w:val="000000"/>
                <w:sz w:val="18"/>
                <w:szCs w:val="18"/>
                <w:lang w:val="en-US" w:eastAsia="en-US"/>
              </w:rPr>
            </w:pPr>
          </w:p>
        </w:tc>
        <w:tc>
          <w:tcPr>
            <w:tcW w:w="1021" w:type="dxa"/>
            <w:tcBorders>
              <w:top w:val="nil"/>
              <w:left w:val="nil"/>
              <w:bottom w:val="nil"/>
              <w:right w:val="nil"/>
            </w:tcBorders>
            <w:shd w:val="clear" w:color="auto" w:fill="auto"/>
            <w:noWrap/>
            <w:vAlign w:val="bottom"/>
            <w:hideMark/>
          </w:tcPr>
          <w:p w14:paraId="608766A3"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0.52***</w:t>
            </w:r>
          </w:p>
        </w:tc>
        <w:tc>
          <w:tcPr>
            <w:tcW w:w="651" w:type="dxa"/>
            <w:tcBorders>
              <w:top w:val="nil"/>
              <w:left w:val="nil"/>
              <w:bottom w:val="nil"/>
              <w:right w:val="nil"/>
            </w:tcBorders>
            <w:shd w:val="clear" w:color="auto" w:fill="auto"/>
            <w:noWrap/>
            <w:vAlign w:val="bottom"/>
            <w:hideMark/>
          </w:tcPr>
          <w:p w14:paraId="457967A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3" w:type="dxa"/>
            <w:tcBorders>
              <w:top w:val="nil"/>
              <w:left w:val="nil"/>
              <w:bottom w:val="nil"/>
              <w:right w:val="nil"/>
            </w:tcBorders>
            <w:shd w:val="clear" w:color="auto" w:fill="auto"/>
            <w:noWrap/>
            <w:vAlign w:val="bottom"/>
            <w:hideMark/>
          </w:tcPr>
          <w:p w14:paraId="5D89ABA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1.68</w:t>
            </w:r>
          </w:p>
        </w:tc>
        <w:tc>
          <w:tcPr>
            <w:tcW w:w="261" w:type="dxa"/>
            <w:tcBorders>
              <w:top w:val="nil"/>
              <w:left w:val="nil"/>
              <w:bottom w:val="nil"/>
              <w:right w:val="nil"/>
            </w:tcBorders>
            <w:shd w:val="clear" w:color="auto" w:fill="auto"/>
            <w:noWrap/>
            <w:vAlign w:val="bottom"/>
            <w:hideMark/>
          </w:tcPr>
          <w:p w14:paraId="058C3FC1"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7076872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0.49***</w:t>
            </w:r>
          </w:p>
        </w:tc>
        <w:tc>
          <w:tcPr>
            <w:tcW w:w="731" w:type="dxa"/>
            <w:tcBorders>
              <w:top w:val="nil"/>
              <w:left w:val="nil"/>
              <w:bottom w:val="nil"/>
              <w:right w:val="nil"/>
            </w:tcBorders>
            <w:shd w:val="clear" w:color="auto" w:fill="auto"/>
            <w:noWrap/>
            <w:vAlign w:val="bottom"/>
            <w:hideMark/>
          </w:tcPr>
          <w:p w14:paraId="0E2C04A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3" w:type="dxa"/>
            <w:tcBorders>
              <w:top w:val="nil"/>
              <w:left w:val="nil"/>
              <w:bottom w:val="nil"/>
              <w:right w:val="nil"/>
            </w:tcBorders>
            <w:shd w:val="clear" w:color="auto" w:fill="auto"/>
            <w:noWrap/>
            <w:vAlign w:val="bottom"/>
            <w:hideMark/>
          </w:tcPr>
          <w:p w14:paraId="49BACBD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1.64</w:t>
            </w:r>
          </w:p>
        </w:tc>
        <w:tc>
          <w:tcPr>
            <w:tcW w:w="261" w:type="dxa"/>
            <w:tcBorders>
              <w:top w:val="nil"/>
              <w:left w:val="nil"/>
              <w:bottom w:val="nil"/>
              <w:right w:val="nil"/>
            </w:tcBorders>
            <w:shd w:val="clear" w:color="auto" w:fill="auto"/>
            <w:noWrap/>
            <w:vAlign w:val="bottom"/>
            <w:hideMark/>
          </w:tcPr>
          <w:p w14:paraId="1E2ABCCB"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6899685F"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0.44***</w:t>
            </w:r>
          </w:p>
        </w:tc>
        <w:tc>
          <w:tcPr>
            <w:tcW w:w="731" w:type="dxa"/>
            <w:tcBorders>
              <w:top w:val="nil"/>
              <w:left w:val="nil"/>
              <w:bottom w:val="nil"/>
              <w:right w:val="nil"/>
            </w:tcBorders>
            <w:shd w:val="clear" w:color="auto" w:fill="auto"/>
            <w:noWrap/>
            <w:vAlign w:val="bottom"/>
            <w:hideMark/>
          </w:tcPr>
          <w:p w14:paraId="6046004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3" w:type="dxa"/>
            <w:tcBorders>
              <w:top w:val="nil"/>
              <w:left w:val="nil"/>
              <w:bottom w:val="nil"/>
              <w:right w:val="nil"/>
            </w:tcBorders>
            <w:shd w:val="clear" w:color="auto" w:fill="auto"/>
            <w:noWrap/>
            <w:vAlign w:val="bottom"/>
            <w:hideMark/>
          </w:tcPr>
          <w:p w14:paraId="788619C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1.56</w:t>
            </w:r>
          </w:p>
        </w:tc>
      </w:tr>
      <w:tr w:rsidR="0048638A" w:rsidRPr="0041348B" w14:paraId="088A9EF6" w14:textId="77777777" w:rsidTr="0048638A">
        <w:trPr>
          <w:trHeight w:val="288"/>
        </w:trPr>
        <w:tc>
          <w:tcPr>
            <w:tcW w:w="3304" w:type="dxa"/>
            <w:tcBorders>
              <w:top w:val="nil"/>
              <w:left w:val="nil"/>
              <w:bottom w:val="nil"/>
              <w:right w:val="nil"/>
            </w:tcBorders>
            <w:shd w:val="clear" w:color="auto" w:fill="auto"/>
            <w:vAlign w:val="center"/>
            <w:hideMark/>
          </w:tcPr>
          <w:p w14:paraId="1F78CF5D"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Country context</w:t>
            </w:r>
          </w:p>
        </w:tc>
        <w:tc>
          <w:tcPr>
            <w:tcW w:w="926" w:type="dxa"/>
            <w:tcBorders>
              <w:top w:val="nil"/>
              <w:left w:val="nil"/>
              <w:bottom w:val="nil"/>
              <w:right w:val="nil"/>
            </w:tcBorders>
            <w:shd w:val="clear" w:color="auto" w:fill="auto"/>
            <w:noWrap/>
            <w:vAlign w:val="bottom"/>
            <w:hideMark/>
          </w:tcPr>
          <w:p w14:paraId="78B7E611" w14:textId="77777777" w:rsidR="0041348B" w:rsidRPr="0048638A" w:rsidRDefault="0041348B" w:rsidP="005636E1">
            <w:pPr>
              <w:spacing w:line="240" w:lineRule="auto"/>
              <w:contextualSpacing/>
              <w:rPr>
                <w:i/>
                <w:iCs/>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42021EB9"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6661857B"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464ABD90"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3C571D25"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7505FA7E"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01679CC1"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7EF537A8"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206513EE" w14:textId="77777777" w:rsidR="0041348B" w:rsidRPr="0048638A" w:rsidRDefault="0041348B" w:rsidP="005636E1">
            <w:pPr>
              <w:spacing w:line="240" w:lineRule="auto"/>
              <w:contextualSpacing/>
              <w:jc w:val="center"/>
              <w:rPr>
                <w:sz w:val="18"/>
                <w:szCs w:val="18"/>
                <w:lang w:val="en-US" w:eastAsia="en-US"/>
              </w:rPr>
            </w:pPr>
          </w:p>
        </w:tc>
        <w:tc>
          <w:tcPr>
            <w:tcW w:w="731" w:type="dxa"/>
            <w:tcBorders>
              <w:top w:val="nil"/>
              <w:left w:val="nil"/>
              <w:bottom w:val="nil"/>
              <w:right w:val="nil"/>
            </w:tcBorders>
            <w:shd w:val="clear" w:color="auto" w:fill="auto"/>
            <w:noWrap/>
            <w:vAlign w:val="bottom"/>
            <w:hideMark/>
          </w:tcPr>
          <w:p w14:paraId="60BA660E"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69EA03B2"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519CB0FC"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033E8DEA" w14:textId="77777777" w:rsidR="0041348B" w:rsidRPr="0048638A" w:rsidRDefault="0041348B" w:rsidP="005636E1">
            <w:pPr>
              <w:spacing w:line="240" w:lineRule="auto"/>
              <w:contextualSpacing/>
              <w:jc w:val="center"/>
              <w:rPr>
                <w:sz w:val="18"/>
                <w:szCs w:val="18"/>
                <w:lang w:val="en-US" w:eastAsia="en-US"/>
              </w:rPr>
            </w:pPr>
          </w:p>
        </w:tc>
        <w:tc>
          <w:tcPr>
            <w:tcW w:w="731" w:type="dxa"/>
            <w:tcBorders>
              <w:top w:val="nil"/>
              <w:left w:val="nil"/>
              <w:bottom w:val="nil"/>
              <w:right w:val="nil"/>
            </w:tcBorders>
            <w:shd w:val="clear" w:color="auto" w:fill="auto"/>
            <w:noWrap/>
            <w:vAlign w:val="bottom"/>
            <w:hideMark/>
          </w:tcPr>
          <w:p w14:paraId="11D6FFBC"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001D8BD8" w14:textId="77777777" w:rsidR="0041348B" w:rsidRPr="0048638A" w:rsidRDefault="0041348B" w:rsidP="005636E1">
            <w:pPr>
              <w:spacing w:line="240" w:lineRule="auto"/>
              <w:contextualSpacing/>
              <w:jc w:val="center"/>
              <w:rPr>
                <w:sz w:val="18"/>
                <w:szCs w:val="18"/>
                <w:lang w:val="en-US" w:eastAsia="en-US"/>
              </w:rPr>
            </w:pPr>
          </w:p>
        </w:tc>
      </w:tr>
      <w:tr w:rsidR="0048638A" w:rsidRPr="0041348B" w14:paraId="1B1A1D58" w14:textId="77777777" w:rsidTr="0048638A">
        <w:trPr>
          <w:trHeight w:val="288"/>
        </w:trPr>
        <w:tc>
          <w:tcPr>
            <w:tcW w:w="3304" w:type="dxa"/>
            <w:tcBorders>
              <w:top w:val="nil"/>
              <w:left w:val="nil"/>
              <w:bottom w:val="nil"/>
              <w:right w:val="nil"/>
            </w:tcBorders>
            <w:shd w:val="clear" w:color="auto" w:fill="auto"/>
            <w:vAlign w:val="center"/>
            <w:hideMark/>
          </w:tcPr>
          <w:p w14:paraId="4900ED67"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Income inequality</w:t>
            </w:r>
          </w:p>
        </w:tc>
        <w:tc>
          <w:tcPr>
            <w:tcW w:w="926" w:type="dxa"/>
            <w:tcBorders>
              <w:top w:val="nil"/>
              <w:left w:val="nil"/>
              <w:bottom w:val="nil"/>
              <w:right w:val="nil"/>
            </w:tcBorders>
            <w:shd w:val="clear" w:color="auto" w:fill="auto"/>
            <w:noWrap/>
            <w:vAlign w:val="bottom"/>
            <w:hideMark/>
          </w:tcPr>
          <w:p w14:paraId="43A06CD0"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7C7B4166"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1F88DE18"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60BCF1E5"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4B98BA5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51" w:type="dxa"/>
            <w:tcBorders>
              <w:top w:val="nil"/>
              <w:left w:val="nil"/>
              <w:bottom w:val="nil"/>
              <w:right w:val="nil"/>
            </w:tcBorders>
            <w:shd w:val="clear" w:color="auto" w:fill="auto"/>
            <w:noWrap/>
            <w:vAlign w:val="bottom"/>
            <w:hideMark/>
          </w:tcPr>
          <w:p w14:paraId="3D31F89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nil"/>
              <w:right w:val="nil"/>
            </w:tcBorders>
            <w:shd w:val="clear" w:color="auto" w:fill="auto"/>
            <w:noWrap/>
            <w:vAlign w:val="bottom"/>
            <w:hideMark/>
          </w:tcPr>
          <w:p w14:paraId="4119C5C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0.98</w:t>
            </w:r>
          </w:p>
        </w:tc>
        <w:tc>
          <w:tcPr>
            <w:tcW w:w="261" w:type="dxa"/>
            <w:tcBorders>
              <w:top w:val="nil"/>
              <w:left w:val="nil"/>
              <w:bottom w:val="nil"/>
              <w:right w:val="nil"/>
            </w:tcBorders>
            <w:shd w:val="clear" w:color="auto" w:fill="auto"/>
            <w:noWrap/>
            <w:vAlign w:val="bottom"/>
            <w:hideMark/>
          </w:tcPr>
          <w:p w14:paraId="14C4CA0C"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5C87D9A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-0.01</w:t>
            </w:r>
          </w:p>
        </w:tc>
        <w:tc>
          <w:tcPr>
            <w:tcW w:w="731" w:type="dxa"/>
            <w:tcBorders>
              <w:top w:val="nil"/>
              <w:left w:val="nil"/>
              <w:bottom w:val="nil"/>
              <w:right w:val="nil"/>
            </w:tcBorders>
            <w:shd w:val="clear" w:color="auto" w:fill="auto"/>
            <w:noWrap/>
            <w:vAlign w:val="bottom"/>
            <w:hideMark/>
          </w:tcPr>
          <w:p w14:paraId="62B64E8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nil"/>
              <w:right w:val="nil"/>
            </w:tcBorders>
            <w:shd w:val="clear" w:color="auto" w:fill="auto"/>
            <w:noWrap/>
            <w:vAlign w:val="bottom"/>
            <w:hideMark/>
          </w:tcPr>
          <w:p w14:paraId="06EEC5D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0.99</w:t>
            </w:r>
          </w:p>
        </w:tc>
        <w:tc>
          <w:tcPr>
            <w:tcW w:w="261" w:type="dxa"/>
            <w:tcBorders>
              <w:top w:val="nil"/>
              <w:left w:val="nil"/>
              <w:bottom w:val="nil"/>
              <w:right w:val="nil"/>
            </w:tcBorders>
            <w:shd w:val="clear" w:color="auto" w:fill="auto"/>
            <w:noWrap/>
            <w:vAlign w:val="bottom"/>
            <w:hideMark/>
          </w:tcPr>
          <w:p w14:paraId="1127AEAE"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3A65153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-0.01</w:t>
            </w:r>
          </w:p>
        </w:tc>
        <w:tc>
          <w:tcPr>
            <w:tcW w:w="731" w:type="dxa"/>
            <w:tcBorders>
              <w:top w:val="nil"/>
              <w:left w:val="nil"/>
              <w:bottom w:val="nil"/>
              <w:right w:val="nil"/>
            </w:tcBorders>
            <w:shd w:val="clear" w:color="auto" w:fill="auto"/>
            <w:noWrap/>
            <w:vAlign w:val="bottom"/>
            <w:hideMark/>
          </w:tcPr>
          <w:p w14:paraId="52EAB35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nil"/>
              <w:right w:val="nil"/>
            </w:tcBorders>
            <w:shd w:val="clear" w:color="auto" w:fill="auto"/>
            <w:noWrap/>
            <w:vAlign w:val="bottom"/>
            <w:hideMark/>
          </w:tcPr>
          <w:p w14:paraId="10EE255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0.99</w:t>
            </w:r>
          </w:p>
        </w:tc>
      </w:tr>
      <w:tr w:rsidR="0048638A" w:rsidRPr="0041348B" w14:paraId="6B0DEEC4" w14:textId="77777777" w:rsidTr="0048638A">
        <w:trPr>
          <w:trHeight w:val="288"/>
        </w:trPr>
        <w:tc>
          <w:tcPr>
            <w:tcW w:w="3304" w:type="dxa"/>
            <w:tcBorders>
              <w:top w:val="nil"/>
              <w:left w:val="nil"/>
              <w:bottom w:val="nil"/>
              <w:right w:val="nil"/>
            </w:tcBorders>
            <w:shd w:val="clear" w:color="auto" w:fill="auto"/>
            <w:vAlign w:val="center"/>
            <w:hideMark/>
          </w:tcPr>
          <w:p w14:paraId="53E4840C"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Poverty</w:t>
            </w:r>
          </w:p>
        </w:tc>
        <w:tc>
          <w:tcPr>
            <w:tcW w:w="926" w:type="dxa"/>
            <w:tcBorders>
              <w:top w:val="nil"/>
              <w:left w:val="nil"/>
              <w:bottom w:val="nil"/>
              <w:right w:val="nil"/>
            </w:tcBorders>
            <w:shd w:val="clear" w:color="auto" w:fill="auto"/>
            <w:noWrap/>
            <w:vAlign w:val="bottom"/>
            <w:hideMark/>
          </w:tcPr>
          <w:p w14:paraId="00AA9A5A"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2BF027F1"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373919B3"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249BC281"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0681A23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51" w:type="dxa"/>
            <w:tcBorders>
              <w:top w:val="nil"/>
              <w:left w:val="nil"/>
              <w:bottom w:val="nil"/>
              <w:right w:val="nil"/>
            </w:tcBorders>
            <w:shd w:val="clear" w:color="auto" w:fill="auto"/>
            <w:noWrap/>
            <w:vAlign w:val="bottom"/>
            <w:hideMark/>
          </w:tcPr>
          <w:p w14:paraId="3637BE5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nil"/>
              <w:right w:val="nil"/>
            </w:tcBorders>
            <w:shd w:val="clear" w:color="auto" w:fill="auto"/>
            <w:noWrap/>
            <w:vAlign w:val="bottom"/>
            <w:hideMark/>
          </w:tcPr>
          <w:p w14:paraId="138CE9B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1.04</w:t>
            </w:r>
          </w:p>
        </w:tc>
        <w:tc>
          <w:tcPr>
            <w:tcW w:w="261" w:type="dxa"/>
            <w:tcBorders>
              <w:top w:val="nil"/>
              <w:left w:val="nil"/>
              <w:bottom w:val="nil"/>
              <w:right w:val="nil"/>
            </w:tcBorders>
            <w:shd w:val="clear" w:color="auto" w:fill="auto"/>
            <w:noWrap/>
            <w:vAlign w:val="bottom"/>
            <w:hideMark/>
          </w:tcPr>
          <w:p w14:paraId="1FEEE57A"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2AE6448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731" w:type="dxa"/>
            <w:tcBorders>
              <w:top w:val="nil"/>
              <w:left w:val="nil"/>
              <w:bottom w:val="nil"/>
              <w:right w:val="nil"/>
            </w:tcBorders>
            <w:shd w:val="clear" w:color="auto" w:fill="auto"/>
            <w:noWrap/>
            <w:vAlign w:val="bottom"/>
            <w:hideMark/>
          </w:tcPr>
          <w:p w14:paraId="5EE096C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nil"/>
              <w:right w:val="nil"/>
            </w:tcBorders>
            <w:shd w:val="clear" w:color="auto" w:fill="auto"/>
            <w:noWrap/>
            <w:vAlign w:val="bottom"/>
            <w:hideMark/>
          </w:tcPr>
          <w:p w14:paraId="6905746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1.04</w:t>
            </w:r>
          </w:p>
        </w:tc>
        <w:tc>
          <w:tcPr>
            <w:tcW w:w="261" w:type="dxa"/>
            <w:tcBorders>
              <w:top w:val="nil"/>
              <w:left w:val="nil"/>
              <w:bottom w:val="nil"/>
              <w:right w:val="nil"/>
            </w:tcBorders>
            <w:shd w:val="clear" w:color="auto" w:fill="auto"/>
            <w:noWrap/>
            <w:vAlign w:val="bottom"/>
            <w:hideMark/>
          </w:tcPr>
          <w:p w14:paraId="114ECBDD"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16EFA53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731" w:type="dxa"/>
            <w:tcBorders>
              <w:top w:val="nil"/>
              <w:left w:val="nil"/>
              <w:bottom w:val="nil"/>
              <w:right w:val="nil"/>
            </w:tcBorders>
            <w:shd w:val="clear" w:color="auto" w:fill="auto"/>
            <w:noWrap/>
            <w:vAlign w:val="bottom"/>
            <w:hideMark/>
          </w:tcPr>
          <w:p w14:paraId="02A2173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nil"/>
              <w:right w:val="nil"/>
            </w:tcBorders>
            <w:shd w:val="clear" w:color="auto" w:fill="auto"/>
            <w:noWrap/>
            <w:vAlign w:val="bottom"/>
            <w:hideMark/>
          </w:tcPr>
          <w:p w14:paraId="1F61192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1.03</w:t>
            </w:r>
          </w:p>
        </w:tc>
      </w:tr>
      <w:tr w:rsidR="0048638A" w:rsidRPr="0041348B" w14:paraId="45EE6286" w14:textId="77777777" w:rsidTr="0048638A">
        <w:trPr>
          <w:trHeight w:val="288"/>
        </w:trPr>
        <w:tc>
          <w:tcPr>
            <w:tcW w:w="3304" w:type="dxa"/>
            <w:tcBorders>
              <w:top w:val="nil"/>
              <w:left w:val="nil"/>
              <w:bottom w:val="nil"/>
              <w:right w:val="nil"/>
            </w:tcBorders>
            <w:shd w:val="clear" w:color="auto" w:fill="auto"/>
            <w:vAlign w:val="center"/>
            <w:hideMark/>
          </w:tcPr>
          <w:p w14:paraId="108DB5A4"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Percent migrant</w:t>
            </w:r>
          </w:p>
        </w:tc>
        <w:tc>
          <w:tcPr>
            <w:tcW w:w="926" w:type="dxa"/>
            <w:tcBorders>
              <w:top w:val="nil"/>
              <w:left w:val="nil"/>
              <w:bottom w:val="nil"/>
              <w:right w:val="nil"/>
            </w:tcBorders>
            <w:shd w:val="clear" w:color="auto" w:fill="auto"/>
            <w:noWrap/>
            <w:vAlign w:val="bottom"/>
            <w:hideMark/>
          </w:tcPr>
          <w:p w14:paraId="277DFF5D"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27BA61C3"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34453A8D"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5EE3FC5A"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6B54ED5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51" w:type="dxa"/>
            <w:tcBorders>
              <w:top w:val="nil"/>
              <w:left w:val="nil"/>
              <w:bottom w:val="nil"/>
              <w:right w:val="nil"/>
            </w:tcBorders>
            <w:shd w:val="clear" w:color="auto" w:fill="auto"/>
            <w:noWrap/>
            <w:vAlign w:val="bottom"/>
            <w:hideMark/>
          </w:tcPr>
          <w:p w14:paraId="342160D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563" w:type="dxa"/>
            <w:tcBorders>
              <w:top w:val="nil"/>
              <w:left w:val="nil"/>
              <w:bottom w:val="nil"/>
              <w:right w:val="nil"/>
            </w:tcBorders>
            <w:shd w:val="clear" w:color="auto" w:fill="auto"/>
            <w:noWrap/>
            <w:vAlign w:val="bottom"/>
            <w:hideMark/>
          </w:tcPr>
          <w:p w14:paraId="7F8C1FD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1.02</w:t>
            </w:r>
          </w:p>
        </w:tc>
        <w:tc>
          <w:tcPr>
            <w:tcW w:w="261" w:type="dxa"/>
            <w:tcBorders>
              <w:top w:val="nil"/>
              <w:left w:val="nil"/>
              <w:bottom w:val="nil"/>
              <w:right w:val="nil"/>
            </w:tcBorders>
            <w:shd w:val="clear" w:color="auto" w:fill="auto"/>
            <w:noWrap/>
            <w:vAlign w:val="bottom"/>
            <w:hideMark/>
          </w:tcPr>
          <w:p w14:paraId="3DAE8D37"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6C6C589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731" w:type="dxa"/>
            <w:tcBorders>
              <w:top w:val="nil"/>
              <w:left w:val="nil"/>
              <w:bottom w:val="nil"/>
              <w:right w:val="nil"/>
            </w:tcBorders>
            <w:shd w:val="clear" w:color="auto" w:fill="auto"/>
            <w:noWrap/>
            <w:vAlign w:val="bottom"/>
            <w:hideMark/>
          </w:tcPr>
          <w:p w14:paraId="13904C8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563" w:type="dxa"/>
            <w:tcBorders>
              <w:top w:val="nil"/>
              <w:left w:val="nil"/>
              <w:bottom w:val="nil"/>
              <w:right w:val="nil"/>
            </w:tcBorders>
            <w:shd w:val="clear" w:color="auto" w:fill="auto"/>
            <w:noWrap/>
            <w:vAlign w:val="bottom"/>
            <w:hideMark/>
          </w:tcPr>
          <w:p w14:paraId="21D4108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1.03</w:t>
            </w:r>
          </w:p>
        </w:tc>
        <w:tc>
          <w:tcPr>
            <w:tcW w:w="261" w:type="dxa"/>
            <w:tcBorders>
              <w:top w:val="nil"/>
              <w:left w:val="nil"/>
              <w:bottom w:val="nil"/>
              <w:right w:val="nil"/>
            </w:tcBorders>
            <w:shd w:val="clear" w:color="auto" w:fill="auto"/>
            <w:noWrap/>
            <w:vAlign w:val="bottom"/>
            <w:hideMark/>
          </w:tcPr>
          <w:p w14:paraId="5F8B3487"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7A6B1A4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731" w:type="dxa"/>
            <w:tcBorders>
              <w:top w:val="nil"/>
              <w:left w:val="nil"/>
              <w:bottom w:val="nil"/>
              <w:right w:val="nil"/>
            </w:tcBorders>
            <w:shd w:val="clear" w:color="auto" w:fill="auto"/>
            <w:noWrap/>
            <w:vAlign w:val="bottom"/>
            <w:hideMark/>
          </w:tcPr>
          <w:p w14:paraId="79DCCE1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563" w:type="dxa"/>
            <w:tcBorders>
              <w:top w:val="nil"/>
              <w:left w:val="nil"/>
              <w:bottom w:val="nil"/>
              <w:right w:val="nil"/>
            </w:tcBorders>
            <w:shd w:val="clear" w:color="auto" w:fill="auto"/>
            <w:noWrap/>
            <w:vAlign w:val="bottom"/>
            <w:hideMark/>
          </w:tcPr>
          <w:p w14:paraId="26DB4B8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1.03</w:t>
            </w:r>
          </w:p>
        </w:tc>
      </w:tr>
      <w:tr w:rsidR="0048638A" w:rsidRPr="0041348B" w14:paraId="2DA97FD9" w14:textId="77777777" w:rsidTr="0048638A">
        <w:trPr>
          <w:trHeight w:val="288"/>
        </w:trPr>
        <w:tc>
          <w:tcPr>
            <w:tcW w:w="3304" w:type="dxa"/>
            <w:tcBorders>
              <w:top w:val="nil"/>
              <w:left w:val="nil"/>
              <w:bottom w:val="nil"/>
              <w:right w:val="nil"/>
            </w:tcBorders>
            <w:shd w:val="clear" w:color="auto" w:fill="auto"/>
            <w:vAlign w:val="center"/>
            <w:hideMark/>
          </w:tcPr>
          <w:p w14:paraId="654683A5" w14:textId="64EB350F"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Discrimination</w:t>
            </w:r>
            <w:r w:rsidR="009728DE">
              <w:rPr>
                <w:color w:val="000000"/>
                <w:sz w:val="18"/>
                <w:szCs w:val="18"/>
                <w:lang w:val="en-US" w:eastAsia="en-US"/>
              </w:rPr>
              <w:t xml:space="preserve"> (ln)</w:t>
            </w:r>
          </w:p>
        </w:tc>
        <w:tc>
          <w:tcPr>
            <w:tcW w:w="926" w:type="dxa"/>
            <w:tcBorders>
              <w:top w:val="nil"/>
              <w:left w:val="nil"/>
              <w:bottom w:val="nil"/>
              <w:right w:val="nil"/>
            </w:tcBorders>
            <w:shd w:val="clear" w:color="auto" w:fill="auto"/>
            <w:noWrap/>
            <w:vAlign w:val="bottom"/>
            <w:hideMark/>
          </w:tcPr>
          <w:p w14:paraId="5D355065"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615A0B68"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56747104"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4C20974B"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1959073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0.27</w:t>
            </w:r>
          </w:p>
        </w:tc>
        <w:tc>
          <w:tcPr>
            <w:tcW w:w="651" w:type="dxa"/>
            <w:tcBorders>
              <w:top w:val="nil"/>
              <w:left w:val="nil"/>
              <w:bottom w:val="nil"/>
              <w:right w:val="nil"/>
            </w:tcBorders>
            <w:shd w:val="clear" w:color="auto" w:fill="auto"/>
            <w:noWrap/>
            <w:vAlign w:val="bottom"/>
            <w:hideMark/>
          </w:tcPr>
          <w:p w14:paraId="0776A33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(0.21)</w:t>
            </w:r>
          </w:p>
        </w:tc>
        <w:tc>
          <w:tcPr>
            <w:tcW w:w="563" w:type="dxa"/>
            <w:tcBorders>
              <w:top w:val="nil"/>
              <w:left w:val="nil"/>
              <w:bottom w:val="nil"/>
              <w:right w:val="nil"/>
            </w:tcBorders>
            <w:shd w:val="clear" w:color="auto" w:fill="auto"/>
            <w:noWrap/>
            <w:vAlign w:val="bottom"/>
            <w:hideMark/>
          </w:tcPr>
          <w:p w14:paraId="6D5F835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1.32</w:t>
            </w:r>
          </w:p>
        </w:tc>
        <w:tc>
          <w:tcPr>
            <w:tcW w:w="261" w:type="dxa"/>
            <w:tcBorders>
              <w:top w:val="nil"/>
              <w:left w:val="nil"/>
              <w:bottom w:val="nil"/>
              <w:right w:val="nil"/>
            </w:tcBorders>
            <w:shd w:val="clear" w:color="auto" w:fill="auto"/>
            <w:noWrap/>
            <w:vAlign w:val="bottom"/>
            <w:hideMark/>
          </w:tcPr>
          <w:p w14:paraId="043D7F37"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46460AD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0.25</w:t>
            </w:r>
          </w:p>
        </w:tc>
        <w:tc>
          <w:tcPr>
            <w:tcW w:w="731" w:type="dxa"/>
            <w:tcBorders>
              <w:top w:val="nil"/>
              <w:left w:val="nil"/>
              <w:bottom w:val="nil"/>
              <w:right w:val="nil"/>
            </w:tcBorders>
            <w:shd w:val="clear" w:color="auto" w:fill="auto"/>
            <w:noWrap/>
            <w:vAlign w:val="bottom"/>
            <w:hideMark/>
          </w:tcPr>
          <w:p w14:paraId="081BAEB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(0.21)</w:t>
            </w:r>
          </w:p>
        </w:tc>
        <w:tc>
          <w:tcPr>
            <w:tcW w:w="563" w:type="dxa"/>
            <w:tcBorders>
              <w:top w:val="nil"/>
              <w:left w:val="nil"/>
              <w:bottom w:val="nil"/>
              <w:right w:val="nil"/>
            </w:tcBorders>
            <w:shd w:val="clear" w:color="auto" w:fill="auto"/>
            <w:noWrap/>
            <w:vAlign w:val="bottom"/>
            <w:hideMark/>
          </w:tcPr>
          <w:p w14:paraId="290B0BB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1.29</w:t>
            </w:r>
          </w:p>
        </w:tc>
        <w:tc>
          <w:tcPr>
            <w:tcW w:w="261" w:type="dxa"/>
            <w:tcBorders>
              <w:top w:val="nil"/>
              <w:left w:val="nil"/>
              <w:bottom w:val="nil"/>
              <w:right w:val="nil"/>
            </w:tcBorders>
            <w:shd w:val="clear" w:color="auto" w:fill="auto"/>
            <w:noWrap/>
            <w:vAlign w:val="bottom"/>
            <w:hideMark/>
          </w:tcPr>
          <w:p w14:paraId="27CDEFEF"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227A65F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0.29</w:t>
            </w:r>
          </w:p>
        </w:tc>
        <w:tc>
          <w:tcPr>
            <w:tcW w:w="731" w:type="dxa"/>
            <w:tcBorders>
              <w:top w:val="nil"/>
              <w:left w:val="nil"/>
              <w:bottom w:val="nil"/>
              <w:right w:val="nil"/>
            </w:tcBorders>
            <w:shd w:val="clear" w:color="auto" w:fill="auto"/>
            <w:noWrap/>
            <w:vAlign w:val="bottom"/>
            <w:hideMark/>
          </w:tcPr>
          <w:p w14:paraId="4CA75D4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(0.21)</w:t>
            </w:r>
          </w:p>
        </w:tc>
        <w:tc>
          <w:tcPr>
            <w:tcW w:w="563" w:type="dxa"/>
            <w:tcBorders>
              <w:top w:val="nil"/>
              <w:left w:val="nil"/>
              <w:bottom w:val="nil"/>
              <w:right w:val="nil"/>
            </w:tcBorders>
            <w:shd w:val="clear" w:color="auto" w:fill="auto"/>
            <w:noWrap/>
            <w:vAlign w:val="bottom"/>
            <w:hideMark/>
          </w:tcPr>
          <w:p w14:paraId="4BB303E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1.34</w:t>
            </w:r>
          </w:p>
        </w:tc>
      </w:tr>
      <w:tr w:rsidR="0048638A" w:rsidRPr="0041348B" w14:paraId="565C58DD" w14:textId="77777777" w:rsidTr="0048638A">
        <w:trPr>
          <w:trHeight w:val="288"/>
        </w:trPr>
        <w:tc>
          <w:tcPr>
            <w:tcW w:w="3304" w:type="dxa"/>
            <w:tcBorders>
              <w:top w:val="nil"/>
              <w:left w:val="nil"/>
              <w:bottom w:val="nil"/>
              <w:right w:val="nil"/>
            </w:tcBorders>
            <w:shd w:val="clear" w:color="auto" w:fill="auto"/>
            <w:vAlign w:val="center"/>
            <w:hideMark/>
          </w:tcPr>
          <w:p w14:paraId="5A9A73E2"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Crime victimization</w:t>
            </w:r>
          </w:p>
        </w:tc>
        <w:tc>
          <w:tcPr>
            <w:tcW w:w="926" w:type="dxa"/>
            <w:tcBorders>
              <w:top w:val="nil"/>
              <w:left w:val="nil"/>
              <w:bottom w:val="nil"/>
              <w:right w:val="nil"/>
            </w:tcBorders>
            <w:shd w:val="clear" w:color="auto" w:fill="auto"/>
            <w:noWrap/>
            <w:vAlign w:val="bottom"/>
            <w:hideMark/>
          </w:tcPr>
          <w:p w14:paraId="725C8CF3"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63983D09"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626A7EB9"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2A8C7419"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694EA45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0.46</w:t>
            </w:r>
          </w:p>
        </w:tc>
        <w:tc>
          <w:tcPr>
            <w:tcW w:w="651" w:type="dxa"/>
            <w:tcBorders>
              <w:top w:val="nil"/>
              <w:left w:val="nil"/>
              <w:bottom w:val="nil"/>
              <w:right w:val="nil"/>
            </w:tcBorders>
            <w:shd w:val="clear" w:color="auto" w:fill="auto"/>
            <w:noWrap/>
            <w:vAlign w:val="bottom"/>
            <w:hideMark/>
          </w:tcPr>
          <w:p w14:paraId="0903A5D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(2.08)</w:t>
            </w:r>
          </w:p>
        </w:tc>
        <w:tc>
          <w:tcPr>
            <w:tcW w:w="563" w:type="dxa"/>
            <w:tcBorders>
              <w:top w:val="nil"/>
              <w:left w:val="nil"/>
              <w:bottom w:val="nil"/>
              <w:right w:val="nil"/>
            </w:tcBorders>
            <w:shd w:val="clear" w:color="auto" w:fill="auto"/>
            <w:noWrap/>
            <w:vAlign w:val="bottom"/>
            <w:hideMark/>
          </w:tcPr>
          <w:p w14:paraId="6BFD720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1.59</w:t>
            </w:r>
          </w:p>
        </w:tc>
        <w:tc>
          <w:tcPr>
            <w:tcW w:w="261" w:type="dxa"/>
            <w:tcBorders>
              <w:top w:val="nil"/>
              <w:left w:val="nil"/>
              <w:bottom w:val="nil"/>
              <w:right w:val="nil"/>
            </w:tcBorders>
            <w:shd w:val="clear" w:color="auto" w:fill="auto"/>
            <w:noWrap/>
            <w:vAlign w:val="bottom"/>
            <w:hideMark/>
          </w:tcPr>
          <w:p w14:paraId="750C89B3"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7D0B8E5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-0.16</w:t>
            </w:r>
          </w:p>
        </w:tc>
        <w:tc>
          <w:tcPr>
            <w:tcW w:w="731" w:type="dxa"/>
            <w:tcBorders>
              <w:top w:val="nil"/>
              <w:left w:val="nil"/>
              <w:bottom w:val="nil"/>
              <w:right w:val="nil"/>
            </w:tcBorders>
            <w:shd w:val="clear" w:color="auto" w:fill="auto"/>
            <w:noWrap/>
            <w:vAlign w:val="bottom"/>
            <w:hideMark/>
          </w:tcPr>
          <w:p w14:paraId="3F60724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(2.12)</w:t>
            </w:r>
          </w:p>
        </w:tc>
        <w:tc>
          <w:tcPr>
            <w:tcW w:w="563" w:type="dxa"/>
            <w:tcBorders>
              <w:top w:val="nil"/>
              <w:left w:val="nil"/>
              <w:bottom w:val="nil"/>
              <w:right w:val="nil"/>
            </w:tcBorders>
            <w:shd w:val="clear" w:color="auto" w:fill="auto"/>
            <w:noWrap/>
            <w:vAlign w:val="bottom"/>
            <w:hideMark/>
          </w:tcPr>
          <w:p w14:paraId="720BE89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0.85</w:t>
            </w:r>
          </w:p>
        </w:tc>
        <w:tc>
          <w:tcPr>
            <w:tcW w:w="261" w:type="dxa"/>
            <w:tcBorders>
              <w:top w:val="nil"/>
              <w:left w:val="nil"/>
              <w:bottom w:val="nil"/>
              <w:right w:val="nil"/>
            </w:tcBorders>
            <w:shd w:val="clear" w:color="auto" w:fill="auto"/>
            <w:noWrap/>
            <w:vAlign w:val="bottom"/>
            <w:hideMark/>
          </w:tcPr>
          <w:p w14:paraId="4DE63BC0"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148F016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0.46</w:t>
            </w:r>
          </w:p>
        </w:tc>
        <w:tc>
          <w:tcPr>
            <w:tcW w:w="731" w:type="dxa"/>
            <w:tcBorders>
              <w:top w:val="nil"/>
              <w:left w:val="nil"/>
              <w:bottom w:val="nil"/>
              <w:right w:val="nil"/>
            </w:tcBorders>
            <w:shd w:val="clear" w:color="auto" w:fill="auto"/>
            <w:noWrap/>
            <w:vAlign w:val="bottom"/>
            <w:hideMark/>
          </w:tcPr>
          <w:p w14:paraId="4D359F4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(2.05)</w:t>
            </w:r>
          </w:p>
        </w:tc>
        <w:tc>
          <w:tcPr>
            <w:tcW w:w="563" w:type="dxa"/>
            <w:tcBorders>
              <w:top w:val="nil"/>
              <w:left w:val="nil"/>
              <w:bottom w:val="nil"/>
              <w:right w:val="nil"/>
            </w:tcBorders>
            <w:shd w:val="clear" w:color="auto" w:fill="auto"/>
            <w:noWrap/>
            <w:vAlign w:val="bottom"/>
            <w:hideMark/>
          </w:tcPr>
          <w:p w14:paraId="1D2CAFA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1.58</w:t>
            </w:r>
          </w:p>
        </w:tc>
      </w:tr>
      <w:tr w:rsidR="0048638A" w:rsidRPr="0041348B" w14:paraId="2B0168E5" w14:textId="77777777" w:rsidTr="0048638A">
        <w:trPr>
          <w:trHeight w:val="288"/>
        </w:trPr>
        <w:tc>
          <w:tcPr>
            <w:tcW w:w="3304" w:type="dxa"/>
            <w:tcBorders>
              <w:top w:val="nil"/>
              <w:left w:val="nil"/>
              <w:bottom w:val="nil"/>
              <w:right w:val="nil"/>
            </w:tcBorders>
            <w:shd w:val="clear" w:color="auto" w:fill="auto"/>
            <w:vAlign w:val="center"/>
            <w:hideMark/>
          </w:tcPr>
          <w:p w14:paraId="2FC9E809"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Worry about victimization</w:t>
            </w:r>
          </w:p>
        </w:tc>
        <w:tc>
          <w:tcPr>
            <w:tcW w:w="926" w:type="dxa"/>
            <w:tcBorders>
              <w:top w:val="nil"/>
              <w:left w:val="nil"/>
              <w:bottom w:val="nil"/>
              <w:right w:val="nil"/>
            </w:tcBorders>
            <w:shd w:val="clear" w:color="auto" w:fill="auto"/>
            <w:noWrap/>
            <w:vAlign w:val="bottom"/>
            <w:hideMark/>
          </w:tcPr>
          <w:p w14:paraId="6FD75B43"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33D509CF"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0EE61668"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2BF63CD8"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2088F2A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-0.19</w:t>
            </w:r>
          </w:p>
        </w:tc>
        <w:tc>
          <w:tcPr>
            <w:tcW w:w="651" w:type="dxa"/>
            <w:tcBorders>
              <w:top w:val="nil"/>
              <w:left w:val="nil"/>
              <w:bottom w:val="nil"/>
              <w:right w:val="nil"/>
            </w:tcBorders>
            <w:shd w:val="clear" w:color="auto" w:fill="auto"/>
            <w:noWrap/>
            <w:vAlign w:val="bottom"/>
            <w:hideMark/>
          </w:tcPr>
          <w:p w14:paraId="40D0BAE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(0.31)</w:t>
            </w:r>
          </w:p>
        </w:tc>
        <w:tc>
          <w:tcPr>
            <w:tcW w:w="563" w:type="dxa"/>
            <w:tcBorders>
              <w:top w:val="nil"/>
              <w:left w:val="nil"/>
              <w:bottom w:val="nil"/>
              <w:right w:val="nil"/>
            </w:tcBorders>
            <w:shd w:val="clear" w:color="auto" w:fill="auto"/>
            <w:noWrap/>
            <w:vAlign w:val="bottom"/>
            <w:hideMark/>
          </w:tcPr>
          <w:p w14:paraId="229EA3B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0.83</w:t>
            </w:r>
          </w:p>
        </w:tc>
        <w:tc>
          <w:tcPr>
            <w:tcW w:w="261" w:type="dxa"/>
            <w:tcBorders>
              <w:top w:val="nil"/>
              <w:left w:val="nil"/>
              <w:bottom w:val="nil"/>
              <w:right w:val="nil"/>
            </w:tcBorders>
            <w:shd w:val="clear" w:color="auto" w:fill="auto"/>
            <w:noWrap/>
            <w:vAlign w:val="bottom"/>
            <w:hideMark/>
          </w:tcPr>
          <w:p w14:paraId="3AFB194A"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4E06111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-0.13</w:t>
            </w:r>
          </w:p>
        </w:tc>
        <w:tc>
          <w:tcPr>
            <w:tcW w:w="731" w:type="dxa"/>
            <w:tcBorders>
              <w:top w:val="nil"/>
              <w:left w:val="nil"/>
              <w:bottom w:val="nil"/>
              <w:right w:val="nil"/>
            </w:tcBorders>
            <w:shd w:val="clear" w:color="auto" w:fill="auto"/>
            <w:noWrap/>
            <w:vAlign w:val="bottom"/>
            <w:hideMark/>
          </w:tcPr>
          <w:p w14:paraId="59CB483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(0.32)</w:t>
            </w:r>
          </w:p>
        </w:tc>
        <w:tc>
          <w:tcPr>
            <w:tcW w:w="563" w:type="dxa"/>
            <w:tcBorders>
              <w:top w:val="nil"/>
              <w:left w:val="nil"/>
              <w:bottom w:val="nil"/>
              <w:right w:val="nil"/>
            </w:tcBorders>
            <w:shd w:val="clear" w:color="auto" w:fill="auto"/>
            <w:noWrap/>
            <w:vAlign w:val="bottom"/>
            <w:hideMark/>
          </w:tcPr>
          <w:p w14:paraId="669E7F8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0.88</w:t>
            </w:r>
          </w:p>
        </w:tc>
        <w:tc>
          <w:tcPr>
            <w:tcW w:w="261" w:type="dxa"/>
            <w:tcBorders>
              <w:top w:val="nil"/>
              <w:left w:val="nil"/>
              <w:bottom w:val="nil"/>
              <w:right w:val="nil"/>
            </w:tcBorders>
            <w:shd w:val="clear" w:color="auto" w:fill="auto"/>
            <w:noWrap/>
            <w:vAlign w:val="bottom"/>
            <w:hideMark/>
          </w:tcPr>
          <w:p w14:paraId="698E7F08"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1AAC49D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-0.33</w:t>
            </w:r>
          </w:p>
        </w:tc>
        <w:tc>
          <w:tcPr>
            <w:tcW w:w="731" w:type="dxa"/>
            <w:tcBorders>
              <w:top w:val="nil"/>
              <w:left w:val="nil"/>
              <w:bottom w:val="nil"/>
              <w:right w:val="nil"/>
            </w:tcBorders>
            <w:shd w:val="clear" w:color="auto" w:fill="auto"/>
            <w:noWrap/>
            <w:vAlign w:val="bottom"/>
            <w:hideMark/>
          </w:tcPr>
          <w:p w14:paraId="5E98D70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(0.31)</w:t>
            </w:r>
          </w:p>
        </w:tc>
        <w:tc>
          <w:tcPr>
            <w:tcW w:w="563" w:type="dxa"/>
            <w:tcBorders>
              <w:top w:val="nil"/>
              <w:left w:val="nil"/>
              <w:bottom w:val="nil"/>
              <w:right w:val="nil"/>
            </w:tcBorders>
            <w:shd w:val="clear" w:color="auto" w:fill="auto"/>
            <w:noWrap/>
            <w:vAlign w:val="bottom"/>
            <w:hideMark/>
          </w:tcPr>
          <w:p w14:paraId="287EFEC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0.72</w:t>
            </w:r>
          </w:p>
        </w:tc>
      </w:tr>
      <w:tr w:rsidR="0048638A" w:rsidRPr="0041348B" w14:paraId="0C34CB1B" w14:textId="77777777" w:rsidTr="0048638A">
        <w:trPr>
          <w:trHeight w:val="288"/>
        </w:trPr>
        <w:tc>
          <w:tcPr>
            <w:tcW w:w="3304" w:type="dxa"/>
            <w:tcBorders>
              <w:top w:val="nil"/>
              <w:left w:val="nil"/>
              <w:bottom w:val="nil"/>
              <w:right w:val="nil"/>
            </w:tcBorders>
            <w:shd w:val="clear" w:color="auto" w:fill="auto"/>
            <w:vAlign w:val="center"/>
            <w:hideMark/>
          </w:tcPr>
          <w:p w14:paraId="7021E70A"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Attitudes towards immigration</w:t>
            </w:r>
          </w:p>
        </w:tc>
        <w:tc>
          <w:tcPr>
            <w:tcW w:w="926" w:type="dxa"/>
            <w:tcBorders>
              <w:top w:val="nil"/>
              <w:left w:val="nil"/>
              <w:bottom w:val="nil"/>
              <w:right w:val="nil"/>
            </w:tcBorders>
            <w:shd w:val="clear" w:color="auto" w:fill="auto"/>
            <w:noWrap/>
            <w:vAlign w:val="bottom"/>
            <w:hideMark/>
          </w:tcPr>
          <w:p w14:paraId="5FA96045"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7FDF17CC"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2CA0DA0E"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31DA291F"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1968628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0.09*</w:t>
            </w:r>
          </w:p>
        </w:tc>
        <w:tc>
          <w:tcPr>
            <w:tcW w:w="651" w:type="dxa"/>
            <w:tcBorders>
              <w:top w:val="nil"/>
              <w:left w:val="nil"/>
              <w:bottom w:val="nil"/>
              <w:right w:val="nil"/>
            </w:tcBorders>
            <w:shd w:val="clear" w:color="auto" w:fill="auto"/>
            <w:noWrap/>
            <w:vAlign w:val="bottom"/>
            <w:hideMark/>
          </w:tcPr>
          <w:p w14:paraId="5498ADD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0051A79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1.10</w:t>
            </w:r>
          </w:p>
        </w:tc>
        <w:tc>
          <w:tcPr>
            <w:tcW w:w="261" w:type="dxa"/>
            <w:tcBorders>
              <w:top w:val="nil"/>
              <w:left w:val="nil"/>
              <w:bottom w:val="nil"/>
              <w:right w:val="nil"/>
            </w:tcBorders>
            <w:shd w:val="clear" w:color="auto" w:fill="auto"/>
            <w:noWrap/>
            <w:vAlign w:val="bottom"/>
            <w:hideMark/>
          </w:tcPr>
          <w:p w14:paraId="5796EBD9"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53E2D32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0.09*</w:t>
            </w:r>
          </w:p>
        </w:tc>
        <w:tc>
          <w:tcPr>
            <w:tcW w:w="731" w:type="dxa"/>
            <w:tcBorders>
              <w:top w:val="nil"/>
              <w:left w:val="nil"/>
              <w:bottom w:val="nil"/>
              <w:right w:val="nil"/>
            </w:tcBorders>
            <w:shd w:val="clear" w:color="auto" w:fill="auto"/>
            <w:noWrap/>
            <w:vAlign w:val="bottom"/>
            <w:hideMark/>
          </w:tcPr>
          <w:p w14:paraId="3FCC4A6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1B5012B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1.10</w:t>
            </w:r>
          </w:p>
        </w:tc>
        <w:tc>
          <w:tcPr>
            <w:tcW w:w="261" w:type="dxa"/>
            <w:tcBorders>
              <w:top w:val="nil"/>
              <w:left w:val="nil"/>
              <w:bottom w:val="nil"/>
              <w:right w:val="nil"/>
            </w:tcBorders>
            <w:shd w:val="clear" w:color="auto" w:fill="auto"/>
            <w:noWrap/>
            <w:vAlign w:val="bottom"/>
            <w:hideMark/>
          </w:tcPr>
          <w:p w14:paraId="69EAA529"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69CEF5F3"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0.09*</w:t>
            </w:r>
          </w:p>
        </w:tc>
        <w:tc>
          <w:tcPr>
            <w:tcW w:w="731" w:type="dxa"/>
            <w:tcBorders>
              <w:top w:val="nil"/>
              <w:left w:val="nil"/>
              <w:bottom w:val="nil"/>
              <w:right w:val="nil"/>
            </w:tcBorders>
            <w:shd w:val="clear" w:color="auto" w:fill="auto"/>
            <w:noWrap/>
            <w:vAlign w:val="bottom"/>
            <w:hideMark/>
          </w:tcPr>
          <w:p w14:paraId="43BE663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7A64E86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1.10</w:t>
            </w:r>
          </w:p>
        </w:tc>
      </w:tr>
      <w:tr w:rsidR="0048638A" w:rsidRPr="0041348B" w14:paraId="1C16A7A2" w14:textId="77777777" w:rsidTr="0048638A">
        <w:trPr>
          <w:trHeight w:val="288"/>
        </w:trPr>
        <w:tc>
          <w:tcPr>
            <w:tcW w:w="3304" w:type="dxa"/>
            <w:tcBorders>
              <w:top w:val="nil"/>
              <w:left w:val="nil"/>
              <w:bottom w:val="nil"/>
              <w:right w:val="nil"/>
            </w:tcBorders>
            <w:shd w:val="clear" w:color="auto" w:fill="auto"/>
            <w:noWrap/>
            <w:vAlign w:val="center"/>
            <w:hideMark/>
          </w:tcPr>
          <w:p w14:paraId="60607EE2"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Economic marginalization</w:t>
            </w:r>
          </w:p>
        </w:tc>
        <w:tc>
          <w:tcPr>
            <w:tcW w:w="926" w:type="dxa"/>
            <w:tcBorders>
              <w:top w:val="nil"/>
              <w:left w:val="nil"/>
              <w:bottom w:val="nil"/>
              <w:right w:val="nil"/>
            </w:tcBorders>
            <w:shd w:val="clear" w:color="auto" w:fill="auto"/>
            <w:noWrap/>
            <w:vAlign w:val="bottom"/>
            <w:hideMark/>
          </w:tcPr>
          <w:p w14:paraId="70F08727" w14:textId="77777777" w:rsidR="0041348B" w:rsidRPr="0048638A" w:rsidRDefault="0041348B" w:rsidP="005636E1">
            <w:pPr>
              <w:spacing w:line="240" w:lineRule="auto"/>
              <w:contextualSpacing/>
              <w:rPr>
                <w:i/>
                <w:iCs/>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567DE851"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37463CB9"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1C94621F"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0384FBBC"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1FB9FED1"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3D714F26"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3EF639A0"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070D7A48" w14:textId="77777777" w:rsidR="0041348B" w:rsidRPr="0048638A" w:rsidRDefault="0041348B" w:rsidP="005636E1">
            <w:pPr>
              <w:spacing w:line="240" w:lineRule="auto"/>
              <w:contextualSpacing/>
              <w:jc w:val="center"/>
              <w:rPr>
                <w:sz w:val="18"/>
                <w:szCs w:val="18"/>
                <w:lang w:val="en-US" w:eastAsia="en-US"/>
              </w:rPr>
            </w:pPr>
          </w:p>
        </w:tc>
        <w:tc>
          <w:tcPr>
            <w:tcW w:w="731" w:type="dxa"/>
            <w:tcBorders>
              <w:top w:val="nil"/>
              <w:left w:val="nil"/>
              <w:bottom w:val="nil"/>
              <w:right w:val="nil"/>
            </w:tcBorders>
            <w:shd w:val="clear" w:color="auto" w:fill="auto"/>
            <w:noWrap/>
            <w:vAlign w:val="bottom"/>
            <w:hideMark/>
          </w:tcPr>
          <w:p w14:paraId="2B18D6C0"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72F35F3C"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7D9978AE"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03B79D08" w14:textId="77777777" w:rsidR="0041348B" w:rsidRPr="0048638A" w:rsidRDefault="0041348B" w:rsidP="005636E1">
            <w:pPr>
              <w:spacing w:line="240" w:lineRule="auto"/>
              <w:contextualSpacing/>
              <w:jc w:val="center"/>
              <w:rPr>
                <w:sz w:val="18"/>
                <w:szCs w:val="18"/>
                <w:lang w:val="en-US" w:eastAsia="en-US"/>
              </w:rPr>
            </w:pPr>
          </w:p>
        </w:tc>
        <w:tc>
          <w:tcPr>
            <w:tcW w:w="731" w:type="dxa"/>
            <w:tcBorders>
              <w:top w:val="nil"/>
              <w:left w:val="nil"/>
              <w:bottom w:val="nil"/>
              <w:right w:val="nil"/>
            </w:tcBorders>
            <w:shd w:val="clear" w:color="auto" w:fill="auto"/>
            <w:noWrap/>
            <w:vAlign w:val="bottom"/>
            <w:hideMark/>
          </w:tcPr>
          <w:p w14:paraId="360FEC16"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1BE0D9F7" w14:textId="77777777" w:rsidR="0041348B" w:rsidRPr="0048638A" w:rsidRDefault="0041348B" w:rsidP="005636E1">
            <w:pPr>
              <w:spacing w:line="240" w:lineRule="auto"/>
              <w:contextualSpacing/>
              <w:jc w:val="center"/>
              <w:rPr>
                <w:sz w:val="18"/>
                <w:szCs w:val="18"/>
                <w:lang w:val="en-US" w:eastAsia="en-US"/>
              </w:rPr>
            </w:pPr>
          </w:p>
        </w:tc>
      </w:tr>
      <w:tr w:rsidR="0048638A" w:rsidRPr="0041348B" w14:paraId="0E935400" w14:textId="77777777" w:rsidTr="0048638A">
        <w:trPr>
          <w:trHeight w:val="288"/>
        </w:trPr>
        <w:tc>
          <w:tcPr>
            <w:tcW w:w="3304" w:type="dxa"/>
            <w:tcBorders>
              <w:top w:val="nil"/>
              <w:left w:val="nil"/>
              <w:bottom w:val="nil"/>
              <w:right w:val="nil"/>
            </w:tcBorders>
            <w:shd w:val="clear" w:color="auto" w:fill="auto"/>
            <w:vAlign w:val="center"/>
            <w:hideMark/>
          </w:tcPr>
          <w:p w14:paraId="2C29AF98"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Parental employ. - one </w:t>
            </w:r>
            <w:proofErr w:type="spellStart"/>
            <w:r w:rsidRPr="0048638A">
              <w:rPr>
                <w:color w:val="000000"/>
                <w:sz w:val="18"/>
                <w:szCs w:val="18"/>
                <w:lang w:val="en-US" w:eastAsia="en-US"/>
              </w:rPr>
              <w:t>parent</w:t>
            </w:r>
            <w:r w:rsidRPr="0048638A">
              <w:rPr>
                <w:color w:val="000000"/>
                <w:sz w:val="18"/>
                <w:szCs w:val="18"/>
                <w:vertAlign w:val="superscript"/>
                <w:lang w:val="en-US" w:eastAsia="en-US"/>
              </w:rPr>
              <w:t>b</w:t>
            </w:r>
            <w:proofErr w:type="spellEnd"/>
          </w:p>
        </w:tc>
        <w:tc>
          <w:tcPr>
            <w:tcW w:w="926" w:type="dxa"/>
            <w:tcBorders>
              <w:top w:val="nil"/>
              <w:left w:val="nil"/>
              <w:bottom w:val="nil"/>
              <w:right w:val="nil"/>
            </w:tcBorders>
            <w:shd w:val="clear" w:color="auto" w:fill="auto"/>
            <w:noWrap/>
            <w:vAlign w:val="bottom"/>
            <w:hideMark/>
          </w:tcPr>
          <w:p w14:paraId="56422778"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42F10AD9"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343A0205"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306C55D4"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472581F4"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04F7429D"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1CC333C4"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7A5988F"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76DA5BD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731" w:type="dxa"/>
            <w:tcBorders>
              <w:top w:val="nil"/>
              <w:left w:val="nil"/>
              <w:bottom w:val="nil"/>
              <w:right w:val="nil"/>
            </w:tcBorders>
            <w:shd w:val="clear" w:color="auto" w:fill="auto"/>
            <w:noWrap/>
            <w:vAlign w:val="bottom"/>
            <w:hideMark/>
          </w:tcPr>
          <w:p w14:paraId="3201782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563" w:type="dxa"/>
            <w:tcBorders>
              <w:top w:val="nil"/>
              <w:left w:val="nil"/>
              <w:bottom w:val="nil"/>
              <w:right w:val="nil"/>
            </w:tcBorders>
            <w:shd w:val="clear" w:color="auto" w:fill="auto"/>
            <w:noWrap/>
            <w:vAlign w:val="bottom"/>
            <w:hideMark/>
          </w:tcPr>
          <w:p w14:paraId="7D6A791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0.94</w:t>
            </w:r>
          </w:p>
        </w:tc>
        <w:tc>
          <w:tcPr>
            <w:tcW w:w="261" w:type="dxa"/>
            <w:tcBorders>
              <w:top w:val="nil"/>
              <w:left w:val="nil"/>
              <w:bottom w:val="nil"/>
              <w:right w:val="nil"/>
            </w:tcBorders>
            <w:shd w:val="clear" w:color="auto" w:fill="auto"/>
            <w:noWrap/>
            <w:vAlign w:val="bottom"/>
            <w:hideMark/>
          </w:tcPr>
          <w:p w14:paraId="78B4E8F5"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4F59EB6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731" w:type="dxa"/>
            <w:tcBorders>
              <w:top w:val="nil"/>
              <w:left w:val="nil"/>
              <w:bottom w:val="nil"/>
              <w:right w:val="nil"/>
            </w:tcBorders>
            <w:shd w:val="clear" w:color="auto" w:fill="auto"/>
            <w:noWrap/>
            <w:vAlign w:val="bottom"/>
            <w:hideMark/>
          </w:tcPr>
          <w:p w14:paraId="47A9882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563" w:type="dxa"/>
            <w:tcBorders>
              <w:top w:val="nil"/>
              <w:left w:val="nil"/>
              <w:bottom w:val="nil"/>
              <w:right w:val="nil"/>
            </w:tcBorders>
            <w:shd w:val="clear" w:color="auto" w:fill="auto"/>
            <w:noWrap/>
            <w:vAlign w:val="bottom"/>
            <w:hideMark/>
          </w:tcPr>
          <w:p w14:paraId="4DD8BB3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0.96</w:t>
            </w:r>
          </w:p>
        </w:tc>
      </w:tr>
      <w:tr w:rsidR="0048638A" w:rsidRPr="0041348B" w14:paraId="32F2674C" w14:textId="77777777" w:rsidTr="0048638A">
        <w:trPr>
          <w:trHeight w:val="288"/>
        </w:trPr>
        <w:tc>
          <w:tcPr>
            <w:tcW w:w="3304" w:type="dxa"/>
            <w:tcBorders>
              <w:top w:val="nil"/>
              <w:left w:val="nil"/>
              <w:bottom w:val="nil"/>
              <w:right w:val="nil"/>
            </w:tcBorders>
            <w:shd w:val="clear" w:color="auto" w:fill="auto"/>
            <w:vAlign w:val="center"/>
            <w:hideMark/>
          </w:tcPr>
          <w:p w14:paraId="450A32C1"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Parental employ. - both </w:t>
            </w:r>
            <w:proofErr w:type="spellStart"/>
            <w:r w:rsidRPr="0048638A">
              <w:rPr>
                <w:color w:val="000000"/>
                <w:sz w:val="18"/>
                <w:szCs w:val="18"/>
                <w:lang w:val="en-US" w:eastAsia="en-US"/>
              </w:rPr>
              <w:t>parents</w:t>
            </w:r>
            <w:r w:rsidRPr="0048638A">
              <w:rPr>
                <w:color w:val="000000"/>
                <w:sz w:val="18"/>
                <w:szCs w:val="18"/>
                <w:vertAlign w:val="superscript"/>
                <w:lang w:val="en-US" w:eastAsia="en-US"/>
              </w:rPr>
              <w:t>b</w:t>
            </w:r>
            <w:proofErr w:type="spellEnd"/>
          </w:p>
        </w:tc>
        <w:tc>
          <w:tcPr>
            <w:tcW w:w="926" w:type="dxa"/>
            <w:tcBorders>
              <w:top w:val="nil"/>
              <w:left w:val="nil"/>
              <w:bottom w:val="nil"/>
              <w:right w:val="nil"/>
            </w:tcBorders>
            <w:shd w:val="clear" w:color="auto" w:fill="auto"/>
            <w:noWrap/>
            <w:vAlign w:val="bottom"/>
            <w:hideMark/>
          </w:tcPr>
          <w:p w14:paraId="3349FD24"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38811E8D"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4C7DE435"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14A8AF0E"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265071D9"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772C496D"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7909D241"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8D40AF7"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49B5693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731" w:type="dxa"/>
            <w:tcBorders>
              <w:top w:val="nil"/>
              <w:left w:val="nil"/>
              <w:bottom w:val="nil"/>
              <w:right w:val="nil"/>
            </w:tcBorders>
            <w:shd w:val="clear" w:color="auto" w:fill="auto"/>
            <w:noWrap/>
            <w:vAlign w:val="bottom"/>
            <w:hideMark/>
          </w:tcPr>
          <w:p w14:paraId="4F933C4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563" w:type="dxa"/>
            <w:tcBorders>
              <w:top w:val="nil"/>
              <w:left w:val="nil"/>
              <w:bottom w:val="nil"/>
              <w:right w:val="nil"/>
            </w:tcBorders>
            <w:shd w:val="clear" w:color="auto" w:fill="auto"/>
            <w:noWrap/>
            <w:vAlign w:val="bottom"/>
            <w:hideMark/>
          </w:tcPr>
          <w:p w14:paraId="5E7B3D1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0.98</w:t>
            </w:r>
          </w:p>
        </w:tc>
        <w:tc>
          <w:tcPr>
            <w:tcW w:w="261" w:type="dxa"/>
            <w:tcBorders>
              <w:top w:val="nil"/>
              <w:left w:val="nil"/>
              <w:bottom w:val="nil"/>
              <w:right w:val="nil"/>
            </w:tcBorders>
            <w:shd w:val="clear" w:color="auto" w:fill="auto"/>
            <w:noWrap/>
            <w:vAlign w:val="bottom"/>
            <w:hideMark/>
          </w:tcPr>
          <w:p w14:paraId="38E36D07"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07DA7EF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731" w:type="dxa"/>
            <w:tcBorders>
              <w:top w:val="nil"/>
              <w:left w:val="nil"/>
              <w:bottom w:val="nil"/>
              <w:right w:val="nil"/>
            </w:tcBorders>
            <w:shd w:val="clear" w:color="auto" w:fill="auto"/>
            <w:noWrap/>
            <w:vAlign w:val="bottom"/>
            <w:hideMark/>
          </w:tcPr>
          <w:p w14:paraId="6444650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563" w:type="dxa"/>
            <w:tcBorders>
              <w:top w:val="nil"/>
              <w:left w:val="nil"/>
              <w:bottom w:val="nil"/>
              <w:right w:val="nil"/>
            </w:tcBorders>
            <w:shd w:val="clear" w:color="auto" w:fill="auto"/>
            <w:noWrap/>
            <w:vAlign w:val="bottom"/>
            <w:hideMark/>
          </w:tcPr>
          <w:p w14:paraId="2EE56F7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1.03</w:t>
            </w:r>
          </w:p>
        </w:tc>
      </w:tr>
      <w:tr w:rsidR="0048638A" w:rsidRPr="0041348B" w14:paraId="07F95BAB" w14:textId="77777777" w:rsidTr="0048638A">
        <w:trPr>
          <w:trHeight w:val="288"/>
        </w:trPr>
        <w:tc>
          <w:tcPr>
            <w:tcW w:w="3304" w:type="dxa"/>
            <w:tcBorders>
              <w:top w:val="nil"/>
              <w:left w:val="nil"/>
              <w:bottom w:val="nil"/>
              <w:right w:val="nil"/>
            </w:tcBorders>
            <w:shd w:val="clear" w:color="auto" w:fill="auto"/>
            <w:vAlign w:val="center"/>
            <w:hideMark/>
          </w:tcPr>
          <w:p w14:paraId="1871AF7F"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Own room</w:t>
            </w:r>
          </w:p>
        </w:tc>
        <w:tc>
          <w:tcPr>
            <w:tcW w:w="926" w:type="dxa"/>
            <w:tcBorders>
              <w:top w:val="nil"/>
              <w:left w:val="nil"/>
              <w:bottom w:val="nil"/>
              <w:right w:val="nil"/>
            </w:tcBorders>
            <w:shd w:val="clear" w:color="auto" w:fill="auto"/>
            <w:noWrap/>
            <w:vAlign w:val="bottom"/>
            <w:hideMark/>
          </w:tcPr>
          <w:p w14:paraId="5C66494B"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5B1697E3"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0CCDD0E9"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4ED42E45"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3CFFECAD"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412779FF"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227FFA9D"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22BE1DBF"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7287F184"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0.12**</w:t>
            </w:r>
          </w:p>
        </w:tc>
        <w:tc>
          <w:tcPr>
            <w:tcW w:w="731" w:type="dxa"/>
            <w:tcBorders>
              <w:top w:val="nil"/>
              <w:left w:val="nil"/>
              <w:bottom w:val="nil"/>
              <w:right w:val="nil"/>
            </w:tcBorders>
            <w:shd w:val="clear" w:color="auto" w:fill="auto"/>
            <w:noWrap/>
            <w:vAlign w:val="bottom"/>
            <w:hideMark/>
          </w:tcPr>
          <w:p w14:paraId="6449399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6832E0D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1.13</w:t>
            </w:r>
          </w:p>
        </w:tc>
        <w:tc>
          <w:tcPr>
            <w:tcW w:w="261" w:type="dxa"/>
            <w:tcBorders>
              <w:top w:val="nil"/>
              <w:left w:val="nil"/>
              <w:bottom w:val="nil"/>
              <w:right w:val="nil"/>
            </w:tcBorders>
            <w:shd w:val="clear" w:color="auto" w:fill="auto"/>
            <w:noWrap/>
            <w:vAlign w:val="bottom"/>
            <w:hideMark/>
          </w:tcPr>
          <w:p w14:paraId="02E99964"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56AE44A7"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0.17***</w:t>
            </w:r>
          </w:p>
        </w:tc>
        <w:tc>
          <w:tcPr>
            <w:tcW w:w="731" w:type="dxa"/>
            <w:tcBorders>
              <w:top w:val="nil"/>
              <w:left w:val="nil"/>
              <w:bottom w:val="nil"/>
              <w:right w:val="nil"/>
            </w:tcBorders>
            <w:shd w:val="clear" w:color="auto" w:fill="auto"/>
            <w:noWrap/>
            <w:vAlign w:val="bottom"/>
            <w:hideMark/>
          </w:tcPr>
          <w:p w14:paraId="768CA4C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0C99EBD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1.18</w:t>
            </w:r>
          </w:p>
        </w:tc>
      </w:tr>
      <w:tr w:rsidR="0048638A" w:rsidRPr="0041348B" w14:paraId="5785EB7C" w14:textId="77777777" w:rsidTr="0048638A">
        <w:trPr>
          <w:trHeight w:val="288"/>
        </w:trPr>
        <w:tc>
          <w:tcPr>
            <w:tcW w:w="3304" w:type="dxa"/>
            <w:tcBorders>
              <w:top w:val="nil"/>
              <w:left w:val="nil"/>
              <w:bottom w:val="nil"/>
              <w:right w:val="nil"/>
            </w:tcBorders>
            <w:shd w:val="clear" w:color="auto" w:fill="auto"/>
            <w:vAlign w:val="center"/>
            <w:hideMark/>
          </w:tcPr>
          <w:p w14:paraId="043E6A52"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Live with mom and dad</w:t>
            </w:r>
          </w:p>
        </w:tc>
        <w:tc>
          <w:tcPr>
            <w:tcW w:w="926" w:type="dxa"/>
            <w:tcBorders>
              <w:top w:val="nil"/>
              <w:left w:val="nil"/>
              <w:bottom w:val="nil"/>
              <w:right w:val="nil"/>
            </w:tcBorders>
            <w:shd w:val="clear" w:color="auto" w:fill="auto"/>
            <w:noWrap/>
            <w:vAlign w:val="bottom"/>
            <w:hideMark/>
          </w:tcPr>
          <w:p w14:paraId="69816BEE"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251686BE"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6C3BF579"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5345039D"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19A8842A"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70E308D6"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50D6E1D1"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5EA1F44D"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062624F6"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-0.41***</w:t>
            </w:r>
          </w:p>
        </w:tc>
        <w:tc>
          <w:tcPr>
            <w:tcW w:w="731" w:type="dxa"/>
            <w:tcBorders>
              <w:top w:val="nil"/>
              <w:left w:val="nil"/>
              <w:bottom w:val="nil"/>
              <w:right w:val="nil"/>
            </w:tcBorders>
            <w:shd w:val="clear" w:color="auto" w:fill="auto"/>
            <w:noWrap/>
            <w:vAlign w:val="bottom"/>
            <w:hideMark/>
          </w:tcPr>
          <w:p w14:paraId="0064B5E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32A426A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0.66</w:t>
            </w:r>
          </w:p>
        </w:tc>
        <w:tc>
          <w:tcPr>
            <w:tcW w:w="261" w:type="dxa"/>
            <w:tcBorders>
              <w:top w:val="nil"/>
              <w:left w:val="nil"/>
              <w:bottom w:val="nil"/>
              <w:right w:val="nil"/>
            </w:tcBorders>
            <w:shd w:val="clear" w:color="auto" w:fill="auto"/>
            <w:noWrap/>
            <w:vAlign w:val="bottom"/>
            <w:hideMark/>
          </w:tcPr>
          <w:p w14:paraId="5E6BC18A"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66ECB06F"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-0.28***</w:t>
            </w:r>
          </w:p>
        </w:tc>
        <w:tc>
          <w:tcPr>
            <w:tcW w:w="731" w:type="dxa"/>
            <w:tcBorders>
              <w:top w:val="nil"/>
              <w:left w:val="nil"/>
              <w:bottom w:val="nil"/>
              <w:right w:val="nil"/>
            </w:tcBorders>
            <w:shd w:val="clear" w:color="auto" w:fill="auto"/>
            <w:noWrap/>
            <w:vAlign w:val="bottom"/>
            <w:hideMark/>
          </w:tcPr>
          <w:p w14:paraId="2139825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364A32A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0.75</w:t>
            </w:r>
          </w:p>
        </w:tc>
      </w:tr>
      <w:tr w:rsidR="0048638A" w:rsidRPr="0041348B" w14:paraId="673F0B80" w14:textId="77777777" w:rsidTr="0048638A">
        <w:trPr>
          <w:trHeight w:val="288"/>
        </w:trPr>
        <w:tc>
          <w:tcPr>
            <w:tcW w:w="3304" w:type="dxa"/>
            <w:tcBorders>
              <w:top w:val="nil"/>
              <w:left w:val="nil"/>
              <w:bottom w:val="nil"/>
              <w:right w:val="nil"/>
            </w:tcBorders>
            <w:shd w:val="clear" w:color="auto" w:fill="auto"/>
            <w:vAlign w:val="center"/>
            <w:hideMark/>
          </w:tcPr>
          <w:p w14:paraId="47A7E470"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Social marginalization</w:t>
            </w:r>
          </w:p>
        </w:tc>
        <w:tc>
          <w:tcPr>
            <w:tcW w:w="926" w:type="dxa"/>
            <w:tcBorders>
              <w:top w:val="nil"/>
              <w:left w:val="nil"/>
              <w:bottom w:val="nil"/>
              <w:right w:val="nil"/>
            </w:tcBorders>
            <w:shd w:val="clear" w:color="auto" w:fill="auto"/>
            <w:noWrap/>
            <w:vAlign w:val="bottom"/>
            <w:hideMark/>
          </w:tcPr>
          <w:p w14:paraId="0EF38837" w14:textId="77777777" w:rsidR="0041348B" w:rsidRPr="0048638A" w:rsidRDefault="0041348B" w:rsidP="005636E1">
            <w:pPr>
              <w:spacing w:line="240" w:lineRule="auto"/>
              <w:contextualSpacing/>
              <w:rPr>
                <w:i/>
                <w:iCs/>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2FBD4C32"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0C20E612"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6526F416"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226EEEFF"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14D381E8"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112B6FE2"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4A6FF955"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44BD0F9D" w14:textId="77777777" w:rsidR="0041348B" w:rsidRPr="0048638A" w:rsidRDefault="0041348B" w:rsidP="005636E1">
            <w:pPr>
              <w:spacing w:line="240" w:lineRule="auto"/>
              <w:contextualSpacing/>
              <w:jc w:val="center"/>
              <w:rPr>
                <w:b/>
                <w:bCs/>
                <w:sz w:val="18"/>
                <w:szCs w:val="18"/>
                <w:lang w:val="en-US" w:eastAsia="en-US"/>
              </w:rPr>
            </w:pPr>
          </w:p>
        </w:tc>
        <w:tc>
          <w:tcPr>
            <w:tcW w:w="731" w:type="dxa"/>
            <w:tcBorders>
              <w:top w:val="nil"/>
              <w:left w:val="nil"/>
              <w:bottom w:val="nil"/>
              <w:right w:val="nil"/>
            </w:tcBorders>
            <w:shd w:val="clear" w:color="auto" w:fill="auto"/>
            <w:noWrap/>
            <w:vAlign w:val="bottom"/>
            <w:hideMark/>
          </w:tcPr>
          <w:p w14:paraId="240CDCCB"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1C7F1AA9"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532E80BD"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3A0DA71B" w14:textId="77777777" w:rsidR="0041348B" w:rsidRPr="0048638A" w:rsidRDefault="0041348B" w:rsidP="005636E1">
            <w:pPr>
              <w:spacing w:line="240" w:lineRule="auto"/>
              <w:contextualSpacing/>
              <w:jc w:val="center"/>
              <w:rPr>
                <w:b/>
                <w:bCs/>
                <w:sz w:val="18"/>
                <w:szCs w:val="18"/>
                <w:lang w:val="en-US" w:eastAsia="en-US"/>
              </w:rPr>
            </w:pPr>
          </w:p>
        </w:tc>
        <w:tc>
          <w:tcPr>
            <w:tcW w:w="731" w:type="dxa"/>
            <w:tcBorders>
              <w:top w:val="nil"/>
              <w:left w:val="nil"/>
              <w:bottom w:val="nil"/>
              <w:right w:val="nil"/>
            </w:tcBorders>
            <w:shd w:val="clear" w:color="auto" w:fill="auto"/>
            <w:noWrap/>
            <w:vAlign w:val="bottom"/>
            <w:hideMark/>
          </w:tcPr>
          <w:p w14:paraId="38D0857C"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329DB53F" w14:textId="77777777" w:rsidR="0041348B" w:rsidRPr="0048638A" w:rsidRDefault="0041348B" w:rsidP="005636E1">
            <w:pPr>
              <w:spacing w:line="240" w:lineRule="auto"/>
              <w:contextualSpacing/>
              <w:jc w:val="center"/>
              <w:rPr>
                <w:sz w:val="18"/>
                <w:szCs w:val="18"/>
                <w:lang w:val="en-US" w:eastAsia="en-US"/>
              </w:rPr>
            </w:pPr>
          </w:p>
        </w:tc>
      </w:tr>
      <w:tr w:rsidR="0048638A" w:rsidRPr="0041348B" w14:paraId="1CCDD8C7" w14:textId="77777777" w:rsidTr="0048638A">
        <w:trPr>
          <w:trHeight w:val="288"/>
        </w:trPr>
        <w:tc>
          <w:tcPr>
            <w:tcW w:w="3304" w:type="dxa"/>
            <w:tcBorders>
              <w:top w:val="nil"/>
              <w:left w:val="nil"/>
              <w:bottom w:val="nil"/>
              <w:right w:val="nil"/>
            </w:tcBorders>
            <w:shd w:val="clear" w:color="auto" w:fill="auto"/>
            <w:vAlign w:val="center"/>
            <w:hideMark/>
          </w:tcPr>
          <w:p w14:paraId="78A910A1"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Household language of the country</w:t>
            </w:r>
          </w:p>
        </w:tc>
        <w:tc>
          <w:tcPr>
            <w:tcW w:w="926" w:type="dxa"/>
            <w:tcBorders>
              <w:top w:val="nil"/>
              <w:left w:val="nil"/>
              <w:bottom w:val="nil"/>
              <w:right w:val="nil"/>
            </w:tcBorders>
            <w:shd w:val="clear" w:color="auto" w:fill="auto"/>
            <w:noWrap/>
            <w:vAlign w:val="bottom"/>
            <w:hideMark/>
          </w:tcPr>
          <w:p w14:paraId="08EFD63F"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73FAD5C6"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78E7F12E"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751C7369"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5F846D2B"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765CE55B"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64D7D2FC"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46C6025C"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35556415"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0.26***</w:t>
            </w:r>
          </w:p>
        </w:tc>
        <w:tc>
          <w:tcPr>
            <w:tcW w:w="731" w:type="dxa"/>
            <w:tcBorders>
              <w:top w:val="nil"/>
              <w:left w:val="nil"/>
              <w:bottom w:val="nil"/>
              <w:right w:val="nil"/>
            </w:tcBorders>
            <w:shd w:val="clear" w:color="auto" w:fill="auto"/>
            <w:noWrap/>
            <w:vAlign w:val="bottom"/>
            <w:hideMark/>
          </w:tcPr>
          <w:p w14:paraId="27ED393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63" w:type="dxa"/>
            <w:tcBorders>
              <w:top w:val="nil"/>
              <w:left w:val="nil"/>
              <w:bottom w:val="nil"/>
              <w:right w:val="nil"/>
            </w:tcBorders>
            <w:shd w:val="clear" w:color="auto" w:fill="auto"/>
            <w:noWrap/>
            <w:vAlign w:val="bottom"/>
            <w:hideMark/>
          </w:tcPr>
          <w:p w14:paraId="52B9E18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1.30</w:t>
            </w:r>
          </w:p>
        </w:tc>
        <w:tc>
          <w:tcPr>
            <w:tcW w:w="261" w:type="dxa"/>
            <w:tcBorders>
              <w:top w:val="nil"/>
              <w:left w:val="nil"/>
              <w:bottom w:val="nil"/>
              <w:right w:val="nil"/>
            </w:tcBorders>
            <w:shd w:val="clear" w:color="auto" w:fill="auto"/>
            <w:noWrap/>
            <w:vAlign w:val="bottom"/>
            <w:hideMark/>
          </w:tcPr>
          <w:p w14:paraId="400DE85C"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7097F5F9"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0.30***</w:t>
            </w:r>
          </w:p>
        </w:tc>
        <w:tc>
          <w:tcPr>
            <w:tcW w:w="731" w:type="dxa"/>
            <w:tcBorders>
              <w:top w:val="nil"/>
              <w:left w:val="nil"/>
              <w:bottom w:val="nil"/>
              <w:right w:val="nil"/>
            </w:tcBorders>
            <w:shd w:val="clear" w:color="auto" w:fill="auto"/>
            <w:noWrap/>
            <w:vAlign w:val="bottom"/>
            <w:hideMark/>
          </w:tcPr>
          <w:p w14:paraId="10C4488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63" w:type="dxa"/>
            <w:tcBorders>
              <w:top w:val="nil"/>
              <w:left w:val="nil"/>
              <w:bottom w:val="nil"/>
              <w:right w:val="nil"/>
            </w:tcBorders>
            <w:shd w:val="clear" w:color="auto" w:fill="auto"/>
            <w:noWrap/>
            <w:vAlign w:val="bottom"/>
            <w:hideMark/>
          </w:tcPr>
          <w:p w14:paraId="551EE1E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1.35</w:t>
            </w:r>
          </w:p>
        </w:tc>
      </w:tr>
      <w:tr w:rsidR="0048638A" w:rsidRPr="0041348B" w14:paraId="15EAE776" w14:textId="77777777" w:rsidTr="0048638A">
        <w:trPr>
          <w:trHeight w:val="288"/>
        </w:trPr>
        <w:tc>
          <w:tcPr>
            <w:tcW w:w="3304" w:type="dxa"/>
            <w:tcBorders>
              <w:top w:val="nil"/>
              <w:left w:val="nil"/>
              <w:bottom w:val="nil"/>
              <w:right w:val="nil"/>
            </w:tcBorders>
            <w:shd w:val="clear" w:color="auto" w:fill="auto"/>
            <w:vAlign w:val="center"/>
            <w:hideMark/>
          </w:tcPr>
          <w:p w14:paraId="20020D0E"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Never discriminated against</w:t>
            </w:r>
          </w:p>
        </w:tc>
        <w:tc>
          <w:tcPr>
            <w:tcW w:w="926" w:type="dxa"/>
            <w:tcBorders>
              <w:top w:val="nil"/>
              <w:left w:val="nil"/>
              <w:bottom w:val="nil"/>
              <w:right w:val="nil"/>
            </w:tcBorders>
            <w:shd w:val="clear" w:color="auto" w:fill="auto"/>
            <w:noWrap/>
            <w:vAlign w:val="bottom"/>
            <w:hideMark/>
          </w:tcPr>
          <w:p w14:paraId="09BBA5DC"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7ED69F3E"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0AA801D1"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6A5A5ECD"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27F3E14D"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5216FFFE"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576795E1"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3BEDB414"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292226DA"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-0.32***</w:t>
            </w:r>
          </w:p>
        </w:tc>
        <w:tc>
          <w:tcPr>
            <w:tcW w:w="731" w:type="dxa"/>
            <w:tcBorders>
              <w:top w:val="nil"/>
              <w:left w:val="nil"/>
              <w:bottom w:val="nil"/>
              <w:right w:val="nil"/>
            </w:tcBorders>
            <w:shd w:val="clear" w:color="auto" w:fill="auto"/>
            <w:noWrap/>
            <w:vAlign w:val="bottom"/>
            <w:hideMark/>
          </w:tcPr>
          <w:p w14:paraId="1E394CE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3" w:type="dxa"/>
            <w:tcBorders>
              <w:top w:val="nil"/>
              <w:left w:val="nil"/>
              <w:bottom w:val="nil"/>
              <w:right w:val="nil"/>
            </w:tcBorders>
            <w:shd w:val="clear" w:color="auto" w:fill="auto"/>
            <w:noWrap/>
            <w:vAlign w:val="bottom"/>
            <w:hideMark/>
          </w:tcPr>
          <w:p w14:paraId="17479C8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0.73</w:t>
            </w:r>
          </w:p>
        </w:tc>
        <w:tc>
          <w:tcPr>
            <w:tcW w:w="261" w:type="dxa"/>
            <w:tcBorders>
              <w:top w:val="nil"/>
              <w:left w:val="nil"/>
              <w:bottom w:val="nil"/>
              <w:right w:val="nil"/>
            </w:tcBorders>
            <w:shd w:val="clear" w:color="auto" w:fill="auto"/>
            <w:noWrap/>
            <w:vAlign w:val="bottom"/>
            <w:hideMark/>
          </w:tcPr>
          <w:p w14:paraId="314D78E8"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04243227"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-0.21***</w:t>
            </w:r>
          </w:p>
        </w:tc>
        <w:tc>
          <w:tcPr>
            <w:tcW w:w="731" w:type="dxa"/>
            <w:tcBorders>
              <w:top w:val="nil"/>
              <w:left w:val="nil"/>
              <w:bottom w:val="nil"/>
              <w:right w:val="nil"/>
            </w:tcBorders>
            <w:shd w:val="clear" w:color="auto" w:fill="auto"/>
            <w:noWrap/>
            <w:vAlign w:val="bottom"/>
            <w:hideMark/>
          </w:tcPr>
          <w:p w14:paraId="7BA4BBC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3" w:type="dxa"/>
            <w:tcBorders>
              <w:top w:val="nil"/>
              <w:left w:val="nil"/>
              <w:bottom w:val="nil"/>
              <w:right w:val="nil"/>
            </w:tcBorders>
            <w:shd w:val="clear" w:color="auto" w:fill="auto"/>
            <w:noWrap/>
            <w:vAlign w:val="bottom"/>
            <w:hideMark/>
          </w:tcPr>
          <w:p w14:paraId="79C5020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0.81</w:t>
            </w:r>
          </w:p>
        </w:tc>
      </w:tr>
      <w:tr w:rsidR="0048638A" w:rsidRPr="0041348B" w14:paraId="2515F936" w14:textId="77777777" w:rsidTr="0048638A">
        <w:trPr>
          <w:trHeight w:val="288"/>
        </w:trPr>
        <w:tc>
          <w:tcPr>
            <w:tcW w:w="3304" w:type="dxa"/>
            <w:tcBorders>
              <w:top w:val="nil"/>
              <w:left w:val="nil"/>
              <w:bottom w:val="nil"/>
              <w:right w:val="nil"/>
            </w:tcBorders>
            <w:shd w:val="clear" w:color="auto" w:fill="auto"/>
            <w:vAlign w:val="center"/>
            <w:hideMark/>
          </w:tcPr>
          <w:p w14:paraId="6FBE6086"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Non-native, friends with mostly </w:t>
            </w:r>
            <w:proofErr w:type="spellStart"/>
            <w:r w:rsidRPr="0048638A">
              <w:rPr>
                <w:color w:val="000000"/>
                <w:sz w:val="18"/>
                <w:szCs w:val="18"/>
                <w:lang w:val="en-US" w:eastAsia="en-US"/>
              </w:rPr>
              <w:t>natives</w:t>
            </w:r>
            <w:r w:rsidRPr="0048638A">
              <w:rPr>
                <w:color w:val="000000"/>
                <w:sz w:val="18"/>
                <w:szCs w:val="18"/>
                <w:vertAlign w:val="superscript"/>
                <w:lang w:val="en-US" w:eastAsia="en-US"/>
              </w:rPr>
              <w:t>c</w:t>
            </w:r>
            <w:proofErr w:type="spellEnd"/>
          </w:p>
        </w:tc>
        <w:tc>
          <w:tcPr>
            <w:tcW w:w="926" w:type="dxa"/>
            <w:tcBorders>
              <w:top w:val="nil"/>
              <w:left w:val="nil"/>
              <w:bottom w:val="nil"/>
              <w:right w:val="nil"/>
            </w:tcBorders>
            <w:shd w:val="clear" w:color="auto" w:fill="auto"/>
            <w:noWrap/>
            <w:vAlign w:val="bottom"/>
            <w:hideMark/>
          </w:tcPr>
          <w:p w14:paraId="7589D988"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446B2321"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5D2F720B"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0036EDA9"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564821D1"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28463C53"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29850582"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6F311F65"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4A8E575B"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-0.34***</w:t>
            </w:r>
          </w:p>
        </w:tc>
        <w:tc>
          <w:tcPr>
            <w:tcW w:w="731" w:type="dxa"/>
            <w:tcBorders>
              <w:top w:val="nil"/>
              <w:left w:val="nil"/>
              <w:bottom w:val="nil"/>
              <w:right w:val="nil"/>
            </w:tcBorders>
            <w:shd w:val="clear" w:color="auto" w:fill="auto"/>
            <w:noWrap/>
            <w:vAlign w:val="bottom"/>
            <w:hideMark/>
          </w:tcPr>
          <w:p w14:paraId="51BA2D0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63" w:type="dxa"/>
            <w:tcBorders>
              <w:top w:val="nil"/>
              <w:left w:val="nil"/>
              <w:bottom w:val="nil"/>
              <w:right w:val="nil"/>
            </w:tcBorders>
            <w:shd w:val="clear" w:color="auto" w:fill="auto"/>
            <w:noWrap/>
            <w:vAlign w:val="bottom"/>
            <w:hideMark/>
          </w:tcPr>
          <w:p w14:paraId="6E5E3FC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0.71</w:t>
            </w:r>
          </w:p>
        </w:tc>
        <w:tc>
          <w:tcPr>
            <w:tcW w:w="261" w:type="dxa"/>
            <w:tcBorders>
              <w:top w:val="nil"/>
              <w:left w:val="nil"/>
              <w:bottom w:val="nil"/>
              <w:right w:val="nil"/>
            </w:tcBorders>
            <w:shd w:val="clear" w:color="auto" w:fill="auto"/>
            <w:noWrap/>
            <w:vAlign w:val="bottom"/>
            <w:hideMark/>
          </w:tcPr>
          <w:p w14:paraId="30C0C3A1"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6E1DBC5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-0.27***</w:t>
            </w:r>
          </w:p>
        </w:tc>
        <w:tc>
          <w:tcPr>
            <w:tcW w:w="731" w:type="dxa"/>
            <w:tcBorders>
              <w:top w:val="nil"/>
              <w:left w:val="nil"/>
              <w:bottom w:val="nil"/>
              <w:right w:val="nil"/>
            </w:tcBorders>
            <w:shd w:val="clear" w:color="auto" w:fill="auto"/>
            <w:noWrap/>
            <w:vAlign w:val="bottom"/>
            <w:hideMark/>
          </w:tcPr>
          <w:p w14:paraId="05CF796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63" w:type="dxa"/>
            <w:tcBorders>
              <w:top w:val="nil"/>
              <w:left w:val="nil"/>
              <w:bottom w:val="nil"/>
              <w:right w:val="nil"/>
            </w:tcBorders>
            <w:shd w:val="clear" w:color="auto" w:fill="auto"/>
            <w:noWrap/>
            <w:vAlign w:val="bottom"/>
            <w:hideMark/>
          </w:tcPr>
          <w:p w14:paraId="03711A9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0.77</w:t>
            </w:r>
          </w:p>
        </w:tc>
      </w:tr>
      <w:tr w:rsidR="0048638A" w:rsidRPr="0041348B" w14:paraId="511C8CD0" w14:textId="77777777" w:rsidTr="0048638A">
        <w:trPr>
          <w:trHeight w:val="288"/>
        </w:trPr>
        <w:tc>
          <w:tcPr>
            <w:tcW w:w="3304" w:type="dxa"/>
            <w:tcBorders>
              <w:top w:val="nil"/>
              <w:left w:val="nil"/>
              <w:bottom w:val="nil"/>
              <w:right w:val="nil"/>
            </w:tcBorders>
            <w:shd w:val="clear" w:color="auto" w:fill="auto"/>
            <w:vAlign w:val="center"/>
            <w:hideMark/>
          </w:tcPr>
          <w:p w14:paraId="570644BD"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w:t>
            </w:r>
            <w:proofErr w:type="spellStart"/>
            <w:r w:rsidRPr="0048638A">
              <w:rPr>
                <w:color w:val="000000"/>
                <w:sz w:val="18"/>
                <w:szCs w:val="18"/>
                <w:lang w:val="en-US" w:eastAsia="en-US"/>
              </w:rPr>
              <w:t>Native</w:t>
            </w:r>
            <w:r w:rsidRPr="0048638A">
              <w:rPr>
                <w:color w:val="000000"/>
                <w:sz w:val="18"/>
                <w:szCs w:val="18"/>
                <w:vertAlign w:val="superscript"/>
                <w:lang w:val="en-US" w:eastAsia="en-US"/>
              </w:rPr>
              <w:t>c</w:t>
            </w:r>
            <w:proofErr w:type="spellEnd"/>
          </w:p>
        </w:tc>
        <w:tc>
          <w:tcPr>
            <w:tcW w:w="926" w:type="dxa"/>
            <w:tcBorders>
              <w:top w:val="nil"/>
              <w:left w:val="nil"/>
              <w:bottom w:val="nil"/>
              <w:right w:val="nil"/>
            </w:tcBorders>
            <w:shd w:val="clear" w:color="auto" w:fill="auto"/>
            <w:noWrap/>
            <w:vAlign w:val="bottom"/>
            <w:hideMark/>
          </w:tcPr>
          <w:p w14:paraId="2687E260"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nil"/>
              <w:right w:val="nil"/>
            </w:tcBorders>
            <w:shd w:val="clear" w:color="auto" w:fill="auto"/>
            <w:noWrap/>
            <w:vAlign w:val="bottom"/>
            <w:hideMark/>
          </w:tcPr>
          <w:p w14:paraId="46043CF0"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nil"/>
              <w:right w:val="nil"/>
            </w:tcBorders>
            <w:shd w:val="clear" w:color="auto" w:fill="auto"/>
            <w:noWrap/>
            <w:vAlign w:val="bottom"/>
            <w:hideMark/>
          </w:tcPr>
          <w:p w14:paraId="2BA2A8A4"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nil"/>
              <w:right w:val="nil"/>
            </w:tcBorders>
            <w:shd w:val="clear" w:color="auto" w:fill="auto"/>
            <w:noWrap/>
            <w:vAlign w:val="bottom"/>
            <w:hideMark/>
          </w:tcPr>
          <w:p w14:paraId="1A2C732C"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364B1F6C"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nil"/>
              <w:right w:val="nil"/>
            </w:tcBorders>
            <w:shd w:val="clear" w:color="auto" w:fill="auto"/>
            <w:noWrap/>
            <w:vAlign w:val="bottom"/>
            <w:hideMark/>
          </w:tcPr>
          <w:p w14:paraId="7B01542A"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nil"/>
              <w:right w:val="nil"/>
            </w:tcBorders>
            <w:shd w:val="clear" w:color="auto" w:fill="auto"/>
            <w:noWrap/>
            <w:vAlign w:val="bottom"/>
            <w:hideMark/>
          </w:tcPr>
          <w:p w14:paraId="7D06B89B"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5E4FB23"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3C8325B0"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-0.28***</w:t>
            </w:r>
          </w:p>
        </w:tc>
        <w:tc>
          <w:tcPr>
            <w:tcW w:w="731" w:type="dxa"/>
            <w:tcBorders>
              <w:top w:val="nil"/>
              <w:left w:val="nil"/>
              <w:bottom w:val="nil"/>
              <w:right w:val="nil"/>
            </w:tcBorders>
            <w:shd w:val="clear" w:color="auto" w:fill="auto"/>
            <w:noWrap/>
            <w:vAlign w:val="bottom"/>
            <w:hideMark/>
          </w:tcPr>
          <w:p w14:paraId="0E499EB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63" w:type="dxa"/>
            <w:tcBorders>
              <w:top w:val="nil"/>
              <w:left w:val="nil"/>
              <w:bottom w:val="nil"/>
              <w:right w:val="nil"/>
            </w:tcBorders>
            <w:shd w:val="clear" w:color="auto" w:fill="auto"/>
            <w:noWrap/>
            <w:vAlign w:val="bottom"/>
            <w:hideMark/>
          </w:tcPr>
          <w:p w14:paraId="395A9AC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0.76</w:t>
            </w:r>
          </w:p>
        </w:tc>
        <w:tc>
          <w:tcPr>
            <w:tcW w:w="261" w:type="dxa"/>
            <w:tcBorders>
              <w:top w:val="nil"/>
              <w:left w:val="nil"/>
              <w:bottom w:val="nil"/>
              <w:right w:val="nil"/>
            </w:tcBorders>
            <w:shd w:val="clear" w:color="auto" w:fill="auto"/>
            <w:noWrap/>
            <w:vAlign w:val="bottom"/>
            <w:hideMark/>
          </w:tcPr>
          <w:p w14:paraId="63F0F5B9" w14:textId="77777777" w:rsidR="0041348B" w:rsidRPr="0048638A" w:rsidRDefault="0041348B" w:rsidP="005636E1">
            <w:pPr>
              <w:spacing w:line="240" w:lineRule="auto"/>
              <w:contextualSpacing/>
              <w:jc w:val="center"/>
              <w:rPr>
                <w:color w:val="000000"/>
                <w:sz w:val="18"/>
                <w:szCs w:val="18"/>
                <w:lang w:val="en-US" w:eastAsia="en-US"/>
              </w:rPr>
            </w:pPr>
          </w:p>
        </w:tc>
        <w:tc>
          <w:tcPr>
            <w:tcW w:w="1128" w:type="dxa"/>
            <w:tcBorders>
              <w:top w:val="nil"/>
              <w:left w:val="nil"/>
              <w:bottom w:val="nil"/>
              <w:right w:val="nil"/>
            </w:tcBorders>
            <w:shd w:val="clear" w:color="auto" w:fill="auto"/>
            <w:noWrap/>
            <w:vAlign w:val="bottom"/>
            <w:hideMark/>
          </w:tcPr>
          <w:p w14:paraId="2E0F98D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-0.17**</w:t>
            </w:r>
          </w:p>
        </w:tc>
        <w:tc>
          <w:tcPr>
            <w:tcW w:w="731" w:type="dxa"/>
            <w:tcBorders>
              <w:top w:val="nil"/>
              <w:left w:val="nil"/>
              <w:bottom w:val="nil"/>
              <w:right w:val="nil"/>
            </w:tcBorders>
            <w:shd w:val="clear" w:color="auto" w:fill="auto"/>
            <w:noWrap/>
            <w:vAlign w:val="bottom"/>
            <w:hideMark/>
          </w:tcPr>
          <w:p w14:paraId="276759C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63" w:type="dxa"/>
            <w:tcBorders>
              <w:top w:val="nil"/>
              <w:left w:val="nil"/>
              <w:bottom w:val="nil"/>
              <w:right w:val="nil"/>
            </w:tcBorders>
            <w:shd w:val="clear" w:color="auto" w:fill="auto"/>
            <w:noWrap/>
            <w:vAlign w:val="bottom"/>
            <w:hideMark/>
          </w:tcPr>
          <w:p w14:paraId="42EB1F4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0.84</w:t>
            </w:r>
          </w:p>
        </w:tc>
      </w:tr>
      <w:tr w:rsidR="0048638A" w:rsidRPr="0041348B" w14:paraId="258C0946" w14:textId="77777777" w:rsidTr="0048638A">
        <w:trPr>
          <w:trHeight w:val="288"/>
        </w:trPr>
        <w:tc>
          <w:tcPr>
            <w:tcW w:w="3304" w:type="dxa"/>
            <w:tcBorders>
              <w:top w:val="nil"/>
              <w:left w:val="nil"/>
              <w:right w:val="nil"/>
            </w:tcBorders>
            <w:shd w:val="clear" w:color="auto" w:fill="auto"/>
            <w:vAlign w:val="center"/>
            <w:hideMark/>
          </w:tcPr>
          <w:p w14:paraId="4F52D81C"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Neighborhood context</w:t>
            </w:r>
          </w:p>
        </w:tc>
        <w:tc>
          <w:tcPr>
            <w:tcW w:w="926" w:type="dxa"/>
            <w:tcBorders>
              <w:top w:val="nil"/>
              <w:left w:val="nil"/>
              <w:right w:val="nil"/>
            </w:tcBorders>
            <w:shd w:val="clear" w:color="auto" w:fill="auto"/>
            <w:noWrap/>
            <w:vAlign w:val="bottom"/>
            <w:hideMark/>
          </w:tcPr>
          <w:p w14:paraId="38398E21" w14:textId="77777777" w:rsidR="0041348B" w:rsidRPr="0048638A" w:rsidRDefault="0041348B" w:rsidP="005636E1">
            <w:pPr>
              <w:spacing w:line="240" w:lineRule="auto"/>
              <w:contextualSpacing/>
              <w:rPr>
                <w:i/>
                <w:iCs/>
                <w:color w:val="000000"/>
                <w:sz w:val="18"/>
                <w:szCs w:val="18"/>
                <w:lang w:val="en-US" w:eastAsia="en-US"/>
              </w:rPr>
            </w:pPr>
          </w:p>
        </w:tc>
        <w:tc>
          <w:tcPr>
            <w:tcW w:w="1080" w:type="dxa"/>
            <w:tcBorders>
              <w:top w:val="nil"/>
              <w:left w:val="nil"/>
              <w:right w:val="nil"/>
            </w:tcBorders>
            <w:shd w:val="clear" w:color="auto" w:fill="auto"/>
            <w:noWrap/>
            <w:vAlign w:val="bottom"/>
            <w:hideMark/>
          </w:tcPr>
          <w:p w14:paraId="130E474E"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right w:val="nil"/>
            </w:tcBorders>
            <w:shd w:val="clear" w:color="auto" w:fill="auto"/>
            <w:noWrap/>
            <w:vAlign w:val="bottom"/>
            <w:hideMark/>
          </w:tcPr>
          <w:p w14:paraId="25D24179"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right w:val="nil"/>
            </w:tcBorders>
            <w:shd w:val="clear" w:color="auto" w:fill="auto"/>
            <w:noWrap/>
            <w:vAlign w:val="bottom"/>
            <w:hideMark/>
          </w:tcPr>
          <w:p w14:paraId="0E267309"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right w:val="nil"/>
            </w:tcBorders>
            <w:shd w:val="clear" w:color="auto" w:fill="auto"/>
            <w:noWrap/>
            <w:vAlign w:val="bottom"/>
            <w:hideMark/>
          </w:tcPr>
          <w:p w14:paraId="7417DCF5"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right w:val="nil"/>
            </w:tcBorders>
            <w:shd w:val="clear" w:color="auto" w:fill="auto"/>
            <w:noWrap/>
            <w:vAlign w:val="bottom"/>
            <w:hideMark/>
          </w:tcPr>
          <w:p w14:paraId="5284A827"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right w:val="nil"/>
            </w:tcBorders>
            <w:shd w:val="clear" w:color="auto" w:fill="auto"/>
            <w:noWrap/>
            <w:vAlign w:val="bottom"/>
            <w:hideMark/>
          </w:tcPr>
          <w:p w14:paraId="4633B177"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right w:val="nil"/>
            </w:tcBorders>
            <w:shd w:val="clear" w:color="auto" w:fill="auto"/>
            <w:noWrap/>
            <w:vAlign w:val="bottom"/>
            <w:hideMark/>
          </w:tcPr>
          <w:p w14:paraId="482BFF24"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right w:val="nil"/>
            </w:tcBorders>
            <w:shd w:val="clear" w:color="auto" w:fill="auto"/>
            <w:noWrap/>
            <w:vAlign w:val="bottom"/>
            <w:hideMark/>
          </w:tcPr>
          <w:p w14:paraId="5AE7EAE8" w14:textId="77777777" w:rsidR="0041348B" w:rsidRPr="0048638A" w:rsidRDefault="0041348B" w:rsidP="005636E1">
            <w:pPr>
              <w:spacing w:line="240" w:lineRule="auto"/>
              <w:contextualSpacing/>
              <w:jc w:val="center"/>
              <w:rPr>
                <w:sz w:val="18"/>
                <w:szCs w:val="18"/>
                <w:lang w:val="en-US" w:eastAsia="en-US"/>
              </w:rPr>
            </w:pPr>
          </w:p>
        </w:tc>
        <w:tc>
          <w:tcPr>
            <w:tcW w:w="731" w:type="dxa"/>
            <w:tcBorders>
              <w:top w:val="nil"/>
              <w:left w:val="nil"/>
              <w:right w:val="nil"/>
            </w:tcBorders>
            <w:shd w:val="clear" w:color="auto" w:fill="auto"/>
            <w:noWrap/>
            <w:vAlign w:val="bottom"/>
            <w:hideMark/>
          </w:tcPr>
          <w:p w14:paraId="0E2BB687"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right w:val="nil"/>
            </w:tcBorders>
            <w:shd w:val="clear" w:color="auto" w:fill="auto"/>
            <w:noWrap/>
            <w:vAlign w:val="bottom"/>
            <w:hideMark/>
          </w:tcPr>
          <w:p w14:paraId="3E061044"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right w:val="nil"/>
            </w:tcBorders>
            <w:shd w:val="clear" w:color="auto" w:fill="auto"/>
            <w:noWrap/>
            <w:vAlign w:val="bottom"/>
            <w:hideMark/>
          </w:tcPr>
          <w:p w14:paraId="09AAD587"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right w:val="nil"/>
            </w:tcBorders>
            <w:shd w:val="clear" w:color="auto" w:fill="auto"/>
            <w:noWrap/>
            <w:vAlign w:val="bottom"/>
            <w:hideMark/>
          </w:tcPr>
          <w:p w14:paraId="79CE40D4" w14:textId="77777777" w:rsidR="0041348B" w:rsidRPr="0048638A" w:rsidRDefault="0041348B" w:rsidP="005636E1">
            <w:pPr>
              <w:spacing w:line="240" w:lineRule="auto"/>
              <w:contextualSpacing/>
              <w:jc w:val="center"/>
              <w:rPr>
                <w:b/>
                <w:bCs/>
                <w:sz w:val="18"/>
                <w:szCs w:val="18"/>
                <w:lang w:val="en-US" w:eastAsia="en-US"/>
              </w:rPr>
            </w:pPr>
          </w:p>
        </w:tc>
        <w:tc>
          <w:tcPr>
            <w:tcW w:w="731" w:type="dxa"/>
            <w:tcBorders>
              <w:top w:val="nil"/>
              <w:left w:val="nil"/>
              <w:right w:val="nil"/>
            </w:tcBorders>
            <w:shd w:val="clear" w:color="auto" w:fill="auto"/>
            <w:noWrap/>
            <w:vAlign w:val="bottom"/>
            <w:hideMark/>
          </w:tcPr>
          <w:p w14:paraId="789A0C55"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right w:val="nil"/>
            </w:tcBorders>
            <w:shd w:val="clear" w:color="auto" w:fill="auto"/>
            <w:noWrap/>
            <w:vAlign w:val="bottom"/>
            <w:hideMark/>
          </w:tcPr>
          <w:p w14:paraId="48D81AE1" w14:textId="77777777" w:rsidR="0041348B" w:rsidRPr="0048638A" w:rsidRDefault="0041348B" w:rsidP="005636E1">
            <w:pPr>
              <w:spacing w:line="240" w:lineRule="auto"/>
              <w:contextualSpacing/>
              <w:jc w:val="center"/>
              <w:rPr>
                <w:sz w:val="18"/>
                <w:szCs w:val="18"/>
                <w:lang w:val="en-US" w:eastAsia="en-US"/>
              </w:rPr>
            </w:pPr>
          </w:p>
        </w:tc>
      </w:tr>
      <w:tr w:rsidR="0048638A" w:rsidRPr="0041348B" w14:paraId="7DF76C9E" w14:textId="77777777" w:rsidTr="0048638A">
        <w:trPr>
          <w:trHeight w:val="288"/>
        </w:trPr>
        <w:tc>
          <w:tcPr>
            <w:tcW w:w="3304" w:type="dxa"/>
            <w:tcBorders>
              <w:top w:val="nil"/>
              <w:left w:val="nil"/>
              <w:bottom w:val="single" w:sz="4" w:space="0" w:color="auto"/>
              <w:right w:val="nil"/>
            </w:tcBorders>
            <w:shd w:val="clear" w:color="auto" w:fill="auto"/>
            <w:vAlign w:val="center"/>
            <w:hideMark/>
          </w:tcPr>
          <w:p w14:paraId="084C8C9D"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Neighborhood index</w:t>
            </w:r>
          </w:p>
        </w:tc>
        <w:tc>
          <w:tcPr>
            <w:tcW w:w="926" w:type="dxa"/>
            <w:tcBorders>
              <w:top w:val="nil"/>
              <w:left w:val="nil"/>
              <w:bottom w:val="single" w:sz="4" w:space="0" w:color="auto"/>
              <w:right w:val="nil"/>
            </w:tcBorders>
            <w:shd w:val="clear" w:color="auto" w:fill="auto"/>
            <w:noWrap/>
            <w:vAlign w:val="bottom"/>
            <w:hideMark/>
          </w:tcPr>
          <w:p w14:paraId="7BBB0FC4" w14:textId="77777777" w:rsidR="0041348B" w:rsidRPr="0048638A" w:rsidRDefault="0041348B" w:rsidP="005636E1">
            <w:pPr>
              <w:spacing w:line="240" w:lineRule="auto"/>
              <w:contextualSpacing/>
              <w:rPr>
                <w:color w:val="000000"/>
                <w:sz w:val="18"/>
                <w:szCs w:val="18"/>
                <w:lang w:val="en-US" w:eastAsia="en-US"/>
              </w:rPr>
            </w:pPr>
          </w:p>
        </w:tc>
        <w:tc>
          <w:tcPr>
            <w:tcW w:w="1080" w:type="dxa"/>
            <w:tcBorders>
              <w:top w:val="nil"/>
              <w:left w:val="nil"/>
              <w:bottom w:val="single" w:sz="4" w:space="0" w:color="auto"/>
              <w:right w:val="nil"/>
            </w:tcBorders>
            <w:shd w:val="clear" w:color="auto" w:fill="auto"/>
            <w:noWrap/>
            <w:vAlign w:val="bottom"/>
            <w:hideMark/>
          </w:tcPr>
          <w:p w14:paraId="5258BCE6" w14:textId="77777777" w:rsidR="0041348B" w:rsidRPr="0048638A" w:rsidRDefault="0041348B" w:rsidP="005636E1">
            <w:pPr>
              <w:spacing w:line="240" w:lineRule="auto"/>
              <w:contextualSpacing/>
              <w:jc w:val="center"/>
              <w:rPr>
                <w:sz w:val="18"/>
                <w:szCs w:val="18"/>
                <w:lang w:val="en-US" w:eastAsia="en-US"/>
              </w:rPr>
            </w:pPr>
          </w:p>
        </w:tc>
        <w:tc>
          <w:tcPr>
            <w:tcW w:w="799" w:type="dxa"/>
            <w:tcBorders>
              <w:top w:val="nil"/>
              <w:left w:val="nil"/>
              <w:bottom w:val="single" w:sz="4" w:space="0" w:color="auto"/>
              <w:right w:val="nil"/>
            </w:tcBorders>
            <w:shd w:val="clear" w:color="auto" w:fill="auto"/>
            <w:noWrap/>
            <w:vAlign w:val="bottom"/>
            <w:hideMark/>
          </w:tcPr>
          <w:p w14:paraId="3153B692"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single" w:sz="4" w:space="0" w:color="auto"/>
              <w:right w:val="nil"/>
            </w:tcBorders>
            <w:shd w:val="clear" w:color="auto" w:fill="auto"/>
            <w:noWrap/>
            <w:vAlign w:val="bottom"/>
            <w:hideMark/>
          </w:tcPr>
          <w:p w14:paraId="738FD1E8"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single" w:sz="4" w:space="0" w:color="auto"/>
              <w:right w:val="nil"/>
            </w:tcBorders>
            <w:shd w:val="clear" w:color="auto" w:fill="auto"/>
            <w:noWrap/>
            <w:vAlign w:val="bottom"/>
            <w:hideMark/>
          </w:tcPr>
          <w:p w14:paraId="6F74AD6F" w14:textId="77777777" w:rsidR="0041348B" w:rsidRPr="0048638A" w:rsidRDefault="0041348B" w:rsidP="005636E1">
            <w:pPr>
              <w:spacing w:line="240" w:lineRule="auto"/>
              <w:contextualSpacing/>
              <w:jc w:val="center"/>
              <w:rPr>
                <w:sz w:val="18"/>
                <w:szCs w:val="18"/>
                <w:lang w:val="en-US" w:eastAsia="en-US"/>
              </w:rPr>
            </w:pPr>
          </w:p>
        </w:tc>
        <w:tc>
          <w:tcPr>
            <w:tcW w:w="651" w:type="dxa"/>
            <w:tcBorders>
              <w:top w:val="nil"/>
              <w:left w:val="nil"/>
              <w:bottom w:val="single" w:sz="4" w:space="0" w:color="auto"/>
              <w:right w:val="nil"/>
            </w:tcBorders>
            <w:shd w:val="clear" w:color="auto" w:fill="auto"/>
            <w:noWrap/>
            <w:vAlign w:val="bottom"/>
            <w:hideMark/>
          </w:tcPr>
          <w:p w14:paraId="6A2E7AC6"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single" w:sz="4" w:space="0" w:color="auto"/>
              <w:right w:val="nil"/>
            </w:tcBorders>
            <w:shd w:val="clear" w:color="auto" w:fill="auto"/>
            <w:noWrap/>
            <w:vAlign w:val="bottom"/>
            <w:hideMark/>
          </w:tcPr>
          <w:p w14:paraId="1428FD16"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single" w:sz="4" w:space="0" w:color="auto"/>
              <w:right w:val="nil"/>
            </w:tcBorders>
            <w:shd w:val="clear" w:color="auto" w:fill="auto"/>
            <w:noWrap/>
            <w:vAlign w:val="bottom"/>
            <w:hideMark/>
          </w:tcPr>
          <w:p w14:paraId="0381F1D7"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single" w:sz="4" w:space="0" w:color="auto"/>
              <w:right w:val="nil"/>
            </w:tcBorders>
            <w:shd w:val="clear" w:color="auto" w:fill="auto"/>
            <w:noWrap/>
            <w:vAlign w:val="bottom"/>
            <w:hideMark/>
          </w:tcPr>
          <w:p w14:paraId="2B27651A" w14:textId="77777777" w:rsidR="0041348B" w:rsidRPr="0048638A" w:rsidRDefault="0041348B" w:rsidP="005636E1">
            <w:pPr>
              <w:spacing w:line="240" w:lineRule="auto"/>
              <w:contextualSpacing/>
              <w:jc w:val="center"/>
              <w:rPr>
                <w:sz w:val="18"/>
                <w:szCs w:val="18"/>
                <w:lang w:val="en-US" w:eastAsia="en-US"/>
              </w:rPr>
            </w:pPr>
          </w:p>
        </w:tc>
        <w:tc>
          <w:tcPr>
            <w:tcW w:w="731" w:type="dxa"/>
            <w:tcBorders>
              <w:top w:val="nil"/>
              <w:left w:val="nil"/>
              <w:bottom w:val="single" w:sz="4" w:space="0" w:color="auto"/>
              <w:right w:val="nil"/>
            </w:tcBorders>
            <w:shd w:val="clear" w:color="auto" w:fill="auto"/>
            <w:noWrap/>
            <w:vAlign w:val="bottom"/>
            <w:hideMark/>
          </w:tcPr>
          <w:p w14:paraId="215E5F6D" w14:textId="77777777" w:rsidR="0041348B" w:rsidRPr="0048638A" w:rsidRDefault="0041348B" w:rsidP="005636E1">
            <w:pPr>
              <w:spacing w:line="240" w:lineRule="auto"/>
              <w:contextualSpacing/>
              <w:jc w:val="center"/>
              <w:rPr>
                <w:sz w:val="18"/>
                <w:szCs w:val="18"/>
                <w:lang w:val="en-US" w:eastAsia="en-US"/>
              </w:rPr>
            </w:pPr>
          </w:p>
        </w:tc>
        <w:tc>
          <w:tcPr>
            <w:tcW w:w="563" w:type="dxa"/>
            <w:tcBorders>
              <w:top w:val="nil"/>
              <w:left w:val="nil"/>
              <w:bottom w:val="single" w:sz="4" w:space="0" w:color="auto"/>
              <w:right w:val="nil"/>
            </w:tcBorders>
            <w:shd w:val="clear" w:color="auto" w:fill="auto"/>
            <w:noWrap/>
            <w:vAlign w:val="bottom"/>
            <w:hideMark/>
          </w:tcPr>
          <w:p w14:paraId="3C7FAF4A"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single" w:sz="4" w:space="0" w:color="auto"/>
              <w:right w:val="nil"/>
            </w:tcBorders>
            <w:shd w:val="clear" w:color="auto" w:fill="auto"/>
            <w:noWrap/>
            <w:vAlign w:val="bottom"/>
            <w:hideMark/>
          </w:tcPr>
          <w:p w14:paraId="097489CB"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single" w:sz="4" w:space="0" w:color="auto"/>
              <w:right w:val="nil"/>
            </w:tcBorders>
            <w:shd w:val="clear" w:color="auto" w:fill="auto"/>
            <w:noWrap/>
            <w:vAlign w:val="bottom"/>
            <w:hideMark/>
          </w:tcPr>
          <w:p w14:paraId="56D6F767"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-0.96***</w:t>
            </w:r>
          </w:p>
        </w:tc>
        <w:tc>
          <w:tcPr>
            <w:tcW w:w="731" w:type="dxa"/>
            <w:tcBorders>
              <w:top w:val="nil"/>
              <w:left w:val="nil"/>
              <w:bottom w:val="single" w:sz="4" w:space="0" w:color="auto"/>
              <w:right w:val="nil"/>
            </w:tcBorders>
            <w:shd w:val="clear" w:color="auto" w:fill="auto"/>
            <w:noWrap/>
            <w:vAlign w:val="bottom"/>
            <w:hideMark/>
          </w:tcPr>
          <w:p w14:paraId="0FDE0F4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3" w:type="dxa"/>
            <w:tcBorders>
              <w:top w:val="nil"/>
              <w:left w:val="nil"/>
              <w:bottom w:val="single" w:sz="4" w:space="0" w:color="auto"/>
              <w:right w:val="nil"/>
            </w:tcBorders>
            <w:shd w:val="clear" w:color="auto" w:fill="auto"/>
            <w:noWrap/>
            <w:vAlign w:val="bottom"/>
            <w:hideMark/>
          </w:tcPr>
          <w:p w14:paraId="54FCB6A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0.38</w:t>
            </w:r>
          </w:p>
        </w:tc>
      </w:tr>
      <w:tr w:rsidR="0048638A" w:rsidRPr="0041348B" w14:paraId="55EE1C4C" w14:textId="77777777" w:rsidTr="0048638A">
        <w:trPr>
          <w:trHeight w:val="288"/>
        </w:trPr>
        <w:tc>
          <w:tcPr>
            <w:tcW w:w="3304" w:type="dxa"/>
            <w:tcBorders>
              <w:top w:val="nil"/>
              <w:left w:val="nil"/>
              <w:bottom w:val="nil"/>
              <w:right w:val="nil"/>
            </w:tcBorders>
            <w:shd w:val="clear" w:color="auto" w:fill="auto"/>
            <w:noWrap/>
            <w:vAlign w:val="bottom"/>
            <w:hideMark/>
          </w:tcPr>
          <w:p w14:paraId="38FA82C7"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Level-2 Variance</w:t>
            </w:r>
          </w:p>
        </w:tc>
        <w:tc>
          <w:tcPr>
            <w:tcW w:w="926" w:type="dxa"/>
            <w:tcBorders>
              <w:top w:val="nil"/>
              <w:left w:val="nil"/>
              <w:bottom w:val="nil"/>
              <w:right w:val="nil"/>
            </w:tcBorders>
            <w:shd w:val="clear" w:color="auto" w:fill="auto"/>
            <w:noWrap/>
            <w:vAlign w:val="bottom"/>
            <w:hideMark/>
          </w:tcPr>
          <w:p w14:paraId="7D77CDD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0.221</w:t>
            </w:r>
          </w:p>
        </w:tc>
        <w:tc>
          <w:tcPr>
            <w:tcW w:w="1080" w:type="dxa"/>
            <w:tcBorders>
              <w:top w:val="nil"/>
              <w:left w:val="nil"/>
              <w:bottom w:val="nil"/>
              <w:right w:val="nil"/>
            </w:tcBorders>
            <w:shd w:val="clear" w:color="auto" w:fill="auto"/>
            <w:noWrap/>
            <w:vAlign w:val="bottom"/>
            <w:hideMark/>
          </w:tcPr>
          <w:p w14:paraId="782121E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799" w:type="dxa"/>
            <w:tcBorders>
              <w:top w:val="nil"/>
              <w:left w:val="nil"/>
              <w:bottom w:val="nil"/>
              <w:right w:val="nil"/>
            </w:tcBorders>
            <w:shd w:val="clear" w:color="auto" w:fill="auto"/>
            <w:noWrap/>
            <w:vAlign w:val="bottom"/>
            <w:hideMark/>
          </w:tcPr>
          <w:p w14:paraId="2A1F5325" w14:textId="77777777" w:rsidR="0041348B" w:rsidRPr="0048638A" w:rsidRDefault="0041348B" w:rsidP="005636E1">
            <w:pPr>
              <w:spacing w:line="240" w:lineRule="auto"/>
              <w:contextualSpacing/>
              <w:jc w:val="center"/>
              <w:rPr>
                <w:color w:val="000000"/>
                <w:sz w:val="18"/>
                <w:szCs w:val="18"/>
                <w:lang w:val="en-US" w:eastAsia="en-US"/>
              </w:rPr>
            </w:pPr>
          </w:p>
        </w:tc>
        <w:tc>
          <w:tcPr>
            <w:tcW w:w="308" w:type="dxa"/>
            <w:tcBorders>
              <w:top w:val="nil"/>
              <w:left w:val="nil"/>
              <w:bottom w:val="nil"/>
              <w:right w:val="nil"/>
            </w:tcBorders>
            <w:shd w:val="clear" w:color="auto" w:fill="auto"/>
            <w:noWrap/>
            <w:vAlign w:val="bottom"/>
            <w:hideMark/>
          </w:tcPr>
          <w:p w14:paraId="0EC58863"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nil"/>
              <w:right w:val="nil"/>
            </w:tcBorders>
            <w:shd w:val="clear" w:color="auto" w:fill="auto"/>
            <w:noWrap/>
            <w:vAlign w:val="bottom"/>
            <w:hideMark/>
          </w:tcPr>
          <w:p w14:paraId="4B0DFE8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0.114</w:t>
            </w:r>
          </w:p>
        </w:tc>
        <w:tc>
          <w:tcPr>
            <w:tcW w:w="651" w:type="dxa"/>
            <w:tcBorders>
              <w:top w:val="nil"/>
              <w:left w:val="nil"/>
              <w:bottom w:val="nil"/>
              <w:right w:val="nil"/>
            </w:tcBorders>
            <w:shd w:val="clear" w:color="auto" w:fill="auto"/>
            <w:noWrap/>
            <w:vAlign w:val="bottom"/>
            <w:hideMark/>
          </w:tcPr>
          <w:p w14:paraId="72EB571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4978EE76" w14:textId="77777777" w:rsidR="0041348B" w:rsidRPr="0048638A" w:rsidRDefault="0041348B" w:rsidP="005636E1">
            <w:pPr>
              <w:spacing w:line="240" w:lineRule="auto"/>
              <w:contextualSpacing/>
              <w:jc w:val="center"/>
              <w:rPr>
                <w:color w:val="000000"/>
                <w:sz w:val="18"/>
                <w:szCs w:val="18"/>
                <w:lang w:val="en-US" w:eastAsia="en-US"/>
              </w:rPr>
            </w:pPr>
          </w:p>
        </w:tc>
        <w:tc>
          <w:tcPr>
            <w:tcW w:w="261" w:type="dxa"/>
            <w:tcBorders>
              <w:top w:val="nil"/>
              <w:left w:val="nil"/>
              <w:bottom w:val="nil"/>
              <w:right w:val="nil"/>
            </w:tcBorders>
            <w:shd w:val="clear" w:color="auto" w:fill="auto"/>
            <w:noWrap/>
            <w:vAlign w:val="bottom"/>
            <w:hideMark/>
          </w:tcPr>
          <w:p w14:paraId="3F610E4B"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096E1C8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0.119</w:t>
            </w:r>
          </w:p>
        </w:tc>
        <w:tc>
          <w:tcPr>
            <w:tcW w:w="731" w:type="dxa"/>
            <w:tcBorders>
              <w:top w:val="nil"/>
              <w:left w:val="nil"/>
              <w:bottom w:val="nil"/>
              <w:right w:val="nil"/>
            </w:tcBorders>
            <w:shd w:val="clear" w:color="auto" w:fill="auto"/>
            <w:noWrap/>
            <w:vAlign w:val="bottom"/>
            <w:hideMark/>
          </w:tcPr>
          <w:p w14:paraId="6049333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733FC74F" w14:textId="77777777" w:rsidR="0041348B" w:rsidRPr="0048638A" w:rsidRDefault="0041348B" w:rsidP="005636E1">
            <w:pPr>
              <w:spacing w:line="240" w:lineRule="auto"/>
              <w:contextualSpacing/>
              <w:jc w:val="center"/>
              <w:rPr>
                <w:color w:val="000000"/>
                <w:sz w:val="18"/>
                <w:szCs w:val="18"/>
                <w:lang w:val="en-US" w:eastAsia="en-US"/>
              </w:rPr>
            </w:pPr>
          </w:p>
        </w:tc>
        <w:tc>
          <w:tcPr>
            <w:tcW w:w="261" w:type="dxa"/>
            <w:tcBorders>
              <w:top w:val="nil"/>
              <w:left w:val="nil"/>
              <w:bottom w:val="nil"/>
              <w:right w:val="nil"/>
            </w:tcBorders>
            <w:shd w:val="clear" w:color="auto" w:fill="auto"/>
            <w:noWrap/>
            <w:vAlign w:val="bottom"/>
            <w:hideMark/>
          </w:tcPr>
          <w:p w14:paraId="70CE1037"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nil"/>
              <w:right w:val="nil"/>
            </w:tcBorders>
            <w:shd w:val="clear" w:color="auto" w:fill="auto"/>
            <w:noWrap/>
            <w:vAlign w:val="bottom"/>
            <w:hideMark/>
          </w:tcPr>
          <w:p w14:paraId="2C510B3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0.111</w:t>
            </w:r>
          </w:p>
        </w:tc>
        <w:tc>
          <w:tcPr>
            <w:tcW w:w="731" w:type="dxa"/>
            <w:tcBorders>
              <w:top w:val="nil"/>
              <w:left w:val="nil"/>
              <w:bottom w:val="nil"/>
              <w:right w:val="nil"/>
            </w:tcBorders>
            <w:shd w:val="clear" w:color="auto" w:fill="auto"/>
            <w:noWrap/>
            <w:vAlign w:val="bottom"/>
            <w:hideMark/>
          </w:tcPr>
          <w:p w14:paraId="3C26F7F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3" w:type="dxa"/>
            <w:tcBorders>
              <w:top w:val="nil"/>
              <w:left w:val="nil"/>
              <w:bottom w:val="nil"/>
              <w:right w:val="nil"/>
            </w:tcBorders>
            <w:shd w:val="clear" w:color="auto" w:fill="auto"/>
            <w:noWrap/>
            <w:vAlign w:val="bottom"/>
            <w:hideMark/>
          </w:tcPr>
          <w:p w14:paraId="3E04B705" w14:textId="77777777" w:rsidR="0041348B" w:rsidRPr="0048638A" w:rsidRDefault="0041348B" w:rsidP="005636E1">
            <w:pPr>
              <w:spacing w:line="240" w:lineRule="auto"/>
              <w:contextualSpacing/>
              <w:jc w:val="center"/>
              <w:rPr>
                <w:color w:val="000000"/>
                <w:sz w:val="18"/>
                <w:szCs w:val="18"/>
                <w:lang w:val="en-US" w:eastAsia="en-US"/>
              </w:rPr>
            </w:pPr>
          </w:p>
        </w:tc>
      </w:tr>
      <w:tr w:rsidR="0048638A" w:rsidRPr="0041348B" w14:paraId="2F726A96" w14:textId="77777777" w:rsidTr="0048638A">
        <w:trPr>
          <w:trHeight w:val="288"/>
        </w:trPr>
        <w:tc>
          <w:tcPr>
            <w:tcW w:w="3304" w:type="dxa"/>
            <w:tcBorders>
              <w:top w:val="nil"/>
              <w:left w:val="nil"/>
              <w:right w:val="nil"/>
            </w:tcBorders>
            <w:shd w:val="clear" w:color="auto" w:fill="auto"/>
            <w:noWrap/>
            <w:vAlign w:val="bottom"/>
            <w:hideMark/>
          </w:tcPr>
          <w:p w14:paraId="2AC07583"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lastRenderedPageBreak/>
              <w:t>N</w:t>
            </w:r>
          </w:p>
        </w:tc>
        <w:tc>
          <w:tcPr>
            <w:tcW w:w="926" w:type="dxa"/>
            <w:tcBorders>
              <w:top w:val="nil"/>
              <w:left w:val="nil"/>
              <w:right w:val="nil"/>
            </w:tcBorders>
            <w:shd w:val="clear" w:color="auto" w:fill="auto"/>
            <w:noWrap/>
            <w:vAlign w:val="bottom"/>
            <w:hideMark/>
          </w:tcPr>
          <w:p w14:paraId="3468FDA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42,715</w:t>
            </w:r>
          </w:p>
        </w:tc>
        <w:tc>
          <w:tcPr>
            <w:tcW w:w="1080" w:type="dxa"/>
            <w:tcBorders>
              <w:top w:val="nil"/>
              <w:left w:val="nil"/>
              <w:right w:val="nil"/>
            </w:tcBorders>
            <w:shd w:val="clear" w:color="auto" w:fill="auto"/>
            <w:noWrap/>
            <w:vAlign w:val="bottom"/>
            <w:hideMark/>
          </w:tcPr>
          <w:p w14:paraId="3AD6D790" w14:textId="77777777" w:rsidR="0041348B" w:rsidRPr="0048638A" w:rsidRDefault="0041348B" w:rsidP="005636E1">
            <w:pPr>
              <w:spacing w:line="240" w:lineRule="auto"/>
              <w:contextualSpacing/>
              <w:jc w:val="center"/>
              <w:rPr>
                <w:color w:val="000000"/>
                <w:sz w:val="18"/>
                <w:szCs w:val="18"/>
                <w:lang w:val="en-US" w:eastAsia="en-US"/>
              </w:rPr>
            </w:pPr>
          </w:p>
        </w:tc>
        <w:tc>
          <w:tcPr>
            <w:tcW w:w="799" w:type="dxa"/>
            <w:tcBorders>
              <w:top w:val="nil"/>
              <w:left w:val="nil"/>
              <w:right w:val="nil"/>
            </w:tcBorders>
            <w:shd w:val="clear" w:color="auto" w:fill="auto"/>
            <w:noWrap/>
            <w:vAlign w:val="bottom"/>
            <w:hideMark/>
          </w:tcPr>
          <w:p w14:paraId="5F18937D"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right w:val="nil"/>
            </w:tcBorders>
            <w:shd w:val="clear" w:color="auto" w:fill="auto"/>
            <w:noWrap/>
            <w:vAlign w:val="bottom"/>
            <w:hideMark/>
          </w:tcPr>
          <w:p w14:paraId="4CDF1CFE"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right w:val="nil"/>
            </w:tcBorders>
            <w:shd w:val="clear" w:color="auto" w:fill="auto"/>
            <w:noWrap/>
            <w:vAlign w:val="bottom"/>
            <w:hideMark/>
          </w:tcPr>
          <w:p w14:paraId="26681C6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42,715</w:t>
            </w:r>
          </w:p>
        </w:tc>
        <w:tc>
          <w:tcPr>
            <w:tcW w:w="651" w:type="dxa"/>
            <w:tcBorders>
              <w:top w:val="nil"/>
              <w:left w:val="nil"/>
              <w:right w:val="nil"/>
            </w:tcBorders>
            <w:shd w:val="clear" w:color="auto" w:fill="auto"/>
            <w:noWrap/>
            <w:vAlign w:val="bottom"/>
            <w:hideMark/>
          </w:tcPr>
          <w:p w14:paraId="03169D59" w14:textId="77777777" w:rsidR="0041348B" w:rsidRPr="0048638A" w:rsidRDefault="0041348B" w:rsidP="005636E1">
            <w:pPr>
              <w:spacing w:line="240" w:lineRule="auto"/>
              <w:contextualSpacing/>
              <w:jc w:val="center"/>
              <w:rPr>
                <w:color w:val="000000"/>
                <w:sz w:val="18"/>
                <w:szCs w:val="18"/>
                <w:lang w:val="en-US" w:eastAsia="en-US"/>
              </w:rPr>
            </w:pPr>
          </w:p>
        </w:tc>
        <w:tc>
          <w:tcPr>
            <w:tcW w:w="563" w:type="dxa"/>
            <w:tcBorders>
              <w:top w:val="nil"/>
              <w:left w:val="nil"/>
              <w:right w:val="nil"/>
            </w:tcBorders>
            <w:shd w:val="clear" w:color="auto" w:fill="auto"/>
            <w:noWrap/>
            <w:vAlign w:val="bottom"/>
            <w:hideMark/>
          </w:tcPr>
          <w:p w14:paraId="159F1176"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right w:val="nil"/>
            </w:tcBorders>
            <w:shd w:val="clear" w:color="auto" w:fill="auto"/>
            <w:noWrap/>
            <w:vAlign w:val="bottom"/>
            <w:hideMark/>
          </w:tcPr>
          <w:p w14:paraId="126DA334"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right w:val="nil"/>
            </w:tcBorders>
            <w:shd w:val="clear" w:color="auto" w:fill="auto"/>
            <w:noWrap/>
            <w:vAlign w:val="bottom"/>
            <w:hideMark/>
          </w:tcPr>
          <w:p w14:paraId="131AC96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41,615</w:t>
            </w:r>
          </w:p>
        </w:tc>
        <w:tc>
          <w:tcPr>
            <w:tcW w:w="731" w:type="dxa"/>
            <w:tcBorders>
              <w:top w:val="nil"/>
              <w:left w:val="nil"/>
              <w:right w:val="nil"/>
            </w:tcBorders>
            <w:shd w:val="clear" w:color="auto" w:fill="auto"/>
            <w:noWrap/>
            <w:vAlign w:val="bottom"/>
            <w:hideMark/>
          </w:tcPr>
          <w:p w14:paraId="05AC264B" w14:textId="77777777" w:rsidR="0041348B" w:rsidRPr="0048638A" w:rsidRDefault="0041348B" w:rsidP="005636E1">
            <w:pPr>
              <w:spacing w:line="240" w:lineRule="auto"/>
              <w:contextualSpacing/>
              <w:jc w:val="center"/>
              <w:rPr>
                <w:color w:val="000000"/>
                <w:sz w:val="18"/>
                <w:szCs w:val="18"/>
                <w:lang w:val="en-US" w:eastAsia="en-US"/>
              </w:rPr>
            </w:pPr>
          </w:p>
        </w:tc>
        <w:tc>
          <w:tcPr>
            <w:tcW w:w="563" w:type="dxa"/>
            <w:tcBorders>
              <w:top w:val="nil"/>
              <w:left w:val="nil"/>
              <w:right w:val="nil"/>
            </w:tcBorders>
            <w:shd w:val="clear" w:color="auto" w:fill="auto"/>
            <w:noWrap/>
            <w:vAlign w:val="bottom"/>
            <w:hideMark/>
          </w:tcPr>
          <w:p w14:paraId="3845CA7D"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right w:val="nil"/>
            </w:tcBorders>
            <w:shd w:val="clear" w:color="auto" w:fill="auto"/>
            <w:noWrap/>
            <w:vAlign w:val="bottom"/>
            <w:hideMark/>
          </w:tcPr>
          <w:p w14:paraId="6875DC93"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right w:val="nil"/>
            </w:tcBorders>
            <w:shd w:val="clear" w:color="auto" w:fill="auto"/>
            <w:noWrap/>
            <w:vAlign w:val="bottom"/>
            <w:hideMark/>
          </w:tcPr>
          <w:p w14:paraId="0C9BD1F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40,229</w:t>
            </w:r>
          </w:p>
        </w:tc>
        <w:tc>
          <w:tcPr>
            <w:tcW w:w="731" w:type="dxa"/>
            <w:tcBorders>
              <w:top w:val="nil"/>
              <w:left w:val="nil"/>
              <w:right w:val="nil"/>
            </w:tcBorders>
            <w:shd w:val="clear" w:color="auto" w:fill="auto"/>
            <w:noWrap/>
            <w:vAlign w:val="bottom"/>
            <w:hideMark/>
          </w:tcPr>
          <w:p w14:paraId="50D2AD0C" w14:textId="77777777" w:rsidR="0041348B" w:rsidRPr="0048638A" w:rsidRDefault="0041348B" w:rsidP="005636E1">
            <w:pPr>
              <w:spacing w:line="240" w:lineRule="auto"/>
              <w:contextualSpacing/>
              <w:jc w:val="center"/>
              <w:rPr>
                <w:color w:val="000000"/>
                <w:sz w:val="18"/>
                <w:szCs w:val="18"/>
                <w:lang w:val="en-US" w:eastAsia="en-US"/>
              </w:rPr>
            </w:pPr>
          </w:p>
        </w:tc>
        <w:tc>
          <w:tcPr>
            <w:tcW w:w="563" w:type="dxa"/>
            <w:tcBorders>
              <w:top w:val="nil"/>
              <w:left w:val="nil"/>
              <w:right w:val="nil"/>
            </w:tcBorders>
            <w:shd w:val="clear" w:color="auto" w:fill="auto"/>
            <w:noWrap/>
            <w:vAlign w:val="bottom"/>
            <w:hideMark/>
          </w:tcPr>
          <w:p w14:paraId="3D4587AA" w14:textId="77777777" w:rsidR="0041348B" w:rsidRPr="0048638A" w:rsidRDefault="0041348B" w:rsidP="005636E1">
            <w:pPr>
              <w:spacing w:line="240" w:lineRule="auto"/>
              <w:contextualSpacing/>
              <w:jc w:val="center"/>
              <w:rPr>
                <w:sz w:val="18"/>
                <w:szCs w:val="18"/>
                <w:lang w:val="en-US" w:eastAsia="en-US"/>
              </w:rPr>
            </w:pPr>
          </w:p>
        </w:tc>
      </w:tr>
      <w:tr w:rsidR="0048638A" w:rsidRPr="0041348B" w14:paraId="7ADFA80A" w14:textId="77777777" w:rsidTr="0048638A">
        <w:trPr>
          <w:trHeight w:val="288"/>
        </w:trPr>
        <w:tc>
          <w:tcPr>
            <w:tcW w:w="3304" w:type="dxa"/>
            <w:tcBorders>
              <w:top w:val="nil"/>
              <w:left w:val="nil"/>
              <w:bottom w:val="single" w:sz="4" w:space="0" w:color="auto"/>
              <w:right w:val="nil"/>
            </w:tcBorders>
            <w:shd w:val="clear" w:color="auto" w:fill="auto"/>
            <w:noWrap/>
            <w:vAlign w:val="bottom"/>
            <w:hideMark/>
          </w:tcPr>
          <w:p w14:paraId="536FD090"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BIC</w:t>
            </w:r>
          </w:p>
        </w:tc>
        <w:tc>
          <w:tcPr>
            <w:tcW w:w="926" w:type="dxa"/>
            <w:tcBorders>
              <w:top w:val="nil"/>
              <w:left w:val="nil"/>
              <w:bottom w:val="single" w:sz="4" w:space="0" w:color="auto"/>
              <w:right w:val="nil"/>
            </w:tcBorders>
            <w:shd w:val="clear" w:color="auto" w:fill="auto"/>
            <w:noWrap/>
            <w:vAlign w:val="bottom"/>
            <w:hideMark/>
          </w:tcPr>
          <w:p w14:paraId="03A0F68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28235.44</w:t>
            </w:r>
          </w:p>
        </w:tc>
        <w:tc>
          <w:tcPr>
            <w:tcW w:w="1080" w:type="dxa"/>
            <w:tcBorders>
              <w:top w:val="nil"/>
              <w:left w:val="nil"/>
              <w:bottom w:val="single" w:sz="4" w:space="0" w:color="auto"/>
              <w:right w:val="nil"/>
            </w:tcBorders>
            <w:shd w:val="clear" w:color="auto" w:fill="auto"/>
            <w:noWrap/>
            <w:vAlign w:val="bottom"/>
            <w:hideMark/>
          </w:tcPr>
          <w:p w14:paraId="511DBD08" w14:textId="77777777" w:rsidR="0041348B" w:rsidRPr="0048638A" w:rsidRDefault="0041348B" w:rsidP="005636E1">
            <w:pPr>
              <w:spacing w:line="240" w:lineRule="auto"/>
              <w:contextualSpacing/>
              <w:jc w:val="center"/>
              <w:rPr>
                <w:color w:val="000000"/>
                <w:sz w:val="18"/>
                <w:szCs w:val="18"/>
                <w:lang w:val="en-US" w:eastAsia="en-US"/>
              </w:rPr>
            </w:pPr>
          </w:p>
        </w:tc>
        <w:tc>
          <w:tcPr>
            <w:tcW w:w="799" w:type="dxa"/>
            <w:tcBorders>
              <w:top w:val="nil"/>
              <w:left w:val="nil"/>
              <w:bottom w:val="single" w:sz="4" w:space="0" w:color="auto"/>
              <w:right w:val="nil"/>
            </w:tcBorders>
            <w:shd w:val="clear" w:color="auto" w:fill="auto"/>
            <w:noWrap/>
            <w:vAlign w:val="bottom"/>
            <w:hideMark/>
          </w:tcPr>
          <w:p w14:paraId="7CE9B3A5" w14:textId="77777777" w:rsidR="0041348B" w:rsidRPr="0048638A" w:rsidRDefault="0041348B" w:rsidP="005636E1">
            <w:pPr>
              <w:spacing w:line="240" w:lineRule="auto"/>
              <w:contextualSpacing/>
              <w:jc w:val="center"/>
              <w:rPr>
                <w:sz w:val="18"/>
                <w:szCs w:val="18"/>
                <w:lang w:val="en-US" w:eastAsia="en-US"/>
              </w:rPr>
            </w:pPr>
          </w:p>
        </w:tc>
        <w:tc>
          <w:tcPr>
            <w:tcW w:w="308" w:type="dxa"/>
            <w:tcBorders>
              <w:top w:val="nil"/>
              <w:left w:val="nil"/>
              <w:bottom w:val="single" w:sz="4" w:space="0" w:color="auto"/>
              <w:right w:val="nil"/>
            </w:tcBorders>
            <w:shd w:val="clear" w:color="auto" w:fill="auto"/>
            <w:noWrap/>
            <w:vAlign w:val="bottom"/>
            <w:hideMark/>
          </w:tcPr>
          <w:p w14:paraId="2C9DB5AE" w14:textId="77777777" w:rsidR="0041348B" w:rsidRPr="0048638A" w:rsidRDefault="0041348B" w:rsidP="005636E1">
            <w:pPr>
              <w:spacing w:line="240" w:lineRule="auto"/>
              <w:contextualSpacing/>
              <w:jc w:val="center"/>
              <w:rPr>
                <w:sz w:val="18"/>
                <w:szCs w:val="18"/>
                <w:lang w:val="en-US" w:eastAsia="en-US"/>
              </w:rPr>
            </w:pPr>
          </w:p>
        </w:tc>
        <w:tc>
          <w:tcPr>
            <w:tcW w:w="1021" w:type="dxa"/>
            <w:tcBorders>
              <w:top w:val="nil"/>
              <w:left w:val="nil"/>
              <w:bottom w:val="single" w:sz="4" w:space="0" w:color="auto"/>
              <w:right w:val="nil"/>
            </w:tcBorders>
            <w:shd w:val="clear" w:color="auto" w:fill="auto"/>
            <w:noWrap/>
            <w:vAlign w:val="bottom"/>
            <w:hideMark/>
          </w:tcPr>
          <w:p w14:paraId="394FAE0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28297.95</w:t>
            </w:r>
          </w:p>
        </w:tc>
        <w:tc>
          <w:tcPr>
            <w:tcW w:w="651" w:type="dxa"/>
            <w:tcBorders>
              <w:top w:val="nil"/>
              <w:left w:val="nil"/>
              <w:bottom w:val="single" w:sz="4" w:space="0" w:color="auto"/>
              <w:right w:val="nil"/>
            </w:tcBorders>
            <w:shd w:val="clear" w:color="auto" w:fill="auto"/>
            <w:noWrap/>
            <w:vAlign w:val="bottom"/>
            <w:hideMark/>
          </w:tcPr>
          <w:p w14:paraId="40D4FA65" w14:textId="77777777" w:rsidR="0041348B" w:rsidRPr="0048638A" w:rsidRDefault="0041348B" w:rsidP="005636E1">
            <w:pPr>
              <w:spacing w:line="240" w:lineRule="auto"/>
              <w:contextualSpacing/>
              <w:jc w:val="center"/>
              <w:rPr>
                <w:color w:val="000000"/>
                <w:sz w:val="18"/>
                <w:szCs w:val="18"/>
                <w:lang w:val="en-US" w:eastAsia="en-US"/>
              </w:rPr>
            </w:pPr>
          </w:p>
        </w:tc>
        <w:tc>
          <w:tcPr>
            <w:tcW w:w="563" w:type="dxa"/>
            <w:tcBorders>
              <w:top w:val="nil"/>
              <w:left w:val="nil"/>
              <w:bottom w:val="single" w:sz="4" w:space="0" w:color="auto"/>
              <w:right w:val="nil"/>
            </w:tcBorders>
            <w:shd w:val="clear" w:color="auto" w:fill="auto"/>
            <w:noWrap/>
            <w:vAlign w:val="bottom"/>
            <w:hideMark/>
          </w:tcPr>
          <w:p w14:paraId="4596CE15"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single" w:sz="4" w:space="0" w:color="auto"/>
              <w:right w:val="nil"/>
            </w:tcBorders>
            <w:shd w:val="clear" w:color="auto" w:fill="auto"/>
            <w:noWrap/>
            <w:vAlign w:val="bottom"/>
            <w:hideMark/>
          </w:tcPr>
          <w:p w14:paraId="456CC9DB"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single" w:sz="4" w:space="0" w:color="auto"/>
              <w:right w:val="nil"/>
            </w:tcBorders>
            <w:shd w:val="clear" w:color="auto" w:fill="auto"/>
            <w:noWrap/>
            <w:vAlign w:val="bottom"/>
            <w:hideMark/>
          </w:tcPr>
          <w:p w14:paraId="7988A24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27412.23</w:t>
            </w:r>
          </w:p>
        </w:tc>
        <w:tc>
          <w:tcPr>
            <w:tcW w:w="731" w:type="dxa"/>
            <w:tcBorders>
              <w:top w:val="nil"/>
              <w:left w:val="nil"/>
              <w:bottom w:val="single" w:sz="4" w:space="0" w:color="auto"/>
              <w:right w:val="nil"/>
            </w:tcBorders>
            <w:shd w:val="clear" w:color="auto" w:fill="auto"/>
            <w:noWrap/>
            <w:vAlign w:val="bottom"/>
            <w:hideMark/>
          </w:tcPr>
          <w:p w14:paraId="09C7A30B" w14:textId="77777777" w:rsidR="0041348B" w:rsidRPr="0048638A" w:rsidRDefault="0041348B" w:rsidP="005636E1">
            <w:pPr>
              <w:spacing w:line="240" w:lineRule="auto"/>
              <w:contextualSpacing/>
              <w:jc w:val="center"/>
              <w:rPr>
                <w:color w:val="000000"/>
                <w:sz w:val="18"/>
                <w:szCs w:val="18"/>
                <w:lang w:val="en-US" w:eastAsia="en-US"/>
              </w:rPr>
            </w:pPr>
          </w:p>
        </w:tc>
        <w:tc>
          <w:tcPr>
            <w:tcW w:w="563" w:type="dxa"/>
            <w:tcBorders>
              <w:top w:val="nil"/>
              <w:left w:val="nil"/>
              <w:bottom w:val="single" w:sz="4" w:space="0" w:color="auto"/>
              <w:right w:val="nil"/>
            </w:tcBorders>
            <w:shd w:val="clear" w:color="auto" w:fill="auto"/>
            <w:noWrap/>
            <w:vAlign w:val="bottom"/>
            <w:hideMark/>
          </w:tcPr>
          <w:p w14:paraId="4AC697AA"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single" w:sz="4" w:space="0" w:color="auto"/>
              <w:right w:val="nil"/>
            </w:tcBorders>
            <w:shd w:val="clear" w:color="auto" w:fill="auto"/>
            <w:noWrap/>
            <w:vAlign w:val="bottom"/>
            <w:hideMark/>
          </w:tcPr>
          <w:p w14:paraId="3FB53737" w14:textId="77777777" w:rsidR="0041348B" w:rsidRPr="0048638A" w:rsidRDefault="0041348B" w:rsidP="005636E1">
            <w:pPr>
              <w:spacing w:line="240" w:lineRule="auto"/>
              <w:contextualSpacing/>
              <w:jc w:val="center"/>
              <w:rPr>
                <w:sz w:val="18"/>
                <w:szCs w:val="18"/>
                <w:lang w:val="en-US" w:eastAsia="en-US"/>
              </w:rPr>
            </w:pPr>
          </w:p>
        </w:tc>
        <w:tc>
          <w:tcPr>
            <w:tcW w:w="1128" w:type="dxa"/>
            <w:tcBorders>
              <w:top w:val="nil"/>
              <w:left w:val="nil"/>
              <w:bottom w:val="single" w:sz="4" w:space="0" w:color="auto"/>
              <w:right w:val="nil"/>
            </w:tcBorders>
            <w:shd w:val="clear" w:color="auto" w:fill="auto"/>
            <w:noWrap/>
            <w:vAlign w:val="bottom"/>
            <w:hideMark/>
          </w:tcPr>
          <w:p w14:paraId="2614066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25697.36</w:t>
            </w:r>
          </w:p>
        </w:tc>
        <w:tc>
          <w:tcPr>
            <w:tcW w:w="731" w:type="dxa"/>
            <w:tcBorders>
              <w:top w:val="nil"/>
              <w:left w:val="nil"/>
              <w:bottom w:val="single" w:sz="4" w:space="0" w:color="auto"/>
              <w:right w:val="nil"/>
            </w:tcBorders>
            <w:shd w:val="clear" w:color="auto" w:fill="auto"/>
            <w:noWrap/>
            <w:vAlign w:val="bottom"/>
            <w:hideMark/>
          </w:tcPr>
          <w:p w14:paraId="6945A96D" w14:textId="77777777" w:rsidR="0041348B" w:rsidRPr="0048638A" w:rsidRDefault="0041348B" w:rsidP="005636E1">
            <w:pPr>
              <w:spacing w:line="240" w:lineRule="auto"/>
              <w:contextualSpacing/>
              <w:jc w:val="center"/>
              <w:rPr>
                <w:color w:val="000000"/>
                <w:sz w:val="18"/>
                <w:szCs w:val="18"/>
                <w:lang w:val="en-US" w:eastAsia="en-US"/>
              </w:rPr>
            </w:pPr>
          </w:p>
        </w:tc>
        <w:tc>
          <w:tcPr>
            <w:tcW w:w="563" w:type="dxa"/>
            <w:tcBorders>
              <w:top w:val="nil"/>
              <w:left w:val="nil"/>
              <w:bottom w:val="single" w:sz="4" w:space="0" w:color="auto"/>
              <w:right w:val="nil"/>
            </w:tcBorders>
            <w:shd w:val="clear" w:color="auto" w:fill="auto"/>
            <w:noWrap/>
            <w:vAlign w:val="bottom"/>
            <w:hideMark/>
          </w:tcPr>
          <w:p w14:paraId="3081B3E8" w14:textId="77777777" w:rsidR="0041348B" w:rsidRPr="0048638A" w:rsidRDefault="0041348B" w:rsidP="005636E1">
            <w:pPr>
              <w:spacing w:line="240" w:lineRule="auto"/>
              <w:contextualSpacing/>
              <w:jc w:val="center"/>
              <w:rPr>
                <w:sz w:val="18"/>
                <w:szCs w:val="18"/>
                <w:lang w:val="en-US" w:eastAsia="en-US"/>
              </w:rPr>
            </w:pPr>
          </w:p>
        </w:tc>
      </w:tr>
    </w:tbl>
    <w:p w14:paraId="5E963203" w14:textId="77777777" w:rsidR="00647BA8" w:rsidRPr="00921374" w:rsidRDefault="00647BA8" w:rsidP="006652D2">
      <w:pPr>
        <w:contextualSpacing/>
        <w:rPr>
          <w:sz w:val="18"/>
          <w:szCs w:val="18"/>
        </w:rPr>
        <w:sectPr w:rsidR="00647BA8" w:rsidRPr="00921374" w:rsidSect="00921374">
          <w:pgSz w:w="16840" w:h="11901" w:orient="landscape" w:code="9"/>
          <w:pgMar w:top="1699" w:right="1411" w:bottom="1699" w:left="1411" w:header="706" w:footer="706" w:gutter="0"/>
          <w:cols w:space="708"/>
          <w:docGrid w:linePitch="360"/>
        </w:sectPr>
      </w:pPr>
      <w:r w:rsidRPr="00921374">
        <w:rPr>
          <w:sz w:val="18"/>
          <w:szCs w:val="18"/>
        </w:rPr>
        <w:t xml:space="preserve">Note: </w:t>
      </w:r>
      <w:r>
        <w:rPr>
          <w:sz w:val="18"/>
          <w:szCs w:val="18"/>
        </w:rPr>
        <w:t>Bold+</w:t>
      </w:r>
      <w:r w:rsidRPr="00921374">
        <w:rPr>
          <w:sz w:val="18"/>
          <w:szCs w:val="18"/>
        </w:rPr>
        <w:t xml:space="preserve"> = p&lt;0.10; </w:t>
      </w:r>
      <w:r>
        <w:rPr>
          <w:sz w:val="18"/>
          <w:szCs w:val="18"/>
        </w:rPr>
        <w:t>Bold</w:t>
      </w:r>
      <w:r w:rsidRPr="00921374">
        <w:rPr>
          <w:sz w:val="18"/>
          <w:szCs w:val="18"/>
        </w:rPr>
        <w:t xml:space="preserve">* = p&lt;0.05; </w:t>
      </w:r>
      <w:r>
        <w:rPr>
          <w:sz w:val="18"/>
          <w:szCs w:val="18"/>
        </w:rPr>
        <w:t>Bold</w:t>
      </w:r>
      <w:r w:rsidRPr="00921374">
        <w:rPr>
          <w:sz w:val="18"/>
          <w:szCs w:val="18"/>
        </w:rPr>
        <w:t>** = p&lt;0.01; Bold*** = p&lt;0.001. Reference groups: a=12-15; b = Neither; c= Non-native, friends with mostly non-native; d=Neither</w:t>
      </w:r>
    </w:p>
    <w:tbl>
      <w:tblPr>
        <w:tblW w:w="14018" w:type="dxa"/>
        <w:tblLook w:val="04A0" w:firstRow="1" w:lastRow="0" w:firstColumn="1" w:lastColumn="0" w:noHBand="0" w:noVBand="1"/>
      </w:tblPr>
      <w:tblGrid>
        <w:gridCol w:w="3745"/>
        <w:gridCol w:w="891"/>
        <w:gridCol w:w="734"/>
        <w:gridCol w:w="565"/>
        <w:gridCol w:w="261"/>
        <w:gridCol w:w="1071"/>
        <w:gridCol w:w="694"/>
        <w:gridCol w:w="668"/>
        <w:gridCol w:w="261"/>
        <w:gridCol w:w="1071"/>
        <w:gridCol w:w="694"/>
        <w:gridCol w:w="668"/>
        <w:gridCol w:w="261"/>
        <w:gridCol w:w="1071"/>
        <w:gridCol w:w="828"/>
        <w:gridCol w:w="535"/>
      </w:tblGrid>
      <w:tr w:rsidR="0021432C" w:rsidRPr="0041348B" w14:paraId="3CA013A2" w14:textId="77777777" w:rsidTr="0021432C">
        <w:trPr>
          <w:trHeight w:val="288"/>
        </w:trPr>
        <w:tc>
          <w:tcPr>
            <w:tcW w:w="3747" w:type="dxa"/>
            <w:tcBorders>
              <w:top w:val="single" w:sz="4" w:space="0" w:color="auto"/>
              <w:left w:val="nil"/>
              <w:bottom w:val="nil"/>
              <w:right w:val="nil"/>
            </w:tcBorders>
            <w:shd w:val="clear" w:color="auto" w:fill="auto"/>
            <w:noWrap/>
            <w:vAlign w:val="bottom"/>
            <w:hideMark/>
          </w:tcPr>
          <w:p w14:paraId="7E7EFA45" w14:textId="77777777" w:rsidR="0041348B" w:rsidRPr="0048638A" w:rsidRDefault="0041348B" w:rsidP="005636E1">
            <w:pPr>
              <w:spacing w:line="240" w:lineRule="auto"/>
              <w:contextualSpacing/>
              <w:rPr>
                <w:b/>
                <w:bCs/>
                <w:color w:val="000000"/>
                <w:sz w:val="18"/>
                <w:szCs w:val="18"/>
                <w:lang w:val="en-US" w:eastAsia="en-US"/>
              </w:rPr>
            </w:pPr>
            <w:r w:rsidRPr="0048638A">
              <w:rPr>
                <w:b/>
                <w:bCs/>
                <w:color w:val="000000"/>
                <w:sz w:val="18"/>
                <w:szCs w:val="18"/>
                <w:lang w:val="en-US" w:eastAsia="en-US"/>
              </w:rPr>
              <w:lastRenderedPageBreak/>
              <w:t> </w:t>
            </w:r>
          </w:p>
        </w:tc>
        <w:tc>
          <w:tcPr>
            <w:tcW w:w="2188" w:type="dxa"/>
            <w:gridSpan w:val="3"/>
            <w:tcBorders>
              <w:top w:val="single" w:sz="4" w:space="0" w:color="auto"/>
              <w:left w:val="nil"/>
              <w:bottom w:val="single" w:sz="4" w:space="0" w:color="auto"/>
              <w:right w:val="nil"/>
            </w:tcBorders>
            <w:shd w:val="clear" w:color="auto" w:fill="auto"/>
            <w:noWrap/>
            <w:vAlign w:val="bottom"/>
            <w:hideMark/>
          </w:tcPr>
          <w:p w14:paraId="685432C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Model 6</w:t>
            </w:r>
          </w:p>
        </w:tc>
        <w:tc>
          <w:tcPr>
            <w:tcW w:w="261" w:type="dxa"/>
            <w:tcBorders>
              <w:top w:val="single" w:sz="4" w:space="0" w:color="auto"/>
              <w:left w:val="nil"/>
              <w:bottom w:val="nil"/>
              <w:right w:val="nil"/>
            </w:tcBorders>
            <w:shd w:val="clear" w:color="auto" w:fill="auto"/>
            <w:noWrap/>
            <w:vAlign w:val="bottom"/>
            <w:hideMark/>
          </w:tcPr>
          <w:p w14:paraId="012D1D7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 </w:t>
            </w:r>
          </w:p>
        </w:tc>
        <w:tc>
          <w:tcPr>
            <w:tcW w:w="2433" w:type="dxa"/>
            <w:gridSpan w:val="3"/>
            <w:tcBorders>
              <w:top w:val="single" w:sz="4" w:space="0" w:color="auto"/>
              <w:left w:val="nil"/>
              <w:bottom w:val="single" w:sz="4" w:space="0" w:color="auto"/>
              <w:right w:val="nil"/>
            </w:tcBorders>
            <w:shd w:val="clear" w:color="auto" w:fill="auto"/>
            <w:noWrap/>
            <w:vAlign w:val="bottom"/>
            <w:hideMark/>
          </w:tcPr>
          <w:p w14:paraId="3AD02CE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Model 7</w:t>
            </w:r>
          </w:p>
        </w:tc>
        <w:tc>
          <w:tcPr>
            <w:tcW w:w="261" w:type="dxa"/>
            <w:tcBorders>
              <w:top w:val="single" w:sz="4" w:space="0" w:color="auto"/>
              <w:left w:val="nil"/>
              <w:bottom w:val="nil"/>
              <w:right w:val="nil"/>
            </w:tcBorders>
            <w:shd w:val="clear" w:color="auto" w:fill="auto"/>
            <w:noWrap/>
            <w:vAlign w:val="bottom"/>
            <w:hideMark/>
          </w:tcPr>
          <w:p w14:paraId="5F578F7B"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 </w:t>
            </w:r>
          </w:p>
        </w:tc>
        <w:tc>
          <w:tcPr>
            <w:tcW w:w="2433" w:type="dxa"/>
            <w:gridSpan w:val="3"/>
            <w:tcBorders>
              <w:top w:val="single" w:sz="4" w:space="0" w:color="auto"/>
              <w:left w:val="nil"/>
              <w:bottom w:val="single" w:sz="4" w:space="0" w:color="auto"/>
              <w:right w:val="nil"/>
            </w:tcBorders>
            <w:shd w:val="clear" w:color="auto" w:fill="auto"/>
            <w:noWrap/>
            <w:vAlign w:val="bottom"/>
            <w:hideMark/>
          </w:tcPr>
          <w:p w14:paraId="3D2846C3"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Model 8</w:t>
            </w:r>
          </w:p>
        </w:tc>
        <w:tc>
          <w:tcPr>
            <w:tcW w:w="261" w:type="dxa"/>
            <w:tcBorders>
              <w:top w:val="single" w:sz="4" w:space="0" w:color="auto"/>
              <w:left w:val="nil"/>
              <w:bottom w:val="nil"/>
              <w:right w:val="nil"/>
            </w:tcBorders>
            <w:shd w:val="clear" w:color="auto" w:fill="auto"/>
            <w:noWrap/>
            <w:vAlign w:val="bottom"/>
            <w:hideMark/>
          </w:tcPr>
          <w:p w14:paraId="4D2F81F4"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 </w:t>
            </w:r>
          </w:p>
        </w:tc>
        <w:tc>
          <w:tcPr>
            <w:tcW w:w="2434" w:type="dxa"/>
            <w:gridSpan w:val="3"/>
            <w:tcBorders>
              <w:top w:val="single" w:sz="4" w:space="0" w:color="auto"/>
              <w:left w:val="nil"/>
              <w:bottom w:val="single" w:sz="4" w:space="0" w:color="auto"/>
              <w:right w:val="nil"/>
            </w:tcBorders>
            <w:shd w:val="clear" w:color="auto" w:fill="auto"/>
            <w:noWrap/>
            <w:vAlign w:val="bottom"/>
            <w:hideMark/>
          </w:tcPr>
          <w:p w14:paraId="329942AF"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Model 9</w:t>
            </w:r>
          </w:p>
        </w:tc>
      </w:tr>
      <w:tr w:rsidR="0021432C" w:rsidRPr="0041348B" w14:paraId="55573E85" w14:textId="77777777" w:rsidTr="0021432C">
        <w:trPr>
          <w:trHeight w:val="288"/>
        </w:trPr>
        <w:tc>
          <w:tcPr>
            <w:tcW w:w="3747" w:type="dxa"/>
            <w:tcBorders>
              <w:top w:val="nil"/>
              <w:left w:val="nil"/>
              <w:bottom w:val="single" w:sz="4" w:space="0" w:color="auto"/>
              <w:right w:val="nil"/>
            </w:tcBorders>
            <w:shd w:val="clear" w:color="auto" w:fill="auto"/>
            <w:noWrap/>
            <w:vAlign w:val="bottom"/>
            <w:hideMark/>
          </w:tcPr>
          <w:p w14:paraId="641E0272" w14:textId="77777777" w:rsidR="0041348B" w:rsidRPr="0048638A" w:rsidRDefault="0041348B" w:rsidP="005636E1">
            <w:pPr>
              <w:spacing w:line="240" w:lineRule="auto"/>
              <w:contextualSpacing/>
              <w:rPr>
                <w:b/>
                <w:bCs/>
                <w:color w:val="000000"/>
                <w:sz w:val="18"/>
                <w:szCs w:val="18"/>
                <w:lang w:val="en-US" w:eastAsia="en-US"/>
              </w:rPr>
            </w:pPr>
            <w:r w:rsidRPr="0048638A">
              <w:rPr>
                <w:b/>
                <w:bCs/>
                <w:color w:val="000000"/>
                <w:sz w:val="18"/>
                <w:szCs w:val="18"/>
                <w:lang w:val="en-US" w:eastAsia="en-US"/>
              </w:rPr>
              <w:t>Variables</w:t>
            </w:r>
          </w:p>
        </w:tc>
        <w:tc>
          <w:tcPr>
            <w:tcW w:w="889" w:type="dxa"/>
            <w:tcBorders>
              <w:top w:val="nil"/>
              <w:left w:val="nil"/>
              <w:bottom w:val="single" w:sz="4" w:space="0" w:color="auto"/>
              <w:right w:val="nil"/>
            </w:tcBorders>
            <w:shd w:val="clear" w:color="auto" w:fill="auto"/>
            <w:noWrap/>
            <w:vAlign w:val="bottom"/>
            <w:hideMark/>
          </w:tcPr>
          <w:p w14:paraId="6E50AC0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Coef.</w:t>
            </w:r>
          </w:p>
        </w:tc>
        <w:tc>
          <w:tcPr>
            <w:tcW w:w="734" w:type="dxa"/>
            <w:tcBorders>
              <w:top w:val="nil"/>
              <w:left w:val="nil"/>
              <w:bottom w:val="single" w:sz="4" w:space="0" w:color="auto"/>
              <w:right w:val="nil"/>
            </w:tcBorders>
            <w:shd w:val="clear" w:color="auto" w:fill="auto"/>
            <w:noWrap/>
            <w:vAlign w:val="bottom"/>
            <w:hideMark/>
          </w:tcPr>
          <w:p w14:paraId="27E44F8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S.E.</w:t>
            </w:r>
          </w:p>
        </w:tc>
        <w:tc>
          <w:tcPr>
            <w:tcW w:w="565" w:type="dxa"/>
            <w:tcBorders>
              <w:top w:val="nil"/>
              <w:left w:val="nil"/>
              <w:bottom w:val="single" w:sz="4" w:space="0" w:color="auto"/>
              <w:right w:val="nil"/>
            </w:tcBorders>
            <w:shd w:val="clear" w:color="auto" w:fill="auto"/>
            <w:noWrap/>
            <w:vAlign w:val="bottom"/>
            <w:hideMark/>
          </w:tcPr>
          <w:p w14:paraId="7CCABBE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OR</w:t>
            </w:r>
          </w:p>
        </w:tc>
        <w:tc>
          <w:tcPr>
            <w:tcW w:w="261" w:type="dxa"/>
            <w:tcBorders>
              <w:top w:val="nil"/>
              <w:left w:val="nil"/>
              <w:bottom w:val="single" w:sz="4" w:space="0" w:color="auto"/>
              <w:right w:val="nil"/>
            </w:tcBorders>
            <w:shd w:val="clear" w:color="auto" w:fill="auto"/>
            <w:noWrap/>
            <w:vAlign w:val="bottom"/>
            <w:hideMark/>
          </w:tcPr>
          <w:p w14:paraId="0898C93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71" w:type="dxa"/>
            <w:tcBorders>
              <w:top w:val="nil"/>
              <w:left w:val="nil"/>
              <w:bottom w:val="single" w:sz="4" w:space="0" w:color="auto"/>
              <w:right w:val="nil"/>
            </w:tcBorders>
            <w:shd w:val="clear" w:color="auto" w:fill="auto"/>
            <w:noWrap/>
            <w:vAlign w:val="bottom"/>
            <w:hideMark/>
          </w:tcPr>
          <w:p w14:paraId="686D2E7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Coef.</w:t>
            </w:r>
          </w:p>
        </w:tc>
        <w:tc>
          <w:tcPr>
            <w:tcW w:w="694" w:type="dxa"/>
            <w:tcBorders>
              <w:top w:val="nil"/>
              <w:left w:val="nil"/>
              <w:bottom w:val="single" w:sz="4" w:space="0" w:color="auto"/>
              <w:right w:val="nil"/>
            </w:tcBorders>
            <w:shd w:val="clear" w:color="auto" w:fill="auto"/>
            <w:noWrap/>
            <w:vAlign w:val="bottom"/>
            <w:hideMark/>
          </w:tcPr>
          <w:p w14:paraId="3F9C1DA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S.E.</w:t>
            </w:r>
          </w:p>
        </w:tc>
        <w:tc>
          <w:tcPr>
            <w:tcW w:w="668" w:type="dxa"/>
            <w:tcBorders>
              <w:top w:val="nil"/>
              <w:left w:val="nil"/>
              <w:bottom w:val="single" w:sz="4" w:space="0" w:color="auto"/>
              <w:right w:val="nil"/>
            </w:tcBorders>
            <w:shd w:val="clear" w:color="auto" w:fill="auto"/>
            <w:noWrap/>
            <w:vAlign w:val="bottom"/>
            <w:hideMark/>
          </w:tcPr>
          <w:p w14:paraId="632AD07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OR</w:t>
            </w:r>
          </w:p>
        </w:tc>
        <w:tc>
          <w:tcPr>
            <w:tcW w:w="261" w:type="dxa"/>
            <w:tcBorders>
              <w:top w:val="nil"/>
              <w:left w:val="nil"/>
              <w:bottom w:val="single" w:sz="4" w:space="0" w:color="auto"/>
              <w:right w:val="nil"/>
            </w:tcBorders>
            <w:shd w:val="clear" w:color="auto" w:fill="auto"/>
            <w:noWrap/>
            <w:vAlign w:val="bottom"/>
            <w:hideMark/>
          </w:tcPr>
          <w:p w14:paraId="7C8C003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71" w:type="dxa"/>
            <w:tcBorders>
              <w:top w:val="nil"/>
              <w:left w:val="nil"/>
              <w:bottom w:val="single" w:sz="4" w:space="0" w:color="auto"/>
              <w:right w:val="nil"/>
            </w:tcBorders>
            <w:shd w:val="clear" w:color="auto" w:fill="auto"/>
            <w:noWrap/>
            <w:vAlign w:val="bottom"/>
            <w:hideMark/>
          </w:tcPr>
          <w:p w14:paraId="21F0B3B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Coef.</w:t>
            </w:r>
          </w:p>
        </w:tc>
        <w:tc>
          <w:tcPr>
            <w:tcW w:w="694" w:type="dxa"/>
            <w:tcBorders>
              <w:top w:val="nil"/>
              <w:left w:val="nil"/>
              <w:bottom w:val="single" w:sz="4" w:space="0" w:color="auto"/>
              <w:right w:val="nil"/>
            </w:tcBorders>
            <w:shd w:val="clear" w:color="auto" w:fill="auto"/>
            <w:noWrap/>
            <w:vAlign w:val="bottom"/>
            <w:hideMark/>
          </w:tcPr>
          <w:p w14:paraId="2A2B51D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S.E.</w:t>
            </w:r>
          </w:p>
        </w:tc>
        <w:tc>
          <w:tcPr>
            <w:tcW w:w="668" w:type="dxa"/>
            <w:tcBorders>
              <w:top w:val="nil"/>
              <w:left w:val="nil"/>
              <w:bottom w:val="single" w:sz="4" w:space="0" w:color="auto"/>
              <w:right w:val="nil"/>
            </w:tcBorders>
            <w:shd w:val="clear" w:color="auto" w:fill="auto"/>
            <w:noWrap/>
            <w:vAlign w:val="bottom"/>
            <w:hideMark/>
          </w:tcPr>
          <w:p w14:paraId="5AEE8CB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OR</w:t>
            </w:r>
          </w:p>
        </w:tc>
        <w:tc>
          <w:tcPr>
            <w:tcW w:w="261" w:type="dxa"/>
            <w:tcBorders>
              <w:top w:val="nil"/>
              <w:left w:val="nil"/>
              <w:bottom w:val="single" w:sz="4" w:space="0" w:color="auto"/>
              <w:right w:val="nil"/>
            </w:tcBorders>
            <w:shd w:val="clear" w:color="auto" w:fill="auto"/>
            <w:noWrap/>
            <w:vAlign w:val="bottom"/>
            <w:hideMark/>
          </w:tcPr>
          <w:p w14:paraId="0C989DB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71" w:type="dxa"/>
            <w:tcBorders>
              <w:top w:val="nil"/>
              <w:left w:val="nil"/>
              <w:bottom w:val="single" w:sz="4" w:space="0" w:color="auto"/>
              <w:right w:val="nil"/>
            </w:tcBorders>
            <w:shd w:val="clear" w:color="auto" w:fill="auto"/>
            <w:noWrap/>
            <w:vAlign w:val="bottom"/>
            <w:hideMark/>
          </w:tcPr>
          <w:p w14:paraId="55E69A5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Coef.</w:t>
            </w:r>
          </w:p>
        </w:tc>
        <w:tc>
          <w:tcPr>
            <w:tcW w:w="828" w:type="dxa"/>
            <w:tcBorders>
              <w:top w:val="nil"/>
              <w:left w:val="nil"/>
              <w:bottom w:val="single" w:sz="4" w:space="0" w:color="auto"/>
              <w:right w:val="nil"/>
            </w:tcBorders>
            <w:shd w:val="clear" w:color="auto" w:fill="auto"/>
            <w:noWrap/>
            <w:vAlign w:val="bottom"/>
            <w:hideMark/>
          </w:tcPr>
          <w:p w14:paraId="0ABCE6C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S.E.</w:t>
            </w:r>
          </w:p>
        </w:tc>
        <w:tc>
          <w:tcPr>
            <w:tcW w:w="535" w:type="dxa"/>
            <w:tcBorders>
              <w:top w:val="nil"/>
              <w:left w:val="nil"/>
              <w:bottom w:val="single" w:sz="4" w:space="0" w:color="auto"/>
              <w:right w:val="nil"/>
            </w:tcBorders>
            <w:shd w:val="clear" w:color="auto" w:fill="auto"/>
            <w:noWrap/>
            <w:vAlign w:val="bottom"/>
            <w:hideMark/>
          </w:tcPr>
          <w:p w14:paraId="0BEE704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OR</w:t>
            </w:r>
          </w:p>
        </w:tc>
      </w:tr>
      <w:tr w:rsidR="0021432C" w:rsidRPr="0041348B" w14:paraId="0840F443" w14:textId="77777777" w:rsidTr="0021432C">
        <w:trPr>
          <w:trHeight w:val="288"/>
        </w:trPr>
        <w:tc>
          <w:tcPr>
            <w:tcW w:w="3747" w:type="dxa"/>
            <w:tcBorders>
              <w:top w:val="nil"/>
              <w:left w:val="nil"/>
              <w:bottom w:val="nil"/>
              <w:right w:val="nil"/>
            </w:tcBorders>
            <w:shd w:val="clear" w:color="auto" w:fill="auto"/>
            <w:vAlign w:val="center"/>
            <w:hideMark/>
          </w:tcPr>
          <w:p w14:paraId="0F065A86"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Constant</w:t>
            </w:r>
          </w:p>
        </w:tc>
        <w:tc>
          <w:tcPr>
            <w:tcW w:w="889" w:type="dxa"/>
            <w:tcBorders>
              <w:top w:val="nil"/>
              <w:left w:val="nil"/>
              <w:bottom w:val="nil"/>
              <w:right w:val="nil"/>
            </w:tcBorders>
            <w:shd w:val="clear" w:color="auto" w:fill="auto"/>
            <w:noWrap/>
            <w:vAlign w:val="bottom"/>
            <w:hideMark/>
          </w:tcPr>
          <w:p w14:paraId="01CB70D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0.94</w:t>
            </w:r>
          </w:p>
        </w:tc>
        <w:tc>
          <w:tcPr>
            <w:tcW w:w="734" w:type="dxa"/>
            <w:tcBorders>
              <w:top w:val="nil"/>
              <w:left w:val="nil"/>
              <w:bottom w:val="nil"/>
              <w:right w:val="nil"/>
            </w:tcBorders>
            <w:shd w:val="clear" w:color="auto" w:fill="auto"/>
            <w:noWrap/>
            <w:vAlign w:val="bottom"/>
            <w:hideMark/>
          </w:tcPr>
          <w:p w14:paraId="74B5B23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(0.77)</w:t>
            </w:r>
          </w:p>
        </w:tc>
        <w:tc>
          <w:tcPr>
            <w:tcW w:w="565" w:type="dxa"/>
            <w:tcBorders>
              <w:top w:val="nil"/>
              <w:left w:val="nil"/>
              <w:bottom w:val="nil"/>
              <w:right w:val="nil"/>
            </w:tcBorders>
            <w:shd w:val="clear" w:color="auto" w:fill="auto"/>
            <w:noWrap/>
            <w:vAlign w:val="bottom"/>
            <w:hideMark/>
          </w:tcPr>
          <w:p w14:paraId="7983B3D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2.56</w:t>
            </w:r>
          </w:p>
        </w:tc>
        <w:tc>
          <w:tcPr>
            <w:tcW w:w="261" w:type="dxa"/>
            <w:tcBorders>
              <w:top w:val="nil"/>
              <w:left w:val="nil"/>
              <w:bottom w:val="nil"/>
              <w:right w:val="nil"/>
            </w:tcBorders>
            <w:shd w:val="clear" w:color="auto" w:fill="auto"/>
            <w:noWrap/>
            <w:vAlign w:val="bottom"/>
            <w:hideMark/>
          </w:tcPr>
          <w:p w14:paraId="4C971C3E"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C2347F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2.41**</w:t>
            </w:r>
          </w:p>
        </w:tc>
        <w:tc>
          <w:tcPr>
            <w:tcW w:w="694" w:type="dxa"/>
            <w:tcBorders>
              <w:top w:val="nil"/>
              <w:left w:val="nil"/>
              <w:bottom w:val="nil"/>
              <w:right w:val="nil"/>
            </w:tcBorders>
            <w:shd w:val="clear" w:color="auto" w:fill="auto"/>
            <w:noWrap/>
            <w:vAlign w:val="bottom"/>
            <w:hideMark/>
          </w:tcPr>
          <w:p w14:paraId="508CDFF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(0.75)</w:t>
            </w:r>
          </w:p>
        </w:tc>
        <w:tc>
          <w:tcPr>
            <w:tcW w:w="668" w:type="dxa"/>
            <w:tcBorders>
              <w:top w:val="nil"/>
              <w:left w:val="nil"/>
              <w:bottom w:val="nil"/>
              <w:right w:val="nil"/>
            </w:tcBorders>
            <w:shd w:val="clear" w:color="auto" w:fill="auto"/>
            <w:noWrap/>
            <w:vAlign w:val="bottom"/>
            <w:hideMark/>
          </w:tcPr>
          <w:p w14:paraId="4777FB2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11.10</w:t>
            </w:r>
          </w:p>
        </w:tc>
        <w:tc>
          <w:tcPr>
            <w:tcW w:w="261" w:type="dxa"/>
            <w:tcBorders>
              <w:top w:val="nil"/>
              <w:left w:val="nil"/>
              <w:bottom w:val="nil"/>
              <w:right w:val="nil"/>
            </w:tcBorders>
            <w:shd w:val="clear" w:color="auto" w:fill="auto"/>
            <w:noWrap/>
            <w:vAlign w:val="bottom"/>
            <w:hideMark/>
          </w:tcPr>
          <w:p w14:paraId="60EA5EB4"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A401C4C"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2.38**</w:t>
            </w:r>
          </w:p>
        </w:tc>
        <w:tc>
          <w:tcPr>
            <w:tcW w:w="694" w:type="dxa"/>
            <w:tcBorders>
              <w:top w:val="nil"/>
              <w:left w:val="nil"/>
              <w:bottom w:val="nil"/>
              <w:right w:val="nil"/>
            </w:tcBorders>
            <w:shd w:val="clear" w:color="auto" w:fill="auto"/>
            <w:noWrap/>
            <w:vAlign w:val="bottom"/>
            <w:hideMark/>
          </w:tcPr>
          <w:p w14:paraId="288A619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(0.76)</w:t>
            </w:r>
          </w:p>
        </w:tc>
        <w:tc>
          <w:tcPr>
            <w:tcW w:w="668" w:type="dxa"/>
            <w:tcBorders>
              <w:top w:val="nil"/>
              <w:left w:val="nil"/>
              <w:bottom w:val="nil"/>
              <w:right w:val="nil"/>
            </w:tcBorders>
            <w:shd w:val="clear" w:color="auto" w:fill="auto"/>
            <w:noWrap/>
            <w:vAlign w:val="bottom"/>
            <w:hideMark/>
          </w:tcPr>
          <w:p w14:paraId="5FCE600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10.78</w:t>
            </w:r>
          </w:p>
        </w:tc>
        <w:tc>
          <w:tcPr>
            <w:tcW w:w="261" w:type="dxa"/>
            <w:tcBorders>
              <w:top w:val="nil"/>
              <w:left w:val="nil"/>
              <w:bottom w:val="nil"/>
              <w:right w:val="nil"/>
            </w:tcBorders>
            <w:shd w:val="clear" w:color="auto" w:fill="auto"/>
            <w:noWrap/>
            <w:vAlign w:val="bottom"/>
            <w:hideMark/>
          </w:tcPr>
          <w:p w14:paraId="0B46D0A7"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6BF3D8F"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1.62***</w:t>
            </w:r>
          </w:p>
        </w:tc>
        <w:tc>
          <w:tcPr>
            <w:tcW w:w="828" w:type="dxa"/>
            <w:tcBorders>
              <w:top w:val="nil"/>
              <w:left w:val="nil"/>
              <w:bottom w:val="nil"/>
              <w:right w:val="nil"/>
            </w:tcBorders>
            <w:shd w:val="clear" w:color="auto" w:fill="auto"/>
            <w:noWrap/>
            <w:vAlign w:val="bottom"/>
            <w:hideMark/>
          </w:tcPr>
          <w:p w14:paraId="61A954D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(0.19)</w:t>
            </w:r>
          </w:p>
        </w:tc>
        <w:tc>
          <w:tcPr>
            <w:tcW w:w="535" w:type="dxa"/>
            <w:tcBorders>
              <w:top w:val="nil"/>
              <w:left w:val="nil"/>
              <w:bottom w:val="nil"/>
              <w:right w:val="nil"/>
            </w:tcBorders>
            <w:shd w:val="clear" w:color="auto" w:fill="auto"/>
            <w:noWrap/>
            <w:vAlign w:val="bottom"/>
            <w:hideMark/>
          </w:tcPr>
          <w:p w14:paraId="3828974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5.07</w:t>
            </w:r>
          </w:p>
        </w:tc>
      </w:tr>
      <w:tr w:rsidR="0021432C" w:rsidRPr="0041348B" w14:paraId="5641F4B6" w14:textId="77777777" w:rsidTr="0021432C">
        <w:trPr>
          <w:trHeight w:val="288"/>
        </w:trPr>
        <w:tc>
          <w:tcPr>
            <w:tcW w:w="3747" w:type="dxa"/>
            <w:tcBorders>
              <w:top w:val="nil"/>
              <w:left w:val="nil"/>
              <w:bottom w:val="nil"/>
              <w:right w:val="nil"/>
            </w:tcBorders>
            <w:shd w:val="clear" w:color="auto" w:fill="auto"/>
            <w:vAlign w:val="center"/>
            <w:hideMark/>
          </w:tcPr>
          <w:p w14:paraId="3EE763EA"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Demographics</w:t>
            </w:r>
          </w:p>
        </w:tc>
        <w:tc>
          <w:tcPr>
            <w:tcW w:w="889" w:type="dxa"/>
            <w:tcBorders>
              <w:top w:val="nil"/>
              <w:left w:val="nil"/>
              <w:bottom w:val="nil"/>
              <w:right w:val="nil"/>
            </w:tcBorders>
            <w:shd w:val="clear" w:color="auto" w:fill="auto"/>
            <w:noWrap/>
            <w:vAlign w:val="bottom"/>
            <w:hideMark/>
          </w:tcPr>
          <w:p w14:paraId="4DF0DCFA" w14:textId="77777777" w:rsidR="0041348B" w:rsidRPr="0048638A" w:rsidRDefault="0041348B" w:rsidP="005636E1">
            <w:pPr>
              <w:spacing w:line="240" w:lineRule="auto"/>
              <w:contextualSpacing/>
              <w:rPr>
                <w:i/>
                <w:iCs/>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2C5A3BE9"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1CB9325D"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7CDCFAA"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7DA450DF"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23BF69FC"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01519C7A"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32ECA314"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3B38F6EE"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1365E470"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46F961EC"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682E6E47"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584987F0"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17F0DC7B"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0E470971"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7A10C710" w14:textId="77777777" w:rsidTr="0021432C">
        <w:trPr>
          <w:trHeight w:val="288"/>
        </w:trPr>
        <w:tc>
          <w:tcPr>
            <w:tcW w:w="3747" w:type="dxa"/>
            <w:tcBorders>
              <w:top w:val="nil"/>
              <w:left w:val="nil"/>
              <w:bottom w:val="nil"/>
              <w:right w:val="nil"/>
            </w:tcBorders>
            <w:shd w:val="clear" w:color="auto" w:fill="auto"/>
            <w:vAlign w:val="center"/>
            <w:hideMark/>
          </w:tcPr>
          <w:p w14:paraId="3B55E0F4"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Male</w:t>
            </w:r>
          </w:p>
        </w:tc>
        <w:tc>
          <w:tcPr>
            <w:tcW w:w="889" w:type="dxa"/>
            <w:tcBorders>
              <w:top w:val="nil"/>
              <w:left w:val="nil"/>
              <w:bottom w:val="nil"/>
              <w:right w:val="nil"/>
            </w:tcBorders>
            <w:shd w:val="clear" w:color="auto" w:fill="auto"/>
            <w:noWrap/>
            <w:vAlign w:val="bottom"/>
            <w:hideMark/>
          </w:tcPr>
          <w:p w14:paraId="68A3CDA0"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0.32***</w:t>
            </w:r>
          </w:p>
        </w:tc>
        <w:tc>
          <w:tcPr>
            <w:tcW w:w="734" w:type="dxa"/>
            <w:tcBorders>
              <w:top w:val="nil"/>
              <w:left w:val="nil"/>
              <w:bottom w:val="nil"/>
              <w:right w:val="nil"/>
            </w:tcBorders>
            <w:shd w:val="clear" w:color="auto" w:fill="auto"/>
            <w:noWrap/>
            <w:vAlign w:val="bottom"/>
            <w:hideMark/>
          </w:tcPr>
          <w:p w14:paraId="6F145CE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7B3DB5D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1.37</w:t>
            </w:r>
          </w:p>
        </w:tc>
        <w:tc>
          <w:tcPr>
            <w:tcW w:w="261" w:type="dxa"/>
            <w:tcBorders>
              <w:top w:val="nil"/>
              <w:left w:val="nil"/>
              <w:bottom w:val="nil"/>
              <w:right w:val="nil"/>
            </w:tcBorders>
            <w:shd w:val="clear" w:color="auto" w:fill="auto"/>
            <w:noWrap/>
            <w:vAlign w:val="bottom"/>
            <w:hideMark/>
          </w:tcPr>
          <w:p w14:paraId="09767099"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FCA4F9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694" w:type="dxa"/>
            <w:tcBorders>
              <w:top w:val="nil"/>
              <w:left w:val="nil"/>
              <w:bottom w:val="nil"/>
              <w:right w:val="nil"/>
            </w:tcBorders>
            <w:shd w:val="clear" w:color="auto" w:fill="auto"/>
            <w:noWrap/>
            <w:vAlign w:val="bottom"/>
            <w:hideMark/>
          </w:tcPr>
          <w:p w14:paraId="2F5B00B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nil"/>
              <w:right w:val="nil"/>
            </w:tcBorders>
            <w:shd w:val="clear" w:color="auto" w:fill="auto"/>
            <w:noWrap/>
            <w:vAlign w:val="bottom"/>
            <w:hideMark/>
          </w:tcPr>
          <w:p w14:paraId="5136FED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1.07</w:t>
            </w:r>
          </w:p>
        </w:tc>
        <w:tc>
          <w:tcPr>
            <w:tcW w:w="261" w:type="dxa"/>
            <w:tcBorders>
              <w:top w:val="nil"/>
              <w:left w:val="nil"/>
              <w:bottom w:val="nil"/>
              <w:right w:val="nil"/>
            </w:tcBorders>
            <w:shd w:val="clear" w:color="auto" w:fill="auto"/>
            <w:noWrap/>
            <w:vAlign w:val="bottom"/>
            <w:hideMark/>
          </w:tcPr>
          <w:p w14:paraId="45DB44D6"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7ECB19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0.01</w:t>
            </w:r>
          </w:p>
        </w:tc>
        <w:tc>
          <w:tcPr>
            <w:tcW w:w="694" w:type="dxa"/>
            <w:tcBorders>
              <w:top w:val="nil"/>
              <w:left w:val="nil"/>
              <w:bottom w:val="nil"/>
              <w:right w:val="nil"/>
            </w:tcBorders>
            <w:shd w:val="clear" w:color="auto" w:fill="auto"/>
            <w:noWrap/>
            <w:vAlign w:val="bottom"/>
            <w:hideMark/>
          </w:tcPr>
          <w:p w14:paraId="1E64C9C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nil"/>
              <w:right w:val="nil"/>
            </w:tcBorders>
            <w:shd w:val="clear" w:color="auto" w:fill="auto"/>
            <w:noWrap/>
            <w:vAlign w:val="bottom"/>
            <w:hideMark/>
          </w:tcPr>
          <w:p w14:paraId="1B9D1FA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1.01</w:t>
            </w:r>
          </w:p>
        </w:tc>
        <w:tc>
          <w:tcPr>
            <w:tcW w:w="261" w:type="dxa"/>
            <w:tcBorders>
              <w:top w:val="nil"/>
              <w:left w:val="nil"/>
              <w:bottom w:val="nil"/>
              <w:right w:val="nil"/>
            </w:tcBorders>
            <w:shd w:val="clear" w:color="auto" w:fill="auto"/>
            <w:noWrap/>
            <w:vAlign w:val="bottom"/>
            <w:hideMark/>
          </w:tcPr>
          <w:p w14:paraId="75D2F22C"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8A172E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0.01</w:t>
            </w:r>
          </w:p>
        </w:tc>
        <w:tc>
          <w:tcPr>
            <w:tcW w:w="828" w:type="dxa"/>
            <w:tcBorders>
              <w:top w:val="nil"/>
              <w:left w:val="nil"/>
              <w:bottom w:val="nil"/>
              <w:right w:val="nil"/>
            </w:tcBorders>
            <w:shd w:val="clear" w:color="auto" w:fill="auto"/>
            <w:noWrap/>
            <w:vAlign w:val="bottom"/>
            <w:hideMark/>
          </w:tcPr>
          <w:p w14:paraId="24C1D79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35" w:type="dxa"/>
            <w:tcBorders>
              <w:top w:val="nil"/>
              <w:left w:val="nil"/>
              <w:bottom w:val="nil"/>
              <w:right w:val="nil"/>
            </w:tcBorders>
            <w:shd w:val="clear" w:color="auto" w:fill="auto"/>
            <w:noWrap/>
            <w:vAlign w:val="bottom"/>
            <w:hideMark/>
          </w:tcPr>
          <w:p w14:paraId="3B77B2B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1.01</w:t>
            </w:r>
          </w:p>
        </w:tc>
      </w:tr>
      <w:tr w:rsidR="0021432C" w:rsidRPr="0041348B" w14:paraId="698928B3" w14:textId="77777777" w:rsidTr="0021432C">
        <w:trPr>
          <w:trHeight w:val="288"/>
        </w:trPr>
        <w:tc>
          <w:tcPr>
            <w:tcW w:w="3747" w:type="dxa"/>
            <w:tcBorders>
              <w:top w:val="nil"/>
              <w:left w:val="nil"/>
              <w:bottom w:val="nil"/>
              <w:right w:val="nil"/>
            </w:tcBorders>
            <w:shd w:val="clear" w:color="auto" w:fill="auto"/>
            <w:vAlign w:val="center"/>
            <w:hideMark/>
          </w:tcPr>
          <w:p w14:paraId="70B198CF"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Age - 16-18</w:t>
            </w:r>
            <w:r w:rsidRPr="0048638A">
              <w:rPr>
                <w:color w:val="000000"/>
                <w:sz w:val="18"/>
                <w:szCs w:val="18"/>
                <w:vertAlign w:val="superscript"/>
                <w:lang w:val="en-US" w:eastAsia="en-US"/>
              </w:rPr>
              <w:t>a</w:t>
            </w:r>
          </w:p>
        </w:tc>
        <w:tc>
          <w:tcPr>
            <w:tcW w:w="889" w:type="dxa"/>
            <w:tcBorders>
              <w:top w:val="nil"/>
              <w:left w:val="nil"/>
              <w:bottom w:val="nil"/>
              <w:right w:val="nil"/>
            </w:tcBorders>
            <w:shd w:val="clear" w:color="auto" w:fill="auto"/>
            <w:noWrap/>
            <w:vAlign w:val="bottom"/>
            <w:hideMark/>
          </w:tcPr>
          <w:p w14:paraId="684041E5"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0.18**</w:t>
            </w:r>
          </w:p>
        </w:tc>
        <w:tc>
          <w:tcPr>
            <w:tcW w:w="734" w:type="dxa"/>
            <w:tcBorders>
              <w:top w:val="nil"/>
              <w:left w:val="nil"/>
              <w:bottom w:val="nil"/>
              <w:right w:val="nil"/>
            </w:tcBorders>
            <w:shd w:val="clear" w:color="auto" w:fill="auto"/>
            <w:noWrap/>
            <w:vAlign w:val="bottom"/>
            <w:hideMark/>
          </w:tcPr>
          <w:p w14:paraId="042CE26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65" w:type="dxa"/>
            <w:tcBorders>
              <w:top w:val="nil"/>
              <w:left w:val="nil"/>
              <w:bottom w:val="nil"/>
              <w:right w:val="nil"/>
            </w:tcBorders>
            <w:shd w:val="clear" w:color="auto" w:fill="auto"/>
            <w:noWrap/>
            <w:vAlign w:val="bottom"/>
            <w:hideMark/>
          </w:tcPr>
          <w:p w14:paraId="48F67F0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1.19</w:t>
            </w:r>
          </w:p>
        </w:tc>
        <w:tc>
          <w:tcPr>
            <w:tcW w:w="261" w:type="dxa"/>
            <w:tcBorders>
              <w:top w:val="nil"/>
              <w:left w:val="nil"/>
              <w:bottom w:val="nil"/>
              <w:right w:val="nil"/>
            </w:tcBorders>
            <w:shd w:val="clear" w:color="auto" w:fill="auto"/>
            <w:noWrap/>
            <w:vAlign w:val="bottom"/>
            <w:hideMark/>
          </w:tcPr>
          <w:p w14:paraId="33751CAB"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ED9AB2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94" w:type="dxa"/>
            <w:tcBorders>
              <w:top w:val="nil"/>
              <w:left w:val="nil"/>
              <w:bottom w:val="nil"/>
              <w:right w:val="nil"/>
            </w:tcBorders>
            <w:shd w:val="clear" w:color="auto" w:fill="auto"/>
            <w:noWrap/>
            <w:vAlign w:val="bottom"/>
            <w:hideMark/>
          </w:tcPr>
          <w:p w14:paraId="6F86F71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668" w:type="dxa"/>
            <w:tcBorders>
              <w:top w:val="nil"/>
              <w:left w:val="nil"/>
              <w:bottom w:val="nil"/>
              <w:right w:val="nil"/>
            </w:tcBorders>
            <w:shd w:val="clear" w:color="auto" w:fill="auto"/>
            <w:noWrap/>
            <w:vAlign w:val="bottom"/>
            <w:hideMark/>
          </w:tcPr>
          <w:p w14:paraId="27C3037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1.06</w:t>
            </w:r>
          </w:p>
        </w:tc>
        <w:tc>
          <w:tcPr>
            <w:tcW w:w="261" w:type="dxa"/>
            <w:tcBorders>
              <w:top w:val="nil"/>
              <w:left w:val="nil"/>
              <w:bottom w:val="nil"/>
              <w:right w:val="nil"/>
            </w:tcBorders>
            <w:shd w:val="clear" w:color="auto" w:fill="auto"/>
            <w:noWrap/>
            <w:vAlign w:val="bottom"/>
            <w:hideMark/>
          </w:tcPr>
          <w:p w14:paraId="7F69478B"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4EA92B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0.09</w:t>
            </w:r>
          </w:p>
        </w:tc>
        <w:tc>
          <w:tcPr>
            <w:tcW w:w="694" w:type="dxa"/>
            <w:tcBorders>
              <w:top w:val="nil"/>
              <w:left w:val="nil"/>
              <w:bottom w:val="nil"/>
              <w:right w:val="nil"/>
            </w:tcBorders>
            <w:shd w:val="clear" w:color="auto" w:fill="auto"/>
            <w:noWrap/>
            <w:vAlign w:val="bottom"/>
            <w:hideMark/>
          </w:tcPr>
          <w:p w14:paraId="360C1E3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668" w:type="dxa"/>
            <w:tcBorders>
              <w:top w:val="nil"/>
              <w:left w:val="nil"/>
              <w:bottom w:val="nil"/>
              <w:right w:val="nil"/>
            </w:tcBorders>
            <w:shd w:val="clear" w:color="auto" w:fill="auto"/>
            <w:noWrap/>
            <w:vAlign w:val="bottom"/>
            <w:hideMark/>
          </w:tcPr>
          <w:p w14:paraId="09F0481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1.10</w:t>
            </w:r>
          </w:p>
        </w:tc>
        <w:tc>
          <w:tcPr>
            <w:tcW w:w="261" w:type="dxa"/>
            <w:tcBorders>
              <w:top w:val="nil"/>
              <w:left w:val="nil"/>
              <w:bottom w:val="nil"/>
              <w:right w:val="nil"/>
            </w:tcBorders>
            <w:shd w:val="clear" w:color="auto" w:fill="auto"/>
            <w:noWrap/>
            <w:vAlign w:val="bottom"/>
            <w:hideMark/>
          </w:tcPr>
          <w:p w14:paraId="6209D2CC"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DE8CA6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0.09</w:t>
            </w:r>
          </w:p>
        </w:tc>
        <w:tc>
          <w:tcPr>
            <w:tcW w:w="828" w:type="dxa"/>
            <w:tcBorders>
              <w:top w:val="nil"/>
              <w:left w:val="nil"/>
              <w:bottom w:val="nil"/>
              <w:right w:val="nil"/>
            </w:tcBorders>
            <w:shd w:val="clear" w:color="auto" w:fill="auto"/>
            <w:noWrap/>
            <w:vAlign w:val="bottom"/>
            <w:hideMark/>
          </w:tcPr>
          <w:p w14:paraId="56A9B9A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535" w:type="dxa"/>
            <w:tcBorders>
              <w:top w:val="nil"/>
              <w:left w:val="nil"/>
              <w:bottom w:val="nil"/>
              <w:right w:val="nil"/>
            </w:tcBorders>
            <w:shd w:val="clear" w:color="auto" w:fill="auto"/>
            <w:noWrap/>
            <w:vAlign w:val="bottom"/>
            <w:hideMark/>
          </w:tcPr>
          <w:p w14:paraId="4843BBD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1.10</w:t>
            </w:r>
          </w:p>
        </w:tc>
      </w:tr>
      <w:tr w:rsidR="0021432C" w:rsidRPr="0041348B" w14:paraId="526422C1" w14:textId="77777777" w:rsidTr="0021432C">
        <w:trPr>
          <w:trHeight w:val="288"/>
        </w:trPr>
        <w:tc>
          <w:tcPr>
            <w:tcW w:w="3747" w:type="dxa"/>
            <w:tcBorders>
              <w:top w:val="nil"/>
              <w:left w:val="nil"/>
              <w:bottom w:val="nil"/>
              <w:right w:val="nil"/>
            </w:tcBorders>
            <w:shd w:val="clear" w:color="auto" w:fill="auto"/>
            <w:vAlign w:val="center"/>
            <w:hideMark/>
          </w:tcPr>
          <w:p w14:paraId="4DEB4AD2"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Country context</w:t>
            </w:r>
          </w:p>
        </w:tc>
        <w:tc>
          <w:tcPr>
            <w:tcW w:w="889" w:type="dxa"/>
            <w:tcBorders>
              <w:top w:val="nil"/>
              <w:left w:val="nil"/>
              <w:bottom w:val="nil"/>
              <w:right w:val="nil"/>
            </w:tcBorders>
            <w:shd w:val="clear" w:color="auto" w:fill="auto"/>
            <w:noWrap/>
            <w:vAlign w:val="bottom"/>
            <w:hideMark/>
          </w:tcPr>
          <w:p w14:paraId="56A2346D" w14:textId="77777777" w:rsidR="0041348B" w:rsidRPr="0048638A" w:rsidRDefault="0041348B" w:rsidP="005636E1">
            <w:pPr>
              <w:spacing w:line="240" w:lineRule="auto"/>
              <w:contextualSpacing/>
              <w:rPr>
                <w:i/>
                <w:iCs/>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27C22725"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5E647F58"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5076490E"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64DD821D"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20D57F2F"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397CF016"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91356CF"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45F5FC5F"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08DF92B2"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040B6366"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43F10464"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10423CFC"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582A3C0E"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674EBAE0"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299FC9C5" w14:textId="77777777" w:rsidTr="0021432C">
        <w:trPr>
          <w:trHeight w:val="288"/>
        </w:trPr>
        <w:tc>
          <w:tcPr>
            <w:tcW w:w="3747" w:type="dxa"/>
            <w:tcBorders>
              <w:top w:val="nil"/>
              <w:left w:val="nil"/>
              <w:bottom w:val="nil"/>
              <w:right w:val="nil"/>
            </w:tcBorders>
            <w:shd w:val="clear" w:color="auto" w:fill="auto"/>
            <w:vAlign w:val="center"/>
            <w:hideMark/>
          </w:tcPr>
          <w:p w14:paraId="669617DC"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Income inequality</w:t>
            </w:r>
          </w:p>
        </w:tc>
        <w:tc>
          <w:tcPr>
            <w:tcW w:w="889" w:type="dxa"/>
            <w:tcBorders>
              <w:top w:val="nil"/>
              <w:left w:val="nil"/>
              <w:bottom w:val="nil"/>
              <w:right w:val="nil"/>
            </w:tcBorders>
            <w:shd w:val="clear" w:color="auto" w:fill="auto"/>
            <w:noWrap/>
            <w:vAlign w:val="bottom"/>
            <w:hideMark/>
          </w:tcPr>
          <w:p w14:paraId="271E334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734" w:type="dxa"/>
            <w:tcBorders>
              <w:top w:val="nil"/>
              <w:left w:val="nil"/>
              <w:bottom w:val="nil"/>
              <w:right w:val="nil"/>
            </w:tcBorders>
            <w:shd w:val="clear" w:color="auto" w:fill="auto"/>
            <w:noWrap/>
            <w:vAlign w:val="bottom"/>
            <w:hideMark/>
          </w:tcPr>
          <w:p w14:paraId="4CA21B4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5" w:type="dxa"/>
            <w:tcBorders>
              <w:top w:val="nil"/>
              <w:left w:val="nil"/>
              <w:bottom w:val="nil"/>
              <w:right w:val="nil"/>
            </w:tcBorders>
            <w:shd w:val="clear" w:color="auto" w:fill="auto"/>
            <w:noWrap/>
            <w:vAlign w:val="bottom"/>
            <w:hideMark/>
          </w:tcPr>
          <w:p w14:paraId="01FCA57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1.02</w:t>
            </w:r>
          </w:p>
        </w:tc>
        <w:tc>
          <w:tcPr>
            <w:tcW w:w="261" w:type="dxa"/>
            <w:tcBorders>
              <w:top w:val="nil"/>
              <w:left w:val="nil"/>
              <w:bottom w:val="nil"/>
              <w:right w:val="nil"/>
            </w:tcBorders>
            <w:shd w:val="clear" w:color="auto" w:fill="auto"/>
            <w:noWrap/>
            <w:vAlign w:val="bottom"/>
            <w:hideMark/>
          </w:tcPr>
          <w:p w14:paraId="5464B50C"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682800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94" w:type="dxa"/>
            <w:tcBorders>
              <w:top w:val="nil"/>
              <w:left w:val="nil"/>
              <w:bottom w:val="nil"/>
              <w:right w:val="nil"/>
            </w:tcBorders>
            <w:shd w:val="clear" w:color="auto" w:fill="auto"/>
            <w:noWrap/>
            <w:vAlign w:val="bottom"/>
            <w:hideMark/>
          </w:tcPr>
          <w:p w14:paraId="47756D6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668" w:type="dxa"/>
            <w:tcBorders>
              <w:top w:val="nil"/>
              <w:left w:val="nil"/>
              <w:bottom w:val="nil"/>
              <w:right w:val="nil"/>
            </w:tcBorders>
            <w:shd w:val="clear" w:color="auto" w:fill="auto"/>
            <w:noWrap/>
            <w:vAlign w:val="bottom"/>
            <w:hideMark/>
          </w:tcPr>
          <w:p w14:paraId="7EF29D0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1.02</w:t>
            </w:r>
          </w:p>
        </w:tc>
        <w:tc>
          <w:tcPr>
            <w:tcW w:w="261" w:type="dxa"/>
            <w:tcBorders>
              <w:top w:val="nil"/>
              <w:left w:val="nil"/>
              <w:bottom w:val="nil"/>
              <w:right w:val="nil"/>
            </w:tcBorders>
            <w:shd w:val="clear" w:color="auto" w:fill="auto"/>
            <w:noWrap/>
            <w:vAlign w:val="bottom"/>
            <w:hideMark/>
          </w:tcPr>
          <w:p w14:paraId="3C7EC725"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6AAB9D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94" w:type="dxa"/>
            <w:tcBorders>
              <w:top w:val="nil"/>
              <w:left w:val="nil"/>
              <w:bottom w:val="nil"/>
              <w:right w:val="nil"/>
            </w:tcBorders>
            <w:shd w:val="clear" w:color="auto" w:fill="auto"/>
            <w:noWrap/>
            <w:vAlign w:val="bottom"/>
            <w:hideMark/>
          </w:tcPr>
          <w:p w14:paraId="3EA97B4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668" w:type="dxa"/>
            <w:tcBorders>
              <w:top w:val="nil"/>
              <w:left w:val="nil"/>
              <w:bottom w:val="nil"/>
              <w:right w:val="nil"/>
            </w:tcBorders>
            <w:shd w:val="clear" w:color="auto" w:fill="auto"/>
            <w:noWrap/>
            <w:vAlign w:val="bottom"/>
            <w:hideMark/>
          </w:tcPr>
          <w:p w14:paraId="06EB0F6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1.02</w:t>
            </w:r>
          </w:p>
        </w:tc>
        <w:tc>
          <w:tcPr>
            <w:tcW w:w="261" w:type="dxa"/>
            <w:tcBorders>
              <w:top w:val="nil"/>
              <w:left w:val="nil"/>
              <w:bottom w:val="nil"/>
              <w:right w:val="nil"/>
            </w:tcBorders>
            <w:shd w:val="clear" w:color="auto" w:fill="auto"/>
            <w:noWrap/>
            <w:vAlign w:val="bottom"/>
            <w:hideMark/>
          </w:tcPr>
          <w:p w14:paraId="02BB06F7"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C06E0B6"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0EE77BB1"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6180EA0C"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6CBC0C99" w14:textId="77777777" w:rsidTr="0021432C">
        <w:trPr>
          <w:trHeight w:val="288"/>
        </w:trPr>
        <w:tc>
          <w:tcPr>
            <w:tcW w:w="3747" w:type="dxa"/>
            <w:tcBorders>
              <w:top w:val="nil"/>
              <w:left w:val="nil"/>
              <w:bottom w:val="nil"/>
              <w:right w:val="nil"/>
            </w:tcBorders>
            <w:shd w:val="clear" w:color="auto" w:fill="auto"/>
            <w:vAlign w:val="center"/>
            <w:hideMark/>
          </w:tcPr>
          <w:p w14:paraId="720C4442"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Poverty</w:t>
            </w:r>
          </w:p>
        </w:tc>
        <w:tc>
          <w:tcPr>
            <w:tcW w:w="889" w:type="dxa"/>
            <w:tcBorders>
              <w:top w:val="nil"/>
              <w:left w:val="nil"/>
              <w:bottom w:val="nil"/>
              <w:right w:val="nil"/>
            </w:tcBorders>
            <w:shd w:val="clear" w:color="auto" w:fill="auto"/>
            <w:noWrap/>
            <w:vAlign w:val="bottom"/>
            <w:hideMark/>
          </w:tcPr>
          <w:p w14:paraId="5BA392E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0.01</w:t>
            </w:r>
          </w:p>
        </w:tc>
        <w:tc>
          <w:tcPr>
            <w:tcW w:w="734" w:type="dxa"/>
            <w:tcBorders>
              <w:top w:val="nil"/>
              <w:left w:val="nil"/>
              <w:bottom w:val="nil"/>
              <w:right w:val="nil"/>
            </w:tcBorders>
            <w:shd w:val="clear" w:color="auto" w:fill="auto"/>
            <w:noWrap/>
            <w:vAlign w:val="bottom"/>
            <w:hideMark/>
          </w:tcPr>
          <w:p w14:paraId="2D48B78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5" w:type="dxa"/>
            <w:tcBorders>
              <w:top w:val="nil"/>
              <w:left w:val="nil"/>
              <w:bottom w:val="nil"/>
              <w:right w:val="nil"/>
            </w:tcBorders>
            <w:shd w:val="clear" w:color="auto" w:fill="auto"/>
            <w:noWrap/>
            <w:vAlign w:val="bottom"/>
            <w:hideMark/>
          </w:tcPr>
          <w:p w14:paraId="59B4EA8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1.01</w:t>
            </w:r>
          </w:p>
        </w:tc>
        <w:tc>
          <w:tcPr>
            <w:tcW w:w="261" w:type="dxa"/>
            <w:tcBorders>
              <w:top w:val="nil"/>
              <w:left w:val="nil"/>
              <w:bottom w:val="nil"/>
              <w:right w:val="nil"/>
            </w:tcBorders>
            <w:shd w:val="clear" w:color="auto" w:fill="auto"/>
            <w:noWrap/>
            <w:vAlign w:val="bottom"/>
            <w:hideMark/>
          </w:tcPr>
          <w:p w14:paraId="0C95A033"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32F7AA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94" w:type="dxa"/>
            <w:tcBorders>
              <w:top w:val="nil"/>
              <w:left w:val="nil"/>
              <w:bottom w:val="nil"/>
              <w:right w:val="nil"/>
            </w:tcBorders>
            <w:shd w:val="clear" w:color="auto" w:fill="auto"/>
            <w:noWrap/>
            <w:vAlign w:val="bottom"/>
            <w:hideMark/>
          </w:tcPr>
          <w:p w14:paraId="2F802B8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668" w:type="dxa"/>
            <w:tcBorders>
              <w:top w:val="nil"/>
              <w:left w:val="nil"/>
              <w:bottom w:val="nil"/>
              <w:right w:val="nil"/>
            </w:tcBorders>
            <w:shd w:val="clear" w:color="auto" w:fill="auto"/>
            <w:noWrap/>
            <w:vAlign w:val="bottom"/>
            <w:hideMark/>
          </w:tcPr>
          <w:p w14:paraId="6311FCD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1.02</w:t>
            </w:r>
          </w:p>
        </w:tc>
        <w:tc>
          <w:tcPr>
            <w:tcW w:w="261" w:type="dxa"/>
            <w:tcBorders>
              <w:top w:val="nil"/>
              <w:left w:val="nil"/>
              <w:bottom w:val="nil"/>
              <w:right w:val="nil"/>
            </w:tcBorders>
            <w:shd w:val="clear" w:color="auto" w:fill="auto"/>
            <w:noWrap/>
            <w:vAlign w:val="bottom"/>
            <w:hideMark/>
          </w:tcPr>
          <w:p w14:paraId="441D52B7"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3FB206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0.01</w:t>
            </w:r>
          </w:p>
        </w:tc>
        <w:tc>
          <w:tcPr>
            <w:tcW w:w="694" w:type="dxa"/>
            <w:tcBorders>
              <w:top w:val="nil"/>
              <w:left w:val="nil"/>
              <w:bottom w:val="nil"/>
              <w:right w:val="nil"/>
            </w:tcBorders>
            <w:shd w:val="clear" w:color="auto" w:fill="auto"/>
            <w:noWrap/>
            <w:vAlign w:val="bottom"/>
            <w:hideMark/>
          </w:tcPr>
          <w:p w14:paraId="4417EFA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668" w:type="dxa"/>
            <w:tcBorders>
              <w:top w:val="nil"/>
              <w:left w:val="nil"/>
              <w:bottom w:val="nil"/>
              <w:right w:val="nil"/>
            </w:tcBorders>
            <w:shd w:val="clear" w:color="auto" w:fill="auto"/>
            <w:noWrap/>
            <w:vAlign w:val="bottom"/>
            <w:hideMark/>
          </w:tcPr>
          <w:p w14:paraId="6551D5B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1.01</w:t>
            </w:r>
          </w:p>
        </w:tc>
        <w:tc>
          <w:tcPr>
            <w:tcW w:w="261" w:type="dxa"/>
            <w:tcBorders>
              <w:top w:val="nil"/>
              <w:left w:val="nil"/>
              <w:bottom w:val="nil"/>
              <w:right w:val="nil"/>
            </w:tcBorders>
            <w:shd w:val="clear" w:color="auto" w:fill="auto"/>
            <w:noWrap/>
            <w:vAlign w:val="bottom"/>
            <w:hideMark/>
          </w:tcPr>
          <w:p w14:paraId="0F81F8CD"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8327FFB"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146479CE"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6DA1A176"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5DB2219A" w14:textId="77777777" w:rsidTr="0021432C">
        <w:trPr>
          <w:trHeight w:val="288"/>
        </w:trPr>
        <w:tc>
          <w:tcPr>
            <w:tcW w:w="3747" w:type="dxa"/>
            <w:tcBorders>
              <w:top w:val="nil"/>
              <w:left w:val="nil"/>
              <w:bottom w:val="nil"/>
              <w:right w:val="nil"/>
            </w:tcBorders>
            <w:shd w:val="clear" w:color="auto" w:fill="auto"/>
            <w:vAlign w:val="center"/>
            <w:hideMark/>
          </w:tcPr>
          <w:p w14:paraId="053C369B"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Percent migrant</w:t>
            </w:r>
          </w:p>
        </w:tc>
        <w:tc>
          <w:tcPr>
            <w:tcW w:w="889" w:type="dxa"/>
            <w:tcBorders>
              <w:top w:val="nil"/>
              <w:left w:val="nil"/>
              <w:bottom w:val="nil"/>
              <w:right w:val="nil"/>
            </w:tcBorders>
            <w:shd w:val="clear" w:color="auto" w:fill="auto"/>
            <w:noWrap/>
            <w:vAlign w:val="bottom"/>
            <w:hideMark/>
          </w:tcPr>
          <w:p w14:paraId="720796D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734" w:type="dxa"/>
            <w:tcBorders>
              <w:top w:val="nil"/>
              <w:left w:val="nil"/>
              <w:bottom w:val="nil"/>
              <w:right w:val="nil"/>
            </w:tcBorders>
            <w:shd w:val="clear" w:color="auto" w:fill="auto"/>
            <w:noWrap/>
            <w:vAlign w:val="bottom"/>
            <w:hideMark/>
          </w:tcPr>
          <w:p w14:paraId="2833DC8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565" w:type="dxa"/>
            <w:tcBorders>
              <w:top w:val="nil"/>
              <w:left w:val="nil"/>
              <w:bottom w:val="nil"/>
              <w:right w:val="nil"/>
            </w:tcBorders>
            <w:shd w:val="clear" w:color="auto" w:fill="auto"/>
            <w:noWrap/>
            <w:vAlign w:val="bottom"/>
            <w:hideMark/>
          </w:tcPr>
          <w:p w14:paraId="68A0EAA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1.02</w:t>
            </w:r>
          </w:p>
        </w:tc>
        <w:tc>
          <w:tcPr>
            <w:tcW w:w="261" w:type="dxa"/>
            <w:tcBorders>
              <w:top w:val="nil"/>
              <w:left w:val="nil"/>
              <w:bottom w:val="nil"/>
              <w:right w:val="nil"/>
            </w:tcBorders>
            <w:shd w:val="clear" w:color="auto" w:fill="auto"/>
            <w:noWrap/>
            <w:vAlign w:val="bottom"/>
            <w:hideMark/>
          </w:tcPr>
          <w:p w14:paraId="00571C48"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8E4A33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94" w:type="dxa"/>
            <w:tcBorders>
              <w:top w:val="nil"/>
              <w:left w:val="nil"/>
              <w:bottom w:val="nil"/>
              <w:right w:val="nil"/>
            </w:tcBorders>
            <w:shd w:val="clear" w:color="auto" w:fill="auto"/>
            <w:noWrap/>
            <w:vAlign w:val="bottom"/>
            <w:hideMark/>
          </w:tcPr>
          <w:p w14:paraId="665548A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68" w:type="dxa"/>
            <w:tcBorders>
              <w:top w:val="nil"/>
              <w:left w:val="nil"/>
              <w:bottom w:val="nil"/>
              <w:right w:val="nil"/>
            </w:tcBorders>
            <w:shd w:val="clear" w:color="auto" w:fill="auto"/>
            <w:noWrap/>
            <w:vAlign w:val="bottom"/>
            <w:hideMark/>
          </w:tcPr>
          <w:p w14:paraId="70D0D2D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1.02</w:t>
            </w:r>
          </w:p>
        </w:tc>
        <w:tc>
          <w:tcPr>
            <w:tcW w:w="261" w:type="dxa"/>
            <w:tcBorders>
              <w:top w:val="nil"/>
              <w:left w:val="nil"/>
              <w:bottom w:val="nil"/>
              <w:right w:val="nil"/>
            </w:tcBorders>
            <w:shd w:val="clear" w:color="auto" w:fill="auto"/>
            <w:noWrap/>
            <w:vAlign w:val="bottom"/>
            <w:hideMark/>
          </w:tcPr>
          <w:p w14:paraId="16361180"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34A0B6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94" w:type="dxa"/>
            <w:tcBorders>
              <w:top w:val="nil"/>
              <w:left w:val="nil"/>
              <w:bottom w:val="nil"/>
              <w:right w:val="nil"/>
            </w:tcBorders>
            <w:shd w:val="clear" w:color="auto" w:fill="auto"/>
            <w:noWrap/>
            <w:vAlign w:val="bottom"/>
            <w:hideMark/>
          </w:tcPr>
          <w:p w14:paraId="3AA364B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68" w:type="dxa"/>
            <w:tcBorders>
              <w:top w:val="nil"/>
              <w:left w:val="nil"/>
              <w:bottom w:val="nil"/>
              <w:right w:val="nil"/>
            </w:tcBorders>
            <w:shd w:val="clear" w:color="auto" w:fill="auto"/>
            <w:noWrap/>
            <w:vAlign w:val="bottom"/>
            <w:hideMark/>
          </w:tcPr>
          <w:p w14:paraId="295B066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1.02</w:t>
            </w:r>
          </w:p>
        </w:tc>
        <w:tc>
          <w:tcPr>
            <w:tcW w:w="261" w:type="dxa"/>
            <w:tcBorders>
              <w:top w:val="nil"/>
              <w:left w:val="nil"/>
              <w:bottom w:val="nil"/>
              <w:right w:val="nil"/>
            </w:tcBorders>
            <w:shd w:val="clear" w:color="auto" w:fill="auto"/>
            <w:noWrap/>
            <w:vAlign w:val="bottom"/>
            <w:hideMark/>
          </w:tcPr>
          <w:p w14:paraId="2411CCC1"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9E8BD16"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50AADEF1"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4637973F"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434AA498" w14:textId="77777777" w:rsidTr="0021432C">
        <w:trPr>
          <w:trHeight w:val="288"/>
        </w:trPr>
        <w:tc>
          <w:tcPr>
            <w:tcW w:w="3747" w:type="dxa"/>
            <w:tcBorders>
              <w:top w:val="nil"/>
              <w:left w:val="nil"/>
              <w:bottom w:val="nil"/>
              <w:right w:val="nil"/>
            </w:tcBorders>
            <w:shd w:val="clear" w:color="auto" w:fill="auto"/>
            <w:vAlign w:val="center"/>
            <w:hideMark/>
          </w:tcPr>
          <w:p w14:paraId="15C0095C" w14:textId="75F56283"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Discrimination</w:t>
            </w:r>
            <w:r w:rsidR="009728DE">
              <w:rPr>
                <w:color w:val="000000"/>
                <w:sz w:val="18"/>
                <w:szCs w:val="18"/>
                <w:lang w:val="en-US" w:eastAsia="en-US"/>
              </w:rPr>
              <w:t xml:space="preserve"> (ln)</w:t>
            </w:r>
          </w:p>
        </w:tc>
        <w:tc>
          <w:tcPr>
            <w:tcW w:w="889" w:type="dxa"/>
            <w:tcBorders>
              <w:top w:val="nil"/>
              <w:left w:val="nil"/>
              <w:bottom w:val="nil"/>
              <w:right w:val="nil"/>
            </w:tcBorders>
            <w:shd w:val="clear" w:color="auto" w:fill="auto"/>
            <w:noWrap/>
            <w:vAlign w:val="bottom"/>
            <w:hideMark/>
          </w:tcPr>
          <w:p w14:paraId="0333BDEE"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0.32</w:t>
            </w:r>
            <w:r w:rsidRPr="0048638A">
              <w:rPr>
                <w:b/>
                <w:bCs/>
                <w:color w:val="000000"/>
                <w:sz w:val="18"/>
                <w:szCs w:val="18"/>
                <w:vertAlign w:val="superscript"/>
                <w:lang w:val="en-US" w:eastAsia="en-US"/>
              </w:rPr>
              <w:t>+</w:t>
            </w:r>
          </w:p>
        </w:tc>
        <w:tc>
          <w:tcPr>
            <w:tcW w:w="734" w:type="dxa"/>
            <w:tcBorders>
              <w:top w:val="nil"/>
              <w:left w:val="nil"/>
              <w:bottom w:val="nil"/>
              <w:right w:val="nil"/>
            </w:tcBorders>
            <w:shd w:val="clear" w:color="auto" w:fill="auto"/>
            <w:noWrap/>
            <w:vAlign w:val="bottom"/>
            <w:hideMark/>
          </w:tcPr>
          <w:p w14:paraId="730A0D1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(0.19)</w:t>
            </w:r>
          </w:p>
        </w:tc>
        <w:tc>
          <w:tcPr>
            <w:tcW w:w="565" w:type="dxa"/>
            <w:tcBorders>
              <w:top w:val="nil"/>
              <w:left w:val="nil"/>
              <w:bottom w:val="nil"/>
              <w:right w:val="nil"/>
            </w:tcBorders>
            <w:shd w:val="clear" w:color="auto" w:fill="auto"/>
            <w:noWrap/>
            <w:vAlign w:val="bottom"/>
            <w:hideMark/>
          </w:tcPr>
          <w:p w14:paraId="63A4AC4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1.38</w:t>
            </w:r>
          </w:p>
        </w:tc>
        <w:tc>
          <w:tcPr>
            <w:tcW w:w="261" w:type="dxa"/>
            <w:tcBorders>
              <w:top w:val="nil"/>
              <w:left w:val="nil"/>
              <w:bottom w:val="nil"/>
              <w:right w:val="nil"/>
            </w:tcBorders>
            <w:shd w:val="clear" w:color="auto" w:fill="auto"/>
            <w:noWrap/>
            <w:vAlign w:val="bottom"/>
            <w:hideMark/>
          </w:tcPr>
          <w:p w14:paraId="3F71316D"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7481E71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0.22</w:t>
            </w:r>
          </w:p>
        </w:tc>
        <w:tc>
          <w:tcPr>
            <w:tcW w:w="694" w:type="dxa"/>
            <w:tcBorders>
              <w:top w:val="nil"/>
              <w:left w:val="nil"/>
              <w:bottom w:val="nil"/>
              <w:right w:val="nil"/>
            </w:tcBorders>
            <w:shd w:val="clear" w:color="auto" w:fill="auto"/>
            <w:noWrap/>
            <w:vAlign w:val="bottom"/>
            <w:hideMark/>
          </w:tcPr>
          <w:p w14:paraId="368AEB3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(0.18)</w:t>
            </w:r>
          </w:p>
        </w:tc>
        <w:tc>
          <w:tcPr>
            <w:tcW w:w="668" w:type="dxa"/>
            <w:tcBorders>
              <w:top w:val="nil"/>
              <w:left w:val="nil"/>
              <w:bottom w:val="nil"/>
              <w:right w:val="nil"/>
            </w:tcBorders>
            <w:shd w:val="clear" w:color="auto" w:fill="auto"/>
            <w:noWrap/>
            <w:vAlign w:val="bottom"/>
            <w:hideMark/>
          </w:tcPr>
          <w:p w14:paraId="0A6E8E0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1.24</w:t>
            </w:r>
          </w:p>
        </w:tc>
        <w:tc>
          <w:tcPr>
            <w:tcW w:w="261" w:type="dxa"/>
            <w:tcBorders>
              <w:top w:val="nil"/>
              <w:left w:val="nil"/>
              <w:bottom w:val="nil"/>
              <w:right w:val="nil"/>
            </w:tcBorders>
            <w:shd w:val="clear" w:color="auto" w:fill="auto"/>
            <w:noWrap/>
            <w:vAlign w:val="bottom"/>
            <w:hideMark/>
          </w:tcPr>
          <w:p w14:paraId="4E4C3FDF"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E3B1BD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0.19</w:t>
            </w:r>
          </w:p>
        </w:tc>
        <w:tc>
          <w:tcPr>
            <w:tcW w:w="694" w:type="dxa"/>
            <w:tcBorders>
              <w:top w:val="nil"/>
              <w:left w:val="nil"/>
              <w:bottom w:val="nil"/>
              <w:right w:val="nil"/>
            </w:tcBorders>
            <w:shd w:val="clear" w:color="auto" w:fill="auto"/>
            <w:noWrap/>
            <w:vAlign w:val="bottom"/>
            <w:hideMark/>
          </w:tcPr>
          <w:p w14:paraId="1CA8BC9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(0.19)</w:t>
            </w:r>
          </w:p>
        </w:tc>
        <w:tc>
          <w:tcPr>
            <w:tcW w:w="668" w:type="dxa"/>
            <w:tcBorders>
              <w:top w:val="nil"/>
              <w:left w:val="nil"/>
              <w:bottom w:val="nil"/>
              <w:right w:val="nil"/>
            </w:tcBorders>
            <w:shd w:val="clear" w:color="auto" w:fill="auto"/>
            <w:noWrap/>
            <w:vAlign w:val="bottom"/>
            <w:hideMark/>
          </w:tcPr>
          <w:p w14:paraId="10569A8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1.21</w:t>
            </w:r>
          </w:p>
        </w:tc>
        <w:tc>
          <w:tcPr>
            <w:tcW w:w="261" w:type="dxa"/>
            <w:tcBorders>
              <w:top w:val="nil"/>
              <w:left w:val="nil"/>
              <w:bottom w:val="nil"/>
              <w:right w:val="nil"/>
            </w:tcBorders>
            <w:shd w:val="clear" w:color="auto" w:fill="auto"/>
            <w:noWrap/>
            <w:vAlign w:val="bottom"/>
            <w:hideMark/>
          </w:tcPr>
          <w:p w14:paraId="6573326A"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F61F2A3"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3BA620CC"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6F44F3D2"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04CAC090" w14:textId="77777777" w:rsidTr="0021432C">
        <w:trPr>
          <w:trHeight w:val="288"/>
        </w:trPr>
        <w:tc>
          <w:tcPr>
            <w:tcW w:w="3747" w:type="dxa"/>
            <w:tcBorders>
              <w:top w:val="nil"/>
              <w:left w:val="nil"/>
              <w:bottom w:val="nil"/>
              <w:right w:val="nil"/>
            </w:tcBorders>
            <w:shd w:val="clear" w:color="auto" w:fill="auto"/>
            <w:vAlign w:val="center"/>
            <w:hideMark/>
          </w:tcPr>
          <w:p w14:paraId="219924E0"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Crime victimization</w:t>
            </w:r>
          </w:p>
        </w:tc>
        <w:tc>
          <w:tcPr>
            <w:tcW w:w="889" w:type="dxa"/>
            <w:tcBorders>
              <w:top w:val="nil"/>
              <w:left w:val="nil"/>
              <w:bottom w:val="nil"/>
              <w:right w:val="nil"/>
            </w:tcBorders>
            <w:shd w:val="clear" w:color="auto" w:fill="auto"/>
            <w:noWrap/>
            <w:vAlign w:val="bottom"/>
            <w:hideMark/>
          </w:tcPr>
          <w:p w14:paraId="0B286E0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-0.83</w:t>
            </w:r>
          </w:p>
        </w:tc>
        <w:tc>
          <w:tcPr>
            <w:tcW w:w="734" w:type="dxa"/>
            <w:tcBorders>
              <w:top w:val="nil"/>
              <w:left w:val="nil"/>
              <w:bottom w:val="nil"/>
              <w:right w:val="nil"/>
            </w:tcBorders>
            <w:shd w:val="clear" w:color="auto" w:fill="auto"/>
            <w:noWrap/>
            <w:vAlign w:val="bottom"/>
            <w:hideMark/>
          </w:tcPr>
          <w:p w14:paraId="2912F04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(1.89)</w:t>
            </w:r>
          </w:p>
        </w:tc>
        <w:tc>
          <w:tcPr>
            <w:tcW w:w="565" w:type="dxa"/>
            <w:tcBorders>
              <w:top w:val="nil"/>
              <w:left w:val="nil"/>
              <w:bottom w:val="nil"/>
              <w:right w:val="nil"/>
            </w:tcBorders>
            <w:shd w:val="clear" w:color="auto" w:fill="auto"/>
            <w:noWrap/>
            <w:vAlign w:val="bottom"/>
            <w:hideMark/>
          </w:tcPr>
          <w:p w14:paraId="5698511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0.44</w:t>
            </w:r>
          </w:p>
        </w:tc>
        <w:tc>
          <w:tcPr>
            <w:tcW w:w="261" w:type="dxa"/>
            <w:tcBorders>
              <w:top w:val="nil"/>
              <w:left w:val="nil"/>
              <w:bottom w:val="nil"/>
              <w:right w:val="nil"/>
            </w:tcBorders>
            <w:shd w:val="clear" w:color="auto" w:fill="auto"/>
            <w:noWrap/>
            <w:vAlign w:val="bottom"/>
            <w:hideMark/>
          </w:tcPr>
          <w:p w14:paraId="2C6BF13E"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412A41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-0.18</w:t>
            </w:r>
          </w:p>
        </w:tc>
        <w:tc>
          <w:tcPr>
            <w:tcW w:w="694" w:type="dxa"/>
            <w:tcBorders>
              <w:top w:val="nil"/>
              <w:left w:val="nil"/>
              <w:bottom w:val="nil"/>
              <w:right w:val="nil"/>
            </w:tcBorders>
            <w:shd w:val="clear" w:color="auto" w:fill="auto"/>
            <w:noWrap/>
            <w:vAlign w:val="bottom"/>
            <w:hideMark/>
          </w:tcPr>
          <w:p w14:paraId="1A2E455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(1.83)</w:t>
            </w:r>
          </w:p>
        </w:tc>
        <w:tc>
          <w:tcPr>
            <w:tcW w:w="668" w:type="dxa"/>
            <w:tcBorders>
              <w:top w:val="nil"/>
              <w:left w:val="nil"/>
              <w:bottom w:val="nil"/>
              <w:right w:val="nil"/>
            </w:tcBorders>
            <w:shd w:val="clear" w:color="auto" w:fill="auto"/>
            <w:noWrap/>
            <w:vAlign w:val="bottom"/>
            <w:hideMark/>
          </w:tcPr>
          <w:p w14:paraId="7C27413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0.84</w:t>
            </w:r>
          </w:p>
        </w:tc>
        <w:tc>
          <w:tcPr>
            <w:tcW w:w="261" w:type="dxa"/>
            <w:tcBorders>
              <w:top w:val="nil"/>
              <w:left w:val="nil"/>
              <w:bottom w:val="nil"/>
              <w:right w:val="nil"/>
            </w:tcBorders>
            <w:shd w:val="clear" w:color="auto" w:fill="auto"/>
            <w:noWrap/>
            <w:vAlign w:val="bottom"/>
            <w:hideMark/>
          </w:tcPr>
          <w:p w14:paraId="08FEE688"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5DE9E6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-0.25</w:t>
            </w:r>
          </w:p>
        </w:tc>
        <w:tc>
          <w:tcPr>
            <w:tcW w:w="694" w:type="dxa"/>
            <w:tcBorders>
              <w:top w:val="nil"/>
              <w:left w:val="nil"/>
              <w:bottom w:val="nil"/>
              <w:right w:val="nil"/>
            </w:tcBorders>
            <w:shd w:val="clear" w:color="auto" w:fill="auto"/>
            <w:noWrap/>
            <w:vAlign w:val="bottom"/>
            <w:hideMark/>
          </w:tcPr>
          <w:p w14:paraId="386F118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(1.87)</w:t>
            </w:r>
          </w:p>
        </w:tc>
        <w:tc>
          <w:tcPr>
            <w:tcW w:w="668" w:type="dxa"/>
            <w:tcBorders>
              <w:top w:val="nil"/>
              <w:left w:val="nil"/>
              <w:bottom w:val="nil"/>
              <w:right w:val="nil"/>
            </w:tcBorders>
            <w:shd w:val="clear" w:color="auto" w:fill="auto"/>
            <w:noWrap/>
            <w:vAlign w:val="bottom"/>
            <w:hideMark/>
          </w:tcPr>
          <w:p w14:paraId="180078E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0.78</w:t>
            </w:r>
          </w:p>
        </w:tc>
        <w:tc>
          <w:tcPr>
            <w:tcW w:w="261" w:type="dxa"/>
            <w:tcBorders>
              <w:top w:val="nil"/>
              <w:left w:val="nil"/>
              <w:bottom w:val="nil"/>
              <w:right w:val="nil"/>
            </w:tcBorders>
            <w:shd w:val="clear" w:color="auto" w:fill="auto"/>
            <w:noWrap/>
            <w:vAlign w:val="bottom"/>
            <w:hideMark/>
          </w:tcPr>
          <w:p w14:paraId="652A2DD9"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E2DBD11"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5BBB09D8"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3175870D"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5E9A622C" w14:textId="77777777" w:rsidTr="0021432C">
        <w:trPr>
          <w:trHeight w:val="288"/>
        </w:trPr>
        <w:tc>
          <w:tcPr>
            <w:tcW w:w="3747" w:type="dxa"/>
            <w:tcBorders>
              <w:top w:val="nil"/>
              <w:left w:val="nil"/>
              <w:bottom w:val="nil"/>
              <w:right w:val="nil"/>
            </w:tcBorders>
            <w:shd w:val="clear" w:color="auto" w:fill="auto"/>
            <w:vAlign w:val="center"/>
            <w:hideMark/>
          </w:tcPr>
          <w:p w14:paraId="714A08AF"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Worry about victimization</w:t>
            </w:r>
          </w:p>
        </w:tc>
        <w:tc>
          <w:tcPr>
            <w:tcW w:w="889" w:type="dxa"/>
            <w:tcBorders>
              <w:top w:val="nil"/>
              <w:left w:val="nil"/>
              <w:bottom w:val="nil"/>
              <w:right w:val="nil"/>
            </w:tcBorders>
            <w:shd w:val="clear" w:color="auto" w:fill="auto"/>
            <w:noWrap/>
            <w:vAlign w:val="bottom"/>
            <w:hideMark/>
          </w:tcPr>
          <w:p w14:paraId="403C208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-0.31</w:t>
            </w:r>
          </w:p>
        </w:tc>
        <w:tc>
          <w:tcPr>
            <w:tcW w:w="734" w:type="dxa"/>
            <w:tcBorders>
              <w:top w:val="nil"/>
              <w:left w:val="nil"/>
              <w:bottom w:val="nil"/>
              <w:right w:val="nil"/>
            </w:tcBorders>
            <w:shd w:val="clear" w:color="auto" w:fill="auto"/>
            <w:noWrap/>
            <w:vAlign w:val="bottom"/>
            <w:hideMark/>
          </w:tcPr>
          <w:p w14:paraId="5DB7C35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(0.29)</w:t>
            </w:r>
          </w:p>
        </w:tc>
        <w:tc>
          <w:tcPr>
            <w:tcW w:w="565" w:type="dxa"/>
            <w:tcBorders>
              <w:top w:val="nil"/>
              <w:left w:val="nil"/>
              <w:bottom w:val="nil"/>
              <w:right w:val="nil"/>
            </w:tcBorders>
            <w:shd w:val="clear" w:color="auto" w:fill="auto"/>
            <w:noWrap/>
            <w:vAlign w:val="bottom"/>
            <w:hideMark/>
          </w:tcPr>
          <w:p w14:paraId="6DCCB4B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0.73</w:t>
            </w:r>
          </w:p>
        </w:tc>
        <w:tc>
          <w:tcPr>
            <w:tcW w:w="261" w:type="dxa"/>
            <w:tcBorders>
              <w:top w:val="nil"/>
              <w:left w:val="nil"/>
              <w:bottom w:val="nil"/>
              <w:right w:val="nil"/>
            </w:tcBorders>
            <w:shd w:val="clear" w:color="auto" w:fill="auto"/>
            <w:noWrap/>
            <w:vAlign w:val="bottom"/>
            <w:hideMark/>
          </w:tcPr>
          <w:p w14:paraId="613DDCD2"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D4D465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94" w:type="dxa"/>
            <w:tcBorders>
              <w:top w:val="nil"/>
              <w:left w:val="nil"/>
              <w:bottom w:val="nil"/>
              <w:right w:val="nil"/>
            </w:tcBorders>
            <w:shd w:val="clear" w:color="auto" w:fill="auto"/>
            <w:noWrap/>
            <w:vAlign w:val="bottom"/>
            <w:hideMark/>
          </w:tcPr>
          <w:p w14:paraId="38917B6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(0.28)</w:t>
            </w:r>
          </w:p>
        </w:tc>
        <w:tc>
          <w:tcPr>
            <w:tcW w:w="668" w:type="dxa"/>
            <w:tcBorders>
              <w:top w:val="nil"/>
              <w:left w:val="nil"/>
              <w:bottom w:val="nil"/>
              <w:right w:val="nil"/>
            </w:tcBorders>
            <w:shd w:val="clear" w:color="auto" w:fill="auto"/>
            <w:noWrap/>
            <w:vAlign w:val="bottom"/>
            <w:hideMark/>
          </w:tcPr>
          <w:p w14:paraId="403931C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0.94</w:t>
            </w:r>
          </w:p>
        </w:tc>
        <w:tc>
          <w:tcPr>
            <w:tcW w:w="261" w:type="dxa"/>
            <w:tcBorders>
              <w:top w:val="nil"/>
              <w:left w:val="nil"/>
              <w:bottom w:val="nil"/>
              <w:right w:val="nil"/>
            </w:tcBorders>
            <w:shd w:val="clear" w:color="auto" w:fill="auto"/>
            <w:noWrap/>
            <w:vAlign w:val="bottom"/>
            <w:hideMark/>
          </w:tcPr>
          <w:p w14:paraId="6D36B08C"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61FD93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94" w:type="dxa"/>
            <w:tcBorders>
              <w:top w:val="nil"/>
              <w:left w:val="nil"/>
              <w:bottom w:val="nil"/>
              <w:right w:val="nil"/>
            </w:tcBorders>
            <w:shd w:val="clear" w:color="auto" w:fill="auto"/>
            <w:noWrap/>
            <w:vAlign w:val="bottom"/>
            <w:hideMark/>
          </w:tcPr>
          <w:p w14:paraId="6EDD755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(0.29)</w:t>
            </w:r>
          </w:p>
        </w:tc>
        <w:tc>
          <w:tcPr>
            <w:tcW w:w="668" w:type="dxa"/>
            <w:tcBorders>
              <w:top w:val="nil"/>
              <w:left w:val="nil"/>
              <w:bottom w:val="nil"/>
              <w:right w:val="nil"/>
            </w:tcBorders>
            <w:shd w:val="clear" w:color="auto" w:fill="auto"/>
            <w:noWrap/>
            <w:vAlign w:val="bottom"/>
            <w:hideMark/>
          </w:tcPr>
          <w:p w14:paraId="40EB5A5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1.05</w:t>
            </w:r>
          </w:p>
        </w:tc>
        <w:tc>
          <w:tcPr>
            <w:tcW w:w="261" w:type="dxa"/>
            <w:tcBorders>
              <w:top w:val="nil"/>
              <w:left w:val="nil"/>
              <w:bottom w:val="nil"/>
              <w:right w:val="nil"/>
            </w:tcBorders>
            <w:shd w:val="clear" w:color="auto" w:fill="auto"/>
            <w:noWrap/>
            <w:vAlign w:val="bottom"/>
            <w:hideMark/>
          </w:tcPr>
          <w:p w14:paraId="1FF52C8C"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BBABD25"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65F6F674"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4E599AF4"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0DC53188" w14:textId="77777777" w:rsidTr="0021432C">
        <w:trPr>
          <w:trHeight w:val="288"/>
        </w:trPr>
        <w:tc>
          <w:tcPr>
            <w:tcW w:w="3747" w:type="dxa"/>
            <w:tcBorders>
              <w:top w:val="nil"/>
              <w:left w:val="nil"/>
              <w:bottom w:val="nil"/>
              <w:right w:val="nil"/>
            </w:tcBorders>
            <w:shd w:val="clear" w:color="auto" w:fill="auto"/>
            <w:vAlign w:val="center"/>
            <w:hideMark/>
          </w:tcPr>
          <w:p w14:paraId="63B52286"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Attitudes towards immigration</w:t>
            </w:r>
          </w:p>
        </w:tc>
        <w:tc>
          <w:tcPr>
            <w:tcW w:w="889" w:type="dxa"/>
            <w:tcBorders>
              <w:top w:val="nil"/>
              <w:left w:val="nil"/>
              <w:bottom w:val="nil"/>
              <w:right w:val="nil"/>
            </w:tcBorders>
            <w:shd w:val="clear" w:color="auto" w:fill="auto"/>
            <w:noWrap/>
            <w:vAlign w:val="bottom"/>
            <w:hideMark/>
          </w:tcPr>
          <w:p w14:paraId="36FA6824"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0.12**</w:t>
            </w:r>
          </w:p>
        </w:tc>
        <w:tc>
          <w:tcPr>
            <w:tcW w:w="734" w:type="dxa"/>
            <w:tcBorders>
              <w:top w:val="nil"/>
              <w:left w:val="nil"/>
              <w:bottom w:val="nil"/>
              <w:right w:val="nil"/>
            </w:tcBorders>
            <w:shd w:val="clear" w:color="auto" w:fill="auto"/>
            <w:noWrap/>
            <w:vAlign w:val="bottom"/>
            <w:hideMark/>
          </w:tcPr>
          <w:p w14:paraId="3F79F16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442F3C2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1.12</w:t>
            </w:r>
          </w:p>
        </w:tc>
        <w:tc>
          <w:tcPr>
            <w:tcW w:w="261" w:type="dxa"/>
            <w:tcBorders>
              <w:top w:val="nil"/>
              <w:left w:val="nil"/>
              <w:bottom w:val="nil"/>
              <w:right w:val="nil"/>
            </w:tcBorders>
            <w:shd w:val="clear" w:color="auto" w:fill="auto"/>
            <w:noWrap/>
            <w:vAlign w:val="bottom"/>
            <w:hideMark/>
          </w:tcPr>
          <w:p w14:paraId="6323C3C3"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E1A0BFE"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0.09*</w:t>
            </w:r>
          </w:p>
        </w:tc>
        <w:tc>
          <w:tcPr>
            <w:tcW w:w="694" w:type="dxa"/>
            <w:tcBorders>
              <w:top w:val="nil"/>
              <w:left w:val="nil"/>
              <w:bottom w:val="nil"/>
              <w:right w:val="nil"/>
            </w:tcBorders>
            <w:shd w:val="clear" w:color="auto" w:fill="auto"/>
            <w:noWrap/>
            <w:vAlign w:val="bottom"/>
            <w:hideMark/>
          </w:tcPr>
          <w:p w14:paraId="784B0EA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nil"/>
              <w:right w:val="nil"/>
            </w:tcBorders>
            <w:shd w:val="clear" w:color="auto" w:fill="auto"/>
            <w:noWrap/>
            <w:vAlign w:val="bottom"/>
            <w:hideMark/>
          </w:tcPr>
          <w:p w14:paraId="727DEE6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1.10</w:t>
            </w:r>
          </w:p>
        </w:tc>
        <w:tc>
          <w:tcPr>
            <w:tcW w:w="261" w:type="dxa"/>
            <w:tcBorders>
              <w:top w:val="nil"/>
              <w:left w:val="nil"/>
              <w:bottom w:val="nil"/>
              <w:right w:val="nil"/>
            </w:tcBorders>
            <w:shd w:val="clear" w:color="auto" w:fill="auto"/>
            <w:noWrap/>
            <w:vAlign w:val="bottom"/>
            <w:hideMark/>
          </w:tcPr>
          <w:p w14:paraId="643038F0"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90546B3"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0.08*</w:t>
            </w:r>
          </w:p>
        </w:tc>
        <w:tc>
          <w:tcPr>
            <w:tcW w:w="694" w:type="dxa"/>
            <w:tcBorders>
              <w:top w:val="nil"/>
              <w:left w:val="nil"/>
              <w:bottom w:val="nil"/>
              <w:right w:val="nil"/>
            </w:tcBorders>
            <w:shd w:val="clear" w:color="auto" w:fill="auto"/>
            <w:noWrap/>
            <w:vAlign w:val="bottom"/>
            <w:hideMark/>
          </w:tcPr>
          <w:p w14:paraId="4A76100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nil"/>
              <w:right w:val="nil"/>
            </w:tcBorders>
            <w:shd w:val="clear" w:color="auto" w:fill="auto"/>
            <w:noWrap/>
            <w:vAlign w:val="bottom"/>
            <w:hideMark/>
          </w:tcPr>
          <w:p w14:paraId="2E50BB1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1.09</w:t>
            </w:r>
          </w:p>
        </w:tc>
        <w:tc>
          <w:tcPr>
            <w:tcW w:w="261" w:type="dxa"/>
            <w:tcBorders>
              <w:top w:val="nil"/>
              <w:left w:val="nil"/>
              <w:bottom w:val="nil"/>
              <w:right w:val="nil"/>
            </w:tcBorders>
            <w:shd w:val="clear" w:color="auto" w:fill="auto"/>
            <w:noWrap/>
            <w:vAlign w:val="bottom"/>
            <w:hideMark/>
          </w:tcPr>
          <w:p w14:paraId="6A259108"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E39C489"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4935936F"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2765F719"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29BB41FD" w14:textId="77777777" w:rsidTr="0021432C">
        <w:trPr>
          <w:trHeight w:val="288"/>
        </w:trPr>
        <w:tc>
          <w:tcPr>
            <w:tcW w:w="3747" w:type="dxa"/>
            <w:tcBorders>
              <w:top w:val="nil"/>
              <w:left w:val="nil"/>
              <w:bottom w:val="nil"/>
              <w:right w:val="nil"/>
            </w:tcBorders>
            <w:shd w:val="clear" w:color="auto" w:fill="auto"/>
            <w:noWrap/>
            <w:vAlign w:val="center"/>
            <w:hideMark/>
          </w:tcPr>
          <w:p w14:paraId="6109F1C4"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Economic marginalization</w:t>
            </w:r>
          </w:p>
        </w:tc>
        <w:tc>
          <w:tcPr>
            <w:tcW w:w="889" w:type="dxa"/>
            <w:tcBorders>
              <w:top w:val="nil"/>
              <w:left w:val="nil"/>
              <w:bottom w:val="nil"/>
              <w:right w:val="nil"/>
            </w:tcBorders>
            <w:shd w:val="clear" w:color="auto" w:fill="auto"/>
            <w:noWrap/>
            <w:vAlign w:val="bottom"/>
            <w:hideMark/>
          </w:tcPr>
          <w:p w14:paraId="558CD15B" w14:textId="77777777" w:rsidR="0041348B" w:rsidRPr="0048638A" w:rsidRDefault="0041348B" w:rsidP="005636E1">
            <w:pPr>
              <w:spacing w:line="240" w:lineRule="auto"/>
              <w:contextualSpacing/>
              <w:rPr>
                <w:i/>
                <w:iCs/>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16487225"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744F9FFF"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2DBA006F"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53AF7378"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0CEDB7EF"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16B61089"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61A520E6"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16EBFC30"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76366EBD"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2143366F"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2A8BF7D9"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56B00A29"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3A82A7ED"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4171118E"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0FF35734" w14:textId="77777777" w:rsidTr="0021432C">
        <w:trPr>
          <w:trHeight w:val="288"/>
        </w:trPr>
        <w:tc>
          <w:tcPr>
            <w:tcW w:w="3747" w:type="dxa"/>
            <w:tcBorders>
              <w:top w:val="nil"/>
              <w:left w:val="nil"/>
              <w:bottom w:val="nil"/>
              <w:right w:val="nil"/>
            </w:tcBorders>
            <w:shd w:val="clear" w:color="auto" w:fill="auto"/>
            <w:vAlign w:val="center"/>
            <w:hideMark/>
          </w:tcPr>
          <w:p w14:paraId="0FDF52BE"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Parental employ. - one </w:t>
            </w:r>
            <w:proofErr w:type="spellStart"/>
            <w:r w:rsidRPr="0048638A">
              <w:rPr>
                <w:color w:val="000000"/>
                <w:sz w:val="18"/>
                <w:szCs w:val="18"/>
                <w:lang w:val="en-US" w:eastAsia="en-US"/>
              </w:rPr>
              <w:t>parent</w:t>
            </w:r>
            <w:r w:rsidRPr="0048638A">
              <w:rPr>
                <w:color w:val="000000"/>
                <w:sz w:val="18"/>
                <w:szCs w:val="18"/>
                <w:vertAlign w:val="superscript"/>
                <w:lang w:val="en-US" w:eastAsia="en-US"/>
              </w:rPr>
              <w:t>b</w:t>
            </w:r>
            <w:proofErr w:type="spellEnd"/>
          </w:p>
        </w:tc>
        <w:tc>
          <w:tcPr>
            <w:tcW w:w="889" w:type="dxa"/>
            <w:tcBorders>
              <w:top w:val="nil"/>
              <w:left w:val="nil"/>
              <w:bottom w:val="nil"/>
              <w:right w:val="nil"/>
            </w:tcBorders>
            <w:shd w:val="clear" w:color="auto" w:fill="auto"/>
            <w:noWrap/>
            <w:vAlign w:val="bottom"/>
            <w:hideMark/>
          </w:tcPr>
          <w:p w14:paraId="0575EF9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734" w:type="dxa"/>
            <w:tcBorders>
              <w:top w:val="nil"/>
              <w:left w:val="nil"/>
              <w:bottom w:val="nil"/>
              <w:right w:val="nil"/>
            </w:tcBorders>
            <w:shd w:val="clear" w:color="auto" w:fill="auto"/>
            <w:noWrap/>
            <w:vAlign w:val="bottom"/>
            <w:hideMark/>
          </w:tcPr>
          <w:p w14:paraId="1875EA1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(0.09)</w:t>
            </w:r>
          </w:p>
        </w:tc>
        <w:tc>
          <w:tcPr>
            <w:tcW w:w="565" w:type="dxa"/>
            <w:tcBorders>
              <w:top w:val="nil"/>
              <w:left w:val="nil"/>
              <w:bottom w:val="nil"/>
              <w:right w:val="nil"/>
            </w:tcBorders>
            <w:shd w:val="clear" w:color="auto" w:fill="auto"/>
            <w:noWrap/>
            <w:vAlign w:val="bottom"/>
            <w:hideMark/>
          </w:tcPr>
          <w:p w14:paraId="7EA1896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0.97</w:t>
            </w:r>
          </w:p>
        </w:tc>
        <w:tc>
          <w:tcPr>
            <w:tcW w:w="261" w:type="dxa"/>
            <w:tcBorders>
              <w:top w:val="nil"/>
              <w:left w:val="nil"/>
              <w:bottom w:val="nil"/>
              <w:right w:val="nil"/>
            </w:tcBorders>
            <w:shd w:val="clear" w:color="auto" w:fill="auto"/>
            <w:noWrap/>
            <w:vAlign w:val="bottom"/>
            <w:hideMark/>
          </w:tcPr>
          <w:p w14:paraId="16223973"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A02A74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-0.10</w:t>
            </w:r>
          </w:p>
        </w:tc>
        <w:tc>
          <w:tcPr>
            <w:tcW w:w="694" w:type="dxa"/>
            <w:tcBorders>
              <w:top w:val="nil"/>
              <w:left w:val="nil"/>
              <w:bottom w:val="nil"/>
              <w:right w:val="nil"/>
            </w:tcBorders>
            <w:shd w:val="clear" w:color="auto" w:fill="auto"/>
            <w:noWrap/>
            <w:vAlign w:val="bottom"/>
            <w:hideMark/>
          </w:tcPr>
          <w:p w14:paraId="12D71E1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w:t>
            </w:r>
          </w:p>
        </w:tc>
        <w:tc>
          <w:tcPr>
            <w:tcW w:w="668" w:type="dxa"/>
            <w:tcBorders>
              <w:top w:val="nil"/>
              <w:left w:val="nil"/>
              <w:bottom w:val="nil"/>
              <w:right w:val="nil"/>
            </w:tcBorders>
            <w:shd w:val="clear" w:color="auto" w:fill="auto"/>
            <w:noWrap/>
            <w:vAlign w:val="bottom"/>
            <w:hideMark/>
          </w:tcPr>
          <w:p w14:paraId="61AB0C8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0.91</w:t>
            </w:r>
          </w:p>
        </w:tc>
        <w:tc>
          <w:tcPr>
            <w:tcW w:w="261" w:type="dxa"/>
            <w:tcBorders>
              <w:top w:val="nil"/>
              <w:left w:val="nil"/>
              <w:bottom w:val="nil"/>
              <w:right w:val="nil"/>
            </w:tcBorders>
            <w:shd w:val="clear" w:color="auto" w:fill="auto"/>
            <w:noWrap/>
            <w:vAlign w:val="bottom"/>
            <w:hideMark/>
          </w:tcPr>
          <w:p w14:paraId="7A0CC0FA"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654358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-0.12</w:t>
            </w:r>
          </w:p>
        </w:tc>
        <w:tc>
          <w:tcPr>
            <w:tcW w:w="694" w:type="dxa"/>
            <w:tcBorders>
              <w:top w:val="nil"/>
              <w:left w:val="nil"/>
              <w:bottom w:val="nil"/>
              <w:right w:val="nil"/>
            </w:tcBorders>
            <w:shd w:val="clear" w:color="auto" w:fill="auto"/>
            <w:noWrap/>
            <w:vAlign w:val="bottom"/>
            <w:hideMark/>
          </w:tcPr>
          <w:p w14:paraId="7796358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w:t>
            </w:r>
          </w:p>
        </w:tc>
        <w:tc>
          <w:tcPr>
            <w:tcW w:w="668" w:type="dxa"/>
            <w:tcBorders>
              <w:top w:val="nil"/>
              <w:left w:val="nil"/>
              <w:bottom w:val="nil"/>
              <w:right w:val="nil"/>
            </w:tcBorders>
            <w:shd w:val="clear" w:color="auto" w:fill="auto"/>
            <w:noWrap/>
            <w:vAlign w:val="bottom"/>
            <w:hideMark/>
          </w:tcPr>
          <w:p w14:paraId="588FC8A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0.88</w:t>
            </w:r>
          </w:p>
        </w:tc>
        <w:tc>
          <w:tcPr>
            <w:tcW w:w="261" w:type="dxa"/>
            <w:tcBorders>
              <w:top w:val="nil"/>
              <w:left w:val="nil"/>
              <w:bottom w:val="nil"/>
              <w:right w:val="nil"/>
            </w:tcBorders>
            <w:shd w:val="clear" w:color="auto" w:fill="auto"/>
            <w:noWrap/>
            <w:vAlign w:val="bottom"/>
            <w:hideMark/>
          </w:tcPr>
          <w:p w14:paraId="1F1124B4"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FB9E12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-0.12</w:t>
            </w:r>
          </w:p>
        </w:tc>
        <w:tc>
          <w:tcPr>
            <w:tcW w:w="828" w:type="dxa"/>
            <w:tcBorders>
              <w:top w:val="nil"/>
              <w:left w:val="nil"/>
              <w:bottom w:val="nil"/>
              <w:right w:val="nil"/>
            </w:tcBorders>
            <w:shd w:val="clear" w:color="auto" w:fill="auto"/>
            <w:noWrap/>
            <w:vAlign w:val="bottom"/>
            <w:hideMark/>
          </w:tcPr>
          <w:p w14:paraId="48FFBE9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w:t>
            </w:r>
          </w:p>
        </w:tc>
        <w:tc>
          <w:tcPr>
            <w:tcW w:w="535" w:type="dxa"/>
            <w:tcBorders>
              <w:top w:val="nil"/>
              <w:left w:val="nil"/>
              <w:bottom w:val="nil"/>
              <w:right w:val="nil"/>
            </w:tcBorders>
            <w:shd w:val="clear" w:color="auto" w:fill="auto"/>
            <w:noWrap/>
            <w:vAlign w:val="bottom"/>
            <w:hideMark/>
          </w:tcPr>
          <w:p w14:paraId="163F282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0.89</w:t>
            </w:r>
          </w:p>
        </w:tc>
      </w:tr>
      <w:tr w:rsidR="0021432C" w:rsidRPr="0041348B" w14:paraId="302AAE63" w14:textId="77777777" w:rsidTr="0021432C">
        <w:trPr>
          <w:trHeight w:val="288"/>
        </w:trPr>
        <w:tc>
          <w:tcPr>
            <w:tcW w:w="3747" w:type="dxa"/>
            <w:tcBorders>
              <w:top w:val="nil"/>
              <w:left w:val="nil"/>
              <w:bottom w:val="nil"/>
              <w:right w:val="nil"/>
            </w:tcBorders>
            <w:shd w:val="clear" w:color="auto" w:fill="auto"/>
            <w:vAlign w:val="center"/>
            <w:hideMark/>
          </w:tcPr>
          <w:p w14:paraId="056517DF"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Parental employ. - both </w:t>
            </w:r>
            <w:proofErr w:type="spellStart"/>
            <w:r w:rsidRPr="0048638A">
              <w:rPr>
                <w:color w:val="000000"/>
                <w:sz w:val="18"/>
                <w:szCs w:val="18"/>
                <w:lang w:val="en-US" w:eastAsia="en-US"/>
              </w:rPr>
              <w:t>parents</w:t>
            </w:r>
            <w:r w:rsidRPr="0048638A">
              <w:rPr>
                <w:color w:val="000000"/>
                <w:sz w:val="18"/>
                <w:szCs w:val="18"/>
                <w:vertAlign w:val="superscript"/>
                <w:lang w:val="en-US" w:eastAsia="en-US"/>
              </w:rPr>
              <w:t>b</w:t>
            </w:r>
            <w:proofErr w:type="spellEnd"/>
          </w:p>
        </w:tc>
        <w:tc>
          <w:tcPr>
            <w:tcW w:w="889" w:type="dxa"/>
            <w:tcBorders>
              <w:top w:val="nil"/>
              <w:left w:val="nil"/>
              <w:bottom w:val="nil"/>
              <w:right w:val="nil"/>
            </w:tcBorders>
            <w:shd w:val="clear" w:color="auto" w:fill="auto"/>
            <w:noWrap/>
            <w:vAlign w:val="bottom"/>
            <w:hideMark/>
          </w:tcPr>
          <w:p w14:paraId="12517F6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734" w:type="dxa"/>
            <w:tcBorders>
              <w:top w:val="nil"/>
              <w:left w:val="nil"/>
              <w:bottom w:val="nil"/>
              <w:right w:val="nil"/>
            </w:tcBorders>
            <w:shd w:val="clear" w:color="auto" w:fill="auto"/>
            <w:noWrap/>
            <w:vAlign w:val="bottom"/>
            <w:hideMark/>
          </w:tcPr>
          <w:p w14:paraId="5B9197D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(0.09)</w:t>
            </w:r>
          </w:p>
        </w:tc>
        <w:tc>
          <w:tcPr>
            <w:tcW w:w="565" w:type="dxa"/>
            <w:tcBorders>
              <w:top w:val="nil"/>
              <w:left w:val="nil"/>
              <w:bottom w:val="nil"/>
              <w:right w:val="nil"/>
            </w:tcBorders>
            <w:shd w:val="clear" w:color="auto" w:fill="auto"/>
            <w:noWrap/>
            <w:vAlign w:val="bottom"/>
            <w:hideMark/>
          </w:tcPr>
          <w:p w14:paraId="7B7BE66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1.03</w:t>
            </w:r>
          </w:p>
        </w:tc>
        <w:tc>
          <w:tcPr>
            <w:tcW w:w="261" w:type="dxa"/>
            <w:tcBorders>
              <w:top w:val="nil"/>
              <w:left w:val="nil"/>
              <w:bottom w:val="nil"/>
              <w:right w:val="nil"/>
            </w:tcBorders>
            <w:shd w:val="clear" w:color="auto" w:fill="auto"/>
            <w:noWrap/>
            <w:vAlign w:val="bottom"/>
            <w:hideMark/>
          </w:tcPr>
          <w:p w14:paraId="5B42030F"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E7C3EF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w:t>
            </w:r>
          </w:p>
        </w:tc>
        <w:tc>
          <w:tcPr>
            <w:tcW w:w="694" w:type="dxa"/>
            <w:tcBorders>
              <w:top w:val="nil"/>
              <w:left w:val="nil"/>
              <w:bottom w:val="nil"/>
              <w:right w:val="nil"/>
            </w:tcBorders>
            <w:shd w:val="clear" w:color="auto" w:fill="auto"/>
            <w:noWrap/>
            <w:vAlign w:val="bottom"/>
            <w:hideMark/>
          </w:tcPr>
          <w:p w14:paraId="4F88BF3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w:t>
            </w:r>
          </w:p>
        </w:tc>
        <w:tc>
          <w:tcPr>
            <w:tcW w:w="668" w:type="dxa"/>
            <w:tcBorders>
              <w:top w:val="nil"/>
              <w:left w:val="nil"/>
              <w:bottom w:val="nil"/>
              <w:right w:val="nil"/>
            </w:tcBorders>
            <w:shd w:val="clear" w:color="auto" w:fill="auto"/>
            <w:noWrap/>
            <w:vAlign w:val="bottom"/>
            <w:hideMark/>
          </w:tcPr>
          <w:p w14:paraId="4C1C2B8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0.90</w:t>
            </w:r>
          </w:p>
        </w:tc>
        <w:tc>
          <w:tcPr>
            <w:tcW w:w="261" w:type="dxa"/>
            <w:tcBorders>
              <w:top w:val="nil"/>
              <w:left w:val="nil"/>
              <w:bottom w:val="nil"/>
              <w:right w:val="nil"/>
            </w:tcBorders>
            <w:shd w:val="clear" w:color="auto" w:fill="auto"/>
            <w:noWrap/>
            <w:vAlign w:val="bottom"/>
            <w:hideMark/>
          </w:tcPr>
          <w:p w14:paraId="6FBF64C9"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C8A657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-0.12</w:t>
            </w:r>
          </w:p>
        </w:tc>
        <w:tc>
          <w:tcPr>
            <w:tcW w:w="694" w:type="dxa"/>
            <w:tcBorders>
              <w:top w:val="nil"/>
              <w:left w:val="nil"/>
              <w:bottom w:val="nil"/>
              <w:right w:val="nil"/>
            </w:tcBorders>
            <w:shd w:val="clear" w:color="auto" w:fill="auto"/>
            <w:noWrap/>
            <w:vAlign w:val="bottom"/>
            <w:hideMark/>
          </w:tcPr>
          <w:p w14:paraId="04623B4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w:t>
            </w:r>
          </w:p>
        </w:tc>
        <w:tc>
          <w:tcPr>
            <w:tcW w:w="668" w:type="dxa"/>
            <w:tcBorders>
              <w:top w:val="nil"/>
              <w:left w:val="nil"/>
              <w:bottom w:val="nil"/>
              <w:right w:val="nil"/>
            </w:tcBorders>
            <w:shd w:val="clear" w:color="auto" w:fill="auto"/>
            <w:noWrap/>
            <w:vAlign w:val="bottom"/>
            <w:hideMark/>
          </w:tcPr>
          <w:p w14:paraId="4787DD9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0.89</w:t>
            </w:r>
          </w:p>
        </w:tc>
        <w:tc>
          <w:tcPr>
            <w:tcW w:w="261" w:type="dxa"/>
            <w:tcBorders>
              <w:top w:val="nil"/>
              <w:left w:val="nil"/>
              <w:bottom w:val="nil"/>
              <w:right w:val="nil"/>
            </w:tcBorders>
            <w:shd w:val="clear" w:color="auto" w:fill="auto"/>
            <w:noWrap/>
            <w:vAlign w:val="bottom"/>
            <w:hideMark/>
          </w:tcPr>
          <w:p w14:paraId="424DC84C"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D09D38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-0.12</w:t>
            </w:r>
          </w:p>
        </w:tc>
        <w:tc>
          <w:tcPr>
            <w:tcW w:w="828" w:type="dxa"/>
            <w:tcBorders>
              <w:top w:val="nil"/>
              <w:left w:val="nil"/>
              <w:bottom w:val="nil"/>
              <w:right w:val="nil"/>
            </w:tcBorders>
            <w:shd w:val="clear" w:color="auto" w:fill="auto"/>
            <w:noWrap/>
            <w:vAlign w:val="bottom"/>
            <w:hideMark/>
          </w:tcPr>
          <w:p w14:paraId="3D053D5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(0.11)</w:t>
            </w:r>
          </w:p>
        </w:tc>
        <w:tc>
          <w:tcPr>
            <w:tcW w:w="535" w:type="dxa"/>
            <w:tcBorders>
              <w:top w:val="nil"/>
              <w:left w:val="nil"/>
              <w:bottom w:val="nil"/>
              <w:right w:val="nil"/>
            </w:tcBorders>
            <w:shd w:val="clear" w:color="auto" w:fill="auto"/>
            <w:noWrap/>
            <w:vAlign w:val="bottom"/>
            <w:hideMark/>
          </w:tcPr>
          <w:p w14:paraId="0D0FBF4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0.89</w:t>
            </w:r>
          </w:p>
        </w:tc>
      </w:tr>
      <w:tr w:rsidR="0021432C" w:rsidRPr="0041348B" w14:paraId="1920CEA0" w14:textId="77777777" w:rsidTr="0021432C">
        <w:trPr>
          <w:trHeight w:val="288"/>
        </w:trPr>
        <w:tc>
          <w:tcPr>
            <w:tcW w:w="3747" w:type="dxa"/>
            <w:tcBorders>
              <w:top w:val="nil"/>
              <w:left w:val="nil"/>
              <w:bottom w:val="nil"/>
              <w:right w:val="nil"/>
            </w:tcBorders>
            <w:shd w:val="clear" w:color="auto" w:fill="auto"/>
            <w:vAlign w:val="center"/>
            <w:hideMark/>
          </w:tcPr>
          <w:p w14:paraId="7070D564"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Own room</w:t>
            </w:r>
          </w:p>
        </w:tc>
        <w:tc>
          <w:tcPr>
            <w:tcW w:w="889" w:type="dxa"/>
            <w:tcBorders>
              <w:top w:val="nil"/>
              <w:left w:val="nil"/>
              <w:bottom w:val="nil"/>
              <w:right w:val="nil"/>
            </w:tcBorders>
            <w:shd w:val="clear" w:color="auto" w:fill="auto"/>
            <w:noWrap/>
            <w:vAlign w:val="bottom"/>
            <w:hideMark/>
          </w:tcPr>
          <w:p w14:paraId="33B75DD5"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0.15**</w:t>
            </w:r>
          </w:p>
        </w:tc>
        <w:tc>
          <w:tcPr>
            <w:tcW w:w="734" w:type="dxa"/>
            <w:tcBorders>
              <w:top w:val="nil"/>
              <w:left w:val="nil"/>
              <w:bottom w:val="nil"/>
              <w:right w:val="nil"/>
            </w:tcBorders>
            <w:shd w:val="clear" w:color="auto" w:fill="auto"/>
            <w:noWrap/>
            <w:vAlign w:val="bottom"/>
            <w:hideMark/>
          </w:tcPr>
          <w:p w14:paraId="1C977BA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5" w:type="dxa"/>
            <w:tcBorders>
              <w:top w:val="nil"/>
              <w:left w:val="nil"/>
              <w:bottom w:val="nil"/>
              <w:right w:val="nil"/>
            </w:tcBorders>
            <w:shd w:val="clear" w:color="auto" w:fill="auto"/>
            <w:noWrap/>
            <w:vAlign w:val="bottom"/>
            <w:hideMark/>
          </w:tcPr>
          <w:p w14:paraId="7A6EEC1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1.16</w:t>
            </w:r>
          </w:p>
        </w:tc>
        <w:tc>
          <w:tcPr>
            <w:tcW w:w="261" w:type="dxa"/>
            <w:tcBorders>
              <w:top w:val="nil"/>
              <w:left w:val="nil"/>
              <w:bottom w:val="nil"/>
              <w:right w:val="nil"/>
            </w:tcBorders>
            <w:shd w:val="clear" w:color="auto" w:fill="auto"/>
            <w:noWrap/>
            <w:vAlign w:val="bottom"/>
            <w:hideMark/>
          </w:tcPr>
          <w:p w14:paraId="0C63F9F6"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7279107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694" w:type="dxa"/>
            <w:tcBorders>
              <w:top w:val="nil"/>
              <w:left w:val="nil"/>
              <w:bottom w:val="nil"/>
              <w:right w:val="nil"/>
            </w:tcBorders>
            <w:shd w:val="clear" w:color="auto" w:fill="auto"/>
            <w:noWrap/>
            <w:vAlign w:val="bottom"/>
            <w:hideMark/>
          </w:tcPr>
          <w:p w14:paraId="297A2EC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4F6157F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1.07</w:t>
            </w:r>
          </w:p>
        </w:tc>
        <w:tc>
          <w:tcPr>
            <w:tcW w:w="261" w:type="dxa"/>
            <w:tcBorders>
              <w:top w:val="nil"/>
              <w:left w:val="nil"/>
              <w:bottom w:val="nil"/>
              <w:right w:val="nil"/>
            </w:tcBorders>
            <w:shd w:val="clear" w:color="auto" w:fill="auto"/>
            <w:noWrap/>
            <w:vAlign w:val="bottom"/>
            <w:hideMark/>
          </w:tcPr>
          <w:p w14:paraId="6477959C"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AB3727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94" w:type="dxa"/>
            <w:tcBorders>
              <w:top w:val="nil"/>
              <w:left w:val="nil"/>
              <w:bottom w:val="nil"/>
              <w:right w:val="nil"/>
            </w:tcBorders>
            <w:shd w:val="clear" w:color="auto" w:fill="auto"/>
            <w:noWrap/>
            <w:vAlign w:val="bottom"/>
            <w:hideMark/>
          </w:tcPr>
          <w:p w14:paraId="313A1AB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1D1EB04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1.07</w:t>
            </w:r>
          </w:p>
        </w:tc>
        <w:tc>
          <w:tcPr>
            <w:tcW w:w="261" w:type="dxa"/>
            <w:tcBorders>
              <w:top w:val="nil"/>
              <w:left w:val="nil"/>
              <w:bottom w:val="nil"/>
              <w:right w:val="nil"/>
            </w:tcBorders>
            <w:shd w:val="clear" w:color="auto" w:fill="auto"/>
            <w:noWrap/>
            <w:vAlign w:val="bottom"/>
            <w:hideMark/>
          </w:tcPr>
          <w:p w14:paraId="3D5D3B35"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CB5288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828" w:type="dxa"/>
            <w:tcBorders>
              <w:top w:val="nil"/>
              <w:left w:val="nil"/>
              <w:bottom w:val="nil"/>
              <w:right w:val="nil"/>
            </w:tcBorders>
            <w:shd w:val="clear" w:color="auto" w:fill="auto"/>
            <w:noWrap/>
            <w:vAlign w:val="bottom"/>
            <w:hideMark/>
          </w:tcPr>
          <w:p w14:paraId="0CE1DAA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35" w:type="dxa"/>
            <w:tcBorders>
              <w:top w:val="nil"/>
              <w:left w:val="nil"/>
              <w:bottom w:val="nil"/>
              <w:right w:val="nil"/>
            </w:tcBorders>
            <w:shd w:val="clear" w:color="auto" w:fill="auto"/>
            <w:noWrap/>
            <w:vAlign w:val="bottom"/>
            <w:hideMark/>
          </w:tcPr>
          <w:p w14:paraId="4F8E174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1.07</w:t>
            </w:r>
          </w:p>
        </w:tc>
      </w:tr>
      <w:tr w:rsidR="0021432C" w:rsidRPr="0041348B" w14:paraId="77CE3C7B" w14:textId="77777777" w:rsidTr="0021432C">
        <w:trPr>
          <w:trHeight w:val="288"/>
        </w:trPr>
        <w:tc>
          <w:tcPr>
            <w:tcW w:w="3747" w:type="dxa"/>
            <w:tcBorders>
              <w:top w:val="nil"/>
              <w:left w:val="nil"/>
              <w:bottom w:val="nil"/>
              <w:right w:val="nil"/>
            </w:tcBorders>
            <w:shd w:val="clear" w:color="auto" w:fill="auto"/>
            <w:vAlign w:val="center"/>
            <w:hideMark/>
          </w:tcPr>
          <w:p w14:paraId="1AA387F3"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Live with mom and dad</w:t>
            </w:r>
          </w:p>
        </w:tc>
        <w:tc>
          <w:tcPr>
            <w:tcW w:w="889" w:type="dxa"/>
            <w:tcBorders>
              <w:top w:val="nil"/>
              <w:left w:val="nil"/>
              <w:bottom w:val="nil"/>
              <w:right w:val="nil"/>
            </w:tcBorders>
            <w:shd w:val="clear" w:color="auto" w:fill="auto"/>
            <w:noWrap/>
            <w:vAlign w:val="bottom"/>
            <w:hideMark/>
          </w:tcPr>
          <w:p w14:paraId="0EA3351F"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-0.13**</w:t>
            </w:r>
          </w:p>
        </w:tc>
        <w:tc>
          <w:tcPr>
            <w:tcW w:w="734" w:type="dxa"/>
            <w:tcBorders>
              <w:top w:val="nil"/>
              <w:left w:val="nil"/>
              <w:bottom w:val="nil"/>
              <w:right w:val="nil"/>
            </w:tcBorders>
            <w:shd w:val="clear" w:color="auto" w:fill="auto"/>
            <w:noWrap/>
            <w:vAlign w:val="bottom"/>
            <w:hideMark/>
          </w:tcPr>
          <w:p w14:paraId="2639907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0967495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0.88</w:t>
            </w:r>
          </w:p>
        </w:tc>
        <w:tc>
          <w:tcPr>
            <w:tcW w:w="261" w:type="dxa"/>
            <w:tcBorders>
              <w:top w:val="nil"/>
              <w:left w:val="nil"/>
              <w:bottom w:val="nil"/>
              <w:right w:val="nil"/>
            </w:tcBorders>
            <w:shd w:val="clear" w:color="auto" w:fill="auto"/>
            <w:noWrap/>
            <w:vAlign w:val="bottom"/>
            <w:hideMark/>
          </w:tcPr>
          <w:p w14:paraId="5A7680D3"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F390B27"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-0.11*</w:t>
            </w:r>
          </w:p>
        </w:tc>
        <w:tc>
          <w:tcPr>
            <w:tcW w:w="694" w:type="dxa"/>
            <w:tcBorders>
              <w:top w:val="nil"/>
              <w:left w:val="nil"/>
              <w:bottom w:val="nil"/>
              <w:right w:val="nil"/>
            </w:tcBorders>
            <w:shd w:val="clear" w:color="auto" w:fill="auto"/>
            <w:noWrap/>
            <w:vAlign w:val="bottom"/>
            <w:hideMark/>
          </w:tcPr>
          <w:p w14:paraId="1A6D8B3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7783AC9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0.89</w:t>
            </w:r>
          </w:p>
        </w:tc>
        <w:tc>
          <w:tcPr>
            <w:tcW w:w="261" w:type="dxa"/>
            <w:tcBorders>
              <w:top w:val="nil"/>
              <w:left w:val="nil"/>
              <w:bottom w:val="nil"/>
              <w:right w:val="nil"/>
            </w:tcBorders>
            <w:shd w:val="clear" w:color="auto" w:fill="auto"/>
            <w:noWrap/>
            <w:vAlign w:val="bottom"/>
            <w:hideMark/>
          </w:tcPr>
          <w:p w14:paraId="1180888E"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B035A86"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-0.12*</w:t>
            </w:r>
          </w:p>
        </w:tc>
        <w:tc>
          <w:tcPr>
            <w:tcW w:w="694" w:type="dxa"/>
            <w:tcBorders>
              <w:top w:val="nil"/>
              <w:left w:val="nil"/>
              <w:bottom w:val="nil"/>
              <w:right w:val="nil"/>
            </w:tcBorders>
            <w:shd w:val="clear" w:color="auto" w:fill="auto"/>
            <w:noWrap/>
            <w:vAlign w:val="bottom"/>
            <w:hideMark/>
          </w:tcPr>
          <w:p w14:paraId="1AB47D3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1934FCE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0.89</w:t>
            </w:r>
          </w:p>
        </w:tc>
        <w:tc>
          <w:tcPr>
            <w:tcW w:w="261" w:type="dxa"/>
            <w:tcBorders>
              <w:top w:val="nil"/>
              <w:left w:val="nil"/>
              <w:bottom w:val="nil"/>
              <w:right w:val="nil"/>
            </w:tcBorders>
            <w:shd w:val="clear" w:color="auto" w:fill="auto"/>
            <w:noWrap/>
            <w:vAlign w:val="bottom"/>
            <w:hideMark/>
          </w:tcPr>
          <w:p w14:paraId="20D6F3CD"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7153B6B1"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-0.12*</w:t>
            </w:r>
          </w:p>
        </w:tc>
        <w:tc>
          <w:tcPr>
            <w:tcW w:w="828" w:type="dxa"/>
            <w:tcBorders>
              <w:top w:val="nil"/>
              <w:left w:val="nil"/>
              <w:bottom w:val="nil"/>
              <w:right w:val="nil"/>
            </w:tcBorders>
            <w:shd w:val="clear" w:color="auto" w:fill="auto"/>
            <w:noWrap/>
            <w:vAlign w:val="bottom"/>
            <w:hideMark/>
          </w:tcPr>
          <w:p w14:paraId="33949F7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67B7233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0.89</w:t>
            </w:r>
          </w:p>
        </w:tc>
      </w:tr>
      <w:tr w:rsidR="0021432C" w:rsidRPr="0041348B" w14:paraId="1B806004" w14:textId="77777777" w:rsidTr="0021432C">
        <w:trPr>
          <w:trHeight w:val="288"/>
        </w:trPr>
        <w:tc>
          <w:tcPr>
            <w:tcW w:w="3747" w:type="dxa"/>
            <w:tcBorders>
              <w:top w:val="nil"/>
              <w:left w:val="nil"/>
              <w:bottom w:val="nil"/>
              <w:right w:val="nil"/>
            </w:tcBorders>
            <w:shd w:val="clear" w:color="auto" w:fill="auto"/>
            <w:vAlign w:val="center"/>
            <w:hideMark/>
          </w:tcPr>
          <w:p w14:paraId="3DF33C89"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Social marginalization</w:t>
            </w:r>
          </w:p>
        </w:tc>
        <w:tc>
          <w:tcPr>
            <w:tcW w:w="889" w:type="dxa"/>
            <w:tcBorders>
              <w:top w:val="nil"/>
              <w:left w:val="nil"/>
              <w:bottom w:val="nil"/>
              <w:right w:val="nil"/>
            </w:tcBorders>
            <w:shd w:val="clear" w:color="auto" w:fill="auto"/>
            <w:noWrap/>
            <w:vAlign w:val="bottom"/>
            <w:hideMark/>
          </w:tcPr>
          <w:p w14:paraId="3766255E" w14:textId="77777777" w:rsidR="0041348B" w:rsidRPr="0048638A" w:rsidRDefault="0041348B" w:rsidP="005636E1">
            <w:pPr>
              <w:spacing w:line="240" w:lineRule="auto"/>
              <w:contextualSpacing/>
              <w:rPr>
                <w:b/>
                <w:bCs/>
                <w:i/>
                <w:iCs/>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64B45991"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75DD0862"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3B978958"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3F7CC49E" w14:textId="77777777" w:rsidR="0041348B" w:rsidRPr="0048638A" w:rsidRDefault="0041348B" w:rsidP="005636E1">
            <w:pPr>
              <w:spacing w:line="240" w:lineRule="auto"/>
              <w:contextualSpacing/>
              <w:jc w:val="center"/>
              <w:rPr>
                <w:b/>
                <w:bCs/>
                <w:sz w:val="18"/>
                <w:szCs w:val="18"/>
                <w:lang w:val="en-US" w:eastAsia="en-US"/>
              </w:rPr>
            </w:pPr>
          </w:p>
        </w:tc>
        <w:tc>
          <w:tcPr>
            <w:tcW w:w="694" w:type="dxa"/>
            <w:tcBorders>
              <w:top w:val="nil"/>
              <w:left w:val="nil"/>
              <w:bottom w:val="nil"/>
              <w:right w:val="nil"/>
            </w:tcBorders>
            <w:shd w:val="clear" w:color="auto" w:fill="auto"/>
            <w:noWrap/>
            <w:vAlign w:val="bottom"/>
            <w:hideMark/>
          </w:tcPr>
          <w:p w14:paraId="308FBE76"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158A7F46"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7D416210"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505C0483" w14:textId="77777777" w:rsidR="0041348B" w:rsidRPr="0048638A" w:rsidRDefault="0041348B" w:rsidP="005636E1">
            <w:pPr>
              <w:spacing w:line="240" w:lineRule="auto"/>
              <w:contextualSpacing/>
              <w:jc w:val="center"/>
              <w:rPr>
                <w:b/>
                <w:bCs/>
                <w:sz w:val="18"/>
                <w:szCs w:val="18"/>
                <w:lang w:val="en-US" w:eastAsia="en-US"/>
              </w:rPr>
            </w:pPr>
          </w:p>
        </w:tc>
        <w:tc>
          <w:tcPr>
            <w:tcW w:w="694" w:type="dxa"/>
            <w:tcBorders>
              <w:top w:val="nil"/>
              <w:left w:val="nil"/>
              <w:bottom w:val="nil"/>
              <w:right w:val="nil"/>
            </w:tcBorders>
            <w:shd w:val="clear" w:color="auto" w:fill="auto"/>
            <w:noWrap/>
            <w:vAlign w:val="bottom"/>
            <w:hideMark/>
          </w:tcPr>
          <w:p w14:paraId="7525E370"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49933553"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2F7191E3"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32F6780C" w14:textId="77777777" w:rsidR="0041348B" w:rsidRPr="0048638A" w:rsidRDefault="0041348B" w:rsidP="005636E1">
            <w:pPr>
              <w:spacing w:line="240" w:lineRule="auto"/>
              <w:contextualSpacing/>
              <w:jc w:val="center"/>
              <w:rPr>
                <w:b/>
                <w:bCs/>
                <w:sz w:val="18"/>
                <w:szCs w:val="18"/>
                <w:lang w:val="en-US" w:eastAsia="en-US"/>
              </w:rPr>
            </w:pPr>
          </w:p>
        </w:tc>
        <w:tc>
          <w:tcPr>
            <w:tcW w:w="828" w:type="dxa"/>
            <w:tcBorders>
              <w:top w:val="nil"/>
              <w:left w:val="nil"/>
              <w:bottom w:val="nil"/>
              <w:right w:val="nil"/>
            </w:tcBorders>
            <w:shd w:val="clear" w:color="auto" w:fill="auto"/>
            <w:noWrap/>
            <w:vAlign w:val="bottom"/>
            <w:hideMark/>
          </w:tcPr>
          <w:p w14:paraId="3468423F"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1EC23538"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701044C0" w14:textId="77777777" w:rsidTr="0021432C">
        <w:trPr>
          <w:trHeight w:val="288"/>
        </w:trPr>
        <w:tc>
          <w:tcPr>
            <w:tcW w:w="3747" w:type="dxa"/>
            <w:tcBorders>
              <w:top w:val="nil"/>
              <w:left w:val="nil"/>
              <w:bottom w:val="nil"/>
              <w:right w:val="nil"/>
            </w:tcBorders>
            <w:shd w:val="clear" w:color="auto" w:fill="auto"/>
            <w:vAlign w:val="center"/>
            <w:hideMark/>
          </w:tcPr>
          <w:p w14:paraId="26F0358C"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Household language of the country</w:t>
            </w:r>
          </w:p>
        </w:tc>
        <w:tc>
          <w:tcPr>
            <w:tcW w:w="889" w:type="dxa"/>
            <w:tcBorders>
              <w:top w:val="nil"/>
              <w:left w:val="nil"/>
              <w:bottom w:val="nil"/>
              <w:right w:val="nil"/>
            </w:tcBorders>
            <w:shd w:val="clear" w:color="auto" w:fill="auto"/>
            <w:noWrap/>
            <w:vAlign w:val="bottom"/>
            <w:hideMark/>
          </w:tcPr>
          <w:p w14:paraId="68430942"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0.29***</w:t>
            </w:r>
          </w:p>
        </w:tc>
        <w:tc>
          <w:tcPr>
            <w:tcW w:w="734" w:type="dxa"/>
            <w:tcBorders>
              <w:top w:val="nil"/>
              <w:left w:val="nil"/>
              <w:bottom w:val="nil"/>
              <w:right w:val="nil"/>
            </w:tcBorders>
            <w:shd w:val="clear" w:color="auto" w:fill="auto"/>
            <w:noWrap/>
            <w:vAlign w:val="bottom"/>
            <w:hideMark/>
          </w:tcPr>
          <w:p w14:paraId="6EC71B2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565" w:type="dxa"/>
            <w:tcBorders>
              <w:top w:val="nil"/>
              <w:left w:val="nil"/>
              <w:bottom w:val="nil"/>
              <w:right w:val="nil"/>
            </w:tcBorders>
            <w:shd w:val="clear" w:color="auto" w:fill="auto"/>
            <w:noWrap/>
            <w:vAlign w:val="bottom"/>
            <w:hideMark/>
          </w:tcPr>
          <w:p w14:paraId="676A139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1.34</w:t>
            </w:r>
          </w:p>
        </w:tc>
        <w:tc>
          <w:tcPr>
            <w:tcW w:w="261" w:type="dxa"/>
            <w:tcBorders>
              <w:top w:val="nil"/>
              <w:left w:val="nil"/>
              <w:bottom w:val="nil"/>
              <w:right w:val="nil"/>
            </w:tcBorders>
            <w:shd w:val="clear" w:color="auto" w:fill="auto"/>
            <w:noWrap/>
            <w:vAlign w:val="bottom"/>
            <w:hideMark/>
          </w:tcPr>
          <w:p w14:paraId="6B7D7E82"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86B4374"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0.25**</w:t>
            </w:r>
          </w:p>
        </w:tc>
        <w:tc>
          <w:tcPr>
            <w:tcW w:w="694" w:type="dxa"/>
            <w:tcBorders>
              <w:top w:val="nil"/>
              <w:left w:val="nil"/>
              <w:bottom w:val="nil"/>
              <w:right w:val="nil"/>
            </w:tcBorders>
            <w:shd w:val="clear" w:color="auto" w:fill="auto"/>
            <w:noWrap/>
            <w:vAlign w:val="bottom"/>
            <w:hideMark/>
          </w:tcPr>
          <w:p w14:paraId="5607874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668" w:type="dxa"/>
            <w:tcBorders>
              <w:top w:val="nil"/>
              <w:left w:val="nil"/>
              <w:bottom w:val="nil"/>
              <w:right w:val="nil"/>
            </w:tcBorders>
            <w:shd w:val="clear" w:color="auto" w:fill="auto"/>
            <w:noWrap/>
            <w:vAlign w:val="bottom"/>
            <w:hideMark/>
          </w:tcPr>
          <w:p w14:paraId="79DE0D0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1.28</w:t>
            </w:r>
          </w:p>
        </w:tc>
        <w:tc>
          <w:tcPr>
            <w:tcW w:w="261" w:type="dxa"/>
            <w:tcBorders>
              <w:top w:val="nil"/>
              <w:left w:val="nil"/>
              <w:bottom w:val="nil"/>
              <w:right w:val="nil"/>
            </w:tcBorders>
            <w:shd w:val="clear" w:color="auto" w:fill="auto"/>
            <w:noWrap/>
            <w:vAlign w:val="bottom"/>
            <w:hideMark/>
          </w:tcPr>
          <w:p w14:paraId="56A6BC01"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58752F2"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0.27***</w:t>
            </w:r>
          </w:p>
        </w:tc>
        <w:tc>
          <w:tcPr>
            <w:tcW w:w="694" w:type="dxa"/>
            <w:tcBorders>
              <w:top w:val="nil"/>
              <w:left w:val="nil"/>
              <w:bottom w:val="nil"/>
              <w:right w:val="nil"/>
            </w:tcBorders>
            <w:shd w:val="clear" w:color="auto" w:fill="auto"/>
            <w:noWrap/>
            <w:vAlign w:val="bottom"/>
            <w:hideMark/>
          </w:tcPr>
          <w:p w14:paraId="4385ECE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668" w:type="dxa"/>
            <w:tcBorders>
              <w:top w:val="nil"/>
              <w:left w:val="nil"/>
              <w:bottom w:val="nil"/>
              <w:right w:val="nil"/>
            </w:tcBorders>
            <w:shd w:val="clear" w:color="auto" w:fill="auto"/>
            <w:noWrap/>
            <w:vAlign w:val="bottom"/>
            <w:hideMark/>
          </w:tcPr>
          <w:p w14:paraId="03DEFFD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1.30</w:t>
            </w:r>
          </w:p>
        </w:tc>
        <w:tc>
          <w:tcPr>
            <w:tcW w:w="261" w:type="dxa"/>
            <w:tcBorders>
              <w:top w:val="nil"/>
              <w:left w:val="nil"/>
              <w:bottom w:val="nil"/>
              <w:right w:val="nil"/>
            </w:tcBorders>
            <w:shd w:val="clear" w:color="auto" w:fill="auto"/>
            <w:noWrap/>
            <w:vAlign w:val="bottom"/>
            <w:hideMark/>
          </w:tcPr>
          <w:p w14:paraId="1D0A8ADE"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87E285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0.26***</w:t>
            </w:r>
          </w:p>
        </w:tc>
        <w:tc>
          <w:tcPr>
            <w:tcW w:w="828" w:type="dxa"/>
            <w:tcBorders>
              <w:top w:val="nil"/>
              <w:left w:val="nil"/>
              <w:bottom w:val="nil"/>
              <w:right w:val="nil"/>
            </w:tcBorders>
            <w:shd w:val="clear" w:color="auto" w:fill="auto"/>
            <w:noWrap/>
            <w:vAlign w:val="bottom"/>
            <w:hideMark/>
          </w:tcPr>
          <w:p w14:paraId="5ADF36B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535" w:type="dxa"/>
            <w:tcBorders>
              <w:top w:val="nil"/>
              <w:left w:val="nil"/>
              <w:bottom w:val="nil"/>
              <w:right w:val="nil"/>
            </w:tcBorders>
            <w:shd w:val="clear" w:color="auto" w:fill="auto"/>
            <w:noWrap/>
            <w:vAlign w:val="bottom"/>
            <w:hideMark/>
          </w:tcPr>
          <w:p w14:paraId="4043473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1.30</w:t>
            </w:r>
          </w:p>
        </w:tc>
      </w:tr>
      <w:tr w:rsidR="0021432C" w:rsidRPr="0041348B" w14:paraId="65B73C69" w14:textId="77777777" w:rsidTr="0021432C">
        <w:trPr>
          <w:trHeight w:val="288"/>
        </w:trPr>
        <w:tc>
          <w:tcPr>
            <w:tcW w:w="3747" w:type="dxa"/>
            <w:tcBorders>
              <w:top w:val="nil"/>
              <w:left w:val="nil"/>
              <w:bottom w:val="nil"/>
              <w:right w:val="nil"/>
            </w:tcBorders>
            <w:shd w:val="clear" w:color="auto" w:fill="auto"/>
            <w:vAlign w:val="center"/>
            <w:hideMark/>
          </w:tcPr>
          <w:p w14:paraId="3B2A5AEF"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Never discriminated against</w:t>
            </w:r>
          </w:p>
        </w:tc>
        <w:tc>
          <w:tcPr>
            <w:tcW w:w="889" w:type="dxa"/>
            <w:tcBorders>
              <w:top w:val="nil"/>
              <w:left w:val="nil"/>
              <w:bottom w:val="nil"/>
              <w:right w:val="nil"/>
            </w:tcBorders>
            <w:shd w:val="clear" w:color="auto" w:fill="auto"/>
            <w:noWrap/>
            <w:vAlign w:val="bottom"/>
            <w:hideMark/>
          </w:tcPr>
          <w:p w14:paraId="62EF4CE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-0.15**</w:t>
            </w:r>
          </w:p>
        </w:tc>
        <w:tc>
          <w:tcPr>
            <w:tcW w:w="734" w:type="dxa"/>
            <w:tcBorders>
              <w:top w:val="nil"/>
              <w:left w:val="nil"/>
              <w:bottom w:val="nil"/>
              <w:right w:val="nil"/>
            </w:tcBorders>
            <w:shd w:val="clear" w:color="auto" w:fill="auto"/>
            <w:noWrap/>
            <w:vAlign w:val="bottom"/>
            <w:hideMark/>
          </w:tcPr>
          <w:p w14:paraId="1167129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5" w:type="dxa"/>
            <w:tcBorders>
              <w:top w:val="nil"/>
              <w:left w:val="nil"/>
              <w:bottom w:val="nil"/>
              <w:right w:val="nil"/>
            </w:tcBorders>
            <w:shd w:val="clear" w:color="auto" w:fill="auto"/>
            <w:noWrap/>
            <w:vAlign w:val="bottom"/>
            <w:hideMark/>
          </w:tcPr>
          <w:p w14:paraId="3A40F35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0.86</w:t>
            </w:r>
          </w:p>
        </w:tc>
        <w:tc>
          <w:tcPr>
            <w:tcW w:w="261" w:type="dxa"/>
            <w:tcBorders>
              <w:top w:val="nil"/>
              <w:left w:val="nil"/>
              <w:bottom w:val="nil"/>
              <w:right w:val="nil"/>
            </w:tcBorders>
            <w:shd w:val="clear" w:color="auto" w:fill="auto"/>
            <w:noWrap/>
            <w:vAlign w:val="bottom"/>
            <w:hideMark/>
          </w:tcPr>
          <w:p w14:paraId="68C31056"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E56B00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94" w:type="dxa"/>
            <w:tcBorders>
              <w:top w:val="nil"/>
              <w:left w:val="nil"/>
              <w:bottom w:val="nil"/>
              <w:right w:val="nil"/>
            </w:tcBorders>
            <w:shd w:val="clear" w:color="auto" w:fill="auto"/>
            <w:noWrap/>
            <w:vAlign w:val="bottom"/>
            <w:hideMark/>
          </w:tcPr>
          <w:p w14:paraId="7EAAB40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75C9946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0.96</w:t>
            </w:r>
          </w:p>
        </w:tc>
        <w:tc>
          <w:tcPr>
            <w:tcW w:w="261" w:type="dxa"/>
            <w:tcBorders>
              <w:top w:val="nil"/>
              <w:left w:val="nil"/>
              <w:bottom w:val="nil"/>
              <w:right w:val="nil"/>
            </w:tcBorders>
            <w:shd w:val="clear" w:color="auto" w:fill="auto"/>
            <w:noWrap/>
            <w:vAlign w:val="bottom"/>
            <w:hideMark/>
          </w:tcPr>
          <w:p w14:paraId="514F6393"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DABD9B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94" w:type="dxa"/>
            <w:tcBorders>
              <w:top w:val="nil"/>
              <w:left w:val="nil"/>
              <w:bottom w:val="nil"/>
              <w:right w:val="nil"/>
            </w:tcBorders>
            <w:shd w:val="clear" w:color="auto" w:fill="auto"/>
            <w:noWrap/>
            <w:vAlign w:val="bottom"/>
            <w:hideMark/>
          </w:tcPr>
          <w:p w14:paraId="74CD119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7A29618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0.95</w:t>
            </w:r>
          </w:p>
        </w:tc>
        <w:tc>
          <w:tcPr>
            <w:tcW w:w="261" w:type="dxa"/>
            <w:tcBorders>
              <w:top w:val="nil"/>
              <w:left w:val="nil"/>
              <w:bottom w:val="nil"/>
              <w:right w:val="nil"/>
            </w:tcBorders>
            <w:shd w:val="clear" w:color="auto" w:fill="auto"/>
            <w:noWrap/>
            <w:vAlign w:val="bottom"/>
            <w:hideMark/>
          </w:tcPr>
          <w:p w14:paraId="208EE8AF"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581526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828" w:type="dxa"/>
            <w:tcBorders>
              <w:top w:val="nil"/>
              <w:left w:val="nil"/>
              <w:bottom w:val="nil"/>
              <w:right w:val="nil"/>
            </w:tcBorders>
            <w:shd w:val="clear" w:color="auto" w:fill="auto"/>
            <w:noWrap/>
            <w:vAlign w:val="bottom"/>
            <w:hideMark/>
          </w:tcPr>
          <w:p w14:paraId="6D43D2B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35" w:type="dxa"/>
            <w:tcBorders>
              <w:top w:val="nil"/>
              <w:left w:val="nil"/>
              <w:bottom w:val="nil"/>
              <w:right w:val="nil"/>
            </w:tcBorders>
            <w:shd w:val="clear" w:color="auto" w:fill="auto"/>
            <w:noWrap/>
            <w:vAlign w:val="bottom"/>
            <w:hideMark/>
          </w:tcPr>
          <w:p w14:paraId="5DF6F23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0.95</w:t>
            </w:r>
          </w:p>
        </w:tc>
      </w:tr>
      <w:tr w:rsidR="0021432C" w:rsidRPr="0041348B" w14:paraId="4E06405E" w14:textId="77777777" w:rsidTr="0021432C">
        <w:trPr>
          <w:trHeight w:val="288"/>
        </w:trPr>
        <w:tc>
          <w:tcPr>
            <w:tcW w:w="3747" w:type="dxa"/>
            <w:tcBorders>
              <w:top w:val="nil"/>
              <w:left w:val="nil"/>
              <w:bottom w:val="nil"/>
              <w:right w:val="nil"/>
            </w:tcBorders>
            <w:shd w:val="clear" w:color="auto" w:fill="auto"/>
            <w:vAlign w:val="center"/>
            <w:hideMark/>
          </w:tcPr>
          <w:p w14:paraId="419581D4"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Non-native, friends with mostly </w:t>
            </w:r>
            <w:proofErr w:type="spellStart"/>
            <w:r w:rsidRPr="0048638A">
              <w:rPr>
                <w:color w:val="000000"/>
                <w:sz w:val="18"/>
                <w:szCs w:val="18"/>
                <w:lang w:val="en-US" w:eastAsia="en-US"/>
              </w:rPr>
              <w:t>natives</w:t>
            </w:r>
            <w:r w:rsidRPr="0048638A">
              <w:rPr>
                <w:color w:val="000000"/>
                <w:sz w:val="18"/>
                <w:szCs w:val="18"/>
                <w:vertAlign w:val="superscript"/>
                <w:lang w:val="en-US" w:eastAsia="en-US"/>
              </w:rPr>
              <w:t>c</w:t>
            </w:r>
            <w:proofErr w:type="spellEnd"/>
          </w:p>
        </w:tc>
        <w:tc>
          <w:tcPr>
            <w:tcW w:w="889" w:type="dxa"/>
            <w:tcBorders>
              <w:top w:val="nil"/>
              <w:left w:val="nil"/>
              <w:bottom w:val="nil"/>
              <w:right w:val="nil"/>
            </w:tcBorders>
            <w:shd w:val="clear" w:color="auto" w:fill="auto"/>
            <w:noWrap/>
            <w:vAlign w:val="bottom"/>
            <w:hideMark/>
          </w:tcPr>
          <w:p w14:paraId="1FA27B42"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-0.15*</w:t>
            </w:r>
          </w:p>
        </w:tc>
        <w:tc>
          <w:tcPr>
            <w:tcW w:w="734" w:type="dxa"/>
            <w:tcBorders>
              <w:top w:val="nil"/>
              <w:left w:val="nil"/>
              <w:bottom w:val="nil"/>
              <w:right w:val="nil"/>
            </w:tcBorders>
            <w:shd w:val="clear" w:color="auto" w:fill="auto"/>
            <w:noWrap/>
            <w:vAlign w:val="bottom"/>
            <w:hideMark/>
          </w:tcPr>
          <w:p w14:paraId="375F534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565" w:type="dxa"/>
            <w:tcBorders>
              <w:top w:val="nil"/>
              <w:left w:val="nil"/>
              <w:bottom w:val="nil"/>
              <w:right w:val="nil"/>
            </w:tcBorders>
            <w:shd w:val="clear" w:color="auto" w:fill="auto"/>
            <w:noWrap/>
            <w:vAlign w:val="bottom"/>
            <w:hideMark/>
          </w:tcPr>
          <w:p w14:paraId="5F0A2BB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0.86</w:t>
            </w:r>
          </w:p>
        </w:tc>
        <w:tc>
          <w:tcPr>
            <w:tcW w:w="261" w:type="dxa"/>
            <w:tcBorders>
              <w:top w:val="nil"/>
              <w:left w:val="nil"/>
              <w:bottom w:val="nil"/>
              <w:right w:val="nil"/>
            </w:tcBorders>
            <w:shd w:val="clear" w:color="auto" w:fill="auto"/>
            <w:noWrap/>
            <w:vAlign w:val="bottom"/>
            <w:hideMark/>
          </w:tcPr>
          <w:p w14:paraId="243B3D42"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FA9CE8B"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-0.15</w:t>
            </w:r>
            <w:r w:rsidRPr="0048638A">
              <w:rPr>
                <w:b/>
                <w:bCs/>
                <w:color w:val="000000"/>
                <w:sz w:val="18"/>
                <w:szCs w:val="18"/>
                <w:vertAlign w:val="superscript"/>
                <w:lang w:val="en-US" w:eastAsia="en-US"/>
              </w:rPr>
              <w:t>+</w:t>
            </w:r>
          </w:p>
        </w:tc>
        <w:tc>
          <w:tcPr>
            <w:tcW w:w="694" w:type="dxa"/>
            <w:tcBorders>
              <w:top w:val="nil"/>
              <w:left w:val="nil"/>
              <w:bottom w:val="nil"/>
              <w:right w:val="nil"/>
            </w:tcBorders>
            <w:shd w:val="clear" w:color="auto" w:fill="auto"/>
            <w:noWrap/>
            <w:vAlign w:val="bottom"/>
            <w:hideMark/>
          </w:tcPr>
          <w:p w14:paraId="00655B8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668" w:type="dxa"/>
            <w:tcBorders>
              <w:top w:val="nil"/>
              <w:left w:val="nil"/>
              <w:bottom w:val="nil"/>
              <w:right w:val="nil"/>
            </w:tcBorders>
            <w:shd w:val="clear" w:color="auto" w:fill="auto"/>
            <w:noWrap/>
            <w:vAlign w:val="bottom"/>
            <w:hideMark/>
          </w:tcPr>
          <w:p w14:paraId="4B740F6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0.86</w:t>
            </w:r>
          </w:p>
        </w:tc>
        <w:tc>
          <w:tcPr>
            <w:tcW w:w="261" w:type="dxa"/>
            <w:tcBorders>
              <w:top w:val="nil"/>
              <w:left w:val="nil"/>
              <w:bottom w:val="nil"/>
              <w:right w:val="nil"/>
            </w:tcBorders>
            <w:shd w:val="clear" w:color="auto" w:fill="auto"/>
            <w:noWrap/>
            <w:vAlign w:val="bottom"/>
            <w:hideMark/>
          </w:tcPr>
          <w:p w14:paraId="3E7F83FD"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CF7512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-0.09</w:t>
            </w:r>
          </w:p>
        </w:tc>
        <w:tc>
          <w:tcPr>
            <w:tcW w:w="694" w:type="dxa"/>
            <w:tcBorders>
              <w:top w:val="nil"/>
              <w:left w:val="nil"/>
              <w:bottom w:val="nil"/>
              <w:right w:val="nil"/>
            </w:tcBorders>
            <w:shd w:val="clear" w:color="auto" w:fill="auto"/>
            <w:noWrap/>
            <w:vAlign w:val="bottom"/>
            <w:hideMark/>
          </w:tcPr>
          <w:p w14:paraId="76F159F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668" w:type="dxa"/>
            <w:tcBorders>
              <w:top w:val="nil"/>
              <w:left w:val="nil"/>
              <w:bottom w:val="nil"/>
              <w:right w:val="nil"/>
            </w:tcBorders>
            <w:shd w:val="clear" w:color="auto" w:fill="auto"/>
            <w:noWrap/>
            <w:vAlign w:val="bottom"/>
            <w:hideMark/>
          </w:tcPr>
          <w:p w14:paraId="24159B9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0.92</w:t>
            </w:r>
          </w:p>
        </w:tc>
        <w:tc>
          <w:tcPr>
            <w:tcW w:w="261" w:type="dxa"/>
            <w:tcBorders>
              <w:top w:val="nil"/>
              <w:left w:val="nil"/>
              <w:bottom w:val="nil"/>
              <w:right w:val="nil"/>
            </w:tcBorders>
            <w:shd w:val="clear" w:color="auto" w:fill="auto"/>
            <w:noWrap/>
            <w:vAlign w:val="bottom"/>
            <w:hideMark/>
          </w:tcPr>
          <w:p w14:paraId="6BFFE778"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35FD61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-0.09</w:t>
            </w:r>
          </w:p>
        </w:tc>
        <w:tc>
          <w:tcPr>
            <w:tcW w:w="828" w:type="dxa"/>
            <w:tcBorders>
              <w:top w:val="nil"/>
              <w:left w:val="nil"/>
              <w:bottom w:val="nil"/>
              <w:right w:val="nil"/>
            </w:tcBorders>
            <w:shd w:val="clear" w:color="auto" w:fill="auto"/>
            <w:noWrap/>
            <w:vAlign w:val="bottom"/>
            <w:hideMark/>
          </w:tcPr>
          <w:p w14:paraId="1EA4EEA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w:t>
            </w:r>
          </w:p>
        </w:tc>
        <w:tc>
          <w:tcPr>
            <w:tcW w:w="535" w:type="dxa"/>
            <w:tcBorders>
              <w:top w:val="nil"/>
              <w:left w:val="nil"/>
              <w:bottom w:val="nil"/>
              <w:right w:val="nil"/>
            </w:tcBorders>
            <w:shd w:val="clear" w:color="auto" w:fill="auto"/>
            <w:noWrap/>
            <w:vAlign w:val="bottom"/>
            <w:hideMark/>
          </w:tcPr>
          <w:p w14:paraId="3863216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0.91</w:t>
            </w:r>
          </w:p>
        </w:tc>
      </w:tr>
      <w:tr w:rsidR="0021432C" w:rsidRPr="0041348B" w14:paraId="5C5F7E46" w14:textId="77777777" w:rsidTr="0021432C">
        <w:trPr>
          <w:trHeight w:val="288"/>
        </w:trPr>
        <w:tc>
          <w:tcPr>
            <w:tcW w:w="3747" w:type="dxa"/>
            <w:tcBorders>
              <w:top w:val="nil"/>
              <w:left w:val="nil"/>
              <w:bottom w:val="nil"/>
              <w:right w:val="nil"/>
            </w:tcBorders>
            <w:shd w:val="clear" w:color="auto" w:fill="auto"/>
            <w:vAlign w:val="center"/>
            <w:hideMark/>
          </w:tcPr>
          <w:p w14:paraId="60E033F5"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w:t>
            </w:r>
            <w:proofErr w:type="spellStart"/>
            <w:r w:rsidRPr="0048638A">
              <w:rPr>
                <w:color w:val="000000"/>
                <w:sz w:val="18"/>
                <w:szCs w:val="18"/>
                <w:lang w:val="en-US" w:eastAsia="en-US"/>
              </w:rPr>
              <w:t>Native</w:t>
            </w:r>
            <w:r w:rsidRPr="0048638A">
              <w:rPr>
                <w:color w:val="000000"/>
                <w:sz w:val="18"/>
                <w:szCs w:val="18"/>
                <w:vertAlign w:val="superscript"/>
                <w:lang w:val="en-US" w:eastAsia="en-US"/>
              </w:rPr>
              <w:t>c</w:t>
            </w:r>
            <w:proofErr w:type="spellEnd"/>
          </w:p>
        </w:tc>
        <w:tc>
          <w:tcPr>
            <w:tcW w:w="889" w:type="dxa"/>
            <w:tcBorders>
              <w:top w:val="nil"/>
              <w:left w:val="nil"/>
              <w:bottom w:val="nil"/>
              <w:right w:val="nil"/>
            </w:tcBorders>
            <w:shd w:val="clear" w:color="auto" w:fill="auto"/>
            <w:noWrap/>
            <w:vAlign w:val="bottom"/>
            <w:hideMark/>
          </w:tcPr>
          <w:p w14:paraId="143627B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-0.10</w:t>
            </w:r>
          </w:p>
        </w:tc>
        <w:tc>
          <w:tcPr>
            <w:tcW w:w="734" w:type="dxa"/>
            <w:tcBorders>
              <w:top w:val="nil"/>
              <w:left w:val="nil"/>
              <w:bottom w:val="nil"/>
              <w:right w:val="nil"/>
            </w:tcBorders>
            <w:shd w:val="clear" w:color="auto" w:fill="auto"/>
            <w:noWrap/>
            <w:vAlign w:val="bottom"/>
            <w:hideMark/>
          </w:tcPr>
          <w:p w14:paraId="7C9EEFB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65" w:type="dxa"/>
            <w:tcBorders>
              <w:top w:val="nil"/>
              <w:left w:val="nil"/>
              <w:bottom w:val="nil"/>
              <w:right w:val="nil"/>
            </w:tcBorders>
            <w:shd w:val="clear" w:color="auto" w:fill="auto"/>
            <w:noWrap/>
            <w:vAlign w:val="bottom"/>
            <w:hideMark/>
          </w:tcPr>
          <w:p w14:paraId="785F6E4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0.91</w:t>
            </w:r>
          </w:p>
        </w:tc>
        <w:tc>
          <w:tcPr>
            <w:tcW w:w="261" w:type="dxa"/>
            <w:tcBorders>
              <w:top w:val="nil"/>
              <w:left w:val="nil"/>
              <w:bottom w:val="nil"/>
              <w:right w:val="nil"/>
            </w:tcBorders>
            <w:shd w:val="clear" w:color="auto" w:fill="auto"/>
            <w:noWrap/>
            <w:vAlign w:val="bottom"/>
            <w:hideMark/>
          </w:tcPr>
          <w:p w14:paraId="0016DDE2"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84AE83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-0.22**</w:t>
            </w:r>
          </w:p>
        </w:tc>
        <w:tc>
          <w:tcPr>
            <w:tcW w:w="694" w:type="dxa"/>
            <w:tcBorders>
              <w:top w:val="nil"/>
              <w:left w:val="nil"/>
              <w:bottom w:val="nil"/>
              <w:right w:val="nil"/>
            </w:tcBorders>
            <w:shd w:val="clear" w:color="auto" w:fill="auto"/>
            <w:noWrap/>
            <w:vAlign w:val="bottom"/>
            <w:hideMark/>
          </w:tcPr>
          <w:p w14:paraId="3CBB59E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668" w:type="dxa"/>
            <w:tcBorders>
              <w:top w:val="nil"/>
              <w:left w:val="nil"/>
              <w:bottom w:val="nil"/>
              <w:right w:val="nil"/>
            </w:tcBorders>
            <w:shd w:val="clear" w:color="auto" w:fill="auto"/>
            <w:noWrap/>
            <w:vAlign w:val="bottom"/>
            <w:hideMark/>
          </w:tcPr>
          <w:p w14:paraId="7A74C4D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0.81</w:t>
            </w:r>
          </w:p>
        </w:tc>
        <w:tc>
          <w:tcPr>
            <w:tcW w:w="261" w:type="dxa"/>
            <w:tcBorders>
              <w:top w:val="nil"/>
              <w:left w:val="nil"/>
              <w:bottom w:val="nil"/>
              <w:right w:val="nil"/>
            </w:tcBorders>
            <w:shd w:val="clear" w:color="auto" w:fill="auto"/>
            <w:noWrap/>
            <w:vAlign w:val="bottom"/>
            <w:hideMark/>
          </w:tcPr>
          <w:p w14:paraId="6CB005CE"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7DB955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-0.16*</w:t>
            </w:r>
          </w:p>
        </w:tc>
        <w:tc>
          <w:tcPr>
            <w:tcW w:w="694" w:type="dxa"/>
            <w:tcBorders>
              <w:top w:val="nil"/>
              <w:left w:val="nil"/>
              <w:bottom w:val="nil"/>
              <w:right w:val="nil"/>
            </w:tcBorders>
            <w:shd w:val="clear" w:color="auto" w:fill="auto"/>
            <w:noWrap/>
            <w:vAlign w:val="bottom"/>
            <w:hideMark/>
          </w:tcPr>
          <w:p w14:paraId="7DFDEF6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668" w:type="dxa"/>
            <w:tcBorders>
              <w:top w:val="nil"/>
              <w:left w:val="nil"/>
              <w:bottom w:val="nil"/>
              <w:right w:val="nil"/>
            </w:tcBorders>
            <w:shd w:val="clear" w:color="auto" w:fill="auto"/>
            <w:noWrap/>
            <w:vAlign w:val="bottom"/>
            <w:hideMark/>
          </w:tcPr>
          <w:p w14:paraId="11D6C58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0.86</w:t>
            </w:r>
          </w:p>
        </w:tc>
        <w:tc>
          <w:tcPr>
            <w:tcW w:w="261" w:type="dxa"/>
            <w:tcBorders>
              <w:top w:val="nil"/>
              <w:left w:val="nil"/>
              <w:bottom w:val="nil"/>
              <w:right w:val="nil"/>
            </w:tcBorders>
            <w:shd w:val="clear" w:color="auto" w:fill="auto"/>
            <w:noWrap/>
            <w:vAlign w:val="bottom"/>
            <w:hideMark/>
          </w:tcPr>
          <w:p w14:paraId="77645DA6"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0699D71"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-0.16*</w:t>
            </w:r>
          </w:p>
        </w:tc>
        <w:tc>
          <w:tcPr>
            <w:tcW w:w="828" w:type="dxa"/>
            <w:tcBorders>
              <w:top w:val="nil"/>
              <w:left w:val="nil"/>
              <w:bottom w:val="nil"/>
              <w:right w:val="nil"/>
            </w:tcBorders>
            <w:shd w:val="clear" w:color="auto" w:fill="auto"/>
            <w:noWrap/>
            <w:vAlign w:val="bottom"/>
            <w:hideMark/>
          </w:tcPr>
          <w:p w14:paraId="4EC9E6D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535" w:type="dxa"/>
            <w:tcBorders>
              <w:top w:val="nil"/>
              <w:left w:val="nil"/>
              <w:bottom w:val="nil"/>
              <w:right w:val="nil"/>
            </w:tcBorders>
            <w:shd w:val="clear" w:color="auto" w:fill="auto"/>
            <w:noWrap/>
            <w:vAlign w:val="bottom"/>
            <w:hideMark/>
          </w:tcPr>
          <w:p w14:paraId="32AAC54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0.85</w:t>
            </w:r>
          </w:p>
        </w:tc>
      </w:tr>
      <w:tr w:rsidR="0021432C" w:rsidRPr="0041348B" w14:paraId="47EC1A5E" w14:textId="77777777" w:rsidTr="0021432C">
        <w:trPr>
          <w:trHeight w:val="288"/>
        </w:trPr>
        <w:tc>
          <w:tcPr>
            <w:tcW w:w="3747" w:type="dxa"/>
            <w:tcBorders>
              <w:top w:val="nil"/>
              <w:left w:val="nil"/>
              <w:bottom w:val="nil"/>
              <w:right w:val="nil"/>
            </w:tcBorders>
            <w:shd w:val="clear" w:color="auto" w:fill="auto"/>
            <w:vAlign w:val="center"/>
            <w:hideMark/>
          </w:tcPr>
          <w:p w14:paraId="567C2DD4"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Neighborhood context</w:t>
            </w:r>
          </w:p>
        </w:tc>
        <w:tc>
          <w:tcPr>
            <w:tcW w:w="889" w:type="dxa"/>
            <w:tcBorders>
              <w:top w:val="nil"/>
              <w:left w:val="nil"/>
              <w:bottom w:val="nil"/>
              <w:right w:val="nil"/>
            </w:tcBorders>
            <w:shd w:val="clear" w:color="auto" w:fill="auto"/>
            <w:noWrap/>
            <w:vAlign w:val="bottom"/>
            <w:hideMark/>
          </w:tcPr>
          <w:p w14:paraId="74F6F528" w14:textId="77777777" w:rsidR="0041348B" w:rsidRPr="0048638A" w:rsidRDefault="0041348B" w:rsidP="005636E1">
            <w:pPr>
              <w:spacing w:line="240" w:lineRule="auto"/>
              <w:contextualSpacing/>
              <w:rPr>
                <w:i/>
                <w:iCs/>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4127E2E3"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3237F2E9"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276EA352"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5A7C4FFD" w14:textId="77777777" w:rsidR="0041348B" w:rsidRPr="0048638A" w:rsidRDefault="0041348B" w:rsidP="005636E1">
            <w:pPr>
              <w:spacing w:line="240" w:lineRule="auto"/>
              <w:contextualSpacing/>
              <w:jc w:val="center"/>
              <w:rPr>
                <w:b/>
                <w:bCs/>
                <w:sz w:val="18"/>
                <w:szCs w:val="18"/>
                <w:lang w:val="en-US" w:eastAsia="en-US"/>
              </w:rPr>
            </w:pPr>
          </w:p>
        </w:tc>
        <w:tc>
          <w:tcPr>
            <w:tcW w:w="694" w:type="dxa"/>
            <w:tcBorders>
              <w:top w:val="nil"/>
              <w:left w:val="nil"/>
              <w:bottom w:val="nil"/>
              <w:right w:val="nil"/>
            </w:tcBorders>
            <w:shd w:val="clear" w:color="auto" w:fill="auto"/>
            <w:noWrap/>
            <w:vAlign w:val="bottom"/>
            <w:hideMark/>
          </w:tcPr>
          <w:p w14:paraId="6E157686"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4870D5CF"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2BC74C07"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17BC7C9E" w14:textId="77777777" w:rsidR="0041348B" w:rsidRPr="0048638A" w:rsidRDefault="0041348B" w:rsidP="005636E1">
            <w:pPr>
              <w:spacing w:line="240" w:lineRule="auto"/>
              <w:contextualSpacing/>
              <w:jc w:val="center"/>
              <w:rPr>
                <w:b/>
                <w:bCs/>
                <w:sz w:val="18"/>
                <w:szCs w:val="18"/>
                <w:lang w:val="en-US" w:eastAsia="en-US"/>
              </w:rPr>
            </w:pPr>
          </w:p>
        </w:tc>
        <w:tc>
          <w:tcPr>
            <w:tcW w:w="694" w:type="dxa"/>
            <w:tcBorders>
              <w:top w:val="nil"/>
              <w:left w:val="nil"/>
              <w:bottom w:val="nil"/>
              <w:right w:val="nil"/>
            </w:tcBorders>
            <w:shd w:val="clear" w:color="auto" w:fill="auto"/>
            <w:noWrap/>
            <w:vAlign w:val="bottom"/>
            <w:hideMark/>
          </w:tcPr>
          <w:p w14:paraId="3505653C"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2B096C3D"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238A37E7"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088F674C" w14:textId="77777777" w:rsidR="0041348B" w:rsidRPr="0048638A" w:rsidRDefault="0041348B" w:rsidP="005636E1">
            <w:pPr>
              <w:spacing w:line="240" w:lineRule="auto"/>
              <w:contextualSpacing/>
              <w:jc w:val="center"/>
              <w:rPr>
                <w:b/>
                <w:bCs/>
                <w:sz w:val="18"/>
                <w:szCs w:val="18"/>
                <w:lang w:val="en-US" w:eastAsia="en-US"/>
              </w:rPr>
            </w:pPr>
          </w:p>
        </w:tc>
        <w:tc>
          <w:tcPr>
            <w:tcW w:w="828" w:type="dxa"/>
            <w:tcBorders>
              <w:top w:val="nil"/>
              <w:left w:val="nil"/>
              <w:bottom w:val="nil"/>
              <w:right w:val="nil"/>
            </w:tcBorders>
            <w:shd w:val="clear" w:color="auto" w:fill="auto"/>
            <w:noWrap/>
            <w:vAlign w:val="bottom"/>
            <w:hideMark/>
          </w:tcPr>
          <w:p w14:paraId="007A81F1"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76D797EB"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656D05D7" w14:textId="77777777" w:rsidTr="0021432C">
        <w:trPr>
          <w:trHeight w:val="288"/>
        </w:trPr>
        <w:tc>
          <w:tcPr>
            <w:tcW w:w="3747" w:type="dxa"/>
            <w:tcBorders>
              <w:top w:val="nil"/>
              <w:left w:val="nil"/>
              <w:bottom w:val="nil"/>
              <w:right w:val="nil"/>
            </w:tcBorders>
            <w:shd w:val="clear" w:color="auto" w:fill="auto"/>
            <w:vAlign w:val="center"/>
            <w:hideMark/>
          </w:tcPr>
          <w:p w14:paraId="47BC613D"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Neighborhood index</w:t>
            </w:r>
          </w:p>
        </w:tc>
        <w:tc>
          <w:tcPr>
            <w:tcW w:w="889" w:type="dxa"/>
            <w:tcBorders>
              <w:top w:val="nil"/>
              <w:left w:val="nil"/>
              <w:bottom w:val="nil"/>
              <w:right w:val="nil"/>
            </w:tcBorders>
            <w:shd w:val="clear" w:color="auto" w:fill="auto"/>
            <w:noWrap/>
            <w:vAlign w:val="bottom"/>
            <w:hideMark/>
          </w:tcPr>
          <w:p w14:paraId="20EB39E1"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-0.60***</w:t>
            </w:r>
          </w:p>
        </w:tc>
        <w:tc>
          <w:tcPr>
            <w:tcW w:w="734" w:type="dxa"/>
            <w:tcBorders>
              <w:top w:val="nil"/>
              <w:left w:val="nil"/>
              <w:bottom w:val="nil"/>
              <w:right w:val="nil"/>
            </w:tcBorders>
            <w:shd w:val="clear" w:color="auto" w:fill="auto"/>
            <w:noWrap/>
            <w:vAlign w:val="bottom"/>
            <w:hideMark/>
          </w:tcPr>
          <w:p w14:paraId="7B18229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67F4AB8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0.55</w:t>
            </w:r>
          </w:p>
        </w:tc>
        <w:tc>
          <w:tcPr>
            <w:tcW w:w="261" w:type="dxa"/>
            <w:tcBorders>
              <w:top w:val="nil"/>
              <w:left w:val="nil"/>
              <w:bottom w:val="nil"/>
              <w:right w:val="nil"/>
            </w:tcBorders>
            <w:shd w:val="clear" w:color="auto" w:fill="auto"/>
            <w:noWrap/>
            <w:vAlign w:val="bottom"/>
            <w:hideMark/>
          </w:tcPr>
          <w:p w14:paraId="3064AFB6"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1B59AE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-0.25***</w:t>
            </w:r>
          </w:p>
        </w:tc>
        <w:tc>
          <w:tcPr>
            <w:tcW w:w="694" w:type="dxa"/>
            <w:tcBorders>
              <w:top w:val="nil"/>
              <w:left w:val="nil"/>
              <w:bottom w:val="nil"/>
              <w:right w:val="nil"/>
            </w:tcBorders>
            <w:shd w:val="clear" w:color="auto" w:fill="auto"/>
            <w:noWrap/>
            <w:vAlign w:val="bottom"/>
            <w:hideMark/>
          </w:tcPr>
          <w:p w14:paraId="4F047C3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nil"/>
              <w:right w:val="nil"/>
            </w:tcBorders>
            <w:shd w:val="clear" w:color="auto" w:fill="auto"/>
            <w:noWrap/>
            <w:vAlign w:val="bottom"/>
            <w:hideMark/>
          </w:tcPr>
          <w:p w14:paraId="7A1D295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0.78</w:t>
            </w:r>
          </w:p>
        </w:tc>
        <w:tc>
          <w:tcPr>
            <w:tcW w:w="261" w:type="dxa"/>
            <w:tcBorders>
              <w:top w:val="nil"/>
              <w:left w:val="nil"/>
              <w:bottom w:val="nil"/>
              <w:right w:val="nil"/>
            </w:tcBorders>
            <w:shd w:val="clear" w:color="auto" w:fill="auto"/>
            <w:noWrap/>
            <w:vAlign w:val="bottom"/>
            <w:hideMark/>
          </w:tcPr>
          <w:p w14:paraId="4BC7914C"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21DEE5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-0.23***</w:t>
            </w:r>
          </w:p>
        </w:tc>
        <w:tc>
          <w:tcPr>
            <w:tcW w:w="694" w:type="dxa"/>
            <w:tcBorders>
              <w:top w:val="nil"/>
              <w:left w:val="nil"/>
              <w:bottom w:val="nil"/>
              <w:right w:val="nil"/>
            </w:tcBorders>
            <w:shd w:val="clear" w:color="auto" w:fill="auto"/>
            <w:noWrap/>
            <w:vAlign w:val="bottom"/>
            <w:hideMark/>
          </w:tcPr>
          <w:p w14:paraId="114D88B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nil"/>
              <w:right w:val="nil"/>
            </w:tcBorders>
            <w:shd w:val="clear" w:color="auto" w:fill="auto"/>
            <w:noWrap/>
            <w:vAlign w:val="bottom"/>
            <w:hideMark/>
          </w:tcPr>
          <w:p w14:paraId="66830A7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0.79</w:t>
            </w:r>
          </w:p>
        </w:tc>
        <w:tc>
          <w:tcPr>
            <w:tcW w:w="261" w:type="dxa"/>
            <w:tcBorders>
              <w:top w:val="nil"/>
              <w:left w:val="nil"/>
              <w:bottom w:val="nil"/>
              <w:right w:val="nil"/>
            </w:tcBorders>
            <w:shd w:val="clear" w:color="auto" w:fill="auto"/>
            <w:noWrap/>
            <w:vAlign w:val="bottom"/>
            <w:hideMark/>
          </w:tcPr>
          <w:p w14:paraId="4C35F264"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CA0BAC6"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-0.23***</w:t>
            </w:r>
          </w:p>
        </w:tc>
        <w:tc>
          <w:tcPr>
            <w:tcW w:w="828" w:type="dxa"/>
            <w:tcBorders>
              <w:top w:val="nil"/>
              <w:left w:val="nil"/>
              <w:bottom w:val="nil"/>
              <w:right w:val="nil"/>
            </w:tcBorders>
            <w:shd w:val="clear" w:color="auto" w:fill="auto"/>
            <w:noWrap/>
            <w:vAlign w:val="bottom"/>
            <w:hideMark/>
          </w:tcPr>
          <w:p w14:paraId="4D2A0C9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35" w:type="dxa"/>
            <w:tcBorders>
              <w:top w:val="nil"/>
              <w:left w:val="nil"/>
              <w:bottom w:val="nil"/>
              <w:right w:val="nil"/>
            </w:tcBorders>
            <w:shd w:val="clear" w:color="auto" w:fill="auto"/>
            <w:noWrap/>
            <w:vAlign w:val="bottom"/>
            <w:hideMark/>
          </w:tcPr>
          <w:p w14:paraId="6132658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0.79</w:t>
            </w:r>
          </w:p>
        </w:tc>
      </w:tr>
      <w:tr w:rsidR="0021432C" w:rsidRPr="0041348B" w14:paraId="78EF041C" w14:textId="77777777" w:rsidTr="0021432C">
        <w:trPr>
          <w:trHeight w:val="288"/>
        </w:trPr>
        <w:tc>
          <w:tcPr>
            <w:tcW w:w="3747" w:type="dxa"/>
            <w:tcBorders>
              <w:top w:val="nil"/>
              <w:left w:val="nil"/>
              <w:bottom w:val="nil"/>
              <w:right w:val="nil"/>
            </w:tcBorders>
            <w:shd w:val="clear" w:color="auto" w:fill="auto"/>
            <w:vAlign w:val="center"/>
            <w:hideMark/>
          </w:tcPr>
          <w:p w14:paraId="2285EC3D"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Family ties</w:t>
            </w:r>
          </w:p>
        </w:tc>
        <w:tc>
          <w:tcPr>
            <w:tcW w:w="889" w:type="dxa"/>
            <w:tcBorders>
              <w:top w:val="nil"/>
              <w:left w:val="nil"/>
              <w:bottom w:val="nil"/>
              <w:right w:val="nil"/>
            </w:tcBorders>
            <w:shd w:val="clear" w:color="auto" w:fill="auto"/>
            <w:noWrap/>
            <w:vAlign w:val="bottom"/>
            <w:hideMark/>
          </w:tcPr>
          <w:p w14:paraId="06C49F8E" w14:textId="77777777" w:rsidR="0041348B" w:rsidRPr="0048638A" w:rsidRDefault="0041348B" w:rsidP="005636E1">
            <w:pPr>
              <w:spacing w:line="240" w:lineRule="auto"/>
              <w:contextualSpacing/>
              <w:rPr>
                <w:i/>
                <w:iCs/>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4029B153"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1A849379"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6B1A4605"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69FD2F71"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3111E52F"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1691FB77"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7968D154"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45338032"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63C9E198"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52E05F7B"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4BBD4AB"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34DA5593"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3711BDBF"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3EA91DF5"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35DCC94D" w14:textId="77777777" w:rsidTr="0021432C">
        <w:trPr>
          <w:trHeight w:val="288"/>
        </w:trPr>
        <w:tc>
          <w:tcPr>
            <w:tcW w:w="3747" w:type="dxa"/>
            <w:tcBorders>
              <w:top w:val="nil"/>
              <w:left w:val="nil"/>
              <w:bottom w:val="nil"/>
              <w:right w:val="nil"/>
            </w:tcBorders>
            <w:shd w:val="clear" w:color="auto" w:fill="auto"/>
            <w:vAlign w:val="center"/>
            <w:hideMark/>
          </w:tcPr>
          <w:p w14:paraId="047DAAA6"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Get along with one parent very </w:t>
            </w:r>
            <w:proofErr w:type="spellStart"/>
            <w:r w:rsidRPr="0048638A">
              <w:rPr>
                <w:color w:val="000000"/>
                <w:sz w:val="18"/>
                <w:szCs w:val="18"/>
                <w:lang w:val="en-US" w:eastAsia="en-US"/>
              </w:rPr>
              <w:t>well</w:t>
            </w:r>
            <w:r w:rsidRPr="0048638A">
              <w:rPr>
                <w:color w:val="000000"/>
                <w:sz w:val="18"/>
                <w:szCs w:val="18"/>
                <w:vertAlign w:val="superscript"/>
                <w:lang w:val="en-US" w:eastAsia="en-US"/>
              </w:rPr>
              <w:t>d</w:t>
            </w:r>
            <w:proofErr w:type="spellEnd"/>
          </w:p>
        </w:tc>
        <w:tc>
          <w:tcPr>
            <w:tcW w:w="889" w:type="dxa"/>
            <w:tcBorders>
              <w:top w:val="nil"/>
              <w:left w:val="nil"/>
              <w:bottom w:val="nil"/>
              <w:right w:val="nil"/>
            </w:tcBorders>
            <w:shd w:val="clear" w:color="auto" w:fill="auto"/>
            <w:noWrap/>
            <w:vAlign w:val="bottom"/>
            <w:hideMark/>
          </w:tcPr>
          <w:p w14:paraId="64085B2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0.00</w:t>
            </w:r>
          </w:p>
        </w:tc>
        <w:tc>
          <w:tcPr>
            <w:tcW w:w="734" w:type="dxa"/>
            <w:tcBorders>
              <w:top w:val="nil"/>
              <w:left w:val="nil"/>
              <w:bottom w:val="nil"/>
              <w:right w:val="nil"/>
            </w:tcBorders>
            <w:shd w:val="clear" w:color="auto" w:fill="auto"/>
            <w:noWrap/>
            <w:vAlign w:val="bottom"/>
            <w:hideMark/>
          </w:tcPr>
          <w:p w14:paraId="2F9EA20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5" w:type="dxa"/>
            <w:tcBorders>
              <w:top w:val="nil"/>
              <w:left w:val="nil"/>
              <w:bottom w:val="nil"/>
              <w:right w:val="nil"/>
            </w:tcBorders>
            <w:shd w:val="clear" w:color="auto" w:fill="auto"/>
            <w:noWrap/>
            <w:vAlign w:val="bottom"/>
            <w:hideMark/>
          </w:tcPr>
          <w:p w14:paraId="73BA570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1.00</w:t>
            </w:r>
          </w:p>
        </w:tc>
        <w:tc>
          <w:tcPr>
            <w:tcW w:w="261" w:type="dxa"/>
            <w:tcBorders>
              <w:top w:val="nil"/>
              <w:left w:val="nil"/>
              <w:bottom w:val="nil"/>
              <w:right w:val="nil"/>
            </w:tcBorders>
            <w:shd w:val="clear" w:color="auto" w:fill="auto"/>
            <w:noWrap/>
            <w:vAlign w:val="bottom"/>
            <w:hideMark/>
          </w:tcPr>
          <w:p w14:paraId="4EA9B71B"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FE2618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694" w:type="dxa"/>
            <w:tcBorders>
              <w:top w:val="nil"/>
              <w:left w:val="nil"/>
              <w:bottom w:val="nil"/>
              <w:right w:val="nil"/>
            </w:tcBorders>
            <w:shd w:val="clear" w:color="auto" w:fill="auto"/>
            <w:noWrap/>
            <w:vAlign w:val="bottom"/>
            <w:hideMark/>
          </w:tcPr>
          <w:p w14:paraId="0AC5106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4513F3E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1.07</w:t>
            </w:r>
          </w:p>
        </w:tc>
        <w:tc>
          <w:tcPr>
            <w:tcW w:w="261" w:type="dxa"/>
            <w:tcBorders>
              <w:top w:val="nil"/>
              <w:left w:val="nil"/>
              <w:bottom w:val="nil"/>
              <w:right w:val="nil"/>
            </w:tcBorders>
            <w:shd w:val="clear" w:color="auto" w:fill="auto"/>
            <w:noWrap/>
            <w:vAlign w:val="bottom"/>
            <w:hideMark/>
          </w:tcPr>
          <w:p w14:paraId="29809147"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45218A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94" w:type="dxa"/>
            <w:tcBorders>
              <w:top w:val="nil"/>
              <w:left w:val="nil"/>
              <w:bottom w:val="nil"/>
              <w:right w:val="nil"/>
            </w:tcBorders>
            <w:shd w:val="clear" w:color="auto" w:fill="auto"/>
            <w:noWrap/>
            <w:vAlign w:val="bottom"/>
            <w:hideMark/>
          </w:tcPr>
          <w:p w14:paraId="1C88799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3AAC5A5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1.07</w:t>
            </w:r>
          </w:p>
        </w:tc>
        <w:tc>
          <w:tcPr>
            <w:tcW w:w="261" w:type="dxa"/>
            <w:tcBorders>
              <w:top w:val="nil"/>
              <w:left w:val="nil"/>
              <w:bottom w:val="nil"/>
              <w:right w:val="nil"/>
            </w:tcBorders>
            <w:shd w:val="clear" w:color="auto" w:fill="auto"/>
            <w:noWrap/>
            <w:vAlign w:val="bottom"/>
            <w:hideMark/>
          </w:tcPr>
          <w:p w14:paraId="0111701B"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506626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828" w:type="dxa"/>
            <w:tcBorders>
              <w:top w:val="nil"/>
              <w:left w:val="nil"/>
              <w:bottom w:val="nil"/>
              <w:right w:val="nil"/>
            </w:tcBorders>
            <w:shd w:val="clear" w:color="auto" w:fill="auto"/>
            <w:noWrap/>
            <w:vAlign w:val="bottom"/>
            <w:hideMark/>
          </w:tcPr>
          <w:p w14:paraId="30F9AB7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35" w:type="dxa"/>
            <w:tcBorders>
              <w:top w:val="nil"/>
              <w:left w:val="nil"/>
              <w:bottom w:val="nil"/>
              <w:right w:val="nil"/>
            </w:tcBorders>
            <w:shd w:val="clear" w:color="auto" w:fill="auto"/>
            <w:noWrap/>
            <w:vAlign w:val="bottom"/>
            <w:hideMark/>
          </w:tcPr>
          <w:p w14:paraId="7532B87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1.06</w:t>
            </w:r>
          </w:p>
        </w:tc>
      </w:tr>
      <w:tr w:rsidR="0021432C" w:rsidRPr="0041348B" w14:paraId="7A04C3BF" w14:textId="77777777" w:rsidTr="0021432C">
        <w:trPr>
          <w:trHeight w:val="288"/>
        </w:trPr>
        <w:tc>
          <w:tcPr>
            <w:tcW w:w="3747" w:type="dxa"/>
            <w:tcBorders>
              <w:top w:val="nil"/>
              <w:left w:val="nil"/>
              <w:bottom w:val="nil"/>
              <w:right w:val="nil"/>
            </w:tcBorders>
            <w:shd w:val="clear" w:color="auto" w:fill="auto"/>
            <w:vAlign w:val="center"/>
            <w:hideMark/>
          </w:tcPr>
          <w:p w14:paraId="72235314"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Get along with both very </w:t>
            </w:r>
            <w:proofErr w:type="spellStart"/>
            <w:r w:rsidRPr="0048638A">
              <w:rPr>
                <w:color w:val="000000"/>
                <w:sz w:val="18"/>
                <w:szCs w:val="18"/>
                <w:lang w:val="en-US" w:eastAsia="en-US"/>
              </w:rPr>
              <w:t>well</w:t>
            </w:r>
            <w:r w:rsidRPr="0048638A">
              <w:rPr>
                <w:color w:val="000000"/>
                <w:sz w:val="18"/>
                <w:szCs w:val="18"/>
                <w:vertAlign w:val="superscript"/>
                <w:lang w:val="en-US" w:eastAsia="en-US"/>
              </w:rPr>
              <w:t>d</w:t>
            </w:r>
            <w:proofErr w:type="spellEnd"/>
          </w:p>
        </w:tc>
        <w:tc>
          <w:tcPr>
            <w:tcW w:w="889" w:type="dxa"/>
            <w:tcBorders>
              <w:top w:val="nil"/>
              <w:left w:val="nil"/>
              <w:bottom w:val="nil"/>
              <w:right w:val="nil"/>
            </w:tcBorders>
            <w:shd w:val="clear" w:color="auto" w:fill="auto"/>
            <w:noWrap/>
            <w:vAlign w:val="bottom"/>
            <w:hideMark/>
          </w:tcPr>
          <w:p w14:paraId="50372AB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-0.12**</w:t>
            </w:r>
          </w:p>
        </w:tc>
        <w:tc>
          <w:tcPr>
            <w:tcW w:w="734" w:type="dxa"/>
            <w:tcBorders>
              <w:top w:val="nil"/>
              <w:left w:val="nil"/>
              <w:bottom w:val="nil"/>
              <w:right w:val="nil"/>
            </w:tcBorders>
            <w:shd w:val="clear" w:color="auto" w:fill="auto"/>
            <w:noWrap/>
            <w:vAlign w:val="bottom"/>
            <w:hideMark/>
          </w:tcPr>
          <w:p w14:paraId="6F6F73E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5" w:type="dxa"/>
            <w:tcBorders>
              <w:top w:val="nil"/>
              <w:left w:val="nil"/>
              <w:bottom w:val="nil"/>
              <w:right w:val="nil"/>
            </w:tcBorders>
            <w:shd w:val="clear" w:color="auto" w:fill="auto"/>
            <w:noWrap/>
            <w:vAlign w:val="bottom"/>
            <w:hideMark/>
          </w:tcPr>
          <w:p w14:paraId="21BDECD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0.88</w:t>
            </w:r>
          </w:p>
        </w:tc>
        <w:tc>
          <w:tcPr>
            <w:tcW w:w="261" w:type="dxa"/>
            <w:tcBorders>
              <w:top w:val="nil"/>
              <w:left w:val="nil"/>
              <w:bottom w:val="nil"/>
              <w:right w:val="nil"/>
            </w:tcBorders>
            <w:shd w:val="clear" w:color="auto" w:fill="auto"/>
            <w:noWrap/>
            <w:vAlign w:val="bottom"/>
            <w:hideMark/>
          </w:tcPr>
          <w:p w14:paraId="0E3497A8"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2AAB27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94" w:type="dxa"/>
            <w:tcBorders>
              <w:top w:val="nil"/>
              <w:left w:val="nil"/>
              <w:bottom w:val="nil"/>
              <w:right w:val="nil"/>
            </w:tcBorders>
            <w:shd w:val="clear" w:color="auto" w:fill="auto"/>
            <w:noWrap/>
            <w:vAlign w:val="bottom"/>
            <w:hideMark/>
          </w:tcPr>
          <w:p w14:paraId="398C6B8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5B06B32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1.06</w:t>
            </w:r>
          </w:p>
        </w:tc>
        <w:tc>
          <w:tcPr>
            <w:tcW w:w="261" w:type="dxa"/>
            <w:tcBorders>
              <w:top w:val="nil"/>
              <w:left w:val="nil"/>
              <w:bottom w:val="nil"/>
              <w:right w:val="nil"/>
            </w:tcBorders>
            <w:shd w:val="clear" w:color="auto" w:fill="auto"/>
            <w:noWrap/>
            <w:vAlign w:val="bottom"/>
            <w:hideMark/>
          </w:tcPr>
          <w:p w14:paraId="2B148C9B"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E62E62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94" w:type="dxa"/>
            <w:tcBorders>
              <w:top w:val="nil"/>
              <w:left w:val="nil"/>
              <w:bottom w:val="nil"/>
              <w:right w:val="nil"/>
            </w:tcBorders>
            <w:shd w:val="clear" w:color="auto" w:fill="auto"/>
            <w:noWrap/>
            <w:vAlign w:val="bottom"/>
            <w:hideMark/>
          </w:tcPr>
          <w:p w14:paraId="432564A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0C94254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1.05</w:t>
            </w:r>
          </w:p>
        </w:tc>
        <w:tc>
          <w:tcPr>
            <w:tcW w:w="261" w:type="dxa"/>
            <w:tcBorders>
              <w:top w:val="nil"/>
              <w:left w:val="nil"/>
              <w:bottom w:val="nil"/>
              <w:right w:val="nil"/>
            </w:tcBorders>
            <w:shd w:val="clear" w:color="auto" w:fill="auto"/>
            <w:noWrap/>
            <w:vAlign w:val="bottom"/>
            <w:hideMark/>
          </w:tcPr>
          <w:p w14:paraId="2A65F160"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3E9C3A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828" w:type="dxa"/>
            <w:tcBorders>
              <w:top w:val="nil"/>
              <w:left w:val="nil"/>
              <w:bottom w:val="nil"/>
              <w:right w:val="nil"/>
            </w:tcBorders>
            <w:shd w:val="clear" w:color="auto" w:fill="auto"/>
            <w:noWrap/>
            <w:vAlign w:val="bottom"/>
            <w:hideMark/>
          </w:tcPr>
          <w:p w14:paraId="5A036DA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5091876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1.05</w:t>
            </w:r>
          </w:p>
        </w:tc>
      </w:tr>
      <w:tr w:rsidR="0021432C" w:rsidRPr="0041348B" w14:paraId="49E31579" w14:textId="77777777" w:rsidTr="0021432C">
        <w:trPr>
          <w:trHeight w:val="288"/>
        </w:trPr>
        <w:tc>
          <w:tcPr>
            <w:tcW w:w="3747" w:type="dxa"/>
            <w:tcBorders>
              <w:top w:val="nil"/>
              <w:left w:val="nil"/>
              <w:bottom w:val="nil"/>
              <w:right w:val="nil"/>
            </w:tcBorders>
            <w:shd w:val="clear" w:color="auto" w:fill="auto"/>
            <w:vAlign w:val="center"/>
            <w:hideMark/>
          </w:tcPr>
          <w:p w14:paraId="23D67937"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lastRenderedPageBreak/>
              <w:t>  Parents know friends always</w:t>
            </w:r>
          </w:p>
        </w:tc>
        <w:tc>
          <w:tcPr>
            <w:tcW w:w="889" w:type="dxa"/>
            <w:tcBorders>
              <w:top w:val="nil"/>
              <w:left w:val="nil"/>
              <w:bottom w:val="nil"/>
              <w:right w:val="nil"/>
            </w:tcBorders>
            <w:shd w:val="clear" w:color="auto" w:fill="auto"/>
            <w:noWrap/>
            <w:vAlign w:val="bottom"/>
            <w:hideMark/>
          </w:tcPr>
          <w:p w14:paraId="75F4EC26"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-0.81***</w:t>
            </w:r>
          </w:p>
        </w:tc>
        <w:tc>
          <w:tcPr>
            <w:tcW w:w="734" w:type="dxa"/>
            <w:tcBorders>
              <w:top w:val="nil"/>
              <w:left w:val="nil"/>
              <w:bottom w:val="nil"/>
              <w:right w:val="nil"/>
            </w:tcBorders>
            <w:shd w:val="clear" w:color="auto" w:fill="auto"/>
            <w:noWrap/>
            <w:vAlign w:val="bottom"/>
            <w:hideMark/>
          </w:tcPr>
          <w:p w14:paraId="50145E5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38744F9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0.45</w:t>
            </w:r>
          </w:p>
        </w:tc>
        <w:tc>
          <w:tcPr>
            <w:tcW w:w="261" w:type="dxa"/>
            <w:tcBorders>
              <w:top w:val="nil"/>
              <w:left w:val="nil"/>
              <w:bottom w:val="nil"/>
              <w:right w:val="nil"/>
            </w:tcBorders>
            <w:shd w:val="clear" w:color="auto" w:fill="auto"/>
            <w:noWrap/>
            <w:vAlign w:val="bottom"/>
            <w:hideMark/>
          </w:tcPr>
          <w:p w14:paraId="611DB309"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B6A4B0B"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-0.46***</w:t>
            </w:r>
          </w:p>
        </w:tc>
        <w:tc>
          <w:tcPr>
            <w:tcW w:w="694" w:type="dxa"/>
            <w:tcBorders>
              <w:top w:val="nil"/>
              <w:left w:val="nil"/>
              <w:bottom w:val="nil"/>
              <w:right w:val="nil"/>
            </w:tcBorders>
            <w:shd w:val="clear" w:color="auto" w:fill="auto"/>
            <w:noWrap/>
            <w:vAlign w:val="bottom"/>
            <w:hideMark/>
          </w:tcPr>
          <w:p w14:paraId="47CDB89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nil"/>
              <w:right w:val="nil"/>
            </w:tcBorders>
            <w:shd w:val="clear" w:color="auto" w:fill="auto"/>
            <w:noWrap/>
            <w:vAlign w:val="bottom"/>
            <w:hideMark/>
          </w:tcPr>
          <w:p w14:paraId="3A30542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0.63</w:t>
            </w:r>
          </w:p>
        </w:tc>
        <w:tc>
          <w:tcPr>
            <w:tcW w:w="261" w:type="dxa"/>
            <w:tcBorders>
              <w:top w:val="nil"/>
              <w:left w:val="nil"/>
              <w:bottom w:val="nil"/>
              <w:right w:val="nil"/>
            </w:tcBorders>
            <w:shd w:val="clear" w:color="auto" w:fill="auto"/>
            <w:noWrap/>
            <w:vAlign w:val="bottom"/>
            <w:hideMark/>
          </w:tcPr>
          <w:p w14:paraId="6B190BF8"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AED24F3"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-0.43***</w:t>
            </w:r>
          </w:p>
        </w:tc>
        <w:tc>
          <w:tcPr>
            <w:tcW w:w="694" w:type="dxa"/>
            <w:tcBorders>
              <w:top w:val="nil"/>
              <w:left w:val="nil"/>
              <w:bottom w:val="nil"/>
              <w:right w:val="nil"/>
            </w:tcBorders>
            <w:shd w:val="clear" w:color="auto" w:fill="auto"/>
            <w:noWrap/>
            <w:vAlign w:val="bottom"/>
            <w:hideMark/>
          </w:tcPr>
          <w:p w14:paraId="36AF61D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0149F7C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0.65</w:t>
            </w:r>
          </w:p>
        </w:tc>
        <w:tc>
          <w:tcPr>
            <w:tcW w:w="261" w:type="dxa"/>
            <w:tcBorders>
              <w:top w:val="nil"/>
              <w:left w:val="nil"/>
              <w:bottom w:val="nil"/>
              <w:right w:val="nil"/>
            </w:tcBorders>
            <w:shd w:val="clear" w:color="auto" w:fill="auto"/>
            <w:noWrap/>
            <w:vAlign w:val="bottom"/>
            <w:hideMark/>
          </w:tcPr>
          <w:p w14:paraId="0DB2A838" w14:textId="77777777" w:rsidR="0041348B" w:rsidRPr="0048638A" w:rsidRDefault="0041348B" w:rsidP="005636E1">
            <w:pPr>
              <w:spacing w:line="240" w:lineRule="auto"/>
              <w:contextualSpacing/>
              <w:jc w:val="center"/>
              <w:rPr>
                <w:b/>
                <w:bCs/>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9EC1E8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-0.43***</w:t>
            </w:r>
          </w:p>
        </w:tc>
        <w:tc>
          <w:tcPr>
            <w:tcW w:w="828" w:type="dxa"/>
            <w:tcBorders>
              <w:top w:val="nil"/>
              <w:left w:val="nil"/>
              <w:bottom w:val="nil"/>
              <w:right w:val="nil"/>
            </w:tcBorders>
            <w:shd w:val="clear" w:color="auto" w:fill="auto"/>
            <w:noWrap/>
            <w:vAlign w:val="bottom"/>
            <w:hideMark/>
          </w:tcPr>
          <w:p w14:paraId="125CBAA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0A71C6C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0.65</w:t>
            </w:r>
          </w:p>
        </w:tc>
      </w:tr>
      <w:tr w:rsidR="0021432C" w:rsidRPr="0041348B" w14:paraId="0DDAE67C" w14:textId="77777777" w:rsidTr="0021432C">
        <w:trPr>
          <w:trHeight w:val="288"/>
        </w:trPr>
        <w:tc>
          <w:tcPr>
            <w:tcW w:w="3747" w:type="dxa"/>
            <w:tcBorders>
              <w:top w:val="nil"/>
              <w:left w:val="nil"/>
              <w:bottom w:val="nil"/>
              <w:right w:val="nil"/>
            </w:tcBorders>
            <w:shd w:val="clear" w:color="auto" w:fill="auto"/>
            <w:vAlign w:val="center"/>
            <w:hideMark/>
          </w:tcPr>
          <w:p w14:paraId="27BB90FF"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School ties</w:t>
            </w:r>
          </w:p>
        </w:tc>
        <w:tc>
          <w:tcPr>
            <w:tcW w:w="889" w:type="dxa"/>
            <w:tcBorders>
              <w:top w:val="nil"/>
              <w:left w:val="nil"/>
              <w:bottom w:val="nil"/>
              <w:right w:val="nil"/>
            </w:tcBorders>
            <w:shd w:val="clear" w:color="auto" w:fill="auto"/>
            <w:noWrap/>
            <w:vAlign w:val="bottom"/>
            <w:hideMark/>
          </w:tcPr>
          <w:p w14:paraId="61B6541C" w14:textId="77777777" w:rsidR="0041348B" w:rsidRPr="0048638A" w:rsidRDefault="0041348B" w:rsidP="005636E1">
            <w:pPr>
              <w:spacing w:line="240" w:lineRule="auto"/>
              <w:contextualSpacing/>
              <w:rPr>
                <w:b/>
                <w:bCs/>
                <w:i/>
                <w:iCs/>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2AC5AF55"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7CE41EB3"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567ABC87"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3D9F587E" w14:textId="77777777" w:rsidR="0041348B" w:rsidRPr="0048638A" w:rsidRDefault="0041348B" w:rsidP="005636E1">
            <w:pPr>
              <w:spacing w:line="240" w:lineRule="auto"/>
              <w:contextualSpacing/>
              <w:jc w:val="center"/>
              <w:rPr>
                <w:b/>
                <w:bCs/>
                <w:sz w:val="18"/>
                <w:szCs w:val="18"/>
                <w:lang w:val="en-US" w:eastAsia="en-US"/>
              </w:rPr>
            </w:pPr>
          </w:p>
        </w:tc>
        <w:tc>
          <w:tcPr>
            <w:tcW w:w="694" w:type="dxa"/>
            <w:tcBorders>
              <w:top w:val="nil"/>
              <w:left w:val="nil"/>
              <w:bottom w:val="nil"/>
              <w:right w:val="nil"/>
            </w:tcBorders>
            <w:shd w:val="clear" w:color="auto" w:fill="auto"/>
            <w:noWrap/>
            <w:vAlign w:val="bottom"/>
            <w:hideMark/>
          </w:tcPr>
          <w:p w14:paraId="25129E43"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564E2490"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EDD994F"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664F1BE0" w14:textId="77777777" w:rsidR="0041348B" w:rsidRPr="0048638A" w:rsidRDefault="0041348B" w:rsidP="005636E1">
            <w:pPr>
              <w:spacing w:line="240" w:lineRule="auto"/>
              <w:contextualSpacing/>
              <w:jc w:val="center"/>
              <w:rPr>
                <w:b/>
                <w:bCs/>
                <w:sz w:val="18"/>
                <w:szCs w:val="18"/>
                <w:lang w:val="en-US" w:eastAsia="en-US"/>
              </w:rPr>
            </w:pPr>
          </w:p>
        </w:tc>
        <w:tc>
          <w:tcPr>
            <w:tcW w:w="694" w:type="dxa"/>
            <w:tcBorders>
              <w:top w:val="nil"/>
              <w:left w:val="nil"/>
              <w:bottom w:val="nil"/>
              <w:right w:val="nil"/>
            </w:tcBorders>
            <w:shd w:val="clear" w:color="auto" w:fill="auto"/>
            <w:noWrap/>
            <w:vAlign w:val="bottom"/>
            <w:hideMark/>
          </w:tcPr>
          <w:p w14:paraId="03ED58B7"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43710D04"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630D368E" w14:textId="77777777" w:rsidR="0041348B" w:rsidRPr="0048638A" w:rsidRDefault="0041348B" w:rsidP="005636E1">
            <w:pPr>
              <w:spacing w:line="240" w:lineRule="auto"/>
              <w:contextualSpacing/>
              <w:jc w:val="center"/>
              <w:rPr>
                <w:b/>
                <w:bCs/>
                <w:sz w:val="18"/>
                <w:szCs w:val="18"/>
                <w:lang w:val="en-US" w:eastAsia="en-US"/>
              </w:rPr>
            </w:pPr>
          </w:p>
        </w:tc>
        <w:tc>
          <w:tcPr>
            <w:tcW w:w="1071" w:type="dxa"/>
            <w:tcBorders>
              <w:top w:val="nil"/>
              <w:left w:val="nil"/>
              <w:bottom w:val="nil"/>
              <w:right w:val="nil"/>
            </w:tcBorders>
            <w:shd w:val="clear" w:color="auto" w:fill="auto"/>
            <w:noWrap/>
            <w:vAlign w:val="bottom"/>
            <w:hideMark/>
          </w:tcPr>
          <w:p w14:paraId="0CF2D934" w14:textId="77777777" w:rsidR="0041348B" w:rsidRPr="0048638A" w:rsidRDefault="0041348B" w:rsidP="005636E1">
            <w:pPr>
              <w:spacing w:line="240" w:lineRule="auto"/>
              <w:contextualSpacing/>
              <w:jc w:val="center"/>
              <w:rPr>
                <w:b/>
                <w:bCs/>
                <w:sz w:val="18"/>
                <w:szCs w:val="18"/>
                <w:lang w:val="en-US" w:eastAsia="en-US"/>
              </w:rPr>
            </w:pPr>
          </w:p>
        </w:tc>
        <w:tc>
          <w:tcPr>
            <w:tcW w:w="828" w:type="dxa"/>
            <w:tcBorders>
              <w:top w:val="nil"/>
              <w:left w:val="nil"/>
              <w:bottom w:val="nil"/>
              <w:right w:val="nil"/>
            </w:tcBorders>
            <w:shd w:val="clear" w:color="auto" w:fill="auto"/>
            <w:noWrap/>
            <w:vAlign w:val="bottom"/>
            <w:hideMark/>
          </w:tcPr>
          <w:p w14:paraId="5B835DC8"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59B19CD8"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566FEB82" w14:textId="77777777" w:rsidTr="0021432C">
        <w:trPr>
          <w:trHeight w:val="288"/>
        </w:trPr>
        <w:tc>
          <w:tcPr>
            <w:tcW w:w="3747" w:type="dxa"/>
            <w:tcBorders>
              <w:top w:val="nil"/>
              <w:left w:val="nil"/>
              <w:bottom w:val="nil"/>
              <w:right w:val="nil"/>
            </w:tcBorders>
            <w:shd w:val="clear" w:color="auto" w:fill="auto"/>
            <w:vAlign w:val="center"/>
            <w:hideMark/>
          </w:tcPr>
          <w:p w14:paraId="21C8D89F"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Spend hour+ on homework</w:t>
            </w:r>
          </w:p>
        </w:tc>
        <w:tc>
          <w:tcPr>
            <w:tcW w:w="889" w:type="dxa"/>
            <w:tcBorders>
              <w:top w:val="nil"/>
              <w:left w:val="nil"/>
              <w:bottom w:val="nil"/>
              <w:right w:val="nil"/>
            </w:tcBorders>
            <w:shd w:val="clear" w:color="auto" w:fill="auto"/>
            <w:noWrap/>
            <w:vAlign w:val="bottom"/>
            <w:hideMark/>
          </w:tcPr>
          <w:p w14:paraId="312B20BB"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-0.48***</w:t>
            </w:r>
          </w:p>
        </w:tc>
        <w:tc>
          <w:tcPr>
            <w:tcW w:w="734" w:type="dxa"/>
            <w:tcBorders>
              <w:top w:val="nil"/>
              <w:left w:val="nil"/>
              <w:bottom w:val="nil"/>
              <w:right w:val="nil"/>
            </w:tcBorders>
            <w:shd w:val="clear" w:color="auto" w:fill="auto"/>
            <w:noWrap/>
            <w:vAlign w:val="bottom"/>
            <w:hideMark/>
          </w:tcPr>
          <w:p w14:paraId="5E937F0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5B7CE1E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0.62</w:t>
            </w:r>
          </w:p>
        </w:tc>
        <w:tc>
          <w:tcPr>
            <w:tcW w:w="261" w:type="dxa"/>
            <w:tcBorders>
              <w:top w:val="nil"/>
              <w:left w:val="nil"/>
              <w:bottom w:val="nil"/>
              <w:right w:val="nil"/>
            </w:tcBorders>
            <w:shd w:val="clear" w:color="auto" w:fill="auto"/>
            <w:noWrap/>
            <w:vAlign w:val="bottom"/>
            <w:hideMark/>
          </w:tcPr>
          <w:p w14:paraId="60F2EA6D"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2184870"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-0.24***</w:t>
            </w:r>
          </w:p>
        </w:tc>
        <w:tc>
          <w:tcPr>
            <w:tcW w:w="694" w:type="dxa"/>
            <w:tcBorders>
              <w:top w:val="nil"/>
              <w:left w:val="nil"/>
              <w:bottom w:val="nil"/>
              <w:right w:val="nil"/>
            </w:tcBorders>
            <w:shd w:val="clear" w:color="auto" w:fill="auto"/>
            <w:noWrap/>
            <w:vAlign w:val="bottom"/>
            <w:hideMark/>
          </w:tcPr>
          <w:p w14:paraId="589FDFA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nil"/>
              <w:right w:val="nil"/>
            </w:tcBorders>
            <w:shd w:val="clear" w:color="auto" w:fill="auto"/>
            <w:noWrap/>
            <w:vAlign w:val="bottom"/>
            <w:hideMark/>
          </w:tcPr>
          <w:p w14:paraId="08540A4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0.79</w:t>
            </w:r>
          </w:p>
        </w:tc>
        <w:tc>
          <w:tcPr>
            <w:tcW w:w="261" w:type="dxa"/>
            <w:tcBorders>
              <w:top w:val="nil"/>
              <w:left w:val="nil"/>
              <w:bottom w:val="nil"/>
              <w:right w:val="nil"/>
            </w:tcBorders>
            <w:shd w:val="clear" w:color="auto" w:fill="auto"/>
            <w:noWrap/>
            <w:vAlign w:val="bottom"/>
            <w:hideMark/>
          </w:tcPr>
          <w:p w14:paraId="1B19E10A"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ADB016B"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-0.22***</w:t>
            </w:r>
          </w:p>
        </w:tc>
        <w:tc>
          <w:tcPr>
            <w:tcW w:w="694" w:type="dxa"/>
            <w:tcBorders>
              <w:top w:val="nil"/>
              <w:left w:val="nil"/>
              <w:bottom w:val="nil"/>
              <w:right w:val="nil"/>
            </w:tcBorders>
            <w:shd w:val="clear" w:color="auto" w:fill="auto"/>
            <w:noWrap/>
            <w:vAlign w:val="bottom"/>
            <w:hideMark/>
          </w:tcPr>
          <w:p w14:paraId="4ED235F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nil"/>
              <w:right w:val="nil"/>
            </w:tcBorders>
            <w:shd w:val="clear" w:color="auto" w:fill="auto"/>
            <w:noWrap/>
            <w:vAlign w:val="bottom"/>
            <w:hideMark/>
          </w:tcPr>
          <w:p w14:paraId="716D4B9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0.80</w:t>
            </w:r>
          </w:p>
        </w:tc>
        <w:tc>
          <w:tcPr>
            <w:tcW w:w="261" w:type="dxa"/>
            <w:tcBorders>
              <w:top w:val="nil"/>
              <w:left w:val="nil"/>
              <w:bottom w:val="nil"/>
              <w:right w:val="nil"/>
            </w:tcBorders>
            <w:shd w:val="clear" w:color="auto" w:fill="auto"/>
            <w:noWrap/>
            <w:vAlign w:val="bottom"/>
            <w:hideMark/>
          </w:tcPr>
          <w:p w14:paraId="08FA2AFD" w14:textId="77777777" w:rsidR="0041348B" w:rsidRPr="0048638A" w:rsidRDefault="0041348B" w:rsidP="005636E1">
            <w:pPr>
              <w:spacing w:line="240" w:lineRule="auto"/>
              <w:contextualSpacing/>
              <w:jc w:val="center"/>
              <w:rPr>
                <w:b/>
                <w:bCs/>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04FEFE0"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-0.22***</w:t>
            </w:r>
          </w:p>
        </w:tc>
        <w:tc>
          <w:tcPr>
            <w:tcW w:w="828" w:type="dxa"/>
            <w:tcBorders>
              <w:top w:val="nil"/>
              <w:left w:val="nil"/>
              <w:bottom w:val="nil"/>
              <w:right w:val="nil"/>
            </w:tcBorders>
            <w:shd w:val="clear" w:color="auto" w:fill="auto"/>
            <w:noWrap/>
            <w:vAlign w:val="bottom"/>
            <w:hideMark/>
          </w:tcPr>
          <w:p w14:paraId="15B20E3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35" w:type="dxa"/>
            <w:tcBorders>
              <w:top w:val="nil"/>
              <w:left w:val="nil"/>
              <w:bottom w:val="nil"/>
              <w:right w:val="nil"/>
            </w:tcBorders>
            <w:shd w:val="clear" w:color="auto" w:fill="auto"/>
            <w:noWrap/>
            <w:vAlign w:val="bottom"/>
            <w:hideMark/>
          </w:tcPr>
          <w:p w14:paraId="6AD7088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0.80</w:t>
            </w:r>
          </w:p>
        </w:tc>
      </w:tr>
      <w:tr w:rsidR="0021432C" w:rsidRPr="0041348B" w14:paraId="0168009C" w14:textId="77777777" w:rsidTr="0021432C">
        <w:trPr>
          <w:trHeight w:val="288"/>
        </w:trPr>
        <w:tc>
          <w:tcPr>
            <w:tcW w:w="3747" w:type="dxa"/>
            <w:tcBorders>
              <w:top w:val="nil"/>
              <w:left w:val="nil"/>
              <w:bottom w:val="nil"/>
              <w:right w:val="nil"/>
            </w:tcBorders>
            <w:shd w:val="clear" w:color="auto" w:fill="auto"/>
            <w:vAlign w:val="center"/>
            <w:hideMark/>
          </w:tcPr>
          <w:p w14:paraId="1EAAC800"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Like school</w:t>
            </w:r>
          </w:p>
        </w:tc>
        <w:tc>
          <w:tcPr>
            <w:tcW w:w="889" w:type="dxa"/>
            <w:tcBorders>
              <w:top w:val="nil"/>
              <w:left w:val="nil"/>
              <w:bottom w:val="nil"/>
              <w:right w:val="nil"/>
            </w:tcBorders>
            <w:shd w:val="clear" w:color="auto" w:fill="auto"/>
            <w:noWrap/>
            <w:vAlign w:val="bottom"/>
            <w:hideMark/>
          </w:tcPr>
          <w:p w14:paraId="18C75F73"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-0.33***</w:t>
            </w:r>
          </w:p>
        </w:tc>
        <w:tc>
          <w:tcPr>
            <w:tcW w:w="734" w:type="dxa"/>
            <w:tcBorders>
              <w:top w:val="nil"/>
              <w:left w:val="nil"/>
              <w:bottom w:val="nil"/>
              <w:right w:val="nil"/>
            </w:tcBorders>
            <w:shd w:val="clear" w:color="auto" w:fill="auto"/>
            <w:noWrap/>
            <w:vAlign w:val="bottom"/>
            <w:hideMark/>
          </w:tcPr>
          <w:p w14:paraId="33A5822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6F7E5DD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0.72</w:t>
            </w:r>
          </w:p>
        </w:tc>
        <w:tc>
          <w:tcPr>
            <w:tcW w:w="261" w:type="dxa"/>
            <w:tcBorders>
              <w:top w:val="nil"/>
              <w:left w:val="nil"/>
              <w:bottom w:val="nil"/>
              <w:right w:val="nil"/>
            </w:tcBorders>
            <w:shd w:val="clear" w:color="auto" w:fill="auto"/>
            <w:noWrap/>
            <w:vAlign w:val="bottom"/>
            <w:hideMark/>
          </w:tcPr>
          <w:p w14:paraId="5DE3EFBA"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C70A9EF"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-0.14**</w:t>
            </w:r>
          </w:p>
        </w:tc>
        <w:tc>
          <w:tcPr>
            <w:tcW w:w="694" w:type="dxa"/>
            <w:tcBorders>
              <w:top w:val="nil"/>
              <w:left w:val="nil"/>
              <w:bottom w:val="nil"/>
              <w:right w:val="nil"/>
            </w:tcBorders>
            <w:shd w:val="clear" w:color="auto" w:fill="auto"/>
            <w:noWrap/>
            <w:vAlign w:val="bottom"/>
            <w:hideMark/>
          </w:tcPr>
          <w:p w14:paraId="5933F6D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3992493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0.87</w:t>
            </w:r>
          </w:p>
        </w:tc>
        <w:tc>
          <w:tcPr>
            <w:tcW w:w="261" w:type="dxa"/>
            <w:tcBorders>
              <w:top w:val="nil"/>
              <w:left w:val="nil"/>
              <w:bottom w:val="nil"/>
              <w:right w:val="nil"/>
            </w:tcBorders>
            <w:shd w:val="clear" w:color="auto" w:fill="auto"/>
            <w:noWrap/>
            <w:vAlign w:val="bottom"/>
            <w:hideMark/>
          </w:tcPr>
          <w:p w14:paraId="3C10718B"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DE0A6CE"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-0.11*</w:t>
            </w:r>
          </w:p>
        </w:tc>
        <w:tc>
          <w:tcPr>
            <w:tcW w:w="694" w:type="dxa"/>
            <w:tcBorders>
              <w:top w:val="nil"/>
              <w:left w:val="nil"/>
              <w:bottom w:val="nil"/>
              <w:right w:val="nil"/>
            </w:tcBorders>
            <w:shd w:val="clear" w:color="auto" w:fill="auto"/>
            <w:noWrap/>
            <w:vAlign w:val="bottom"/>
            <w:hideMark/>
          </w:tcPr>
          <w:p w14:paraId="0E6C075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6162CB5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0.89</w:t>
            </w:r>
          </w:p>
        </w:tc>
        <w:tc>
          <w:tcPr>
            <w:tcW w:w="261" w:type="dxa"/>
            <w:tcBorders>
              <w:top w:val="nil"/>
              <w:left w:val="nil"/>
              <w:bottom w:val="nil"/>
              <w:right w:val="nil"/>
            </w:tcBorders>
            <w:shd w:val="clear" w:color="auto" w:fill="auto"/>
            <w:noWrap/>
            <w:vAlign w:val="bottom"/>
            <w:hideMark/>
          </w:tcPr>
          <w:p w14:paraId="26203CB9" w14:textId="77777777" w:rsidR="0041348B" w:rsidRPr="0048638A" w:rsidRDefault="0041348B" w:rsidP="005636E1">
            <w:pPr>
              <w:spacing w:line="240" w:lineRule="auto"/>
              <w:contextualSpacing/>
              <w:jc w:val="center"/>
              <w:rPr>
                <w:b/>
                <w:bCs/>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DC656CE"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-0.11*</w:t>
            </w:r>
          </w:p>
        </w:tc>
        <w:tc>
          <w:tcPr>
            <w:tcW w:w="828" w:type="dxa"/>
            <w:tcBorders>
              <w:top w:val="nil"/>
              <w:left w:val="nil"/>
              <w:bottom w:val="nil"/>
              <w:right w:val="nil"/>
            </w:tcBorders>
            <w:shd w:val="clear" w:color="auto" w:fill="auto"/>
            <w:noWrap/>
            <w:vAlign w:val="bottom"/>
            <w:hideMark/>
          </w:tcPr>
          <w:p w14:paraId="7CFCEF4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0E73895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0.90</w:t>
            </w:r>
          </w:p>
        </w:tc>
      </w:tr>
      <w:tr w:rsidR="0021432C" w:rsidRPr="0041348B" w14:paraId="2BF2CEF8" w14:textId="77777777" w:rsidTr="0021432C">
        <w:trPr>
          <w:trHeight w:val="288"/>
        </w:trPr>
        <w:tc>
          <w:tcPr>
            <w:tcW w:w="3747" w:type="dxa"/>
            <w:tcBorders>
              <w:top w:val="nil"/>
              <w:left w:val="nil"/>
              <w:bottom w:val="nil"/>
              <w:right w:val="nil"/>
            </w:tcBorders>
            <w:shd w:val="clear" w:color="auto" w:fill="auto"/>
            <w:vAlign w:val="center"/>
            <w:hideMark/>
          </w:tcPr>
          <w:p w14:paraId="0DEC10C7"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Never repeated a grade</w:t>
            </w:r>
          </w:p>
        </w:tc>
        <w:tc>
          <w:tcPr>
            <w:tcW w:w="889" w:type="dxa"/>
            <w:tcBorders>
              <w:top w:val="nil"/>
              <w:left w:val="nil"/>
              <w:bottom w:val="nil"/>
              <w:right w:val="nil"/>
            </w:tcBorders>
            <w:shd w:val="clear" w:color="auto" w:fill="auto"/>
            <w:noWrap/>
            <w:vAlign w:val="bottom"/>
            <w:hideMark/>
          </w:tcPr>
          <w:p w14:paraId="344C6D4C"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-0.17**</w:t>
            </w:r>
          </w:p>
        </w:tc>
        <w:tc>
          <w:tcPr>
            <w:tcW w:w="734" w:type="dxa"/>
            <w:tcBorders>
              <w:top w:val="nil"/>
              <w:left w:val="nil"/>
              <w:bottom w:val="nil"/>
              <w:right w:val="nil"/>
            </w:tcBorders>
            <w:shd w:val="clear" w:color="auto" w:fill="auto"/>
            <w:noWrap/>
            <w:vAlign w:val="bottom"/>
            <w:hideMark/>
          </w:tcPr>
          <w:p w14:paraId="7309DB2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5" w:type="dxa"/>
            <w:tcBorders>
              <w:top w:val="nil"/>
              <w:left w:val="nil"/>
              <w:bottom w:val="nil"/>
              <w:right w:val="nil"/>
            </w:tcBorders>
            <w:shd w:val="clear" w:color="auto" w:fill="auto"/>
            <w:noWrap/>
            <w:vAlign w:val="bottom"/>
            <w:hideMark/>
          </w:tcPr>
          <w:p w14:paraId="5C28735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0.84</w:t>
            </w:r>
          </w:p>
        </w:tc>
        <w:tc>
          <w:tcPr>
            <w:tcW w:w="261" w:type="dxa"/>
            <w:tcBorders>
              <w:top w:val="nil"/>
              <w:left w:val="nil"/>
              <w:bottom w:val="nil"/>
              <w:right w:val="nil"/>
            </w:tcBorders>
            <w:shd w:val="clear" w:color="auto" w:fill="auto"/>
            <w:noWrap/>
            <w:vAlign w:val="bottom"/>
            <w:hideMark/>
          </w:tcPr>
          <w:p w14:paraId="16DEAE73"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77D7285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694" w:type="dxa"/>
            <w:tcBorders>
              <w:top w:val="nil"/>
              <w:left w:val="nil"/>
              <w:bottom w:val="nil"/>
              <w:right w:val="nil"/>
            </w:tcBorders>
            <w:shd w:val="clear" w:color="auto" w:fill="auto"/>
            <w:noWrap/>
            <w:vAlign w:val="bottom"/>
            <w:hideMark/>
          </w:tcPr>
          <w:p w14:paraId="1432DAF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7E07BF7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0.97</w:t>
            </w:r>
          </w:p>
        </w:tc>
        <w:tc>
          <w:tcPr>
            <w:tcW w:w="261" w:type="dxa"/>
            <w:tcBorders>
              <w:top w:val="nil"/>
              <w:left w:val="nil"/>
              <w:bottom w:val="nil"/>
              <w:right w:val="nil"/>
            </w:tcBorders>
            <w:shd w:val="clear" w:color="auto" w:fill="auto"/>
            <w:noWrap/>
            <w:vAlign w:val="bottom"/>
            <w:hideMark/>
          </w:tcPr>
          <w:p w14:paraId="0A4A760F"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59FC7E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0.02</w:t>
            </w:r>
          </w:p>
        </w:tc>
        <w:tc>
          <w:tcPr>
            <w:tcW w:w="694" w:type="dxa"/>
            <w:tcBorders>
              <w:top w:val="nil"/>
              <w:left w:val="nil"/>
              <w:bottom w:val="nil"/>
              <w:right w:val="nil"/>
            </w:tcBorders>
            <w:shd w:val="clear" w:color="auto" w:fill="auto"/>
            <w:noWrap/>
            <w:vAlign w:val="bottom"/>
            <w:hideMark/>
          </w:tcPr>
          <w:p w14:paraId="3DC5F54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6E5FED1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1.02</w:t>
            </w:r>
          </w:p>
        </w:tc>
        <w:tc>
          <w:tcPr>
            <w:tcW w:w="261" w:type="dxa"/>
            <w:tcBorders>
              <w:top w:val="nil"/>
              <w:left w:val="nil"/>
              <w:bottom w:val="nil"/>
              <w:right w:val="nil"/>
            </w:tcBorders>
            <w:shd w:val="clear" w:color="auto" w:fill="auto"/>
            <w:noWrap/>
            <w:vAlign w:val="bottom"/>
            <w:hideMark/>
          </w:tcPr>
          <w:p w14:paraId="7116DFE5"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59846E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0.01</w:t>
            </w:r>
          </w:p>
        </w:tc>
        <w:tc>
          <w:tcPr>
            <w:tcW w:w="828" w:type="dxa"/>
            <w:tcBorders>
              <w:top w:val="nil"/>
              <w:left w:val="nil"/>
              <w:bottom w:val="nil"/>
              <w:right w:val="nil"/>
            </w:tcBorders>
            <w:shd w:val="clear" w:color="auto" w:fill="auto"/>
            <w:noWrap/>
            <w:vAlign w:val="bottom"/>
            <w:hideMark/>
          </w:tcPr>
          <w:p w14:paraId="0DE50FB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35" w:type="dxa"/>
            <w:tcBorders>
              <w:top w:val="nil"/>
              <w:left w:val="nil"/>
              <w:bottom w:val="nil"/>
              <w:right w:val="nil"/>
            </w:tcBorders>
            <w:shd w:val="clear" w:color="auto" w:fill="auto"/>
            <w:noWrap/>
            <w:vAlign w:val="bottom"/>
            <w:hideMark/>
          </w:tcPr>
          <w:p w14:paraId="2798CCB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1.01</w:t>
            </w:r>
          </w:p>
        </w:tc>
      </w:tr>
      <w:tr w:rsidR="0021432C" w:rsidRPr="0041348B" w14:paraId="0786DCF9" w14:textId="77777777" w:rsidTr="0021432C">
        <w:trPr>
          <w:trHeight w:val="288"/>
        </w:trPr>
        <w:tc>
          <w:tcPr>
            <w:tcW w:w="3747" w:type="dxa"/>
            <w:tcBorders>
              <w:top w:val="nil"/>
              <w:left w:val="nil"/>
              <w:bottom w:val="nil"/>
              <w:right w:val="nil"/>
            </w:tcBorders>
            <w:shd w:val="clear" w:color="auto" w:fill="auto"/>
            <w:vAlign w:val="center"/>
            <w:hideMark/>
          </w:tcPr>
          <w:p w14:paraId="1CFAB9F1"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Never truant</w:t>
            </w:r>
          </w:p>
        </w:tc>
        <w:tc>
          <w:tcPr>
            <w:tcW w:w="889" w:type="dxa"/>
            <w:tcBorders>
              <w:top w:val="nil"/>
              <w:left w:val="nil"/>
              <w:bottom w:val="nil"/>
              <w:right w:val="nil"/>
            </w:tcBorders>
            <w:shd w:val="clear" w:color="auto" w:fill="auto"/>
            <w:noWrap/>
            <w:vAlign w:val="bottom"/>
            <w:hideMark/>
          </w:tcPr>
          <w:p w14:paraId="59BC0EB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-0.83***</w:t>
            </w:r>
          </w:p>
        </w:tc>
        <w:tc>
          <w:tcPr>
            <w:tcW w:w="734" w:type="dxa"/>
            <w:tcBorders>
              <w:top w:val="nil"/>
              <w:left w:val="nil"/>
              <w:bottom w:val="nil"/>
              <w:right w:val="nil"/>
            </w:tcBorders>
            <w:shd w:val="clear" w:color="auto" w:fill="auto"/>
            <w:noWrap/>
            <w:vAlign w:val="bottom"/>
            <w:hideMark/>
          </w:tcPr>
          <w:p w14:paraId="1E8D7D3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35096EB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0.44</w:t>
            </w:r>
          </w:p>
        </w:tc>
        <w:tc>
          <w:tcPr>
            <w:tcW w:w="261" w:type="dxa"/>
            <w:tcBorders>
              <w:top w:val="nil"/>
              <w:left w:val="nil"/>
              <w:bottom w:val="nil"/>
              <w:right w:val="nil"/>
            </w:tcBorders>
            <w:shd w:val="clear" w:color="auto" w:fill="auto"/>
            <w:noWrap/>
            <w:vAlign w:val="bottom"/>
            <w:hideMark/>
          </w:tcPr>
          <w:p w14:paraId="45E82942"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7683A237"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-0.34***</w:t>
            </w:r>
          </w:p>
        </w:tc>
        <w:tc>
          <w:tcPr>
            <w:tcW w:w="694" w:type="dxa"/>
            <w:tcBorders>
              <w:top w:val="nil"/>
              <w:left w:val="nil"/>
              <w:bottom w:val="nil"/>
              <w:right w:val="nil"/>
            </w:tcBorders>
            <w:shd w:val="clear" w:color="auto" w:fill="auto"/>
            <w:noWrap/>
            <w:vAlign w:val="bottom"/>
            <w:hideMark/>
          </w:tcPr>
          <w:p w14:paraId="32F2FEA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2F1F60F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0.71</w:t>
            </w:r>
          </w:p>
        </w:tc>
        <w:tc>
          <w:tcPr>
            <w:tcW w:w="261" w:type="dxa"/>
            <w:tcBorders>
              <w:top w:val="nil"/>
              <w:left w:val="nil"/>
              <w:bottom w:val="nil"/>
              <w:right w:val="nil"/>
            </w:tcBorders>
            <w:shd w:val="clear" w:color="auto" w:fill="auto"/>
            <w:noWrap/>
            <w:vAlign w:val="bottom"/>
            <w:hideMark/>
          </w:tcPr>
          <w:p w14:paraId="61D8EFCD"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A746B2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-0.33***</w:t>
            </w:r>
          </w:p>
        </w:tc>
        <w:tc>
          <w:tcPr>
            <w:tcW w:w="694" w:type="dxa"/>
            <w:tcBorders>
              <w:top w:val="nil"/>
              <w:left w:val="nil"/>
              <w:bottom w:val="nil"/>
              <w:right w:val="nil"/>
            </w:tcBorders>
            <w:shd w:val="clear" w:color="auto" w:fill="auto"/>
            <w:noWrap/>
            <w:vAlign w:val="bottom"/>
            <w:hideMark/>
          </w:tcPr>
          <w:p w14:paraId="3F3FB5A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0A286C2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0.72</w:t>
            </w:r>
          </w:p>
        </w:tc>
        <w:tc>
          <w:tcPr>
            <w:tcW w:w="261" w:type="dxa"/>
            <w:tcBorders>
              <w:top w:val="nil"/>
              <w:left w:val="nil"/>
              <w:bottom w:val="nil"/>
              <w:right w:val="nil"/>
            </w:tcBorders>
            <w:shd w:val="clear" w:color="auto" w:fill="auto"/>
            <w:noWrap/>
            <w:vAlign w:val="bottom"/>
            <w:hideMark/>
          </w:tcPr>
          <w:p w14:paraId="4BCA25FA"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51FD3CB"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-0.33***</w:t>
            </w:r>
          </w:p>
        </w:tc>
        <w:tc>
          <w:tcPr>
            <w:tcW w:w="828" w:type="dxa"/>
            <w:tcBorders>
              <w:top w:val="nil"/>
              <w:left w:val="nil"/>
              <w:bottom w:val="nil"/>
              <w:right w:val="nil"/>
            </w:tcBorders>
            <w:shd w:val="clear" w:color="auto" w:fill="auto"/>
            <w:noWrap/>
            <w:vAlign w:val="bottom"/>
            <w:hideMark/>
          </w:tcPr>
          <w:p w14:paraId="510CE2C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7664791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0.72</w:t>
            </w:r>
          </w:p>
        </w:tc>
      </w:tr>
      <w:tr w:rsidR="0021432C" w:rsidRPr="0041348B" w14:paraId="350D9AA1" w14:textId="77777777" w:rsidTr="0021432C">
        <w:trPr>
          <w:trHeight w:val="288"/>
        </w:trPr>
        <w:tc>
          <w:tcPr>
            <w:tcW w:w="3747" w:type="dxa"/>
            <w:tcBorders>
              <w:top w:val="nil"/>
              <w:left w:val="nil"/>
              <w:bottom w:val="nil"/>
              <w:right w:val="nil"/>
            </w:tcBorders>
            <w:shd w:val="clear" w:color="auto" w:fill="auto"/>
            <w:vAlign w:val="center"/>
            <w:hideMark/>
          </w:tcPr>
          <w:p w14:paraId="5BD8001E"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Average+ achievement</w:t>
            </w:r>
          </w:p>
        </w:tc>
        <w:tc>
          <w:tcPr>
            <w:tcW w:w="889" w:type="dxa"/>
            <w:tcBorders>
              <w:top w:val="nil"/>
              <w:left w:val="nil"/>
              <w:bottom w:val="nil"/>
              <w:right w:val="nil"/>
            </w:tcBorders>
            <w:shd w:val="clear" w:color="auto" w:fill="auto"/>
            <w:noWrap/>
            <w:vAlign w:val="bottom"/>
            <w:hideMark/>
          </w:tcPr>
          <w:p w14:paraId="08895991"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-0.25***</w:t>
            </w:r>
          </w:p>
        </w:tc>
        <w:tc>
          <w:tcPr>
            <w:tcW w:w="734" w:type="dxa"/>
            <w:tcBorders>
              <w:top w:val="nil"/>
              <w:left w:val="nil"/>
              <w:bottom w:val="nil"/>
              <w:right w:val="nil"/>
            </w:tcBorders>
            <w:shd w:val="clear" w:color="auto" w:fill="auto"/>
            <w:noWrap/>
            <w:vAlign w:val="bottom"/>
            <w:hideMark/>
          </w:tcPr>
          <w:p w14:paraId="183DBAE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5" w:type="dxa"/>
            <w:tcBorders>
              <w:top w:val="nil"/>
              <w:left w:val="nil"/>
              <w:bottom w:val="nil"/>
              <w:right w:val="nil"/>
            </w:tcBorders>
            <w:shd w:val="clear" w:color="auto" w:fill="auto"/>
            <w:noWrap/>
            <w:vAlign w:val="bottom"/>
            <w:hideMark/>
          </w:tcPr>
          <w:p w14:paraId="13384F1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0.78</w:t>
            </w:r>
          </w:p>
        </w:tc>
        <w:tc>
          <w:tcPr>
            <w:tcW w:w="261" w:type="dxa"/>
            <w:tcBorders>
              <w:top w:val="nil"/>
              <w:left w:val="nil"/>
              <w:bottom w:val="nil"/>
              <w:right w:val="nil"/>
            </w:tcBorders>
            <w:shd w:val="clear" w:color="auto" w:fill="auto"/>
            <w:noWrap/>
            <w:vAlign w:val="bottom"/>
            <w:hideMark/>
          </w:tcPr>
          <w:p w14:paraId="723E1185"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2330D0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-0.07</w:t>
            </w:r>
          </w:p>
        </w:tc>
        <w:tc>
          <w:tcPr>
            <w:tcW w:w="694" w:type="dxa"/>
            <w:tcBorders>
              <w:top w:val="nil"/>
              <w:left w:val="nil"/>
              <w:bottom w:val="nil"/>
              <w:right w:val="nil"/>
            </w:tcBorders>
            <w:shd w:val="clear" w:color="auto" w:fill="auto"/>
            <w:noWrap/>
            <w:vAlign w:val="bottom"/>
            <w:hideMark/>
          </w:tcPr>
          <w:p w14:paraId="0B88C81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1971442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0.93</w:t>
            </w:r>
          </w:p>
        </w:tc>
        <w:tc>
          <w:tcPr>
            <w:tcW w:w="261" w:type="dxa"/>
            <w:tcBorders>
              <w:top w:val="nil"/>
              <w:left w:val="nil"/>
              <w:bottom w:val="nil"/>
              <w:right w:val="nil"/>
            </w:tcBorders>
            <w:shd w:val="clear" w:color="auto" w:fill="auto"/>
            <w:noWrap/>
            <w:vAlign w:val="bottom"/>
            <w:hideMark/>
          </w:tcPr>
          <w:p w14:paraId="295009D9"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7E968B7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94" w:type="dxa"/>
            <w:tcBorders>
              <w:top w:val="nil"/>
              <w:left w:val="nil"/>
              <w:bottom w:val="nil"/>
              <w:right w:val="nil"/>
            </w:tcBorders>
            <w:shd w:val="clear" w:color="auto" w:fill="auto"/>
            <w:noWrap/>
            <w:vAlign w:val="bottom"/>
            <w:hideMark/>
          </w:tcPr>
          <w:p w14:paraId="707158E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476D705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0.95</w:t>
            </w:r>
          </w:p>
        </w:tc>
        <w:tc>
          <w:tcPr>
            <w:tcW w:w="261" w:type="dxa"/>
            <w:tcBorders>
              <w:top w:val="nil"/>
              <w:left w:val="nil"/>
              <w:bottom w:val="nil"/>
              <w:right w:val="nil"/>
            </w:tcBorders>
            <w:shd w:val="clear" w:color="auto" w:fill="auto"/>
            <w:noWrap/>
            <w:vAlign w:val="bottom"/>
            <w:hideMark/>
          </w:tcPr>
          <w:p w14:paraId="4C7A7C69"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203AFB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828" w:type="dxa"/>
            <w:tcBorders>
              <w:top w:val="nil"/>
              <w:left w:val="nil"/>
              <w:bottom w:val="nil"/>
              <w:right w:val="nil"/>
            </w:tcBorders>
            <w:shd w:val="clear" w:color="auto" w:fill="auto"/>
            <w:noWrap/>
            <w:vAlign w:val="bottom"/>
            <w:hideMark/>
          </w:tcPr>
          <w:p w14:paraId="32781A8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35" w:type="dxa"/>
            <w:tcBorders>
              <w:top w:val="nil"/>
              <w:left w:val="nil"/>
              <w:bottom w:val="nil"/>
              <w:right w:val="nil"/>
            </w:tcBorders>
            <w:shd w:val="clear" w:color="auto" w:fill="auto"/>
            <w:noWrap/>
            <w:vAlign w:val="bottom"/>
            <w:hideMark/>
          </w:tcPr>
          <w:p w14:paraId="449F79B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0.95</w:t>
            </w:r>
          </w:p>
        </w:tc>
      </w:tr>
      <w:tr w:rsidR="0021432C" w:rsidRPr="0041348B" w14:paraId="06E70DEF" w14:textId="77777777" w:rsidTr="0021432C">
        <w:trPr>
          <w:trHeight w:val="288"/>
        </w:trPr>
        <w:tc>
          <w:tcPr>
            <w:tcW w:w="3747" w:type="dxa"/>
            <w:tcBorders>
              <w:top w:val="nil"/>
              <w:left w:val="nil"/>
              <w:bottom w:val="nil"/>
              <w:right w:val="nil"/>
            </w:tcBorders>
            <w:shd w:val="clear" w:color="auto" w:fill="auto"/>
            <w:vAlign w:val="center"/>
            <w:hideMark/>
          </w:tcPr>
          <w:p w14:paraId="65F1E5F5"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Would miss school if moved</w:t>
            </w:r>
          </w:p>
        </w:tc>
        <w:tc>
          <w:tcPr>
            <w:tcW w:w="889" w:type="dxa"/>
            <w:tcBorders>
              <w:top w:val="nil"/>
              <w:left w:val="nil"/>
              <w:bottom w:val="nil"/>
              <w:right w:val="nil"/>
            </w:tcBorders>
            <w:shd w:val="clear" w:color="auto" w:fill="auto"/>
            <w:noWrap/>
            <w:vAlign w:val="bottom"/>
            <w:hideMark/>
          </w:tcPr>
          <w:p w14:paraId="0C0FCF2F"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0.11*</w:t>
            </w:r>
          </w:p>
        </w:tc>
        <w:tc>
          <w:tcPr>
            <w:tcW w:w="734" w:type="dxa"/>
            <w:tcBorders>
              <w:top w:val="nil"/>
              <w:left w:val="nil"/>
              <w:bottom w:val="nil"/>
              <w:right w:val="nil"/>
            </w:tcBorders>
            <w:shd w:val="clear" w:color="auto" w:fill="auto"/>
            <w:noWrap/>
            <w:vAlign w:val="bottom"/>
            <w:hideMark/>
          </w:tcPr>
          <w:p w14:paraId="558BF61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756DD80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1.12</w:t>
            </w:r>
          </w:p>
        </w:tc>
        <w:tc>
          <w:tcPr>
            <w:tcW w:w="261" w:type="dxa"/>
            <w:tcBorders>
              <w:top w:val="nil"/>
              <w:left w:val="nil"/>
              <w:bottom w:val="nil"/>
              <w:right w:val="nil"/>
            </w:tcBorders>
            <w:shd w:val="clear" w:color="auto" w:fill="auto"/>
            <w:noWrap/>
            <w:vAlign w:val="bottom"/>
            <w:hideMark/>
          </w:tcPr>
          <w:p w14:paraId="120488EA"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30537DF"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0.10*</w:t>
            </w:r>
          </w:p>
        </w:tc>
        <w:tc>
          <w:tcPr>
            <w:tcW w:w="694" w:type="dxa"/>
            <w:tcBorders>
              <w:top w:val="nil"/>
              <w:left w:val="nil"/>
              <w:bottom w:val="nil"/>
              <w:right w:val="nil"/>
            </w:tcBorders>
            <w:shd w:val="clear" w:color="auto" w:fill="auto"/>
            <w:noWrap/>
            <w:vAlign w:val="bottom"/>
            <w:hideMark/>
          </w:tcPr>
          <w:p w14:paraId="0A3D4F1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6D0EE59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1.11</w:t>
            </w:r>
          </w:p>
        </w:tc>
        <w:tc>
          <w:tcPr>
            <w:tcW w:w="261" w:type="dxa"/>
            <w:tcBorders>
              <w:top w:val="nil"/>
              <w:left w:val="nil"/>
              <w:bottom w:val="nil"/>
              <w:right w:val="nil"/>
            </w:tcBorders>
            <w:shd w:val="clear" w:color="auto" w:fill="auto"/>
            <w:noWrap/>
            <w:vAlign w:val="bottom"/>
            <w:hideMark/>
          </w:tcPr>
          <w:p w14:paraId="6F8B98D7"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9736405"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0.11*</w:t>
            </w:r>
          </w:p>
        </w:tc>
        <w:tc>
          <w:tcPr>
            <w:tcW w:w="694" w:type="dxa"/>
            <w:tcBorders>
              <w:top w:val="nil"/>
              <w:left w:val="nil"/>
              <w:bottom w:val="nil"/>
              <w:right w:val="nil"/>
            </w:tcBorders>
            <w:shd w:val="clear" w:color="auto" w:fill="auto"/>
            <w:noWrap/>
            <w:vAlign w:val="bottom"/>
            <w:hideMark/>
          </w:tcPr>
          <w:p w14:paraId="3AD0EDA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7C3A17B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1.11</w:t>
            </w:r>
          </w:p>
        </w:tc>
        <w:tc>
          <w:tcPr>
            <w:tcW w:w="261" w:type="dxa"/>
            <w:tcBorders>
              <w:top w:val="nil"/>
              <w:left w:val="nil"/>
              <w:bottom w:val="nil"/>
              <w:right w:val="nil"/>
            </w:tcBorders>
            <w:shd w:val="clear" w:color="auto" w:fill="auto"/>
            <w:noWrap/>
            <w:vAlign w:val="bottom"/>
            <w:hideMark/>
          </w:tcPr>
          <w:p w14:paraId="5BAC2DC7"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77651FF4"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0.11*</w:t>
            </w:r>
          </w:p>
        </w:tc>
        <w:tc>
          <w:tcPr>
            <w:tcW w:w="828" w:type="dxa"/>
            <w:tcBorders>
              <w:top w:val="nil"/>
              <w:left w:val="nil"/>
              <w:bottom w:val="nil"/>
              <w:right w:val="nil"/>
            </w:tcBorders>
            <w:shd w:val="clear" w:color="auto" w:fill="auto"/>
            <w:noWrap/>
            <w:vAlign w:val="bottom"/>
            <w:hideMark/>
          </w:tcPr>
          <w:p w14:paraId="7D87CCB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5DC5C36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1.11</w:t>
            </w:r>
          </w:p>
        </w:tc>
      </w:tr>
      <w:tr w:rsidR="0021432C" w:rsidRPr="0041348B" w14:paraId="2F43291B" w14:textId="77777777" w:rsidTr="0021432C">
        <w:trPr>
          <w:trHeight w:val="288"/>
        </w:trPr>
        <w:tc>
          <w:tcPr>
            <w:tcW w:w="3747" w:type="dxa"/>
            <w:tcBorders>
              <w:top w:val="nil"/>
              <w:left w:val="nil"/>
              <w:bottom w:val="nil"/>
              <w:right w:val="nil"/>
            </w:tcBorders>
            <w:shd w:val="clear" w:color="auto" w:fill="auto"/>
            <w:vAlign w:val="center"/>
            <w:hideMark/>
          </w:tcPr>
          <w:p w14:paraId="690E3B6D"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Teachers notices doing well</w:t>
            </w:r>
          </w:p>
        </w:tc>
        <w:tc>
          <w:tcPr>
            <w:tcW w:w="889" w:type="dxa"/>
            <w:tcBorders>
              <w:top w:val="nil"/>
              <w:left w:val="nil"/>
              <w:bottom w:val="nil"/>
              <w:right w:val="nil"/>
            </w:tcBorders>
            <w:shd w:val="clear" w:color="auto" w:fill="auto"/>
            <w:noWrap/>
            <w:vAlign w:val="bottom"/>
            <w:hideMark/>
          </w:tcPr>
          <w:p w14:paraId="620AA7E0"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-0.12**</w:t>
            </w:r>
          </w:p>
        </w:tc>
        <w:tc>
          <w:tcPr>
            <w:tcW w:w="734" w:type="dxa"/>
            <w:tcBorders>
              <w:top w:val="nil"/>
              <w:left w:val="nil"/>
              <w:bottom w:val="nil"/>
              <w:right w:val="nil"/>
            </w:tcBorders>
            <w:shd w:val="clear" w:color="auto" w:fill="auto"/>
            <w:noWrap/>
            <w:vAlign w:val="bottom"/>
            <w:hideMark/>
          </w:tcPr>
          <w:p w14:paraId="4DD7301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565" w:type="dxa"/>
            <w:tcBorders>
              <w:top w:val="nil"/>
              <w:left w:val="nil"/>
              <w:bottom w:val="nil"/>
              <w:right w:val="nil"/>
            </w:tcBorders>
            <w:shd w:val="clear" w:color="auto" w:fill="auto"/>
            <w:noWrap/>
            <w:vAlign w:val="bottom"/>
            <w:hideMark/>
          </w:tcPr>
          <w:p w14:paraId="535BC10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0.89</w:t>
            </w:r>
          </w:p>
        </w:tc>
        <w:tc>
          <w:tcPr>
            <w:tcW w:w="261" w:type="dxa"/>
            <w:tcBorders>
              <w:top w:val="nil"/>
              <w:left w:val="nil"/>
              <w:bottom w:val="nil"/>
              <w:right w:val="nil"/>
            </w:tcBorders>
            <w:shd w:val="clear" w:color="auto" w:fill="auto"/>
            <w:noWrap/>
            <w:vAlign w:val="bottom"/>
            <w:hideMark/>
          </w:tcPr>
          <w:p w14:paraId="02094D57"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9E8B8A1"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-0.18***</w:t>
            </w:r>
          </w:p>
        </w:tc>
        <w:tc>
          <w:tcPr>
            <w:tcW w:w="694" w:type="dxa"/>
            <w:tcBorders>
              <w:top w:val="nil"/>
              <w:left w:val="nil"/>
              <w:bottom w:val="nil"/>
              <w:right w:val="nil"/>
            </w:tcBorders>
            <w:shd w:val="clear" w:color="auto" w:fill="auto"/>
            <w:noWrap/>
            <w:vAlign w:val="bottom"/>
            <w:hideMark/>
          </w:tcPr>
          <w:p w14:paraId="2FFFD0E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03FE2BA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0.83</w:t>
            </w:r>
          </w:p>
        </w:tc>
        <w:tc>
          <w:tcPr>
            <w:tcW w:w="261" w:type="dxa"/>
            <w:tcBorders>
              <w:top w:val="nil"/>
              <w:left w:val="nil"/>
              <w:bottom w:val="nil"/>
              <w:right w:val="nil"/>
            </w:tcBorders>
            <w:shd w:val="clear" w:color="auto" w:fill="auto"/>
            <w:noWrap/>
            <w:vAlign w:val="bottom"/>
            <w:hideMark/>
          </w:tcPr>
          <w:p w14:paraId="48DD5133"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D80FFD2"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-0.19***</w:t>
            </w:r>
          </w:p>
        </w:tc>
        <w:tc>
          <w:tcPr>
            <w:tcW w:w="694" w:type="dxa"/>
            <w:tcBorders>
              <w:top w:val="nil"/>
              <w:left w:val="nil"/>
              <w:bottom w:val="nil"/>
              <w:right w:val="nil"/>
            </w:tcBorders>
            <w:shd w:val="clear" w:color="auto" w:fill="auto"/>
            <w:noWrap/>
            <w:vAlign w:val="bottom"/>
            <w:hideMark/>
          </w:tcPr>
          <w:p w14:paraId="08E3038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080AABE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0.83</w:t>
            </w:r>
          </w:p>
        </w:tc>
        <w:tc>
          <w:tcPr>
            <w:tcW w:w="261" w:type="dxa"/>
            <w:tcBorders>
              <w:top w:val="nil"/>
              <w:left w:val="nil"/>
              <w:bottom w:val="nil"/>
              <w:right w:val="nil"/>
            </w:tcBorders>
            <w:shd w:val="clear" w:color="auto" w:fill="auto"/>
            <w:noWrap/>
            <w:vAlign w:val="bottom"/>
            <w:hideMark/>
          </w:tcPr>
          <w:p w14:paraId="1C71ABAA"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FD35E11"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-0.19***</w:t>
            </w:r>
          </w:p>
        </w:tc>
        <w:tc>
          <w:tcPr>
            <w:tcW w:w="828" w:type="dxa"/>
            <w:tcBorders>
              <w:top w:val="nil"/>
              <w:left w:val="nil"/>
              <w:bottom w:val="nil"/>
              <w:right w:val="nil"/>
            </w:tcBorders>
            <w:shd w:val="clear" w:color="auto" w:fill="auto"/>
            <w:noWrap/>
            <w:vAlign w:val="bottom"/>
            <w:hideMark/>
          </w:tcPr>
          <w:p w14:paraId="7ACC8CB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143E25F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0.83</w:t>
            </w:r>
          </w:p>
        </w:tc>
      </w:tr>
      <w:tr w:rsidR="0021432C" w:rsidRPr="0041348B" w14:paraId="7A0FEF22" w14:textId="77777777" w:rsidTr="0021432C">
        <w:trPr>
          <w:trHeight w:val="288"/>
        </w:trPr>
        <w:tc>
          <w:tcPr>
            <w:tcW w:w="3747" w:type="dxa"/>
            <w:tcBorders>
              <w:top w:val="nil"/>
              <w:left w:val="nil"/>
              <w:bottom w:val="nil"/>
              <w:right w:val="nil"/>
            </w:tcBorders>
            <w:shd w:val="clear" w:color="auto" w:fill="auto"/>
            <w:vAlign w:val="center"/>
            <w:hideMark/>
          </w:tcPr>
          <w:p w14:paraId="3E8CC960"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Like their school</w:t>
            </w:r>
          </w:p>
        </w:tc>
        <w:tc>
          <w:tcPr>
            <w:tcW w:w="889" w:type="dxa"/>
            <w:tcBorders>
              <w:top w:val="nil"/>
              <w:left w:val="nil"/>
              <w:bottom w:val="nil"/>
              <w:right w:val="nil"/>
            </w:tcBorders>
            <w:shd w:val="clear" w:color="auto" w:fill="auto"/>
            <w:noWrap/>
            <w:vAlign w:val="bottom"/>
            <w:hideMark/>
          </w:tcPr>
          <w:p w14:paraId="3A16362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-0.09*</w:t>
            </w:r>
          </w:p>
        </w:tc>
        <w:tc>
          <w:tcPr>
            <w:tcW w:w="734" w:type="dxa"/>
            <w:tcBorders>
              <w:top w:val="nil"/>
              <w:left w:val="nil"/>
              <w:bottom w:val="nil"/>
              <w:right w:val="nil"/>
            </w:tcBorders>
            <w:shd w:val="clear" w:color="auto" w:fill="auto"/>
            <w:noWrap/>
            <w:vAlign w:val="bottom"/>
            <w:hideMark/>
          </w:tcPr>
          <w:p w14:paraId="01292F1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65" w:type="dxa"/>
            <w:tcBorders>
              <w:top w:val="nil"/>
              <w:left w:val="nil"/>
              <w:bottom w:val="nil"/>
              <w:right w:val="nil"/>
            </w:tcBorders>
            <w:shd w:val="clear" w:color="auto" w:fill="auto"/>
            <w:noWrap/>
            <w:vAlign w:val="bottom"/>
            <w:hideMark/>
          </w:tcPr>
          <w:p w14:paraId="23FF8D6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0.91</w:t>
            </w:r>
          </w:p>
        </w:tc>
        <w:tc>
          <w:tcPr>
            <w:tcW w:w="261" w:type="dxa"/>
            <w:tcBorders>
              <w:top w:val="nil"/>
              <w:left w:val="nil"/>
              <w:bottom w:val="nil"/>
              <w:right w:val="nil"/>
            </w:tcBorders>
            <w:shd w:val="clear" w:color="auto" w:fill="auto"/>
            <w:noWrap/>
            <w:vAlign w:val="bottom"/>
            <w:hideMark/>
          </w:tcPr>
          <w:p w14:paraId="1DE03CF4"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3E8F12C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0.00</w:t>
            </w:r>
          </w:p>
        </w:tc>
        <w:tc>
          <w:tcPr>
            <w:tcW w:w="694" w:type="dxa"/>
            <w:tcBorders>
              <w:top w:val="nil"/>
              <w:left w:val="nil"/>
              <w:bottom w:val="nil"/>
              <w:right w:val="nil"/>
            </w:tcBorders>
            <w:shd w:val="clear" w:color="auto" w:fill="auto"/>
            <w:noWrap/>
            <w:vAlign w:val="bottom"/>
            <w:hideMark/>
          </w:tcPr>
          <w:p w14:paraId="11D02BF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7A34098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1.00</w:t>
            </w:r>
          </w:p>
        </w:tc>
        <w:tc>
          <w:tcPr>
            <w:tcW w:w="261" w:type="dxa"/>
            <w:tcBorders>
              <w:top w:val="nil"/>
              <w:left w:val="nil"/>
              <w:bottom w:val="nil"/>
              <w:right w:val="nil"/>
            </w:tcBorders>
            <w:shd w:val="clear" w:color="auto" w:fill="auto"/>
            <w:noWrap/>
            <w:vAlign w:val="bottom"/>
            <w:hideMark/>
          </w:tcPr>
          <w:p w14:paraId="395DAB73"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598731E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0.01</w:t>
            </w:r>
          </w:p>
        </w:tc>
        <w:tc>
          <w:tcPr>
            <w:tcW w:w="694" w:type="dxa"/>
            <w:tcBorders>
              <w:top w:val="nil"/>
              <w:left w:val="nil"/>
              <w:bottom w:val="nil"/>
              <w:right w:val="nil"/>
            </w:tcBorders>
            <w:shd w:val="clear" w:color="auto" w:fill="auto"/>
            <w:noWrap/>
            <w:vAlign w:val="bottom"/>
            <w:hideMark/>
          </w:tcPr>
          <w:p w14:paraId="3292E7B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48D09ED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1.01</w:t>
            </w:r>
          </w:p>
        </w:tc>
        <w:tc>
          <w:tcPr>
            <w:tcW w:w="261" w:type="dxa"/>
            <w:tcBorders>
              <w:top w:val="nil"/>
              <w:left w:val="nil"/>
              <w:bottom w:val="nil"/>
              <w:right w:val="nil"/>
            </w:tcBorders>
            <w:shd w:val="clear" w:color="auto" w:fill="auto"/>
            <w:noWrap/>
            <w:vAlign w:val="bottom"/>
            <w:hideMark/>
          </w:tcPr>
          <w:p w14:paraId="066B6B64"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2038C6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0.01</w:t>
            </w:r>
          </w:p>
        </w:tc>
        <w:tc>
          <w:tcPr>
            <w:tcW w:w="828" w:type="dxa"/>
            <w:tcBorders>
              <w:top w:val="nil"/>
              <w:left w:val="nil"/>
              <w:bottom w:val="nil"/>
              <w:right w:val="nil"/>
            </w:tcBorders>
            <w:shd w:val="clear" w:color="auto" w:fill="auto"/>
            <w:noWrap/>
            <w:vAlign w:val="bottom"/>
            <w:hideMark/>
          </w:tcPr>
          <w:p w14:paraId="3D2E4AA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33F2861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1.01</w:t>
            </w:r>
          </w:p>
        </w:tc>
      </w:tr>
      <w:tr w:rsidR="0021432C" w:rsidRPr="0041348B" w14:paraId="5476232F" w14:textId="77777777" w:rsidTr="0021432C">
        <w:trPr>
          <w:trHeight w:val="288"/>
        </w:trPr>
        <w:tc>
          <w:tcPr>
            <w:tcW w:w="3747" w:type="dxa"/>
            <w:tcBorders>
              <w:top w:val="nil"/>
              <w:left w:val="nil"/>
              <w:bottom w:val="nil"/>
              <w:right w:val="nil"/>
            </w:tcBorders>
            <w:shd w:val="clear" w:color="auto" w:fill="auto"/>
            <w:vAlign w:val="center"/>
            <w:hideMark/>
          </w:tcPr>
          <w:p w14:paraId="5055DB12" w14:textId="77777777" w:rsidR="0041348B" w:rsidRPr="0048638A" w:rsidRDefault="0041348B" w:rsidP="005636E1">
            <w:pPr>
              <w:spacing w:line="240" w:lineRule="auto"/>
              <w:contextualSpacing/>
              <w:rPr>
                <w:i/>
                <w:iCs/>
                <w:color w:val="000000"/>
                <w:sz w:val="18"/>
                <w:szCs w:val="18"/>
                <w:lang w:val="en-US" w:eastAsia="en-US"/>
              </w:rPr>
            </w:pPr>
            <w:r w:rsidRPr="0048638A">
              <w:rPr>
                <w:i/>
                <w:iCs/>
                <w:color w:val="000000"/>
                <w:sz w:val="18"/>
                <w:szCs w:val="18"/>
                <w:lang w:val="en-US" w:eastAsia="en-US"/>
              </w:rPr>
              <w:t>Street socialization</w:t>
            </w:r>
          </w:p>
        </w:tc>
        <w:tc>
          <w:tcPr>
            <w:tcW w:w="889" w:type="dxa"/>
            <w:tcBorders>
              <w:top w:val="nil"/>
              <w:left w:val="nil"/>
              <w:bottom w:val="nil"/>
              <w:right w:val="nil"/>
            </w:tcBorders>
            <w:shd w:val="clear" w:color="auto" w:fill="auto"/>
            <w:noWrap/>
            <w:vAlign w:val="bottom"/>
            <w:hideMark/>
          </w:tcPr>
          <w:p w14:paraId="08C214CA" w14:textId="77777777" w:rsidR="0041348B" w:rsidRPr="0048638A" w:rsidRDefault="0041348B" w:rsidP="005636E1">
            <w:pPr>
              <w:spacing w:line="240" w:lineRule="auto"/>
              <w:contextualSpacing/>
              <w:rPr>
                <w:i/>
                <w:iCs/>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18A4354B"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6E9D42A7"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2212FAA7"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4D26A76B"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5EF18A09"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73497720"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646BEA21"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1B01D639"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30840134"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532F0015"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4D22F773"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517BDE1A" w14:textId="77777777" w:rsidR="0041348B" w:rsidRPr="0048638A" w:rsidRDefault="0041348B" w:rsidP="005636E1">
            <w:pPr>
              <w:spacing w:line="240" w:lineRule="auto"/>
              <w:contextualSpacing/>
              <w:jc w:val="center"/>
              <w:rPr>
                <w:b/>
                <w:bCs/>
                <w:sz w:val="18"/>
                <w:szCs w:val="18"/>
                <w:lang w:val="en-US" w:eastAsia="en-US"/>
              </w:rPr>
            </w:pPr>
          </w:p>
        </w:tc>
        <w:tc>
          <w:tcPr>
            <w:tcW w:w="828" w:type="dxa"/>
            <w:tcBorders>
              <w:top w:val="nil"/>
              <w:left w:val="nil"/>
              <w:bottom w:val="nil"/>
              <w:right w:val="nil"/>
            </w:tcBorders>
            <w:shd w:val="clear" w:color="auto" w:fill="auto"/>
            <w:noWrap/>
            <w:vAlign w:val="bottom"/>
            <w:hideMark/>
          </w:tcPr>
          <w:p w14:paraId="180477CB"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7E74733F"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58CED484" w14:textId="77777777" w:rsidTr="0021432C">
        <w:trPr>
          <w:trHeight w:val="288"/>
        </w:trPr>
        <w:tc>
          <w:tcPr>
            <w:tcW w:w="3747" w:type="dxa"/>
            <w:tcBorders>
              <w:top w:val="nil"/>
              <w:left w:val="nil"/>
              <w:bottom w:val="nil"/>
              <w:right w:val="nil"/>
            </w:tcBorders>
            <w:shd w:val="clear" w:color="auto" w:fill="auto"/>
            <w:vAlign w:val="center"/>
            <w:hideMark/>
          </w:tcPr>
          <w:p w14:paraId="5330A01C"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Friend group never drinks/takes drugs a lot</w:t>
            </w:r>
          </w:p>
        </w:tc>
        <w:tc>
          <w:tcPr>
            <w:tcW w:w="889" w:type="dxa"/>
            <w:tcBorders>
              <w:top w:val="nil"/>
              <w:left w:val="nil"/>
              <w:bottom w:val="nil"/>
              <w:right w:val="nil"/>
            </w:tcBorders>
            <w:shd w:val="clear" w:color="auto" w:fill="auto"/>
            <w:noWrap/>
            <w:vAlign w:val="bottom"/>
            <w:hideMark/>
          </w:tcPr>
          <w:p w14:paraId="0B7B2A71" w14:textId="77777777" w:rsidR="0041348B" w:rsidRPr="0048638A" w:rsidRDefault="0041348B" w:rsidP="005636E1">
            <w:pPr>
              <w:spacing w:line="240" w:lineRule="auto"/>
              <w:contextualSpacing/>
              <w:rPr>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0F17E37B"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227EA287"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6F2DDB66"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4D46C766"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-1.53***</w:t>
            </w:r>
          </w:p>
        </w:tc>
        <w:tc>
          <w:tcPr>
            <w:tcW w:w="694" w:type="dxa"/>
            <w:tcBorders>
              <w:top w:val="nil"/>
              <w:left w:val="nil"/>
              <w:bottom w:val="nil"/>
              <w:right w:val="nil"/>
            </w:tcBorders>
            <w:shd w:val="clear" w:color="auto" w:fill="auto"/>
            <w:noWrap/>
            <w:vAlign w:val="bottom"/>
            <w:hideMark/>
          </w:tcPr>
          <w:p w14:paraId="2F5C6AE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077DC10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0.22</w:t>
            </w:r>
          </w:p>
        </w:tc>
        <w:tc>
          <w:tcPr>
            <w:tcW w:w="261" w:type="dxa"/>
            <w:tcBorders>
              <w:top w:val="nil"/>
              <w:left w:val="nil"/>
              <w:bottom w:val="nil"/>
              <w:right w:val="nil"/>
            </w:tcBorders>
            <w:shd w:val="clear" w:color="auto" w:fill="auto"/>
            <w:noWrap/>
            <w:vAlign w:val="bottom"/>
            <w:hideMark/>
          </w:tcPr>
          <w:p w14:paraId="7E635B0B"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44A8C0F6"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-1.51***</w:t>
            </w:r>
          </w:p>
        </w:tc>
        <w:tc>
          <w:tcPr>
            <w:tcW w:w="694" w:type="dxa"/>
            <w:tcBorders>
              <w:top w:val="nil"/>
              <w:left w:val="nil"/>
              <w:bottom w:val="nil"/>
              <w:right w:val="nil"/>
            </w:tcBorders>
            <w:shd w:val="clear" w:color="auto" w:fill="auto"/>
            <w:noWrap/>
            <w:vAlign w:val="bottom"/>
            <w:hideMark/>
          </w:tcPr>
          <w:p w14:paraId="18FF82E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1D4D69C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0.22</w:t>
            </w:r>
          </w:p>
        </w:tc>
        <w:tc>
          <w:tcPr>
            <w:tcW w:w="261" w:type="dxa"/>
            <w:tcBorders>
              <w:top w:val="nil"/>
              <w:left w:val="nil"/>
              <w:bottom w:val="nil"/>
              <w:right w:val="nil"/>
            </w:tcBorders>
            <w:shd w:val="clear" w:color="auto" w:fill="auto"/>
            <w:noWrap/>
            <w:vAlign w:val="bottom"/>
            <w:hideMark/>
          </w:tcPr>
          <w:p w14:paraId="3DDECD6E"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77BD745"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-1.52***</w:t>
            </w:r>
          </w:p>
        </w:tc>
        <w:tc>
          <w:tcPr>
            <w:tcW w:w="828" w:type="dxa"/>
            <w:tcBorders>
              <w:top w:val="nil"/>
              <w:left w:val="nil"/>
              <w:bottom w:val="nil"/>
              <w:right w:val="nil"/>
            </w:tcBorders>
            <w:shd w:val="clear" w:color="auto" w:fill="auto"/>
            <w:noWrap/>
            <w:vAlign w:val="bottom"/>
            <w:hideMark/>
          </w:tcPr>
          <w:p w14:paraId="54FE318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36BF027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0.22</w:t>
            </w:r>
          </w:p>
        </w:tc>
      </w:tr>
      <w:tr w:rsidR="0021432C" w:rsidRPr="0041348B" w14:paraId="6AD8EB50" w14:textId="77777777" w:rsidTr="0021432C">
        <w:trPr>
          <w:trHeight w:val="288"/>
        </w:trPr>
        <w:tc>
          <w:tcPr>
            <w:tcW w:w="3747" w:type="dxa"/>
            <w:tcBorders>
              <w:top w:val="nil"/>
              <w:left w:val="nil"/>
              <w:bottom w:val="nil"/>
              <w:right w:val="nil"/>
            </w:tcBorders>
            <w:shd w:val="clear" w:color="auto" w:fill="auto"/>
            <w:vAlign w:val="center"/>
            <w:hideMark/>
          </w:tcPr>
          <w:p w14:paraId="11BBAFC3"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Friend group never shoplifts</w:t>
            </w:r>
          </w:p>
        </w:tc>
        <w:tc>
          <w:tcPr>
            <w:tcW w:w="889" w:type="dxa"/>
            <w:tcBorders>
              <w:top w:val="nil"/>
              <w:left w:val="nil"/>
              <w:bottom w:val="nil"/>
              <w:right w:val="nil"/>
            </w:tcBorders>
            <w:shd w:val="clear" w:color="auto" w:fill="auto"/>
            <w:noWrap/>
            <w:vAlign w:val="bottom"/>
            <w:hideMark/>
          </w:tcPr>
          <w:p w14:paraId="68527D37" w14:textId="77777777" w:rsidR="0041348B" w:rsidRPr="0048638A" w:rsidRDefault="0041348B" w:rsidP="005636E1">
            <w:pPr>
              <w:spacing w:line="240" w:lineRule="auto"/>
              <w:contextualSpacing/>
              <w:rPr>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3F9A9BB8"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2954BB89"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32AB3A81"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6DF0487E"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-1.26***</w:t>
            </w:r>
          </w:p>
        </w:tc>
        <w:tc>
          <w:tcPr>
            <w:tcW w:w="694" w:type="dxa"/>
            <w:tcBorders>
              <w:top w:val="nil"/>
              <w:left w:val="nil"/>
              <w:bottom w:val="nil"/>
              <w:right w:val="nil"/>
            </w:tcBorders>
            <w:shd w:val="clear" w:color="auto" w:fill="auto"/>
            <w:noWrap/>
            <w:vAlign w:val="bottom"/>
            <w:hideMark/>
          </w:tcPr>
          <w:p w14:paraId="3619FD9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1E2342F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0.28</w:t>
            </w:r>
          </w:p>
        </w:tc>
        <w:tc>
          <w:tcPr>
            <w:tcW w:w="261" w:type="dxa"/>
            <w:tcBorders>
              <w:top w:val="nil"/>
              <w:left w:val="nil"/>
              <w:bottom w:val="nil"/>
              <w:right w:val="nil"/>
            </w:tcBorders>
            <w:shd w:val="clear" w:color="auto" w:fill="auto"/>
            <w:noWrap/>
            <w:vAlign w:val="bottom"/>
            <w:hideMark/>
          </w:tcPr>
          <w:p w14:paraId="49CD73F2"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9E5DFCE"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-1.20***</w:t>
            </w:r>
          </w:p>
        </w:tc>
        <w:tc>
          <w:tcPr>
            <w:tcW w:w="694" w:type="dxa"/>
            <w:tcBorders>
              <w:top w:val="nil"/>
              <w:left w:val="nil"/>
              <w:bottom w:val="nil"/>
              <w:right w:val="nil"/>
            </w:tcBorders>
            <w:shd w:val="clear" w:color="auto" w:fill="auto"/>
            <w:noWrap/>
            <w:vAlign w:val="bottom"/>
            <w:hideMark/>
          </w:tcPr>
          <w:p w14:paraId="32C7DA5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380F58A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0.30</w:t>
            </w:r>
          </w:p>
        </w:tc>
        <w:tc>
          <w:tcPr>
            <w:tcW w:w="261" w:type="dxa"/>
            <w:tcBorders>
              <w:top w:val="nil"/>
              <w:left w:val="nil"/>
              <w:bottom w:val="nil"/>
              <w:right w:val="nil"/>
            </w:tcBorders>
            <w:shd w:val="clear" w:color="auto" w:fill="auto"/>
            <w:noWrap/>
            <w:vAlign w:val="bottom"/>
            <w:hideMark/>
          </w:tcPr>
          <w:p w14:paraId="3FC7CDFD"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6F3630E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-1.19***</w:t>
            </w:r>
          </w:p>
        </w:tc>
        <w:tc>
          <w:tcPr>
            <w:tcW w:w="828" w:type="dxa"/>
            <w:tcBorders>
              <w:top w:val="nil"/>
              <w:left w:val="nil"/>
              <w:bottom w:val="nil"/>
              <w:right w:val="nil"/>
            </w:tcBorders>
            <w:shd w:val="clear" w:color="auto" w:fill="auto"/>
            <w:noWrap/>
            <w:vAlign w:val="bottom"/>
            <w:hideMark/>
          </w:tcPr>
          <w:p w14:paraId="0CFF37D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360EA4E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0.30</w:t>
            </w:r>
          </w:p>
        </w:tc>
      </w:tr>
      <w:tr w:rsidR="0021432C" w:rsidRPr="0041348B" w14:paraId="46A8480A" w14:textId="77777777" w:rsidTr="0021432C">
        <w:trPr>
          <w:trHeight w:val="288"/>
        </w:trPr>
        <w:tc>
          <w:tcPr>
            <w:tcW w:w="3747" w:type="dxa"/>
            <w:tcBorders>
              <w:top w:val="nil"/>
              <w:left w:val="nil"/>
              <w:bottom w:val="nil"/>
              <w:right w:val="nil"/>
            </w:tcBorders>
            <w:shd w:val="clear" w:color="auto" w:fill="auto"/>
            <w:vAlign w:val="center"/>
            <w:hideMark/>
          </w:tcPr>
          <w:p w14:paraId="1EC83B26"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Friend group never vandalizes</w:t>
            </w:r>
          </w:p>
        </w:tc>
        <w:tc>
          <w:tcPr>
            <w:tcW w:w="889" w:type="dxa"/>
            <w:tcBorders>
              <w:top w:val="nil"/>
              <w:left w:val="nil"/>
              <w:bottom w:val="nil"/>
              <w:right w:val="nil"/>
            </w:tcBorders>
            <w:shd w:val="clear" w:color="auto" w:fill="auto"/>
            <w:noWrap/>
            <w:vAlign w:val="bottom"/>
            <w:hideMark/>
          </w:tcPr>
          <w:p w14:paraId="0291E79E" w14:textId="77777777" w:rsidR="0041348B" w:rsidRPr="0048638A" w:rsidRDefault="0041348B" w:rsidP="005636E1">
            <w:pPr>
              <w:spacing w:line="240" w:lineRule="auto"/>
              <w:contextualSpacing/>
              <w:rPr>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326F3E77"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70BC1932"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7B1F8C52"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04571B0E"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-0.68***</w:t>
            </w:r>
          </w:p>
        </w:tc>
        <w:tc>
          <w:tcPr>
            <w:tcW w:w="694" w:type="dxa"/>
            <w:tcBorders>
              <w:top w:val="nil"/>
              <w:left w:val="nil"/>
              <w:bottom w:val="nil"/>
              <w:right w:val="nil"/>
            </w:tcBorders>
            <w:shd w:val="clear" w:color="auto" w:fill="auto"/>
            <w:noWrap/>
            <w:vAlign w:val="bottom"/>
            <w:hideMark/>
          </w:tcPr>
          <w:p w14:paraId="1CB5A5E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7FAA632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0.51</w:t>
            </w:r>
          </w:p>
        </w:tc>
        <w:tc>
          <w:tcPr>
            <w:tcW w:w="261" w:type="dxa"/>
            <w:tcBorders>
              <w:top w:val="nil"/>
              <w:left w:val="nil"/>
              <w:bottom w:val="nil"/>
              <w:right w:val="nil"/>
            </w:tcBorders>
            <w:shd w:val="clear" w:color="auto" w:fill="auto"/>
            <w:noWrap/>
            <w:vAlign w:val="bottom"/>
            <w:hideMark/>
          </w:tcPr>
          <w:p w14:paraId="46AA15D9"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6150179"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-0.65***</w:t>
            </w:r>
          </w:p>
        </w:tc>
        <w:tc>
          <w:tcPr>
            <w:tcW w:w="694" w:type="dxa"/>
            <w:tcBorders>
              <w:top w:val="nil"/>
              <w:left w:val="nil"/>
              <w:bottom w:val="nil"/>
              <w:right w:val="nil"/>
            </w:tcBorders>
            <w:shd w:val="clear" w:color="auto" w:fill="auto"/>
            <w:noWrap/>
            <w:vAlign w:val="bottom"/>
            <w:hideMark/>
          </w:tcPr>
          <w:p w14:paraId="6EE6380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1101344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0.52</w:t>
            </w:r>
          </w:p>
        </w:tc>
        <w:tc>
          <w:tcPr>
            <w:tcW w:w="261" w:type="dxa"/>
            <w:tcBorders>
              <w:top w:val="nil"/>
              <w:left w:val="nil"/>
              <w:bottom w:val="nil"/>
              <w:right w:val="nil"/>
            </w:tcBorders>
            <w:shd w:val="clear" w:color="auto" w:fill="auto"/>
            <w:noWrap/>
            <w:vAlign w:val="bottom"/>
            <w:hideMark/>
          </w:tcPr>
          <w:p w14:paraId="76401EE6"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4EE4ED9"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-0.64***</w:t>
            </w:r>
          </w:p>
        </w:tc>
        <w:tc>
          <w:tcPr>
            <w:tcW w:w="828" w:type="dxa"/>
            <w:tcBorders>
              <w:top w:val="nil"/>
              <w:left w:val="nil"/>
              <w:bottom w:val="nil"/>
              <w:right w:val="nil"/>
            </w:tcBorders>
            <w:shd w:val="clear" w:color="auto" w:fill="auto"/>
            <w:noWrap/>
            <w:vAlign w:val="bottom"/>
            <w:hideMark/>
          </w:tcPr>
          <w:p w14:paraId="1553A6E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35" w:type="dxa"/>
            <w:tcBorders>
              <w:top w:val="nil"/>
              <w:left w:val="nil"/>
              <w:bottom w:val="nil"/>
              <w:right w:val="nil"/>
            </w:tcBorders>
            <w:shd w:val="clear" w:color="auto" w:fill="auto"/>
            <w:noWrap/>
            <w:vAlign w:val="bottom"/>
            <w:hideMark/>
          </w:tcPr>
          <w:p w14:paraId="453613F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0.53</w:t>
            </w:r>
          </w:p>
        </w:tc>
      </w:tr>
      <w:tr w:rsidR="0021432C" w:rsidRPr="0041348B" w14:paraId="7CEF8FE9" w14:textId="77777777" w:rsidTr="0021432C">
        <w:trPr>
          <w:trHeight w:val="288"/>
        </w:trPr>
        <w:tc>
          <w:tcPr>
            <w:tcW w:w="3747" w:type="dxa"/>
            <w:tcBorders>
              <w:top w:val="nil"/>
              <w:left w:val="nil"/>
              <w:bottom w:val="nil"/>
              <w:right w:val="nil"/>
            </w:tcBorders>
            <w:shd w:val="clear" w:color="auto" w:fill="auto"/>
            <w:vAlign w:val="center"/>
            <w:hideMark/>
          </w:tcPr>
          <w:p w14:paraId="40E07DA7"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Friend group never frightens/annoys for fun</w:t>
            </w:r>
          </w:p>
        </w:tc>
        <w:tc>
          <w:tcPr>
            <w:tcW w:w="889" w:type="dxa"/>
            <w:tcBorders>
              <w:top w:val="nil"/>
              <w:left w:val="nil"/>
              <w:bottom w:val="nil"/>
              <w:right w:val="nil"/>
            </w:tcBorders>
            <w:shd w:val="clear" w:color="auto" w:fill="auto"/>
            <w:noWrap/>
            <w:vAlign w:val="bottom"/>
            <w:hideMark/>
          </w:tcPr>
          <w:p w14:paraId="7F413739" w14:textId="77777777" w:rsidR="0041348B" w:rsidRPr="0048638A" w:rsidRDefault="0041348B" w:rsidP="005636E1">
            <w:pPr>
              <w:spacing w:line="240" w:lineRule="auto"/>
              <w:contextualSpacing/>
              <w:rPr>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03F07175"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3A3D50C6"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5D508967"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75B42D93"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-0.64***</w:t>
            </w:r>
          </w:p>
        </w:tc>
        <w:tc>
          <w:tcPr>
            <w:tcW w:w="694" w:type="dxa"/>
            <w:tcBorders>
              <w:top w:val="nil"/>
              <w:left w:val="nil"/>
              <w:bottom w:val="nil"/>
              <w:right w:val="nil"/>
            </w:tcBorders>
            <w:shd w:val="clear" w:color="auto" w:fill="auto"/>
            <w:noWrap/>
            <w:vAlign w:val="bottom"/>
            <w:hideMark/>
          </w:tcPr>
          <w:p w14:paraId="1C45559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2AF15EF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0.53</w:t>
            </w:r>
          </w:p>
        </w:tc>
        <w:tc>
          <w:tcPr>
            <w:tcW w:w="261" w:type="dxa"/>
            <w:tcBorders>
              <w:top w:val="nil"/>
              <w:left w:val="nil"/>
              <w:bottom w:val="nil"/>
              <w:right w:val="nil"/>
            </w:tcBorders>
            <w:shd w:val="clear" w:color="auto" w:fill="auto"/>
            <w:noWrap/>
            <w:vAlign w:val="bottom"/>
            <w:hideMark/>
          </w:tcPr>
          <w:p w14:paraId="08D607A6"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5F028D3"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-0.60***</w:t>
            </w:r>
          </w:p>
        </w:tc>
        <w:tc>
          <w:tcPr>
            <w:tcW w:w="694" w:type="dxa"/>
            <w:tcBorders>
              <w:top w:val="nil"/>
              <w:left w:val="nil"/>
              <w:bottom w:val="nil"/>
              <w:right w:val="nil"/>
            </w:tcBorders>
            <w:shd w:val="clear" w:color="auto" w:fill="auto"/>
            <w:noWrap/>
            <w:vAlign w:val="bottom"/>
            <w:hideMark/>
          </w:tcPr>
          <w:p w14:paraId="395ADF0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6E29CD4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0.55</w:t>
            </w:r>
          </w:p>
        </w:tc>
        <w:tc>
          <w:tcPr>
            <w:tcW w:w="261" w:type="dxa"/>
            <w:tcBorders>
              <w:top w:val="nil"/>
              <w:left w:val="nil"/>
              <w:bottom w:val="nil"/>
              <w:right w:val="nil"/>
            </w:tcBorders>
            <w:shd w:val="clear" w:color="auto" w:fill="auto"/>
            <w:noWrap/>
            <w:vAlign w:val="bottom"/>
            <w:hideMark/>
          </w:tcPr>
          <w:p w14:paraId="54B410AD"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1AF0A394"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-0.60***</w:t>
            </w:r>
          </w:p>
        </w:tc>
        <w:tc>
          <w:tcPr>
            <w:tcW w:w="828" w:type="dxa"/>
            <w:tcBorders>
              <w:top w:val="nil"/>
              <w:left w:val="nil"/>
              <w:bottom w:val="nil"/>
              <w:right w:val="nil"/>
            </w:tcBorders>
            <w:shd w:val="clear" w:color="auto" w:fill="auto"/>
            <w:noWrap/>
            <w:vAlign w:val="bottom"/>
            <w:hideMark/>
          </w:tcPr>
          <w:p w14:paraId="1CC0195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nil"/>
              <w:right w:val="nil"/>
            </w:tcBorders>
            <w:shd w:val="clear" w:color="auto" w:fill="auto"/>
            <w:noWrap/>
            <w:vAlign w:val="bottom"/>
            <w:hideMark/>
          </w:tcPr>
          <w:p w14:paraId="1099F24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0.55</w:t>
            </w:r>
          </w:p>
        </w:tc>
      </w:tr>
      <w:tr w:rsidR="0021432C" w:rsidRPr="0041348B" w14:paraId="1136E1FD" w14:textId="77777777" w:rsidTr="0021432C">
        <w:trPr>
          <w:trHeight w:val="288"/>
        </w:trPr>
        <w:tc>
          <w:tcPr>
            <w:tcW w:w="3747" w:type="dxa"/>
            <w:tcBorders>
              <w:top w:val="nil"/>
              <w:left w:val="nil"/>
              <w:bottom w:val="nil"/>
              <w:right w:val="nil"/>
            </w:tcBorders>
            <w:shd w:val="clear" w:color="auto" w:fill="auto"/>
            <w:vAlign w:val="center"/>
            <w:hideMark/>
          </w:tcPr>
          <w:p w14:paraId="0D70D7DB" w14:textId="6325FC34" w:rsidR="0041348B" w:rsidRPr="0048638A" w:rsidRDefault="0048638A" w:rsidP="005636E1">
            <w:pPr>
              <w:spacing w:line="240" w:lineRule="auto"/>
              <w:contextualSpacing/>
              <w:rPr>
                <w:i/>
                <w:iCs/>
                <w:color w:val="000000"/>
                <w:sz w:val="18"/>
                <w:szCs w:val="18"/>
                <w:lang w:val="en-US" w:eastAsia="en-US"/>
              </w:rPr>
            </w:pPr>
            <w:r w:rsidRPr="0048638A">
              <w:rPr>
                <w:i/>
                <w:iCs/>
                <w:sz w:val="18"/>
                <w:szCs w:val="18"/>
                <w:lang w:val="en-US" w:eastAsia="en-US"/>
              </w:rPr>
              <w:t>At</w:t>
            </w:r>
            <w:r>
              <w:rPr>
                <w:i/>
                <w:iCs/>
                <w:sz w:val="18"/>
                <w:szCs w:val="18"/>
                <w:lang w:val="en-US" w:eastAsia="en-US"/>
              </w:rPr>
              <w:t>t</w:t>
            </w:r>
            <w:r w:rsidRPr="0048638A">
              <w:rPr>
                <w:i/>
                <w:iCs/>
                <w:sz w:val="18"/>
                <w:szCs w:val="18"/>
                <w:lang w:val="en-US" w:eastAsia="en-US"/>
              </w:rPr>
              <w:t>itudes towards violence</w:t>
            </w:r>
          </w:p>
        </w:tc>
        <w:tc>
          <w:tcPr>
            <w:tcW w:w="889" w:type="dxa"/>
            <w:tcBorders>
              <w:top w:val="nil"/>
              <w:left w:val="nil"/>
              <w:bottom w:val="nil"/>
              <w:right w:val="nil"/>
            </w:tcBorders>
            <w:shd w:val="clear" w:color="auto" w:fill="auto"/>
            <w:noWrap/>
            <w:vAlign w:val="bottom"/>
            <w:hideMark/>
          </w:tcPr>
          <w:p w14:paraId="3D15A9ED" w14:textId="77777777" w:rsidR="0041348B" w:rsidRPr="0048638A" w:rsidRDefault="0041348B" w:rsidP="005636E1">
            <w:pPr>
              <w:spacing w:line="240" w:lineRule="auto"/>
              <w:contextualSpacing/>
              <w:rPr>
                <w:i/>
                <w:iCs/>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0324B9E0"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32FB7282"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7364BE8A"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7AEEB8C1"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3332B16F"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3ACDC9C3"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3C220E6"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4974CFFA"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215B7B0B"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4D8C2AF0"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15582024"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70D5CE95" w14:textId="77777777" w:rsidR="0041348B" w:rsidRPr="0048638A" w:rsidRDefault="0041348B" w:rsidP="005636E1">
            <w:pPr>
              <w:spacing w:line="240" w:lineRule="auto"/>
              <w:contextualSpacing/>
              <w:jc w:val="center"/>
              <w:rPr>
                <w:sz w:val="18"/>
                <w:szCs w:val="18"/>
                <w:lang w:val="en-US" w:eastAsia="en-US"/>
              </w:rPr>
            </w:pPr>
          </w:p>
        </w:tc>
        <w:tc>
          <w:tcPr>
            <w:tcW w:w="828" w:type="dxa"/>
            <w:tcBorders>
              <w:top w:val="nil"/>
              <w:left w:val="nil"/>
              <w:bottom w:val="nil"/>
              <w:right w:val="nil"/>
            </w:tcBorders>
            <w:shd w:val="clear" w:color="auto" w:fill="auto"/>
            <w:noWrap/>
            <w:vAlign w:val="bottom"/>
            <w:hideMark/>
          </w:tcPr>
          <w:p w14:paraId="55630B3C" w14:textId="77777777" w:rsidR="0041348B" w:rsidRPr="0048638A" w:rsidRDefault="0041348B" w:rsidP="005636E1">
            <w:pPr>
              <w:spacing w:line="240" w:lineRule="auto"/>
              <w:contextualSpacing/>
              <w:jc w:val="center"/>
              <w:rPr>
                <w:sz w:val="18"/>
                <w:szCs w:val="18"/>
                <w:lang w:val="en-US" w:eastAsia="en-US"/>
              </w:rPr>
            </w:pPr>
          </w:p>
        </w:tc>
        <w:tc>
          <w:tcPr>
            <w:tcW w:w="535" w:type="dxa"/>
            <w:tcBorders>
              <w:top w:val="nil"/>
              <w:left w:val="nil"/>
              <w:bottom w:val="nil"/>
              <w:right w:val="nil"/>
            </w:tcBorders>
            <w:shd w:val="clear" w:color="auto" w:fill="auto"/>
            <w:noWrap/>
            <w:vAlign w:val="bottom"/>
            <w:hideMark/>
          </w:tcPr>
          <w:p w14:paraId="53B2E638"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3A47EC63" w14:textId="77777777" w:rsidTr="0021432C">
        <w:trPr>
          <w:trHeight w:val="288"/>
        </w:trPr>
        <w:tc>
          <w:tcPr>
            <w:tcW w:w="3747" w:type="dxa"/>
            <w:tcBorders>
              <w:top w:val="nil"/>
              <w:left w:val="nil"/>
              <w:bottom w:val="nil"/>
              <w:right w:val="nil"/>
            </w:tcBorders>
            <w:shd w:val="clear" w:color="auto" w:fill="auto"/>
            <w:vAlign w:val="center"/>
            <w:hideMark/>
          </w:tcPr>
          <w:p w14:paraId="0188731E"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Not necessary to use force to gain respect</w:t>
            </w:r>
          </w:p>
        </w:tc>
        <w:tc>
          <w:tcPr>
            <w:tcW w:w="889" w:type="dxa"/>
            <w:tcBorders>
              <w:top w:val="nil"/>
              <w:left w:val="nil"/>
              <w:bottom w:val="nil"/>
              <w:right w:val="nil"/>
            </w:tcBorders>
            <w:shd w:val="clear" w:color="auto" w:fill="auto"/>
            <w:noWrap/>
            <w:vAlign w:val="bottom"/>
            <w:hideMark/>
          </w:tcPr>
          <w:p w14:paraId="6AB4EEF5" w14:textId="77777777" w:rsidR="0041348B" w:rsidRPr="0048638A" w:rsidRDefault="0041348B" w:rsidP="005636E1">
            <w:pPr>
              <w:spacing w:line="240" w:lineRule="auto"/>
              <w:contextualSpacing/>
              <w:rPr>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3A401B86"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486CC5E9"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FF15A82"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3929DF0E"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165EEDE9"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52D9C49B"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07585AA9"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639AAB88"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-0.20***</w:t>
            </w:r>
          </w:p>
        </w:tc>
        <w:tc>
          <w:tcPr>
            <w:tcW w:w="694" w:type="dxa"/>
            <w:tcBorders>
              <w:top w:val="nil"/>
              <w:left w:val="nil"/>
              <w:bottom w:val="nil"/>
              <w:right w:val="nil"/>
            </w:tcBorders>
            <w:shd w:val="clear" w:color="auto" w:fill="auto"/>
            <w:noWrap/>
            <w:vAlign w:val="bottom"/>
            <w:hideMark/>
          </w:tcPr>
          <w:p w14:paraId="3FB36BB4"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668" w:type="dxa"/>
            <w:tcBorders>
              <w:top w:val="nil"/>
              <w:left w:val="nil"/>
              <w:bottom w:val="nil"/>
              <w:right w:val="nil"/>
            </w:tcBorders>
            <w:shd w:val="clear" w:color="auto" w:fill="auto"/>
            <w:noWrap/>
            <w:vAlign w:val="bottom"/>
            <w:hideMark/>
          </w:tcPr>
          <w:p w14:paraId="6137B66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0.82</w:t>
            </w:r>
          </w:p>
        </w:tc>
        <w:tc>
          <w:tcPr>
            <w:tcW w:w="261" w:type="dxa"/>
            <w:tcBorders>
              <w:top w:val="nil"/>
              <w:left w:val="nil"/>
              <w:bottom w:val="nil"/>
              <w:right w:val="nil"/>
            </w:tcBorders>
            <w:shd w:val="clear" w:color="auto" w:fill="auto"/>
            <w:noWrap/>
            <w:vAlign w:val="bottom"/>
            <w:hideMark/>
          </w:tcPr>
          <w:p w14:paraId="315E4BDD"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09913614"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-0.21***</w:t>
            </w:r>
          </w:p>
        </w:tc>
        <w:tc>
          <w:tcPr>
            <w:tcW w:w="828" w:type="dxa"/>
            <w:tcBorders>
              <w:top w:val="nil"/>
              <w:left w:val="nil"/>
              <w:bottom w:val="nil"/>
              <w:right w:val="nil"/>
            </w:tcBorders>
            <w:shd w:val="clear" w:color="auto" w:fill="auto"/>
            <w:noWrap/>
            <w:vAlign w:val="bottom"/>
            <w:hideMark/>
          </w:tcPr>
          <w:p w14:paraId="22D45A1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(0.055)</w:t>
            </w:r>
          </w:p>
        </w:tc>
        <w:tc>
          <w:tcPr>
            <w:tcW w:w="535" w:type="dxa"/>
            <w:tcBorders>
              <w:top w:val="nil"/>
              <w:left w:val="nil"/>
              <w:bottom w:val="nil"/>
              <w:right w:val="nil"/>
            </w:tcBorders>
            <w:shd w:val="clear" w:color="auto" w:fill="auto"/>
            <w:noWrap/>
            <w:vAlign w:val="bottom"/>
            <w:hideMark/>
          </w:tcPr>
          <w:p w14:paraId="4791AA8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0.81</w:t>
            </w:r>
          </w:p>
        </w:tc>
      </w:tr>
      <w:tr w:rsidR="0021432C" w:rsidRPr="0041348B" w14:paraId="634F0762" w14:textId="77777777" w:rsidTr="0021432C">
        <w:trPr>
          <w:trHeight w:val="288"/>
        </w:trPr>
        <w:tc>
          <w:tcPr>
            <w:tcW w:w="3747" w:type="dxa"/>
            <w:tcBorders>
              <w:top w:val="nil"/>
              <w:left w:val="nil"/>
              <w:bottom w:val="nil"/>
              <w:right w:val="nil"/>
            </w:tcBorders>
            <w:shd w:val="clear" w:color="auto" w:fill="auto"/>
            <w:vAlign w:val="center"/>
            <w:hideMark/>
          </w:tcPr>
          <w:p w14:paraId="744468A7"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Not fight back if someone attacks</w:t>
            </w:r>
          </w:p>
        </w:tc>
        <w:tc>
          <w:tcPr>
            <w:tcW w:w="889" w:type="dxa"/>
            <w:tcBorders>
              <w:top w:val="nil"/>
              <w:left w:val="nil"/>
              <w:bottom w:val="nil"/>
              <w:right w:val="nil"/>
            </w:tcBorders>
            <w:shd w:val="clear" w:color="auto" w:fill="auto"/>
            <w:noWrap/>
            <w:vAlign w:val="bottom"/>
            <w:hideMark/>
          </w:tcPr>
          <w:p w14:paraId="7F6FD4F0" w14:textId="77777777" w:rsidR="0041348B" w:rsidRPr="0048638A" w:rsidRDefault="0041348B" w:rsidP="005636E1">
            <w:pPr>
              <w:spacing w:line="240" w:lineRule="auto"/>
              <w:contextualSpacing/>
              <w:rPr>
                <w:color w:val="000000"/>
                <w:sz w:val="18"/>
                <w:szCs w:val="18"/>
                <w:lang w:val="en-US" w:eastAsia="en-US"/>
              </w:rPr>
            </w:pPr>
          </w:p>
        </w:tc>
        <w:tc>
          <w:tcPr>
            <w:tcW w:w="734" w:type="dxa"/>
            <w:tcBorders>
              <w:top w:val="nil"/>
              <w:left w:val="nil"/>
              <w:bottom w:val="nil"/>
              <w:right w:val="nil"/>
            </w:tcBorders>
            <w:shd w:val="clear" w:color="auto" w:fill="auto"/>
            <w:noWrap/>
            <w:vAlign w:val="bottom"/>
            <w:hideMark/>
          </w:tcPr>
          <w:p w14:paraId="0048E836" w14:textId="77777777" w:rsidR="0041348B" w:rsidRPr="0048638A" w:rsidRDefault="0041348B" w:rsidP="005636E1">
            <w:pPr>
              <w:spacing w:line="240" w:lineRule="auto"/>
              <w:contextualSpacing/>
              <w:jc w:val="center"/>
              <w:rPr>
                <w:sz w:val="18"/>
                <w:szCs w:val="18"/>
                <w:lang w:val="en-US" w:eastAsia="en-US"/>
              </w:rPr>
            </w:pPr>
          </w:p>
        </w:tc>
        <w:tc>
          <w:tcPr>
            <w:tcW w:w="565" w:type="dxa"/>
            <w:tcBorders>
              <w:top w:val="nil"/>
              <w:left w:val="nil"/>
              <w:bottom w:val="nil"/>
              <w:right w:val="nil"/>
            </w:tcBorders>
            <w:shd w:val="clear" w:color="auto" w:fill="auto"/>
            <w:noWrap/>
            <w:vAlign w:val="bottom"/>
            <w:hideMark/>
          </w:tcPr>
          <w:p w14:paraId="08011E30"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2DEFBE41"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616288E9" w14:textId="77777777" w:rsidR="0041348B" w:rsidRPr="0048638A" w:rsidRDefault="0041348B" w:rsidP="005636E1">
            <w:pPr>
              <w:spacing w:line="240" w:lineRule="auto"/>
              <w:contextualSpacing/>
              <w:jc w:val="center"/>
              <w:rPr>
                <w:sz w:val="18"/>
                <w:szCs w:val="18"/>
                <w:lang w:val="en-US" w:eastAsia="en-US"/>
              </w:rPr>
            </w:pPr>
          </w:p>
        </w:tc>
        <w:tc>
          <w:tcPr>
            <w:tcW w:w="694" w:type="dxa"/>
            <w:tcBorders>
              <w:top w:val="nil"/>
              <w:left w:val="nil"/>
              <w:bottom w:val="nil"/>
              <w:right w:val="nil"/>
            </w:tcBorders>
            <w:shd w:val="clear" w:color="auto" w:fill="auto"/>
            <w:noWrap/>
            <w:vAlign w:val="bottom"/>
            <w:hideMark/>
          </w:tcPr>
          <w:p w14:paraId="1C2B4447" w14:textId="77777777" w:rsidR="0041348B" w:rsidRPr="0048638A" w:rsidRDefault="0041348B" w:rsidP="005636E1">
            <w:pPr>
              <w:spacing w:line="240" w:lineRule="auto"/>
              <w:contextualSpacing/>
              <w:jc w:val="center"/>
              <w:rPr>
                <w:sz w:val="18"/>
                <w:szCs w:val="18"/>
                <w:lang w:val="en-US" w:eastAsia="en-US"/>
              </w:rPr>
            </w:pPr>
          </w:p>
        </w:tc>
        <w:tc>
          <w:tcPr>
            <w:tcW w:w="668" w:type="dxa"/>
            <w:tcBorders>
              <w:top w:val="nil"/>
              <w:left w:val="nil"/>
              <w:bottom w:val="nil"/>
              <w:right w:val="nil"/>
            </w:tcBorders>
            <w:shd w:val="clear" w:color="auto" w:fill="auto"/>
            <w:noWrap/>
            <w:vAlign w:val="bottom"/>
            <w:hideMark/>
          </w:tcPr>
          <w:p w14:paraId="42E709B2"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346BCA75"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2642A759"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-0.30***</w:t>
            </w:r>
          </w:p>
        </w:tc>
        <w:tc>
          <w:tcPr>
            <w:tcW w:w="694" w:type="dxa"/>
            <w:tcBorders>
              <w:top w:val="nil"/>
              <w:left w:val="nil"/>
              <w:bottom w:val="nil"/>
              <w:right w:val="nil"/>
            </w:tcBorders>
            <w:shd w:val="clear" w:color="auto" w:fill="auto"/>
            <w:noWrap/>
            <w:vAlign w:val="bottom"/>
            <w:hideMark/>
          </w:tcPr>
          <w:p w14:paraId="661AC7B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668" w:type="dxa"/>
            <w:tcBorders>
              <w:top w:val="nil"/>
              <w:left w:val="nil"/>
              <w:bottom w:val="nil"/>
              <w:right w:val="nil"/>
            </w:tcBorders>
            <w:shd w:val="clear" w:color="auto" w:fill="auto"/>
            <w:noWrap/>
            <w:vAlign w:val="bottom"/>
            <w:hideMark/>
          </w:tcPr>
          <w:p w14:paraId="2C6B9A4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0.74</w:t>
            </w:r>
          </w:p>
        </w:tc>
        <w:tc>
          <w:tcPr>
            <w:tcW w:w="261" w:type="dxa"/>
            <w:tcBorders>
              <w:top w:val="nil"/>
              <w:left w:val="nil"/>
              <w:bottom w:val="nil"/>
              <w:right w:val="nil"/>
            </w:tcBorders>
            <w:shd w:val="clear" w:color="auto" w:fill="auto"/>
            <w:noWrap/>
            <w:vAlign w:val="bottom"/>
            <w:hideMark/>
          </w:tcPr>
          <w:p w14:paraId="370A92D9" w14:textId="77777777" w:rsidR="0041348B" w:rsidRPr="0048638A" w:rsidRDefault="0041348B" w:rsidP="005636E1">
            <w:pPr>
              <w:spacing w:line="240" w:lineRule="auto"/>
              <w:contextualSpacing/>
              <w:jc w:val="center"/>
              <w:rPr>
                <w:color w:val="000000"/>
                <w:sz w:val="18"/>
                <w:szCs w:val="18"/>
                <w:lang w:val="en-US" w:eastAsia="en-US"/>
              </w:rPr>
            </w:pPr>
          </w:p>
        </w:tc>
        <w:tc>
          <w:tcPr>
            <w:tcW w:w="1071" w:type="dxa"/>
            <w:tcBorders>
              <w:top w:val="nil"/>
              <w:left w:val="nil"/>
              <w:bottom w:val="nil"/>
              <w:right w:val="nil"/>
            </w:tcBorders>
            <w:shd w:val="clear" w:color="auto" w:fill="auto"/>
            <w:noWrap/>
            <w:vAlign w:val="bottom"/>
            <w:hideMark/>
          </w:tcPr>
          <w:p w14:paraId="2BB06EBE"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-0.30***</w:t>
            </w:r>
          </w:p>
        </w:tc>
        <w:tc>
          <w:tcPr>
            <w:tcW w:w="828" w:type="dxa"/>
            <w:tcBorders>
              <w:top w:val="nil"/>
              <w:left w:val="nil"/>
              <w:bottom w:val="nil"/>
              <w:right w:val="nil"/>
            </w:tcBorders>
            <w:shd w:val="clear" w:color="auto" w:fill="auto"/>
            <w:noWrap/>
            <w:vAlign w:val="bottom"/>
            <w:hideMark/>
          </w:tcPr>
          <w:p w14:paraId="2A9535A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35" w:type="dxa"/>
            <w:tcBorders>
              <w:top w:val="nil"/>
              <w:left w:val="nil"/>
              <w:bottom w:val="nil"/>
              <w:right w:val="nil"/>
            </w:tcBorders>
            <w:shd w:val="clear" w:color="auto" w:fill="auto"/>
            <w:noWrap/>
            <w:vAlign w:val="bottom"/>
            <w:hideMark/>
          </w:tcPr>
          <w:p w14:paraId="3939391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0.74</w:t>
            </w:r>
          </w:p>
        </w:tc>
      </w:tr>
      <w:tr w:rsidR="0021432C" w:rsidRPr="0041348B" w14:paraId="209CF2B3" w14:textId="77777777" w:rsidTr="0021432C">
        <w:trPr>
          <w:trHeight w:val="288"/>
        </w:trPr>
        <w:tc>
          <w:tcPr>
            <w:tcW w:w="3747" w:type="dxa"/>
            <w:tcBorders>
              <w:top w:val="nil"/>
              <w:left w:val="nil"/>
              <w:bottom w:val="single" w:sz="4" w:space="0" w:color="auto"/>
              <w:right w:val="nil"/>
            </w:tcBorders>
            <w:shd w:val="clear" w:color="auto" w:fill="auto"/>
            <w:vAlign w:val="center"/>
            <w:hideMark/>
          </w:tcPr>
          <w:p w14:paraId="69DB1C02" w14:textId="6C7E031E"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 xml:space="preserve">  Not normal for boys to prove selves </w:t>
            </w:r>
            <w:r w:rsidR="0021432C">
              <w:rPr>
                <w:color w:val="000000"/>
                <w:sz w:val="18"/>
                <w:szCs w:val="18"/>
                <w:lang w:val="en-US" w:eastAsia="en-US"/>
              </w:rPr>
              <w:t>via</w:t>
            </w:r>
            <w:r w:rsidRPr="0048638A">
              <w:rPr>
                <w:color w:val="000000"/>
                <w:sz w:val="18"/>
                <w:szCs w:val="18"/>
                <w:lang w:val="en-US" w:eastAsia="en-US"/>
              </w:rPr>
              <w:t xml:space="preserve"> fights</w:t>
            </w:r>
          </w:p>
        </w:tc>
        <w:tc>
          <w:tcPr>
            <w:tcW w:w="889" w:type="dxa"/>
            <w:tcBorders>
              <w:top w:val="nil"/>
              <w:left w:val="nil"/>
              <w:bottom w:val="single" w:sz="4" w:space="0" w:color="auto"/>
              <w:right w:val="nil"/>
            </w:tcBorders>
            <w:shd w:val="clear" w:color="auto" w:fill="auto"/>
            <w:noWrap/>
            <w:vAlign w:val="bottom"/>
            <w:hideMark/>
          </w:tcPr>
          <w:p w14:paraId="15CE57A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734" w:type="dxa"/>
            <w:tcBorders>
              <w:top w:val="nil"/>
              <w:left w:val="nil"/>
              <w:bottom w:val="single" w:sz="4" w:space="0" w:color="auto"/>
              <w:right w:val="nil"/>
            </w:tcBorders>
            <w:shd w:val="clear" w:color="auto" w:fill="auto"/>
            <w:noWrap/>
            <w:vAlign w:val="bottom"/>
            <w:hideMark/>
          </w:tcPr>
          <w:p w14:paraId="2805CD8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565" w:type="dxa"/>
            <w:tcBorders>
              <w:top w:val="nil"/>
              <w:left w:val="nil"/>
              <w:bottom w:val="single" w:sz="4" w:space="0" w:color="auto"/>
              <w:right w:val="nil"/>
            </w:tcBorders>
            <w:shd w:val="clear" w:color="auto" w:fill="auto"/>
            <w:noWrap/>
            <w:vAlign w:val="bottom"/>
            <w:hideMark/>
          </w:tcPr>
          <w:p w14:paraId="01AB8E4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261" w:type="dxa"/>
            <w:tcBorders>
              <w:top w:val="nil"/>
              <w:left w:val="nil"/>
              <w:bottom w:val="single" w:sz="4" w:space="0" w:color="auto"/>
              <w:right w:val="nil"/>
            </w:tcBorders>
            <w:shd w:val="clear" w:color="auto" w:fill="auto"/>
            <w:noWrap/>
            <w:vAlign w:val="bottom"/>
            <w:hideMark/>
          </w:tcPr>
          <w:p w14:paraId="2D7E6E3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71" w:type="dxa"/>
            <w:tcBorders>
              <w:top w:val="nil"/>
              <w:left w:val="nil"/>
              <w:bottom w:val="single" w:sz="4" w:space="0" w:color="auto"/>
              <w:right w:val="nil"/>
            </w:tcBorders>
            <w:shd w:val="clear" w:color="auto" w:fill="auto"/>
            <w:noWrap/>
            <w:vAlign w:val="bottom"/>
            <w:hideMark/>
          </w:tcPr>
          <w:p w14:paraId="6657432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694" w:type="dxa"/>
            <w:tcBorders>
              <w:top w:val="nil"/>
              <w:left w:val="nil"/>
              <w:bottom w:val="single" w:sz="4" w:space="0" w:color="auto"/>
              <w:right w:val="nil"/>
            </w:tcBorders>
            <w:shd w:val="clear" w:color="auto" w:fill="auto"/>
            <w:noWrap/>
            <w:vAlign w:val="bottom"/>
            <w:hideMark/>
          </w:tcPr>
          <w:p w14:paraId="3CB8BDE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668" w:type="dxa"/>
            <w:tcBorders>
              <w:top w:val="nil"/>
              <w:left w:val="nil"/>
              <w:bottom w:val="single" w:sz="4" w:space="0" w:color="auto"/>
              <w:right w:val="nil"/>
            </w:tcBorders>
            <w:shd w:val="clear" w:color="auto" w:fill="auto"/>
            <w:noWrap/>
            <w:vAlign w:val="bottom"/>
            <w:hideMark/>
          </w:tcPr>
          <w:p w14:paraId="16596B3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261" w:type="dxa"/>
            <w:tcBorders>
              <w:top w:val="nil"/>
              <w:left w:val="nil"/>
              <w:bottom w:val="single" w:sz="4" w:space="0" w:color="auto"/>
              <w:right w:val="nil"/>
            </w:tcBorders>
            <w:shd w:val="clear" w:color="auto" w:fill="auto"/>
            <w:noWrap/>
            <w:vAlign w:val="bottom"/>
            <w:hideMark/>
          </w:tcPr>
          <w:p w14:paraId="7F729D8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71" w:type="dxa"/>
            <w:tcBorders>
              <w:top w:val="nil"/>
              <w:left w:val="nil"/>
              <w:bottom w:val="single" w:sz="4" w:space="0" w:color="auto"/>
              <w:right w:val="nil"/>
            </w:tcBorders>
            <w:shd w:val="clear" w:color="auto" w:fill="auto"/>
            <w:noWrap/>
            <w:vAlign w:val="bottom"/>
            <w:hideMark/>
          </w:tcPr>
          <w:p w14:paraId="6B11421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-0.22***</w:t>
            </w:r>
          </w:p>
        </w:tc>
        <w:tc>
          <w:tcPr>
            <w:tcW w:w="694" w:type="dxa"/>
            <w:tcBorders>
              <w:top w:val="nil"/>
              <w:left w:val="nil"/>
              <w:bottom w:val="single" w:sz="4" w:space="0" w:color="auto"/>
              <w:right w:val="nil"/>
            </w:tcBorders>
            <w:shd w:val="clear" w:color="auto" w:fill="auto"/>
            <w:noWrap/>
            <w:vAlign w:val="bottom"/>
            <w:hideMark/>
          </w:tcPr>
          <w:p w14:paraId="1022543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(0.04)</w:t>
            </w:r>
          </w:p>
        </w:tc>
        <w:tc>
          <w:tcPr>
            <w:tcW w:w="668" w:type="dxa"/>
            <w:tcBorders>
              <w:top w:val="nil"/>
              <w:left w:val="nil"/>
              <w:bottom w:val="single" w:sz="4" w:space="0" w:color="auto"/>
              <w:right w:val="nil"/>
            </w:tcBorders>
            <w:shd w:val="clear" w:color="auto" w:fill="auto"/>
            <w:noWrap/>
            <w:vAlign w:val="bottom"/>
            <w:hideMark/>
          </w:tcPr>
          <w:p w14:paraId="10066BD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0.80</w:t>
            </w:r>
          </w:p>
        </w:tc>
        <w:tc>
          <w:tcPr>
            <w:tcW w:w="261" w:type="dxa"/>
            <w:tcBorders>
              <w:top w:val="nil"/>
              <w:left w:val="nil"/>
              <w:bottom w:val="single" w:sz="4" w:space="0" w:color="auto"/>
              <w:right w:val="nil"/>
            </w:tcBorders>
            <w:shd w:val="clear" w:color="auto" w:fill="auto"/>
            <w:noWrap/>
            <w:vAlign w:val="bottom"/>
            <w:hideMark/>
          </w:tcPr>
          <w:p w14:paraId="616331F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71" w:type="dxa"/>
            <w:tcBorders>
              <w:top w:val="nil"/>
              <w:left w:val="nil"/>
              <w:bottom w:val="single" w:sz="4" w:space="0" w:color="auto"/>
              <w:right w:val="nil"/>
            </w:tcBorders>
            <w:shd w:val="clear" w:color="auto" w:fill="auto"/>
            <w:noWrap/>
            <w:vAlign w:val="bottom"/>
            <w:hideMark/>
          </w:tcPr>
          <w:p w14:paraId="35802F3D" w14:textId="77777777" w:rsidR="0041348B" w:rsidRPr="0048638A" w:rsidRDefault="0041348B" w:rsidP="005636E1">
            <w:pPr>
              <w:spacing w:line="240" w:lineRule="auto"/>
              <w:contextualSpacing/>
              <w:jc w:val="center"/>
              <w:rPr>
                <w:b/>
                <w:bCs/>
                <w:color w:val="000000"/>
                <w:sz w:val="18"/>
                <w:szCs w:val="18"/>
                <w:lang w:val="en-US" w:eastAsia="en-US"/>
              </w:rPr>
            </w:pPr>
            <w:r w:rsidRPr="0048638A">
              <w:rPr>
                <w:b/>
                <w:bCs/>
                <w:color w:val="000000"/>
                <w:sz w:val="18"/>
                <w:szCs w:val="18"/>
                <w:lang w:val="en-US" w:eastAsia="en-US"/>
              </w:rPr>
              <w:t>-0.22***</w:t>
            </w:r>
          </w:p>
        </w:tc>
        <w:tc>
          <w:tcPr>
            <w:tcW w:w="828" w:type="dxa"/>
            <w:tcBorders>
              <w:top w:val="nil"/>
              <w:left w:val="nil"/>
              <w:bottom w:val="single" w:sz="4" w:space="0" w:color="auto"/>
              <w:right w:val="nil"/>
            </w:tcBorders>
            <w:shd w:val="clear" w:color="auto" w:fill="auto"/>
            <w:noWrap/>
            <w:vAlign w:val="bottom"/>
            <w:hideMark/>
          </w:tcPr>
          <w:p w14:paraId="11A10996"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(0.05)</w:t>
            </w:r>
          </w:p>
        </w:tc>
        <w:tc>
          <w:tcPr>
            <w:tcW w:w="535" w:type="dxa"/>
            <w:tcBorders>
              <w:top w:val="nil"/>
              <w:left w:val="nil"/>
              <w:bottom w:val="single" w:sz="4" w:space="0" w:color="auto"/>
              <w:right w:val="nil"/>
            </w:tcBorders>
            <w:shd w:val="clear" w:color="auto" w:fill="auto"/>
            <w:noWrap/>
            <w:vAlign w:val="bottom"/>
            <w:hideMark/>
          </w:tcPr>
          <w:p w14:paraId="69F96B79"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0.80</w:t>
            </w:r>
          </w:p>
        </w:tc>
      </w:tr>
      <w:tr w:rsidR="0021432C" w:rsidRPr="0041348B" w14:paraId="4DC7FBCD" w14:textId="77777777" w:rsidTr="0021432C">
        <w:trPr>
          <w:trHeight w:val="288"/>
        </w:trPr>
        <w:tc>
          <w:tcPr>
            <w:tcW w:w="3747" w:type="dxa"/>
            <w:tcBorders>
              <w:top w:val="nil"/>
              <w:left w:val="nil"/>
              <w:bottom w:val="nil"/>
              <w:right w:val="nil"/>
            </w:tcBorders>
            <w:shd w:val="clear" w:color="auto" w:fill="auto"/>
            <w:noWrap/>
            <w:vAlign w:val="bottom"/>
            <w:hideMark/>
          </w:tcPr>
          <w:p w14:paraId="40178C87"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Level-2 Variance</w:t>
            </w:r>
          </w:p>
        </w:tc>
        <w:tc>
          <w:tcPr>
            <w:tcW w:w="889" w:type="dxa"/>
            <w:tcBorders>
              <w:top w:val="nil"/>
              <w:left w:val="nil"/>
              <w:bottom w:val="nil"/>
              <w:right w:val="nil"/>
            </w:tcBorders>
            <w:shd w:val="clear" w:color="auto" w:fill="auto"/>
            <w:noWrap/>
            <w:vAlign w:val="bottom"/>
            <w:hideMark/>
          </w:tcPr>
          <w:p w14:paraId="6276E62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0.0925</w:t>
            </w:r>
          </w:p>
        </w:tc>
        <w:tc>
          <w:tcPr>
            <w:tcW w:w="734" w:type="dxa"/>
            <w:tcBorders>
              <w:top w:val="nil"/>
              <w:left w:val="nil"/>
              <w:bottom w:val="nil"/>
              <w:right w:val="nil"/>
            </w:tcBorders>
            <w:shd w:val="clear" w:color="auto" w:fill="auto"/>
            <w:noWrap/>
            <w:vAlign w:val="bottom"/>
            <w:hideMark/>
          </w:tcPr>
          <w:p w14:paraId="0668D24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565" w:type="dxa"/>
            <w:tcBorders>
              <w:top w:val="nil"/>
              <w:left w:val="nil"/>
              <w:bottom w:val="nil"/>
              <w:right w:val="nil"/>
            </w:tcBorders>
            <w:shd w:val="clear" w:color="auto" w:fill="auto"/>
            <w:noWrap/>
            <w:vAlign w:val="bottom"/>
            <w:hideMark/>
          </w:tcPr>
          <w:p w14:paraId="7E5761F3" w14:textId="77777777" w:rsidR="0041348B" w:rsidRPr="0048638A" w:rsidRDefault="0041348B" w:rsidP="005636E1">
            <w:pPr>
              <w:spacing w:line="240" w:lineRule="auto"/>
              <w:contextualSpacing/>
              <w:jc w:val="center"/>
              <w:rPr>
                <w:color w:val="000000"/>
                <w:sz w:val="18"/>
                <w:szCs w:val="18"/>
                <w:lang w:val="en-US" w:eastAsia="en-US"/>
              </w:rPr>
            </w:pPr>
          </w:p>
        </w:tc>
        <w:tc>
          <w:tcPr>
            <w:tcW w:w="261" w:type="dxa"/>
            <w:tcBorders>
              <w:top w:val="nil"/>
              <w:left w:val="nil"/>
              <w:bottom w:val="nil"/>
              <w:right w:val="nil"/>
            </w:tcBorders>
            <w:shd w:val="clear" w:color="auto" w:fill="auto"/>
            <w:noWrap/>
            <w:vAlign w:val="bottom"/>
            <w:hideMark/>
          </w:tcPr>
          <w:p w14:paraId="7955B304"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67C1978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0.0836</w:t>
            </w:r>
          </w:p>
        </w:tc>
        <w:tc>
          <w:tcPr>
            <w:tcW w:w="694" w:type="dxa"/>
            <w:tcBorders>
              <w:top w:val="nil"/>
              <w:left w:val="nil"/>
              <w:bottom w:val="nil"/>
              <w:right w:val="nil"/>
            </w:tcBorders>
            <w:shd w:val="clear" w:color="auto" w:fill="auto"/>
            <w:noWrap/>
            <w:vAlign w:val="bottom"/>
            <w:hideMark/>
          </w:tcPr>
          <w:p w14:paraId="08DE6E8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668" w:type="dxa"/>
            <w:tcBorders>
              <w:top w:val="nil"/>
              <w:left w:val="nil"/>
              <w:bottom w:val="nil"/>
              <w:right w:val="nil"/>
            </w:tcBorders>
            <w:shd w:val="clear" w:color="auto" w:fill="auto"/>
            <w:noWrap/>
            <w:vAlign w:val="bottom"/>
            <w:hideMark/>
          </w:tcPr>
          <w:p w14:paraId="584421FD" w14:textId="77777777" w:rsidR="0041348B" w:rsidRPr="0048638A" w:rsidRDefault="0041348B" w:rsidP="005636E1">
            <w:pPr>
              <w:spacing w:line="240" w:lineRule="auto"/>
              <w:contextualSpacing/>
              <w:jc w:val="center"/>
              <w:rPr>
                <w:color w:val="000000"/>
                <w:sz w:val="18"/>
                <w:szCs w:val="18"/>
                <w:lang w:val="en-US" w:eastAsia="en-US"/>
              </w:rPr>
            </w:pPr>
          </w:p>
        </w:tc>
        <w:tc>
          <w:tcPr>
            <w:tcW w:w="261" w:type="dxa"/>
            <w:tcBorders>
              <w:top w:val="nil"/>
              <w:left w:val="nil"/>
              <w:bottom w:val="nil"/>
              <w:right w:val="nil"/>
            </w:tcBorders>
            <w:shd w:val="clear" w:color="auto" w:fill="auto"/>
            <w:noWrap/>
            <w:vAlign w:val="bottom"/>
            <w:hideMark/>
          </w:tcPr>
          <w:p w14:paraId="48D8D009"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40B1BD0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0.0877</w:t>
            </w:r>
          </w:p>
        </w:tc>
        <w:tc>
          <w:tcPr>
            <w:tcW w:w="694" w:type="dxa"/>
            <w:tcBorders>
              <w:top w:val="nil"/>
              <w:left w:val="nil"/>
              <w:bottom w:val="nil"/>
              <w:right w:val="nil"/>
            </w:tcBorders>
            <w:shd w:val="clear" w:color="auto" w:fill="auto"/>
            <w:noWrap/>
            <w:vAlign w:val="bottom"/>
            <w:hideMark/>
          </w:tcPr>
          <w:p w14:paraId="7DAE055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(0.03)</w:t>
            </w:r>
          </w:p>
        </w:tc>
        <w:tc>
          <w:tcPr>
            <w:tcW w:w="668" w:type="dxa"/>
            <w:tcBorders>
              <w:top w:val="nil"/>
              <w:left w:val="nil"/>
              <w:bottom w:val="nil"/>
              <w:right w:val="nil"/>
            </w:tcBorders>
            <w:shd w:val="clear" w:color="auto" w:fill="auto"/>
            <w:noWrap/>
            <w:vAlign w:val="bottom"/>
            <w:hideMark/>
          </w:tcPr>
          <w:p w14:paraId="180EE8B8" w14:textId="77777777" w:rsidR="0041348B" w:rsidRPr="0048638A" w:rsidRDefault="0041348B" w:rsidP="005636E1">
            <w:pPr>
              <w:spacing w:line="240" w:lineRule="auto"/>
              <w:contextualSpacing/>
              <w:jc w:val="center"/>
              <w:rPr>
                <w:color w:val="000000"/>
                <w:sz w:val="18"/>
                <w:szCs w:val="18"/>
                <w:lang w:val="en-US" w:eastAsia="en-US"/>
              </w:rPr>
            </w:pPr>
          </w:p>
        </w:tc>
        <w:tc>
          <w:tcPr>
            <w:tcW w:w="261" w:type="dxa"/>
            <w:tcBorders>
              <w:top w:val="nil"/>
              <w:left w:val="nil"/>
              <w:bottom w:val="nil"/>
              <w:right w:val="nil"/>
            </w:tcBorders>
            <w:shd w:val="clear" w:color="auto" w:fill="auto"/>
            <w:noWrap/>
            <w:vAlign w:val="bottom"/>
            <w:hideMark/>
          </w:tcPr>
          <w:p w14:paraId="0F028ABA"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6F90B7A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0.166</w:t>
            </w:r>
          </w:p>
        </w:tc>
        <w:tc>
          <w:tcPr>
            <w:tcW w:w="828" w:type="dxa"/>
            <w:tcBorders>
              <w:top w:val="nil"/>
              <w:left w:val="nil"/>
              <w:bottom w:val="nil"/>
              <w:right w:val="nil"/>
            </w:tcBorders>
            <w:shd w:val="clear" w:color="auto" w:fill="auto"/>
            <w:noWrap/>
            <w:vAlign w:val="bottom"/>
            <w:hideMark/>
          </w:tcPr>
          <w:p w14:paraId="1DE2FA82"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(0.06)</w:t>
            </w:r>
          </w:p>
        </w:tc>
        <w:tc>
          <w:tcPr>
            <w:tcW w:w="535" w:type="dxa"/>
            <w:tcBorders>
              <w:top w:val="nil"/>
              <w:left w:val="nil"/>
              <w:bottom w:val="nil"/>
              <w:right w:val="nil"/>
            </w:tcBorders>
            <w:shd w:val="clear" w:color="auto" w:fill="auto"/>
            <w:noWrap/>
            <w:vAlign w:val="bottom"/>
            <w:hideMark/>
          </w:tcPr>
          <w:p w14:paraId="27B1098C" w14:textId="77777777" w:rsidR="0041348B" w:rsidRPr="0048638A" w:rsidRDefault="0041348B" w:rsidP="005636E1">
            <w:pPr>
              <w:spacing w:line="240" w:lineRule="auto"/>
              <w:contextualSpacing/>
              <w:jc w:val="center"/>
              <w:rPr>
                <w:color w:val="000000"/>
                <w:sz w:val="18"/>
                <w:szCs w:val="18"/>
                <w:lang w:val="en-US" w:eastAsia="en-US"/>
              </w:rPr>
            </w:pPr>
          </w:p>
        </w:tc>
      </w:tr>
      <w:tr w:rsidR="0021432C" w:rsidRPr="0041348B" w14:paraId="1B5E56F7" w14:textId="77777777" w:rsidTr="0021432C">
        <w:trPr>
          <w:trHeight w:val="288"/>
        </w:trPr>
        <w:tc>
          <w:tcPr>
            <w:tcW w:w="3747" w:type="dxa"/>
            <w:tcBorders>
              <w:top w:val="nil"/>
              <w:left w:val="nil"/>
              <w:bottom w:val="nil"/>
              <w:right w:val="nil"/>
            </w:tcBorders>
            <w:shd w:val="clear" w:color="auto" w:fill="auto"/>
            <w:noWrap/>
            <w:vAlign w:val="bottom"/>
            <w:hideMark/>
          </w:tcPr>
          <w:p w14:paraId="0C13CD4E"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N</w:t>
            </w:r>
          </w:p>
        </w:tc>
        <w:tc>
          <w:tcPr>
            <w:tcW w:w="889" w:type="dxa"/>
            <w:tcBorders>
              <w:top w:val="nil"/>
              <w:left w:val="nil"/>
              <w:bottom w:val="nil"/>
              <w:right w:val="nil"/>
            </w:tcBorders>
            <w:shd w:val="clear" w:color="auto" w:fill="auto"/>
            <w:noWrap/>
            <w:vAlign w:val="bottom"/>
            <w:hideMark/>
          </w:tcPr>
          <w:p w14:paraId="6EB7D70A"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36,349</w:t>
            </w:r>
          </w:p>
        </w:tc>
        <w:tc>
          <w:tcPr>
            <w:tcW w:w="734" w:type="dxa"/>
            <w:tcBorders>
              <w:top w:val="nil"/>
              <w:left w:val="nil"/>
              <w:bottom w:val="nil"/>
              <w:right w:val="nil"/>
            </w:tcBorders>
            <w:shd w:val="clear" w:color="auto" w:fill="auto"/>
            <w:noWrap/>
            <w:vAlign w:val="bottom"/>
            <w:hideMark/>
          </w:tcPr>
          <w:p w14:paraId="1DC19332" w14:textId="77777777" w:rsidR="0041348B" w:rsidRPr="0048638A" w:rsidRDefault="0041348B" w:rsidP="005636E1">
            <w:pPr>
              <w:spacing w:line="240" w:lineRule="auto"/>
              <w:contextualSpacing/>
              <w:jc w:val="center"/>
              <w:rPr>
                <w:color w:val="000000"/>
                <w:sz w:val="18"/>
                <w:szCs w:val="18"/>
                <w:lang w:val="en-US" w:eastAsia="en-US"/>
              </w:rPr>
            </w:pPr>
          </w:p>
        </w:tc>
        <w:tc>
          <w:tcPr>
            <w:tcW w:w="565" w:type="dxa"/>
            <w:tcBorders>
              <w:top w:val="nil"/>
              <w:left w:val="nil"/>
              <w:bottom w:val="nil"/>
              <w:right w:val="nil"/>
            </w:tcBorders>
            <w:shd w:val="clear" w:color="auto" w:fill="auto"/>
            <w:noWrap/>
            <w:vAlign w:val="bottom"/>
            <w:hideMark/>
          </w:tcPr>
          <w:p w14:paraId="2638A2AF"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65C5CBEB"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702CE6F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34,821</w:t>
            </w:r>
          </w:p>
        </w:tc>
        <w:tc>
          <w:tcPr>
            <w:tcW w:w="694" w:type="dxa"/>
            <w:tcBorders>
              <w:top w:val="nil"/>
              <w:left w:val="nil"/>
              <w:bottom w:val="nil"/>
              <w:right w:val="nil"/>
            </w:tcBorders>
            <w:shd w:val="clear" w:color="auto" w:fill="auto"/>
            <w:noWrap/>
            <w:vAlign w:val="bottom"/>
            <w:hideMark/>
          </w:tcPr>
          <w:p w14:paraId="05A651FA" w14:textId="77777777" w:rsidR="0041348B" w:rsidRPr="0048638A" w:rsidRDefault="0041348B" w:rsidP="005636E1">
            <w:pPr>
              <w:spacing w:line="240" w:lineRule="auto"/>
              <w:contextualSpacing/>
              <w:jc w:val="center"/>
              <w:rPr>
                <w:color w:val="000000"/>
                <w:sz w:val="18"/>
                <w:szCs w:val="18"/>
                <w:lang w:val="en-US" w:eastAsia="en-US"/>
              </w:rPr>
            </w:pPr>
          </w:p>
        </w:tc>
        <w:tc>
          <w:tcPr>
            <w:tcW w:w="668" w:type="dxa"/>
            <w:tcBorders>
              <w:top w:val="nil"/>
              <w:left w:val="nil"/>
              <w:bottom w:val="nil"/>
              <w:right w:val="nil"/>
            </w:tcBorders>
            <w:shd w:val="clear" w:color="auto" w:fill="auto"/>
            <w:noWrap/>
            <w:vAlign w:val="bottom"/>
            <w:hideMark/>
          </w:tcPr>
          <w:p w14:paraId="58A3A42F"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18DE7A0A"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29FC98B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34,296</w:t>
            </w:r>
          </w:p>
        </w:tc>
        <w:tc>
          <w:tcPr>
            <w:tcW w:w="694" w:type="dxa"/>
            <w:tcBorders>
              <w:top w:val="nil"/>
              <w:left w:val="nil"/>
              <w:bottom w:val="nil"/>
              <w:right w:val="nil"/>
            </w:tcBorders>
            <w:shd w:val="clear" w:color="auto" w:fill="auto"/>
            <w:noWrap/>
            <w:vAlign w:val="bottom"/>
            <w:hideMark/>
          </w:tcPr>
          <w:p w14:paraId="5A7C72F6" w14:textId="77777777" w:rsidR="0041348B" w:rsidRPr="0048638A" w:rsidRDefault="0041348B" w:rsidP="005636E1">
            <w:pPr>
              <w:spacing w:line="240" w:lineRule="auto"/>
              <w:contextualSpacing/>
              <w:jc w:val="center"/>
              <w:rPr>
                <w:color w:val="000000"/>
                <w:sz w:val="18"/>
                <w:szCs w:val="18"/>
                <w:lang w:val="en-US" w:eastAsia="en-US"/>
              </w:rPr>
            </w:pPr>
          </w:p>
        </w:tc>
        <w:tc>
          <w:tcPr>
            <w:tcW w:w="668" w:type="dxa"/>
            <w:tcBorders>
              <w:top w:val="nil"/>
              <w:left w:val="nil"/>
              <w:bottom w:val="nil"/>
              <w:right w:val="nil"/>
            </w:tcBorders>
            <w:shd w:val="clear" w:color="auto" w:fill="auto"/>
            <w:noWrap/>
            <w:vAlign w:val="bottom"/>
            <w:hideMark/>
          </w:tcPr>
          <w:p w14:paraId="73531B36" w14:textId="77777777" w:rsidR="0041348B" w:rsidRPr="0048638A" w:rsidRDefault="0041348B" w:rsidP="005636E1">
            <w:pPr>
              <w:spacing w:line="240" w:lineRule="auto"/>
              <w:contextualSpacing/>
              <w:jc w:val="center"/>
              <w:rPr>
                <w:sz w:val="18"/>
                <w:szCs w:val="18"/>
                <w:lang w:val="en-US" w:eastAsia="en-US"/>
              </w:rPr>
            </w:pPr>
          </w:p>
        </w:tc>
        <w:tc>
          <w:tcPr>
            <w:tcW w:w="261" w:type="dxa"/>
            <w:tcBorders>
              <w:top w:val="nil"/>
              <w:left w:val="nil"/>
              <w:bottom w:val="nil"/>
              <w:right w:val="nil"/>
            </w:tcBorders>
            <w:shd w:val="clear" w:color="auto" w:fill="auto"/>
            <w:noWrap/>
            <w:vAlign w:val="bottom"/>
            <w:hideMark/>
          </w:tcPr>
          <w:p w14:paraId="5647CA45" w14:textId="77777777" w:rsidR="0041348B" w:rsidRPr="0048638A" w:rsidRDefault="0041348B" w:rsidP="005636E1">
            <w:pPr>
              <w:spacing w:line="240" w:lineRule="auto"/>
              <w:contextualSpacing/>
              <w:jc w:val="center"/>
              <w:rPr>
                <w:sz w:val="18"/>
                <w:szCs w:val="18"/>
                <w:lang w:val="en-US" w:eastAsia="en-US"/>
              </w:rPr>
            </w:pPr>
          </w:p>
        </w:tc>
        <w:tc>
          <w:tcPr>
            <w:tcW w:w="1071" w:type="dxa"/>
            <w:tcBorders>
              <w:top w:val="nil"/>
              <w:left w:val="nil"/>
              <w:bottom w:val="nil"/>
              <w:right w:val="nil"/>
            </w:tcBorders>
            <w:shd w:val="clear" w:color="auto" w:fill="auto"/>
            <w:noWrap/>
            <w:vAlign w:val="bottom"/>
            <w:hideMark/>
          </w:tcPr>
          <w:p w14:paraId="1B27A963"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34,296</w:t>
            </w:r>
          </w:p>
        </w:tc>
        <w:tc>
          <w:tcPr>
            <w:tcW w:w="828" w:type="dxa"/>
            <w:tcBorders>
              <w:top w:val="nil"/>
              <w:left w:val="nil"/>
              <w:bottom w:val="nil"/>
              <w:right w:val="nil"/>
            </w:tcBorders>
            <w:shd w:val="clear" w:color="auto" w:fill="auto"/>
            <w:noWrap/>
            <w:vAlign w:val="bottom"/>
            <w:hideMark/>
          </w:tcPr>
          <w:p w14:paraId="5B99F927" w14:textId="77777777" w:rsidR="0041348B" w:rsidRPr="0048638A" w:rsidRDefault="0041348B" w:rsidP="005636E1">
            <w:pPr>
              <w:spacing w:line="240" w:lineRule="auto"/>
              <w:contextualSpacing/>
              <w:jc w:val="center"/>
              <w:rPr>
                <w:color w:val="000000"/>
                <w:sz w:val="18"/>
                <w:szCs w:val="18"/>
                <w:lang w:val="en-US" w:eastAsia="en-US"/>
              </w:rPr>
            </w:pPr>
          </w:p>
        </w:tc>
        <w:tc>
          <w:tcPr>
            <w:tcW w:w="535" w:type="dxa"/>
            <w:tcBorders>
              <w:top w:val="nil"/>
              <w:left w:val="nil"/>
              <w:bottom w:val="nil"/>
              <w:right w:val="nil"/>
            </w:tcBorders>
            <w:shd w:val="clear" w:color="auto" w:fill="auto"/>
            <w:noWrap/>
            <w:vAlign w:val="bottom"/>
            <w:hideMark/>
          </w:tcPr>
          <w:p w14:paraId="3CF8443B" w14:textId="77777777" w:rsidR="0041348B" w:rsidRPr="0048638A" w:rsidRDefault="0041348B" w:rsidP="005636E1">
            <w:pPr>
              <w:spacing w:line="240" w:lineRule="auto"/>
              <w:contextualSpacing/>
              <w:jc w:val="center"/>
              <w:rPr>
                <w:sz w:val="18"/>
                <w:szCs w:val="18"/>
                <w:lang w:val="en-US" w:eastAsia="en-US"/>
              </w:rPr>
            </w:pPr>
          </w:p>
        </w:tc>
      </w:tr>
      <w:tr w:rsidR="0021432C" w:rsidRPr="0041348B" w14:paraId="75943003" w14:textId="77777777" w:rsidTr="0021432C">
        <w:trPr>
          <w:trHeight w:val="288"/>
        </w:trPr>
        <w:tc>
          <w:tcPr>
            <w:tcW w:w="3747" w:type="dxa"/>
            <w:tcBorders>
              <w:top w:val="nil"/>
              <w:left w:val="nil"/>
              <w:bottom w:val="single" w:sz="4" w:space="0" w:color="auto"/>
              <w:right w:val="nil"/>
            </w:tcBorders>
            <w:shd w:val="clear" w:color="auto" w:fill="auto"/>
            <w:noWrap/>
            <w:vAlign w:val="bottom"/>
            <w:hideMark/>
          </w:tcPr>
          <w:p w14:paraId="0D3AF8CE" w14:textId="77777777" w:rsidR="0041348B" w:rsidRPr="0048638A" w:rsidRDefault="0041348B" w:rsidP="005636E1">
            <w:pPr>
              <w:spacing w:line="240" w:lineRule="auto"/>
              <w:contextualSpacing/>
              <w:rPr>
                <w:color w:val="000000"/>
                <w:sz w:val="18"/>
                <w:szCs w:val="18"/>
                <w:lang w:val="en-US" w:eastAsia="en-US"/>
              </w:rPr>
            </w:pPr>
            <w:r w:rsidRPr="0048638A">
              <w:rPr>
                <w:color w:val="000000"/>
                <w:sz w:val="18"/>
                <w:szCs w:val="18"/>
                <w:lang w:val="en-US" w:eastAsia="en-US"/>
              </w:rPr>
              <w:t>BIC</w:t>
            </w:r>
          </w:p>
        </w:tc>
        <w:tc>
          <w:tcPr>
            <w:tcW w:w="889" w:type="dxa"/>
            <w:tcBorders>
              <w:top w:val="nil"/>
              <w:left w:val="nil"/>
              <w:bottom w:val="single" w:sz="4" w:space="0" w:color="auto"/>
              <w:right w:val="nil"/>
            </w:tcBorders>
            <w:shd w:val="clear" w:color="auto" w:fill="auto"/>
            <w:noWrap/>
            <w:vAlign w:val="bottom"/>
            <w:hideMark/>
          </w:tcPr>
          <w:p w14:paraId="2A67BDB8"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22022.25</w:t>
            </w:r>
          </w:p>
        </w:tc>
        <w:tc>
          <w:tcPr>
            <w:tcW w:w="734" w:type="dxa"/>
            <w:tcBorders>
              <w:top w:val="nil"/>
              <w:left w:val="nil"/>
              <w:bottom w:val="single" w:sz="4" w:space="0" w:color="auto"/>
              <w:right w:val="nil"/>
            </w:tcBorders>
            <w:shd w:val="clear" w:color="auto" w:fill="auto"/>
            <w:noWrap/>
            <w:vAlign w:val="bottom"/>
            <w:hideMark/>
          </w:tcPr>
          <w:p w14:paraId="68E60F3D"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565" w:type="dxa"/>
            <w:tcBorders>
              <w:top w:val="nil"/>
              <w:left w:val="nil"/>
              <w:bottom w:val="single" w:sz="4" w:space="0" w:color="auto"/>
              <w:right w:val="nil"/>
            </w:tcBorders>
            <w:shd w:val="clear" w:color="auto" w:fill="auto"/>
            <w:noWrap/>
            <w:vAlign w:val="bottom"/>
            <w:hideMark/>
          </w:tcPr>
          <w:p w14:paraId="5CE3775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261" w:type="dxa"/>
            <w:tcBorders>
              <w:top w:val="nil"/>
              <w:left w:val="nil"/>
              <w:bottom w:val="single" w:sz="4" w:space="0" w:color="auto"/>
              <w:right w:val="nil"/>
            </w:tcBorders>
            <w:shd w:val="clear" w:color="auto" w:fill="auto"/>
            <w:noWrap/>
            <w:vAlign w:val="bottom"/>
            <w:hideMark/>
          </w:tcPr>
          <w:p w14:paraId="1D6733A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71" w:type="dxa"/>
            <w:tcBorders>
              <w:top w:val="nil"/>
              <w:left w:val="nil"/>
              <w:bottom w:val="single" w:sz="4" w:space="0" w:color="auto"/>
              <w:right w:val="nil"/>
            </w:tcBorders>
            <w:shd w:val="clear" w:color="auto" w:fill="auto"/>
            <w:noWrap/>
            <w:vAlign w:val="bottom"/>
            <w:hideMark/>
          </w:tcPr>
          <w:p w14:paraId="1B366E95"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17348.28</w:t>
            </w:r>
          </w:p>
        </w:tc>
        <w:tc>
          <w:tcPr>
            <w:tcW w:w="694" w:type="dxa"/>
            <w:tcBorders>
              <w:top w:val="nil"/>
              <w:left w:val="nil"/>
              <w:bottom w:val="single" w:sz="4" w:space="0" w:color="auto"/>
              <w:right w:val="nil"/>
            </w:tcBorders>
            <w:shd w:val="clear" w:color="auto" w:fill="auto"/>
            <w:noWrap/>
            <w:vAlign w:val="bottom"/>
            <w:hideMark/>
          </w:tcPr>
          <w:p w14:paraId="123D11D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668" w:type="dxa"/>
            <w:tcBorders>
              <w:top w:val="nil"/>
              <w:left w:val="nil"/>
              <w:bottom w:val="single" w:sz="4" w:space="0" w:color="auto"/>
              <w:right w:val="nil"/>
            </w:tcBorders>
            <w:shd w:val="clear" w:color="auto" w:fill="auto"/>
            <w:noWrap/>
            <w:vAlign w:val="bottom"/>
            <w:hideMark/>
          </w:tcPr>
          <w:p w14:paraId="4BE2121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261" w:type="dxa"/>
            <w:tcBorders>
              <w:top w:val="nil"/>
              <w:left w:val="nil"/>
              <w:bottom w:val="single" w:sz="4" w:space="0" w:color="auto"/>
              <w:right w:val="nil"/>
            </w:tcBorders>
            <w:shd w:val="clear" w:color="auto" w:fill="auto"/>
            <w:noWrap/>
            <w:vAlign w:val="bottom"/>
            <w:hideMark/>
          </w:tcPr>
          <w:p w14:paraId="3ADBC90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71" w:type="dxa"/>
            <w:tcBorders>
              <w:top w:val="nil"/>
              <w:left w:val="nil"/>
              <w:bottom w:val="single" w:sz="4" w:space="0" w:color="auto"/>
              <w:right w:val="nil"/>
            </w:tcBorders>
            <w:shd w:val="clear" w:color="auto" w:fill="auto"/>
            <w:noWrap/>
            <w:vAlign w:val="bottom"/>
            <w:hideMark/>
          </w:tcPr>
          <w:p w14:paraId="1CBCDE60"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17014.55</w:t>
            </w:r>
          </w:p>
        </w:tc>
        <w:tc>
          <w:tcPr>
            <w:tcW w:w="694" w:type="dxa"/>
            <w:tcBorders>
              <w:top w:val="nil"/>
              <w:left w:val="nil"/>
              <w:bottom w:val="single" w:sz="4" w:space="0" w:color="auto"/>
              <w:right w:val="nil"/>
            </w:tcBorders>
            <w:shd w:val="clear" w:color="auto" w:fill="auto"/>
            <w:noWrap/>
            <w:vAlign w:val="bottom"/>
            <w:hideMark/>
          </w:tcPr>
          <w:p w14:paraId="14ABDCDF"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668" w:type="dxa"/>
            <w:tcBorders>
              <w:top w:val="nil"/>
              <w:left w:val="nil"/>
              <w:bottom w:val="single" w:sz="4" w:space="0" w:color="auto"/>
              <w:right w:val="nil"/>
            </w:tcBorders>
            <w:shd w:val="clear" w:color="auto" w:fill="auto"/>
            <w:noWrap/>
            <w:vAlign w:val="bottom"/>
            <w:hideMark/>
          </w:tcPr>
          <w:p w14:paraId="2045223E"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261" w:type="dxa"/>
            <w:tcBorders>
              <w:top w:val="nil"/>
              <w:left w:val="nil"/>
              <w:bottom w:val="single" w:sz="4" w:space="0" w:color="auto"/>
              <w:right w:val="nil"/>
            </w:tcBorders>
            <w:shd w:val="clear" w:color="auto" w:fill="auto"/>
            <w:noWrap/>
            <w:vAlign w:val="bottom"/>
            <w:hideMark/>
          </w:tcPr>
          <w:p w14:paraId="173F6617"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1071" w:type="dxa"/>
            <w:tcBorders>
              <w:top w:val="nil"/>
              <w:left w:val="nil"/>
              <w:bottom w:val="single" w:sz="4" w:space="0" w:color="auto"/>
              <w:right w:val="nil"/>
            </w:tcBorders>
            <w:shd w:val="clear" w:color="auto" w:fill="auto"/>
            <w:noWrap/>
            <w:vAlign w:val="bottom"/>
            <w:hideMark/>
          </w:tcPr>
          <w:p w14:paraId="763C315B"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16952.41</w:t>
            </w:r>
          </w:p>
        </w:tc>
        <w:tc>
          <w:tcPr>
            <w:tcW w:w="828" w:type="dxa"/>
            <w:tcBorders>
              <w:top w:val="nil"/>
              <w:left w:val="nil"/>
              <w:bottom w:val="single" w:sz="4" w:space="0" w:color="auto"/>
              <w:right w:val="nil"/>
            </w:tcBorders>
            <w:shd w:val="clear" w:color="auto" w:fill="auto"/>
            <w:noWrap/>
            <w:vAlign w:val="bottom"/>
            <w:hideMark/>
          </w:tcPr>
          <w:p w14:paraId="7E3E6851"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c>
          <w:tcPr>
            <w:tcW w:w="535" w:type="dxa"/>
            <w:tcBorders>
              <w:top w:val="nil"/>
              <w:left w:val="nil"/>
              <w:bottom w:val="single" w:sz="4" w:space="0" w:color="auto"/>
              <w:right w:val="nil"/>
            </w:tcBorders>
            <w:shd w:val="clear" w:color="auto" w:fill="auto"/>
            <w:noWrap/>
            <w:vAlign w:val="bottom"/>
            <w:hideMark/>
          </w:tcPr>
          <w:p w14:paraId="3B34D9CC" w14:textId="77777777" w:rsidR="0041348B" w:rsidRPr="0048638A" w:rsidRDefault="0041348B" w:rsidP="005636E1">
            <w:pPr>
              <w:spacing w:line="240" w:lineRule="auto"/>
              <w:contextualSpacing/>
              <w:jc w:val="center"/>
              <w:rPr>
                <w:color w:val="000000"/>
                <w:sz w:val="18"/>
                <w:szCs w:val="18"/>
                <w:lang w:val="en-US" w:eastAsia="en-US"/>
              </w:rPr>
            </w:pPr>
            <w:r w:rsidRPr="0048638A">
              <w:rPr>
                <w:color w:val="000000"/>
                <w:sz w:val="18"/>
                <w:szCs w:val="18"/>
                <w:lang w:val="en-US" w:eastAsia="en-US"/>
              </w:rPr>
              <w:t> </w:t>
            </w:r>
          </w:p>
        </w:tc>
      </w:tr>
    </w:tbl>
    <w:p w14:paraId="6A1A70AF" w14:textId="19D907C6" w:rsidR="0038219D" w:rsidRPr="00921374" w:rsidRDefault="0038219D" w:rsidP="005636E1">
      <w:pPr>
        <w:spacing w:line="240" w:lineRule="auto"/>
        <w:contextualSpacing/>
        <w:rPr>
          <w:sz w:val="18"/>
          <w:szCs w:val="18"/>
        </w:rPr>
        <w:sectPr w:rsidR="0038219D" w:rsidRPr="00921374" w:rsidSect="00921374">
          <w:pgSz w:w="16840" w:h="11901" w:orient="landscape" w:code="9"/>
          <w:pgMar w:top="1699" w:right="1411" w:bottom="1699" w:left="1411" w:header="706" w:footer="706" w:gutter="0"/>
          <w:cols w:space="708"/>
          <w:docGrid w:linePitch="360"/>
        </w:sectPr>
      </w:pPr>
      <w:r w:rsidRPr="00921374">
        <w:rPr>
          <w:sz w:val="18"/>
          <w:szCs w:val="18"/>
        </w:rPr>
        <w:t xml:space="preserve">Note: </w:t>
      </w:r>
      <w:r w:rsidR="00647BA8">
        <w:rPr>
          <w:sz w:val="18"/>
          <w:szCs w:val="18"/>
        </w:rPr>
        <w:t>Bold+</w:t>
      </w:r>
      <w:r w:rsidRPr="00921374">
        <w:rPr>
          <w:sz w:val="18"/>
          <w:szCs w:val="18"/>
        </w:rPr>
        <w:t xml:space="preserve"> = p&lt;0.10; </w:t>
      </w:r>
      <w:r w:rsidR="00647BA8">
        <w:rPr>
          <w:sz w:val="18"/>
          <w:szCs w:val="18"/>
        </w:rPr>
        <w:t>Bold</w:t>
      </w:r>
      <w:r w:rsidRPr="00921374">
        <w:rPr>
          <w:sz w:val="18"/>
          <w:szCs w:val="18"/>
        </w:rPr>
        <w:t xml:space="preserve">* = p&lt;0.05; </w:t>
      </w:r>
      <w:r w:rsidR="00647BA8">
        <w:rPr>
          <w:sz w:val="18"/>
          <w:szCs w:val="18"/>
        </w:rPr>
        <w:t>Bold</w:t>
      </w:r>
      <w:r w:rsidRPr="00921374">
        <w:rPr>
          <w:sz w:val="18"/>
          <w:szCs w:val="18"/>
        </w:rPr>
        <w:t xml:space="preserve">** = p&lt;0.01; Bold*** = p&lt;0.001. </w:t>
      </w:r>
      <w:r w:rsidR="004E2459" w:rsidRPr="00921374">
        <w:rPr>
          <w:sz w:val="18"/>
          <w:szCs w:val="18"/>
        </w:rPr>
        <w:t xml:space="preserve">Reference groups: </w:t>
      </w:r>
      <w:r w:rsidRPr="00921374">
        <w:rPr>
          <w:sz w:val="18"/>
          <w:szCs w:val="18"/>
        </w:rPr>
        <w:t>a=12-15</w:t>
      </w:r>
      <w:r w:rsidR="004E2459" w:rsidRPr="00921374">
        <w:rPr>
          <w:sz w:val="18"/>
          <w:szCs w:val="18"/>
        </w:rPr>
        <w:t>;</w:t>
      </w:r>
      <w:r w:rsidRPr="00921374">
        <w:rPr>
          <w:sz w:val="18"/>
          <w:szCs w:val="18"/>
        </w:rPr>
        <w:t xml:space="preserve"> b = Neither</w:t>
      </w:r>
      <w:r w:rsidR="004E2459" w:rsidRPr="00921374">
        <w:rPr>
          <w:sz w:val="18"/>
          <w:szCs w:val="18"/>
        </w:rPr>
        <w:t>;</w:t>
      </w:r>
      <w:r w:rsidRPr="00921374">
        <w:rPr>
          <w:sz w:val="18"/>
          <w:szCs w:val="18"/>
        </w:rPr>
        <w:t xml:space="preserve"> c= Non-native, friends with mostly non-native</w:t>
      </w:r>
      <w:r w:rsidR="004E2459" w:rsidRPr="00921374">
        <w:rPr>
          <w:sz w:val="18"/>
          <w:szCs w:val="18"/>
        </w:rPr>
        <w:t>;</w:t>
      </w:r>
      <w:r w:rsidRPr="00921374">
        <w:rPr>
          <w:sz w:val="18"/>
          <w:szCs w:val="18"/>
        </w:rPr>
        <w:t xml:space="preserve"> d=Neither</w:t>
      </w:r>
    </w:p>
    <w:p w14:paraId="6E0D96C3" w14:textId="71DA8C79" w:rsidR="0038219D" w:rsidRPr="006652D2" w:rsidRDefault="0038219D" w:rsidP="006652D2">
      <w:pPr>
        <w:contextualSpacing/>
        <w:jc w:val="center"/>
        <w:rPr>
          <w:b/>
          <w:lang w:val="en-US"/>
        </w:rPr>
      </w:pPr>
      <w:r w:rsidRPr="008D266A">
        <w:rPr>
          <w:b/>
          <w:lang w:val="en-US"/>
        </w:rPr>
        <w:lastRenderedPageBreak/>
        <w:t>Appendix A: Conceptualization of Vigil’s Multiple Marginality</w:t>
      </w:r>
    </w:p>
    <w:tbl>
      <w:tblPr>
        <w:tblStyle w:val="TableGrid"/>
        <w:tblW w:w="0" w:type="auto"/>
        <w:tblLook w:val="04A0" w:firstRow="1" w:lastRow="0" w:firstColumn="1" w:lastColumn="0" w:noHBand="0" w:noVBand="1"/>
      </w:tblPr>
      <w:tblGrid>
        <w:gridCol w:w="2703"/>
        <w:gridCol w:w="5790"/>
      </w:tblGrid>
      <w:tr w:rsidR="0038219D" w:rsidRPr="00085D68" w14:paraId="7E548370" w14:textId="77777777" w:rsidTr="0038219D">
        <w:tc>
          <w:tcPr>
            <w:tcW w:w="2875" w:type="dxa"/>
          </w:tcPr>
          <w:p w14:paraId="2B689038" w14:textId="083CACA5" w:rsidR="0038219D" w:rsidRDefault="0038219D" w:rsidP="005636E1">
            <w:pPr>
              <w:spacing w:line="240" w:lineRule="auto"/>
              <w:contextualSpacing/>
              <w:jc w:val="center"/>
              <w:rPr>
                <w:rFonts w:ascii="Times New Roman" w:hAnsi="Times New Roman" w:cs="Times New Roman"/>
                <w:b/>
                <w:bCs/>
              </w:rPr>
            </w:pPr>
            <w:r>
              <w:rPr>
                <w:rFonts w:ascii="Times New Roman" w:hAnsi="Times New Roman" w:cs="Times New Roman"/>
                <w:b/>
                <w:bCs/>
              </w:rPr>
              <w:t xml:space="preserve">MM </w:t>
            </w:r>
            <w:r w:rsidRPr="00085D68">
              <w:rPr>
                <w:rFonts w:ascii="Times New Roman" w:hAnsi="Times New Roman" w:cs="Times New Roman"/>
                <w:b/>
                <w:bCs/>
              </w:rPr>
              <w:t>Construct</w:t>
            </w:r>
          </w:p>
          <w:p w14:paraId="6571917A" w14:textId="77777777" w:rsidR="0038219D" w:rsidRPr="00085D68" w:rsidRDefault="0038219D" w:rsidP="005636E1">
            <w:pPr>
              <w:spacing w:line="240" w:lineRule="auto"/>
              <w:contextualSpacing/>
              <w:jc w:val="center"/>
              <w:rPr>
                <w:rFonts w:ascii="Times New Roman" w:hAnsi="Times New Roman" w:cs="Times New Roman"/>
                <w:b/>
                <w:bCs/>
              </w:rPr>
            </w:pPr>
          </w:p>
        </w:tc>
        <w:tc>
          <w:tcPr>
            <w:tcW w:w="6475" w:type="dxa"/>
          </w:tcPr>
          <w:p w14:paraId="50E6ED0E" w14:textId="77777777" w:rsidR="0038219D" w:rsidRDefault="0038219D" w:rsidP="005636E1">
            <w:pPr>
              <w:spacing w:line="240" w:lineRule="auto"/>
              <w:contextualSpacing/>
              <w:jc w:val="center"/>
              <w:rPr>
                <w:rFonts w:ascii="Times New Roman" w:hAnsi="Times New Roman" w:cs="Times New Roman"/>
                <w:b/>
                <w:bCs/>
              </w:rPr>
            </w:pPr>
            <w:r>
              <w:rPr>
                <w:rFonts w:ascii="Times New Roman" w:hAnsi="Times New Roman" w:cs="Times New Roman"/>
                <w:b/>
                <w:bCs/>
              </w:rPr>
              <w:t>Measures used in Prior Tests of MM Model</w:t>
            </w:r>
          </w:p>
          <w:p w14:paraId="462115F7" w14:textId="77777777" w:rsidR="0038219D" w:rsidRPr="00085D68" w:rsidRDefault="0038219D" w:rsidP="005636E1">
            <w:pPr>
              <w:spacing w:line="240" w:lineRule="auto"/>
              <w:contextualSpacing/>
              <w:jc w:val="center"/>
              <w:rPr>
                <w:rFonts w:ascii="Times New Roman" w:hAnsi="Times New Roman" w:cs="Times New Roman"/>
                <w:b/>
                <w:bCs/>
              </w:rPr>
            </w:pPr>
          </w:p>
        </w:tc>
      </w:tr>
      <w:tr w:rsidR="0038219D" w:rsidRPr="00085D68" w14:paraId="2A997AC5" w14:textId="77777777" w:rsidTr="0038219D">
        <w:tc>
          <w:tcPr>
            <w:tcW w:w="2875" w:type="dxa"/>
          </w:tcPr>
          <w:p w14:paraId="0B43504F" w14:textId="77777777" w:rsidR="0038219D" w:rsidRPr="00085D68" w:rsidRDefault="0038219D" w:rsidP="005636E1">
            <w:pPr>
              <w:spacing w:line="240" w:lineRule="auto"/>
              <w:contextualSpacing/>
              <w:rPr>
                <w:rFonts w:ascii="Times New Roman" w:hAnsi="Times New Roman" w:cs="Times New Roman"/>
              </w:rPr>
            </w:pPr>
            <w:r w:rsidRPr="00085D68">
              <w:rPr>
                <w:rFonts w:ascii="Times New Roman" w:eastAsia="Times New Roman" w:hAnsi="Times New Roman" w:cs="Times New Roman"/>
                <w:i/>
                <w:iCs/>
                <w:color w:val="000000"/>
                <w:lang w:val="en-US"/>
              </w:rPr>
              <w:t>Economic marginalization</w:t>
            </w:r>
          </w:p>
        </w:tc>
        <w:tc>
          <w:tcPr>
            <w:tcW w:w="6475" w:type="dxa"/>
            <w:vAlign w:val="center"/>
          </w:tcPr>
          <w:p w14:paraId="306C9A7A" w14:textId="360BFF03" w:rsidR="0038219D" w:rsidRDefault="0038219D" w:rsidP="005636E1">
            <w:pPr>
              <w:spacing w:line="240" w:lineRule="auto"/>
              <w:contextualSpacing/>
              <w:rPr>
                <w:rFonts w:ascii="Times New Roman" w:eastAsia="Times New Roman" w:hAnsi="Times New Roman" w:cs="Times New Roman"/>
                <w:color w:val="000000"/>
                <w:lang w:val="en-US"/>
              </w:rPr>
            </w:pPr>
            <w:r w:rsidRPr="00085D68">
              <w:rPr>
                <w:rFonts w:ascii="Times New Roman" w:eastAsia="Times New Roman" w:hAnsi="Times New Roman" w:cs="Times New Roman"/>
                <w:color w:val="000000"/>
                <w:lang w:val="en-US"/>
              </w:rPr>
              <w:t>Parental</w:t>
            </w:r>
            <w:r>
              <w:rPr>
                <w:rFonts w:ascii="Times New Roman" w:eastAsia="Times New Roman" w:hAnsi="Times New Roman" w:cs="Times New Roman"/>
                <w:color w:val="000000"/>
                <w:lang w:val="en-US"/>
              </w:rPr>
              <w:t>/</w:t>
            </w:r>
            <w:r w:rsidRPr="00085D68">
              <w:rPr>
                <w:rFonts w:ascii="Times New Roman" w:eastAsia="Times New Roman" w:hAnsi="Times New Roman" w:cs="Times New Roman"/>
                <w:color w:val="000000"/>
                <w:lang w:val="en-US"/>
              </w:rPr>
              <w:t xml:space="preserve">Caretaker education; Employment; Household structure; Age mother first gave birth; Financial stress; </w:t>
            </w:r>
            <w:r>
              <w:rPr>
                <w:rFonts w:ascii="Times New Roman" w:eastAsia="Times New Roman" w:hAnsi="Times New Roman" w:cs="Times New Roman"/>
                <w:color w:val="000000"/>
                <w:lang w:val="en-US"/>
              </w:rPr>
              <w:t>P</w:t>
            </w:r>
            <w:r w:rsidRPr="00085D68">
              <w:rPr>
                <w:rFonts w:ascii="Times New Roman" w:eastAsia="Times New Roman" w:hAnsi="Times New Roman" w:cs="Times New Roman"/>
                <w:color w:val="000000"/>
                <w:lang w:val="en-US"/>
              </w:rPr>
              <w:t>er capita family income</w:t>
            </w:r>
          </w:p>
          <w:p w14:paraId="516F0180" w14:textId="77777777" w:rsidR="0038219D" w:rsidRPr="00085D68" w:rsidRDefault="0038219D" w:rsidP="005636E1">
            <w:pPr>
              <w:spacing w:line="240" w:lineRule="auto"/>
              <w:contextualSpacing/>
              <w:rPr>
                <w:rFonts w:ascii="Times New Roman" w:hAnsi="Times New Roman" w:cs="Times New Roman"/>
              </w:rPr>
            </w:pPr>
          </w:p>
        </w:tc>
      </w:tr>
      <w:tr w:rsidR="0038219D" w:rsidRPr="00085D68" w14:paraId="0566A743" w14:textId="77777777" w:rsidTr="0038219D">
        <w:tc>
          <w:tcPr>
            <w:tcW w:w="2875" w:type="dxa"/>
          </w:tcPr>
          <w:p w14:paraId="5D07A74A" w14:textId="77777777" w:rsidR="0038219D" w:rsidRPr="00085D68" w:rsidRDefault="0038219D" w:rsidP="005636E1">
            <w:pPr>
              <w:spacing w:line="240" w:lineRule="auto"/>
              <w:contextualSpacing/>
              <w:rPr>
                <w:rFonts w:ascii="Times New Roman" w:hAnsi="Times New Roman" w:cs="Times New Roman"/>
                <w:i/>
                <w:iCs/>
              </w:rPr>
            </w:pPr>
            <w:r w:rsidRPr="00085D68">
              <w:rPr>
                <w:rFonts w:ascii="Times New Roman" w:hAnsi="Times New Roman" w:cs="Times New Roman"/>
                <w:i/>
                <w:iCs/>
              </w:rPr>
              <w:t>Social marginalization</w:t>
            </w:r>
          </w:p>
        </w:tc>
        <w:tc>
          <w:tcPr>
            <w:tcW w:w="6475" w:type="dxa"/>
            <w:vAlign w:val="center"/>
          </w:tcPr>
          <w:p w14:paraId="09A9A5EA" w14:textId="7E71EC34" w:rsidR="0038219D" w:rsidRDefault="0038219D" w:rsidP="005636E1">
            <w:pPr>
              <w:spacing w:line="240" w:lineRule="auto"/>
              <w:contextualSpacing/>
              <w:rPr>
                <w:rFonts w:ascii="Times New Roman" w:eastAsia="Times New Roman" w:hAnsi="Times New Roman" w:cs="Times New Roman"/>
                <w:color w:val="000000"/>
                <w:lang w:val="en-US"/>
              </w:rPr>
            </w:pPr>
            <w:r w:rsidRPr="00085D68">
              <w:rPr>
                <w:rFonts w:ascii="Times New Roman" w:eastAsia="Times New Roman" w:hAnsi="Times New Roman" w:cs="Times New Roman"/>
                <w:color w:val="000000"/>
                <w:lang w:val="en-US"/>
              </w:rPr>
              <w:t>Social isolation</w:t>
            </w:r>
            <w:r>
              <w:rPr>
                <w:rFonts w:ascii="Times New Roman" w:eastAsia="Times New Roman" w:hAnsi="Times New Roman" w:cs="Times New Roman"/>
                <w:color w:val="000000"/>
                <w:lang w:val="en-US"/>
              </w:rPr>
              <w:t>; E</w:t>
            </w:r>
            <w:r w:rsidRPr="00085D68">
              <w:rPr>
                <w:rFonts w:ascii="Times New Roman" w:eastAsia="Times New Roman" w:hAnsi="Times New Roman" w:cs="Times New Roman"/>
                <w:color w:val="000000"/>
                <w:lang w:val="en-US"/>
              </w:rPr>
              <w:t>thnic identity; Perceived racial discrimination; Ethnic marginalization; Discrimination motivated victimiza</w:t>
            </w:r>
            <w:r>
              <w:rPr>
                <w:rFonts w:ascii="Times New Roman" w:eastAsia="Times New Roman" w:hAnsi="Times New Roman" w:cs="Times New Roman"/>
                <w:color w:val="000000"/>
                <w:lang w:val="en-US"/>
              </w:rPr>
              <w:t>t</w:t>
            </w:r>
            <w:r w:rsidRPr="00085D68">
              <w:rPr>
                <w:rFonts w:ascii="Times New Roman" w:eastAsia="Times New Roman" w:hAnsi="Times New Roman" w:cs="Times New Roman"/>
                <w:color w:val="000000"/>
                <w:lang w:val="en-US"/>
              </w:rPr>
              <w:t xml:space="preserve">ion; Speak Spanish at home; Language spoken; </w:t>
            </w:r>
            <w:r>
              <w:rPr>
                <w:rFonts w:ascii="Times New Roman" w:eastAsia="Times New Roman" w:hAnsi="Times New Roman" w:cs="Times New Roman"/>
                <w:color w:val="000000"/>
                <w:lang w:val="en-US"/>
              </w:rPr>
              <w:t>S</w:t>
            </w:r>
            <w:r w:rsidRPr="00085D68">
              <w:rPr>
                <w:rFonts w:ascii="Times New Roman" w:eastAsia="Times New Roman" w:hAnsi="Times New Roman" w:cs="Times New Roman"/>
                <w:color w:val="000000"/>
                <w:lang w:val="en-US"/>
              </w:rPr>
              <w:t>ocial assimilation</w:t>
            </w:r>
          </w:p>
          <w:p w14:paraId="4C4EC84A" w14:textId="77777777" w:rsidR="0038219D" w:rsidRPr="00085D68" w:rsidRDefault="0038219D" w:rsidP="005636E1">
            <w:pPr>
              <w:spacing w:line="240" w:lineRule="auto"/>
              <w:contextualSpacing/>
              <w:rPr>
                <w:rFonts w:ascii="Times New Roman" w:hAnsi="Times New Roman" w:cs="Times New Roman"/>
              </w:rPr>
            </w:pPr>
          </w:p>
        </w:tc>
      </w:tr>
      <w:tr w:rsidR="0038219D" w:rsidRPr="00085D68" w14:paraId="220CA278" w14:textId="77777777" w:rsidTr="0038219D">
        <w:tc>
          <w:tcPr>
            <w:tcW w:w="2875" w:type="dxa"/>
          </w:tcPr>
          <w:p w14:paraId="4E2B69CA" w14:textId="77777777" w:rsidR="0038219D" w:rsidRPr="00085D68" w:rsidRDefault="0038219D" w:rsidP="005636E1">
            <w:pPr>
              <w:spacing w:line="240" w:lineRule="auto"/>
              <w:contextualSpacing/>
              <w:rPr>
                <w:rFonts w:ascii="Times New Roman" w:hAnsi="Times New Roman" w:cs="Times New Roman"/>
              </w:rPr>
            </w:pPr>
            <w:r w:rsidRPr="00085D68">
              <w:rPr>
                <w:rFonts w:ascii="Times New Roman" w:eastAsia="Times New Roman" w:hAnsi="Times New Roman" w:cs="Times New Roman"/>
                <w:i/>
                <w:iCs/>
                <w:color w:val="000000"/>
                <w:lang w:val="en-US"/>
              </w:rPr>
              <w:t>Neighborhood and social environment</w:t>
            </w:r>
          </w:p>
        </w:tc>
        <w:tc>
          <w:tcPr>
            <w:tcW w:w="6475" w:type="dxa"/>
            <w:vAlign w:val="center"/>
          </w:tcPr>
          <w:p w14:paraId="728649EA" w14:textId="77777777" w:rsidR="0038219D" w:rsidRDefault="0038219D" w:rsidP="005636E1">
            <w:pPr>
              <w:spacing w:line="240" w:lineRule="auto"/>
              <w:contextualSpacing/>
              <w:rPr>
                <w:rFonts w:ascii="Times New Roman" w:eastAsia="Times New Roman" w:hAnsi="Times New Roman" w:cs="Times New Roman"/>
                <w:color w:val="000000"/>
                <w:lang w:val="en-US"/>
              </w:rPr>
            </w:pPr>
            <w:r w:rsidRPr="00085D68">
              <w:rPr>
                <w:rFonts w:ascii="Times New Roman" w:eastAsia="Times New Roman" w:hAnsi="Times New Roman" w:cs="Times New Roman"/>
                <w:color w:val="000000"/>
                <w:lang w:val="en-US"/>
              </w:rPr>
              <w:t>Collective monitoring; Neighborhood disorder; Neighborhood drug availability; Neighborhood attachment; Social assimilation</w:t>
            </w:r>
          </w:p>
          <w:p w14:paraId="24CE868D" w14:textId="77777777" w:rsidR="0038219D" w:rsidRPr="00085D68" w:rsidRDefault="0038219D" w:rsidP="005636E1">
            <w:pPr>
              <w:spacing w:line="240" w:lineRule="auto"/>
              <w:contextualSpacing/>
              <w:rPr>
                <w:rFonts w:ascii="Times New Roman" w:hAnsi="Times New Roman" w:cs="Times New Roman"/>
              </w:rPr>
            </w:pPr>
          </w:p>
        </w:tc>
      </w:tr>
      <w:tr w:rsidR="0038219D" w:rsidRPr="00085D68" w14:paraId="6765BC49" w14:textId="77777777" w:rsidTr="0038219D">
        <w:tc>
          <w:tcPr>
            <w:tcW w:w="2875" w:type="dxa"/>
          </w:tcPr>
          <w:p w14:paraId="59C1A7DD" w14:textId="77777777" w:rsidR="0038219D" w:rsidRPr="00085D68" w:rsidRDefault="0038219D" w:rsidP="005636E1">
            <w:pPr>
              <w:spacing w:line="240" w:lineRule="auto"/>
              <w:contextualSpacing/>
              <w:rPr>
                <w:rFonts w:ascii="Times New Roman" w:hAnsi="Times New Roman" w:cs="Times New Roman"/>
              </w:rPr>
            </w:pPr>
            <w:r w:rsidRPr="00085D68">
              <w:rPr>
                <w:rFonts w:ascii="Times New Roman" w:eastAsia="Times New Roman" w:hAnsi="Times New Roman" w:cs="Times New Roman"/>
                <w:i/>
                <w:iCs/>
                <w:color w:val="000000"/>
                <w:lang w:val="en-US"/>
              </w:rPr>
              <w:t>Ties to family</w:t>
            </w:r>
          </w:p>
        </w:tc>
        <w:tc>
          <w:tcPr>
            <w:tcW w:w="6475" w:type="dxa"/>
            <w:vAlign w:val="center"/>
          </w:tcPr>
          <w:p w14:paraId="7551B40E" w14:textId="77777777" w:rsidR="0038219D" w:rsidRDefault="0038219D" w:rsidP="005636E1">
            <w:pPr>
              <w:spacing w:line="240" w:lineRule="auto"/>
              <w:contextualSpacing/>
              <w:rPr>
                <w:rFonts w:ascii="Times New Roman" w:eastAsia="Times New Roman" w:hAnsi="Times New Roman" w:cs="Times New Roman"/>
                <w:color w:val="000000"/>
                <w:lang w:val="en-US"/>
              </w:rPr>
            </w:pPr>
            <w:r w:rsidRPr="00085D68">
              <w:rPr>
                <w:rFonts w:ascii="Times New Roman" w:eastAsia="Times New Roman" w:hAnsi="Times New Roman" w:cs="Times New Roman"/>
                <w:color w:val="000000"/>
                <w:lang w:val="en-US"/>
              </w:rPr>
              <w:t>Parental monitoring; Parental supervision; Parental attachment; Positive parenting; Family communication; Living with parents/guardians; Parental investment; Parent/guardian drug use; Family gang involvement; Parent/guardian incarceration</w:t>
            </w:r>
          </w:p>
          <w:p w14:paraId="5A757711" w14:textId="77777777" w:rsidR="0038219D" w:rsidRPr="00085D68" w:rsidRDefault="0038219D" w:rsidP="005636E1">
            <w:pPr>
              <w:spacing w:line="240" w:lineRule="auto"/>
              <w:contextualSpacing/>
              <w:rPr>
                <w:rFonts w:ascii="Times New Roman" w:hAnsi="Times New Roman" w:cs="Times New Roman"/>
              </w:rPr>
            </w:pPr>
          </w:p>
        </w:tc>
      </w:tr>
      <w:tr w:rsidR="0038219D" w:rsidRPr="00085D68" w14:paraId="5D479947" w14:textId="77777777" w:rsidTr="0038219D">
        <w:tc>
          <w:tcPr>
            <w:tcW w:w="2875" w:type="dxa"/>
          </w:tcPr>
          <w:p w14:paraId="44F5390D" w14:textId="77777777" w:rsidR="0038219D" w:rsidRPr="00085D68" w:rsidRDefault="0038219D" w:rsidP="005636E1">
            <w:pPr>
              <w:spacing w:line="240" w:lineRule="auto"/>
              <w:contextualSpacing/>
              <w:rPr>
                <w:rFonts w:ascii="Times New Roman" w:hAnsi="Times New Roman" w:cs="Times New Roman"/>
              </w:rPr>
            </w:pPr>
            <w:r w:rsidRPr="00085D68">
              <w:rPr>
                <w:rFonts w:ascii="Times New Roman" w:eastAsia="Times New Roman" w:hAnsi="Times New Roman" w:cs="Times New Roman"/>
                <w:i/>
                <w:iCs/>
                <w:color w:val="000000"/>
                <w:lang w:val="en-US"/>
              </w:rPr>
              <w:t>Ties to school</w:t>
            </w:r>
          </w:p>
        </w:tc>
        <w:tc>
          <w:tcPr>
            <w:tcW w:w="6475" w:type="dxa"/>
            <w:vAlign w:val="center"/>
          </w:tcPr>
          <w:p w14:paraId="0E9A7D38" w14:textId="77777777" w:rsidR="0038219D" w:rsidRDefault="0038219D" w:rsidP="005636E1">
            <w:pPr>
              <w:spacing w:line="240" w:lineRule="auto"/>
              <w:contextualSpacing/>
              <w:rPr>
                <w:rFonts w:ascii="Times New Roman" w:eastAsia="Times New Roman" w:hAnsi="Times New Roman" w:cs="Times New Roman"/>
                <w:color w:val="000000"/>
                <w:lang w:val="en-US"/>
              </w:rPr>
            </w:pPr>
            <w:r w:rsidRPr="00085D68">
              <w:rPr>
                <w:rFonts w:ascii="Times New Roman" w:eastAsia="Times New Roman" w:hAnsi="Times New Roman" w:cs="Times New Roman"/>
                <w:color w:val="000000"/>
                <w:lang w:val="en-US"/>
              </w:rPr>
              <w:t>School enrollment; School involvement; School commitment; Attachment to teacher; School support; School connectedness; School satisfaction; Academic achievement; Low school adjustment; Trouble at school; Limited educational opportunity; Educational expectations</w:t>
            </w:r>
          </w:p>
          <w:p w14:paraId="57C28A7C" w14:textId="77777777" w:rsidR="0038219D" w:rsidRPr="00085D68" w:rsidRDefault="0038219D" w:rsidP="005636E1">
            <w:pPr>
              <w:spacing w:line="240" w:lineRule="auto"/>
              <w:contextualSpacing/>
              <w:rPr>
                <w:rFonts w:ascii="Times New Roman" w:hAnsi="Times New Roman" w:cs="Times New Roman"/>
              </w:rPr>
            </w:pPr>
          </w:p>
        </w:tc>
      </w:tr>
      <w:tr w:rsidR="0038219D" w:rsidRPr="00085D68" w14:paraId="4F4B2659" w14:textId="77777777" w:rsidTr="0038219D">
        <w:tc>
          <w:tcPr>
            <w:tcW w:w="2875" w:type="dxa"/>
          </w:tcPr>
          <w:p w14:paraId="1ED017A8" w14:textId="77777777" w:rsidR="0038219D" w:rsidRPr="00085D68" w:rsidRDefault="0038219D" w:rsidP="005636E1">
            <w:pPr>
              <w:spacing w:line="240" w:lineRule="auto"/>
              <w:contextualSpacing/>
              <w:rPr>
                <w:rFonts w:ascii="Times New Roman" w:hAnsi="Times New Roman" w:cs="Times New Roman"/>
              </w:rPr>
            </w:pPr>
            <w:r w:rsidRPr="00085D68">
              <w:rPr>
                <w:rFonts w:ascii="Times New Roman" w:eastAsia="Times New Roman" w:hAnsi="Times New Roman" w:cs="Times New Roman"/>
                <w:i/>
                <w:iCs/>
                <w:color w:val="000000"/>
                <w:lang w:val="en-US"/>
              </w:rPr>
              <w:t>Ties to law enforcement</w:t>
            </w:r>
          </w:p>
        </w:tc>
        <w:tc>
          <w:tcPr>
            <w:tcW w:w="6475" w:type="dxa"/>
            <w:vAlign w:val="center"/>
          </w:tcPr>
          <w:p w14:paraId="302839DC" w14:textId="77777777" w:rsidR="0038219D" w:rsidRDefault="0038219D" w:rsidP="005636E1">
            <w:pPr>
              <w:spacing w:line="240" w:lineRule="auto"/>
              <w:contextualSpacing/>
              <w:rPr>
                <w:rFonts w:ascii="Times New Roman" w:eastAsia="Times New Roman" w:hAnsi="Times New Roman" w:cs="Times New Roman"/>
                <w:color w:val="000000"/>
                <w:lang w:val="en-US"/>
              </w:rPr>
            </w:pPr>
            <w:r w:rsidRPr="00085D68">
              <w:rPr>
                <w:rFonts w:ascii="Times New Roman" w:eastAsia="Times New Roman" w:hAnsi="Times New Roman" w:cs="Times New Roman"/>
                <w:color w:val="000000"/>
                <w:lang w:val="en-US"/>
              </w:rPr>
              <w:t>Views on law enforcement; Attitude towards police; Negative police interaction</w:t>
            </w:r>
          </w:p>
          <w:p w14:paraId="12407EBF" w14:textId="77777777" w:rsidR="0038219D" w:rsidRPr="00085D68" w:rsidRDefault="0038219D" w:rsidP="005636E1">
            <w:pPr>
              <w:spacing w:line="240" w:lineRule="auto"/>
              <w:contextualSpacing/>
              <w:rPr>
                <w:rFonts w:ascii="Times New Roman" w:hAnsi="Times New Roman" w:cs="Times New Roman"/>
              </w:rPr>
            </w:pPr>
          </w:p>
        </w:tc>
      </w:tr>
      <w:tr w:rsidR="0038219D" w:rsidRPr="00085D68" w14:paraId="7EDBF48A" w14:textId="77777777" w:rsidTr="0038219D">
        <w:tc>
          <w:tcPr>
            <w:tcW w:w="2875" w:type="dxa"/>
          </w:tcPr>
          <w:p w14:paraId="110B10AE" w14:textId="77777777" w:rsidR="0038219D" w:rsidRPr="0021432C" w:rsidRDefault="0038219D" w:rsidP="005636E1">
            <w:pPr>
              <w:spacing w:line="240" w:lineRule="auto"/>
              <w:contextualSpacing/>
              <w:rPr>
                <w:rFonts w:ascii="Times New Roman" w:hAnsi="Times New Roman" w:cs="Times New Roman"/>
              </w:rPr>
            </w:pPr>
            <w:r w:rsidRPr="0021432C">
              <w:rPr>
                <w:rFonts w:ascii="Times New Roman" w:hAnsi="Times New Roman" w:cs="Times New Roman"/>
                <w:i/>
                <w:iCs/>
                <w:color w:val="000000"/>
                <w:lang w:val="en-US"/>
              </w:rPr>
              <w:t>Neutralization</w:t>
            </w:r>
          </w:p>
        </w:tc>
        <w:tc>
          <w:tcPr>
            <w:tcW w:w="6475" w:type="dxa"/>
            <w:vAlign w:val="center"/>
          </w:tcPr>
          <w:p w14:paraId="708BAFB6" w14:textId="77777777" w:rsidR="0038219D" w:rsidRPr="0021432C" w:rsidRDefault="0038219D" w:rsidP="005636E1">
            <w:pPr>
              <w:spacing w:line="240" w:lineRule="auto"/>
              <w:contextualSpacing/>
              <w:rPr>
                <w:rFonts w:ascii="Times New Roman" w:eastAsia="Times New Roman" w:hAnsi="Times New Roman" w:cs="Times New Roman"/>
                <w:color w:val="000000"/>
                <w:lang w:val="en-US"/>
              </w:rPr>
            </w:pPr>
            <w:r w:rsidRPr="0021432C">
              <w:rPr>
                <w:rFonts w:ascii="Times New Roman" w:hAnsi="Times New Roman" w:cs="Times New Roman"/>
                <w:color w:val="000000"/>
                <w:lang w:val="en-US"/>
              </w:rPr>
              <w:t>Techniques of neutralization</w:t>
            </w:r>
          </w:p>
          <w:p w14:paraId="39E0C46A" w14:textId="77777777" w:rsidR="0038219D" w:rsidRPr="0021432C" w:rsidRDefault="0038219D" w:rsidP="005636E1">
            <w:pPr>
              <w:spacing w:line="240" w:lineRule="auto"/>
              <w:contextualSpacing/>
              <w:rPr>
                <w:rFonts w:ascii="Times New Roman" w:eastAsia="Times New Roman" w:hAnsi="Times New Roman" w:cs="Times New Roman"/>
                <w:color w:val="000000"/>
                <w:lang w:val="en-US"/>
              </w:rPr>
            </w:pPr>
          </w:p>
        </w:tc>
      </w:tr>
      <w:tr w:rsidR="0038219D" w:rsidRPr="00085D68" w14:paraId="0EF346F5" w14:textId="77777777" w:rsidTr="0038219D">
        <w:tc>
          <w:tcPr>
            <w:tcW w:w="2875" w:type="dxa"/>
          </w:tcPr>
          <w:p w14:paraId="574150C3" w14:textId="77777777" w:rsidR="0038219D" w:rsidRPr="00085D68" w:rsidRDefault="0038219D" w:rsidP="005636E1">
            <w:pPr>
              <w:spacing w:line="240" w:lineRule="auto"/>
              <w:contextualSpacing/>
              <w:rPr>
                <w:rFonts w:ascii="Times New Roman" w:hAnsi="Times New Roman" w:cs="Times New Roman"/>
              </w:rPr>
            </w:pPr>
            <w:r w:rsidRPr="00085D68">
              <w:rPr>
                <w:rFonts w:ascii="Times New Roman" w:eastAsia="Times New Roman" w:hAnsi="Times New Roman" w:cs="Times New Roman"/>
                <w:i/>
                <w:iCs/>
                <w:color w:val="000000"/>
                <w:lang w:val="en-US"/>
              </w:rPr>
              <w:t>Street socialization</w:t>
            </w:r>
          </w:p>
        </w:tc>
        <w:tc>
          <w:tcPr>
            <w:tcW w:w="6475" w:type="dxa"/>
            <w:vAlign w:val="center"/>
          </w:tcPr>
          <w:p w14:paraId="7FC421C7" w14:textId="77777777" w:rsidR="0038219D" w:rsidRDefault="0038219D" w:rsidP="005636E1">
            <w:pPr>
              <w:spacing w:line="240" w:lineRule="auto"/>
              <w:contextualSpacing/>
              <w:rPr>
                <w:rFonts w:ascii="Times New Roman" w:eastAsia="Times New Roman" w:hAnsi="Times New Roman" w:cs="Times New Roman"/>
                <w:color w:val="000000"/>
                <w:lang w:val="en-US"/>
              </w:rPr>
            </w:pPr>
            <w:r w:rsidRPr="00085D68">
              <w:rPr>
                <w:rFonts w:ascii="Times New Roman" w:eastAsia="Times New Roman" w:hAnsi="Times New Roman" w:cs="Times New Roman"/>
                <w:color w:val="000000"/>
                <w:lang w:val="en-US"/>
              </w:rPr>
              <w:t>Spend time with friends with drugs and alcohol; Risky time with friends</w:t>
            </w:r>
          </w:p>
          <w:p w14:paraId="2250C070" w14:textId="77777777" w:rsidR="0038219D" w:rsidRPr="00085D68" w:rsidRDefault="0038219D" w:rsidP="005636E1">
            <w:pPr>
              <w:spacing w:line="240" w:lineRule="auto"/>
              <w:contextualSpacing/>
              <w:rPr>
                <w:rFonts w:ascii="Times New Roman" w:eastAsia="Times New Roman" w:hAnsi="Times New Roman" w:cs="Times New Roman"/>
                <w:color w:val="000000"/>
                <w:lang w:val="en-US"/>
              </w:rPr>
            </w:pPr>
          </w:p>
        </w:tc>
      </w:tr>
    </w:tbl>
    <w:p w14:paraId="168946A9" w14:textId="77777777" w:rsidR="0038219D" w:rsidRDefault="0038219D" w:rsidP="006652D2">
      <w:pPr>
        <w:contextualSpacing/>
        <w:rPr>
          <w:bCs/>
          <w:lang w:val="en-US"/>
        </w:rPr>
      </w:pPr>
    </w:p>
    <w:p w14:paraId="7C3C9E2B" w14:textId="3C8CD1C1" w:rsidR="0038219D" w:rsidRDefault="0038219D" w:rsidP="006652D2">
      <w:pPr>
        <w:contextualSpacing/>
        <w:rPr>
          <w:bCs/>
          <w:lang w:val="en-US"/>
        </w:rPr>
      </w:pPr>
    </w:p>
    <w:p w14:paraId="28A98FA4" w14:textId="77777777" w:rsidR="0021432C" w:rsidRDefault="0021432C" w:rsidP="006652D2">
      <w:pPr>
        <w:contextualSpacing/>
        <w:rPr>
          <w:rFonts w:cs="Arial"/>
          <w:b/>
          <w:bCs/>
          <w:i/>
          <w:iCs/>
          <w:szCs w:val="28"/>
        </w:rPr>
        <w:sectPr w:rsidR="0021432C" w:rsidSect="0021432C">
          <w:footerReference w:type="default" r:id="rId16"/>
          <w:pgSz w:w="11901" w:h="16840" w:code="9"/>
          <w:pgMar w:top="1411" w:right="1699" w:bottom="1411" w:left="1699" w:header="706" w:footer="706" w:gutter="0"/>
          <w:cols w:space="708"/>
          <w:titlePg/>
          <w:docGrid w:linePitch="360"/>
        </w:sectPr>
      </w:pPr>
      <w:r>
        <w:rPr>
          <w:rFonts w:cs="Arial"/>
          <w:b/>
          <w:bCs/>
          <w:i/>
          <w:iCs/>
          <w:szCs w:val="28"/>
        </w:rPr>
        <w:br w:type="page"/>
      </w:r>
    </w:p>
    <w:p w14:paraId="0DED1C41" w14:textId="684BE91A" w:rsidR="0021432C" w:rsidRDefault="0021432C" w:rsidP="006652D2">
      <w:pPr>
        <w:contextualSpacing/>
        <w:rPr>
          <w:rFonts w:cs="Arial"/>
          <w:b/>
          <w:bCs/>
          <w:szCs w:val="28"/>
        </w:rPr>
      </w:pPr>
      <w:r>
        <w:rPr>
          <w:rFonts w:cs="Arial"/>
          <w:b/>
          <w:bCs/>
          <w:szCs w:val="28"/>
        </w:rPr>
        <w:lastRenderedPageBreak/>
        <w:t xml:space="preserve">Appendix B: </w:t>
      </w:r>
      <w:r w:rsidR="00565B2A">
        <w:rPr>
          <w:rFonts w:cs="Arial"/>
          <w:b/>
          <w:bCs/>
          <w:szCs w:val="28"/>
        </w:rPr>
        <w:t>Conceptualization</w:t>
      </w:r>
      <w:r w:rsidR="007674B9">
        <w:rPr>
          <w:rFonts w:cs="Arial"/>
          <w:b/>
          <w:bCs/>
          <w:szCs w:val="28"/>
        </w:rPr>
        <w:t>,</w:t>
      </w:r>
      <w:r w:rsidR="00565B2A">
        <w:rPr>
          <w:rFonts w:cs="Arial"/>
          <w:b/>
          <w:bCs/>
          <w:szCs w:val="28"/>
        </w:rPr>
        <w:t xml:space="preserve"> </w:t>
      </w:r>
      <w:r>
        <w:rPr>
          <w:rFonts w:cs="Arial"/>
          <w:b/>
          <w:bCs/>
          <w:szCs w:val="28"/>
        </w:rPr>
        <w:t>Operationalization</w:t>
      </w:r>
      <w:r w:rsidR="007674B9">
        <w:rPr>
          <w:rFonts w:cs="Arial"/>
          <w:b/>
          <w:bCs/>
          <w:szCs w:val="28"/>
        </w:rPr>
        <w:t>, and</w:t>
      </w:r>
      <w:r>
        <w:rPr>
          <w:rFonts w:cs="Arial"/>
          <w:b/>
          <w:bCs/>
          <w:szCs w:val="28"/>
        </w:rPr>
        <w:t xml:space="preserve"> Justification of Individual-Level Measures</w:t>
      </w:r>
      <w:r w:rsidR="007674B9">
        <w:rPr>
          <w:rFonts w:cs="Arial"/>
          <w:b/>
          <w:bCs/>
          <w:szCs w:val="28"/>
        </w:rPr>
        <w:t xml:space="preserve"> (Including Similar Prior Measures and their Tests)</w:t>
      </w: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1461"/>
        <w:gridCol w:w="1700"/>
        <w:gridCol w:w="1530"/>
        <w:gridCol w:w="1080"/>
        <w:gridCol w:w="3060"/>
      </w:tblGrid>
      <w:tr w:rsidR="004567FA" w:rsidRPr="0021432C" w14:paraId="3E0843C7" w14:textId="77777777" w:rsidTr="0000273F">
        <w:trPr>
          <w:trHeight w:val="288"/>
        </w:trPr>
        <w:tc>
          <w:tcPr>
            <w:tcW w:w="1239" w:type="dxa"/>
            <w:shd w:val="clear" w:color="auto" w:fill="auto"/>
            <w:noWrap/>
            <w:vAlign w:val="center"/>
            <w:hideMark/>
          </w:tcPr>
          <w:p w14:paraId="261DAF97"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Construct</w:t>
            </w:r>
          </w:p>
        </w:tc>
        <w:tc>
          <w:tcPr>
            <w:tcW w:w="1461" w:type="dxa"/>
            <w:shd w:val="clear" w:color="auto" w:fill="auto"/>
            <w:vAlign w:val="center"/>
            <w:hideMark/>
          </w:tcPr>
          <w:p w14:paraId="5BE60680"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Conceptualization</w:t>
            </w:r>
          </w:p>
        </w:tc>
        <w:tc>
          <w:tcPr>
            <w:tcW w:w="1700" w:type="dxa"/>
            <w:vAlign w:val="center"/>
          </w:tcPr>
          <w:p w14:paraId="7683F783" w14:textId="088CDAED" w:rsidR="004567FA" w:rsidRPr="0021432C" w:rsidRDefault="004567FA" w:rsidP="005636E1">
            <w:pPr>
              <w:spacing w:line="240" w:lineRule="auto"/>
              <w:contextualSpacing/>
              <w:rPr>
                <w:b/>
                <w:bCs/>
                <w:color w:val="000000"/>
                <w:sz w:val="16"/>
                <w:szCs w:val="16"/>
                <w:lang w:val="en-US" w:eastAsia="en-US"/>
              </w:rPr>
            </w:pPr>
            <w:r>
              <w:rPr>
                <w:b/>
                <w:bCs/>
                <w:color w:val="000000"/>
                <w:sz w:val="16"/>
                <w:szCs w:val="16"/>
                <w:lang w:val="en-US" w:eastAsia="en-US"/>
              </w:rPr>
              <w:t>Operationalization</w:t>
            </w:r>
          </w:p>
        </w:tc>
        <w:tc>
          <w:tcPr>
            <w:tcW w:w="1530" w:type="dxa"/>
            <w:shd w:val="clear" w:color="auto" w:fill="auto"/>
            <w:vAlign w:val="center"/>
            <w:hideMark/>
          </w:tcPr>
          <w:p w14:paraId="229443C1" w14:textId="2DE101B3" w:rsidR="004567FA" w:rsidRPr="0021432C" w:rsidRDefault="004567FA" w:rsidP="005636E1">
            <w:pPr>
              <w:spacing w:line="240" w:lineRule="auto"/>
              <w:contextualSpacing/>
              <w:rPr>
                <w:b/>
                <w:bCs/>
                <w:color w:val="000000"/>
                <w:sz w:val="16"/>
                <w:szCs w:val="16"/>
                <w:lang w:val="en-US" w:eastAsia="en-US"/>
              </w:rPr>
            </w:pPr>
            <w:r>
              <w:rPr>
                <w:b/>
                <w:bCs/>
                <w:color w:val="000000"/>
                <w:sz w:val="16"/>
                <w:szCs w:val="16"/>
                <w:lang w:val="en-US" w:eastAsia="en-US"/>
              </w:rPr>
              <w:t>P</w:t>
            </w:r>
            <w:r w:rsidR="007674B9">
              <w:rPr>
                <w:b/>
                <w:bCs/>
                <w:color w:val="000000"/>
                <w:sz w:val="16"/>
                <w:szCs w:val="16"/>
                <w:lang w:val="en-US" w:eastAsia="en-US"/>
              </w:rPr>
              <w:t>rior</w:t>
            </w:r>
            <w:r>
              <w:rPr>
                <w:b/>
                <w:bCs/>
                <w:color w:val="000000"/>
                <w:sz w:val="16"/>
                <w:szCs w:val="16"/>
                <w:lang w:val="en-US" w:eastAsia="en-US"/>
              </w:rPr>
              <w:t xml:space="preserve"> Measures</w:t>
            </w:r>
          </w:p>
        </w:tc>
        <w:tc>
          <w:tcPr>
            <w:tcW w:w="1080" w:type="dxa"/>
            <w:shd w:val="clear" w:color="auto" w:fill="auto"/>
            <w:vAlign w:val="center"/>
            <w:hideMark/>
          </w:tcPr>
          <w:p w14:paraId="2CF80221" w14:textId="23D83628" w:rsidR="004567FA" w:rsidRPr="0021432C" w:rsidRDefault="007674B9" w:rsidP="005636E1">
            <w:pPr>
              <w:spacing w:line="240" w:lineRule="auto"/>
              <w:contextualSpacing/>
              <w:rPr>
                <w:b/>
                <w:bCs/>
                <w:color w:val="000000"/>
                <w:sz w:val="16"/>
                <w:szCs w:val="16"/>
                <w:lang w:val="en-US" w:eastAsia="en-US"/>
              </w:rPr>
            </w:pPr>
            <w:r>
              <w:rPr>
                <w:b/>
                <w:bCs/>
                <w:color w:val="000000"/>
                <w:sz w:val="16"/>
                <w:szCs w:val="16"/>
                <w:lang w:val="en-US" w:eastAsia="en-US"/>
              </w:rPr>
              <w:t>Prior Test</w:t>
            </w:r>
            <w:r w:rsidR="004567FA" w:rsidRPr="0021432C">
              <w:rPr>
                <w:b/>
                <w:bCs/>
                <w:color w:val="000000"/>
                <w:sz w:val="16"/>
                <w:szCs w:val="16"/>
                <w:lang w:val="en-US" w:eastAsia="en-US"/>
              </w:rPr>
              <w:t>+</w:t>
            </w:r>
          </w:p>
        </w:tc>
        <w:tc>
          <w:tcPr>
            <w:tcW w:w="3060" w:type="dxa"/>
            <w:shd w:val="clear" w:color="auto" w:fill="auto"/>
            <w:vAlign w:val="center"/>
            <w:hideMark/>
          </w:tcPr>
          <w:p w14:paraId="79975797"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Justification for Inclusion</w:t>
            </w:r>
          </w:p>
        </w:tc>
      </w:tr>
      <w:tr w:rsidR="004567FA" w:rsidRPr="0021432C" w14:paraId="131DCF07" w14:textId="77777777" w:rsidTr="0000273F">
        <w:trPr>
          <w:trHeight w:val="369"/>
        </w:trPr>
        <w:tc>
          <w:tcPr>
            <w:tcW w:w="1239" w:type="dxa"/>
            <w:vMerge w:val="restart"/>
            <w:shd w:val="clear" w:color="auto" w:fill="auto"/>
            <w:vAlign w:val="center"/>
            <w:hideMark/>
          </w:tcPr>
          <w:p w14:paraId="5E1CEFF3" w14:textId="77777777" w:rsidR="004567FA" w:rsidRPr="0021432C" w:rsidRDefault="004567FA" w:rsidP="005636E1">
            <w:pPr>
              <w:spacing w:line="240" w:lineRule="auto"/>
              <w:contextualSpacing/>
              <w:rPr>
                <w:i/>
                <w:iCs/>
                <w:color w:val="000000"/>
                <w:sz w:val="16"/>
                <w:szCs w:val="16"/>
                <w:lang w:val="en-US" w:eastAsia="en-US"/>
              </w:rPr>
            </w:pPr>
            <w:r w:rsidRPr="0021432C">
              <w:rPr>
                <w:i/>
                <w:iCs/>
                <w:color w:val="000000"/>
                <w:sz w:val="16"/>
                <w:szCs w:val="16"/>
                <w:lang w:val="en-US" w:eastAsia="en-US"/>
              </w:rPr>
              <w:t>Economic marginalization</w:t>
            </w:r>
          </w:p>
        </w:tc>
        <w:tc>
          <w:tcPr>
            <w:tcW w:w="1461" w:type="dxa"/>
            <w:vMerge w:val="restart"/>
            <w:shd w:val="clear" w:color="auto" w:fill="auto"/>
            <w:vAlign w:val="center"/>
            <w:hideMark/>
          </w:tcPr>
          <w:p w14:paraId="172E2222"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Employment</w:t>
            </w:r>
          </w:p>
        </w:tc>
        <w:tc>
          <w:tcPr>
            <w:tcW w:w="1700" w:type="dxa"/>
            <w:vAlign w:val="center"/>
          </w:tcPr>
          <w:p w14:paraId="0EE14C28" w14:textId="2A86DB09"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Does your father (or the man you live with) have a job?</w:t>
            </w:r>
          </w:p>
        </w:tc>
        <w:tc>
          <w:tcPr>
            <w:tcW w:w="1530" w:type="dxa"/>
            <w:vMerge w:val="restart"/>
            <w:shd w:val="clear" w:color="auto" w:fill="auto"/>
            <w:vAlign w:val="center"/>
            <w:hideMark/>
          </w:tcPr>
          <w:p w14:paraId="5FE0388F" w14:textId="3FBB48B6"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Parent(s) employment</w:t>
            </w:r>
          </w:p>
        </w:tc>
        <w:tc>
          <w:tcPr>
            <w:tcW w:w="1080" w:type="dxa"/>
            <w:vMerge w:val="restart"/>
            <w:shd w:val="clear" w:color="auto" w:fill="auto"/>
            <w:vAlign w:val="center"/>
            <w:hideMark/>
          </w:tcPr>
          <w:p w14:paraId="37E6A75B" w14:textId="77777777" w:rsidR="004567FA" w:rsidRPr="0021432C" w:rsidRDefault="004567FA" w:rsidP="005636E1">
            <w:pPr>
              <w:spacing w:line="240" w:lineRule="auto"/>
              <w:contextualSpacing/>
              <w:rPr>
                <w:color w:val="000000"/>
                <w:sz w:val="16"/>
                <w:szCs w:val="16"/>
                <w:lang w:val="en-US" w:eastAsia="en-US"/>
              </w:rPr>
            </w:pPr>
            <w:proofErr w:type="spellStart"/>
            <w:r w:rsidRPr="0021432C">
              <w:rPr>
                <w:color w:val="000000"/>
                <w:sz w:val="16"/>
                <w:szCs w:val="16"/>
                <w:lang w:val="en-US" w:eastAsia="en-US"/>
              </w:rPr>
              <w:t>Cephus-WIlson</w:t>
            </w:r>
            <w:proofErr w:type="spellEnd"/>
            <w:r w:rsidRPr="0021432C">
              <w:rPr>
                <w:color w:val="000000"/>
                <w:sz w:val="16"/>
                <w:szCs w:val="16"/>
                <w:lang w:val="en-US" w:eastAsia="en-US"/>
              </w:rPr>
              <w:t xml:space="preserve"> (2012)</w:t>
            </w:r>
          </w:p>
        </w:tc>
        <w:tc>
          <w:tcPr>
            <w:tcW w:w="3060" w:type="dxa"/>
            <w:vMerge w:val="restart"/>
            <w:shd w:val="clear" w:color="auto" w:fill="auto"/>
            <w:vAlign w:val="center"/>
            <w:hideMark/>
          </w:tcPr>
          <w:p w14:paraId="295DEB6F"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MM framework emphasizes role of economic disadvantage; parental employment included as proxy for socioeconomic status; used as part of socioeconomic level of respondents in prior study.</w:t>
            </w:r>
          </w:p>
        </w:tc>
      </w:tr>
      <w:tr w:rsidR="004567FA" w:rsidRPr="0021432C" w14:paraId="7B0C979E" w14:textId="77777777" w:rsidTr="0000273F">
        <w:trPr>
          <w:trHeight w:val="567"/>
        </w:trPr>
        <w:tc>
          <w:tcPr>
            <w:tcW w:w="1239" w:type="dxa"/>
            <w:vMerge/>
            <w:vAlign w:val="center"/>
            <w:hideMark/>
          </w:tcPr>
          <w:p w14:paraId="799C00E1"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70DAA08F"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6F08171D" w14:textId="128DC0B0"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Does your mother (or the woman you live with) have a paid job?</w:t>
            </w:r>
          </w:p>
        </w:tc>
        <w:tc>
          <w:tcPr>
            <w:tcW w:w="1530" w:type="dxa"/>
            <w:vMerge/>
            <w:vAlign w:val="center"/>
            <w:hideMark/>
          </w:tcPr>
          <w:p w14:paraId="0E4E92A7" w14:textId="74334C6E"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775CB827"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2F12B092"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41DF4A88" w14:textId="77777777" w:rsidTr="0000273F">
        <w:trPr>
          <w:trHeight w:val="408"/>
        </w:trPr>
        <w:tc>
          <w:tcPr>
            <w:tcW w:w="1239" w:type="dxa"/>
            <w:vMerge/>
            <w:vAlign w:val="center"/>
            <w:hideMark/>
          </w:tcPr>
          <w:p w14:paraId="2D218CA6" w14:textId="77777777" w:rsidR="004567FA" w:rsidRPr="0021432C" w:rsidRDefault="004567FA" w:rsidP="005636E1">
            <w:pPr>
              <w:spacing w:line="240" w:lineRule="auto"/>
              <w:contextualSpacing/>
              <w:rPr>
                <w:i/>
                <w:iCs/>
                <w:color w:val="000000"/>
                <w:sz w:val="16"/>
                <w:szCs w:val="16"/>
                <w:lang w:val="en-US" w:eastAsia="en-US"/>
              </w:rPr>
            </w:pPr>
          </w:p>
        </w:tc>
        <w:tc>
          <w:tcPr>
            <w:tcW w:w="1461" w:type="dxa"/>
            <w:shd w:val="clear" w:color="auto" w:fill="auto"/>
            <w:vAlign w:val="center"/>
            <w:hideMark/>
          </w:tcPr>
          <w:p w14:paraId="7B1D86B5"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Household structure</w:t>
            </w:r>
          </w:p>
        </w:tc>
        <w:tc>
          <w:tcPr>
            <w:tcW w:w="1700" w:type="dxa"/>
            <w:vAlign w:val="center"/>
          </w:tcPr>
          <w:p w14:paraId="4E859D53" w14:textId="6325E04D"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Are you living with your own mother and father?</w:t>
            </w:r>
          </w:p>
        </w:tc>
        <w:tc>
          <w:tcPr>
            <w:tcW w:w="1530" w:type="dxa"/>
            <w:shd w:val="clear" w:color="auto" w:fill="auto"/>
            <w:vAlign w:val="center"/>
            <w:hideMark/>
          </w:tcPr>
          <w:p w14:paraId="36C5B5C1" w14:textId="246B96D1"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From single parent household</w:t>
            </w:r>
          </w:p>
        </w:tc>
        <w:tc>
          <w:tcPr>
            <w:tcW w:w="1080" w:type="dxa"/>
            <w:shd w:val="clear" w:color="auto" w:fill="auto"/>
            <w:vAlign w:val="center"/>
            <w:hideMark/>
          </w:tcPr>
          <w:p w14:paraId="59DA8B72"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 xml:space="preserve">Drake &amp; </w:t>
            </w:r>
            <w:proofErr w:type="spellStart"/>
            <w:r w:rsidRPr="0021432C">
              <w:rPr>
                <w:b/>
                <w:bCs/>
                <w:color w:val="000000"/>
                <w:sz w:val="16"/>
                <w:szCs w:val="16"/>
                <w:lang w:val="en-US" w:eastAsia="en-US"/>
              </w:rPr>
              <w:t>Melde</w:t>
            </w:r>
            <w:proofErr w:type="spellEnd"/>
            <w:r w:rsidRPr="0021432C">
              <w:rPr>
                <w:b/>
                <w:bCs/>
                <w:color w:val="000000"/>
                <w:sz w:val="16"/>
                <w:szCs w:val="16"/>
                <w:lang w:val="en-US" w:eastAsia="en-US"/>
              </w:rPr>
              <w:t xml:space="preserve"> (2014)</w:t>
            </w:r>
          </w:p>
        </w:tc>
        <w:tc>
          <w:tcPr>
            <w:tcW w:w="3060" w:type="dxa"/>
            <w:shd w:val="clear" w:color="auto" w:fill="auto"/>
            <w:vAlign w:val="center"/>
            <w:hideMark/>
          </w:tcPr>
          <w:p w14:paraId="049777E5"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Household structure used as proxy for family income in prior study.</w:t>
            </w:r>
          </w:p>
        </w:tc>
      </w:tr>
      <w:tr w:rsidR="004567FA" w:rsidRPr="0021432C" w14:paraId="62471D6E" w14:textId="77777777" w:rsidTr="0000273F">
        <w:trPr>
          <w:trHeight w:val="369"/>
        </w:trPr>
        <w:tc>
          <w:tcPr>
            <w:tcW w:w="1239" w:type="dxa"/>
            <w:vMerge/>
            <w:vAlign w:val="center"/>
            <w:hideMark/>
          </w:tcPr>
          <w:p w14:paraId="2E3B220B" w14:textId="77777777" w:rsidR="004567FA" w:rsidRPr="0021432C" w:rsidRDefault="004567FA" w:rsidP="005636E1">
            <w:pPr>
              <w:spacing w:line="240" w:lineRule="auto"/>
              <w:contextualSpacing/>
              <w:rPr>
                <w:i/>
                <w:iCs/>
                <w:color w:val="000000"/>
                <w:sz w:val="16"/>
                <w:szCs w:val="16"/>
                <w:lang w:val="en-US" w:eastAsia="en-US"/>
              </w:rPr>
            </w:pPr>
          </w:p>
        </w:tc>
        <w:tc>
          <w:tcPr>
            <w:tcW w:w="1461" w:type="dxa"/>
            <w:shd w:val="clear" w:color="auto" w:fill="auto"/>
            <w:vAlign w:val="center"/>
            <w:hideMark/>
          </w:tcPr>
          <w:p w14:paraId="2D95C348"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Crowded housing</w:t>
            </w:r>
          </w:p>
        </w:tc>
        <w:tc>
          <w:tcPr>
            <w:tcW w:w="1700" w:type="dxa"/>
            <w:vAlign w:val="center"/>
          </w:tcPr>
          <w:p w14:paraId="26AFE1EB" w14:textId="3F1AC4F0"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Do you have a room of your own?</w:t>
            </w:r>
          </w:p>
        </w:tc>
        <w:tc>
          <w:tcPr>
            <w:tcW w:w="1530" w:type="dxa"/>
            <w:shd w:val="clear" w:color="auto" w:fill="auto"/>
            <w:vAlign w:val="center"/>
            <w:hideMark/>
          </w:tcPr>
          <w:p w14:paraId="65717F57" w14:textId="76F16B5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080" w:type="dxa"/>
            <w:shd w:val="clear" w:color="auto" w:fill="auto"/>
            <w:vAlign w:val="center"/>
            <w:hideMark/>
          </w:tcPr>
          <w:p w14:paraId="4E2F12CF"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shd w:val="clear" w:color="auto" w:fill="auto"/>
            <w:vAlign w:val="center"/>
            <w:hideMark/>
          </w:tcPr>
          <w:p w14:paraId="0CF30658"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Vigil (2003) mentions crowded housing as one factor that displays economic marginalization.</w:t>
            </w:r>
          </w:p>
        </w:tc>
      </w:tr>
      <w:tr w:rsidR="004567FA" w:rsidRPr="0021432C" w14:paraId="3CF2DD74" w14:textId="77777777" w:rsidTr="0000273F">
        <w:trPr>
          <w:trHeight w:val="1179"/>
        </w:trPr>
        <w:tc>
          <w:tcPr>
            <w:tcW w:w="1239" w:type="dxa"/>
            <w:vMerge w:val="restart"/>
            <w:shd w:val="clear" w:color="auto" w:fill="auto"/>
            <w:vAlign w:val="center"/>
            <w:hideMark/>
          </w:tcPr>
          <w:p w14:paraId="5D40FF64" w14:textId="77777777" w:rsidR="004567FA" w:rsidRPr="0021432C" w:rsidRDefault="004567FA" w:rsidP="005636E1">
            <w:pPr>
              <w:spacing w:line="240" w:lineRule="auto"/>
              <w:contextualSpacing/>
              <w:rPr>
                <w:i/>
                <w:iCs/>
                <w:color w:val="000000"/>
                <w:sz w:val="16"/>
                <w:szCs w:val="16"/>
                <w:lang w:val="en-US" w:eastAsia="en-US"/>
              </w:rPr>
            </w:pPr>
            <w:r w:rsidRPr="0021432C">
              <w:rPr>
                <w:i/>
                <w:iCs/>
                <w:color w:val="000000"/>
                <w:sz w:val="16"/>
                <w:szCs w:val="16"/>
                <w:lang w:val="en-US" w:eastAsia="en-US"/>
              </w:rPr>
              <w:t>Social marginalization</w:t>
            </w:r>
          </w:p>
        </w:tc>
        <w:tc>
          <w:tcPr>
            <w:tcW w:w="1461" w:type="dxa"/>
            <w:vMerge w:val="restart"/>
            <w:shd w:val="clear" w:color="auto" w:fill="auto"/>
            <w:vAlign w:val="center"/>
            <w:hideMark/>
          </w:tcPr>
          <w:p w14:paraId="219297E4"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Discrimination</w:t>
            </w:r>
          </w:p>
        </w:tc>
        <w:tc>
          <w:tcPr>
            <w:tcW w:w="1700" w:type="dxa"/>
            <w:vAlign w:val="center"/>
          </w:tcPr>
          <w:p w14:paraId="30F8FC55" w14:textId="0101F24C"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Have people ever treated you badly because of your religion or the language you speak, or the color of your skin?</w:t>
            </w:r>
          </w:p>
        </w:tc>
        <w:tc>
          <w:tcPr>
            <w:tcW w:w="1530" w:type="dxa"/>
            <w:shd w:val="clear" w:color="auto" w:fill="auto"/>
            <w:vAlign w:val="center"/>
            <w:hideMark/>
          </w:tcPr>
          <w:p w14:paraId="0FD9C346" w14:textId="447AAAD8"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12 items asking how often they have perceived discrimination due to their culture (e.g. someone yelled a racial slur at you--other items not mentioned in text)</w:t>
            </w:r>
          </w:p>
        </w:tc>
        <w:tc>
          <w:tcPr>
            <w:tcW w:w="1080" w:type="dxa"/>
            <w:shd w:val="clear" w:color="auto" w:fill="auto"/>
            <w:vAlign w:val="center"/>
            <w:hideMark/>
          </w:tcPr>
          <w:p w14:paraId="302505CF" w14:textId="77777777" w:rsidR="004567FA" w:rsidRPr="0021432C" w:rsidRDefault="004567FA" w:rsidP="005636E1">
            <w:pPr>
              <w:spacing w:line="240" w:lineRule="auto"/>
              <w:contextualSpacing/>
              <w:rPr>
                <w:color w:val="000000"/>
                <w:sz w:val="16"/>
                <w:szCs w:val="16"/>
                <w:lang w:val="en-US" w:eastAsia="en-US"/>
              </w:rPr>
            </w:pPr>
            <w:proofErr w:type="spellStart"/>
            <w:r w:rsidRPr="0021432C">
              <w:rPr>
                <w:color w:val="000000"/>
                <w:sz w:val="16"/>
                <w:szCs w:val="16"/>
                <w:lang w:val="en-US" w:eastAsia="en-US"/>
              </w:rPr>
              <w:t>Hautala</w:t>
            </w:r>
            <w:proofErr w:type="spellEnd"/>
            <w:r w:rsidRPr="0021432C">
              <w:rPr>
                <w:color w:val="000000"/>
                <w:sz w:val="16"/>
                <w:szCs w:val="16"/>
                <w:lang w:val="en-US" w:eastAsia="en-US"/>
              </w:rPr>
              <w:t xml:space="preserve"> et al (2016)</w:t>
            </w:r>
          </w:p>
        </w:tc>
        <w:tc>
          <w:tcPr>
            <w:tcW w:w="3060" w:type="dxa"/>
            <w:vMerge w:val="restart"/>
            <w:shd w:val="clear" w:color="auto" w:fill="auto"/>
            <w:vAlign w:val="center"/>
            <w:hideMark/>
          </w:tcPr>
          <w:p w14:paraId="58227517"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Vigil (1988) suggests that discrimination is related to social marginalization.</w:t>
            </w:r>
          </w:p>
        </w:tc>
      </w:tr>
      <w:tr w:rsidR="004567FA" w:rsidRPr="0021432C" w14:paraId="7409BEE9" w14:textId="77777777" w:rsidTr="0000273F">
        <w:trPr>
          <w:trHeight w:val="801"/>
        </w:trPr>
        <w:tc>
          <w:tcPr>
            <w:tcW w:w="1239" w:type="dxa"/>
            <w:vMerge/>
            <w:vAlign w:val="center"/>
            <w:hideMark/>
          </w:tcPr>
          <w:p w14:paraId="4C268CC6"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7DF35567"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077B92F4" w14:textId="77777777" w:rsidR="004567FA" w:rsidRPr="0021432C" w:rsidRDefault="004567FA" w:rsidP="005636E1">
            <w:pPr>
              <w:spacing w:line="240" w:lineRule="auto"/>
              <w:contextualSpacing/>
              <w:rPr>
                <w:color w:val="000000"/>
                <w:sz w:val="16"/>
                <w:szCs w:val="16"/>
                <w:lang w:val="en-US" w:eastAsia="en-US"/>
              </w:rPr>
            </w:pPr>
          </w:p>
        </w:tc>
        <w:tc>
          <w:tcPr>
            <w:tcW w:w="1530" w:type="dxa"/>
            <w:shd w:val="clear" w:color="auto" w:fill="auto"/>
            <w:vAlign w:val="center"/>
            <w:hideMark/>
          </w:tcPr>
          <w:p w14:paraId="7B204993" w14:textId="5AF516E1"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xml:space="preserve">During the past 12 months, how many times on school property </w:t>
            </w:r>
            <w:proofErr w:type="gramStart"/>
            <w:r w:rsidRPr="0021432C">
              <w:rPr>
                <w:color w:val="000000"/>
                <w:sz w:val="16"/>
                <w:szCs w:val="16"/>
                <w:lang w:val="en-US" w:eastAsia="en-US"/>
              </w:rPr>
              <w:t>were</w:t>
            </w:r>
            <w:proofErr w:type="gramEnd"/>
            <w:r w:rsidRPr="0021432C">
              <w:rPr>
                <w:color w:val="000000"/>
                <w:sz w:val="16"/>
                <w:szCs w:val="16"/>
                <w:lang w:val="en-US" w:eastAsia="en-US"/>
              </w:rPr>
              <w:t xml:space="preserve"> you harassed or bullied for…</w:t>
            </w:r>
          </w:p>
        </w:tc>
        <w:tc>
          <w:tcPr>
            <w:tcW w:w="1080" w:type="dxa"/>
            <w:vMerge w:val="restart"/>
            <w:shd w:val="clear" w:color="auto" w:fill="auto"/>
            <w:vAlign w:val="center"/>
            <w:hideMark/>
          </w:tcPr>
          <w:p w14:paraId="20B381AB"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Estrada et al (2013)</w:t>
            </w:r>
          </w:p>
        </w:tc>
        <w:tc>
          <w:tcPr>
            <w:tcW w:w="3060" w:type="dxa"/>
            <w:vMerge/>
            <w:vAlign w:val="center"/>
            <w:hideMark/>
          </w:tcPr>
          <w:p w14:paraId="1C1BDD69"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5726A6CD" w14:textId="77777777" w:rsidTr="0000273F">
        <w:trPr>
          <w:trHeight w:val="408"/>
        </w:trPr>
        <w:tc>
          <w:tcPr>
            <w:tcW w:w="1239" w:type="dxa"/>
            <w:vMerge/>
            <w:vAlign w:val="center"/>
            <w:hideMark/>
          </w:tcPr>
          <w:p w14:paraId="34EDF292"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277FA3AE"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54A52928" w14:textId="77777777" w:rsidR="004567FA" w:rsidRPr="0021432C" w:rsidRDefault="004567FA" w:rsidP="005636E1">
            <w:pPr>
              <w:spacing w:line="240" w:lineRule="auto"/>
              <w:contextualSpacing/>
              <w:rPr>
                <w:color w:val="000000"/>
                <w:sz w:val="16"/>
                <w:szCs w:val="16"/>
                <w:lang w:val="en-US" w:eastAsia="en-US"/>
              </w:rPr>
            </w:pPr>
          </w:p>
        </w:tc>
        <w:tc>
          <w:tcPr>
            <w:tcW w:w="1530" w:type="dxa"/>
            <w:shd w:val="clear" w:color="auto" w:fill="auto"/>
            <w:vAlign w:val="center"/>
            <w:hideMark/>
          </w:tcPr>
          <w:p w14:paraId="66B71F7A" w14:textId="2AC14C9F"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...your race, ethnicity, or national origin</w:t>
            </w:r>
          </w:p>
        </w:tc>
        <w:tc>
          <w:tcPr>
            <w:tcW w:w="1080" w:type="dxa"/>
            <w:vMerge/>
            <w:vAlign w:val="center"/>
            <w:hideMark/>
          </w:tcPr>
          <w:p w14:paraId="1A3F8049"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7572FB7B"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0A62FF36" w14:textId="77777777" w:rsidTr="0000273F">
        <w:trPr>
          <w:trHeight w:val="48"/>
        </w:trPr>
        <w:tc>
          <w:tcPr>
            <w:tcW w:w="1239" w:type="dxa"/>
            <w:vMerge/>
            <w:vAlign w:val="center"/>
            <w:hideMark/>
          </w:tcPr>
          <w:p w14:paraId="00D9EFE7"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43D513D6"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39BEEE22" w14:textId="77777777" w:rsidR="004567FA" w:rsidRPr="0021432C" w:rsidRDefault="004567FA" w:rsidP="005636E1">
            <w:pPr>
              <w:spacing w:line="240" w:lineRule="auto"/>
              <w:contextualSpacing/>
              <w:rPr>
                <w:color w:val="000000"/>
                <w:sz w:val="16"/>
                <w:szCs w:val="16"/>
                <w:lang w:val="en-US" w:eastAsia="en-US"/>
              </w:rPr>
            </w:pPr>
          </w:p>
        </w:tc>
        <w:tc>
          <w:tcPr>
            <w:tcW w:w="1530" w:type="dxa"/>
            <w:shd w:val="clear" w:color="auto" w:fill="auto"/>
            <w:vAlign w:val="center"/>
            <w:hideMark/>
          </w:tcPr>
          <w:p w14:paraId="6066C4F2" w14:textId="5F28C29D"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...your religion</w:t>
            </w:r>
          </w:p>
        </w:tc>
        <w:tc>
          <w:tcPr>
            <w:tcW w:w="1080" w:type="dxa"/>
            <w:vMerge/>
            <w:vAlign w:val="center"/>
            <w:hideMark/>
          </w:tcPr>
          <w:p w14:paraId="619E52CD"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295704E1"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5493E415" w14:textId="77777777" w:rsidTr="0000273F">
        <w:trPr>
          <w:trHeight w:val="612"/>
        </w:trPr>
        <w:tc>
          <w:tcPr>
            <w:tcW w:w="1239" w:type="dxa"/>
            <w:vMerge/>
            <w:vAlign w:val="center"/>
            <w:hideMark/>
          </w:tcPr>
          <w:p w14:paraId="12E57B6F"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08BD0960" w14:textId="5CC89001"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Language</w:t>
            </w:r>
          </w:p>
        </w:tc>
        <w:tc>
          <w:tcPr>
            <w:tcW w:w="1700" w:type="dxa"/>
            <w:vAlign w:val="center"/>
          </w:tcPr>
          <w:p w14:paraId="761614A5" w14:textId="42B90F8C"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What language do you most often speak with the persons you live with?</w:t>
            </w:r>
          </w:p>
        </w:tc>
        <w:tc>
          <w:tcPr>
            <w:tcW w:w="1530" w:type="dxa"/>
            <w:shd w:val="clear" w:color="auto" w:fill="auto"/>
            <w:vAlign w:val="center"/>
            <w:hideMark/>
          </w:tcPr>
          <w:p w14:paraId="571D5641" w14:textId="6CC253CF"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Whether primary caregiver spoke Spanish at home</w:t>
            </w:r>
          </w:p>
        </w:tc>
        <w:tc>
          <w:tcPr>
            <w:tcW w:w="1080" w:type="dxa"/>
            <w:shd w:val="clear" w:color="auto" w:fill="auto"/>
            <w:vAlign w:val="center"/>
            <w:hideMark/>
          </w:tcPr>
          <w:p w14:paraId="1B82E62A" w14:textId="77777777" w:rsidR="004567FA" w:rsidRPr="0021432C" w:rsidRDefault="004567FA" w:rsidP="005636E1">
            <w:pPr>
              <w:spacing w:line="240" w:lineRule="auto"/>
              <w:contextualSpacing/>
              <w:rPr>
                <w:b/>
                <w:bCs/>
                <w:color w:val="000000"/>
                <w:sz w:val="16"/>
                <w:szCs w:val="16"/>
                <w:lang w:val="en-US" w:eastAsia="en-US"/>
              </w:rPr>
            </w:pPr>
            <w:proofErr w:type="spellStart"/>
            <w:r w:rsidRPr="0021432C">
              <w:rPr>
                <w:b/>
                <w:bCs/>
                <w:color w:val="000000"/>
                <w:sz w:val="16"/>
                <w:szCs w:val="16"/>
                <w:lang w:val="en-US" w:eastAsia="en-US"/>
              </w:rPr>
              <w:t>Krohn</w:t>
            </w:r>
            <w:proofErr w:type="spellEnd"/>
            <w:r w:rsidRPr="0021432C">
              <w:rPr>
                <w:b/>
                <w:bCs/>
                <w:color w:val="000000"/>
                <w:sz w:val="16"/>
                <w:szCs w:val="16"/>
                <w:lang w:val="en-US" w:eastAsia="en-US"/>
              </w:rPr>
              <w:t xml:space="preserve"> et al (2011)</w:t>
            </w:r>
          </w:p>
        </w:tc>
        <w:tc>
          <w:tcPr>
            <w:tcW w:w="3060" w:type="dxa"/>
            <w:vMerge w:val="restart"/>
            <w:shd w:val="clear" w:color="auto" w:fill="auto"/>
            <w:vAlign w:val="center"/>
            <w:hideMark/>
          </w:tcPr>
          <w:p w14:paraId="1C070693"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Previously used to capture an element of acculturation (language), which has been examined by Vigil (1979, 1983) as an aspect of social marginalization.</w:t>
            </w:r>
          </w:p>
        </w:tc>
      </w:tr>
      <w:tr w:rsidR="004567FA" w:rsidRPr="0021432C" w14:paraId="24847BC9" w14:textId="77777777" w:rsidTr="0000273F">
        <w:trPr>
          <w:trHeight w:val="63"/>
        </w:trPr>
        <w:tc>
          <w:tcPr>
            <w:tcW w:w="1239" w:type="dxa"/>
            <w:vMerge/>
            <w:vAlign w:val="center"/>
            <w:hideMark/>
          </w:tcPr>
          <w:p w14:paraId="48A1D9B0"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shd w:val="clear" w:color="auto" w:fill="auto"/>
            <w:vAlign w:val="center"/>
            <w:hideMark/>
          </w:tcPr>
          <w:p w14:paraId="04290989" w14:textId="0EB8A618"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02B3153A" w14:textId="77777777" w:rsidR="004567FA" w:rsidRPr="0021432C" w:rsidRDefault="004567FA" w:rsidP="005636E1">
            <w:pPr>
              <w:spacing w:line="240" w:lineRule="auto"/>
              <w:contextualSpacing/>
              <w:rPr>
                <w:color w:val="000000"/>
                <w:sz w:val="16"/>
                <w:szCs w:val="16"/>
                <w:lang w:val="en-US" w:eastAsia="en-US"/>
              </w:rPr>
            </w:pPr>
          </w:p>
        </w:tc>
        <w:tc>
          <w:tcPr>
            <w:tcW w:w="1530" w:type="dxa"/>
            <w:shd w:val="clear" w:color="auto" w:fill="auto"/>
            <w:vAlign w:val="center"/>
            <w:hideMark/>
          </w:tcPr>
          <w:p w14:paraId="355F8305" w14:textId="4823063C"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What languages do you usually speak at home?</w:t>
            </w:r>
          </w:p>
        </w:tc>
        <w:tc>
          <w:tcPr>
            <w:tcW w:w="1080" w:type="dxa"/>
            <w:shd w:val="clear" w:color="auto" w:fill="auto"/>
            <w:vAlign w:val="center"/>
            <w:hideMark/>
          </w:tcPr>
          <w:p w14:paraId="2C321DC6"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Ventura Miller, Barnes, &amp; Hartley (2011)</w:t>
            </w:r>
          </w:p>
        </w:tc>
        <w:tc>
          <w:tcPr>
            <w:tcW w:w="3060" w:type="dxa"/>
            <w:vMerge/>
            <w:vAlign w:val="center"/>
            <w:hideMark/>
          </w:tcPr>
          <w:p w14:paraId="1F308C56"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069D1A33" w14:textId="77777777" w:rsidTr="0000273F">
        <w:trPr>
          <w:trHeight w:val="465"/>
        </w:trPr>
        <w:tc>
          <w:tcPr>
            <w:tcW w:w="1239" w:type="dxa"/>
            <w:vMerge/>
            <w:vAlign w:val="center"/>
            <w:hideMark/>
          </w:tcPr>
          <w:p w14:paraId="098D9EDF"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1914841E"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Social assimilation</w:t>
            </w:r>
          </w:p>
        </w:tc>
        <w:tc>
          <w:tcPr>
            <w:tcW w:w="1700" w:type="dxa"/>
            <w:vAlign w:val="center"/>
          </w:tcPr>
          <w:p w14:paraId="1C605A1E" w14:textId="509641B4" w:rsidR="004567FA" w:rsidRPr="0021432C" w:rsidRDefault="004567FA" w:rsidP="005636E1">
            <w:pPr>
              <w:spacing w:line="240" w:lineRule="auto"/>
              <w:contextualSpacing/>
              <w:rPr>
                <w:color w:val="000000"/>
                <w:sz w:val="16"/>
                <w:szCs w:val="16"/>
                <w:lang w:val="en-US" w:eastAsia="en-US"/>
              </w:rPr>
            </w:pPr>
            <w:r w:rsidRPr="0021432C">
              <w:rPr>
                <w:sz w:val="16"/>
                <w:szCs w:val="16"/>
                <w:lang w:val="en-US" w:eastAsia="en-US"/>
              </w:rPr>
              <w:t>Were you born in this country?</w:t>
            </w:r>
          </w:p>
        </w:tc>
        <w:tc>
          <w:tcPr>
            <w:tcW w:w="1530" w:type="dxa"/>
            <w:vMerge w:val="restart"/>
            <w:shd w:val="clear" w:color="auto" w:fill="auto"/>
            <w:vAlign w:val="center"/>
            <w:hideMark/>
          </w:tcPr>
          <w:p w14:paraId="431D21BB" w14:textId="2B41F4FD"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xml:space="preserve">Your close friends are...? (all Mexican, more Mexican than White (or others), about half Mexican and half White (or others), </w:t>
            </w:r>
            <w:proofErr w:type="gramStart"/>
            <w:r w:rsidRPr="0021432C">
              <w:rPr>
                <w:color w:val="000000"/>
                <w:sz w:val="16"/>
                <w:szCs w:val="16"/>
                <w:lang w:val="en-US" w:eastAsia="en-US"/>
              </w:rPr>
              <w:t>more White</w:t>
            </w:r>
            <w:proofErr w:type="gramEnd"/>
            <w:r w:rsidRPr="0021432C">
              <w:rPr>
                <w:color w:val="000000"/>
                <w:sz w:val="16"/>
                <w:szCs w:val="16"/>
                <w:lang w:val="en-US" w:eastAsia="en-US"/>
              </w:rPr>
              <w:t xml:space="preserve"> (or others) than Mexican, only White)</w:t>
            </w:r>
          </w:p>
        </w:tc>
        <w:tc>
          <w:tcPr>
            <w:tcW w:w="1080" w:type="dxa"/>
            <w:vMerge w:val="restart"/>
            <w:shd w:val="clear" w:color="auto" w:fill="auto"/>
            <w:vAlign w:val="center"/>
            <w:hideMark/>
          </w:tcPr>
          <w:p w14:paraId="4FA3CA90"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Ventura Miller, Barnes, &amp; Hartley (2011)</w:t>
            </w:r>
          </w:p>
        </w:tc>
        <w:tc>
          <w:tcPr>
            <w:tcW w:w="3060" w:type="dxa"/>
            <w:vMerge w:val="restart"/>
            <w:shd w:val="clear" w:color="auto" w:fill="auto"/>
            <w:vAlign w:val="center"/>
            <w:hideMark/>
          </w:tcPr>
          <w:p w14:paraId="405E8EE7"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Previously used to capture an element of acculturation (social assimilation), which has been examined by Vigil (1979, 1983) as part of social marginalization; the origin of the child and their parents helps understand the level of acculturation necessary.</w:t>
            </w:r>
          </w:p>
        </w:tc>
      </w:tr>
      <w:tr w:rsidR="004567FA" w:rsidRPr="0021432C" w14:paraId="7B3B4D8D" w14:textId="77777777" w:rsidTr="0000273F">
        <w:trPr>
          <w:trHeight w:val="465"/>
        </w:trPr>
        <w:tc>
          <w:tcPr>
            <w:tcW w:w="1239" w:type="dxa"/>
            <w:vMerge/>
            <w:vAlign w:val="center"/>
            <w:hideMark/>
          </w:tcPr>
          <w:p w14:paraId="5402C7AE"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09B33E0C"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0FC1F2D3" w14:textId="2F638583" w:rsidR="004567FA" w:rsidRPr="0021432C" w:rsidRDefault="004567FA" w:rsidP="005636E1">
            <w:pPr>
              <w:spacing w:line="240" w:lineRule="auto"/>
              <w:contextualSpacing/>
              <w:rPr>
                <w:color w:val="000000"/>
                <w:sz w:val="16"/>
                <w:szCs w:val="16"/>
                <w:lang w:val="en-US" w:eastAsia="en-US"/>
              </w:rPr>
            </w:pPr>
            <w:r w:rsidRPr="0021432C">
              <w:rPr>
                <w:sz w:val="16"/>
                <w:szCs w:val="16"/>
                <w:lang w:val="en-US" w:eastAsia="en-US"/>
              </w:rPr>
              <w:t>Was your mother born in this country?</w:t>
            </w:r>
          </w:p>
        </w:tc>
        <w:tc>
          <w:tcPr>
            <w:tcW w:w="1530" w:type="dxa"/>
            <w:vMerge/>
            <w:vAlign w:val="center"/>
            <w:hideMark/>
          </w:tcPr>
          <w:p w14:paraId="3C60120D" w14:textId="376DF0F7"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4CA13F55" w14:textId="77777777" w:rsidR="004567FA" w:rsidRPr="0021432C" w:rsidRDefault="004567FA" w:rsidP="005636E1">
            <w:pPr>
              <w:spacing w:line="240" w:lineRule="auto"/>
              <w:contextualSpacing/>
              <w:rPr>
                <w:b/>
                <w:bCs/>
                <w:color w:val="000000"/>
                <w:sz w:val="16"/>
                <w:szCs w:val="16"/>
                <w:lang w:val="en-US" w:eastAsia="en-US"/>
              </w:rPr>
            </w:pPr>
          </w:p>
        </w:tc>
        <w:tc>
          <w:tcPr>
            <w:tcW w:w="3060" w:type="dxa"/>
            <w:vMerge/>
            <w:vAlign w:val="center"/>
            <w:hideMark/>
          </w:tcPr>
          <w:p w14:paraId="799599D4"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0BDC7737" w14:textId="77777777" w:rsidTr="0000273F">
        <w:trPr>
          <w:trHeight w:val="465"/>
        </w:trPr>
        <w:tc>
          <w:tcPr>
            <w:tcW w:w="1239" w:type="dxa"/>
            <w:vMerge/>
            <w:vAlign w:val="center"/>
            <w:hideMark/>
          </w:tcPr>
          <w:p w14:paraId="2D1B1E06"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045B9324"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2AF2538B" w14:textId="1805B461" w:rsidR="004567FA" w:rsidRPr="0021432C" w:rsidRDefault="004567FA" w:rsidP="005636E1">
            <w:pPr>
              <w:spacing w:line="240" w:lineRule="auto"/>
              <w:contextualSpacing/>
              <w:rPr>
                <w:color w:val="000000"/>
                <w:sz w:val="16"/>
                <w:szCs w:val="16"/>
                <w:lang w:val="en-US" w:eastAsia="en-US"/>
              </w:rPr>
            </w:pPr>
            <w:r w:rsidRPr="0021432C">
              <w:rPr>
                <w:sz w:val="16"/>
                <w:szCs w:val="16"/>
                <w:lang w:val="en-US" w:eastAsia="en-US"/>
              </w:rPr>
              <w:t>Was your father born in this country?</w:t>
            </w:r>
          </w:p>
        </w:tc>
        <w:tc>
          <w:tcPr>
            <w:tcW w:w="1530" w:type="dxa"/>
            <w:vMerge/>
            <w:vAlign w:val="center"/>
            <w:hideMark/>
          </w:tcPr>
          <w:p w14:paraId="48288014" w14:textId="1E8D39E2"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54C65B5A" w14:textId="77777777" w:rsidR="004567FA" w:rsidRPr="0021432C" w:rsidRDefault="004567FA" w:rsidP="005636E1">
            <w:pPr>
              <w:spacing w:line="240" w:lineRule="auto"/>
              <w:contextualSpacing/>
              <w:rPr>
                <w:b/>
                <w:bCs/>
                <w:color w:val="000000"/>
                <w:sz w:val="16"/>
                <w:szCs w:val="16"/>
                <w:lang w:val="en-US" w:eastAsia="en-US"/>
              </w:rPr>
            </w:pPr>
          </w:p>
        </w:tc>
        <w:tc>
          <w:tcPr>
            <w:tcW w:w="3060" w:type="dxa"/>
            <w:vMerge/>
            <w:vAlign w:val="center"/>
            <w:hideMark/>
          </w:tcPr>
          <w:p w14:paraId="43BEDACB"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359EE619" w14:textId="77777777" w:rsidTr="0000273F">
        <w:trPr>
          <w:trHeight w:val="585"/>
        </w:trPr>
        <w:tc>
          <w:tcPr>
            <w:tcW w:w="1239" w:type="dxa"/>
            <w:vMerge/>
            <w:vAlign w:val="center"/>
            <w:hideMark/>
          </w:tcPr>
          <w:p w14:paraId="23D627D0"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69C21E31"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7E2ACA29" w14:textId="2DE5B326"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How many of your friends have parents of a foreign origin?</w:t>
            </w:r>
          </w:p>
        </w:tc>
        <w:tc>
          <w:tcPr>
            <w:tcW w:w="1530" w:type="dxa"/>
            <w:vMerge/>
            <w:vAlign w:val="center"/>
            <w:hideMark/>
          </w:tcPr>
          <w:p w14:paraId="570D3084" w14:textId="2D7BB711"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300B1551" w14:textId="77777777" w:rsidR="004567FA" w:rsidRPr="0021432C" w:rsidRDefault="004567FA" w:rsidP="005636E1">
            <w:pPr>
              <w:spacing w:line="240" w:lineRule="auto"/>
              <w:contextualSpacing/>
              <w:rPr>
                <w:b/>
                <w:bCs/>
                <w:color w:val="000000"/>
                <w:sz w:val="16"/>
                <w:szCs w:val="16"/>
                <w:lang w:val="en-US" w:eastAsia="en-US"/>
              </w:rPr>
            </w:pPr>
          </w:p>
        </w:tc>
        <w:tc>
          <w:tcPr>
            <w:tcW w:w="3060" w:type="dxa"/>
            <w:vMerge/>
            <w:vAlign w:val="center"/>
            <w:hideMark/>
          </w:tcPr>
          <w:p w14:paraId="370AD51F"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614D0947" w14:textId="77777777" w:rsidTr="0000273F">
        <w:trPr>
          <w:trHeight w:val="927"/>
        </w:trPr>
        <w:tc>
          <w:tcPr>
            <w:tcW w:w="1239" w:type="dxa"/>
            <w:vMerge w:val="restart"/>
            <w:shd w:val="clear" w:color="auto" w:fill="auto"/>
            <w:vAlign w:val="center"/>
            <w:hideMark/>
          </w:tcPr>
          <w:p w14:paraId="2BEE0CC6" w14:textId="77777777" w:rsidR="004567FA" w:rsidRPr="0021432C" w:rsidRDefault="004567FA" w:rsidP="005636E1">
            <w:pPr>
              <w:spacing w:line="240" w:lineRule="auto"/>
              <w:contextualSpacing/>
              <w:rPr>
                <w:i/>
                <w:iCs/>
                <w:color w:val="000000"/>
                <w:sz w:val="16"/>
                <w:szCs w:val="16"/>
                <w:lang w:val="en-US" w:eastAsia="en-US"/>
              </w:rPr>
            </w:pPr>
            <w:r w:rsidRPr="0021432C">
              <w:rPr>
                <w:i/>
                <w:iCs/>
                <w:color w:val="000000"/>
                <w:sz w:val="16"/>
                <w:szCs w:val="16"/>
                <w:lang w:val="en-US" w:eastAsia="en-US"/>
              </w:rPr>
              <w:t>Neighborhood and social environment</w:t>
            </w:r>
          </w:p>
        </w:tc>
        <w:tc>
          <w:tcPr>
            <w:tcW w:w="1461" w:type="dxa"/>
            <w:shd w:val="clear" w:color="auto" w:fill="auto"/>
            <w:vAlign w:val="center"/>
            <w:hideMark/>
          </w:tcPr>
          <w:p w14:paraId="666CCA8A"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Collective monitoring</w:t>
            </w:r>
          </w:p>
        </w:tc>
        <w:tc>
          <w:tcPr>
            <w:tcW w:w="1700" w:type="dxa"/>
            <w:vAlign w:val="center"/>
          </w:tcPr>
          <w:p w14:paraId="21B70470" w14:textId="60167E56"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My neighbors notice when I am misbehaving and let me know</w:t>
            </w:r>
          </w:p>
        </w:tc>
        <w:tc>
          <w:tcPr>
            <w:tcW w:w="1530" w:type="dxa"/>
            <w:shd w:val="clear" w:color="auto" w:fill="auto"/>
            <w:vAlign w:val="center"/>
            <w:hideMark/>
          </w:tcPr>
          <w:p w14:paraId="76A2FC54" w14:textId="4A9A6F92"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How likely is it that adults in your neighborhood would intervene if children or teenagers were hanging out in the street?</w:t>
            </w:r>
          </w:p>
        </w:tc>
        <w:tc>
          <w:tcPr>
            <w:tcW w:w="1080" w:type="dxa"/>
            <w:shd w:val="clear" w:color="auto" w:fill="auto"/>
            <w:vAlign w:val="center"/>
            <w:hideMark/>
          </w:tcPr>
          <w:p w14:paraId="65B70771"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Quinn et al (2018)</w:t>
            </w:r>
          </w:p>
        </w:tc>
        <w:tc>
          <w:tcPr>
            <w:tcW w:w="3060" w:type="dxa"/>
            <w:vMerge w:val="restart"/>
            <w:shd w:val="clear" w:color="auto" w:fill="auto"/>
            <w:vAlign w:val="center"/>
            <w:hideMark/>
          </w:tcPr>
          <w:p w14:paraId="1A6CF704"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 xml:space="preserve">Characteristics of neighborhoods are not explicit as a factor in the MM framework, but implicit through inclusion of macro-structural forces that lead to enclave settlements (Vigil, 2010), and the idea that economic marginalization may concentrate in neighborhoods contributing to an "underclass" (Vigil, 2003); we include the entire scale on neighborhood quality, consisting of items related to neighborhood disorder, attachment, and cohesiveness (Marshall &amp; </w:t>
            </w:r>
            <w:proofErr w:type="spellStart"/>
            <w:r w:rsidRPr="0021432C">
              <w:rPr>
                <w:color w:val="000000"/>
                <w:sz w:val="16"/>
                <w:szCs w:val="16"/>
                <w:lang w:val="en-US" w:eastAsia="en-US"/>
              </w:rPr>
              <w:t>Enzmann</w:t>
            </w:r>
            <w:proofErr w:type="spellEnd"/>
            <w:r w:rsidRPr="0021432C">
              <w:rPr>
                <w:color w:val="000000"/>
                <w:sz w:val="16"/>
                <w:szCs w:val="16"/>
                <w:lang w:val="en-US" w:eastAsia="en-US"/>
              </w:rPr>
              <w:t xml:space="preserve">, 2012), to get a comprehensive perspective on neighborhood influence, as it had been excluded from most prior quantitative tests and the qualities of the neighborhoods most </w:t>
            </w:r>
            <w:r w:rsidRPr="0021432C">
              <w:rPr>
                <w:color w:val="000000"/>
                <w:sz w:val="16"/>
                <w:szCs w:val="16"/>
                <w:lang w:val="en-US" w:eastAsia="en-US"/>
              </w:rPr>
              <w:lastRenderedPageBreak/>
              <w:t>important to the MM framework were not fully specified by Vigil.</w:t>
            </w:r>
          </w:p>
        </w:tc>
      </w:tr>
      <w:tr w:rsidR="004567FA" w:rsidRPr="0021432C" w14:paraId="7D670F06" w14:textId="77777777" w:rsidTr="0000273F">
        <w:trPr>
          <w:trHeight w:val="432"/>
        </w:trPr>
        <w:tc>
          <w:tcPr>
            <w:tcW w:w="1239" w:type="dxa"/>
            <w:vMerge/>
            <w:vAlign w:val="center"/>
            <w:hideMark/>
          </w:tcPr>
          <w:p w14:paraId="6369C4CE"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6BAFEEC5"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Neighborhood crime/disorder</w:t>
            </w:r>
          </w:p>
        </w:tc>
        <w:tc>
          <w:tcPr>
            <w:tcW w:w="1700" w:type="dxa"/>
            <w:vAlign w:val="center"/>
          </w:tcPr>
          <w:p w14:paraId="6D04714F" w14:textId="59F998A9"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There is a lot of drug selling</w:t>
            </w:r>
          </w:p>
        </w:tc>
        <w:tc>
          <w:tcPr>
            <w:tcW w:w="1530" w:type="dxa"/>
            <w:shd w:val="clear" w:color="auto" w:fill="auto"/>
            <w:vAlign w:val="center"/>
            <w:hideMark/>
          </w:tcPr>
          <w:p w14:paraId="5767F6E6" w14:textId="053212B6"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How often does drug dealing occur in your neighborhood</w:t>
            </w:r>
          </w:p>
        </w:tc>
        <w:tc>
          <w:tcPr>
            <w:tcW w:w="1080" w:type="dxa"/>
            <w:shd w:val="clear" w:color="auto" w:fill="auto"/>
            <w:vAlign w:val="center"/>
            <w:hideMark/>
          </w:tcPr>
          <w:p w14:paraId="4A77AECB"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Quinn et al (2018)</w:t>
            </w:r>
          </w:p>
        </w:tc>
        <w:tc>
          <w:tcPr>
            <w:tcW w:w="3060" w:type="dxa"/>
            <w:vMerge/>
            <w:vAlign w:val="center"/>
            <w:hideMark/>
          </w:tcPr>
          <w:p w14:paraId="0D72850D"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4ED48A28" w14:textId="77777777" w:rsidTr="0000273F">
        <w:trPr>
          <w:trHeight w:val="513"/>
        </w:trPr>
        <w:tc>
          <w:tcPr>
            <w:tcW w:w="1239" w:type="dxa"/>
            <w:vMerge/>
            <w:vAlign w:val="center"/>
            <w:hideMark/>
          </w:tcPr>
          <w:p w14:paraId="75B84812"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39B1D426"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4ED22A0C" w14:textId="77777777" w:rsidR="004567FA" w:rsidRPr="0021432C" w:rsidRDefault="004567FA" w:rsidP="005636E1">
            <w:pPr>
              <w:spacing w:line="240" w:lineRule="auto"/>
              <w:contextualSpacing/>
              <w:rPr>
                <w:color w:val="000000"/>
                <w:sz w:val="16"/>
                <w:szCs w:val="16"/>
                <w:lang w:val="en-US" w:eastAsia="en-US"/>
              </w:rPr>
            </w:pPr>
          </w:p>
        </w:tc>
        <w:tc>
          <w:tcPr>
            <w:tcW w:w="1530" w:type="dxa"/>
            <w:shd w:val="clear" w:color="auto" w:fill="auto"/>
            <w:vAlign w:val="center"/>
            <w:hideMark/>
          </w:tcPr>
          <w:p w14:paraId="76248826" w14:textId="5E7BCF72"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Has anyone in your neighborhood offered you... [6 drug options]?</w:t>
            </w:r>
          </w:p>
        </w:tc>
        <w:tc>
          <w:tcPr>
            <w:tcW w:w="1080" w:type="dxa"/>
            <w:shd w:val="clear" w:color="auto" w:fill="auto"/>
            <w:vAlign w:val="center"/>
            <w:hideMark/>
          </w:tcPr>
          <w:p w14:paraId="72880B8B"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 xml:space="preserve">Ventura Miller, Barnes, &amp; </w:t>
            </w:r>
            <w:r w:rsidRPr="0021432C">
              <w:rPr>
                <w:b/>
                <w:bCs/>
                <w:color w:val="000000"/>
                <w:sz w:val="16"/>
                <w:szCs w:val="16"/>
                <w:lang w:val="en-US" w:eastAsia="en-US"/>
              </w:rPr>
              <w:lastRenderedPageBreak/>
              <w:t>Hartley (2011)</w:t>
            </w:r>
          </w:p>
        </w:tc>
        <w:tc>
          <w:tcPr>
            <w:tcW w:w="3060" w:type="dxa"/>
            <w:vMerge/>
            <w:vAlign w:val="center"/>
            <w:hideMark/>
          </w:tcPr>
          <w:p w14:paraId="0C525D5E"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77253CA7" w14:textId="77777777" w:rsidTr="0000273F">
        <w:trPr>
          <w:trHeight w:val="408"/>
        </w:trPr>
        <w:tc>
          <w:tcPr>
            <w:tcW w:w="1239" w:type="dxa"/>
            <w:vMerge/>
            <w:vAlign w:val="center"/>
            <w:hideMark/>
          </w:tcPr>
          <w:p w14:paraId="4AC50469"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03470EDC"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7C357389" w14:textId="5762690E"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There is a lot of crime in my neighborhood</w:t>
            </w:r>
          </w:p>
        </w:tc>
        <w:tc>
          <w:tcPr>
            <w:tcW w:w="1530" w:type="dxa"/>
            <w:vMerge w:val="restart"/>
            <w:shd w:val="clear" w:color="auto" w:fill="auto"/>
            <w:vAlign w:val="center"/>
            <w:hideMark/>
          </w:tcPr>
          <w:p w14:paraId="5811B1D0" w14:textId="6FA3DBD5"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 </w:t>
            </w:r>
          </w:p>
        </w:tc>
        <w:tc>
          <w:tcPr>
            <w:tcW w:w="1080" w:type="dxa"/>
            <w:vMerge w:val="restart"/>
            <w:shd w:val="clear" w:color="auto" w:fill="auto"/>
            <w:vAlign w:val="center"/>
            <w:hideMark/>
          </w:tcPr>
          <w:p w14:paraId="39DF52A1"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722100B6"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575BE044" w14:textId="77777777" w:rsidTr="0000273F">
        <w:trPr>
          <w:trHeight w:val="288"/>
        </w:trPr>
        <w:tc>
          <w:tcPr>
            <w:tcW w:w="1239" w:type="dxa"/>
            <w:vMerge/>
            <w:vAlign w:val="center"/>
            <w:hideMark/>
          </w:tcPr>
          <w:p w14:paraId="6A94BA4B"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66BBB12D"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37A4CB16" w14:textId="756519DF"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There is a lot of fighting</w:t>
            </w:r>
          </w:p>
        </w:tc>
        <w:tc>
          <w:tcPr>
            <w:tcW w:w="1530" w:type="dxa"/>
            <w:vMerge/>
            <w:vAlign w:val="center"/>
            <w:hideMark/>
          </w:tcPr>
          <w:p w14:paraId="4988F4B2" w14:textId="299E4409"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26203957"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0A2C0F84"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50C8542A" w14:textId="77777777" w:rsidTr="0000273F">
        <w:trPr>
          <w:trHeight w:val="408"/>
        </w:trPr>
        <w:tc>
          <w:tcPr>
            <w:tcW w:w="1239" w:type="dxa"/>
            <w:vMerge/>
            <w:vAlign w:val="center"/>
            <w:hideMark/>
          </w:tcPr>
          <w:p w14:paraId="7AB77C12"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6C1FC9E7"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23F2FAC1" w14:textId="429E6D68"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There are a lot of empty and abandoned buildings</w:t>
            </w:r>
          </w:p>
        </w:tc>
        <w:tc>
          <w:tcPr>
            <w:tcW w:w="1530" w:type="dxa"/>
            <w:vMerge/>
            <w:vAlign w:val="center"/>
            <w:hideMark/>
          </w:tcPr>
          <w:p w14:paraId="1A919D6E" w14:textId="480FDF36"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5F5137D6"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7CA13DAF"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666AF8B9" w14:textId="77777777" w:rsidTr="0000273F">
        <w:trPr>
          <w:trHeight w:val="288"/>
        </w:trPr>
        <w:tc>
          <w:tcPr>
            <w:tcW w:w="1239" w:type="dxa"/>
            <w:vMerge/>
            <w:vAlign w:val="center"/>
            <w:hideMark/>
          </w:tcPr>
          <w:p w14:paraId="3051B72F"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49ED5D71"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49769C8D" w14:textId="52D8101D"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There is a lot of graffiti</w:t>
            </w:r>
          </w:p>
        </w:tc>
        <w:tc>
          <w:tcPr>
            <w:tcW w:w="1530" w:type="dxa"/>
            <w:vMerge/>
            <w:vAlign w:val="center"/>
            <w:hideMark/>
          </w:tcPr>
          <w:p w14:paraId="322689F3" w14:textId="3B8A7350"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0B86F736"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043AFF90"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0E260A15" w14:textId="77777777" w:rsidTr="0000273F">
        <w:trPr>
          <w:trHeight w:val="612"/>
        </w:trPr>
        <w:tc>
          <w:tcPr>
            <w:tcW w:w="1239" w:type="dxa"/>
            <w:vMerge/>
            <w:vAlign w:val="center"/>
            <w:hideMark/>
          </w:tcPr>
          <w:p w14:paraId="30D4C100"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6CFCF723"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27EFA037" w14:textId="45EF0080"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People in this neighborhood generally don’t get along with each other</w:t>
            </w:r>
          </w:p>
        </w:tc>
        <w:tc>
          <w:tcPr>
            <w:tcW w:w="1530" w:type="dxa"/>
            <w:vMerge/>
            <w:vAlign w:val="center"/>
            <w:hideMark/>
          </w:tcPr>
          <w:p w14:paraId="3FA1E743" w14:textId="6660BAEA"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4131BE65"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479A867B"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7D685D87" w14:textId="77777777" w:rsidTr="0000273F">
        <w:trPr>
          <w:trHeight w:val="408"/>
        </w:trPr>
        <w:tc>
          <w:tcPr>
            <w:tcW w:w="1239" w:type="dxa"/>
            <w:vMerge/>
            <w:vAlign w:val="center"/>
            <w:hideMark/>
          </w:tcPr>
          <w:p w14:paraId="645D8298"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7267FF8C"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Neighborhood attachment</w:t>
            </w:r>
          </w:p>
        </w:tc>
        <w:tc>
          <w:tcPr>
            <w:tcW w:w="1700" w:type="dxa"/>
            <w:vAlign w:val="center"/>
          </w:tcPr>
          <w:p w14:paraId="34C404A6" w14:textId="7CF311C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If I had to move, I would miss the neighborhood</w:t>
            </w:r>
          </w:p>
        </w:tc>
        <w:tc>
          <w:tcPr>
            <w:tcW w:w="1530" w:type="dxa"/>
            <w:vMerge w:val="restart"/>
            <w:shd w:val="clear" w:color="auto" w:fill="auto"/>
            <w:vAlign w:val="center"/>
            <w:hideMark/>
          </w:tcPr>
          <w:p w14:paraId="1AC38124" w14:textId="2EE225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 </w:t>
            </w:r>
          </w:p>
        </w:tc>
        <w:tc>
          <w:tcPr>
            <w:tcW w:w="1080" w:type="dxa"/>
            <w:vMerge w:val="restart"/>
            <w:shd w:val="clear" w:color="auto" w:fill="auto"/>
            <w:vAlign w:val="center"/>
            <w:hideMark/>
          </w:tcPr>
          <w:p w14:paraId="593E0F7A"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2BE14D89"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593F5B1C" w14:textId="77777777" w:rsidTr="0000273F">
        <w:trPr>
          <w:trHeight w:val="288"/>
        </w:trPr>
        <w:tc>
          <w:tcPr>
            <w:tcW w:w="1239" w:type="dxa"/>
            <w:vMerge/>
            <w:vAlign w:val="center"/>
            <w:hideMark/>
          </w:tcPr>
          <w:p w14:paraId="27D8FF4D"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4AC6FF2B"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2E41A106" w14:textId="13FDF2FC"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 like my neighborhood</w:t>
            </w:r>
          </w:p>
        </w:tc>
        <w:tc>
          <w:tcPr>
            <w:tcW w:w="1530" w:type="dxa"/>
            <w:vMerge/>
            <w:vAlign w:val="center"/>
            <w:hideMark/>
          </w:tcPr>
          <w:p w14:paraId="4F37F86D" w14:textId="5EF3138B"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31424557"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5E78BEDF"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38C5DA57" w14:textId="77777777" w:rsidTr="0000273F">
        <w:trPr>
          <w:trHeight w:val="408"/>
        </w:trPr>
        <w:tc>
          <w:tcPr>
            <w:tcW w:w="1239" w:type="dxa"/>
            <w:vMerge/>
            <w:vAlign w:val="center"/>
            <w:hideMark/>
          </w:tcPr>
          <w:p w14:paraId="6E9722CD"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371F0650"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Neighborhood cohesiveness</w:t>
            </w:r>
          </w:p>
        </w:tc>
        <w:tc>
          <w:tcPr>
            <w:tcW w:w="1700" w:type="dxa"/>
            <w:vAlign w:val="center"/>
          </w:tcPr>
          <w:p w14:paraId="5EA5D257" w14:textId="105F7269"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There is a lot of space for children to play</w:t>
            </w:r>
          </w:p>
        </w:tc>
        <w:tc>
          <w:tcPr>
            <w:tcW w:w="1530" w:type="dxa"/>
            <w:vMerge w:val="restart"/>
            <w:shd w:val="clear" w:color="auto" w:fill="auto"/>
            <w:vAlign w:val="center"/>
            <w:hideMark/>
          </w:tcPr>
          <w:p w14:paraId="3C41FE02" w14:textId="26CB41BE"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 </w:t>
            </w:r>
          </w:p>
        </w:tc>
        <w:tc>
          <w:tcPr>
            <w:tcW w:w="1080" w:type="dxa"/>
            <w:vMerge w:val="restart"/>
            <w:shd w:val="clear" w:color="auto" w:fill="auto"/>
            <w:vAlign w:val="center"/>
            <w:hideMark/>
          </w:tcPr>
          <w:p w14:paraId="4ABA6F7D"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4643F975"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0E17C44B" w14:textId="77777777" w:rsidTr="0000273F">
        <w:trPr>
          <w:trHeight w:val="408"/>
        </w:trPr>
        <w:tc>
          <w:tcPr>
            <w:tcW w:w="1239" w:type="dxa"/>
            <w:vMerge/>
            <w:vAlign w:val="center"/>
            <w:hideMark/>
          </w:tcPr>
          <w:p w14:paraId="19561778"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16CF2499"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36B81179" w14:textId="38B4D6D9"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People around here are willing to help their neighbors</w:t>
            </w:r>
          </w:p>
        </w:tc>
        <w:tc>
          <w:tcPr>
            <w:tcW w:w="1530" w:type="dxa"/>
            <w:vMerge/>
            <w:vAlign w:val="center"/>
            <w:hideMark/>
          </w:tcPr>
          <w:p w14:paraId="23BBB86E" w14:textId="1A8335EA"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739F2C4C"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3212962B"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3ED58264" w14:textId="77777777" w:rsidTr="0000273F">
        <w:trPr>
          <w:trHeight w:val="408"/>
        </w:trPr>
        <w:tc>
          <w:tcPr>
            <w:tcW w:w="1239" w:type="dxa"/>
            <w:vMerge/>
            <w:vAlign w:val="center"/>
            <w:hideMark/>
          </w:tcPr>
          <w:p w14:paraId="40D22E76"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5A4D4E11"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17E395BE" w14:textId="0CA31F39"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xml:space="preserve">This is a </w:t>
            </w:r>
            <w:proofErr w:type="gramStart"/>
            <w:r w:rsidRPr="0021432C">
              <w:rPr>
                <w:color w:val="000000"/>
                <w:sz w:val="16"/>
                <w:szCs w:val="16"/>
                <w:lang w:val="en-US" w:eastAsia="en-US"/>
              </w:rPr>
              <w:t>close knit</w:t>
            </w:r>
            <w:proofErr w:type="gramEnd"/>
            <w:r w:rsidRPr="0021432C">
              <w:rPr>
                <w:color w:val="000000"/>
                <w:sz w:val="16"/>
                <w:szCs w:val="16"/>
                <w:lang w:val="en-US" w:eastAsia="en-US"/>
              </w:rPr>
              <w:t xml:space="preserve"> neighborhood</w:t>
            </w:r>
          </w:p>
        </w:tc>
        <w:tc>
          <w:tcPr>
            <w:tcW w:w="1530" w:type="dxa"/>
            <w:vMerge/>
            <w:vAlign w:val="center"/>
            <w:hideMark/>
          </w:tcPr>
          <w:p w14:paraId="62B8BCEA" w14:textId="4E832307"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64343592"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658BCA1C"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1B8CDBBD" w14:textId="77777777" w:rsidTr="0000273F">
        <w:trPr>
          <w:trHeight w:val="408"/>
        </w:trPr>
        <w:tc>
          <w:tcPr>
            <w:tcW w:w="1239" w:type="dxa"/>
            <w:vMerge/>
            <w:vAlign w:val="center"/>
            <w:hideMark/>
          </w:tcPr>
          <w:p w14:paraId="1FF81796"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0BADA67E"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08CC47FA" w14:textId="68F17FC2"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People in this neighborhood can be trusted</w:t>
            </w:r>
          </w:p>
        </w:tc>
        <w:tc>
          <w:tcPr>
            <w:tcW w:w="1530" w:type="dxa"/>
            <w:vMerge/>
            <w:vAlign w:val="center"/>
            <w:hideMark/>
          </w:tcPr>
          <w:p w14:paraId="1FD8F0D0" w14:textId="10F45778"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609B2883"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09A8608E"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4FA809E5" w14:textId="77777777" w:rsidTr="0000273F">
        <w:trPr>
          <w:trHeight w:val="693"/>
        </w:trPr>
        <w:tc>
          <w:tcPr>
            <w:tcW w:w="1239" w:type="dxa"/>
            <w:vMerge w:val="restart"/>
            <w:shd w:val="clear" w:color="auto" w:fill="auto"/>
            <w:noWrap/>
            <w:vAlign w:val="center"/>
            <w:hideMark/>
          </w:tcPr>
          <w:p w14:paraId="05D6A553" w14:textId="77777777" w:rsidR="004567FA" w:rsidRPr="0021432C" w:rsidRDefault="004567FA" w:rsidP="005636E1">
            <w:pPr>
              <w:spacing w:line="240" w:lineRule="auto"/>
              <w:contextualSpacing/>
              <w:rPr>
                <w:i/>
                <w:iCs/>
                <w:color w:val="000000"/>
                <w:sz w:val="16"/>
                <w:szCs w:val="16"/>
                <w:lang w:val="en-US" w:eastAsia="en-US"/>
              </w:rPr>
            </w:pPr>
            <w:r w:rsidRPr="0021432C">
              <w:rPr>
                <w:i/>
                <w:iCs/>
                <w:color w:val="000000"/>
                <w:sz w:val="16"/>
                <w:szCs w:val="16"/>
                <w:lang w:val="en-US" w:eastAsia="en-US"/>
              </w:rPr>
              <w:t>Ties to family</w:t>
            </w:r>
          </w:p>
        </w:tc>
        <w:tc>
          <w:tcPr>
            <w:tcW w:w="1461" w:type="dxa"/>
            <w:vMerge w:val="restart"/>
            <w:shd w:val="clear" w:color="auto" w:fill="auto"/>
            <w:vAlign w:val="center"/>
            <w:hideMark/>
          </w:tcPr>
          <w:p w14:paraId="16911575"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Parental monitoring</w:t>
            </w:r>
          </w:p>
        </w:tc>
        <w:tc>
          <w:tcPr>
            <w:tcW w:w="1700" w:type="dxa"/>
            <w:vAlign w:val="center"/>
          </w:tcPr>
          <w:p w14:paraId="1EA46A12" w14:textId="13BF1C35"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Do your parents (or the adults you live with) usually know who you are with when you go out?</w:t>
            </w:r>
          </w:p>
        </w:tc>
        <w:tc>
          <w:tcPr>
            <w:tcW w:w="1530" w:type="dxa"/>
            <w:shd w:val="clear" w:color="auto" w:fill="auto"/>
            <w:vAlign w:val="center"/>
            <w:hideMark/>
          </w:tcPr>
          <w:p w14:paraId="56F0D4BD" w14:textId="1FF1E9D6"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If their parents know who they are with if they are not at home.</w:t>
            </w:r>
          </w:p>
        </w:tc>
        <w:tc>
          <w:tcPr>
            <w:tcW w:w="1080" w:type="dxa"/>
            <w:shd w:val="clear" w:color="auto" w:fill="auto"/>
            <w:vAlign w:val="center"/>
            <w:hideMark/>
          </w:tcPr>
          <w:p w14:paraId="701E2914"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 xml:space="preserve">Drake &amp; </w:t>
            </w:r>
            <w:proofErr w:type="spellStart"/>
            <w:r w:rsidRPr="0021432C">
              <w:rPr>
                <w:b/>
                <w:bCs/>
                <w:color w:val="000000"/>
                <w:sz w:val="16"/>
                <w:szCs w:val="16"/>
                <w:lang w:val="en-US" w:eastAsia="en-US"/>
              </w:rPr>
              <w:t>Melde</w:t>
            </w:r>
            <w:proofErr w:type="spellEnd"/>
            <w:r w:rsidRPr="0021432C">
              <w:rPr>
                <w:b/>
                <w:bCs/>
                <w:color w:val="000000"/>
                <w:sz w:val="16"/>
                <w:szCs w:val="16"/>
                <w:lang w:val="en-US" w:eastAsia="en-US"/>
              </w:rPr>
              <w:t xml:space="preserve"> (2014); </w:t>
            </w:r>
            <w:proofErr w:type="spellStart"/>
            <w:r w:rsidRPr="0021432C">
              <w:rPr>
                <w:b/>
                <w:bCs/>
                <w:color w:val="000000"/>
                <w:sz w:val="16"/>
                <w:szCs w:val="16"/>
                <w:lang w:val="en-US" w:eastAsia="en-US"/>
              </w:rPr>
              <w:t>Freng</w:t>
            </w:r>
            <w:proofErr w:type="spellEnd"/>
            <w:r w:rsidRPr="0021432C">
              <w:rPr>
                <w:b/>
                <w:bCs/>
                <w:color w:val="000000"/>
                <w:sz w:val="16"/>
                <w:szCs w:val="16"/>
                <w:lang w:val="en-US" w:eastAsia="en-US"/>
              </w:rPr>
              <w:t xml:space="preserve"> &amp; </w:t>
            </w:r>
            <w:proofErr w:type="spellStart"/>
            <w:r w:rsidRPr="0021432C">
              <w:rPr>
                <w:b/>
                <w:bCs/>
                <w:color w:val="000000"/>
                <w:sz w:val="16"/>
                <w:szCs w:val="16"/>
                <w:lang w:val="en-US" w:eastAsia="en-US"/>
              </w:rPr>
              <w:t>Esbensen</w:t>
            </w:r>
            <w:proofErr w:type="spellEnd"/>
            <w:r w:rsidRPr="0021432C">
              <w:rPr>
                <w:b/>
                <w:bCs/>
                <w:color w:val="000000"/>
                <w:sz w:val="16"/>
                <w:szCs w:val="16"/>
                <w:lang w:val="en-US" w:eastAsia="en-US"/>
              </w:rPr>
              <w:t xml:space="preserve"> (2007)</w:t>
            </w:r>
          </w:p>
        </w:tc>
        <w:tc>
          <w:tcPr>
            <w:tcW w:w="3060" w:type="dxa"/>
            <w:vMerge w:val="restart"/>
            <w:shd w:val="clear" w:color="auto" w:fill="auto"/>
            <w:vAlign w:val="center"/>
            <w:hideMark/>
          </w:tcPr>
          <w:p w14:paraId="319C2E46"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 xml:space="preserve">Parental monitoring is directly related to family-level social control and variation potentially related to levels of economic marginalization; similar items were used in prior studies to understand extent of </w:t>
            </w:r>
            <w:proofErr w:type="spellStart"/>
            <w:r w:rsidRPr="0021432C">
              <w:rPr>
                <w:color w:val="000000"/>
                <w:sz w:val="16"/>
                <w:szCs w:val="16"/>
                <w:lang w:val="en-US" w:eastAsia="en-US"/>
              </w:rPr>
              <w:t>parential</w:t>
            </w:r>
            <w:proofErr w:type="spellEnd"/>
            <w:r w:rsidRPr="0021432C">
              <w:rPr>
                <w:color w:val="000000"/>
                <w:sz w:val="16"/>
                <w:szCs w:val="16"/>
                <w:lang w:val="en-US" w:eastAsia="en-US"/>
              </w:rPr>
              <w:t xml:space="preserve"> monitoring of activities day and night.</w:t>
            </w:r>
          </w:p>
        </w:tc>
      </w:tr>
      <w:tr w:rsidR="004567FA" w:rsidRPr="0021432C" w14:paraId="3C902987" w14:textId="77777777" w:rsidTr="0000273F">
        <w:trPr>
          <w:trHeight w:val="1197"/>
        </w:trPr>
        <w:tc>
          <w:tcPr>
            <w:tcW w:w="1239" w:type="dxa"/>
            <w:vMerge/>
            <w:vAlign w:val="center"/>
            <w:hideMark/>
          </w:tcPr>
          <w:p w14:paraId="7C90878E"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4FAD4BF8"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42927710" w14:textId="25A9D1DB"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When you go out at night do your parents (or the family you live with) generally tell you at what time you have to be back?</w:t>
            </w:r>
          </w:p>
        </w:tc>
        <w:tc>
          <w:tcPr>
            <w:tcW w:w="1530" w:type="dxa"/>
            <w:shd w:val="clear" w:color="auto" w:fill="auto"/>
            <w:vAlign w:val="center"/>
            <w:hideMark/>
          </w:tcPr>
          <w:p w14:paraId="46484CD3" w14:textId="2485F84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xml:space="preserve">5-items by Silverberg and Small (Li, Stanton, and </w:t>
            </w:r>
            <w:proofErr w:type="spellStart"/>
            <w:r w:rsidRPr="0021432C">
              <w:rPr>
                <w:color w:val="000000"/>
                <w:sz w:val="16"/>
                <w:szCs w:val="16"/>
                <w:lang w:val="en-US" w:eastAsia="en-US"/>
              </w:rPr>
              <w:t>Feigleman</w:t>
            </w:r>
            <w:proofErr w:type="spellEnd"/>
            <w:r w:rsidRPr="0021432C">
              <w:rPr>
                <w:color w:val="000000"/>
                <w:sz w:val="16"/>
                <w:szCs w:val="16"/>
                <w:lang w:val="en-US" w:eastAsia="en-US"/>
              </w:rPr>
              <w:t xml:space="preserve">, </w:t>
            </w:r>
            <w:proofErr w:type="gramStart"/>
            <w:r w:rsidRPr="0021432C">
              <w:rPr>
                <w:color w:val="000000"/>
                <w:sz w:val="16"/>
                <w:szCs w:val="16"/>
                <w:lang w:val="en-US" w:eastAsia="en-US"/>
              </w:rPr>
              <w:t>2000)--</w:t>
            </w:r>
            <w:proofErr w:type="gramEnd"/>
            <w:r w:rsidRPr="0021432C">
              <w:rPr>
                <w:color w:val="000000"/>
                <w:sz w:val="16"/>
                <w:szCs w:val="16"/>
                <w:lang w:val="en-US" w:eastAsia="en-US"/>
              </w:rPr>
              <w:t>e.g. How often do your parents or guardians try to know where you go at night?</w:t>
            </w:r>
          </w:p>
        </w:tc>
        <w:tc>
          <w:tcPr>
            <w:tcW w:w="1080" w:type="dxa"/>
            <w:shd w:val="clear" w:color="auto" w:fill="auto"/>
            <w:vAlign w:val="center"/>
            <w:hideMark/>
          </w:tcPr>
          <w:p w14:paraId="5EB80B6C"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Quinn et al (2018)</w:t>
            </w:r>
          </w:p>
        </w:tc>
        <w:tc>
          <w:tcPr>
            <w:tcW w:w="3060" w:type="dxa"/>
            <w:vMerge/>
            <w:vAlign w:val="center"/>
            <w:hideMark/>
          </w:tcPr>
          <w:p w14:paraId="3C379D09"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230A7A00" w14:textId="77777777" w:rsidTr="0000273F">
        <w:trPr>
          <w:trHeight w:val="612"/>
        </w:trPr>
        <w:tc>
          <w:tcPr>
            <w:tcW w:w="1239" w:type="dxa"/>
            <w:vMerge/>
            <w:vAlign w:val="center"/>
            <w:hideMark/>
          </w:tcPr>
          <w:p w14:paraId="0195EFEC"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7021D5F9"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Parental attachment</w:t>
            </w:r>
          </w:p>
        </w:tc>
        <w:tc>
          <w:tcPr>
            <w:tcW w:w="1700" w:type="dxa"/>
            <w:vAlign w:val="center"/>
          </w:tcPr>
          <w:p w14:paraId="6109DFAD" w14:textId="7EE485A9"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How do you usually get along with the man you live with (father, stepfather…)?</w:t>
            </w:r>
          </w:p>
        </w:tc>
        <w:tc>
          <w:tcPr>
            <w:tcW w:w="1530" w:type="dxa"/>
            <w:vMerge w:val="restart"/>
            <w:shd w:val="clear" w:color="auto" w:fill="auto"/>
            <w:vAlign w:val="center"/>
            <w:hideMark/>
          </w:tcPr>
          <w:p w14:paraId="5D1A95DC" w14:textId="07EE6E4B"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 can talk to my mother/father</w:t>
            </w:r>
          </w:p>
        </w:tc>
        <w:tc>
          <w:tcPr>
            <w:tcW w:w="1080" w:type="dxa"/>
            <w:vMerge w:val="restart"/>
            <w:shd w:val="clear" w:color="auto" w:fill="auto"/>
            <w:vAlign w:val="center"/>
            <w:hideMark/>
          </w:tcPr>
          <w:p w14:paraId="5FF40D95"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 xml:space="preserve">Drake &amp; </w:t>
            </w:r>
            <w:proofErr w:type="spellStart"/>
            <w:r w:rsidRPr="0021432C">
              <w:rPr>
                <w:b/>
                <w:bCs/>
                <w:color w:val="000000"/>
                <w:sz w:val="16"/>
                <w:szCs w:val="16"/>
                <w:lang w:val="en-US" w:eastAsia="en-US"/>
              </w:rPr>
              <w:t>Melde</w:t>
            </w:r>
            <w:proofErr w:type="spellEnd"/>
            <w:r w:rsidRPr="0021432C">
              <w:rPr>
                <w:b/>
                <w:bCs/>
                <w:color w:val="000000"/>
                <w:sz w:val="16"/>
                <w:szCs w:val="16"/>
                <w:lang w:val="en-US" w:eastAsia="en-US"/>
              </w:rPr>
              <w:t xml:space="preserve"> (2014); </w:t>
            </w:r>
            <w:proofErr w:type="spellStart"/>
            <w:r w:rsidRPr="0021432C">
              <w:rPr>
                <w:b/>
                <w:bCs/>
                <w:color w:val="000000"/>
                <w:sz w:val="16"/>
                <w:szCs w:val="16"/>
                <w:lang w:val="en-US" w:eastAsia="en-US"/>
              </w:rPr>
              <w:t>Freng</w:t>
            </w:r>
            <w:proofErr w:type="spellEnd"/>
            <w:r w:rsidRPr="0021432C">
              <w:rPr>
                <w:b/>
                <w:bCs/>
                <w:color w:val="000000"/>
                <w:sz w:val="16"/>
                <w:szCs w:val="16"/>
                <w:lang w:val="en-US" w:eastAsia="en-US"/>
              </w:rPr>
              <w:t xml:space="preserve"> &amp; </w:t>
            </w:r>
            <w:proofErr w:type="spellStart"/>
            <w:r w:rsidRPr="0021432C">
              <w:rPr>
                <w:b/>
                <w:bCs/>
                <w:color w:val="000000"/>
                <w:sz w:val="16"/>
                <w:szCs w:val="16"/>
                <w:lang w:val="en-US" w:eastAsia="en-US"/>
              </w:rPr>
              <w:t>Esbensen</w:t>
            </w:r>
            <w:proofErr w:type="spellEnd"/>
            <w:r w:rsidRPr="0021432C">
              <w:rPr>
                <w:b/>
                <w:bCs/>
                <w:color w:val="000000"/>
                <w:sz w:val="16"/>
                <w:szCs w:val="16"/>
                <w:lang w:val="en-US" w:eastAsia="en-US"/>
              </w:rPr>
              <w:t xml:space="preserve"> (2007)</w:t>
            </w:r>
          </w:p>
        </w:tc>
        <w:tc>
          <w:tcPr>
            <w:tcW w:w="3060" w:type="dxa"/>
            <w:vMerge w:val="restart"/>
            <w:shd w:val="clear" w:color="auto" w:fill="auto"/>
            <w:vAlign w:val="center"/>
            <w:hideMark/>
          </w:tcPr>
          <w:p w14:paraId="6B8D33D6"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A primary source of weakened ties to the family is through parental attachment; prior studies have used a similar item within an index of parental attachment measures.</w:t>
            </w:r>
          </w:p>
        </w:tc>
      </w:tr>
      <w:tr w:rsidR="004567FA" w:rsidRPr="0021432C" w14:paraId="17E0EE54" w14:textId="77777777" w:rsidTr="0000273F">
        <w:trPr>
          <w:trHeight w:val="612"/>
        </w:trPr>
        <w:tc>
          <w:tcPr>
            <w:tcW w:w="1239" w:type="dxa"/>
            <w:vMerge/>
            <w:vAlign w:val="center"/>
            <w:hideMark/>
          </w:tcPr>
          <w:p w14:paraId="63F72325"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1B0C37C8"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191D6768" w14:textId="1FE8B30F"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How do you usually get along with the woman you live with (mother or stepmother)?</w:t>
            </w:r>
          </w:p>
        </w:tc>
        <w:tc>
          <w:tcPr>
            <w:tcW w:w="1530" w:type="dxa"/>
            <w:vMerge/>
            <w:vAlign w:val="center"/>
            <w:hideMark/>
          </w:tcPr>
          <w:p w14:paraId="3EC4B85E" w14:textId="52D6E509" w:rsidR="004567FA" w:rsidRPr="0021432C" w:rsidRDefault="004567FA" w:rsidP="005636E1">
            <w:pPr>
              <w:spacing w:line="240" w:lineRule="auto"/>
              <w:contextualSpacing/>
              <w:rPr>
                <w:color w:val="000000"/>
                <w:sz w:val="16"/>
                <w:szCs w:val="16"/>
                <w:lang w:val="en-US" w:eastAsia="en-US"/>
              </w:rPr>
            </w:pPr>
          </w:p>
        </w:tc>
        <w:tc>
          <w:tcPr>
            <w:tcW w:w="1080" w:type="dxa"/>
            <w:vMerge/>
            <w:vAlign w:val="center"/>
            <w:hideMark/>
          </w:tcPr>
          <w:p w14:paraId="1BE1B748" w14:textId="77777777" w:rsidR="004567FA" w:rsidRPr="0021432C" w:rsidRDefault="004567FA" w:rsidP="005636E1">
            <w:pPr>
              <w:spacing w:line="240" w:lineRule="auto"/>
              <w:contextualSpacing/>
              <w:rPr>
                <w:b/>
                <w:bCs/>
                <w:color w:val="000000"/>
                <w:sz w:val="16"/>
                <w:szCs w:val="16"/>
                <w:lang w:val="en-US" w:eastAsia="en-US"/>
              </w:rPr>
            </w:pPr>
          </w:p>
        </w:tc>
        <w:tc>
          <w:tcPr>
            <w:tcW w:w="3060" w:type="dxa"/>
            <w:vMerge/>
            <w:vAlign w:val="center"/>
            <w:hideMark/>
          </w:tcPr>
          <w:p w14:paraId="022D1DE8"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63332C83" w14:textId="77777777" w:rsidTr="0000273F">
        <w:trPr>
          <w:trHeight w:val="261"/>
        </w:trPr>
        <w:tc>
          <w:tcPr>
            <w:tcW w:w="1239" w:type="dxa"/>
            <w:vMerge w:val="restart"/>
            <w:shd w:val="clear" w:color="auto" w:fill="auto"/>
            <w:noWrap/>
            <w:vAlign w:val="center"/>
            <w:hideMark/>
          </w:tcPr>
          <w:p w14:paraId="2B23C3F7" w14:textId="77777777" w:rsidR="004567FA" w:rsidRPr="0021432C" w:rsidRDefault="004567FA" w:rsidP="005636E1">
            <w:pPr>
              <w:spacing w:line="240" w:lineRule="auto"/>
              <w:contextualSpacing/>
              <w:rPr>
                <w:i/>
                <w:iCs/>
                <w:color w:val="000000"/>
                <w:sz w:val="16"/>
                <w:szCs w:val="16"/>
                <w:lang w:val="en-US" w:eastAsia="en-US"/>
              </w:rPr>
            </w:pPr>
            <w:r w:rsidRPr="0021432C">
              <w:rPr>
                <w:i/>
                <w:iCs/>
                <w:color w:val="000000"/>
                <w:sz w:val="16"/>
                <w:szCs w:val="16"/>
                <w:lang w:val="en-US" w:eastAsia="en-US"/>
              </w:rPr>
              <w:t>Ties to school</w:t>
            </w:r>
          </w:p>
        </w:tc>
        <w:tc>
          <w:tcPr>
            <w:tcW w:w="1461" w:type="dxa"/>
            <w:vMerge w:val="restart"/>
            <w:shd w:val="clear" w:color="auto" w:fill="auto"/>
            <w:vAlign w:val="center"/>
            <w:hideMark/>
          </w:tcPr>
          <w:p w14:paraId="1621B519"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School commitment</w:t>
            </w:r>
          </w:p>
        </w:tc>
        <w:tc>
          <w:tcPr>
            <w:tcW w:w="1700" w:type="dxa"/>
            <w:vAlign w:val="center"/>
          </w:tcPr>
          <w:p w14:paraId="71CF060B" w14:textId="3D2A1A4B"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Do you usually like school?</w:t>
            </w:r>
          </w:p>
        </w:tc>
        <w:tc>
          <w:tcPr>
            <w:tcW w:w="1530" w:type="dxa"/>
            <w:shd w:val="clear" w:color="auto" w:fill="auto"/>
            <w:vAlign w:val="center"/>
            <w:hideMark/>
          </w:tcPr>
          <w:p w14:paraId="262D35CF" w14:textId="1814D228"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 like school</w:t>
            </w:r>
          </w:p>
        </w:tc>
        <w:tc>
          <w:tcPr>
            <w:tcW w:w="1080" w:type="dxa"/>
            <w:vMerge w:val="restart"/>
            <w:shd w:val="clear" w:color="auto" w:fill="auto"/>
            <w:vAlign w:val="center"/>
            <w:hideMark/>
          </w:tcPr>
          <w:p w14:paraId="2F7602BE"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 xml:space="preserve">Drake &amp; </w:t>
            </w:r>
            <w:proofErr w:type="spellStart"/>
            <w:r w:rsidRPr="0021432C">
              <w:rPr>
                <w:b/>
                <w:bCs/>
                <w:color w:val="000000"/>
                <w:sz w:val="16"/>
                <w:szCs w:val="16"/>
                <w:lang w:val="en-US" w:eastAsia="en-US"/>
              </w:rPr>
              <w:t>Melde</w:t>
            </w:r>
            <w:proofErr w:type="spellEnd"/>
            <w:r w:rsidRPr="0021432C">
              <w:rPr>
                <w:b/>
                <w:bCs/>
                <w:color w:val="000000"/>
                <w:sz w:val="16"/>
                <w:szCs w:val="16"/>
                <w:lang w:val="en-US" w:eastAsia="en-US"/>
              </w:rPr>
              <w:t xml:space="preserve"> (2014); </w:t>
            </w:r>
            <w:proofErr w:type="spellStart"/>
            <w:r w:rsidRPr="0021432C">
              <w:rPr>
                <w:b/>
                <w:bCs/>
                <w:color w:val="000000"/>
                <w:sz w:val="16"/>
                <w:szCs w:val="16"/>
                <w:lang w:val="en-US" w:eastAsia="en-US"/>
              </w:rPr>
              <w:t>Freng</w:t>
            </w:r>
            <w:proofErr w:type="spellEnd"/>
            <w:r w:rsidRPr="0021432C">
              <w:rPr>
                <w:b/>
                <w:bCs/>
                <w:color w:val="000000"/>
                <w:sz w:val="16"/>
                <w:szCs w:val="16"/>
                <w:lang w:val="en-US" w:eastAsia="en-US"/>
              </w:rPr>
              <w:t xml:space="preserve"> &amp; </w:t>
            </w:r>
            <w:proofErr w:type="spellStart"/>
            <w:r w:rsidRPr="0021432C">
              <w:rPr>
                <w:b/>
                <w:bCs/>
                <w:color w:val="000000"/>
                <w:sz w:val="16"/>
                <w:szCs w:val="16"/>
                <w:lang w:val="en-US" w:eastAsia="en-US"/>
              </w:rPr>
              <w:t>Esbensen</w:t>
            </w:r>
            <w:proofErr w:type="spellEnd"/>
            <w:r w:rsidRPr="0021432C">
              <w:rPr>
                <w:b/>
                <w:bCs/>
                <w:color w:val="000000"/>
                <w:sz w:val="16"/>
                <w:szCs w:val="16"/>
                <w:lang w:val="en-US" w:eastAsia="en-US"/>
              </w:rPr>
              <w:t xml:space="preserve"> (2007)</w:t>
            </w:r>
          </w:p>
        </w:tc>
        <w:tc>
          <w:tcPr>
            <w:tcW w:w="3060" w:type="dxa"/>
            <w:vMerge w:val="restart"/>
            <w:shd w:val="clear" w:color="auto" w:fill="auto"/>
            <w:vAlign w:val="center"/>
            <w:hideMark/>
          </w:tcPr>
          <w:p w14:paraId="7B255B79"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Items are included to understand school commitment, which is a component of the bond to school related to "engagements", or expression of striving for higher status (Vigil, 2002); prior studies have used similar measures within an index of school commitment.</w:t>
            </w:r>
          </w:p>
        </w:tc>
      </w:tr>
      <w:tr w:rsidR="004567FA" w:rsidRPr="0021432C" w14:paraId="3C17BBB1" w14:textId="77777777" w:rsidTr="0000273F">
        <w:trPr>
          <w:trHeight w:val="972"/>
        </w:trPr>
        <w:tc>
          <w:tcPr>
            <w:tcW w:w="1239" w:type="dxa"/>
            <w:vMerge/>
            <w:vAlign w:val="center"/>
            <w:hideMark/>
          </w:tcPr>
          <w:p w14:paraId="3D3F8BA9"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49DDA5B7"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49BF51CB" w14:textId="133F92E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xml:space="preserve">Outside school how much time do you spend on an average school day on each of these </w:t>
            </w:r>
            <w:proofErr w:type="gramStart"/>
            <w:r w:rsidRPr="0021432C">
              <w:rPr>
                <w:color w:val="000000"/>
                <w:sz w:val="16"/>
                <w:szCs w:val="16"/>
                <w:lang w:val="en-US" w:eastAsia="en-US"/>
              </w:rPr>
              <w:t>activities?:</w:t>
            </w:r>
            <w:proofErr w:type="gramEnd"/>
            <w:r w:rsidRPr="0021432C">
              <w:rPr>
                <w:color w:val="000000"/>
                <w:sz w:val="16"/>
                <w:szCs w:val="16"/>
                <w:lang w:val="en-US" w:eastAsia="en-US"/>
              </w:rPr>
              <w:t xml:space="preserve"> Doing homework</w:t>
            </w:r>
          </w:p>
        </w:tc>
        <w:tc>
          <w:tcPr>
            <w:tcW w:w="1530" w:type="dxa"/>
            <w:shd w:val="clear" w:color="auto" w:fill="auto"/>
            <w:vAlign w:val="center"/>
            <w:hideMark/>
          </w:tcPr>
          <w:p w14:paraId="572B36B8" w14:textId="2E27D912"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 usually finish my homework</w:t>
            </w:r>
          </w:p>
        </w:tc>
        <w:tc>
          <w:tcPr>
            <w:tcW w:w="1080" w:type="dxa"/>
            <w:vMerge/>
            <w:vAlign w:val="center"/>
            <w:hideMark/>
          </w:tcPr>
          <w:p w14:paraId="2FDF177F" w14:textId="77777777" w:rsidR="004567FA" w:rsidRPr="0021432C" w:rsidRDefault="004567FA" w:rsidP="005636E1">
            <w:pPr>
              <w:spacing w:line="240" w:lineRule="auto"/>
              <w:contextualSpacing/>
              <w:rPr>
                <w:b/>
                <w:bCs/>
                <w:color w:val="000000"/>
                <w:sz w:val="16"/>
                <w:szCs w:val="16"/>
                <w:lang w:val="en-US" w:eastAsia="en-US"/>
              </w:rPr>
            </w:pPr>
          </w:p>
        </w:tc>
        <w:tc>
          <w:tcPr>
            <w:tcW w:w="3060" w:type="dxa"/>
            <w:vMerge/>
            <w:vAlign w:val="center"/>
            <w:hideMark/>
          </w:tcPr>
          <w:p w14:paraId="2370DE95"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5D181508" w14:textId="77777777" w:rsidTr="0000273F">
        <w:trPr>
          <w:trHeight w:val="783"/>
        </w:trPr>
        <w:tc>
          <w:tcPr>
            <w:tcW w:w="1239" w:type="dxa"/>
            <w:vMerge/>
            <w:vAlign w:val="center"/>
            <w:hideMark/>
          </w:tcPr>
          <w:p w14:paraId="75884CAA" w14:textId="77777777" w:rsidR="004567FA" w:rsidRPr="0021432C" w:rsidRDefault="004567FA" w:rsidP="005636E1">
            <w:pPr>
              <w:spacing w:line="240" w:lineRule="auto"/>
              <w:contextualSpacing/>
              <w:rPr>
                <w:i/>
                <w:iCs/>
                <w:color w:val="000000"/>
                <w:sz w:val="16"/>
                <w:szCs w:val="16"/>
                <w:lang w:val="en-US" w:eastAsia="en-US"/>
              </w:rPr>
            </w:pPr>
          </w:p>
        </w:tc>
        <w:tc>
          <w:tcPr>
            <w:tcW w:w="1461" w:type="dxa"/>
            <w:shd w:val="clear" w:color="auto" w:fill="auto"/>
            <w:vAlign w:val="center"/>
            <w:hideMark/>
          </w:tcPr>
          <w:p w14:paraId="08F20E05"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School satisfaction</w:t>
            </w:r>
          </w:p>
        </w:tc>
        <w:tc>
          <w:tcPr>
            <w:tcW w:w="1700" w:type="dxa"/>
            <w:vAlign w:val="center"/>
          </w:tcPr>
          <w:p w14:paraId="7B2595C6" w14:textId="08F371BA"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 like my school</w:t>
            </w:r>
          </w:p>
        </w:tc>
        <w:tc>
          <w:tcPr>
            <w:tcW w:w="1530" w:type="dxa"/>
            <w:shd w:val="clear" w:color="auto" w:fill="auto"/>
            <w:vAlign w:val="center"/>
            <w:hideMark/>
          </w:tcPr>
          <w:p w14:paraId="49109DD3" w14:textId="4BB1B2CF"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 am satisfied with my school (Never, sometimes, most of the time)</w:t>
            </w:r>
          </w:p>
        </w:tc>
        <w:tc>
          <w:tcPr>
            <w:tcW w:w="1080" w:type="dxa"/>
            <w:shd w:val="clear" w:color="auto" w:fill="auto"/>
            <w:vAlign w:val="center"/>
            <w:hideMark/>
          </w:tcPr>
          <w:p w14:paraId="1D83707C"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Ventura Miller, Barnes, &amp; Hartley (2011)</w:t>
            </w:r>
          </w:p>
        </w:tc>
        <w:tc>
          <w:tcPr>
            <w:tcW w:w="3060" w:type="dxa"/>
            <w:shd w:val="clear" w:color="auto" w:fill="auto"/>
            <w:vAlign w:val="center"/>
            <w:hideMark/>
          </w:tcPr>
          <w:p w14:paraId="6341599F"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A measure of school satisfaction is also included as a component of the school bond, which needs to be weakened in order for street socialization to occur.</w:t>
            </w:r>
          </w:p>
        </w:tc>
      </w:tr>
      <w:tr w:rsidR="004567FA" w:rsidRPr="0021432C" w14:paraId="60F3C045" w14:textId="77777777" w:rsidTr="0000273F">
        <w:trPr>
          <w:trHeight w:val="801"/>
        </w:trPr>
        <w:tc>
          <w:tcPr>
            <w:tcW w:w="1239" w:type="dxa"/>
            <w:vMerge/>
            <w:vAlign w:val="center"/>
            <w:hideMark/>
          </w:tcPr>
          <w:p w14:paraId="7FEBBFCD" w14:textId="77777777" w:rsidR="004567FA" w:rsidRPr="0021432C" w:rsidRDefault="004567FA" w:rsidP="005636E1">
            <w:pPr>
              <w:spacing w:line="240" w:lineRule="auto"/>
              <w:contextualSpacing/>
              <w:rPr>
                <w:i/>
                <w:iCs/>
                <w:color w:val="000000"/>
                <w:sz w:val="16"/>
                <w:szCs w:val="16"/>
                <w:lang w:val="en-US" w:eastAsia="en-US"/>
              </w:rPr>
            </w:pPr>
          </w:p>
        </w:tc>
        <w:tc>
          <w:tcPr>
            <w:tcW w:w="1461" w:type="dxa"/>
            <w:shd w:val="clear" w:color="auto" w:fill="auto"/>
            <w:vAlign w:val="center"/>
            <w:hideMark/>
          </w:tcPr>
          <w:p w14:paraId="122A0AE5"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School support</w:t>
            </w:r>
          </w:p>
        </w:tc>
        <w:tc>
          <w:tcPr>
            <w:tcW w:w="1700" w:type="dxa"/>
            <w:vAlign w:val="center"/>
          </w:tcPr>
          <w:p w14:paraId="67B1D923" w14:textId="7E5E9CD2"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Teachers do notice when I am doing well and let me know</w:t>
            </w:r>
          </w:p>
        </w:tc>
        <w:tc>
          <w:tcPr>
            <w:tcW w:w="1530" w:type="dxa"/>
            <w:shd w:val="clear" w:color="auto" w:fill="auto"/>
            <w:vAlign w:val="center"/>
            <w:hideMark/>
          </w:tcPr>
          <w:p w14:paraId="71F0AA90" w14:textId="6BEFC051"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At my school, there is a teacher or some other adult who tells me when I do a good job</w:t>
            </w:r>
          </w:p>
        </w:tc>
        <w:tc>
          <w:tcPr>
            <w:tcW w:w="1080" w:type="dxa"/>
            <w:shd w:val="clear" w:color="auto" w:fill="auto"/>
            <w:vAlign w:val="center"/>
            <w:hideMark/>
          </w:tcPr>
          <w:p w14:paraId="38CC3912"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Estrada et al (2013)</w:t>
            </w:r>
          </w:p>
        </w:tc>
        <w:tc>
          <w:tcPr>
            <w:tcW w:w="3060" w:type="dxa"/>
            <w:vMerge w:val="restart"/>
            <w:shd w:val="clear" w:color="auto" w:fill="auto"/>
            <w:vAlign w:val="center"/>
            <w:hideMark/>
          </w:tcPr>
          <w:p w14:paraId="208D1F3A"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Both of these items related to school support and connectedness provide a proxy for school attachment, another component of the school bond.</w:t>
            </w:r>
          </w:p>
        </w:tc>
      </w:tr>
      <w:tr w:rsidR="004567FA" w:rsidRPr="0021432C" w14:paraId="675A36C3" w14:textId="77777777" w:rsidTr="0000273F">
        <w:trPr>
          <w:trHeight w:val="408"/>
        </w:trPr>
        <w:tc>
          <w:tcPr>
            <w:tcW w:w="1239" w:type="dxa"/>
            <w:vMerge/>
            <w:vAlign w:val="center"/>
            <w:hideMark/>
          </w:tcPr>
          <w:p w14:paraId="02240CDC"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3C0DF5B7"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School connectedness</w:t>
            </w:r>
          </w:p>
        </w:tc>
        <w:tc>
          <w:tcPr>
            <w:tcW w:w="1700" w:type="dxa"/>
            <w:vAlign w:val="bottom"/>
          </w:tcPr>
          <w:p w14:paraId="412E1A76" w14:textId="0EB32398"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530" w:type="dxa"/>
            <w:shd w:val="clear" w:color="auto" w:fill="auto"/>
            <w:vAlign w:val="center"/>
            <w:hideMark/>
          </w:tcPr>
          <w:p w14:paraId="7E98443F" w14:textId="2CE3FB58"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 feel close to people at this school</w:t>
            </w:r>
          </w:p>
        </w:tc>
        <w:tc>
          <w:tcPr>
            <w:tcW w:w="1080" w:type="dxa"/>
            <w:vMerge w:val="restart"/>
            <w:shd w:val="clear" w:color="auto" w:fill="auto"/>
            <w:vAlign w:val="center"/>
            <w:hideMark/>
          </w:tcPr>
          <w:p w14:paraId="327F22C4"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Estrada et al (2013)</w:t>
            </w:r>
          </w:p>
        </w:tc>
        <w:tc>
          <w:tcPr>
            <w:tcW w:w="3060" w:type="dxa"/>
            <w:vMerge/>
            <w:vAlign w:val="center"/>
            <w:hideMark/>
          </w:tcPr>
          <w:p w14:paraId="1EACD453"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7A6E8F14" w14:textId="77777777" w:rsidTr="0000273F">
        <w:trPr>
          <w:trHeight w:val="408"/>
        </w:trPr>
        <w:tc>
          <w:tcPr>
            <w:tcW w:w="1239" w:type="dxa"/>
            <w:vMerge/>
            <w:vAlign w:val="center"/>
            <w:hideMark/>
          </w:tcPr>
          <w:p w14:paraId="0AF3C30A"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448E1533"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bottom"/>
          </w:tcPr>
          <w:p w14:paraId="1B1B74AF" w14:textId="09694913"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530" w:type="dxa"/>
            <w:shd w:val="clear" w:color="auto" w:fill="auto"/>
            <w:vAlign w:val="center"/>
            <w:hideMark/>
          </w:tcPr>
          <w:p w14:paraId="19D012B5" w14:textId="20BA0340"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 am happy to be at this school</w:t>
            </w:r>
          </w:p>
        </w:tc>
        <w:tc>
          <w:tcPr>
            <w:tcW w:w="1080" w:type="dxa"/>
            <w:vMerge/>
            <w:vAlign w:val="center"/>
            <w:hideMark/>
          </w:tcPr>
          <w:p w14:paraId="5E6A60AD"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04D8562C"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6F0BA1BE" w14:textId="77777777" w:rsidTr="0000273F">
        <w:trPr>
          <w:trHeight w:val="408"/>
        </w:trPr>
        <w:tc>
          <w:tcPr>
            <w:tcW w:w="1239" w:type="dxa"/>
            <w:vMerge/>
            <w:vAlign w:val="center"/>
            <w:hideMark/>
          </w:tcPr>
          <w:p w14:paraId="7E73DBD6"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3DC59E66"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bottom"/>
          </w:tcPr>
          <w:p w14:paraId="5CD74040" w14:textId="272522FD"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530" w:type="dxa"/>
            <w:shd w:val="clear" w:color="auto" w:fill="auto"/>
            <w:vAlign w:val="center"/>
            <w:hideMark/>
          </w:tcPr>
          <w:p w14:paraId="615A7A0E" w14:textId="07582D8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 feel like I am a part of this school</w:t>
            </w:r>
          </w:p>
        </w:tc>
        <w:tc>
          <w:tcPr>
            <w:tcW w:w="1080" w:type="dxa"/>
            <w:vMerge/>
            <w:vAlign w:val="center"/>
            <w:hideMark/>
          </w:tcPr>
          <w:p w14:paraId="67096478" w14:textId="77777777" w:rsidR="004567FA" w:rsidRPr="0021432C" w:rsidRDefault="004567FA" w:rsidP="005636E1">
            <w:pPr>
              <w:spacing w:line="240" w:lineRule="auto"/>
              <w:contextualSpacing/>
              <w:rPr>
                <w:color w:val="000000"/>
                <w:sz w:val="16"/>
                <w:szCs w:val="16"/>
                <w:lang w:val="en-US" w:eastAsia="en-US"/>
              </w:rPr>
            </w:pPr>
          </w:p>
        </w:tc>
        <w:tc>
          <w:tcPr>
            <w:tcW w:w="3060" w:type="dxa"/>
            <w:vMerge/>
            <w:vAlign w:val="center"/>
            <w:hideMark/>
          </w:tcPr>
          <w:p w14:paraId="7B9DC7EC"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53123FF8" w14:textId="77777777" w:rsidTr="0000273F">
        <w:trPr>
          <w:trHeight w:val="408"/>
        </w:trPr>
        <w:tc>
          <w:tcPr>
            <w:tcW w:w="1239" w:type="dxa"/>
            <w:vMerge/>
            <w:vAlign w:val="center"/>
            <w:hideMark/>
          </w:tcPr>
          <w:p w14:paraId="2C48DD5A"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02608BC2"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5735C5E7" w14:textId="56BC0984"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If I had to move, I would miss my school</w:t>
            </w:r>
          </w:p>
        </w:tc>
        <w:tc>
          <w:tcPr>
            <w:tcW w:w="1530" w:type="dxa"/>
            <w:shd w:val="clear" w:color="auto" w:fill="auto"/>
            <w:vAlign w:val="center"/>
            <w:hideMark/>
          </w:tcPr>
          <w:p w14:paraId="4CDE3E95" w14:textId="48C8B788"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080" w:type="dxa"/>
            <w:shd w:val="clear" w:color="auto" w:fill="auto"/>
            <w:vAlign w:val="center"/>
            <w:hideMark/>
          </w:tcPr>
          <w:p w14:paraId="0513C150"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2C9B0B6E"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11B773F9" w14:textId="77777777" w:rsidTr="0000273F">
        <w:trPr>
          <w:trHeight w:val="378"/>
        </w:trPr>
        <w:tc>
          <w:tcPr>
            <w:tcW w:w="1239" w:type="dxa"/>
            <w:vMerge/>
            <w:vAlign w:val="center"/>
            <w:hideMark/>
          </w:tcPr>
          <w:p w14:paraId="7E2CF218"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1D507D3B"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Academic achievement</w:t>
            </w:r>
          </w:p>
        </w:tc>
        <w:tc>
          <w:tcPr>
            <w:tcW w:w="1700" w:type="dxa"/>
            <w:vAlign w:val="bottom"/>
          </w:tcPr>
          <w:p w14:paraId="320A9A7D" w14:textId="06C60358"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530" w:type="dxa"/>
            <w:shd w:val="clear" w:color="auto" w:fill="auto"/>
            <w:vAlign w:val="center"/>
            <w:hideMark/>
          </w:tcPr>
          <w:p w14:paraId="33E0F350" w14:textId="44F62588"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Self-reported average letter grade at Wave 4 (age 15.5)</w:t>
            </w:r>
          </w:p>
        </w:tc>
        <w:tc>
          <w:tcPr>
            <w:tcW w:w="1080" w:type="dxa"/>
            <w:shd w:val="clear" w:color="auto" w:fill="auto"/>
            <w:vAlign w:val="center"/>
            <w:hideMark/>
          </w:tcPr>
          <w:p w14:paraId="57E3045A" w14:textId="77777777" w:rsidR="004567FA" w:rsidRPr="0021432C" w:rsidRDefault="004567FA" w:rsidP="005636E1">
            <w:pPr>
              <w:spacing w:line="240" w:lineRule="auto"/>
              <w:contextualSpacing/>
              <w:rPr>
                <w:b/>
                <w:bCs/>
                <w:color w:val="000000"/>
                <w:sz w:val="16"/>
                <w:szCs w:val="16"/>
                <w:lang w:val="en-US" w:eastAsia="en-US"/>
              </w:rPr>
            </w:pPr>
            <w:proofErr w:type="spellStart"/>
            <w:r w:rsidRPr="0021432C">
              <w:rPr>
                <w:b/>
                <w:bCs/>
                <w:color w:val="000000"/>
                <w:sz w:val="16"/>
                <w:szCs w:val="16"/>
                <w:lang w:val="en-US" w:eastAsia="en-US"/>
              </w:rPr>
              <w:t>Krohn</w:t>
            </w:r>
            <w:proofErr w:type="spellEnd"/>
            <w:r w:rsidRPr="0021432C">
              <w:rPr>
                <w:b/>
                <w:bCs/>
                <w:color w:val="000000"/>
                <w:sz w:val="16"/>
                <w:szCs w:val="16"/>
                <w:lang w:val="en-US" w:eastAsia="en-US"/>
              </w:rPr>
              <w:t xml:space="preserve"> et al (2011)</w:t>
            </w:r>
          </w:p>
        </w:tc>
        <w:tc>
          <w:tcPr>
            <w:tcW w:w="3060" w:type="dxa"/>
            <w:vMerge w:val="restart"/>
            <w:shd w:val="clear" w:color="auto" w:fill="auto"/>
            <w:vAlign w:val="center"/>
            <w:hideMark/>
          </w:tcPr>
          <w:p w14:paraId="72C88587" w14:textId="1F79377B"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Prior research has included academic achievement and other school-related measures in their analyses of gang involvement, as Vigil (1999) suggests these school-related measures should be predictive of gang involvement (though his focus was on Hispanic individuals in particular). Academic achievement may also be an indicator of commitment to conventional society, and has been demonstrated to be a protective factor against antisocial behavior (Losel, 2001).</w:t>
            </w:r>
          </w:p>
        </w:tc>
      </w:tr>
      <w:tr w:rsidR="004567FA" w:rsidRPr="0021432C" w14:paraId="240404A5" w14:textId="77777777" w:rsidTr="0000273F">
        <w:trPr>
          <w:trHeight w:val="612"/>
        </w:trPr>
        <w:tc>
          <w:tcPr>
            <w:tcW w:w="1239" w:type="dxa"/>
            <w:vMerge/>
            <w:vAlign w:val="center"/>
            <w:hideMark/>
          </w:tcPr>
          <w:p w14:paraId="45E8C889"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0E6208A3"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28314541" w14:textId="757AFA24"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How well do you do in school compared to other students in your class?</w:t>
            </w:r>
          </w:p>
        </w:tc>
        <w:tc>
          <w:tcPr>
            <w:tcW w:w="1530" w:type="dxa"/>
            <w:shd w:val="clear" w:color="auto" w:fill="auto"/>
            <w:vAlign w:val="center"/>
            <w:hideMark/>
          </w:tcPr>
          <w:p w14:paraId="61F21906" w14:textId="5BD57D35"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080" w:type="dxa"/>
            <w:shd w:val="clear" w:color="auto" w:fill="auto"/>
            <w:vAlign w:val="center"/>
            <w:hideMark/>
          </w:tcPr>
          <w:p w14:paraId="1FB6E3C8"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1B90FB43"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234FE719" w14:textId="77777777" w:rsidTr="0000273F">
        <w:trPr>
          <w:trHeight w:val="639"/>
        </w:trPr>
        <w:tc>
          <w:tcPr>
            <w:tcW w:w="1239" w:type="dxa"/>
            <w:vMerge/>
            <w:vAlign w:val="center"/>
            <w:hideMark/>
          </w:tcPr>
          <w:p w14:paraId="4932F679"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43265334"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32D0E4AE" w14:textId="09DB399B"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xml:space="preserve">Have you ever been held </w:t>
            </w:r>
            <w:proofErr w:type="gramStart"/>
            <w:r w:rsidRPr="0021432C">
              <w:rPr>
                <w:color w:val="000000"/>
                <w:sz w:val="16"/>
                <w:szCs w:val="16"/>
                <w:lang w:val="en-US" w:eastAsia="en-US"/>
              </w:rPr>
              <w:t>back,</w:t>
            </w:r>
            <w:proofErr w:type="gramEnd"/>
            <w:r w:rsidRPr="0021432C">
              <w:rPr>
                <w:color w:val="000000"/>
                <w:sz w:val="16"/>
                <w:szCs w:val="16"/>
                <w:lang w:val="en-US" w:eastAsia="en-US"/>
              </w:rPr>
              <w:t xml:space="preserve"> did you ever have to repeat a grade?</w:t>
            </w:r>
          </w:p>
        </w:tc>
        <w:tc>
          <w:tcPr>
            <w:tcW w:w="1530" w:type="dxa"/>
            <w:shd w:val="clear" w:color="auto" w:fill="auto"/>
            <w:vAlign w:val="center"/>
            <w:hideMark/>
          </w:tcPr>
          <w:p w14:paraId="3052C42A" w14:textId="053A90C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080" w:type="dxa"/>
            <w:shd w:val="clear" w:color="auto" w:fill="auto"/>
            <w:vAlign w:val="center"/>
            <w:hideMark/>
          </w:tcPr>
          <w:p w14:paraId="723C43AA"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58FAA9C6"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7DBD719C" w14:textId="77777777" w:rsidTr="0000273F">
        <w:trPr>
          <w:trHeight w:val="423"/>
        </w:trPr>
        <w:tc>
          <w:tcPr>
            <w:tcW w:w="1239" w:type="dxa"/>
            <w:vMerge/>
            <w:vAlign w:val="center"/>
            <w:hideMark/>
          </w:tcPr>
          <w:p w14:paraId="4B617F93"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76680DE7"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Trouble at school</w:t>
            </w:r>
          </w:p>
        </w:tc>
        <w:tc>
          <w:tcPr>
            <w:tcW w:w="1700" w:type="dxa"/>
            <w:vAlign w:val="bottom"/>
          </w:tcPr>
          <w:p w14:paraId="795625CA" w14:textId="3A3DB2F8"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530" w:type="dxa"/>
            <w:shd w:val="clear" w:color="auto" w:fill="auto"/>
            <w:vAlign w:val="center"/>
            <w:hideMark/>
          </w:tcPr>
          <w:p w14:paraId="10EA5F84" w14:textId="12E1BE81"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Whether they have gotten in trouble in school</w:t>
            </w:r>
          </w:p>
        </w:tc>
        <w:tc>
          <w:tcPr>
            <w:tcW w:w="1080" w:type="dxa"/>
            <w:shd w:val="clear" w:color="auto" w:fill="auto"/>
            <w:vAlign w:val="center"/>
            <w:hideMark/>
          </w:tcPr>
          <w:p w14:paraId="0A5F0387" w14:textId="77777777" w:rsidR="004567FA" w:rsidRPr="0021432C" w:rsidRDefault="004567FA" w:rsidP="005636E1">
            <w:pPr>
              <w:spacing w:line="240" w:lineRule="auto"/>
              <w:contextualSpacing/>
              <w:rPr>
                <w:color w:val="000000"/>
                <w:sz w:val="16"/>
                <w:szCs w:val="16"/>
                <w:lang w:val="en-US" w:eastAsia="en-US"/>
              </w:rPr>
            </w:pPr>
            <w:proofErr w:type="spellStart"/>
            <w:r w:rsidRPr="0021432C">
              <w:rPr>
                <w:color w:val="000000"/>
                <w:sz w:val="16"/>
                <w:szCs w:val="16"/>
                <w:lang w:val="en-US" w:eastAsia="en-US"/>
              </w:rPr>
              <w:t>Hautala</w:t>
            </w:r>
            <w:proofErr w:type="spellEnd"/>
            <w:r w:rsidRPr="0021432C">
              <w:rPr>
                <w:color w:val="000000"/>
                <w:sz w:val="16"/>
                <w:szCs w:val="16"/>
                <w:lang w:val="en-US" w:eastAsia="en-US"/>
              </w:rPr>
              <w:t xml:space="preserve"> et al (2016)</w:t>
            </w:r>
          </w:p>
        </w:tc>
        <w:tc>
          <w:tcPr>
            <w:tcW w:w="3060" w:type="dxa"/>
            <w:vMerge w:val="restart"/>
            <w:shd w:val="clear" w:color="auto" w:fill="auto"/>
            <w:vAlign w:val="center"/>
            <w:hideMark/>
          </w:tcPr>
          <w:p w14:paraId="6107A7CE"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Vigil (1999) has linked gang membership with trouble at school, and truancy could be one way in which school social control mechanisms are "all but absent" (Vigil, 2003, p. 235).</w:t>
            </w:r>
          </w:p>
        </w:tc>
      </w:tr>
      <w:tr w:rsidR="004567FA" w:rsidRPr="0021432C" w14:paraId="311F614C" w14:textId="77777777" w:rsidTr="0000273F">
        <w:trPr>
          <w:trHeight w:val="513"/>
        </w:trPr>
        <w:tc>
          <w:tcPr>
            <w:tcW w:w="1239" w:type="dxa"/>
            <w:vMerge/>
            <w:vAlign w:val="center"/>
            <w:hideMark/>
          </w:tcPr>
          <w:p w14:paraId="67BC5D76"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405A785F"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5CFC8209" w14:textId="6C07AEC1"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Did you ever stay away from school for at least a whole day without legitimate excuse in the last 12 months?</w:t>
            </w:r>
          </w:p>
        </w:tc>
        <w:tc>
          <w:tcPr>
            <w:tcW w:w="1530" w:type="dxa"/>
            <w:shd w:val="clear" w:color="auto" w:fill="auto"/>
            <w:vAlign w:val="center"/>
            <w:hideMark/>
          </w:tcPr>
          <w:p w14:paraId="69C89BB1" w14:textId="78F4A8CC"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080" w:type="dxa"/>
            <w:shd w:val="clear" w:color="auto" w:fill="auto"/>
            <w:vAlign w:val="center"/>
            <w:hideMark/>
          </w:tcPr>
          <w:p w14:paraId="5009C492"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6642F0DE"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6698BC5B" w14:textId="77777777" w:rsidTr="0000273F">
        <w:trPr>
          <w:trHeight w:val="63"/>
        </w:trPr>
        <w:tc>
          <w:tcPr>
            <w:tcW w:w="1239" w:type="dxa"/>
            <w:vMerge w:val="restart"/>
            <w:shd w:val="clear" w:color="auto" w:fill="auto"/>
            <w:vAlign w:val="center"/>
            <w:hideMark/>
          </w:tcPr>
          <w:p w14:paraId="1BE462A0" w14:textId="77777777" w:rsidR="004567FA" w:rsidRPr="0021432C" w:rsidRDefault="004567FA" w:rsidP="005636E1">
            <w:pPr>
              <w:spacing w:line="240" w:lineRule="auto"/>
              <w:contextualSpacing/>
              <w:rPr>
                <w:i/>
                <w:iCs/>
                <w:color w:val="000000"/>
                <w:sz w:val="16"/>
                <w:szCs w:val="16"/>
                <w:lang w:val="en-US" w:eastAsia="en-US"/>
              </w:rPr>
            </w:pPr>
            <w:r w:rsidRPr="0021432C">
              <w:rPr>
                <w:i/>
                <w:iCs/>
                <w:color w:val="000000"/>
                <w:sz w:val="16"/>
                <w:szCs w:val="16"/>
                <w:lang w:val="en-US" w:eastAsia="en-US"/>
              </w:rPr>
              <w:t>Street socialization</w:t>
            </w:r>
          </w:p>
        </w:tc>
        <w:tc>
          <w:tcPr>
            <w:tcW w:w="1461" w:type="dxa"/>
            <w:shd w:val="clear" w:color="auto" w:fill="auto"/>
            <w:vAlign w:val="center"/>
            <w:hideMark/>
          </w:tcPr>
          <w:p w14:paraId="23A84894"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Spend time with friends with drugs and alcohol</w:t>
            </w:r>
          </w:p>
        </w:tc>
        <w:tc>
          <w:tcPr>
            <w:tcW w:w="1700" w:type="dxa"/>
            <w:vAlign w:val="center"/>
          </w:tcPr>
          <w:p w14:paraId="76ABA0FB" w14:textId="7DC81A12"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When you hang out with your friends, we usually... drink a lot of beer/alcohol or take drugs</w:t>
            </w:r>
          </w:p>
        </w:tc>
        <w:tc>
          <w:tcPr>
            <w:tcW w:w="1530" w:type="dxa"/>
            <w:shd w:val="clear" w:color="auto" w:fill="auto"/>
            <w:vAlign w:val="center"/>
            <w:hideMark/>
          </w:tcPr>
          <w:p w14:paraId="09F50EF1" w14:textId="5E156AB6"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Do youth spend time with friends in the presence of drugs and alcohol</w:t>
            </w:r>
          </w:p>
        </w:tc>
        <w:tc>
          <w:tcPr>
            <w:tcW w:w="1080" w:type="dxa"/>
            <w:shd w:val="clear" w:color="auto" w:fill="auto"/>
            <w:vAlign w:val="center"/>
            <w:hideMark/>
          </w:tcPr>
          <w:p w14:paraId="194AD75F"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 xml:space="preserve">Drake &amp; </w:t>
            </w:r>
            <w:proofErr w:type="spellStart"/>
            <w:r w:rsidRPr="0021432C">
              <w:rPr>
                <w:b/>
                <w:bCs/>
                <w:color w:val="000000"/>
                <w:sz w:val="16"/>
                <w:szCs w:val="16"/>
                <w:lang w:val="en-US" w:eastAsia="en-US"/>
              </w:rPr>
              <w:t>Melde</w:t>
            </w:r>
            <w:proofErr w:type="spellEnd"/>
            <w:r w:rsidRPr="0021432C">
              <w:rPr>
                <w:b/>
                <w:bCs/>
                <w:color w:val="000000"/>
                <w:sz w:val="16"/>
                <w:szCs w:val="16"/>
                <w:lang w:val="en-US" w:eastAsia="en-US"/>
              </w:rPr>
              <w:t xml:space="preserve"> (2014); </w:t>
            </w:r>
            <w:proofErr w:type="spellStart"/>
            <w:r w:rsidRPr="0021432C">
              <w:rPr>
                <w:b/>
                <w:bCs/>
                <w:color w:val="000000"/>
                <w:sz w:val="16"/>
                <w:szCs w:val="16"/>
                <w:lang w:val="en-US" w:eastAsia="en-US"/>
              </w:rPr>
              <w:t>Freng</w:t>
            </w:r>
            <w:proofErr w:type="spellEnd"/>
            <w:r w:rsidRPr="0021432C">
              <w:rPr>
                <w:b/>
                <w:bCs/>
                <w:color w:val="000000"/>
                <w:sz w:val="16"/>
                <w:szCs w:val="16"/>
                <w:lang w:val="en-US" w:eastAsia="en-US"/>
              </w:rPr>
              <w:t xml:space="preserve"> &amp; </w:t>
            </w:r>
            <w:proofErr w:type="spellStart"/>
            <w:r w:rsidRPr="0021432C">
              <w:rPr>
                <w:b/>
                <w:bCs/>
                <w:color w:val="000000"/>
                <w:sz w:val="16"/>
                <w:szCs w:val="16"/>
                <w:lang w:val="en-US" w:eastAsia="en-US"/>
              </w:rPr>
              <w:t>Esbensen</w:t>
            </w:r>
            <w:proofErr w:type="spellEnd"/>
            <w:r w:rsidRPr="0021432C">
              <w:rPr>
                <w:b/>
                <w:bCs/>
                <w:color w:val="000000"/>
                <w:sz w:val="16"/>
                <w:szCs w:val="16"/>
                <w:lang w:val="en-US" w:eastAsia="en-US"/>
              </w:rPr>
              <w:t xml:space="preserve"> (2007)</w:t>
            </w:r>
          </w:p>
        </w:tc>
        <w:tc>
          <w:tcPr>
            <w:tcW w:w="3060" w:type="dxa"/>
            <w:vMerge w:val="restart"/>
            <w:shd w:val="clear" w:color="auto" w:fill="auto"/>
            <w:vAlign w:val="center"/>
            <w:hideMark/>
          </w:tcPr>
          <w:p w14:paraId="77F0A938"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 xml:space="preserve">Street socialization is the process by which youth are molded “to conform to the ways of the street” and usually occurs within the context of peers (Vigil, 2002, p. 10; Vigil, 2004). Items are included that relate to deviant activities with peers, as have been used in prior </w:t>
            </w:r>
            <w:proofErr w:type="gramStart"/>
            <w:r w:rsidRPr="0021432C">
              <w:rPr>
                <w:color w:val="000000"/>
                <w:sz w:val="16"/>
                <w:szCs w:val="16"/>
                <w:lang w:val="en-US" w:eastAsia="en-US"/>
              </w:rPr>
              <w:t>studies.*</w:t>
            </w:r>
            <w:proofErr w:type="gramEnd"/>
          </w:p>
        </w:tc>
      </w:tr>
      <w:tr w:rsidR="004567FA" w:rsidRPr="0021432C" w14:paraId="004517C9" w14:textId="77777777" w:rsidTr="0000273F">
        <w:trPr>
          <w:trHeight w:val="585"/>
        </w:trPr>
        <w:tc>
          <w:tcPr>
            <w:tcW w:w="1239" w:type="dxa"/>
            <w:vMerge/>
            <w:vAlign w:val="center"/>
            <w:hideMark/>
          </w:tcPr>
          <w:p w14:paraId="0C7EE85F" w14:textId="77777777" w:rsidR="004567FA" w:rsidRPr="0021432C" w:rsidRDefault="004567FA" w:rsidP="005636E1">
            <w:pPr>
              <w:spacing w:line="240" w:lineRule="auto"/>
              <w:contextualSpacing/>
              <w:rPr>
                <w:i/>
                <w:iCs/>
                <w:color w:val="000000"/>
                <w:sz w:val="16"/>
                <w:szCs w:val="16"/>
                <w:lang w:val="en-US" w:eastAsia="en-US"/>
              </w:rPr>
            </w:pPr>
          </w:p>
        </w:tc>
        <w:tc>
          <w:tcPr>
            <w:tcW w:w="1461" w:type="dxa"/>
            <w:shd w:val="clear" w:color="auto" w:fill="auto"/>
            <w:vAlign w:val="center"/>
            <w:hideMark/>
          </w:tcPr>
          <w:p w14:paraId="7BA53AE8"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Risky time with friends</w:t>
            </w:r>
          </w:p>
        </w:tc>
        <w:tc>
          <w:tcPr>
            <w:tcW w:w="1700" w:type="dxa"/>
            <w:vAlign w:val="bottom"/>
          </w:tcPr>
          <w:p w14:paraId="3E6036BC" w14:textId="009D1D6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530" w:type="dxa"/>
            <w:shd w:val="clear" w:color="auto" w:fill="auto"/>
            <w:vAlign w:val="center"/>
            <w:hideMark/>
          </w:tcPr>
          <w:p w14:paraId="0CD1D18B" w14:textId="314BA75C"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The amount of time spent with the participant's 3 riskiest friends</w:t>
            </w:r>
          </w:p>
        </w:tc>
        <w:tc>
          <w:tcPr>
            <w:tcW w:w="1080" w:type="dxa"/>
            <w:shd w:val="clear" w:color="auto" w:fill="auto"/>
            <w:vAlign w:val="center"/>
            <w:hideMark/>
          </w:tcPr>
          <w:p w14:paraId="68606D54" w14:textId="77777777" w:rsidR="004567FA" w:rsidRPr="0021432C" w:rsidRDefault="004567FA" w:rsidP="005636E1">
            <w:pPr>
              <w:spacing w:line="240" w:lineRule="auto"/>
              <w:contextualSpacing/>
              <w:rPr>
                <w:b/>
                <w:bCs/>
                <w:color w:val="000000"/>
                <w:sz w:val="16"/>
                <w:szCs w:val="16"/>
                <w:lang w:val="en-US" w:eastAsia="en-US"/>
              </w:rPr>
            </w:pPr>
            <w:proofErr w:type="spellStart"/>
            <w:r w:rsidRPr="0021432C">
              <w:rPr>
                <w:b/>
                <w:bCs/>
                <w:color w:val="000000"/>
                <w:sz w:val="16"/>
                <w:szCs w:val="16"/>
                <w:lang w:val="en-US" w:eastAsia="en-US"/>
              </w:rPr>
              <w:t>Krohn</w:t>
            </w:r>
            <w:proofErr w:type="spellEnd"/>
            <w:r w:rsidRPr="0021432C">
              <w:rPr>
                <w:b/>
                <w:bCs/>
                <w:color w:val="000000"/>
                <w:sz w:val="16"/>
                <w:szCs w:val="16"/>
                <w:lang w:val="en-US" w:eastAsia="en-US"/>
              </w:rPr>
              <w:t xml:space="preserve"> et al (2011)</w:t>
            </w:r>
          </w:p>
        </w:tc>
        <w:tc>
          <w:tcPr>
            <w:tcW w:w="3060" w:type="dxa"/>
            <w:vMerge/>
            <w:vAlign w:val="center"/>
            <w:hideMark/>
          </w:tcPr>
          <w:p w14:paraId="32A50888"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083FB031" w14:textId="77777777" w:rsidTr="0000273F">
        <w:trPr>
          <w:trHeight w:val="408"/>
        </w:trPr>
        <w:tc>
          <w:tcPr>
            <w:tcW w:w="1239" w:type="dxa"/>
            <w:vMerge/>
            <w:vAlign w:val="center"/>
            <w:hideMark/>
          </w:tcPr>
          <w:p w14:paraId="75AE2D58"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restart"/>
            <w:shd w:val="clear" w:color="auto" w:fill="auto"/>
            <w:vAlign w:val="center"/>
            <w:hideMark/>
          </w:tcPr>
          <w:p w14:paraId="360E7312"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Other antisocial behavior with friends</w:t>
            </w:r>
          </w:p>
        </w:tc>
        <w:tc>
          <w:tcPr>
            <w:tcW w:w="1700" w:type="dxa"/>
            <w:vAlign w:val="center"/>
          </w:tcPr>
          <w:p w14:paraId="59D894CF" w14:textId="267DAB72"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smash or vandalize things just for fun</w:t>
            </w:r>
          </w:p>
        </w:tc>
        <w:tc>
          <w:tcPr>
            <w:tcW w:w="1530" w:type="dxa"/>
            <w:shd w:val="clear" w:color="auto" w:fill="auto"/>
            <w:vAlign w:val="center"/>
            <w:hideMark/>
          </w:tcPr>
          <w:p w14:paraId="63614331" w14:textId="0C209AA0"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080" w:type="dxa"/>
            <w:shd w:val="clear" w:color="auto" w:fill="auto"/>
            <w:vAlign w:val="center"/>
            <w:hideMark/>
          </w:tcPr>
          <w:p w14:paraId="255B9DD9"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4CC6F8B2"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334BD0E2" w14:textId="77777777" w:rsidTr="0000273F">
        <w:trPr>
          <w:trHeight w:val="288"/>
        </w:trPr>
        <w:tc>
          <w:tcPr>
            <w:tcW w:w="1239" w:type="dxa"/>
            <w:vMerge/>
            <w:vAlign w:val="center"/>
            <w:hideMark/>
          </w:tcPr>
          <w:p w14:paraId="0E56EE04"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37F5DB5B"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5D08FE88" w14:textId="3E2702A4"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shoplift just for fun</w:t>
            </w:r>
          </w:p>
        </w:tc>
        <w:tc>
          <w:tcPr>
            <w:tcW w:w="1530" w:type="dxa"/>
            <w:shd w:val="clear" w:color="auto" w:fill="auto"/>
            <w:vAlign w:val="center"/>
            <w:hideMark/>
          </w:tcPr>
          <w:p w14:paraId="6DED0BF8" w14:textId="64D1BB3D"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080" w:type="dxa"/>
            <w:shd w:val="clear" w:color="auto" w:fill="auto"/>
            <w:vAlign w:val="center"/>
            <w:hideMark/>
          </w:tcPr>
          <w:p w14:paraId="39F12819"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46FB572A"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3146CC9A" w14:textId="77777777" w:rsidTr="0000273F">
        <w:trPr>
          <w:trHeight w:val="48"/>
        </w:trPr>
        <w:tc>
          <w:tcPr>
            <w:tcW w:w="1239" w:type="dxa"/>
            <w:vMerge/>
            <w:vAlign w:val="center"/>
            <w:hideMark/>
          </w:tcPr>
          <w:p w14:paraId="7E9933C8"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56647D03"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182C6C4B" w14:textId="799D24D4"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xml:space="preserve">... frighten and annoy people around us just for fun </w:t>
            </w:r>
          </w:p>
        </w:tc>
        <w:tc>
          <w:tcPr>
            <w:tcW w:w="1530" w:type="dxa"/>
            <w:shd w:val="clear" w:color="auto" w:fill="auto"/>
            <w:vAlign w:val="center"/>
            <w:hideMark/>
          </w:tcPr>
          <w:p w14:paraId="681CB195" w14:textId="3D198C69"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080" w:type="dxa"/>
            <w:shd w:val="clear" w:color="auto" w:fill="auto"/>
            <w:vAlign w:val="center"/>
            <w:hideMark/>
          </w:tcPr>
          <w:p w14:paraId="2FD584A3"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vMerge/>
            <w:vAlign w:val="center"/>
            <w:hideMark/>
          </w:tcPr>
          <w:p w14:paraId="28BE8D7D" w14:textId="77777777" w:rsidR="004567FA" w:rsidRPr="0021432C" w:rsidRDefault="004567FA" w:rsidP="005636E1">
            <w:pPr>
              <w:spacing w:line="240" w:lineRule="auto"/>
              <w:contextualSpacing/>
              <w:jc w:val="center"/>
              <w:rPr>
                <w:color w:val="000000"/>
                <w:sz w:val="16"/>
                <w:szCs w:val="16"/>
                <w:lang w:val="en-US" w:eastAsia="en-US"/>
              </w:rPr>
            </w:pPr>
          </w:p>
        </w:tc>
      </w:tr>
      <w:tr w:rsidR="004567FA" w:rsidRPr="0021432C" w14:paraId="31A49CC1" w14:textId="77777777" w:rsidTr="0000273F">
        <w:trPr>
          <w:trHeight w:val="612"/>
        </w:trPr>
        <w:tc>
          <w:tcPr>
            <w:tcW w:w="1239" w:type="dxa"/>
            <w:vMerge w:val="restart"/>
            <w:shd w:val="clear" w:color="auto" w:fill="auto"/>
            <w:vAlign w:val="center"/>
            <w:hideMark/>
          </w:tcPr>
          <w:p w14:paraId="042401C5" w14:textId="77777777" w:rsidR="004567FA" w:rsidRPr="0021432C" w:rsidRDefault="004567FA" w:rsidP="005636E1">
            <w:pPr>
              <w:spacing w:line="240" w:lineRule="auto"/>
              <w:contextualSpacing/>
              <w:rPr>
                <w:i/>
                <w:iCs/>
                <w:color w:val="000000"/>
                <w:sz w:val="16"/>
                <w:szCs w:val="16"/>
                <w:lang w:val="en-US" w:eastAsia="en-US"/>
              </w:rPr>
            </w:pPr>
            <w:r w:rsidRPr="0021432C">
              <w:rPr>
                <w:i/>
                <w:iCs/>
                <w:color w:val="000000"/>
                <w:sz w:val="16"/>
                <w:szCs w:val="16"/>
                <w:lang w:val="en-US" w:eastAsia="en-US"/>
              </w:rPr>
              <w:t>Street subculture/ identity</w:t>
            </w:r>
          </w:p>
        </w:tc>
        <w:tc>
          <w:tcPr>
            <w:tcW w:w="1461" w:type="dxa"/>
            <w:vMerge w:val="restart"/>
            <w:shd w:val="clear" w:color="auto" w:fill="auto"/>
            <w:vAlign w:val="center"/>
            <w:hideMark/>
          </w:tcPr>
          <w:p w14:paraId="7464A387"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Attitudes towards violence/ Techniques of neutralization</w:t>
            </w:r>
          </w:p>
        </w:tc>
        <w:tc>
          <w:tcPr>
            <w:tcW w:w="1700" w:type="dxa"/>
            <w:vAlign w:val="center"/>
          </w:tcPr>
          <w:p w14:paraId="5AFDA80B" w14:textId="1C9ADA0B"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If somebody attacks me, I will hit him/her back</w:t>
            </w:r>
          </w:p>
        </w:tc>
        <w:tc>
          <w:tcPr>
            <w:tcW w:w="1530" w:type="dxa"/>
            <w:shd w:val="clear" w:color="auto" w:fill="auto"/>
            <w:vAlign w:val="center"/>
            <w:hideMark/>
          </w:tcPr>
          <w:p w14:paraId="53E25E63" w14:textId="7B432C0B"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Get into a physical fight with someone if they hit you first</w:t>
            </w:r>
          </w:p>
        </w:tc>
        <w:tc>
          <w:tcPr>
            <w:tcW w:w="1080" w:type="dxa"/>
            <w:vMerge w:val="restart"/>
            <w:shd w:val="clear" w:color="auto" w:fill="auto"/>
            <w:vAlign w:val="center"/>
            <w:hideMark/>
          </w:tcPr>
          <w:p w14:paraId="2E4BEEFB" w14:textId="77777777" w:rsidR="004567FA" w:rsidRPr="0021432C" w:rsidRDefault="004567FA" w:rsidP="005636E1">
            <w:pPr>
              <w:spacing w:line="240" w:lineRule="auto"/>
              <w:contextualSpacing/>
              <w:rPr>
                <w:b/>
                <w:bCs/>
                <w:color w:val="000000"/>
                <w:sz w:val="16"/>
                <w:szCs w:val="16"/>
                <w:lang w:val="en-US" w:eastAsia="en-US"/>
              </w:rPr>
            </w:pPr>
            <w:r w:rsidRPr="0021432C">
              <w:rPr>
                <w:b/>
                <w:bCs/>
                <w:color w:val="000000"/>
                <w:sz w:val="16"/>
                <w:szCs w:val="16"/>
                <w:lang w:val="en-US" w:eastAsia="en-US"/>
              </w:rPr>
              <w:t xml:space="preserve">Drake &amp; </w:t>
            </w:r>
            <w:proofErr w:type="spellStart"/>
            <w:r w:rsidRPr="0021432C">
              <w:rPr>
                <w:b/>
                <w:bCs/>
                <w:color w:val="000000"/>
                <w:sz w:val="16"/>
                <w:szCs w:val="16"/>
                <w:lang w:val="en-US" w:eastAsia="en-US"/>
              </w:rPr>
              <w:t>Melde</w:t>
            </w:r>
            <w:proofErr w:type="spellEnd"/>
            <w:r w:rsidRPr="0021432C">
              <w:rPr>
                <w:b/>
                <w:bCs/>
                <w:color w:val="000000"/>
                <w:sz w:val="16"/>
                <w:szCs w:val="16"/>
                <w:lang w:val="en-US" w:eastAsia="en-US"/>
              </w:rPr>
              <w:t xml:space="preserve"> (2014); </w:t>
            </w:r>
            <w:proofErr w:type="spellStart"/>
            <w:r w:rsidRPr="0021432C">
              <w:rPr>
                <w:b/>
                <w:bCs/>
                <w:color w:val="000000"/>
                <w:sz w:val="16"/>
                <w:szCs w:val="16"/>
                <w:lang w:val="en-US" w:eastAsia="en-US"/>
              </w:rPr>
              <w:t>Freng</w:t>
            </w:r>
            <w:proofErr w:type="spellEnd"/>
            <w:r w:rsidRPr="0021432C">
              <w:rPr>
                <w:b/>
                <w:bCs/>
                <w:color w:val="000000"/>
                <w:sz w:val="16"/>
                <w:szCs w:val="16"/>
                <w:lang w:val="en-US" w:eastAsia="en-US"/>
              </w:rPr>
              <w:t xml:space="preserve"> &amp; </w:t>
            </w:r>
            <w:proofErr w:type="spellStart"/>
            <w:r w:rsidRPr="0021432C">
              <w:rPr>
                <w:b/>
                <w:bCs/>
                <w:color w:val="000000"/>
                <w:sz w:val="16"/>
                <w:szCs w:val="16"/>
                <w:lang w:val="en-US" w:eastAsia="en-US"/>
              </w:rPr>
              <w:t>Esbensen</w:t>
            </w:r>
            <w:proofErr w:type="spellEnd"/>
            <w:r w:rsidRPr="0021432C">
              <w:rPr>
                <w:b/>
                <w:bCs/>
                <w:color w:val="000000"/>
                <w:sz w:val="16"/>
                <w:szCs w:val="16"/>
                <w:lang w:val="en-US" w:eastAsia="en-US"/>
              </w:rPr>
              <w:t xml:space="preserve"> (2007)</w:t>
            </w:r>
          </w:p>
        </w:tc>
        <w:tc>
          <w:tcPr>
            <w:tcW w:w="3060" w:type="dxa"/>
            <w:vMerge w:val="restart"/>
            <w:shd w:val="clear" w:color="auto" w:fill="auto"/>
            <w:vAlign w:val="center"/>
            <w:hideMark/>
          </w:tcPr>
          <w:p w14:paraId="73557CE0" w14:textId="77777777" w:rsidR="004567FA" w:rsidRPr="0021432C" w:rsidRDefault="004567FA" w:rsidP="005636E1">
            <w:pPr>
              <w:spacing w:line="240" w:lineRule="auto"/>
              <w:contextualSpacing/>
              <w:jc w:val="center"/>
              <w:rPr>
                <w:color w:val="000000"/>
                <w:sz w:val="16"/>
                <w:szCs w:val="16"/>
                <w:lang w:val="en-US" w:eastAsia="en-US"/>
              </w:rPr>
            </w:pPr>
            <w:r w:rsidRPr="0021432C">
              <w:rPr>
                <w:color w:val="000000"/>
                <w:sz w:val="16"/>
                <w:szCs w:val="16"/>
                <w:lang w:val="en-US" w:eastAsia="en-US"/>
              </w:rPr>
              <w:t>Vigil (2003) stated that "street socialization leads to a street subculture, and this is where and how the subculture of violence is learned and practiced... This concept... essentially maintains that a violent way of life dominates the streets" (p. 235). Therefore, attitudes towards violence are included in the model as proxies for components of the street subculture of violence and street identity that forms through street socialization. Those attitudes towards violence that aligned with values and norms that guide gang members' thinking, such as protection and respect (Vigil, 2009) are included. Two of these are also similar to items in prior research, categorized as techniques of neutralization.</w:t>
            </w:r>
          </w:p>
        </w:tc>
      </w:tr>
      <w:tr w:rsidR="004567FA" w:rsidRPr="0021432C" w14:paraId="7D683842" w14:textId="77777777" w:rsidTr="0000273F">
        <w:trPr>
          <w:trHeight w:val="816"/>
        </w:trPr>
        <w:tc>
          <w:tcPr>
            <w:tcW w:w="1239" w:type="dxa"/>
            <w:vMerge/>
            <w:vAlign w:val="center"/>
            <w:hideMark/>
          </w:tcPr>
          <w:p w14:paraId="131E69DD"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vAlign w:val="center"/>
            <w:hideMark/>
          </w:tcPr>
          <w:p w14:paraId="10CFFD48" w14:textId="77777777" w:rsidR="004567FA" w:rsidRPr="0021432C" w:rsidRDefault="004567FA" w:rsidP="005636E1">
            <w:pPr>
              <w:spacing w:line="240" w:lineRule="auto"/>
              <w:contextualSpacing/>
              <w:rPr>
                <w:color w:val="000000"/>
                <w:sz w:val="16"/>
                <w:szCs w:val="16"/>
                <w:lang w:val="en-US" w:eastAsia="en-US"/>
              </w:rPr>
            </w:pPr>
          </w:p>
        </w:tc>
        <w:tc>
          <w:tcPr>
            <w:tcW w:w="1700" w:type="dxa"/>
            <w:vAlign w:val="center"/>
          </w:tcPr>
          <w:p w14:paraId="243CB143" w14:textId="7BABA9BD"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It is completely normal that boys want to prove themselves in physical fights with others</w:t>
            </w:r>
          </w:p>
        </w:tc>
        <w:tc>
          <w:tcPr>
            <w:tcW w:w="1530" w:type="dxa"/>
            <w:shd w:val="clear" w:color="auto" w:fill="auto"/>
            <w:vAlign w:val="center"/>
            <w:hideMark/>
          </w:tcPr>
          <w:p w14:paraId="16347D43" w14:textId="50248630"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Get into a physical fight with someone if you have to stand up for your rights</w:t>
            </w:r>
          </w:p>
        </w:tc>
        <w:tc>
          <w:tcPr>
            <w:tcW w:w="1080" w:type="dxa"/>
            <w:vMerge/>
            <w:vAlign w:val="center"/>
            <w:hideMark/>
          </w:tcPr>
          <w:p w14:paraId="76B63F77" w14:textId="77777777" w:rsidR="004567FA" w:rsidRPr="0021432C" w:rsidRDefault="004567FA" w:rsidP="005636E1">
            <w:pPr>
              <w:spacing w:line="240" w:lineRule="auto"/>
              <w:contextualSpacing/>
              <w:rPr>
                <w:b/>
                <w:bCs/>
                <w:color w:val="000000"/>
                <w:sz w:val="16"/>
                <w:szCs w:val="16"/>
                <w:lang w:val="en-US" w:eastAsia="en-US"/>
              </w:rPr>
            </w:pPr>
          </w:p>
        </w:tc>
        <w:tc>
          <w:tcPr>
            <w:tcW w:w="3060" w:type="dxa"/>
            <w:vMerge/>
            <w:vAlign w:val="center"/>
            <w:hideMark/>
          </w:tcPr>
          <w:p w14:paraId="48EE6A13" w14:textId="77777777" w:rsidR="004567FA" w:rsidRPr="0021432C" w:rsidRDefault="004567FA" w:rsidP="005636E1">
            <w:pPr>
              <w:spacing w:line="240" w:lineRule="auto"/>
              <w:contextualSpacing/>
              <w:rPr>
                <w:color w:val="000000"/>
                <w:sz w:val="16"/>
                <w:szCs w:val="16"/>
                <w:lang w:val="en-US" w:eastAsia="en-US"/>
              </w:rPr>
            </w:pPr>
          </w:p>
        </w:tc>
      </w:tr>
      <w:tr w:rsidR="004567FA" w:rsidRPr="0021432C" w14:paraId="290A2549" w14:textId="77777777" w:rsidTr="0000273F">
        <w:trPr>
          <w:trHeight w:val="387"/>
        </w:trPr>
        <w:tc>
          <w:tcPr>
            <w:tcW w:w="1239" w:type="dxa"/>
            <w:vMerge/>
            <w:tcBorders>
              <w:bottom w:val="single" w:sz="4" w:space="0" w:color="auto"/>
            </w:tcBorders>
            <w:vAlign w:val="center"/>
            <w:hideMark/>
          </w:tcPr>
          <w:p w14:paraId="2243489E" w14:textId="77777777" w:rsidR="004567FA" w:rsidRPr="0021432C" w:rsidRDefault="004567FA" w:rsidP="005636E1">
            <w:pPr>
              <w:spacing w:line="240" w:lineRule="auto"/>
              <w:contextualSpacing/>
              <w:rPr>
                <w:i/>
                <w:iCs/>
                <w:color w:val="000000"/>
                <w:sz w:val="16"/>
                <w:szCs w:val="16"/>
                <w:lang w:val="en-US" w:eastAsia="en-US"/>
              </w:rPr>
            </w:pPr>
          </w:p>
        </w:tc>
        <w:tc>
          <w:tcPr>
            <w:tcW w:w="1461" w:type="dxa"/>
            <w:vMerge/>
            <w:tcBorders>
              <w:bottom w:val="single" w:sz="4" w:space="0" w:color="auto"/>
            </w:tcBorders>
            <w:vAlign w:val="center"/>
            <w:hideMark/>
          </w:tcPr>
          <w:p w14:paraId="0A45ACFE" w14:textId="77777777" w:rsidR="004567FA" w:rsidRPr="0021432C" w:rsidRDefault="004567FA" w:rsidP="005636E1">
            <w:pPr>
              <w:spacing w:line="240" w:lineRule="auto"/>
              <w:contextualSpacing/>
              <w:rPr>
                <w:color w:val="000000"/>
                <w:sz w:val="16"/>
                <w:szCs w:val="16"/>
                <w:lang w:val="en-US" w:eastAsia="en-US"/>
              </w:rPr>
            </w:pPr>
          </w:p>
        </w:tc>
        <w:tc>
          <w:tcPr>
            <w:tcW w:w="1700" w:type="dxa"/>
            <w:tcBorders>
              <w:bottom w:val="single" w:sz="4" w:space="0" w:color="auto"/>
            </w:tcBorders>
            <w:vAlign w:val="center"/>
          </w:tcPr>
          <w:p w14:paraId="25D62E52" w14:textId="039BBE63"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One needs to make use of force to be respected</w:t>
            </w:r>
          </w:p>
        </w:tc>
        <w:tc>
          <w:tcPr>
            <w:tcW w:w="1530" w:type="dxa"/>
            <w:tcBorders>
              <w:bottom w:val="single" w:sz="4" w:space="0" w:color="auto"/>
            </w:tcBorders>
            <w:shd w:val="clear" w:color="auto" w:fill="auto"/>
            <w:vAlign w:val="center"/>
            <w:hideMark/>
          </w:tcPr>
          <w:p w14:paraId="2E0A4CB7" w14:textId="4769184D"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1080" w:type="dxa"/>
            <w:tcBorders>
              <w:bottom w:val="single" w:sz="4" w:space="0" w:color="auto"/>
            </w:tcBorders>
            <w:shd w:val="clear" w:color="auto" w:fill="auto"/>
            <w:vAlign w:val="center"/>
            <w:hideMark/>
          </w:tcPr>
          <w:p w14:paraId="5C2DC40C" w14:textId="77777777" w:rsidR="004567FA" w:rsidRPr="0021432C" w:rsidRDefault="004567FA" w:rsidP="005636E1">
            <w:pPr>
              <w:spacing w:line="240" w:lineRule="auto"/>
              <w:contextualSpacing/>
              <w:rPr>
                <w:color w:val="000000"/>
                <w:sz w:val="16"/>
                <w:szCs w:val="16"/>
                <w:lang w:val="en-US" w:eastAsia="en-US"/>
              </w:rPr>
            </w:pPr>
            <w:r w:rsidRPr="0021432C">
              <w:rPr>
                <w:color w:val="000000"/>
                <w:sz w:val="16"/>
                <w:szCs w:val="16"/>
                <w:lang w:val="en-US" w:eastAsia="en-US"/>
              </w:rPr>
              <w:t> </w:t>
            </w:r>
          </w:p>
        </w:tc>
        <w:tc>
          <w:tcPr>
            <w:tcW w:w="3060" w:type="dxa"/>
            <w:vMerge/>
            <w:tcBorders>
              <w:bottom w:val="single" w:sz="4" w:space="0" w:color="auto"/>
            </w:tcBorders>
            <w:vAlign w:val="center"/>
            <w:hideMark/>
          </w:tcPr>
          <w:p w14:paraId="0400AD6F" w14:textId="77777777" w:rsidR="004567FA" w:rsidRPr="0021432C" w:rsidRDefault="004567FA" w:rsidP="005636E1">
            <w:pPr>
              <w:spacing w:line="240" w:lineRule="auto"/>
              <w:contextualSpacing/>
              <w:rPr>
                <w:color w:val="000000"/>
                <w:sz w:val="16"/>
                <w:szCs w:val="16"/>
                <w:lang w:val="en-US" w:eastAsia="en-US"/>
              </w:rPr>
            </w:pPr>
          </w:p>
        </w:tc>
      </w:tr>
      <w:tr w:rsidR="004567FA" w:rsidRPr="0021432C" w14:paraId="1F4311DD" w14:textId="77777777" w:rsidTr="0000273F">
        <w:trPr>
          <w:trHeight w:val="387"/>
        </w:trPr>
        <w:tc>
          <w:tcPr>
            <w:tcW w:w="10070" w:type="dxa"/>
            <w:gridSpan w:val="6"/>
            <w:tcBorders>
              <w:left w:val="nil"/>
              <w:bottom w:val="nil"/>
              <w:right w:val="nil"/>
            </w:tcBorders>
            <w:vAlign w:val="center"/>
          </w:tcPr>
          <w:p w14:paraId="28B0BCAD" w14:textId="0E5EFAF7" w:rsidR="004567FA" w:rsidRPr="0000273F" w:rsidRDefault="004567FA" w:rsidP="005636E1">
            <w:pPr>
              <w:pBdr>
                <w:top w:val="single" w:sz="4" w:space="1" w:color="auto"/>
              </w:pBdr>
              <w:spacing w:line="240" w:lineRule="auto"/>
              <w:contextualSpacing/>
              <w:rPr>
                <w:color w:val="000000"/>
                <w:sz w:val="16"/>
                <w:szCs w:val="16"/>
              </w:rPr>
            </w:pPr>
            <w:r w:rsidRPr="004567FA">
              <w:rPr>
                <w:color w:val="000000"/>
                <w:sz w:val="16"/>
                <w:szCs w:val="16"/>
              </w:rPr>
              <w:t>+ Bolded studies are direct full or partial tests of the framework; others utilize the framework in some way but are not directly testing it</w:t>
            </w:r>
            <w:r>
              <w:rPr>
                <w:color w:val="000000"/>
                <w:sz w:val="16"/>
                <w:szCs w:val="16"/>
              </w:rPr>
              <w:t>.</w:t>
            </w:r>
          </w:p>
        </w:tc>
      </w:tr>
      <w:tr w:rsidR="004567FA" w:rsidRPr="0021432C" w14:paraId="4804C1D0" w14:textId="77777777" w:rsidTr="0000273F">
        <w:trPr>
          <w:trHeight w:val="387"/>
        </w:trPr>
        <w:tc>
          <w:tcPr>
            <w:tcW w:w="10070" w:type="dxa"/>
            <w:gridSpan w:val="6"/>
            <w:tcBorders>
              <w:top w:val="nil"/>
              <w:left w:val="nil"/>
              <w:bottom w:val="nil"/>
              <w:right w:val="nil"/>
            </w:tcBorders>
            <w:vAlign w:val="center"/>
          </w:tcPr>
          <w:p w14:paraId="2CEB8FA2" w14:textId="77777777" w:rsidR="004567FA" w:rsidRPr="004567FA" w:rsidRDefault="004567FA" w:rsidP="005636E1">
            <w:pPr>
              <w:spacing w:line="240" w:lineRule="auto"/>
              <w:contextualSpacing/>
              <w:rPr>
                <w:color w:val="000000"/>
                <w:sz w:val="16"/>
                <w:szCs w:val="16"/>
              </w:rPr>
            </w:pPr>
            <w:r w:rsidRPr="004567FA">
              <w:rPr>
                <w:color w:val="000000"/>
                <w:sz w:val="16"/>
                <w:szCs w:val="16"/>
              </w:rPr>
              <w:t>*This operationalization is closely related to deviant peer relationships, a focus of much of the past social learning literature including that which contributed to the construction of the ISRD-2, and this is a limitation to the testing of the "street" aspect of the socialization process using secondary data; however, Vigil (2009) notes that "It is also true that most of the time spent by gang members is in the usual cavorting activities found in most adolescent and youth groups" so these characteristics might be especially hard to tease out quantitatively. According to Vigil, only violence against others and against themselves, taught to youth by their peers, "separate gangs from other adolescent peer networks" (2003; 2009, p. 7) and attitudes towards the former are incorporated in the following section.</w:t>
            </w:r>
          </w:p>
          <w:p w14:paraId="7C6EF6F3" w14:textId="77777777" w:rsidR="004567FA" w:rsidRPr="004567FA" w:rsidRDefault="004567FA" w:rsidP="005636E1">
            <w:pPr>
              <w:spacing w:line="240" w:lineRule="auto"/>
              <w:contextualSpacing/>
              <w:rPr>
                <w:color w:val="000000"/>
                <w:sz w:val="16"/>
                <w:szCs w:val="16"/>
              </w:rPr>
            </w:pPr>
          </w:p>
        </w:tc>
      </w:tr>
    </w:tbl>
    <w:p w14:paraId="2755D2B8" w14:textId="77777777" w:rsidR="0021432C" w:rsidRPr="0021432C" w:rsidRDefault="0021432C" w:rsidP="006652D2">
      <w:pPr>
        <w:contextualSpacing/>
        <w:rPr>
          <w:rFonts w:cs="Arial"/>
          <w:b/>
          <w:bCs/>
          <w:szCs w:val="28"/>
        </w:rPr>
      </w:pPr>
    </w:p>
    <w:sectPr w:rsidR="0021432C" w:rsidRPr="0021432C" w:rsidSect="00565B2A">
      <w:pgSz w:w="11901" w:h="16840" w:code="9"/>
      <w:pgMar w:top="1411" w:right="1440" w:bottom="1411"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1FF540" w14:textId="77777777" w:rsidR="00F914EA" w:rsidRDefault="00F914EA" w:rsidP="00AF2C92">
      <w:r>
        <w:separator/>
      </w:r>
    </w:p>
  </w:endnote>
  <w:endnote w:type="continuationSeparator" w:id="0">
    <w:p w14:paraId="6C7CF375" w14:textId="77777777" w:rsidR="00F914EA" w:rsidRDefault="00F914EA"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4151F" w14:textId="2B9E9AC7" w:rsidR="00982E69" w:rsidRDefault="00982E69">
    <w:pPr>
      <w:pStyle w:val="Footer"/>
      <w:jc w:val="right"/>
    </w:pPr>
  </w:p>
  <w:p w14:paraId="27EB2366" w14:textId="77777777" w:rsidR="00982E69" w:rsidRDefault="00982E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9E0EC" w14:textId="6DAA4224" w:rsidR="00982E69" w:rsidRDefault="00982E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95DB5" w14:textId="77777777" w:rsidR="00F914EA" w:rsidRDefault="00F914EA" w:rsidP="00AF2C92">
      <w:r>
        <w:separator/>
      </w:r>
    </w:p>
  </w:footnote>
  <w:footnote w:type="continuationSeparator" w:id="0">
    <w:p w14:paraId="098E4691" w14:textId="77777777" w:rsidR="00F914EA" w:rsidRDefault="00F914EA" w:rsidP="00AF2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C5D0EEA"/>
    <w:multiLevelType w:val="hybridMultilevel"/>
    <w:tmpl w:val="B63CAD72"/>
    <w:lvl w:ilvl="0" w:tplc="795C2892">
      <w:numFmt w:val="bullet"/>
      <w:lvlText w:val="-"/>
      <w:lvlJc w:val="left"/>
      <w:pPr>
        <w:ind w:left="720" w:hanging="360"/>
      </w:pPr>
      <w:rPr>
        <w:rFonts w:ascii="Times New Roman" w:hAnsi="Times New Roman" w:hint="default"/>
      </w:rPr>
    </w:lvl>
    <w:lvl w:ilvl="1" w:tplc="D946F9A0">
      <w:start w:val="1"/>
      <w:numFmt w:val="bullet"/>
      <w:lvlText w:val="o"/>
      <w:lvlJc w:val="left"/>
      <w:pPr>
        <w:ind w:left="1440" w:hanging="360"/>
      </w:pPr>
      <w:rPr>
        <w:rFonts w:ascii="Courier New" w:hAnsi="Courier New" w:hint="default"/>
      </w:rPr>
    </w:lvl>
    <w:lvl w:ilvl="2" w:tplc="09ECF2E4">
      <w:start w:val="1"/>
      <w:numFmt w:val="bullet"/>
      <w:lvlText w:val=""/>
      <w:lvlJc w:val="left"/>
      <w:pPr>
        <w:ind w:left="2160" w:hanging="360"/>
      </w:pPr>
      <w:rPr>
        <w:rFonts w:ascii="Wingdings" w:hAnsi="Wingdings" w:hint="default"/>
      </w:rPr>
    </w:lvl>
    <w:lvl w:ilvl="3" w:tplc="CB4CA7C8">
      <w:start w:val="1"/>
      <w:numFmt w:val="bullet"/>
      <w:lvlText w:val=""/>
      <w:lvlJc w:val="left"/>
      <w:pPr>
        <w:ind w:left="2880" w:hanging="360"/>
      </w:pPr>
      <w:rPr>
        <w:rFonts w:ascii="Symbol" w:hAnsi="Symbol" w:hint="default"/>
      </w:rPr>
    </w:lvl>
    <w:lvl w:ilvl="4" w:tplc="307ECA14">
      <w:start w:val="1"/>
      <w:numFmt w:val="bullet"/>
      <w:lvlText w:val="o"/>
      <w:lvlJc w:val="left"/>
      <w:pPr>
        <w:ind w:left="3600" w:hanging="360"/>
      </w:pPr>
      <w:rPr>
        <w:rFonts w:ascii="Courier New" w:hAnsi="Courier New" w:hint="default"/>
      </w:rPr>
    </w:lvl>
    <w:lvl w:ilvl="5" w:tplc="1D824E58">
      <w:start w:val="1"/>
      <w:numFmt w:val="bullet"/>
      <w:lvlText w:val=""/>
      <w:lvlJc w:val="left"/>
      <w:pPr>
        <w:ind w:left="4320" w:hanging="360"/>
      </w:pPr>
      <w:rPr>
        <w:rFonts w:ascii="Wingdings" w:hAnsi="Wingdings" w:hint="default"/>
      </w:rPr>
    </w:lvl>
    <w:lvl w:ilvl="6" w:tplc="17F80B68">
      <w:start w:val="1"/>
      <w:numFmt w:val="bullet"/>
      <w:lvlText w:val=""/>
      <w:lvlJc w:val="left"/>
      <w:pPr>
        <w:ind w:left="5040" w:hanging="360"/>
      </w:pPr>
      <w:rPr>
        <w:rFonts w:ascii="Symbol" w:hAnsi="Symbol" w:hint="default"/>
      </w:rPr>
    </w:lvl>
    <w:lvl w:ilvl="7" w:tplc="CEC269E4">
      <w:start w:val="1"/>
      <w:numFmt w:val="bullet"/>
      <w:lvlText w:val="o"/>
      <w:lvlJc w:val="left"/>
      <w:pPr>
        <w:ind w:left="5760" w:hanging="360"/>
      </w:pPr>
      <w:rPr>
        <w:rFonts w:ascii="Courier New" w:hAnsi="Courier New" w:hint="default"/>
      </w:rPr>
    </w:lvl>
    <w:lvl w:ilvl="8" w:tplc="BBA05D5E">
      <w:start w:val="1"/>
      <w:numFmt w:val="bullet"/>
      <w:lvlText w:val=""/>
      <w:lvlJc w:val="left"/>
      <w:pPr>
        <w:ind w:left="6480" w:hanging="360"/>
      </w:pPr>
      <w:rPr>
        <w:rFonts w:ascii="Wingdings" w:hAnsi="Wingdings" w:hint="default"/>
      </w:rPr>
    </w:lvl>
  </w:abstractNum>
  <w:abstractNum w:abstractNumId="13"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AEA4AFD"/>
    <w:multiLevelType w:val="multilevel"/>
    <w:tmpl w:val="0C78CB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5392D47"/>
    <w:multiLevelType w:val="multilevel"/>
    <w:tmpl w:val="70087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2F034009"/>
    <w:multiLevelType w:val="hybridMultilevel"/>
    <w:tmpl w:val="C8BC62B2"/>
    <w:lvl w:ilvl="0" w:tplc="FFFFFFFF">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2F9A59E0"/>
    <w:multiLevelType w:val="hybridMultilevel"/>
    <w:tmpl w:val="31BC8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16800CE"/>
    <w:multiLevelType w:val="hybridMultilevel"/>
    <w:tmpl w:val="07E8B704"/>
    <w:lvl w:ilvl="0" w:tplc="FFFFFFFF">
      <w:numFmt w:val="bullet"/>
      <w:lvlText w:val="-"/>
      <w:lvlJc w:val="left"/>
      <w:pPr>
        <w:ind w:left="720" w:hanging="360"/>
      </w:pPr>
      <w:rPr>
        <w:rFonts w:ascii="Times New Roman" w:hAnsi="Times New Roman" w:hint="default"/>
      </w:rPr>
    </w:lvl>
    <w:lvl w:ilvl="1" w:tplc="43D80B52">
      <w:start w:val="1"/>
      <w:numFmt w:val="bullet"/>
      <w:lvlText w:val="o"/>
      <w:lvlJc w:val="left"/>
      <w:pPr>
        <w:ind w:left="1440" w:hanging="360"/>
      </w:pPr>
      <w:rPr>
        <w:rFonts w:ascii="Courier New" w:hAnsi="Courier New" w:hint="default"/>
      </w:rPr>
    </w:lvl>
    <w:lvl w:ilvl="2" w:tplc="9AB47170">
      <w:start w:val="1"/>
      <w:numFmt w:val="bullet"/>
      <w:lvlText w:val=""/>
      <w:lvlJc w:val="left"/>
      <w:pPr>
        <w:ind w:left="2160" w:hanging="360"/>
      </w:pPr>
      <w:rPr>
        <w:rFonts w:ascii="Wingdings" w:hAnsi="Wingdings" w:hint="default"/>
      </w:rPr>
    </w:lvl>
    <w:lvl w:ilvl="3" w:tplc="76E25946">
      <w:start w:val="1"/>
      <w:numFmt w:val="bullet"/>
      <w:lvlText w:val=""/>
      <w:lvlJc w:val="left"/>
      <w:pPr>
        <w:ind w:left="2880" w:hanging="360"/>
      </w:pPr>
      <w:rPr>
        <w:rFonts w:ascii="Symbol" w:hAnsi="Symbol" w:hint="default"/>
      </w:rPr>
    </w:lvl>
    <w:lvl w:ilvl="4" w:tplc="668A1422">
      <w:start w:val="1"/>
      <w:numFmt w:val="bullet"/>
      <w:lvlText w:val="o"/>
      <w:lvlJc w:val="left"/>
      <w:pPr>
        <w:ind w:left="3600" w:hanging="360"/>
      </w:pPr>
      <w:rPr>
        <w:rFonts w:ascii="Courier New" w:hAnsi="Courier New" w:hint="default"/>
      </w:rPr>
    </w:lvl>
    <w:lvl w:ilvl="5" w:tplc="BE740062">
      <w:start w:val="1"/>
      <w:numFmt w:val="bullet"/>
      <w:lvlText w:val=""/>
      <w:lvlJc w:val="left"/>
      <w:pPr>
        <w:ind w:left="4320" w:hanging="360"/>
      </w:pPr>
      <w:rPr>
        <w:rFonts w:ascii="Wingdings" w:hAnsi="Wingdings" w:hint="default"/>
      </w:rPr>
    </w:lvl>
    <w:lvl w:ilvl="6" w:tplc="307679A2">
      <w:start w:val="1"/>
      <w:numFmt w:val="bullet"/>
      <w:lvlText w:val=""/>
      <w:lvlJc w:val="left"/>
      <w:pPr>
        <w:ind w:left="5040" w:hanging="360"/>
      </w:pPr>
      <w:rPr>
        <w:rFonts w:ascii="Symbol" w:hAnsi="Symbol" w:hint="default"/>
      </w:rPr>
    </w:lvl>
    <w:lvl w:ilvl="7" w:tplc="B43864A6">
      <w:start w:val="1"/>
      <w:numFmt w:val="bullet"/>
      <w:lvlText w:val="o"/>
      <w:lvlJc w:val="left"/>
      <w:pPr>
        <w:ind w:left="5760" w:hanging="360"/>
      </w:pPr>
      <w:rPr>
        <w:rFonts w:ascii="Courier New" w:hAnsi="Courier New" w:hint="default"/>
      </w:rPr>
    </w:lvl>
    <w:lvl w:ilvl="8" w:tplc="96BAE1EC">
      <w:start w:val="1"/>
      <w:numFmt w:val="bullet"/>
      <w:lvlText w:val=""/>
      <w:lvlJc w:val="left"/>
      <w:pPr>
        <w:ind w:left="6480" w:hanging="360"/>
      </w:pPr>
      <w:rPr>
        <w:rFonts w:ascii="Wingdings" w:hAnsi="Wingdings" w:hint="default"/>
      </w:rPr>
    </w:lvl>
  </w:abstractNum>
  <w:abstractNum w:abstractNumId="25" w15:restartNumberingAfterBreak="0">
    <w:nsid w:val="46904FD6"/>
    <w:multiLevelType w:val="hybridMultilevel"/>
    <w:tmpl w:val="2A928328"/>
    <w:lvl w:ilvl="0" w:tplc="04C09F3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FA527AB"/>
    <w:multiLevelType w:val="hybridMultilevel"/>
    <w:tmpl w:val="3ABA70D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5050E1"/>
    <w:multiLevelType w:val="multilevel"/>
    <w:tmpl w:val="05FCD0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562BEB"/>
    <w:multiLevelType w:val="hybridMultilevel"/>
    <w:tmpl w:val="35C2A3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24"/>
  </w:num>
  <w:num w:numId="3">
    <w:abstractNumId w:val="18"/>
  </w:num>
  <w:num w:numId="4">
    <w:abstractNumId w:val="28"/>
  </w:num>
  <w:num w:numId="5">
    <w:abstractNumId w:val="1"/>
  </w:num>
  <w:num w:numId="6">
    <w:abstractNumId w:val="2"/>
  </w:num>
  <w:num w:numId="7">
    <w:abstractNumId w:val="3"/>
  </w:num>
  <w:num w:numId="8">
    <w:abstractNumId w:val="4"/>
  </w:num>
  <w:num w:numId="9">
    <w:abstractNumId w:val="9"/>
  </w:num>
  <w:num w:numId="10">
    <w:abstractNumId w:val="5"/>
  </w:num>
  <w:num w:numId="11">
    <w:abstractNumId w:val="7"/>
  </w:num>
  <w:num w:numId="12">
    <w:abstractNumId w:val="6"/>
  </w:num>
  <w:num w:numId="13">
    <w:abstractNumId w:val="10"/>
  </w:num>
  <w:num w:numId="14">
    <w:abstractNumId w:val="8"/>
  </w:num>
  <w:num w:numId="15">
    <w:abstractNumId w:val="22"/>
  </w:num>
  <w:num w:numId="16">
    <w:abstractNumId w:val="29"/>
  </w:num>
  <w:num w:numId="17">
    <w:abstractNumId w:val="16"/>
  </w:num>
  <w:num w:numId="18">
    <w:abstractNumId w:val="21"/>
  </w:num>
  <w:num w:numId="19">
    <w:abstractNumId w:val="11"/>
  </w:num>
  <w:num w:numId="20">
    <w:abstractNumId w:val="0"/>
  </w:num>
  <w:num w:numId="21">
    <w:abstractNumId w:val="13"/>
  </w:num>
  <w:num w:numId="22">
    <w:abstractNumId w:val="29"/>
  </w:num>
  <w:num w:numId="23">
    <w:abstractNumId w:val="29"/>
  </w:num>
  <w:num w:numId="24">
    <w:abstractNumId w:val="29"/>
  </w:num>
  <w:num w:numId="25">
    <w:abstractNumId w:val="29"/>
  </w:num>
  <w:num w:numId="26">
    <w:abstractNumId w:val="22"/>
  </w:num>
  <w:num w:numId="27">
    <w:abstractNumId w:val="23"/>
  </w:num>
  <w:num w:numId="28">
    <w:abstractNumId w:val="30"/>
  </w:num>
  <w:num w:numId="29">
    <w:abstractNumId w:val="31"/>
  </w:num>
  <w:num w:numId="30">
    <w:abstractNumId w:val="29"/>
  </w:num>
  <w:num w:numId="31">
    <w:abstractNumId w:val="15"/>
  </w:num>
  <w:num w:numId="32">
    <w:abstractNumId w:val="33"/>
  </w:num>
  <w:num w:numId="33">
    <w:abstractNumId w:val="26"/>
  </w:num>
  <w:num w:numId="34">
    <w:abstractNumId w:val="27"/>
  </w:num>
  <w:num w:numId="35">
    <w:abstractNumId w:val="14"/>
  </w:num>
  <w:num w:numId="36">
    <w:abstractNumId w:val="17"/>
  </w:num>
  <w:num w:numId="37">
    <w:abstractNumId w:val="32"/>
  </w:num>
  <w:num w:numId="38">
    <w:abstractNumId w:val="20"/>
  </w:num>
  <w:num w:numId="39">
    <w:abstractNumId w:val="19"/>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1A1"/>
    <w:rsid w:val="00001899"/>
    <w:rsid w:val="0000273F"/>
    <w:rsid w:val="000049AD"/>
    <w:rsid w:val="000056EA"/>
    <w:rsid w:val="0000681B"/>
    <w:rsid w:val="000133C0"/>
    <w:rsid w:val="00014C4E"/>
    <w:rsid w:val="00017107"/>
    <w:rsid w:val="000202E2"/>
    <w:rsid w:val="00022441"/>
    <w:rsid w:val="0002261E"/>
    <w:rsid w:val="00024839"/>
    <w:rsid w:val="00026871"/>
    <w:rsid w:val="00037A98"/>
    <w:rsid w:val="000427FB"/>
    <w:rsid w:val="0004455E"/>
    <w:rsid w:val="00047CB5"/>
    <w:rsid w:val="000513B4"/>
    <w:rsid w:val="00051FAA"/>
    <w:rsid w:val="000572A9"/>
    <w:rsid w:val="00057AB1"/>
    <w:rsid w:val="00061325"/>
    <w:rsid w:val="000670C0"/>
    <w:rsid w:val="000733AC"/>
    <w:rsid w:val="00074B81"/>
    <w:rsid w:val="00074D22"/>
    <w:rsid w:val="00075081"/>
    <w:rsid w:val="0007528A"/>
    <w:rsid w:val="000811AB"/>
    <w:rsid w:val="00083C5F"/>
    <w:rsid w:val="00086452"/>
    <w:rsid w:val="0009172C"/>
    <w:rsid w:val="000930EC"/>
    <w:rsid w:val="00095E61"/>
    <w:rsid w:val="000966C1"/>
    <w:rsid w:val="000970AC"/>
    <w:rsid w:val="000973EA"/>
    <w:rsid w:val="000A1167"/>
    <w:rsid w:val="000A4428"/>
    <w:rsid w:val="000A4FE3"/>
    <w:rsid w:val="000A6D40"/>
    <w:rsid w:val="000A7BC3"/>
    <w:rsid w:val="000B1661"/>
    <w:rsid w:val="000B1F0B"/>
    <w:rsid w:val="000B2E88"/>
    <w:rsid w:val="000B4603"/>
    <w:rsid w:val="000C09BE"/>
    <w:rsid w:val="000C1380"/>
    <w:rsid w:val="000C554F"/>
    <w:rsid w:val="000D0DC5"/>
    <w:rsid w:val="000D15FF"/>
    <w:rsid w:val="000D28DF"/>
    <w:rsid w:val="000D488B"/>
    <w:rsid w:val="000D68DF"/>
    <w:rsid w:val="000E138D"/>
    <w:rsid w:val="000E187A"/>
    <w:rsid w:val="000E2D61"/>
    <w:rsid w:val="000E450E"/>
    <w:rsid w:val="000E6259"/>
    <w:rsid w:val="000F4677"/>
    <w:rsid w:val="000F5BE0"/>
    <w:rsid w:val="00100587"/>
    <w:rsid w:val="0010284E"/>
    <w:rsid w:val="00103122"/>
    <w:rsid w:val="0010336A"/>
    <w:rsid w:val="001050F1"/>
    <w:rsid w:val="00105AEA"/>
    <w:rsid w:val="00106DAF"/>
    <w:rsid w:val="00114ABE"/>
    <w:rsid w:val="00116023"/>
    <w:rsid w:val="00116448"/>
    <w:rsid w:val="00123264"/>
    <w:rsid w:val="00134A51"/>
    <w:rsid w:val="00140727"/>
    <w:rsid w:val="0014075E"/>
    <w:rsid w:val="00160628"/>
    <w:rsid w:val="00161344"/>
    <w:rsid w:val="00162195"/>
    <w:rsid w:val="0016322A"/>
    <w:rsid w:val="00165A21"/>
    <w:rsid w:val="001705CE"/>
    <w:rsid w:val="00174485"/>
    <w:rsid w:val="0017714B"/>
    <w:rsid w:val="001804DF"/>
    <w:rsid w:val="00181BDC"/>
    <w:rsid w:val="00181DB0"/>
    <w:rsid w:val="001829E3"/>
    <w:rsid w:val="001924C0"/>
    <w:rsid w:val="0019731E"/>
    <w:rsid w:val="001A09FE"/>
    <w:rsid w:val="001A67C9"/>
    <w:rsid w:val="001A69DE"/>
    <w:rsid w:val="001A713C"/>
    <w:rsid w:val="001B133C"/>
    <w:rsid w:val="001B1C7C"/>
    <w:rsid w:val="001B398F"/>
    <w:rsid w:val="001B46C6"/>
    <w:rsid w:val="001B4B48"/>
    <w:rsid w:val="001B4D1F"/>
    <w:rsid w:val="001B7681"/>
    <w:rsid w:val="001B7CAE"/>
    <w:rsid w:val="001C0772"/>
    <w:rsid w:val="001C0D4F"/>
    <w:rsid w:val="001C1BA3"/>
    <w:rsid w:val="001C1DEC"/>
    <w:rsid w:val="001C5736"/>
    <w:rsid w:val="001D647F"/>
    <w:rsid w:val="001D6857"/>
    <w:rsid w:val="001E0572"/>
    <w:rsid w:val="001E0A67"/>
    <w:rsid w:val="001E1028"/>
    <w:rsid w:val="001E14E2"/>
    <w:rsid w:val="001E2596"/>
    <w:rsid w:val="001E523D"/>
    <w:rsid w:val="001E6302"/>
    <w:rsid w:val="001E7693"/>
    <w:rsid w:val="001E7DCB"/>
    <w:rsid w:val="001F3411"/>
    <w:rsid w:val="001F4287"/>
    <w:rsid w:val="001F4DBA"/>
    <w:rsid w:val="0020415E"/>
    <w:rsid w:val="00204FF4"/>
    <w:rsid w:val="0021056E"/>
    <w:rsid w:val="0021075D"/>
    <w:rsid w:val="0021165A"/>
    <w:rsid w:val="00211BC9"/>
    <w:rsid w:val="0021432C"/>
    <w:rsid w:val="0021620C"/>
    <w:rsid w:val="00216E78"/>
    <w:rsid w:val="00217275"/>
    <w:rsid w:val="002211DD"/>
    <w:rsid w:val="00236F4B"/>
    <w:rsid w:val="00242B0D"/>
    <w:rsid w:val="002467C6"/>
    <w:rsid w:val="0024692A"/>
    <w:rsid w:val="00252BBA"/>
    <w:rsid w:val="00253123"/>
    <w:rsid w:val="00264001"/>
    <w:rsid w:val="002659F6"/>
    <w:rsid w:val="00266354"/>
    <w:rsid w:val="00267A18"/>
    <w:rsid w:val="0027206F"/>
    <w:rsid w:val="00273462"/>
    <w:rsid w:val="0027395B"/>
    <w:rsid w:val="00275854"/>
    <w:rsid w:val="00283B41"/>
    <w:rsid w:val="00283C4A"/>
    <w:rsid w:val="00285F28"/>
    <w:rsid w:val="00286398"/>
    <w:rsid w:val="002A3C42"/>
    <w:rsid w:val="002A5D75"/>
    <w:rsid w:val="002A78D8"/>
    <w:rsid w:val="002B1B1A"/>
    <w:rsid w:val="002B7228"/>
    <w:rsid w:val="002C3F35"/>
    <w:rsid w:val="002C5248"/>
    <w:rsid w:val="002C53EE"/>
    <w:rsid w:val="002D24F7"/>
    <w:rsid w:val="002D2799"/>
    <w:rsid w:val="002D2CD7"/>
    <w:rsid w:val="002D4DDC"/>
    <w:rsid w:val="002D4F75"/>
    <w:rsid w:val="002D6493"/>
    <w:rsid w:val="002D7AB6"/>
    <w:rsid w:val="002E06D0"/>
    <w:rsid w:val="002E3C27"/>
    <w:rsid w:val="002E403A"/>
    <w:rsid w:val="002E4DA1"/>
    <w:rsid w:val="002E7F3A"/>
    <w:rsid w:val="002F4EDB"/>
    <w:rsid w:val="002F6054"/>
    <w:rsid w:val="00310E13"/>
    <w:rsid w:val="00312900"/>
    <w:rsid w:val="00313DCA"/>
    <w:rsid w:val="00315713"/>
    <w:rsid w:val="0031686C"/>
    <w:rsid w:val="00316FE0"/>
    <w:rsid w:val="00317014"/>
    <w:rsid w:val="003204D2"/>
    <w:rsid w:val="0032605E"/>
    <w:rsid w:val="003275D1"/>
    <w:rsid w:val="00330B2A"/>
    <w:rsid w:val="00331E17"/>
    <w:rsid w:val="00333063"/>
    <w:rsid w:val="00334FE9"/>
    <w:rsid w:val="00337497"/>
    <w:rsid w:val="003408E3"/>
    <w:rsid w:val="00343480"/>
    <w:rsid w:val="00345E89"/>
    <w:rsid w:val="003522A1"/>
    <w:rsid w:val="0035254B"/>
    <w:rsid w:val="00353555"/>
    <w:rsid w:val="003565D4"/>
    <w:rsid w:val="003607FB"/>
    <w:rsid w:val="00360FD5"/>
    <w:rsid w:val="0036340D"/>
    <w:rsid w:val="003634A5"/>
    <w:rsid w:val="00366868"/>
    <w:rsid w:val="00367506"/>
    <w:rsid w:val="00370085"/>
    <w:rsid w:val="003744A7"/>
    <w:rsid w:val="00376235"/>
    <w:rsid w:val="00381FB6"/>
    <w:rsid w:val="0038219D"/>
    <w:rsid w:val="003836D3"/>
    <w:rsid w:val="00383A52"/>
    <w:rsid w:val="00385F2D"/>
    <w:rsid w:val="00391652"/>
    <w:rsid w:val="0039507F"/>
    <w:rsid w:val="00397E78"/>
    <w:rsid w:val="003A1260"/>
    <w:rsid w:val="003A295F"/>
    <w:rsid w:val="003A41DD"/>
    <w:rsid w:val="003A7033"/>
    <w:rsid w:val="003B47FE"/>
    <w:rsid w:val="003B5673"/>
    <w:rsid w:val="003B6287"/>
    <w:rsid w:val="003B62C9"/>
    <w:rsid w:val="003C4EE8"/>
    <w:rsid w:val="003C7176"/>
    <w:rsid w:val="003D0929"/>
    <w:rsid w:val="003D4729"/>
    <w:rsid w:val="003D7DD6"/>
    <w:rsid w:val="003E5AAF"/>
    <w:rsid w:val="003E600D"/>
    <w:rsid w:val="003E64DF"/>
    <w:rsid w:val="003E6A5D"/>
    <w:rsid w:val="003F09D8"/>
    <w:rsid w:val="003F13F3"/>
    <w:rsid w:val="003F193A"/>
    <w:rsid w:val="003F40DF"/>
    <w:rsid w:val="003F4207"/>
    <w:rsid w:val="003F5C46"/>
    <w:rsid w:val="003F5FE2"/>
    <w:rsid w:val="003F6705"/>
    <w:rsid w:val="003F7CBB"/>
    <w:rsid w:val="003F7D34"/>
    <w:rsid w:val="00410A60"/>
    <w:rsid w:val="00412C8E"/>
    <w:rsid w:val="0041348B"/>
    <w:rsid w:val="0041518D"/>
    <w:rsid w:val="0042221D"/>
    <w:rsid w:val="00424DD3"/>
    <w:rsid w:val="004269C5"/>
    <w:rsid w:val="00435939"/>
    <w:rsid w:val="00437CC7"/>
    <w:rsid w:val="00442B9C"/>
    <w:rsid w:val="00443268"/>
    <w:rsid w:val="00445EFA"/>
    <w:rsid w:val="00446558"/>
    <w:rsid w:val="0044738A"/>
    <w:rsid w:val="004473D3"/>
    <w:rsid w:val="00452231"/>
    <w:rsid w:val="00454851"/>
    <w:rsid w:val="004559AA"/>
    <w:rsid w:val="004567FA"/>
    <w:rsid w:val="00460C13"/>
    <w:rsid w:val="00463228"/>
    <w:rsid w:val="00463782"/>
    <w:rsid w:val="004667E0"/>
    <w:rsid w:val="0046760E"/>
    <w:rsid w:val="00470E10"/>
    <w:rsid w:val="00477A97"/>
    <w:rsid w:val="00481343"/>
    <w:rsid w:val="00481F3F"/>
    <w:rsid w:val="0048549E"/>
    <w:rsid w:val="0048638A"/>
    <w:rsid w:val="004930C6"/>
    <w:rsid w:val="00493347"/>
    <w:rsid w:val="00495423"/>
    <w:rsid w:val="00496092"/>
    <w:rsid w:val="004A08DB"/>
    <w:rsid w:val="004A25D0"/>
    <w:rsid w:val="004A37E8"/>
    <w:rsid w:val="004A7549"/>
    <w:rsid w:val="004B0899"/>
    <w:rsid w:val="004B09D4"/>
    <w:rsid w:val="004B309D"/>
    <w:rsid w:val="004B330A"/>
    <w:rsid w:val="004B7C8E"/>
    <w:rsid w:val="004C3D3C"/>
    <w:rsid w:val="004C3D6A"/>
    <w:rsid w:val="004C63C2"/>
    <w:rsid w:val="004D0EDC"/>
    <w:rsid w:val="004D1220"/>
    <w:rsid w:val="004D14B3"/>
    <w:rsid w:val="004D1529"/>
    <w:rsid w:val="004D2253"/>
    <w:rsid w:val="004D5514"/>
    <w:rsid w:val="004D56C3"/>
    <w:rsid w:val="004D794C"/>
    <w:rsid w:val="004E0338"/>
    <w:rsid w:val="004E2459"/>
    <w:rsid w:val="004E4FF3"/>
    <w:rsid w:val="004E56A8"/>
    <w:rsid w:val="004F1DE1"/>
    <w:rsid w:val="004F3B55"/>
    <w:rsid w:val="004F428E"/>
    <w:rsid w:val="004F4488"/>
    <w:rsid w:val="004F4E46"/>
    <w:rsid w:val="004F5ADC"/>
    <w:rsid w:val="004F6B7D"/>
    <w:rsid w:val="005015F6"/>
    <w:rsid w:val="005030C4"/>
    <w:rsid w:val="005031C5"/>
    <w:rsid w:val="00504FDC"/>
    <w:rsid w:val="00506CC5"/>
    <w:rsid w:val="005120CC"/>
    <w:rsid w:val="00512B7B"/>
    <w:rsid w:val="00514EA1"/>
    <w:rsid w:val="0051798B"/>
    <w:rsid w:val="00521F5A"/>
    <w:rsid w:val="00525E06"/>
    <w:rsid w:val="00526454"/>
    <w:rsid w:val="00531823"/>
    <w:rsid w:val="00534ECC"/>
    <w:rsid w:val="0053720D"/>
    <w:rsid w:val="00540EF5"/>
    <w:rsid w:val="00541BF3"/>
    <w:rsid w:val="00541CD3"/>
    <w:rsid w:val="005476FA"/>
    <w:rsid w:val="0055595E"/>
    <w:rsid w:val="0055762B"/>
    <w:rsid w:val="00557988"/>
    <w:rsid w:val="00562C49"/>
    <w:rsid w:val="00562DEF"/>
    <w:rsid w:val="0056321A"/>
    <w:rsid w:val="005636E1"/>
    <w:rsid w:val="00563A35"/>
    <w:rsid w:val="00565B2A"/>
    <w:rsid w:val="00566596"/>
    <w:rsid w:val="005670D8"/>
    <w:rsid w:val="00573F71"/>
    <w:rsid w:val="005741E9"/>
    <w:rsid w:val="005748CF"/>
    <w:rsid w:val="00584270"/>
    <w:rsid w:val="00584738"/>
    <w:rsid w:val="005920B0"/>
    <w:rsid w:val="00592BDD"/>
    <w:rsid w:val="0059380D"/>
    <w:rsid w:val="00595A8F"/>
    <w:rsid w:val="0059698A"/>
    <w:rsid w:val="005977C2"/>
    <w:rsid w:val="00597BF2"/>
    <w:rsid w:val="005A1F54"/>
    <w:rsid w:val="005A3020"/>
    <w:rsid w:val="005A31DF"/>
    <w:rsid w:val="005B0FEF"/>
    <w:rsid w:val="005B134E"/>
    <w:rsid w:val="005B2039"/>
    <w:rsid w:val="005B344F"/>
    <w:rsid w:val="005B3FBA"/>
    <w:rsid w:val="005B4A1D"/>
    <w:rsid w:val="005B674D"/>
    <w:rsid w:val="005C056D"/>
    <w:rsid w:val="005C0CBE"/>
    <w:rsid w:val="005C1FCF"/>
    <w:rsid w:val="005C3F41"/>
    <w:rsid w:val="005D1885"/>
    <w:rsid w:val="005D4A38"/>
    <w:rsid w:val="005E125F"/>
    <w:rsid w:val="005E2745"/>
    <w:rsid w:val="005E2EEA"/>
    <w:rsid w:val="005E3708"/>
    <w:rsid w:val="005E3CCD"/>
    <w:rsid w:val="005E3D6B"/>
    <w:rsid w:val="005E5B55"/>
    <w:rsid w:val="005E5E4A"/>
    <w:rsid w:val="005E693D"/>
    <w:rsid w:val="005E75BF"/>
    <w:rsid w:val="005F57BA"/>
    <w:rsid w:val="005F61E6"/>
    <w:rsid w:val="005F6C45"/>
    <w:rsid w:val="00600CD9"/>
    <w:rsid w:val="00605A69"/>
    <w:rsid w:val="00606C54"/>
    <w:rsid w:val="00614375"/>
    <w:rsid w:val="00615B0A"/>
    <w:rsid w:val="006168CF"/>
    <w:rsid w:val="00616E1F"/>
    <w:rsid w:val="0062011B"/>
    <w:rsid w:val="00626DE0"/>
    <w:rsid w:val="00630901"/>
    <w:rsid w:val="00631F8E"/>
    <w:rsid w:val="00632E12"/>
    <w:rsid w:val="00634B5D"/>
    <w:rsid w:val="006364A1"/>
    <w:rsid w:val="00636EE9"/>
    <w:rsid w:val="00640950"/>
    <w:rsid w:val="00641AE7"/>
    <w:rsid w:val="00642629"/>
    <w:rsid w:val="0064782B"/>
    <w:rsid w:val="00647BA8"/>
    <w:rsid w:val="0065293D"/>
    <w:rsid w:val="00653EFC"/>
    <w:rsid w:val="00654021"/>
    <w:rsid w:val="0065454A"/>
    <w:rsid w:val="00661045"/>
    <w:rsid w:val="00663112"/>
    <w:rsid w:val="006652D2"/>
    <w:rsid w:val="00666986"/>
    <w:rsid w:val="00666DA8"/>
    <w:rsid w:val="00671057"/>
    <w:rsid w:val="0067455F"/>
    <w:rsid w:val="00675AAF"/>
    <w:rsid w:val="0068031A"/>
    <w:rsid w:val="00681B2F"/>
    <w:rsid w:val="0068335F"/>
    <w:rsid w:val="006862DA"/>
    <w:rsid w:val="00687217"/>
    <w:rsid w:val="00693302"/>
    <w:rsid w:val="0069640B"/>
    <w:rsid w:val="006A1B83"/>
    <w:rsid w:val="006A21CD"/>
    <w:rsid w:val="006A5918"/>
    <w:rsid w:val="006B1638"/>
    <w:rsid w:val="006B21B2"/>
    <w:rsid w:val="006B4A4A"/>
    <w:rsid w:val="006C0C0B"/>
    <w:rsid w:val="006C19B2"/>
    <w:rsid w:val="006C2F02"/>
    <w:rsid w:val="006C4409"/>
    <w:rsid w:val="006C5BB8"/>
    <w:rsid w:val="006C6936"/>
    <w:rsid w:val="006C7B01"/>
    <w:rsid w:val="006D0FE8"/>
    <w:rsid w:val="006D4B2B"/>
    <w:rsid w:val="006D4F3C"/>
    <w:rsid w:val="006D5C66"/>
    <w:rsid w:val="006D7002"/>
    <w:rsid w:val="006D7113"/>
    <w:rsid w:val="006E1B3C"/>
    <w:rsid w:val="006E23FB"/>
    <w:rsid w:val="006E325A"/>
    <w:rsid w:val="006E33EC"/>
    <w:rsid w:val="006E3802"/>
    <w:rsid w:val="006E4EFE"/>
    <w:rsid w:val="006E6C02"/>
    <w:rsid w:val="006F231A"/>
    <w:rsid w:val="006F6B55"/>
    <w:rsid w:val="006F788D"/>
    <w:rsid w:val="006F78E1"/>
    <w:rsid w:val="00701072"/>
    <w:rsid w:val="00702054"/>
    <w:rsid w:val="00703151"/>
    <w:rsid w:val="007035A4"/>
    <w:rsid w:val="00710B3F"/>
    <w:rsid w:val="00711799"/>
    <w:rsid w:val="00712B78"/>
    <w:rsid w:val="0071393B"/>
    <w:rsid w:val="00713EE2"/>
    <w:rsid w:val="007177FC"/>
    <w:rsid w:val="00720C5E"/>
    <w:rsid w:val="00721701"/>
    <w:rsid w:val="00727520"/>
    <w:rsid w:val="00731835"/>
    <w:rsid w:val="007341F8"/>
    <w:rsid w:val="00734372"/>
    <w:rsid w:val="00734EB8"/>
    <w:rsid w:val="00735F8B"/>
    <w:rsid w:val="0074090B"/>
    <w:rsid w:val="007410AE"/>
    <w:rsid w:val="00742D1F"/>
    <w:rsid w:val="00743075"/>
    <w:rsid w:val="00743EBA"/>
    <w:rsid w:val="00744C8E"/>
    <w:rsid w:val="0074707E"/>
    <w:rsid w:val="007516DC"/>
    <w:rsid w:val="00751F9A"/>
    <w:rsid w:val="00752E58"/>
    <w:rsid w:val="00754B80"/>
    <w:rsid w:val="00761918"/>
    <w:rsid w:val="00761995"/>
    <w:rsid w:val="007624F3"/>
    <w:rsid w:val="00762F03"/>
    <w:rsid w:val="0076413B"/>
    <w:rsid w:val="007648AE"/>
    <w:rsid w:val="00764BF8"/>
    <w:rsid w:val="0076514D"/>
    <w:rsid w:val="007671C4"/>
    <w:rsid w:val="007674B9"/>
    <w:rsid w:val="00770C14"/>
    <w:rsid w:val="00773D59"/>
    <w:rsid w:val="00776218"/>
    <w:rsid w:val="00781003"/>
    <w:rsid w:val="007911FD"/>
    <w:rsid w:val="00793930"/>
    <w:rsid w:val="00793DD1"/>
    <w:rsid w:val="00794FEC"/>
    <w:rsid w:val="00796F08"/>
    <w:rsid w:val="007A003E"/>
    <w:rsid w:val="007A1965"/>
    <w:rsid w:val="007A2ED1"/>
    <w:rsid w:val="007A4BE6"/>
    <w:rsid w:val="007B0DC6"/>
    <w:rsid w:val="007B1094"/>
    <w:rsid w:val="007B1762"/>
    <w:rsid w:val="007B3320"/>
    <w:rsid w:val="007B7866"/>
    <w:rsid w:val="007B7988"/>
    <w:rsid w:val="007C301F"/>
    <w:rsid w:val="007C4540"/>
    <w:rsid w:val="007C65AF"/>
    <w:rsid w:val="007D135D"/>
    <w:rsid w:val="007D22E0"/>
    <w:rsid w:val="007D730F"/>
    <w:rsid w:val="007D7CD8"/>
    <w:rsid w:val="007E3AA7"/>
    <w:rsid w:val="007F737D"/>
    <w:rsid w:val="0080308E"/>
    <w:rsid w:val="00805303"/>
    <w:rsid w:val="00806705"/>
    <w:rsid w:val="00806738"/>
    <w:rsid w:val="00814A9B"/>
    <w:rsid w:val="008216D5"/>
    <w:rsid w:val="008249CE"/>
    <w:rsid w:val="00831A50"/>
    <w:rsid w:val="00831B3C"/>
    <w:rsid w:val="00831C89"/>
    <w:rsid w:val="00831DB9"/>
    <w:rsid w:val="00832114"/>
    <w:rsid w:val="00832301"/>
    <w:rsid w:val="00834C46"/>
    <w:rsid w:val="0084093E"/>
    <w:rsid w:val="00841CE1"/>
    <w:rsid w:val="0084448C"/>
    <w:rsid w:val="008473D8"/>
    <w:rsid w:val="008528DC"/>
    <w:rsid w:val="00852B8C"/>
    <w:rsid w:val="00854981"/>
    <w:rsid w:val="00854BF5"/>
    <w:rsid w:val="00864B2E"/>
    <w:rsid w:val="00865963"/>
    <w:rsid w:val="00871C1D"/>
    <w:rsid w:val="0087450E"/>
    <w:rsid w:val="00875A82"/>
    <w:rsid w:val="00876CA3"/>
    <w:rsid w:val="008772FE"/>
    <w:rsid w:val="008775F1"/>
    <w:rsid w:val="008821AE"/>
    <w:rsid w:val="00883D3A"/>
    <w:rsid w:val="008854F7"/>
    <w:rsid w:val="00885A9D"/>
    <w:rsid w:val="0088635E"/>
    <w:rsid w:val="008929D2"/>
    <w:rsid w:val="00893636"/>
    <w:rsid w:val="00893B94"/>
    <w:rsid w:val="0089491F"/>
    <w:rsid w:val="00896E9D"/>
    <w:rsid w:val="00896F11"/>
    <w:rsid w:val="008A1049"/>
    <w:rsid w:val="008A1C98"/>
    <w:rsid w:val="008A322D"/>
    <w:rsid w:val="008A48BD"/>
    <w:rsid w:val="008A4D72"/>
    <w:rsid w:val="008A6285"/>
    <w:rsid w:val="008A63B2"/>
    <w:rsid w:val="008B11A1"/>
    <w:rsid w:val="008B276E"/>
    <w:rsid w:val="008B345D"/>
    <w:rsid w:val="008B5E15"/>
    <w:rsid w:val="008B73EF"/>
    <w:rsid w:val="008C1FC2"/>
    <w:rsid w:val="008C2980"/>
    <w:rsid w:val="008C4DD6"/>
    <w:rsid w:val="008C5AFB"/>
    <w:rsid w:val="008D07FB"/>
    <w:rsid w:val="008D0C02"/>
    <w:rsid w:val="008D2014"/>
    <w:rsid w:val="008D266A"/>
    <w:rsid w:val="008D357D"/>
    <w:rsid w:val="008D435A"/>
    <w:rsid w:val="008E387B"/>
    <w:rsid w:val="008E6087"/>
    <w:rsid w:val="008E758D"/>
    <w:rsid w:val="008F10A7"/>
    <w:rsid w:val="008F1415"/>
    <w:rsid w:val="008F755D"/>
    <w:rsid w:val="008F7A39"/>
    <w:rsid w:val="009021E8"/>
    <w:rsid w:val="00904677"/>
    <w:rsid w:val="0090521B"/>
    <w:rsid w:val="00905EE2"/>
    <w:rsid w:val="00911440"/>
    <w:rsid w:val="00911712"/>
    <w:rsid w:val="00911B27"/>
    <w:rsid w:val="00915AC3"/>
    <w:rsid w:val="009170BE"/>
    <w:rsid w:val="00920B55"/>
    <w:rsid w:val="00921374"/>
    <w:rsid w:val="009262C9"/>
    <w:rsid w:val="00930EB9"/>
    <w:rsid w:val="00932CDA"/>
    <w:rsid w:val="00933DC7"/>
    <w:rsid w:val="009418F4"/>
    <w:rsid w:val="00942BBC"/>
    <w:rsid w:val="00944180"/>
    <w:rsid w:val="00944AA0"/>
    <w:rsid w:val="00947DA2"/>
    <w:rsid w:val="00951177"/>
    <w:rsid w:val="009572CE"/>
    <w:rsid w:val="00962492"/>
    <w:rsid w:val="00962715"/>
    <w:rsid w:val="0096383C"/>
    <w:rsid w:val="0096515A"/>
    <w:rsid w:val="009673E8"/>
    <w:rsid w:val="0097146F"/>
    <w:rsid w:val="009728DE"/>
    <w:rsid w:val="00974DB8"/>
    <w:rsid w:val="009751CD"/>
    <w:rsid w:val="00980661"/>
    <w:rsid w:val="0098093B"/>
    <w:rsid w:val="00982E69"/>
    <w:rsid w:val="009876D4"/>
    <w:rsid w:val="009914A5"/>
    <w:rsid w:val="0099548E"/>
    <w:rsid w:val="00995EBB"/>
    <w:rsid w:val="00996456"/>
    <w:rsid w:val="00996A12"/>
    <w:rsid w:val="00997B0F"/>
    <w:rsid w:val="009A0CC3"/>
    <w:rsid w:val="009A1CAD"/>
    <w:rsid w:val="009A3440"/>
    <w:rsid w:val="009A4D62"/>
    <w:rsid w:val="009A5832"/>
    <w:rsid w:val="009A6838"/>
    <w:rsid w:val="009A7ED1"/>
    <w:rsid w:val="009B24B5"/>
    <w:rsid w:val="009B4EBC"/>
    <w:rsid w:val="009B5ABB"/>
    <w:rsid w:val="009B73CE"/>
    <w:rsid w:val="009B7FA1"/>
    <w:rsid w:val="009C1AF8"/>
    <w:rsid w:val="009C2461"/>
    <w:rsid w:val="009C54D5"/>
    <w:rsid w:val="009C5A15"/>
    <w:rsid w:val="009C6FE2"/>
    <w:rsid w:val="009C7674"/>
    <w:rsid w:val="009D004A"/>
    <w:rsid w:val="009D5880"/>
    <w:rsid w:val="009E1FD4"/>
    <w:rsid w:val="009E3B07"/>
    <w:rsid w:val="009E51D1"/>
    <w:rsid w:val="009E5531"/>
    <w:rsid w:val="009F171E"/>
    <w:rsid w:val="009F3D2F"/>
    <w:rsid w:val="009F7052"/>
    <w:rsid w:val="00A02668"/>
    <w:rsid w:val="00A02801"/>
    <w:rsid w:val="00A06A39"/>
    <w:rsid w:val="00A07F58"/>
    <w:rsid w:val="00A131CB"/>
    <w:rsid w:val="00A14847"/>
    <w:rsid w:val="00A16D6D"/>
    <w:rsid w:val="00A21383"/>
    <w:rsid w:val="00A2199F"/>
    <w:rsid w:val="00A21B31"/>
    <w:rsid w:val="00A226F9"/>
    <w:rsid w:val="00A2360E"/>
    <w:rsid w:val="00A26E0C"/>
    <w:rsid w:val="00A32FCB"/>
    <w:rsid w:val="00A34C25"/>
    <w:rsid w:val="00A3507D"/>
    <w:rsid w:val="00A3717A"/>
    <w:rsid w:val="00A4088C"/>
    <w:rsid w:val="00A4456B"/>
    <w:rsid w:val="00A448D4"/>
    <w:rsid w:val="00A452E0"/>
    <w:rsid w:val="00A506DF"/>
    <w:rsid w:val="00A51EA5"/>
    <w:rsid w:val="00A52831"/>
    <w:rsid w:val="00A53742"/>
    <w:rsid w:val="00A557A1"/>
    <w:rsid w:val="00A55C52"/>
    <w:rsid w:val="00A577CB"/>
    <w:rsid w:val="00A57A0B"/>
    <w:rsid w:val="00A63059"/>
    <w:rsid w:val="00A63AE3"/>
    <w:rsid w:val="00A651A4"/>
    <w:rsid w:val="00A661C8"/>
    <w:rsid w:val="00A71361"/>
    <w:rsid w:val="00A746E2"/>
    <w:rsid w:val="00A76396"/>
    <w:rsid w:val="00A81FF2"/>
    <w:rsid w:val="00A83904"/>
    <w:rsid w:val="00A90A79"/>
    <w:rsid w:val="00A96B30"/>
    <w:rsid w:val="00AA378C"/>
    <w:rsid w:val="00AA442D"/>
    <w:rsid w:val="00AA59B5"/>
    <w:rsid w:val="00AA7777"/>
    <w:rsid w:val="00AA7B84"/>
    <w:rsid w:val="00AC0B4C"/>
    <w:rsid w:val="00AC1164"/>
    <w:rsid w:val="00AC2296"/>
    <w:rsid w:val="00AC2754"/>
    <w:rsid w:val="00AC48B0"/>
    <w:rsid w:val="00AC4ACD"/>
    <w:rsid w:val="00AC5DFB"/>
    <w:rsid w:val="00AC761E"/>
    <w:rsid w:val="00AD13DC"/>
    <w:rsid w:val="00AD6DE2"/>
    <w:rsid w:val="00AE0A40"/>
    <w:rsid w:val="00AE1ED4"/>
    <w:rsid w:val="00AE21E1"/>
    <w:rsid w:val="00AE2D31"/>
    <w:rsid w:val="00AE2F8D"/>
    <w:rsid w:val="00AE34F2"/>
    <w:rsid w:val="00AE3BAE"/>
    <w:rsid w:val="00AE6A21"/>
    <w:rsid w:val="00AF1C8F"/>
    <w:rsid w:val="00AF2B68"/>
    <w:rsid w:val="00AF2C92"/>
    <w:rsid w:val="00AF3EC1"/>
    <w:rsid w:val="00AF5025"/>
    <w:rsid w:val="00AF519F"/>
    <w:rsid w:val="00AF5387"/>
    <w:rsid w:val="00AF55F5"/>
    <w:rsid w:val="00AF7E86"/>
    <w:rsid w:val="00B024B9"/>
    <w:rsid w:val="00B07268"/>
    <w:rsid w:val="00B077FA"/>
    <w:rsid w:val="00B10B55"/>
    <w:rsid w:val="00B127D7"/>
    <w:rsid w:val="00B13B0C"/>
    <w:rsid w:val="00B14408"/>
    <w:rsid w:val="00B1453A"/>
    <w:rsid w:val="00B20F82"/>
    <w:rsid w:val="00B25BD5"/>
    <w:rsid w:val="00B27D72"/>
    <w:rsid w:val="00B34079"/>
    <w:rsid w:val="00B3793A"/>
    <w:rsid w:val="00B401BA"/>
    <w:rsid w:val="00B404B5"/>
    <w:rsid w:val="00B407E4"/>
    <w:rsid w:val="00B425B6"/>
    <w:rsid w:val="00B42A72"/>
    <w:rsid w:val="00B441AE"/>
    <w:rsid w:val="00B45416"/>
    <w:rsid w:val="00B45A65"/>
    <w:rsid w:val="00B45F33"/>
    <w:rsid w:val="00B46D50"/>
    <w:rsid w:val="00B53170"/>
    <w:rsid w:val="00B548B9"/>
    <w:rsid w:val="00B56DBE"/>
    <w:rsid w:val="00B57802"/>
    <w:rsid w:val="00B62999"/>
    <w:rsid w:val="00B63BE3"/>
    <w:rsid w:val="00B64885"/>
    <w:rsid w:val="00B64BD4"/>
    <w:rsid w:val="00B64FA3"/>
    <w:rsid w:val="00B66810"/>
    <w:rsid w:val="00B70374"/>
    <w:rsid w:val="00B72BE3"/>
    <w:rsid w:val="00B73B80"/>
    <w:rsid w:val="00B770C7"/>
    <w:rsid w:val="00B77747"/>
    <w:rsid w:val="00B80F26"/>
    <w:rsid w:val="00B822BD"/>
    <w:rsid w:val="00B842F4"/>
    <w:rsid w:val="00B8661F"/>
    <w:rsid w:val="00B91A7B"/>
    <w:rsid w:val="00B929DD"/>
    <w:rsid w:val="00B93AF6"/>
    <w:rsid w:val="00B95405"/>
    <w:rsid w:val="00B963F1"/>
    <w:rsid w:val="00BA020A"/>
    <w:rsid w:val="00BB025A"/>
    <w:rsid w:val="00BB02A4"/>
    <w:rsid w:val="00BB1270"/>
    <w:rsid w:val="00BB1E44"/>
    <w:rsid w:val="00BB32CE"/>
    <w:rsid w:val="00BB5267"/>
    <w:rsid w:val="00BB52B8"/>
    <w:rsid w:val="00BB59D8"/>
    <w:rsid w:val="00BB7E69"/>
    <w:rsid w:val="00BC0E51"/>
    <w:rsid w:val="00BC3C1F"/>
    <w:rsid w:val="00BC7523"/>
    <w:rsid w:val="00BC7CE7"/>
    <w:rsid w:val="00BD21D1"/>
    <w:rsid w:val="00BD295E"/>
    <w:rsid w:val="00BD4664"/>
    <w:rsid w:val="00BE1193"/>
    <w:rsid w:val="00BF0983"/>
    <w:rsid w:val="00BF204C"/>
    <w:rsid w:val="00BF4849"/>
    <w:rsid w:val="00BF4EA7"/>
    <w:rsid w:val="00BF6525"/>
    <w:rsid w:val="00BF7ABD"/>
    <w:rsid w:val="00BF7FF5"/>
    <w:rsid w:val="00C00EDB"/>
    <w:rsid w:val="00C01C5C"/>
    <w:rsid w:val="00C02863"/>
    <w:rsid w:val="00C0383A"/>
    <w:rsid w:val="00C067FF"/>
    <w:rsid w:val="00C07CA3"/>
    <w:rsid w:val="00C12862"/>
    <w:rsid w:val="00C13D28"/>
    <w:rsid w:val="00C14585"/>
    <w:rsid w:val="00C15A41"/>
    <w:rsid w:val="00C165A0"/>
    <w:rsid w:val="00C216CE"/>
    <w:rsid w:val="00C2184F"/>
    <w:rsid w:val="00C22A78"/>
    <w:rsid w:val="00C23C7E"/>
    <w:rsid w:val="00C246C5"/>
    <w:rsid w:val="00C255C3"/>
    <w:rsid w:val="00C25A82"/>
    <w:rsid w:val="00C30A2A"/>
    <w:rsid w:val="00C33993"/>
    <w:rsid w:val="00C372CC"/>
    <w:rsid w:val="00C37AA5"/>
    <w:rsid w:val="00C4069E"/>
    <w:rsid w:val="00C41ADC"/>
    <w:rsid w:val="00C427CF"/>
    <w:rsid w:val="00C44149"/>
    <w:rsid w:val="00C44410"/>
    <w:rsid w:val="00C44A15"/>
    <w:rsid w:val="00C4630A"/>
    <w:rsid w:val="00C523F0"/>
    <w:rsid w:val="00C526D2"/>
    <w:rsid w:val="00C53A91"/>
    <w:rsid w:val="00C5794E"/>
    <w:rsid w:val="00C60968"/>
    <w:rsid w:val="00C63D39"/>
    <w:rsid w:val="00C63EDD"/>
    <w:rsid w:val="00C65B36"/>
    <w:rsid w:val="00C7292E"/>
    <w:rsid w:val="00C74E88"/>
    <w:rsid w:val="00C80924"/>
    <w:rsid w:val="00C8286B"/>
    <w:rsid w:val="00C947F8"/>
    <w:rsid w:val="00C9515F"/>
    <w:rsid w:val="00C963C5"/>
    <w:rsid w:val="00CA030C"/>
    <w:rsid w:val="00CA1F41"/>
    <w:rsid w:val="00CA32EE"/>
    <w:rsid w:val="00CA4019"/>
    <w:rsid w:val="00CA5771"/>
    <w:rsid w:val="00CA6A1A"/>
    <w:rsid w:val="00CB20AA"/>
    <w:rsid w:val="00CB64A3"/>
    <w:rsid w:val="00CB7071"/>
    <w:rsid w:val="00CC1E75"/>
    <w:rsid w:val="00CC2E0E"/>
    <w:rsid w:val="00CC361C"/>
    <w:rsid w:val="00CC474B"/>
    <w:rsid w:val="00CC658C"/>
    <w:rsid w:val="00CC67BF"/>
    <w:rsid w:val="00CC7C4A"/>
    <w:rsid w:val="00CD0843"/>
    <w:rsid w:val="00CD4E31"/>
    <w:rsid w:val="00CD5A78"/>
    <w:rsid w:val="00CD7345"/>
    <w:rsid w:val="00CE372E"/>
    <w:rsid w:val="00CF0A1B"/>
    <w:rsid w:val="00CF19F6"/>
    <w:rsid w:val="00CF2F4F"/>
    <w:rsid w:val="00CF536D"/>
    <w:rsid w:val="00CF5EE6"/>
    <w:rsid w:val="00CF68C3"/>
    <w:rsid w:val="00D02E9D"/>
    <w:rsid w:val="00D10CB8"/>
    <w:rsid w:val="00D12806"/>
    <w:rsid w:val="00D12D44"/>
    <w:rsid w:val="00D15018"/>
    <w:rsid w:val="00D158AC"/>
    <w:rsid w:val="00D1694C"/>
    <w:rsid w:val="00D17868"/>
    <w:rsid w:val="00D17ADB"/>
    <w:rsid w:val="00D20F5E"/>
    <w:rsid w:val="00D23B76"/>
    <w:rsid w:val="00D24B4A"/>
    <w:rsid w:val="00D30EE3"/>
    <w:rsid w:val="00D332AD"/>
    <w:rsid w:val="00D34DA4"/>
    <w:rsid w:val="00D35908"/>
    <w:rsid w:val="00D379A3"/>
    <w:rsid w:val="00D41DDF"/>
    <w:rsid w:val="00D45FF3"/>
    <w:rsid w:val="00D512CF"/>
    <w:rsid w:val="00D528B9"/>
    <w:rsid w:val="00D53186"/>
    <w:rsid w:val="00D5487D"/>
    <w:rsid w:val="00D60140"/>
    <w:rsid w:val="00D6024A"/>
    <w:rsid w:val="00D608B5"/>
    <w:rsid w:val="00D64739"/>
    <w:rsid w:val="00D71F99"/>
    <w:rsid w:val="00D73CA4"/>
    <w:rsid w:val="00D73D71"/>
    <w:rsid w:val="00D74396"/>
    <w:rsid w:val="00D80284"/>
    <w:rsid w:val="00D8184A"/>
    <w:rsid w:val="00D81F71"/>
    <w:rsid w:val="00D84DA9"/>
    <w:rsid w:val="00D8642D"/>
    <w:rsid w:val="00D8758D"/>
    <w:rsid w:val="00D901EF"/>
    <w:rsid w:val="00D90A5E"/>
    <w:rsid w:val="00D91A68"/>
    <w:rsid w:val="00D95A68"/>
    <w:rsid w:val="00D95EF9"/>
    <w:rsid w:val="00D961EE"/>
    <w:rsid w:val="00DA17C7"/>
    <w:rsid w:val="00DA1EFF"/>
    <w:rsid w:val="00DA41B8"/>
    <w:rsid w:val="00DA6A9A"/>
    <w:rsid w:val="00DB1EFD"/>
    <w:rsid w:val="00DB2D85"/>
    <w:rsid w:val="00DB3EAF"/>
    <w:rsid w:val="00DB46C6"/>
    <w:rsid w:val="00DC3203"/>
    <w:rsid w:val="00DC3C99"/>
    <w:rsid w:val="00DC52F5"/>
    <w:rsid w:val="00DC5FD0"/>
    <w:rsid w:val="00DD0354"/>
    <w:rsid w:val="00DD27D7"/>
    <w:rsid w:val="00DD2E08"/>
    <w:rsid w:val="00DD458C"/>
    <w:rsid w:val="00DD65F7"/>
    <w:rsid w:val="00DD72E9"/>
    <w:rsid w:val="00DD7605"/>
    <w:rsid w:val="00DE2020"/>
    <w:rsid w:val="00DE3476"/>
    <w:rsid w:val="00DE7BEA"/>
    <w:rsid w:val="00DF5B84"/>
    <w:rsid w:val="00DF6D5B"/>
    <w:rsid w:val="00DF771B"/>
    <w:rsid w:val="00DF7EE2"/>
    <w:rsid w:val="00E01BAA"/>
    <w:rsid w:val="00E0282A"/>
    <w:rsid w:val="00E02F9B"/>
    <w:rsid w:val="00E07E14"/>
    <w:rsid w:val="00E11BC0"/>
    <w:rsid w:val="00E14F94"/>
    <w:rsid w:val="00E17336"/>
    <w:rsid w:val="00E17D15"/>
    <w:rsid w:val="00E22B95"/>
    <w:rsid w:val="00E30331"/>
    <w:rsid w:val="00E30BB8"/>
    <w:rsid w:val="00E31F9C"/>
    <w:rsid w:val="00E40488"/>
    <w:rsid w:val="00E45342"/>
    <w:rsid w:val="00E50367"/>
    <w:rsid w:val="00E51ABA"/>
    <w:rsid w:val="00E524CB"/>
    <w:rsid w:val="00E65456"/>
    <w:rsid w:val="00E65A91"/>
    <w:rsid w:val="00E66188"/>
    <w:rsid w:val="00E664FB"/>
    <w:rsid w:val="00E672F0"/>
    <w:rsid w:val="00E70373"/>
    <w:rsid w:val="00E72E40"/>
    <w:rsid w:val="00E73665"/>
    <w:rsid w:val="00E73999"/>
    <w:rsid w:val="00E73BDC"/>
    <w:rsid w:val="00E73E9E"/>
    <w:rsid w:val="00E81660"/>
    <w:rsid w:val="00E83D2F"/>
    <w:rsid w:val="00E854FE"/>
    <w:rsid w:val="00E906CC"/>
    <w:rsid w:val="00E9096A"/>
    <w:rsid w:val="00E9318D"/>
    <w:rsid w:val="00E939A0"/>
    <w:rsid w:val="00E95557"/>
    <w:rsid w:val="00E97E4E"/>
    <w:rsid w:val="00EA1CC2"/>
    <w:rsid w:val="00EA1FCD"/>
    <w:rsid w:val="00EA2D76"/>
    <w:rsid w:val="00EA4644"/>
    <w:rsid w:val="00EA7513"/>
    <w:rsid w:val="00EA752F"/>
    <w:rsid w:val="00EA758A"/>
    <w:rsid w:val="00EB096F"/>
    <w:rsid w:val="00EB199F"/>
    <w:rsid w:val="00EB19A7"/>
    <w:rsid w:val="00EB21A4"/>
    <w:rsid w:val="00EB27C4"/>
    <w:rsid w:val="00EB5081"/>
    <w:rsid w:val="00EB5387"/>
    <w:rsid w:val="00EB5C10"/>
    <w:rsid w:val="00EB7322"/>
    <w:rsid w:val="00EC0FE9"/>
    <w:rsid w:val="00EC198B"/>
    <w:rsid w:val="00EC426D"/>
    <w:rsid w:val="00EC571B"/>
    <w:rsid w:val="00EC57D7"/>
    <w:rsid w:val="00EC6385"/>
    <w:rsid w:val="00ED1B42"/>
    <w:rsid w:val="00ED1DE9"/>
    <w:rsid w:val="00ED23D4"/>
    <w:rsid w:val="00ED5E0B"/>
    <w:rsid w:val="00ED7B4C"/>
    <w:rsid w:val="00EE37B6"/>
    <w:rsid w:val="00EF0F45"/>
    <w:rsid w:val="00EF1317"/>
    <w:rsid w:val="00EF7463"/>
    <w:rsid w:val="00EF7971"/>
    <w:rsid w:val="00F002EF"/>
    <w:rsid w:val="00F01EE9"/>
    <w:rsid w:val="00F04900"/>
    <w:rsid w:val="00F04A82"/>
    <w:rsid w:val="00F065A4"/>
    <w:rsid w:val="00F126B9"/>
    <w:rsid w:val="00F12715"/>
    <w:rsid w:val="00F144D5"/>
    <w:rsid w:val="00F146F0"/>
    <w:rsid w:val="00F15039"/>
    <w:rsid w:val="00F20FF3"/>
    <w:rsid w:val="00F2190B"/>
    <w:rsid w:val="00F228B5"/>
    <w:rsid w:val="00F2389C"/>
    <w:rsid w:val="00F25C67"/>
    <w:rsid w:val="00F30DFF"/>
    <w:rsid w:val="00F32B80"/>
    <w:rsid w:val="00F340EB"/>
    <w:rsid w:val="00F35285"/>
    <w:rsid w:val="00F353E9"/>
    <w:rsid w:val="00F37947"/>
    <w:rsid w:val="00F43B9D"/>
    <w:rsid w:val="00F44D5E"/>
    <w:rsid w:val="00F4551E"/>
    <w:rsid w:val="00F53A35"/>
    <w:rsid w:val="00F55A3D"/>
    <w:rsid w:val="00F5744B"/>
    <w:rsid w:val="00F61209"/>
    <w:rsid w:val="00F6259E"/>
    <w:rsid w:val="00F65DD4"/>
    <w:rsid w:val="00F672B2"/>
    <w:rsid w:val="00F722C6"/>
    <w:rsid w:val="00F75887"/>
    <w:rsid w:val="00F83973"/>
    <w:rsid w:val="00F87FA3"/>
    <w:rsid w:val="00F914EA"/>
    <w:rsid w:val="00F93D8C"/>
    <w:rsid w:val="00F9429A"/>
    <w:rsid w:val="00F97383"/>
    <w:rsid w:val="00F97613"/>
    <w:rsid w:val="00F976F3"/>
    <w:rsid w:val="00FA3102"/>
    <w:rsid w:val="00FA48D4"/>
    <w:rsid w:val="00FA54FA"/>
    <w:rsid w:val="00FA6D39"/>
    <w:rsid w:val="00FB227E"/>
    <w:rsid w:val="00FB3D61"/>
    <w:rsid w:val="00FB44CE"/>
    <w:rsid w:val="00FB5009"/>
    <w:rsid w:val="00FB76AB"/>
    <w:rsid w:val="00FD012D"/>
    <w:rsid w:val="00FD03FE"/>
    <w:rsid w:val="00FD126E"/>
    <w:rsid w:val="00FD3C36"/>
    <w:rsid w:val="00FD4D81"/>
    <w:rsid w:val="00FD7498"/>
    <w:rsid w:val="00FD7FB3"/>
    <w:rsid w:val="00FE302E"/>
    <w:rsid w:val="00FE4713"/>
    <w:rsid w:val="00FF1F44"/>
    <w:rsid w:val="00FF225E"/>
    <w:rsid w:val="00FF672C"/>
    <w:rsid w:val="00FF6CE8"/>
    <w:rsid w:val="0329C9DE"/>
    <w:rsid w:val="052E1228"/>
    <w:rsid w:val="07976C26"/>
    <w:rsid w:val="09B79ABC"/>
    <w:rsid w:val="16C21D55"/>
    <w:rsid w:val="1BAFAA6F"/>
    <w:rsid w:val="1FD60E2C"/>
    <w:rsid w:val="4758A04D"/>
    <w:rsid w:val="5F7A8300"/>
    <w:rsid w:val="624E573A"/>
    <w:rsid w:val="76620C13"/>
    <w:rsid w:val="77E3BD96"/>
    <w:rsid w:val="78A5F51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02FAF"/>
  <w14:defaultImageDpi w14:val="330"/>
  <w15:docId w15:val="{11B1E138-F8F0-4E0B-923F-635B3079D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7BA8"/>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6"/>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30"/>
      </w:numPr>
      <w:spacing w:after="240"/>
      <w:contextualSpacing/>
    </w:pPr>
  </w:style>
  <w:style w:type="paragraph" w:styleId="FootnoteText">
    <w:name w:val="footnote text"/>
    <w:basedOn w:val="Normal"/>
    <w:link w:val="FootnoteTextChar"/>
    <w:autoRedefine/>
    <w:uiPriority w:val="99"/>
    <w:rsid w:val="00F04A82"/>
    <w:pPr>
      <w:contextualSpacing/>
    </w:pPr>
    <w:rPr>
      <w:lang w:val="en-US"/>
    </w:rPr>
  </w:style>
  <w:style w:type="character" w:customStyle="1" w:styleId="FootnoteTextChar">
    <w:name w:val="Footnote Text Char"/>
    <w:basedOn w:val="DefaultParagraphFont"/>
    <w:link w:val="FootnoteText"/>
    <w:uiPriority w:val="99"/>
    <w:rsid w:val="00F04A82"/>
    <w:rPr>
      <w:sz w:val="24"/>
      <w:szCs w:val="24"/>
      <w:lang w:val="en-US"/>
    </w:rPr>
  </w:style>
  <w:style w:type="character" w:styleId="FootnoteReference">
    <w:name w:val="footnote reference"/>
    <w:basedOn w:val="DefaultParagraphFont"/>
    <w:uiPriority w:val="99"/>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uiPriority w:val="99"/>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uiPriority w:val="99"/>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table" w:styleId="TableGrid">
    <w:name w:val="Table Grid"/>
    <w:basedOn w:val="TableNormal"/>
    <w:uiPriority w:val="39"/>
    <w:rsid w:val="00573F71"/>
    <w:rPr>
      <w:rFonts w:ascii="Arial" w:eastAsia="Arial" w:hAnsi="Arial" w:cs="Arial"/>
      <w:sz w:val="22"/>
      <w:szCs w:val="22"/>
      <w:lang w:val="en"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019"/>
    <w:rPr>
      <w:color w:val="0000FF" w:themeColor="hyperlink"/>
      <w:u w:val="single"/>
    </w:rPr>
  </w:style>
  <w:style w:type="character" w:styleId="CommentReference">
    <w:name w:val="annotation reference"/>
    <w:basedOn w:val="DefaultParagraphFont"/>
    <w:semiHidden/>
    <w:unhideWhenUsed/>
    <w:rsid w:val="009572CE"/>
    <w:rPr>
      <w:sz w:val="16"/>
      <w:szCs w:val="16"/>
    </w:rPr>
  </w:style>
  <w:style w:type="paragraph" w:styleId="CommentText">
    <w:name w:val="annotation text"/>
    <w:basedOn w:val="Normal"/>
    <w:link w:val="CommentTextChar"/>
    <w:semiHidden/>
    <w:unhideWhenUsed/>
    <w:rsid w:val="009572CE"/>
    <w:pPr>
      <w:spacing w:line="240" w:lineRule="auto"/>
    </w:pPr>
    <w:rPr>
      <w:sz w:val="20"/>
      <w:szCs w:val="20"/>
    </w:rPr>
  </w:style>
  <w:style w:type="character" w:customStyle="1" w:styleId="CommentTextChar">
    <w:name w:val="Comment Text Char"/>
    <w:basedOn w:val="DefaultParagraphFont"/>
    <w:link w:val="CommentText"/>
    <w:semiHidden/>
    <w:rsid w:val="009572CE"/>
  </w:style>
  <w:style w:type="paragraph" w:styleId="CommentSubject">
    <w:name w:val="annotation subject"/>
    <w:basedOn w:val="CommentText"/>
    <w:next w:val="CommentText"/>
    <w:link w:val="CommentSubjectChar"/>
    <w:semiHidden/>
    <w:unhideWhenUsed/>
    <w:rsid w:val="009572CE"/>
    <w:rPr>
      <w:b/>
      <w:bCs/>
    </w:rPr>
  </w:style>
  <w:style w:type="character" w:customStyle="1" w:styleId="CommentSubjectChar">
    <w:name w:val="Comment Subject Char"/>
    <w:basedOn w:val="CommentTextChar"/>
    <w:link w:val="CommentSubject"/>
    <w:semiHidden/>
    <w:rsid w:val="009572CE"/>
    <w:rPr>
      <w:b/>
      <w:bCs/>
    </w:rPr>
  </w:style>
  <w:style w:type="paragraph" w:styleId="BalloonText">
    <w:name w:val="Balloon Text"/>
    <w:basedOn w:val="Normal"/>
    <w:link w:val="BalloonTextChar"/>
    <w:semiHidden/>
    <w:unhideWhenUsed/>
    <w:rsid w:val="009572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9572C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659F6"/>
    <w:rPr>
      <w:color w:val="605E5C"/>
      <w:shd w:val="clear" w:color="auto" w:fill="E1DFDD"/>
    </w:rPr>
  </w:style>
  <w:style w:type="paragraph" w:styleId="Revision">
    <w:name w:val="Revision"/>
    <w:hidden/>
    <w:semiHidden/>
    <w:rsid w:val="00CB7071"/>
    <w:rPr>
      <w:sz w:val="24"/>
      <w:szCs w:val="24"/>
    </w:rPr>
  </w:style>
  <w:style w:type="character" w:styleId="UnresolvedMention">
    <w:name w:val="Unresolved Mention"/>
    <w:basedOn w:val="DefaultParagraphFont"/>
    <w:uiPriority w:val="99"/>
    <w:semiHidden/>
    <w:unhideWhenUsed/>
    <w:rsid w:val="008F1415"/>
    <w:rPr>
      <w:color w:val="605E5C"/>
      <w:shd w:val="clear" w:color="auto" w:fill="E1DFDD"/>
    </w:rPr>
  </w:style>
  <w:style w:type="paragraph" w:styleId="ListParagraph">
    <w:name w:val="List Paragraph"/>
    <w:basedOn w:val="Normal"/>
    <w:uiPriority w:val="34"/>
    <w:qFormat/>
    <w:rsid w:val="0038219D"/>
    <w:pPr>
      <w:ind w:left="720"/>
      <w:contextualSpacing/>
    </w:pPr>
  </w:style>
  <w:style w:type="character" w:styleId="FollowedHyperlink">
    <w:name w:val="FollowedHyperlink"/>
    <w:basedOn w:val="DefaultParagraphFont"/>
    <w:uiPriority w:val="99"/>
    <w:semiHidden/>
    <w:unhideWhenUsed/>
    <w:rsid w:val="003821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48422">
      <w:bodyDiv w:val="1"/>
      <w:marLeft w:val="0"/>
      <w:marRight w:val="0"/>
      <w:marTop w:val="0"/>
      <w:marBottom w:val="0"/>
      <w:divBdr>
        <w:top w:val="none" w:sz="0" w:space="0" w:color="auto"/>
        <w:left w:val="none" w:sz="0" w:space="0" w:color="auto"/>
        <w:bottom w:val="none" w:sz="0" w:space="0" w:color="auto"/>
        <w:right w:val="none" w:sz="0" w:space="0" w:color="auto"/>
      </w:divBdr>
    </w:div>
    <w:div w:id="371612702">
      <w:bodyDiv w:val="1"/>
      <w:marLeft w:val="0"/>
      <w:marRight w:val="0"/>
      <w:marTop w:val="0"/>
      <w:marBottom w:val="0"/>
      <w:divBdr>
        <w:top w:val="none" w:sz="0" w:space="0" w:color="auto"/>
        <w:left w:val="none" w:sz="0" w:space="0" w:color="auto"/>
        <w:bottom w:val="none" w:sz="0" w:space="0" w:color="auto"/>
        <w:right w:val="none" w:sz="0" w:space="0" w:color="auto"/>
      </w:divBdr>
    </w:div>
    <w:div w:id="632902164">
      <w:bodyDiv w:val="1"/>
      <w:marLeft w:val="0"/>
      <w:marRight w:val="0"/>
      <w:marTop w:val="0"/>
      <w:marBottom w:val="0"/>
      <w:divBdr>
        <w:top w:val="none" w:sz="0" w:space="0" w:color="auto"/>
        <w:left w:val="none" w:sz="0" w:space="0" w:color="auto"/>
        <w:bottom w:val="none" w:sz="0" w:space="0" w:color="auto"/>
        <w:right w:val="none" w:sz="0" w:space="0" w:color="auto"/>
      </w:divBdr>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967317968">
      <w:bodyDiv w:val="1"/>
      <w:marLeft w:val="0"/>
      <w:marRight w:val="0"/>
      <w:marTop w:val="0"/>
      <w:marBottom w:val="0"/>
      <w:divBdr>
        <w:top w:val="none" w:sz="0" w:space="0" w:color="auto"/>
        <w:left w:val="none" w:sz="0" w:space="0" w:color="auto"/>
        <w:bottom w:val="none" w:sz="0" w:space="0" w:color="auto"/>
        <w:right w:val="none" w:sz="0" w:space="0" w:color="auto"/>
      </w:divBdr>
    </w:div>
    <w:div w:id="1239289924">
      <w:bodyDiv w:val="1"/>
      <w:marLeft w:val="0"/>
      <w:marRight w:val="0"/>
      <w:marTop w:val="0"/>
      <w:marBottom w:val="0"/>
      <w:divBdr>
        <w:top w:val="none" w:sz="0" w:space="0" w:color="auto"/>
        <w:left w:val="none" w:sz="0" w:space="0" w:color="auto"/>
        <w:bottom w:val="none" w:sz="0" w:space="0" w:color="auto"/>
        <w:right w:val="none" w:sz="0" w:space="0" w:color="auto"/>
      </w:divBdr>
    </w:div>
    <w:div w:id="1349137521">
      <w:bodyDiv w:val="1"/>
      <w:marLeft w:val="0"/>
      <w:marRight w:val="0"/>
      <w:marTop w:val="0"/>
      <w:marBottom w:val="0"/>
      <w:divBdr>
        <w:top w:val="none" w:sz="0" w:space="0" w:color="auto"/>
        <w:left w:val="none" w:sz="0" w:space="0" w:color="auto"/>
        <w:bottom w:val="none" w:sz="0" w:space="0" w:color="auto"/>
        <w:right w:val="none" w:sz="0" w:space="0" w:color="auto"/>
      </w:divBdr>
    </w:div>
    <w:div w:id="202154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eansocialsurvey.org/"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catalog.worldbank.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e.ac.uk/download/pdf/60589284.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eurostat/web/microdata/european-union-statistics-on-income-and-living-conditions" TargetMode="External"/><Relationship Id="rId4" Type="http://schemas.openxmlformats.org/officeDocument/2006/relationships/settings" Target="settings.xml"/><Relationship Id="rId9" Type="http://schemas.openxmlformats.org/officeDocument/2006/relationships/hyperlink" Target="https://www.stata.com/manuals/memelogit.pdf"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uh40523\AppData\Local\Temp\Temp1_TF_Template_Word_Windows_2016.zip\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0D368-1BE9-4FBC-B2B2-1660BF1CD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Template>
  <TotalTime>58</TotalTime>
  <Pages>45</Pages>
  <Words>12318</Words>
  <Characters>70215</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TF_Template_Word_Windows_2016</vt:lpstr>
    </vt:vector>
  </TitlesOfParts>
  <Company>Informa Plc</Company>
  <LinksUpToDate>false</LinksUpToDate>
  <CharactersWithSpaces>82369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creator>Nicole J Johnson</dc:creator>
  <cp:lastModifiedBy>Nicole Johnson</cp:lastModifiedBy>
  <cp:revision>6</cp:revision>
  <cp:lastPrinted>2011-07-22T14:54:00Z</cp:lastPrinted>
  <dcterms:created xsi:type="dcterms:W3CDTF">2020-07-20T13:40:00Z</dcterms:created>
  <dcterms:modified xsi:type="dcterms:W3CDTF">2020-07-20T15:59:00Z</dcterms:modified>
</cp:coreProperties>
</file>