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lang w:val="fr-CA"/>
        </w:rPr>
        <w:id w:val="647403980"/>
        <w:docPartObj>
          <w:docPartGallery w:val="Cover Pages"/>
          <w:docPartUnique/>
        </w:docPartObj>
      </w:sdtPr>
      <w:sdtEndPr>
        <w:rPr>
          <w:sz w:val="20"/>
          <w:szCs w:val="20"/>
        </w:rPr>
      </w:sdtEndPr>
      <w:sdtContent>
        <w:p w14:paraId="04D47D71" w14:textId="3B9E7A36" w:rsidR="00667F29" w:rsidRPr="00E86B2B" w:rsidRDefault="00667F29" w:rsidP="00F070AA">
          <w:pPr>
            <w:rPr>
              <w:lang w:val="fr-CA"/>
            </w:rPr>
          </w:pPr>
          <w:r w:rsidRPr="00E86B2B">
            <w:rPr>
              <w:noProof/>
              <w:lang w:val="fr-CA"/>
            </w:rPr>
            <mc:AlternateContent>
              <mc:Choice Requires="wpg">
                <w:drawing>
                  <wp:anchor distT="0" distB="0" distL="114300" distR="114300" simplePos="0" relativeHeight="251664384" behindDoc="0" locked="0" layoutInCell="1" allowOverlap="1" wp14:anchorId="6457D008" wp14:editId="49C32D0D">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EA6CC" w14:textId="77777777" w:rsidR="002760C1" w:rsidRDefault="002760C1" w:rsidP="00F070AA">
                                  <w: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755FF" w14:textId="77777777" w:rsidR="002760C1" w:rsidRDefault="002760C1" w:rsidP="00F070AA">
                                  <w: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57D008" id="Group 15" o:spid="_x0000_s1026" style="position:absolute;margin-left:364.5pt;margin-top:-385.7pt;width:143.25pt;height:60.75pt;z-index:251664384" coordorigin="8895,1230" coordsize="2865,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">
                    <v:shapetype id="_x0000_t202" coordsize="21600,21600" o:spt="202" path="m,l,21600r21600,l21600,xe">
                      <v:stroke joinstyle="miter"/>
                      <v:path gradientshapeok="t" o:connecttype="rect"/>
                    </v:shapetype>
                    <v:shape id="Text Box 16" o:spid="_x0000_s1027" type="#_x0000_t202" style="position:absolute;left:10290;top:1230;width:1470;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301EA6CC" w14:textId="77777777" w:rsidR="002760C1" w:rsidRDefault="002760C1" w:rsidP="00F070AA">
                            <w:r>
                              <w:t>08</w:t>
                            </w:r>
                          </w:p>
                        </w:txbxContent>
                      </v:textbox>
                    </v:shape>
                    <v:shapetype id="_x0000_t32" coordsize="21600,21600" o:spt="32" o:oned="t" path="m,l21600,21600e" filled="f">
                      <v:path arrowok="t" fillok="f" o:connecttype="none"/>
                      <o:lock v:ext="edit" shapetype="t"/>
                    </v:shapetype>
                    <v:shape id="AutoShape 17" o:spid="_x0000_s1028" type="#_x0000_t32" style="position:absolute;left:10290;top:1590;width:0;height:6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" strokecolor="white" strokeweight="1.5pt"/>
                    <v:shape id="Text Box 18" o:spid="_x0000_s1029" type="#_x0000_t202" style="position:absolute;left:8895;top:1455;width:1365;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" filled="f" stroked="f">
                      <v:textbox>
                        <w:txbxContent>
                          <w:p w14:paraId="2E0755FF" w14:textId="77777777" w:rsidR="002760C1" w:rsidRDefault="002760C1" w:rsidP="00F070AA">
                            <w:r>
                              <w:t>Fall</w:t>
                            </w:r>
                          </w:p>
                        </w:txbxContent>
                      </v:textbox>
                    </v:shape>
                  </v:group>
                </w:pict>
              </mc:Fallback>
            </mc:AlternateContent>
          </w:r>
        </w:p>
        <w:p w14:paraId="036A13F3" w14:textId="40B9FACA" w:rsidR="00043693" w:rsidRPr="00E86B2B" w:rsidRDefault="00DC7FE4" w:rsidP="00E64376">
          <w:pPr>
            <w:spacing w:after="0"/>
            <w:rPr>
              <w:sz w:val="20"/>
              <w:szCs w:val="20"/>
              <w:lang w:val="fr-CA"/>
            </w:rPr>
          </w:pPr>
        </w:p>
      </w:sdtContent>
    </w:sdt>
    <w:p w14:paraId="738DF9AE" w14:textId="42126CBE" w:rsidR="0068150C" w:rsidRPr="00E86B2B" w:rsidRDefault="00784BBC" w:rsidP="002162C5">
      <w:pPr>
        <w:pStyle w:val="Heading4"/>
        <w:spacing w:line="276" w:lineRule="auto"/>
        <w:ind w:left="-142"/>
        <w:rPr>
          <w:rFonts w:ascii="Gotham Book" w:hAnsi="Gotham Book"/>
          <w:bCs w:val="0"/>
          <w:iCs w:val="0"/>
          <w:sz w:val="48"/>
          <w:szCs w:val="48"/>
          <w:lang w:val="fr-CA"/>
        </w:rPr>
      </w:pPr>
      <w:r w:rsidRPr="00E86B2B">
        <w:rPr>
          <w:rFonts w:ascii="Gotham Medium" w:hAnsi="Gotham Medium"/>
          <w:bCs w:val="0"/>
          <w:iCs w:val="0"/>
          <w:sz w:val="48"/>
          <w:szCs w:val="48"/>
          <w:lang w:val="fr-CA"/>
        </w:rPr>
        <w:t>Boîte</w:t>
      </w:r>
      <w:r w:rsidR="00F76386">
        <w:rPr>
          <w:rFonts w:ascii="Gotham Medium" w:hAnsi="Gotham Medium"/>
          <w:bCs w:val="0"/>
          <w:iCs w:val="0"/>
          <w:sz w:val="48"/>
          <w:szCs w:val="48"/>
          <w:lang w:val="fr-CA"/>
        </w:rPr>
        <w:t xml:space="preserve"> </w:t>
      </w:r>
      <w:r w:rsidRPr="00E86B2B">
        <w:rPr>
          <w:rFonts w:ascii="Gotham Medium" w:hAnsi="Gotham Medium"/>
          <w:bCs w:val="0"/>
          <w:iCs w:val="0"/>
          <w:sz w:val="48"/>
          <w:szCs w:val="48"/>
          <w:lang w:val="fr-CA"/>
        </w:rPr>
        <w:t>à outils pour les données sensibles — destiné aux chercheurs</w:t>
      </w:r>
      <w:r w:rsidR="003F0AB1" w:rsidRPr="00E86B2B">
        <w:rPr>
          <w:rFonts w:ascii="Gotham Book" w:hAnsi="Gotham Book"/>
          <w:bCs w:val="0"/>
          <w:iCs w:val="0"/>
          <w:sz w:val="48"/>
          <w:szCs w:val="48"/>
          <w:lang w:val="fr-CA"/>
        </w:rPr>
        <w:br/>
      </w:r>
      <w:r w:rsidR="003127F7" w:rsidRPr="00E86B2B">
        <w:rPr>
          <w:rStyle w:val="Heading1Char"/>
          <w:rFonts w:ascii="Gotham Book" w:hAnsi="Gotham Book"/>
          <w:sz w:val="44"/>
          <w:szCs w:val="44"/>
          <w:lang w:val="fr-CA"/>
        </w:rPr>
        <w:t>Part</w:t>
      </w:r>
      <w:r w:rsidRPr="00E86B2B">
        <w:rPr>
          <w:rStyle w:val="Heading1Char"/>
          <w:rFonts w:ascii="Gotham Book" w:hAnsi="Gotham Book"/>
          <w:sz w:val="44"/>
          <w:szCs w:val="44"/>
          <w:lang w:val="fr-CA"/>
        </w:rPr>
        <w:t>ie</w:t>
      </w:r>
      <w:r w:rsidR="003127F7" w:rsidRPr="00E86B2B">
        <w:rPr>
          <w:rStyle w:val="Heading1Char"/>
          <w:rFonts w:ascii="Gotham Book" w:hAnsi="Gotham Book"/>
          <w:sz w:val="44"/>
          <w:szCs w:val="44"/>
          <w:lang w:val="fr-CA"/>
        </w:rPr>
        <w:t xml:space="preserve"> 2: </w:t>
      </w:r>
      <w:r w:rsidR="00A41EA8" w:rsidRPr="00E86B2B">
        <w:rPr>
          <w:rFonts w:ascii="Gotham Book" w:hAnsi="Gotham Book"/>
          <w:bCs w:val="0"/>
          <w:iCs w:val="0"/>
          <w:sz w:val="44"/>
          <w:szCs w:val="44"/>
          <w:lang w:val="fr-CA"/>
        </w:rPr>
        <w:t>Matrice de risque lié aux données de recherche avec des êtres humains</w:t>
      </w:r>
    </w:p>
    <w:p w14:paraId="28B07828" w14:textId="77777777" w:rsidR="0068150C" w:rsidRPr="00E86B2B" w:rsidRDefault="0068150C" w:rsidP="00F070AA">
      <w:pPr>
        <w:rPr>
          <w:lang w:val="fr-CA"/>
        </w:rPr>
      </w:pPr>
    </w:p>
    <w:p w14:paraId="32ABA01D" w14:textId="7A698157" w:rsidR="00024E01" w:rsidRPr="00E86B2B" w:rsidRDefault="00024E01" w:rsidP="00F070AA">
      <w:pPr>
        <w:rPr>
          <w:lang w:val="fr-CA"/>
        </w:rPr>
      </w:pPr>
    </w:p>
    <w:p w14:paraId="2EA2C331" w14:textId="0B2AA957" w:rsidR="00C333DA" w:rsidRPr="00E86B2B" w:rsidRDefault="00A41EA8" w:rsidP="007333BA">
      <w:pPr>
        <w:widowControl w:val="0"/>
        <w:spacing w:after="0"/>
        <w:ind w:right="-306"/>
        <w:rPr>
          <w:lang w:val="fr-CA"/>
        </w:rPr>
      </w:pPr>
      <w:r w:rsidRPr="00E86B2B">
        <w:rPr>
          <w:lang w:val="fr-CA"/>
        </w:rPr>
        <w:t>Préparé par le Groupe d’experts sur les données sensibles (GEDS) du réseau Portage au nom de l’Association des bibliothèques de recherche du Canada (ABRC)</w:t>
      </w:r>
    </w:p>
    <w:p w14:paraId="17F1F951" w14:textId="77777777" w:rsidR="00F54DDA" w:rsidRPr="00E86B2B" w:rsidRDefault="00F54DDA" w:rsidP="007333BA">
      <w:pPr>
        <w:widowControl w:val="0"/>
        <w:spacing w:after="0"/>
        <w:ind w:right="-306"/>
        <w:rPr>
          <w:lang w:val="fr-CA"/>
        </w:rPr>
      </w:pPr>
    </w:p>
    <w:p w14:paraId="6913FE90" w14:textId="77777777" w:rsidR="007333BA" w:rsidRPr="00E86B2B" w:rsidRDefault="007333BA" w:rsidP="007333BA">
      <w:pPr>
        <w:widowControl w:val="0"/>
        <w:spacing w:after="0"/>
        <w:ind w:right="-306"/>
        <w:rPr>
          <w:lang w:val="fr-CA"/>
        </w:rPr>
      </w:pPr>
    </w:p>
    <w:p w14:paraId="7476A571" w14:textId="633EF05F" w:rsidR="002162C5" w:rsidRPr="00E86B2B" w:rsidRDefault="002162C5" w:rsidP="007333BA">
      <w:pPr>
        <w:ind w:right="-306"/>
        <w:rPr>
          <w:lang w:val="fr-CA"/>
        </w:rPr>
      </w:pPr>
      <w:r w:rsidRPr="00E86B2B">
        <w:rPr>
          <w:lang w:val="fr-CA"/>
        </w:rPr>
        <w:br/>
      </w:r>
      <w:r w:rsidRPr="00E86B2B">
        <w:rPr>
          <w:lang w:val="fr-CA"/>
        </w:rPr>
        <w:br/>
      </w:r>
      <w:r w:rsidRPr="00E86B2B">
        <w:rPr>
          <w:lang w:val="fr-CA"/>
        </w:rPr>
        <w:br/>
      </w:r>
    </w:p>
    <w:p w14:paraId="477FE04E" w14:textId="77777777" w:rsidR="00473FB4" w:rsidRPr="00E86B2B" w:rsidRDefault="00473FB4" w:rsidP="00F070AA">
      <w:pPr>
        <w:rPr>
          <w:lang w:val="fr-CA"/>
        </w:rPr>
      </w:pPr>
    </w:p>
    <w:p w14:paraId="033855A2" w14:textId="77777777" w:rsidR="007333BA" w:rsidRPr="00E86B2B" w:rsidRDefault="007333BA" w:rsidP="00F070AA">
      <w:pPr>
        <w:rPr>
          <w:lang w:val="fr-CA"/>
        </w:rPr>
      </w:pPr>
    </w:p>
    <w:p w14:paraId="0FCCE47C" w14:textId="77777777" w:rsidR="00473FB4" w:rsidRPr="00E86B2B" w:rsidRDefault="00473FB4" w:rsidP="00F070AA">
      <w:pPr>
        <w:rPr>
          <w:lang w:val="fr-CA"/>
        </w:rPr>
      </w:pPr>
    </w:p>
    <w:p w14:paraId="6F0A1349" w14:textId="3C917971" w:rsidR="0068150C" w:rsidRPr="00E86B2B" w:rsidRDefault="00A41EA8" w:rsidP="007333BA">
      <w:pPr>
        <w:rPr>
          <w:lang w:val="fr-CA"/>
        </w:rPr>
      </w:pPr>
      <w:r w:rsidRPr="00E86B2B">
        <w:rPr>
          <w:lang w:val="fr-CA"/>
        </w:rPr>
        <w:t>SEPTEMBRE</w:t>
      </w:r>
      <w:r w:rsidR="003115AD" w:rsidRPr="00E86B2B">
        <w:rPr>
          <w:lang w:val="fr-CA"/>
        </w:rPr>
        <w:t xml:space="preserve"> 2020</w:t>
      </w:r>
    </w:p>
    <w:p w14:paraId="7D4CB1EF" w14:textId="77777777" w:rsidR="007333BA" w:rsidRPr="00E86B2B" w:rsidRDefault="007333BA" w:rsidP="007333BA">
      <w:pPr>
        <w:ind w:left="-142"/>
        <w:rPr>
          <w:lang w:val="fr-CA"/>
        </w:rPr>
      </w:pPr>
    </w:p>
    <w:p w14:paraId="59A51C61" w14:textId="77777777" w:rsidR="007333BA" w:rsidRPr="00E86B2B" w:rsidRDefault="007333BA" w:rsidP="007333BA">
      <w:pPr>
        <w:ind w:left="-142"/>
        <w:rPr>
          <w:lang w:val="fr-CA"/>
        </w:rPr>
      </w:pPr>
    </w:p>
    <w:p w14:paraId="7092D120" w14:textId="0A2EAC8E" w:rsidR="0068150C" w:rsidRPr="00E86B2B" w:rsidRDefault="0068150C" w:rsidP="002162C5">
      <w:pPr>
        <w:ind w:left="-142"/>
        <w:rPr>
          <w:lang w:val="fr-CA"/>
        </w:rPr>
      </w:pPr>
    </w:p>
    <w:p w14:paraId="2E3EA1BC" w14:textId="77777777" w:rsidR="007333BA" w:rsidRPr="00E86B2B" w:rsidRDefault="007333BA" w:rsidP="002162C5">
      <w:pPr>
        <w:ind w:left="-142"/>
        <w:rPr>
          <w:lang w:val="fr-CA"/>
        </w:rPr>
      </w:pPr>
    </w:p>
    <w:p w14:paraId="1C6E4007" w14:textId="77777777" w:rsidR="00A41EA8" w:rsidRPr="00A41EA8" w:rsidRDefault="00A41EA8" w:rsidP="00A41EA8">
      <w:pPr>
        <w:spacing w:after="0"/>
        <w:rPr>
          <w:lang w:val="fr-CA"/>
        </w:rPr>
      </w:pPr>
      <w:r w:rsidRPr="00A41EA8">
        <w:rPr>
          <w:lang w:val="fr-CA"/>
        </w:rPr>
        <w:t xml:space="preserve">Réseau Portage </w:t>
      </w:r>
    </w:p>
    <w:p w14:paraId="4C9AFC92" w14:textId="77777777" w:rsidR="00A41EA8" w:rsidRPr="00A41EA8" w:rsidRDefault="00A41EA8" w:rsidP="00A41EA8">
      <w:pPr>
        <w:spacing w:after="0"/>
        <w:rPr>
          <w:lang w:val="fr-CA"/>
        </w:rPr>
      </w:pPr>
      <w:r w:rsidRPr="00A41EA8">
        <w:rPr>
          <w:lang w:val="fr-CA"/>
        </w:rPr>
        <w:t xml:space="preserve">Association des bibliothèques de recherche du Canada </w:t>
      </w:r>
    </w:p>
    <w:p w14:paraId="5E5F6FDE" w14:textId="67FBF7D9" w:rsidR="00A55985" w:rsidRPr="00E86B2B" w:rsidRDefault="00A41EA8" w:rsidP="00A41EA8">
      <w:pPr>
        <w:spacing w:after="0"/>
        <w:rPr>
          <w:rFonts w:ascii="Gotham Medium" w:hAnsi="Gotham Medium"/>
          <w:lang w:val="fr-CA"/>
        </w:rPr>
      </w:pPr>
      <w:r w:rsidRPr="00E86B2B">
        <w:rPr>
          <w:b/>
          <w:bCs/>
          <w:lang w:val="fr-CA"/>
        </w:rPr>
        <w:t>portage@carl-abrc.ca</w:t>
      </w:r>
      <w:r w:rsidR="00A55985" w:rsidRPr="00E86B2B">
        <w:rPr>
          <w:rFonts w:ascii="Gotham Medium" w:hAnsi="Gotham Medium"/>
          <w:color w:val="0A2F87"/>
          <w:lang w:val="fr-CA"/>
        </w:rPr>
        <w:br w:type="page"/>
      </w:r>
    </w:p>
    <w:p w14:paraId="578F63DF" w14:textId="09B6B250" w:rsidR="003127F7" w:rsidRPr="00E86B2B" w:rsidRDefault="003127F7" w:rsidP="003127F7">
      <w:pPr>
        <w:pStyle w:val="Heading1"/>
        <w:rPr>
          <w:lang w:val="fr-CA"/>
        </w:rPr>
      </w:pPr>
      <w:r w:rsidRPr="00E86B2B">
        <w:rPr>
          <w:lang w:val="fr-CA"/>
        </w:rPr>
        <w:lastRenderedPageBreak/>
        <w:t>Introduction</w:t>
      </w:r>
    </w:p>
    <w:p w14:paraId="13A49D0E" w14:textId="77777777" w:rsidR="00A41EA8" w:rsidRPr="00E86B2B" w:rsidRDefault="00A41EA8" w:rsidP="00A41EA8">
      <w:pPr>
        <w:rPr>
          <w:lang w:val="fr-CA"/>
        </w:rPr>
      </w:pPr>
      <w:r w:rsidRPr="00A41EA8">
        <w:rPr>
          <w:lang w:val="fr-CA"/>
        </w:rPr>
        <w:t>Le Groupe d’experts sur les données sensibles du Réseau Portage a créé une suite d’outils pour les chercheurs canadiens. Ces outils ont été créés pour aider les chercheurs à comprendre comment les données de recherche s’inscrivent dans le processus d’éthique de la recherche et pour aborder l’évolution des pratiques de gestion des données de recherche (GDR) telles que le partage et le stockage des données dans le contexte des cadres actuels d’éthique de la recherche.</w:t>
      </w:r>
    </w:p>
    <w:p w14:paraId="5773BD3E" w14:textId="77D68917" w:rsidR="00A41EA8" w:rsidRPr="00A41EA8" w:rsidRDefault="00A41EA8" w:rsidP="00A41EA8">
      <w:pPr>
        <w:rPr>
          <w:lang w:val="fr-CA"/>
        </w:rPr>
      </w:pPr>
      <w:r w:rsidRPr="00A41EA8">
        <w:rPr>
          <w:lang w:val="fr-CA"/>
        </w:rPr>
        <w:t xml:space="preserve"> </w:t>
      </w:r>
      <w:r w:rsidRPr="00E86B2B">
        <w:rPr>
          <w:lang w:val="fr-CA"/>
        </w:rPr>
        <w:t xml:space="preserve">Cet outil intitulé « Matrice de risque lié aux données de recherche avec des êtres humains » a été conçu pour aider les chercheurs à déterminer le degré de risque lié aux données de recherche avec les êtres humains et à prendre des décisions par rapport à la gestion, au stockage et à l’accès ou l’utilisation future convenable de ces données. Le risque peut être déterminé en tenant compte des trois facteurs suivants : 1. Le caractère identifiable des données au moment de leur collecte et de leur stockage ; 2. la vulnérabilité des sujets des données, soit en tant qu’individu, collectivité ou population ; et 3. la sensibilité des données quant à leur susceptibilité à causer des torts, soit physiques, psychologiques/émotionnels, sociaux et légaux, entre autres. Cette matrice est destinée à être utilisée de concert avec la partie 1 de cette boîte à outils, </w:t>
      </w:r>
      <w:hyperlink r:id="rId8" w:history="1">
        <w:r w:rsidRPr="00E86B2B">
          <w:rPr>
            <w:rStyle w:val="Hyperlink"/>
            <w:lang w:val="fr-CA"/>
          </w:rPr>
          <w:t>Glossaire terminologique sur l’utilisation des données sensibles à des fins de recherche</w:t>
        </w:r>
      </w:hyperlink>
      <w:r w:rsidRPr="00E86B2B">
        <w:rPr>
          <w:lang w:val="fr-CA"/>
        </w:rPr>
        <w:t>.</w:t>
      </w:r>
    </w:p>
    <w:p w14:paraId="5488CBCB" w14:textId="4930F9EA" w:rsidR="003127F7" w:rsidRPr="00E86B2B" w:rsidRDefault="00A41EA8" w:rsidP="00A41EA8">
      <w:pPr>
        <w:rPr>
          <w:lang w:val="fr-CA"/>
        </w:rPr>
      </w:pPr>
      <w:r w:rsidRPr="00A41EA8">
        <w:rPr>
          <w:lang w:val="fr-CA"/>
        </w:rPr>
        <w:t>Le Groupe d’experts sur les données sensibles</w:t>
      </w:r>
      <w:r w:rsidRPr="00E86B2B">
        <w:rPr>
          <w:lang w:val="fr-CA"/>
        </w:rPr>
        <w:t xml:space="preserve"> est composé d’un large éventail de membres des communautés de recherche, notamment des professionnels de l’éthique de la recherche, des représentants d’organismes de financement et des membres d’organisations autochtones, qui sont intéressés au domaine des données de recherche sensibles. Le groupe travaille ensemble à l’élaboration de conseils et d’outils pratiques pour la gestion des données sensibles au Canada.</w:t>
      </w:r>
    </w:p>
    <w:p w14:paraId="1EFF11ED" w14:textId="77777777" w:rsidR="003127F7" w:rsidRPr="00E86B2B" w:rsidRDefault="003127F7" w:rsidP="003127F7">
      <w:pPr>
        <w:pStyle w:val="ListParagraph"/>
        <w:rPr>
          <w:lang w:val="fr-CA"/>
        </w:rPr>
        <w:sectPr w:rsidR="003127F7" w:rsidRPr="00E86B2B" w:rsidSect="00E50188">
          <w:headerReference w:type="default" r:id="rId9"/>
          <w:footerReference w:type="even" r:id="rId10"/>
          <w:footerReference w:type="default" r:id="rId11"/>
          <w:headerReference w:type="first" r:id="rId12"/>
          <w:footerReference w:type="first" r:id="rId13"/>
          <w:pgSz w:w="12240" w:h="15840"/>
          <w:pgMar w:top="1440" w:right="1325" w:bottom="1418" w:left="1440" w:header="708" w:footer="699" w:gutter="0"/>
          <w:pgNumType w:start="0"/>
          <w:cols w:space="708"/>
          <w:titlePg/>
          <w:docGrid w:linePitch="360"/>
        </w:sect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10"/>
        <w:gridCol w:w="2880"/>
        <w:gridCol w:w="2700"/>
        <w:gridCol w:w="2790"/>
        <w:gridCol w:w="2970"/>
      </w:tblGrid>
      <w:tr w:rsidR="003127F7" w:rsidRPr="00E86B2B" w14:paraId="1FC4B46E" w14:textId="77777777" w:rsidTr="00E248B5">
        <w:trPr>
          <w:trHeight w:val="337"/>
          <w:tblHeader/>
        </w:trPr>
        <w:tc>
          <w:tcPr>
            <w:tcW w:w="1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1852F" w14:textId="77777777" w:rsidR="003127F7" w:rsidRPr="00E86B2B" w:rsidRDefault="003127F7" w:rsidP="009F3EA3">
            <w:pPr>
              <w:spacing w:after="0"/>
              <w:rPr>
                <w:b/>
                <w:lang w:val="fr-CA"/>
              </w:rPr>
            </w:pPr>
          </w:p>
        </w:tc>
        <w:tc>
          <w:tcPr>
            <w:tcW w:w="2880" w:type="dxa"/>
            <w:tcBorders>
              <w:top w:val="single" w:sz="8" w:space="0" w:color="000000"/>
              <w:bottom w:val="single" w:sz="8" w:space="0" w:color="000000"/>
              <w:right w:val="single" w:sz="8" w:space="0" w:color="000000"/>
            </w:tcBorders>
            <w:shd w:val="clear" w:color="auto" w:fill="00B050"/>
            <w:tcMar>
              <w:top w:w="100" w:type="dxa"/>
              <w:left w:w="100" w:type="dxa"/>
              <w:bottom w:w="100" w:type="dxa"/>
              <w:right w:w="100" w:type="dxa"/>
            </w:tcMar>
          </w:tcPr>
          <w:p w14:paraId="476F469F" w14:textId="0B434825" w:rsidR="003127F7" w:rsidRPr="00E86B2B" w:rsidRDefault="00E86B2B" w:rsidP="009F3EA3">
            <w:pPr>
              <w:spacing w:after="0" w:line="240" w:lineRule="auto"/>
              <w:rPr>
                <w:b/>
                <w:color w:val="auto"/>
                <w:lang w:val="fr-CA"/>
              </w:rPr>
            </w:pPr>
            <w:r w:rsidRPr="00E86B2B">
              <w:rPr>
                <w:b/>
                <w:color w:val="auto"/>
                <w:lang w:val="fr-CA"/>
              </w:rPr>
              <w:t>Risque faible</w:t>
            </w:r>
          </w:p>
        </w:tc>
        <w:tc>
          <w:tcPr>
            <w:tcW w:w="2700" w:type="dxa"/>
            <w:tcBorders>
              <w:top w:val="single" w:sz="8" w:space="0" w:color="000000"/>
              <w:bottom w:val="single" w:sz="8" w:space="0" w:color="000000"/>
              <w:right w:val="single" w:sz="8" w:space="0" w:color="000000"/>
            </w:tcBorders>
            <w:shd w:val="clear" w:color="auto" w:fill="FFFF00"/>
            <w:tcMar>
              <w:top w:w="100" w:type="dxa"/>
              <w:left w:w="100" w:type="dxa"/>
              <w:bottom w:w="100" w:type="dxa"/>
              <w:right w:w="100" w:type="dxa"/>
            </w:tcMar>
          </w:tcPr>
          <w:p w14:paraId="12F526FE" w14:textId="3449EC46" w:rsidR="003127F7" w:rsidRPr="00E86B2B" w:rsidRDefault="00E86B2B" w:rsidP="009F3EA3">
            <w:pPr>
              <w:spacing w:after="0" w:line="240" w:lineRule="auto"/>
              <w:rPr>
                <w:b/>
                <w:color w:val="auto"/>
                <w:lang w:val="fr-CA"/>
              </w:rPr>
            </w:pPr>
            <w:r w:rsidRPr="00E86B2B">
              <w:rPr>
                <w:b/>
                <w:color w:val="auto"/>
                <w:lang w:val="fr-CA"/>
              </w:rPr>
              <w:t>Risque moyen</w:t>
            </w:r>
          </w:p>
        </w:tc>
        <w:tc>
          <w:tcPr>
            <w:tcW w:w="2790" w:type="dxa"/>
            <w:tcBorders>
              <w:top w:val="single" w:sz="8" w:space="0" w:color="000000"/>
              <w:bottom w:val="single" w:sz="8" w:space="0" w:color="000000"/>
              <w:right w:val="single" w:sz="8" w:space="0" w:color="000000"/>
            </w:tcBorders>
            <w:shd w:val="clear" w:color="auto" w:fill="FFC000"/>
            <w:tcMar>
              <w:top w:w="100" w:type="dxa"/>
              <w:left w:w="100" w:type="dxa"/>
              <w:bottom w:w="100" w:type="dxa"/>
              <w:right w:w="100" w:type="dxa"/>
            </w:tcMar>
          </w:tcPr>
          <w:p w14:paraId="61E5A0F5" w14:textId="5D8230F4" w:rsidR="003127F7" w:rsidRPr="00E86B2B" w:rsidRDefault="00E86B2B" w:rsidP="009F3EA3">
            <w:pPr>
              <w:spacing w:after="0" w:line="240" w:lineRule="auto"/>
              <w:rPr>
                <w:b/>
                <w:color w:val="auto"/>
                <w:lang w:val="fr-CA"/>
              </w:rPr>
            </w:pPr>
            <w:r w:rsidRPr="00E86B2B">
              <w:rPr>
                <w:b/>
                <w:color w:val="auto"/>
                <w:lang w:val="fr-CA"/>
              </w:rPr>
              <w:t>Risque élevé</w:t>
            </w:r>
          </w:p>
        </w:tc>
        <w:tc>
          <w:tcPr>
            <w:tcW w:w="2970" w:type="dxa"/>
            <w:tcBorders>
              <w:top w:val="single" w:sz="8" w:space="0" w:color="000000"/>
              <w:bottom w:val="single" w:sz="8" w:space="0" w:color="000000"/>
              <w:right w:val="single" w:sz="8" w:space="0" w:color="000000"/>
            </w:tcBorders>
            <w:shd w:val="clear" w:color="auto" w:fill="FF0000"/>
            <w:tcMar>
              <w:top w:w="100" w:type="dxa"/>
              <w:left w:w="100" w:type="dxa"/>
              <w:bottom w:w="100" w:type="dxa"/>
              <w:right w:w="100" w:type="dxa"/>
            </w:tcMar>
          </w:tcPr>
          <w:p w14:paraId="415CCA2B" w14:textId="745C4CA6" w:rsidR="003127F7" w:rsidRPr="00E86B2B" w:rsidRDefault="00E86B2B" w:rsidP="009F3EA3">
            <w:pPr>
              <w:spacing w:after="0" w:line="240" w:lineRule="auto"/>
              <w:rPr>
                <w:b/>
                <w:color w:val="auto"/>
                <w:lang w:val="fr-CA"/>
              </w:rPr>
            </w:pPr>
            <w:r w:rsidRPr="00E86B2B">
              <w:rPr>
                <w:b/>
                <w:color w:val="auto"/>
                <w:lang w:val="fr-CA"/>
              </w:rPr>
              <w:t>Risque extrême</w:t>
            </w:r>
          </w:p>
        </w:tc>
      </w:tr>
      <w:tr w:rsidR="003127F7" w:rsidRPr="00E86B2B" w14:paraId="4BDD064A" w14:textId="77777777" w:rsidTr="009F3EA3">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84AAD83" w14:textId="74DBD1A2" w:rsidR="003127F7" w:rsidRPr="00E86B2B" w:rsidRDefault="00E86B2B" w:rsidP="0047632B">
            <w:pPr>
              <w:spacing w:line="240" w:lineRule="auto"/>
              <w:rPr>
                <w:b/>
                <w:color w:val="002F87" w:themeColor="text2"/>
                <w:lang w:val="fr-CA"/>
              </w:rPr>
            </w:pPr>
            <w:r w:rsidRPr="00E86B2B">
              <w:rPr>
                <w:b/>
                <w:color w:val="002F87" w:themeColor="text2"/>
                <w:lang w:val="fr-CA"/>
              </w:rPr>
              <w:t>Définitions des degrés de risque</w:t>
            </w:r>
          </w:p>
        </w:tc>
        <w:tc>
          <w:tcPr>
            <w:tcW w:w="2880" w:type="dxa"/>
            <w:tcBorders>
              <w:bottom w:val="single" w:sz="8" w:space="0" w:color="000000"/>
              <w:right w:val="single" w:sz="8" w:space="0" w:color="000000"/>
            </w:tcBorders>
            <w:tcMar>
              <w:top w:w="100" w:type="dxa"/>
              <w:left w:w="100" w:type="dxa"/>
              <w:bottom w:w="100" w:type="dxa"/>
              <w:right w:w="100" w:type="dxa"/>
            </w:tcMar>
          </w:tcPr>
          <w:p w14:paraId="688A85E0" w14:textId="77777777" w:rsidR="00E86B2B" w:rsidRPr="00E86B2B" w:rsidRDefault="00E86B2B" w:rsidP="00E86B2B">
            <w:pPr>
              <w:spacing w:line="240" w:lineRule="auto"/>
              <w:rPr>
                <w:lang w:val="fr-CA"/>
              </w:rPr>
            </w:pPr>
            <w:r w:rsidRPr="00E86B2B">
              <w:rPr>
                <w:lang w:val="fr-CA"/>
              </w:rPr>
              <w:t xml:space="preserve">Données disponibles publiquement, pour lesquelles les participants n’ont pas d’attente raisonnable en matière de respect de la vie privée, quel que soit leur caractère sensible ou identifiable. </w:t>
            </w:r>
          </w:p>
          <w:p w14:paraId="253EC834" w14:textId="77777777" w:rsidR="00E86B2B" w:rsidRPr="00E86B2B" w:rsidRDefault="00E86B2B" w:rsidP="00E86B2B">
            <w:pPr>
              <w:spacing w:line="240" w:lineRule="auto"/>
              <w:rPr>
                <w:lang w:val="fr-CA"/>
              </w:rPr>
            </w:pPr>
            <w:r w:rsidRPr="00E86B2B">
              <w:rPr>
                <w:lang w:val="fr-CA"/>
              </w:rPr>
              <w:t>Les données sont collectées sans aucune information qui pourrait raisonnablement identifier des personnes ou des groupes.</w:t>
            </w:r>
          </w:p>
          <w:p w14:paraId="749346F5" w14:textId="77777777" w:rsidR="00E86B2B" w:rsidRPr="00E86B2B" w:rsidRDefault="00E86B2B" w:rsidP="00E86B2B">
            <w:pPr>
              <w:spacing w:line="240" w:lineRule="auto"/>
              <w:rPr>
                <w:lang w:val="fr-CA"/>
              </w:rPr>
            </w:pPr>
            <w:r w:rsidRPr="00E86B2B">
              <w:rPr>
                <w:lang w:val="fr-CA"/>
              </w:rPr>
              <w:t>Les données ne contiennent aucun renseignement confidentiel ou sensible.</w:t>
            </w:r>
          </w:p>
          <w:p w14:paraId="6FCFA722" w14:textId="54B78288" w:rsidR="003127F7" w:rsidRPr="00E86B2B" w:rsidRDefault="00E86B2B" w:rsidP="00E86B2B">
            <w:pPr>
              <w:spacing w:line="240" w:lineRule="auto"/>
              <w:rPr>
                <w:lang w:val="fr-CA"/>
              </w:rPr>
            </w:pPr>
            <w:r w:rsidRPr="00E86B2B">
              <w:rPr>
                <w:lang w:val="fr-CA"/>
              </w:rPr>
              <w:t>Les sujets liés aux données ne sont pas vulnérables dans le contexte de la recherche et ne subiraient aucun tort en cas de fuite</w:t>
            </w:r>
            <w:r w:rsidR="003127F7" w:rsidRPr="00E86B2B">
              <w:rPr>
                <w:lang w:val="fr-CA"/>
              </w:rPr>
              <w:t>.</w:t>
            </w:r>
          </w:p>
        </w:tc>
        <w:tc>
          <w:tcPr>
            <w:tcW w:w="2700" w:type="dxa"/>
            <w:tcBorders>
              <w:bottom w:val="single" w:sz="8" w:space="0" w:color="000000"/>
              <w:right w:val="single" w:sz="8" w:space="0" w:color="000000"/>
            </w:tcBorders>
            <w:tcMar>
              <w:top w:w="100" w:type="dxa"/>
              <w:left w:w="100" w:type="dxa"/>
              <w:bottom w:w="100" w:type="dxa"/>
              <w:right w:w="100" w:type="dxa"/>
            </w:tcMar>
          </w:tcPr>
          <w:p w14:paraId="140CC5F8" w14:textId="77777777" w:rsidR="00E86B2B" w:rsidRPr="00E86B2B" w:rsidRDefault="00E86B2B" w:rsidP="00E86B2B">
            <w:pPr>
              <w:spacing w:line="240" w:lineRule="auto"/>
              <w:rPr>
                <w:lang w:val="fr-CA"/>
              </w:rPr>
            </w:pPr>
            <w:r w:rsidRPr="00E86B2B">
              <w:rPr>
                <w:lang w:val="fr-CA"/>
              </w:rPr>
              <w:t xml:space="preserve">Tous les identificateurs ont été dépersonnalisés afin que les données déposées ne contiennent aucune information qui pourrait raisonnablement identifier des personnes ou des groupes. </w:t>
            </w:r>
          </w:p>
          <w:p w14:paraId="49136B59" w14:textId="77777777" w:rsidR="00E86B2B" w:rsidRPr="00E86B2B" w:rsidRDefault="00E86B2B" w:rsidP="00E86B2B">
            <w:pPr>
              <w:spacing w:line="240" w:lineRule="auto"/>
              <w:rPr>
                <w:lang w:val="fr-CA"/>
              </w:rPr>
            </w:pPr>
            <w:r w:rsidRPr="00E86B2B">
              <w:rPr>
                <w:lang w:val="fr-CA"/>
              </w:rPr>
              <w:t xml:space="preserve">Les données pourraient contenir de l’information collectée initialement comme confidentielle ou sensible. </w:t>
            </w:r>
          </w:p>
          <w:p w14:paraId="51933F60" w14:textId="090A0E47" w:rsidR="003127F7" w:rsidRPr="00E86B2B" w:rsidRDefault="00E86B2B" w:rsidP="00E86B2B">
            <w:pPr>
              <w:spacing w:line="240" w:lineRule="auto"/>
              <w:rPr>
                <w:lang w:val="fr-CA"/>
              </w:rPr>
            </w:pPr>
            <w:r w:rsidRPr="00E86B2B">
              <w:rPr>
                <w:lang w:val="fr-CA"/>
              </w:rPr>
              <w:t>Les sujets liés aux données ne sont pas vulnérables dans le contexte de la recherche et ne subiraient aucun tort en cas de fuite.</w:t>
            </w:r>
          </w:p>
        </w:tc>
        <w:tc>
          <w:tcPr>
            <w:tcW w:w="2790" w:type="dxa"/>
            <w:tcBorders>
              <w:bottom w:val="single" w:sz="8" w:space="0" w:color="000000"/>
              <w:right w:val="single" w:sz="8" w:space="0" w:color="000000"/>
            </w:tcBorders>
            <w:tcMar>
              <w:top w:w="100" w:type="dxa"/>
              <w:left w:w="100" w:type="dxa"/>
              <w:bottom w:w="100" w:type="dxa"/>
              <w:right w:w="100" w:type="dxa"/>
            </w:tcMar>
          </w:tcPr>
          <w:p w14:paraId="298151B3" w14:textId="77777777" w:rsidR="00E86B2B" w:rsidRPr="00E86B2B" w:rsidRDefault="00E86B2B" w:rsidP="00E86B2B">
            <w:pPr>
              <w:spacing w:line="240" w:lineRule="auto"/>
              <w:rPr>
                <w:lang w:val="fr-FR"/>
              </w:rPr>
            </w:pPr>
            <w:r w:rsidRPr="00E86B2B">
              <w:rPr>
                <w:lang w:val="fr-FR"/>
              </w:rPr>
              <w:t>Les renseignements demeurent identifiables ou une nouvelle identification est possible ou probable.</w:t>
            </w:r>
          </w:p>
          <w:p w14:paraId="6127FD9E" w14:textId="77777777" w:rsidR="00E86B2B" w:rsidRPr="00E86B2B" w:rsidRDefault="00E86B2B" w:rsidP="00E86B2B">
            <w:pPr>
              <w:spacing w:line="240" w:lineRule="auto"/>
              <w:rPr>
                <w:lang w:val="fr-FR"/>
              </w:rPr>
            </w:pPr>
            <w:r w:rsidRPr="00E86B2B">
              <w:rPr>
                <w:lang w:val="fr-FR"/>
              </w:rPr>
              <w:t>Les données contiennent de l’information confidentielle ou sensible.</w:t>
            </w:r>
          </w:p>
          <w:p w14:paraId="09AED452" w14:textId="56397C13" w:rsidR="003127F7" w:rsidRPr="00E86B2B" w:rsidRDefault="00E86B2B" w:rsidP="00E86B2B">
            <w:pPr>
              <w:spacing w:line="240" w:lineRule="auto"/>
              <w:rPr>
                <w:lang w:val="fr-CA"/>
              </w:rPr>
            </w:pPr>
            <w:r w:rsidRPr="00E86B2B">
              <w:rPr>
                <w:lang w:val="fr-FR"/>
              </w:rPr>
              <w:t>Les sujets liés aux données pourraient être vulnérables dans le contexte de la recherche et pourraient subir des torts en cas de fuite.</w:t>
            </w:r>
          </w:p>
        </w:tc>
        <w:tc>
          <w:tcPr>
            <w:tcW w:w="2970" w:type="dxa"/>
            <w:tcBorders>
              <w:bottom w:val="single" w:sz="8" w:space="0" w:color="000000"/>
              <w:right w:val="single" w:sz="8" w:space="0" w:color="000000"/>
            </w:tcBorders>
            <w:tcMar>
              <w:top w:w="100" w:type="dxa"/>
              <w:left w:w="100" w:type="dxa"/>
              <w:bottom w:w="100" w:type="dxa"/>
              <w:right w:w="100" w:type="dxa"/>
            </w:tcMar>
          </w:tcPr>
          <w:p w14:paraId="622D9463" w14:textId="77777777" w:rsidR="00E86B2B" w:rsidRPr="00E86B2B" w:rsidRDefault="00E86B2B" w:rsidP="00E86B2B">
            <w:pPr>
              <w:spacing w:line="240" w:lineRule="auto"/>
              <w:rPr>
                <w:lang w:val="fr-FR"/>
              </w:rPr>
            </w:pPr>
            <w:r w:rsidRPr="00E86B2B">
              <w:rPr>
                <w:lang w:val="fr-FR"/>
              </w:rPr>
              <w:t>L’obtention des données est régie par une entente (formelle ou informelle) avec la personne détentrice des données, interdisant la rétention ou l’utilisation future de celles-ci.</w:t>
            </w:r>
          </w:p>
          <w:p w14:paraId="09A28F28" w14:textId="77777777" w:rsidR="00E86B2B" w:rsidRPr="00E86B2B" w:rsidRDefault="00E86B2B" w:rsidP="00E86B2B">
            <w:pPr>
              <w:spacing w:line="240" w:lineRule="auto"/>
              <w:rPr>
                <w:lang w:val="fr-FR"/>
              </w:rPr>
            </w:pPr>
            <w:r w:rsidRPr="00E86B2B">
              <w:rPr>
                <w:lang w:val="fr-FR"/>
              </w:rPr>
              <w:t>Les renseignements demeurent identifiables ou une nouvelle identification est possible ou probable.</w:t>
            </w:r>
          </w:p>
          <w:p w14:paraId="7CF789B4" w14:textId="77777777" w:rsidR="00E86B2B" w:rsidRPr="00E86B2B" w:rsidRDefault="00E86B2B" w:rsidP="00E86B2B">
            <w:pPr>
              <w:spacing w:line="240" w:lineRule="auto"/>
              <w:rPr>
                <w:lang w:val="fr-FR"/>
              </w:rPr>
            </w:pPr>
            <w:r w:rsidRPr="00E86B2B">
              <w:rPr>
                <w:lang w:val="fr-FR"/>
              </w:rPr>
              <w:t>Les données contiennent de l’information confidentielle ou sensible.</w:t>
            </w:r>
          </w:p>
          <w:p w14:paraId="75DD74F6" w14:textId="278143D6" w:rsidR="003127F7" w:rsidRPr="00E86B2B" w:rsidRDefault="00E86B2B" w:rsidP="00E86B2B">
            <w:pPr>
              <w:spacing w:line="240" w:lineRule="auto"/>
              <w:rPr>
                <w:lang w:val="fr-CA"/>
              </w:rPr>
            </w:pPr>
            <w:r w:rsidRPr="00E86B2B">
              <w:rPr>
                <w:lang w:val="fr-FR"/>
              </w:rPr>
              <w:t>Les sujets liés aux données sont vulnérables dans le contexte de la recherche et subiraient des torts en cas de fuite</w:t>
            </w:r>
            <w:r w:rsidR="003127F7" w:rsidRPr="00E86B2B">
              <w:rPr>
                <w:lang w:val="fr-CA"/>
              </w:rPr>
              <w:t>.</w:t>
            </w:r>
          </w:p>
        </w:tc>
      </w:tr>
      <w:tr w:rsidR="003127F7" w:rsidRPr="00E86B2B" w14:paraId="072BB7B4" w14:textId="77777777" w:rsidTr="009F3EA3">
        <w:trPr>
          <w:cantSplit/>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9CB615C" w14:textId="27B20EEC" w:rsidR="003127F7" w:rsidRPr="00E86B2B" w:rsidRDefault="009F3EA3" w:rsidP="0047632B">
            <w:pPr>
              <w:spacing w:line="240" w:lineRule="auto"/>
              <w:rPr>
                <w:b/>
                <w:lang w:val="fr-CA"/>
              </w:rPr>
            </w:pPr>
            <w:r w:rsidRPr="009F3EA3">
              <w:rPr>
                <w:b/>
                <w:color w:val="002F87" w:themeColor="text2"/>
                <w:lang w:val="fr-FR"/>
              </w:rPr>
              <w:lastRenderedPageBreak/>
              <w:t>Consentement éclairé</w:t>
            </w:r>
            <w:r w:rsidR="003127F7" w:rsidRPr="00E86B2B">
              <w:rPr>
                <w:b/>
                <w:lang w:val="fr-CA"/>
              </w:rPr>
              <w:t xml:space="preserve"> </w:t>
            </w:r>
          </w:p>
          <w:p w14:paraId="4A62E428" w14:textId="77777777" w:rsidR="003127F7" w:rsidRPr="00E86B2B" w:rsidRDefault="003127F7" w:rsidP="0047632B">
            <w:pPr>
              <w:spacing w:line="240" w:lineRule="auto"/>
              <w:rPr>
                <w:b/>
                <w:lang w:val="fr-CA"/>
              </w:rPr>
            </w:pPr>
            <w:r w:rsidRPr="00E86B2B">
              <w:rPr>
                <w:b/>
                <w:lang w:val="fr-CA"/>
              </w:rPr>
              <w:t xml:space="preserve"> </w:t>
            </w:r>
          </w:p>
          <w:p w14:paraId="4ED7B549" w14:textId="77777777" w:rsidR="003127F7" w:rsidRPr="00E86B2B" w:rsidRDefault="003127F7" w:rsidP="0047632B">
            <w:pPr>
              <w:spacing w:line="240" w:lineRule="auto"/>
              <w:rPr>
                <w:b/>
                <w:lang w:val="fr-CA"/>
              </w:rPr>
            </w:pPr>
            <w:r w:rsidRPr="00E86B2B">
              <w:rPr>
                <w:b/>
                <w:lang w:val="fr-CA"/>
              </w:rPr>
              <w:t xml:space="preserve"> </w:t>
            </w:r>
          </w:p>
        </w:tc>
        <w:tc>
          <w:tcPr>
            <w:tcW w:w="2880" w:type="dxa"/>
            <w:tcBorders>
              <w:bottom w:val="single" w:sz="8" w:space="0" w:color="000000"/>
              <w:right w:val="single" w:sz="8" w:space="0" w:color="000000"/>
            </w:tcBorders>
            <w:tcMar>
              <w:top w:w="100" w:type="dxa"/>
              <w:left w:w="100" w:type="dxa"/>
              <w:bottom w:w="100" w:type="dxa"/>
              <w:right w:w="100" w:type="dxa"/>
            </w:tcMar>
          </w:tcPr>
          <w:p w14:paraId="44529ACB" w14:textId="4632E08F" w:rsidR="003127F7" w:rsidRPr="00E86B2B" w:rsidRDefault="009F3EA3" w:rsidP="0047632B">
            <w:pPr>
              <w:spacing w:line="240" w:lineRule="auto"/>
              <w:rPr>
                <w:lang w:val="fr-CA"/>
              </w:rPr>
            </w:pPr>
            <w:r w:rsidRPr="009F3EA3">
              <w:rPr>
                <w:lang w:val="fr-FR"/>
              </w:rPr>
              <w:t>Avis indiquant que les données seront disponibles pour une utilisation future.</w:t>
            </w:r>
          </w:p>
        </w:tc>
        <w:tc>
          <w:tcPr>
            <w:tcW w:w="2700" w:type="dxa"/>
            <w:tcBorders>
              <w:bottom w:val="single" w:sz="8" w:space="0" w:color="000000"/>
              <w:right w:val="single" w:sz="8" w:space="0" w:color="000000"/>
            </w:tcBorders>
            <w:tcMar>
              <w:top w:w="100" w:type="dxa"/>
              <w:left w:w="100" w:type="dxa"/>
              <w:bottom w:w="100" w:type="dxa"/>
              <w:right w:w="100" w:type="dxa"/>
            </w:tcMar>
          </w:tcPr>
          <w:p w14:paraId="41C2F217" w14:textId="77777777" w:rsidR="009F3EA3" w:rsidRPr="009F3EA3" w:rsidRDefault="009F3EA3" w:rsidP="009F3EA3">
            <w:pPr>
              <w:spacing w:line="240" w:lineRule="auto"/>
              <w:rPr>
                <w:lang w:val="fr-FR"/>
              </w:rPr>
            </w:pPr>
            <w:r w:rsidRPr="009F3EA3">
              <w:rPr>
                <w:lang w:val="fr-FR"/>
              </w:rPr>
              <w:t>Avis indiquant que les données seront disponibles pour une utilisation future.</w:t>
            </w:r>
          </w:p>
          <w:p w14:paraId="30093F74" w14:textId="6ECE2DA6" w:rsidR="003127F7" w:rsidRPr="00E86B2B" w:rsidRDefault="009F3EA3" w:rsidP="009F3EA3">
            <w:pPr>
              <w:spacing w:line="240" w:lineRule="auto"/>
              <w:rPr>
                <w:lang w:val="fr-CA"/>
              </w:rPr>
            </w:pPr>
            <w:r w:rsidRPr="009F3EA3">
              <w:rPr>
                <w:lang w:val="fr-FR"/>
              </w:rPr>
              <w:t>Une option de désistement au stockage devrait être considérée.</w:t>
            </w:r>
          </w:p>
        </w:tc>
        <w:tc>
          <w:tcPr>
            <w:tcW w:w="2790" w:type="dxa"/>
            <w:tcBorders>
              <w:bottom w:val="single" w:sz="8" w:space="0" w:color="000000"/>
              <w:right w:val="single" w:sz="8" w:space="0" w:color="000000"/>
            </w:tcBorders>
            <w:tcMar>
              <w:top w:w="100" w:type="dxa"/>
              <w:left w:w="100" w:type="dxa"/>
              <w:bottom w:w="100" w:type="dxa"/>
              <w:right w:w="100" w:type="dxa"/>
            </w:tcMar>
          </w:tcPr>
          <w:p w14:paraId="31FCBD20" w14:textId="77777777" w:rsidR="009F3EA3" w:rsidRPr="009F3EA3" w:rsidRDefault="009F3EA3" w:rsidP="009F3EA3">
            <w:pPr>
              <w:spacing w:line="240" w:lineRule="auto"/>
              <w:rPr>
                <w:lang w:val="fr-CA"/>
              </w:rPr>
            </w:pPr>
            <w:r w:rsidRPr="009F3EA3">
              <w:rPr>
                <w:lang w:val="fr-CA"/>
              </w:rPr>
              <w:t>Avis indiquant que les données seront disponibles pour une utilisation future.</w:t>
            </w:r>
          </w:p>
          <w:p w14:paraId="47F04AB8" w14:textId="77777777" w:rsidR="009F3EA3" w:rsidRPr="009F3EA3" w:rsidRDefault="009F3EA3" w:rsidP="009F3EA3">
            <w:pPr>
              <w:spacing w:line="240" w:lineRule="auto"/>
              <w:rPr>
                <w:lang w:val="fr-CA"/>
              </w:rPr>
            </w:pPr>
            <w:r w:rsidRPr="009F3EA3">
              <w:rPr>
                <w:lang w:val="fr-CA"/>
              </w:rPr>
              <w:t xml:space="preserve">Demande de permission pour le partage ou le stockage de données clairement indiquée dans le formulaire ou le processus de consentement. </w:t>
            </w:r>
          </w:p>
          <w:p w14:paraId="2CB766F9" w14:textId="686F435E" w:rsidR="003127F7" w:rsidRPr="00E86B2B" w:rsidRDefault="009F3EA3" w:rsidP="009F3EA3">
            <w:pPr>
              <w:spacing w:line="240" w:lineRule="auto"/>
              <w:rPr>
                <w:lang w:val="fr-CA"/>
              </w:rPr>
            </w:pPr>
            <w:r w:rsidRPr="009F3EA3">
              <w:rPr>
                <w:lang w:val="fr-CA"/>
              </w:rPr>
              <w:t>Offrir des options par rapport aux domaines de recherches futures, si possible.</w:t>
            </w:r>
          </w:p>
        </w:tc>
        <w:tc>
          <w:tcPr>
            <w:tcW w:w="2970" w:type="dxa"/>
            <w:tcBorders>
              <w:bottom w:val="single" w:sz="8" w:space="0" w:color="000000"/>
              <w:right w:val="single" w:sz="8" w:space="0" w:color="000000"/>
            </w:tcBorders>
            <w:tcMar>
              <w:top w:w="100" w:type="dxa"/>
              <w:left w:w="100" w:type="dxa"/>
              <w:bottom w:w="100" w:type="dxa"/>
              <w:right w:w="100" w:type="dxa"/>
            </w:tcMar>
          </w:tcPr>
          <w:p w14:paraId="12F61FB9" w14:textId="5C9AA385" w:rsidR="003127F7" w:rsidRPr="00E86B2B" w:rsidRDefault="009F3EA3" w:rsidP="0047632B">
            <w:pPr>
              <w:spacing w:line="240" w:lineRule="auto"/>
              <w:rPr>
                <w:lang w:val="fr-CA"/>
              </w:rPr>
            </w:pPr>
            <w:r w:rsidRPr="009F3EA3">
              <w:rPr>
                <w:lang w:val="fr-FR"/>
              </w:rPr>
              <w:t>Confidentialité maintenue aussi longtemps que les données sont disponibles. Données partagées uniquement avec les membres de l’équipe de recherche.</w:t>
            </w:r>
          </w:p>
        </w:tc>
      </w:tr>
      <w:tr w:rsidR="003127F7" w:rsidRPr="00E86B2B" w14:paraId="34DFDF2E" w14:textId="77777777" w:rsidTr="009F3EA3">
        <w:trPr>
          <w:cantSplit/>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3333069" w14:textId="75128EB8" w:rsidR="003127F7" w:rsidRPr="00E86B2B" w:rsidRDefault="009F3EA3" w:rsidP="0047632B">
            <w:pPr>
              <w:spacing w:line="240" w:lineRule="auto"/>
              <w:rPr>
                <w:b/>
                <w:color w:val="002F87" w:themeColor="text2"/>
                <w:lang w:val="fr-CA"/>
              </w:rPr>
            </w:pPr>
            <w:r w:rsidRPr="009F3EA3">
              <w:rPr>
                <w:b/>
                <w:color w:val="002F87" w:themeColor="text2"/>
                <w:lang w:val="fr-FR"/>
              </w:rPr>
              <w:lastRenderedPageBreak/>
              <w:t>Collecte de données</w:t>
            </w:r>
          </w:p>
        </w:tc>
        <w:tc>
          <w:tcPr>
            <w:tcW w:w="2880" w:type="dxa"/>
            <w:tcBorders>
              <w:bottom w:val="single" w:sz="8" w:space="0" w:color="000000"/>
              <w:right w:val="single" w:sz="8" w:space="0" w:color="000000"/>
            </w:tcBorders>
            <w:tcMar>
              <w:top w:w="100" w:type="dxa"/>
              <w:left w:w="100" w:type="dxa"/>
              <w:bottom w:w="100" w:type="dxa"/>
              <w:right w:w="100" w:type="dxa"/>
            </w:tcMar>
          </w:tcPr>
          <w:p w14:paraId="52F87595" w14:textId="77777777" w:rsidR="009F3EA3" w:rsidRPr="009F3EA3" w:rsidRDefault="009F3EA3" w:rsidP="009F3EA3">
            <w:pPr>
              <w:spacing w:line="240" w:lineRule="auto"/>
              <w:rPr>
                <w:lang w:val="fr-CA"/>
              </w:rPr>
            </w:pPr>
            <w:r w:rsidRPr="009F3EA3">
              <w:rPr>
                <w:lang w:val="fr-CA"/>
              </w:rPr>
              <w:t>Données disponibles publiquement, p. ex. trouvées en ligne, dans des archives publiques ou collectées par observation en milieu naturel.</w:t>
            </w:r>
          </w:p>
          <w:p w14:paraId="20C3ABC0" w14:textId="77777777" w:rsidR="009F3EA3" w:rsidRPr="009F3EA3" w:rsidRDefault="009F3EA3" w:rsidP="009F3EA3">
            <w:pPr>
              <w:spacing w:line="240" w:lineRule="auto"/>
              <w:rPr>
                <w:lang w:val="fr-CA"/>
              </w:rPr>
            </w:pPr>
            <w:r w:rsidRPr="009F3EA3">
              <w:rPr>
                <w:lang w:val="fr-CA"/>
              </w:rPr>
              <w:t>Les chercheurs ne connaissent pas les identités des participants ou des sujets liés aux données.</w:t>
            </w:r>
          </w:p>
          <w:p w14:paraId="0DA09754" w14:textId="77777777" w:rsidR="009F3EA3" w:rsidRPr="009F3EA3" w:rsidRDefault="009F3EA3" w:rsidP="009F3EA3">
            <w:pPr>
              <w:spacing w:line="240" w:lineRule="auto"/>
              <w:rPr>
                <w:lang w:val="fr-CA"/>
              </w:rPr>
            </w:pPr>
            <w:r w:rsidRPr="009F3EA3">
              <w:rPr>
                <w:lang w:val="fr-CA"/>
              </w:rPr>
              <w:t>Les méthodes ne devraient pas comporter d’interaction directe avec les participants aux recherches. Celles-ci incluent habituellement des sondages, des questionnaires et de la recherche par observation.</w:t>
            </w:r>
          </w:p>
          <w:p w14:paraId="0972709B" w14:textId="64DA3C4B" w:rsidR="003127F7" w:rsidRPr="00E86B2B" w:rsidRDefault="009F3EA3" w:rsidP="009F3EA3">
            <w:pPr>
              <w:spacing w:line="240" w:lineRule="auto"/>
              <w:rPr>
                <w:lang w:val="fr-CA"/>
              </w:rPr>
            </w:pPr>
            <w:r w:rsidRPr="009F3EA3">
              <w:rPr>
                <w:lang w:val="fr-CA"/>
              </w:rPr>
              <w:t>Aucun identificateur direct ou indirect n’est collecté.</w:t>
            </w:r>
          </w:p>
        </w:tc>
        <w:tc>
          <w:tcPr>
            <w:tcW w:w="2700" w:type="dxa"/>
            <w:tcBorders>
              <w:bottom w:val="single" w:sz="8" w:space="0" w:color="000000"/>
              <w:right w:val="single" w:sz="8" w:space="0" w:color="000000"/>
            </w:tcBorders>
            <w:tcMar>
              <w:top w:w="100" w:type="dxa"/>
              <w:left w:w="100" w:type="dxa"/>
              <w:bottom w:w="100" w:type="dxa"/>
              <w:right w:w="100" w:type="dxa"/>
            </w:tcMar>
          </w:tcPr>
          <w:p w14:paraId="5F38AFBB" w14:textId="77777777" w:rsidR="009F3EA3" w:rsidRPr="009F3EA3" w:rsidRDefault="009F3EA3" w:rsidP="009F3EA3">
            <w:pPr>
              <w:spacing w:line="240" w:lineRule="auto"/>
              <w:rPr>
                <w:lang w:val="fr-FR"/>
              </w:rPr>
            </w:pPr>
            <w:r w:rsidRPr="009F3EA3">
              <w:rPr>
                <w:lang w:val="fr-FR"/>
              </w:rPr>
              <w:t>Les chercheurs peuvent connaître les identités des participants ou des sujets liés aux données et peuvent avoir promis de protéger leur confidentialité par le biais du consentement éclairé.</w:t>
            </w:r>
          </w:p>
          <w:p w14:paraId="1CBA82A9" w14:textId="77777777" w:rsidR="009F3EA3" w:rsidRPr="009F3EA3" w:rsidRDefault="009F3EA3" w:rsidP="009F3EA3">
            <w:pPr>
              <w:spacing w:line="240" w:lineRule="auto"/>
              <w:rPr>
                <w:lang w:val="fr-FR"/>
              </w:rPr>
            </w:pPr>
            <w:r w:rsidRPr="009F3EA3">
              <w:rPr>
                <w:lang w:val="fr-FR"/>
              </w:rPr>
              <w:t>Les méthodes de collecte de données varient beaucoup et peuvent comporter de l’interaction directe avec les participants aux recherches.</w:t>
            </w:r>
          </w:p>
          <w:p w14:paraId="3A334C2F" w14:textId="77777777" w:rsidR="009F3EA3" w:rsidRPr="009F3EA3" w:rsidRDefault="009F3EA3" w:rsidP="009F3EA3">
            <w:pPr>
              <w:spacing w:line="240" w:lineRule="auto"/>
              <w:rPr>
                <w:lang w:val="fr-FR"/>
              </w:rPr>
            </w:pPr>
            <w:r w:rsidRPr="009F3EA3">
              <w:rPr>
                <w:lang w:val="fr-FR"/>
              </w:rPr>
              <w:t>Des identificateurs directs ou indirects peuvent être collectés.</w:t>
            </w:r>
          </w:p>
          <w:p w14:paraId="344D820D" w14:textId="34554425" w:rsidR="003127F7" w:rsidRPr="00E86B2B" w:rsidRDefault="009F3EA3" w:rsidP="0047632B">
            <w:pPr>
              <w:spacing w:line="240" w:lineRule="auto"/>
              <w:rPr>
                <w:lang w:val="fr-CA"/>
              </w:rPr>
            </w:pPr>
            <w:r w:rsidRPr="009F3EA3">
              <w:rPr>
                <w:b/>
                <w:color w:val="002F87" w:themeColor="text2"/>
                <w:lang w:val="fr-FR"/>
              </w:rPr>
              <w:t>La majorité des recherches avec les humains sont dans cette catégorie.</w:t>
            </w:r>
            <w:r w:rsidR="003127F7" w:rsidRPr="00E86B2B">
              <w:rPr>
                <w:b/>
                <w:color w:val="002F87" w:themeColor="text2"/>
                <w:lang w:val="fr-CA"/>
              </w:rPr>
              <w:t xml:space="preserve"> </w:t>
            </w:r>
          </w:p>
        </w:tc>
        <w:tc>
          <w:tcPr>
            <w:tcW w:w="2790" w:type="dxa"/>
            <w:tcBorders>
              <w:bottom w:val="single" w:sz="8" w:space="0" w:color="000000"/>
              <w:right w:val="single" w:sz="8" w:space="0" w:color="000000"/>
            </w:tcBorders>
            <w:tcMar>
              <w:top w:w="100" w:type="dxa"/>
              <w:left w:w="100" w:type="dxa"/>
              <w:bottom w:w="100" w:type="dxa"/>
              <w:right w:w="100" w:type="dxa"/>
            </w:tcMar>
          </w:tcPr>
          <w:p w14:paraId="342AA5F9" w14:textId="77777777" w:rsidR="009F3EA3" w:rsidRPr="009F3EA3" w:rsidRDefault="009F3EA3" w:rsidP="009F3EA3">
            <w:pPr>
              <w:spacing w:line="240" w:lineRule="auto"/>
              <w:rPr>
                <w:lang w:val="fr-FR"/>
              </w:rPr>
            </w:pPr>
            <w:r w:rsidRPr="009F3EA3">
              <w:rPr>
                <w:lang w:val="fr-FR"/>
              </w:rPr>
              <w:t>Les chercheurs peuvent connaître les identités des participants ou des sujets liés aux données et peuvent avoir promis de protéger leur confidentialité par le biais du consentement éclairé.</w:t>
            </w:r>
          </w:p>
          <w:p w14:paraId="632E05B7" w14:textId="77777777" w:rsidR="009F3EA3" w:rsidRPr="009F3EA3" w:rsidRDefault="009F3EA3" w:rsidP="009F3EA3">
            <w:pPr>
              <w:spacing w:line="240" w:lineRule="auto"/>
              <w:rPr>
                <w:lang w:val="fr-FR"/>
              </w:rPr>
            </w:pPr>
            <w:r w:rsidRPr="009F3EA3">
              <w:rPr>
                <w:lang w:val="fr-FR"/>
              </w:rPr>
              <w:t>Les méthodes de collecte de données varient beaucoup et peuvent comporter de l’interaction directe avec les participants aux recherches.</w:t>
            </w:r>
          </w:p>
          <w:p w14:paraId="0C9BDB3C" w14:textId="779E2986" w:rsidR="003127F7" w:rsidRPr="00E86B2B" w:rsidRDefault="009F3EA3" w:rsidP="009F3EA3">
            <w:pPr>
              <w:spacing w:line="240" w:lineRule="auto"/>
              <w:rPr>
                <w:lang w:val="fr-CA"/>
              </w:rPr>
            </w:pPr>
            <w:r w:rsidRPr="009F3EA3">
              <w:rPr>
                <w:lang w:val="fr-FR"/>
              </w:rPr>
              <w:t>Des identificateurs directs peuvent être collectés. Des identificateurs indirects collectés peuvent également suffire pour rendre les participants identifiables.</w:t>
            </w:r>
          </w:p>
        </w:tc>
        <w:tc>
          <w:tcPr>
            <w:tcW w:w="2970" w:type="dxa"/>
            <w:tcBorders>
              <w:bottom w:val="single" w:sz="8" w:space="0" w:color="000000"/>
              <w:right w:val="single" w:sz="8" w:space="0" w:color="000000"/>
            </w:tcBorders>
            <w:tcMar>
              <w:top w:w="100" w:type="dxa"/>
              <w:left w:w="100" w:type="dxa"/>
              <w:bottom w:w="100" w:type="dxa"/>
              <w:right w:w="100" w:type="dxa"/>
            </w:tcMar>
          </w:tcPr>
          <w:p w14:paraId="50CAE4C6" w14:textId="77777777" w:rsidR="009F3EA3" w:rsidRPr="009F3EA3" w:rsidRDefault="009F3EA3" w:rsidP="009F3EA3">
            <w:pPr>
              <w:spacing w:line="240" w:lineRule="auto"/>
              <w:rPr>
                <w:lang w:val="fr-FR"/>
              </w:rPr>
            </w:pPr>
            <w:r w:rsidRPr="009F3EA3">
              <w:rPr>
                <w:lang w:val="fr-FR"/>
              </w:rPr>
              <w:t>Les chercheurs peuvent connaître les identités des participants ou des sujets liés aux données et ont promis de protéger leur confidentialité par le biais du consentement éclairé.</w:t>
            </w:r>
          </w:p>
          <w:p w14:paraId="12B75DF8" w14:textId="77777777" w:rsidR="009F3EA3" w:rsidRPr="009F3EA3" w:rsidRDefault="009F3EA3" w:rsidP="009F3EA3">
            <w:pPr>
              <w:spacing w:line="240" w:lineRule="auto"/>
              <w:rPr>
                <w:lang w:val="fr-FR"/>
              </w:rPr>
            </w:pPr>
            <w:r w:rsidRPr="009F3EA3">
              <w:rPr>
                <w:lang w:val="fr-FR"/>
              </w:rPr>
              <w:t>Les méthodes de collecte de données varient beaucoup et peuvent comporter de l’interaction directe avec les participants aux recherches.</w:t>
            </w:r>
          </w:p>
          <w:p w14:paraId="77669144" w14:textId="1F9CA500" w:rsidR="003127F7" w:rsidRPr="00E86B2B" w:rsidRDefault="009F3EA3" w:rsidP="009F3EA3">
            <w:pPr>
              <w:spacing w:line="240" w:lineRule="auto"/>
              <w:rPr>
                <w:lang w:val="fr-CA"/>
              </w:rPr>
            </w:pPr>
            <w:r w:rsidRPr="009F3EA3">
              <w:rPr>
                <w:lang w:val="fr-FR"/>
              </w:rPr>
              <w:t>Des identificateurs directs peuvent être collectés, mais des identificateurs indirects collectés peuvent également suffire pour rendre les participants identifiables.</w:t>
            </w:r>
          </w:p>
        </w:tc>
      </w:tr>
    </w:tbl>
    <w:p w14:paraId="09D90A7F" w14:textId="77777777" w:rsidR="00E248B5" w:rsidRDefault="00E248B5"/>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10"/>
        <w:gridCol w:w="2880"/>
        <w:gridCol w:w="2700"/>
        <w:gridCol w:w="2790"/>
        <w:gridCol w:w="2970"/>
      </w:tblGrid>
      <w:tr w:rsidR="00E248B5" w:rsidRPr="00E86B2B" w14:paraId="0367E516" w14:textId="77777777" w:rsidTr="00E248B5">
        <w:trPr>
          <w:cantSplit/>
          <w:tblHeader/>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0E6ECC" w14:textId="77777777" w:rsidR="00E248B5" w:rsidRPr="009F3EA3" w:rsidRDefault="00E248B5" w:rsidP="00E248B5">
            <w:pPr>
              <w:spacing w:line="240" w:lineRule="auto"/>
              <w:rPr>
                <w:b/>
                <w:color w:val="002F87" w:themeColor="text2"/>
                <w:lang w:val="fr-FR"/>
              </w:rPr>
            </w:pPr>
          </w:p>
        </w:tc>
        <w:tc>
          <w:tcPr>
            <w:tcW w:w="2880" w:type="dxa"/>
            <w:tcBorders>
              <w:bottom w:val="single" w:sz="8" w:space="0" w:color="000000"/>
              <w:right w:val="single" w:sz="8" w:space="0" w:color="000000"/>
            </w:tcBorders>
            <w:shd w:val="clear" w:color="auto" w:fill="00B050"/>
            <w:tcMar>
              <w:top w:w="100" w:type="dxa"/>
              <w:left w:w="100" w:type="dxa"/>
              <w:bottom w:w="100" w:type="dxa"/>
              <w:right w:w="100" w:type="dxa"/>
            </w:tcMar>
          </w:tcPr>
          <w:p w14:paraId="75BD73B4" w14:textId="6B2155ED" w:rsidR="00E248B5" w:rsidRPr="009F3EA3" w:rsidRDefault="00E248B5" w:rsidP="00E248B5">
            <w:pPr>
              <w:spacing w:line="240" w:lineRule="auto"/>
              <w:rPr>
                <w:lang w:val="fr-FR"/>
              </w:rPr>
            </w:pPr>
            <w:r w:rsidRPr="00E86B2B">
              <w:rPr>
                <w:b/>
                <w:color w:val="auto"/>
                <w:lang w:val="fr-CA"/>
              </w:rPr>
              <w:t>Risque faible</w:t>
            </w:r>
          </w:p>
        </w:tc>
        <w:tc>
          <w:tcPr>
            <w:tcW w:w="2700" w:type="dxa"/>
            <w:tcBorders>
              <w:bottom w:val="single" w:sz="8" w:space="0" w:color="000000"/>
              <w:right w:val="single" w:sz="8" w:space="0" w:color="000000"/>
            </w:tcBorders>
            <w:shd w:val="clear" w:color="auto" w:fill="FFFF00"/>
            <w:tcMar>
              <w:top w:w="100" w:type="dxa"/>
              <w:left w:w="100" w:type="dxa"/>
              <w:bottom w:w="100" w:type="dxa"/>
              <w:right w:w="100" w:type="dxa"/>
            </w:tcMar>
          </w:tcPr>
          <w:p w14:paraId="000CBA4E" w14:textId="78EA67EB" w:rsidR="00E248B5" w:rsidRPr="009F3EA3" w:rsidRDefault="00E248B5" w:rsidP="00E248B5">
            <w:pPr>
              <w:spacing w:after="120" w:line="240" w:lineRule="auto"/>
              <w:rPr>
                <w:lang w:val="fr-FR"/>
              </w:rPr>
            </w:pPr>
            <w:r w:rsidRPr="00E86B2B">
              <w:rPr>
                <w:b/>
                <w:color w:val="auto"/>
                <w:lang w:val="fr-CA"/>
              </w:rPr>
              <w:t>Risque moyen</w:t>
            </w:r>
          </w:p>
        </w:tc>
        <w:tc>
          <w:tcPr>
            <w:tcW w:w="2790" w:type="dxa"/>
            <w:tcBorders>
              <w:bottom w:val="single" w:sz="8" w:space="0" w:color="000000"/>
              <w:right w:val="single" w:sz="8" w:space="0" w:color="000000"/>
            </w:tcBorders>
            <w:shd w:val="clear" w:color="auto" w:fill="FFC000"/>
            <w:tcMar>
              <w:top w:w="100" w:type="dxa"/>
              <w:left w:w="100" w:type="dxa"/>
              <w:bottom w:w="100" w:type="dxa"/>
              <w:right w:w="100" w:type="dxa"/>
            </w:tcMar>
          </w:tcPr>
          <w:p w14:paraId="0353E3D5" w14:textId="53A1A844" w:rsidR="00E248B5" w:rsidRPr="009F3EA3" w:rsidRDefault="00E248B5" w:rsidP="00E248B5">
            <w:pPr>
              <w:spacing w:line="240" w:lineRule="auto"/>
              <w:rPr>
                <w:lang w:val="fr-CA"/>
              </w:rPr>
            </w:pPr>
            <w:r w:rsidRPr="00E86B2B">
              <w:rPr>
                <w:b/>
                <w:color w:val="auto"/>
                <w:lang w:val="fr-CA"/>
              </w:rPr>
              <w:t>Risque élevé</w:t>
            </w:r>
          </w:p>
        </w:tc>
        <w:tc>
          <w:tcPr>
            <w:tcW w:w="2970" w:type="dxa"/>
            <w:tcBorders>
              <w:bottom w:val="single" w:sz="8" w:space="0" w:color="000000"/>
              <w:right w:val="single" w:sz="8" w:space="0" w:color="000000"/>
            </w:tcBorders>
            <w:shd w:val="clear" w:color="auto" w:fill="FF0000"/>
            <w:tcMar>
              <w:top w:w="100" w:type="dxa"/>
              <w:left w:w="100" w:type="dxa"/>
              <w:bottom w:w="100" w:type="dxa"/>
              <w:right w:w="100" w:type="dxa"/>
            </w:tcMar>
          </w:tcPr>
          <w:p w14:paraId="44581D46" w14:textId="7BC12951" w:rsidR="00E248B5" w:rsidRPr="009F3EA3" w:rsidRDefault="00E248B5" w:rsidP="00E248B5">
            <w:pPr>
              <w:spacing w:line="240" w:lineRule="auto"/>
              <w:rPr>
                <w:lang w:val="fr-CA"/>
              </w:rPr>
            </w:pPr>
            <w:r w:rsidRPr="00E86B2B">
              <w:rPr>
                <w:b/>
                <w:color w:val="auto"/>
                <w:lang w:val="fr-CA"/>
              </w:rPr>
              <w:t>Risque extrême</w:t>
            </w:r>
          </w:p>
        </w:tc>
      </w:tr>
      <w:tr w:rsidR="00E248B5" w:rsidRPr="00E86B2B" w14:paraId="5489966D" w14:textId="77777777" w:rsidTr="009F3EA3">
        <w:trPr>
          <w:cantSplit/>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81BCC2" w14:textId="53E572E8" w:rsidR="00E248B5" w:rsidRPr="00E86B2B" w:rsidRDefault="00E248B5" w:rsidP="00E248B5">
            <w:pPr>
              <w:spacing w:line="240" w:lineRule="auto"/>
              <w:rPr>
                <w:b/>
                <w:color w:val="002F87" w:themeColor="text2"/>
                <w:lang w:val="fr-CA"/>
              </w:rPr>
            </w:pPr>
            <w:r w:rsidRPr="009F3EA3">
              <w:rPr>
                <w:b/>
                <w:color w:val="002F87" w:themeColor="text2"/>
                <w:lang w:val="fr-FR"/>
              </w:rPr>
              <w:t>Analyse/</w:t>
            </w:r>
            <w:r>
              <w:rPr>
                <w:b/>
                <w:color w:val="002F87" w:themeColor="text2"/>
                <w:lang w:val="fr-FR"/>
              </w:rPr>
              <w:t xml:space="preserve">  </w:t>
            </w:r>
            <w:r w:rsidRPr="009F3EA3">
              <w:rPr>
                <w:b/>
                <w:color w:val="002F87" w:themeColor="text2"/>
                <w:lang w:val="fr-FR"/>
              </w:rPr>
              <w:t>gestion des données</w:t>
            </w:r>
          </w:p>
        </w:tc>
        <w:tc>
          <w:tcPr>
            <w:tcW w:w="2880" w:type="dxa"/>
            <w:tcBorders>
              <w:bottom w:val="single" w:sz="8" w:space="0" w:color="000000"/>
              <w:right w:val="single" w:sz="8" w:space="0" w:color="000000"/>
            </w:tcBorders>
            <w:tcMar>
              <w:top w:w="100" w:type="dxa"/>
              <w:left w:w="100" w:type="dxa"/>
              <w:bottom w:w="100" w:type="dxa"/>
              <w:right w:w="100" w:type="dxa"/>
            </w:tcMar>
          </w:tcPr>
          <w:p w14:paraId="2855011B" w14:textId="77777777" w:rsidR="00E248B5" w:rsidRPr="009F3EA3" w:rsidRDefault="00E248B5" w:rsidP="00E248B5">
            <w:pPr>
              <w:spacing w:line="240" w:lineRule="auto"/>
              <w:rPr>
                <w:lang w:val="fr-FR"/>
              </w:rPr>
            </w:pPr>
            <w:r w:rsidRPr="009F3EA3">
              <w:rPr>
                <w:lang w:val="fr-FR"/>
              </w:rPr>
              <w:t>Aucune restriction quant à l’analyse des données disponibles publiquement.</w:t>
            </w:r>
          </w:p>
          <w:p w14:paraId="3F0F1E61" w14:textId="60182F9D" w:rsidR="00E248B5" w:rsidRPr="00E86B2B" w:rsidRDefault="00E248B5" w:rsidP="00E248B5">
            <w:pPr>
              <w:spacing w:line="240" w:lineRule="auto"/>
              <w:rPr>
                <w:lang w:val="fr-CA"/>
              </w:rPr>
            </w:pPr>
            <w:r w:rsidRPr="009F3EA3">
              <w:rPr>
                <w:lang w:val="fr-FR"/>
              </w:rPr>
              <w:t>L’analyse de données doit respecter le document ou le libellé du consentement éclairé et le protocole autorisé par le CÉR.</w:t>
            </w:r>
          </w:p>
        </w:tc>
        <w:tc>
          <w:tcPr>
            <w:tcW w:w="2700" w:type="dxa"/>
            <w:tcBorders>
              <w:bottom w:val="single" w:sz="8" w:space="0" w:color="000000"/>
              <w:right w:val="single" w:sz="8" w:space="0" w:color="000000"/>
            </w:tcBorders>
            <w:tcMar>
              <w:top w:w="100" w:type="dxa"/>
              <w:left w:w="100" w:type="dxa"/>
              <w:bottom w:w="100" w:type="dxa"/>
              <w:right w:w="100" w:type="dxa"/>
            </w:tcMar>
          </w:tcPr>
          <w:p w14:paraId="1A2DD7F5" w14:textId="77777777" w:rsidR="00E248B5" w:rsidRPr="009F3EA3" w:rsidRDefault="00E248B5" w:rsidP="00E248B5">
            <w:pPr>
              <w:spacing w:after="120" w:line="240" w:lineRule="auto"/>
              <w:rPr>
                <w:lang w:val="fr-FR"/>
              </w:rPr>
            </w:pPr>
            <w:r w:rsidRPr="009F3EA3">
              <w:rPr>
                <w:lang w:val="fr-FR"/>
              </w:rPr>
              <w:t>Les identificateurs directs doivent être remplacés par un code de liage (p. ex. : pseudonyme, code alphanumérique) et séparés physiquement ou électroniquement de la liste principale. Les formulaires de consentement doivent être conservés séparément des données de recherche.</w:t>
            </w:r>
          </w:p>
          <w:p w14:paraId="6BC287A6" w14:textId="77777777" w:rsidR="00E248B5" w:rsidRPr="009F3EA3" w:rsidRDefault="00E248B5" w:rsidP="00E248B5">
            <w:pPr>
              <w:spacing w:after="120" w:line="240" w:lineRule="auto"/>
              <w:rPr>
                <w:lang w:val="fr-FR"/>
              </w:rPr>
            </w:pPr>
            <w:r w:rsidRPr="009F3EA3">
              <w:rPr>
                <w:lang w:val="fr-FR"/>
              </w:rPr>
              <w:t>Les données identificatoires doivent seulement être accessibles aux membres de l’équipe de recherche.</w:t>
            </w:r>
          </w:p>
          <w:p w14:paraId="5DD27521" w14:textId="590B1B94" w:rsidR="00E248B5" w:rsidRPr="009F3EA3" w:rsidRDefault="00E248B5" w:rsidP="00E248B5">
            <w:pPr>
              <w:spacing w:line="240" w:lineRule="auto"/>
              <w:rPr>
                <w:lang w:val="fr-FR"/>
              </w:rPr>
            </w:pPr>
          </w:p>
        </w:tc>
        <w:tc>
          <w:tcPr>
            <w:tcW w:w="2790" w:type="dxa"/>
            <w:tcBorders>
              <w:bottom w:val="single" w:sz="8" w:space="0" w:color="000000"/>
              <w:right w:val="single" w:sz="8" w:space="0" w:color="000000"/>
            </w:tcBorders>
            <w:tcMar>
              <w:top w:w="100" w:type="dxa"/>
              <w:left w:w="100" w:type="dxa"/>
              <w:bottom w:w="100" w:type="dxa"/>
              <w:right w:w="100" w:type="dxa"/>
            </w:tcMar>
          </w:tcPr>
          <w:p w14:paraId="29235299" w14:textId="77777777" w:rsidR="00E248B5" w:rsidRPr="009F3EA3" w:rsidRDefault="00E248B5" w:rsidP="00E248B5">
            <w:pPr>
              <w:spacing w:line="240" w:lineRule="auto"/>
              <w:rPr>
                <w:lang w:val="fr-CA"/>
              </w:rPr>
            </w:pPr>
            <w:r w:rsidRPr="009F3EA3">
              <w:rPr>
                <w:lang w:val="fr-CA"/>
              </w:rPr>
              <w:t>Les identificateurs directs doivent être remplacés par un code de liage (par exemple : pseudonyme, code alphanumérique) et séparés physiquement ou électroniquement de la liste principale. Les formulaires de consentement doivent être conservés séparément des données de recherche.</w:t>
            </w:r>
          </w:p>
          <w:p w14:paraId="4B247BD7" w14:textId="77777777" w:rsidR="00E248B5" w:rsidRPr="009F3EA3" w:rsidRDefault="00E248B5" w:rsidP="00E248B5">
            <w:pPr>
              <w:spacing w:line="240" w:lineRule="auto"/>
              <w:rPr>
                <w:lang w:val="fr-CA"/>
              </w:rPr>
            </w:pPr>
            <w:r w:rsidRPr="009F3EA3">
              <w:rPr>
                <w:lang w:val="fr-CA"/>
              </w:rPr>
              <w:t>Les identificateurs indirects devraient être codés si possible.</w:t>
            </w:r>
          </w:p>
          <w:p w14:paraId="276F6930" w14:textId="61445628" w:rsidR="00E248B5" w:rsidRPr="00E86B2B" w:rsidRDefault="00E248B5" w:rsidP="00E248B5">
            <w:pPr>
              <w:spacing w:line="240" w:lineRule="auto"/>
              <w:rPr>
                <w:lang w:val="fr-CA"/>
              </w:rPr>
            </w:pPr>
            <w:r w:rsidRPr="009F3EA3">
              <w:rPr>
                <w:lang w:val="fr-CA"/>
              </w:rPr>
              <w:t>Les données ne doivent pas être accessibles ou analysées dans un espace public où quelqu’un pourrait voir les données sur un appareil ou par un autre moyen.</w:t>
            </w:r>
          </w:p>
        </w:tc>
        <w:tc>
          <w:tcPr>
            <w:tcW w:w="2970" w:type="dxa"/>
            <w:tcBorders>
              <w:bottom w:val="single" w:sz="8" w:space="0" w:color="000000"/>
              <w:right w:val="single" w:sz="8" w:space="0" w:color="000000"/>
            </w:tcBorders>
            <w:tcMar>
              <w:top w:w="100" w:type="dxa"/>
              <w:left w:w="100" w:type="dxa"/>
              <w:bottom w:w="100" w:type="dxa"/>
              <w:right w:w="100" w:type="dxa"/>
            </w:tcMar>
          </w:tcPr>
          <w:p w14:paraId="2F6C49E9" w14:textId="77777777" w:rsidR="00E248B5" w:rsidRPr="009F3EA3" w:rsidRDefault="00E248B5" w:rsidP="00E248B5">
            <w:pPr>
              <w:spacing w:line="240" w:lineRule="auto"/>
              <w:rPr>
                <w:lang w:val="fr-CA"/>
              </w:rPr>
            </w:pPr>
            <w:r w:rsidRPr="009F3EA3">
              <w:rPr>
                <w:lang w:val="fr-CA"/>
              </w:rPr>
              <w:t>Les identificateurs directs doivent être remplacés par un code de liage (par exemple : pseudonyme, code alphanumérique) et séparés physiquement ou électroniquement de la liste principale. Les formulaires de consentement doivent être conservés séparément des données de recherche.</w:t>
            </w:r>
          </w:p>
          <w:p w14:paraId="685C2A16" w14:textId="77777777" w:rsidR="00E248B5" w:rsidRPr="009F3EA3" w:rsidRDefault="00E248B5" w:rsidP="00E248B5">
            <w:pPr>
              <w:spacing w:line="240" w:lineRule="auto"/>
              <w:rPr>
                <w:lang w:val="fr-CA"/>
              </w:rPr>
            </w:pPr>
            <w:r w:rsidRPr="009F3EA3">
              <w:rPr>
                <w:lang w:val="fr-CA"/>
              </w:rPr>
              <w:t>Les identificateurs indirects devraient être codés si possible.</w:t>
            </w:r>
          </w:p>
          <w:p w14:paraId="78CFBCC4" w14:textId="32C781E8" w:rsidR="00E248B5" w:rsidRPr="009F3EA3" w:rsidRDefault="00E248B5" w:rsidP="00E248B5">
            <w:pPr>
              <w:spacing w:line="240" w:lineRule="auto"/>
              <w:rPr>
                <w:lang w:val="fr-CA"/>
              </w:rPr>
            </w:pPr>
            <w:r w:rsidRPr="009F3EA3">
              <w:rPr>
                <w:lang w:val="fr-CA"/>
              </w:rPr>
              <w:t>Les données doivent seulement être accessibles aux membres de l’équipe de recherche, selon les indications dans le protocole autorisé, et l’accès/l’analyse doit se faire dans un environnement sécurisé.</w:t>
            </w:r>
          </w:p>
        </w:tc>
      </w:tr>
    </w:tbl>
    <w:p w14:paraId="44002B29" w14:textId="77777777" w:rsidR="00E248B5" w:rsidRDefault="00E248B5"/>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810"/>
        <w:gridCol w:w="1980"/>
        <w:gridCol w:w="3510"/>
        <w:gridCol w:w="2880"/>
        <w:gridCol w:w="2970"/>
      </w:tblGrid>
      <w:tr w:rsidR="00E248B5" w:rsidRPr="00E86B2B" w14:paraId="349DA652" w14:textId="77777777" w:rsidTr="00E248B5">
        <w:trPr>
          <w:cantSplit/>
          <w:tblHeader/>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F1DFD59" w14:textId="77777777" w:rsidR="00E248B5" w:rsidRPr="009F3EA3" w:rsidRDefault="00E248B5" w:rsidP="00E248B5">
            <w:pPr>
              <w:spacing w:line="240" w:lineRule="auto"/>
              <w:rPr>
                <w:b/>
                <w:color w:val="002F87" w:themeColor="text2"/>
                <w:lang w:val="fr-FR"/>
              </w:rPr>
            </w:pPr>
          </w:p>
        </w:tc>
        <w:tc>
          <w:tcPr>
            <w:tcW w:w="1980" w:type="dxa"/>
            <w:tcBorders>
              <w:bottom w:val="single" w:sz="8" w:space="0" w:color="000000"/>
              <w:right w:val="single" w:sz="8" w:space="0" w:color="000000"/>
            </w:tcBorders>
            <w:shd w:val="clear" w:color="auto" w:fill="00B050"/>
            <w:tcMar>
              <w:top w:w="100" w:type="dxa"/>
              <w:left w:w="100" w:type="dxa"/>
              <w:bottom w:w="100" w:type="dxa"/>
              <w:right w:w="100" w:type="dxa"/>
            </w:tcMar>
          </w:tcPr>
          <w:p w14:paraId="5C8CF907" w14:textId="4CBEF6C0" w:rsidR="00E248B5" w:rsidRPr="009F3EA3" w:rsidRDefault="00E248B5" w:rsidP="00E248B5">
            <w:pPr>
              <w:spacing w:line="240" w:lineRule="auto"/>
              <w:rPr>
                <w:lang w:val="fr-FR"/>
              </w:rPr>
            </w:pPr>
            <w:r w:rsidRPr="00E86B2B">
              <w:rPr>
                <w:b/>
                <w:color w:val="auto"/>
                <w:lang w:val="fr-CA"/>
              </w:rPr>
              <w:t>Risque faible</w:t>
            </w:r>
          </w:p>
        </w:tc>
        <w:tc>
          <w:tcPr>
            <w:tcW w:w="3510" w:type="dxa"/>
            <w:tcBorders>
              <w:bottom w:val="single" w:sz="8" w:space="0" w:color="000000"/>
              <w:right w:val="single" w:sz="8" w:space="0" w:color="000000"/>
            </w:tcBorders>
            <w:shd w:val="clear" w:color="auto" w:fill="FFFF00"/>
            <w:tcMar>
              <w:top w:w="100" w:type="dxa"/>
              <w:left w:w="100" w:type="dxa"/>
              <w:bottom w:w="100" w:type="dxa"/>
              <w:right w:w="100" w:type="dxa"/>
            </w:tcMar>
          </w:tcPr>
          <w:p w14:paraId="273A5624" w14:textId="550D02FC" w:rsidR="00E248B5" w:rsidRPr="009F3EA3" w:rsidRDefault="00E248B5" w:rsidP="00E248B5">
            <w:pPr>
              <w:spacing w:line="240" w:lineRule="auto"/>
              <w:rPr>
                <w:lang w:val="fr-CA"/>
              </w:rPr>
            </w:pPr>
            <w:r w:rsidRPr="00E86B2B">
              <w:rPr>
                <w:b/>
                <w:color w:val="auto"/>
                <w:lang w:val="fr-CA"/>
              </w:rPr>
              <w:t>Risque moyen</w:t>
            </w:r>
          </w:p>
        </w:tc>
        <w:tc>
          <w:tcPr>
            <w:tcW w:w="2880" w:type="dxa"/>
            <w:tcBorders>
              <w:bottom w:val="single" w:sz="8" w:space="0" w:color="000000"/>
              <w:right w:val="single" w:sz="8" w:space="0" w:color="000000"/>
            </w:tcBorders>
            <w:shd w:val="clear" w:color="auto" w:fill="FFC000"/>
            <w:tcMar>
              <w:top w:w="100" w:type="dxa"/>
              <w:left w:w="100" w:type="dxa"/>
              <w:bottom w:w="100" w:type="dxa"/>
              <w:right w:w="100" w:type="dxa"/>
            </w:tcMar>
          </w:tcPr>
          <w:p w14:paraId="04075955" w14:textId="6F385237" w:rsidR="00E248B5" w:rsidRPr="00E248B5" w:rsidRDefault="00E248B5" w:rsidP="00E248B5">
            <w:pPr>
              <w:spacing w:line="240" w:lineRule="auto"/>
              <w:rPr>
                <w:lang w:val="fr-FR"/>
              </w:rPr>
            </w:pPr>
            <w:r w:rsidRPr="00E86B2B">
              <w:rPr>
                <w:b/>
                <w:color w:val="auto"/>
                <w:lang w:val="fr-CA"/>
              </w:rPr>
              <w:t>Risque élevé</w:t>
            </w:r>
          </w:p>
        </w:tc>
        <w:tc>
          <w:tcPr>
            <w:tcW w:w="2970" w:type="dxa"/>
            <w:tcBorders>
              <w:bottom w:val="single" w:sz="8" w:space="0" w:color="000000"/>
              <w:right w:val="single" w:sz="8" w:space="0" w:color="000000"/>
            </w:tcBorders>
            <w:shd w:val="clear" w:color="auto" w:fill="FF0000"/>
            <w:tcMar>
              <w:top w:w="100" w:type="dxa"/>
              <w:left w:w="100" w:type="dxa"/>
              <w:bottom w:w="100" w:type="dxa"/>
              <w:right w:w="100" w:type="dxa"/>
            </w:tcMar>
          </w:tcPr>
          <w:p w14:paraId="28FAB279" w14:textId="5EB6EB8F" w:rsidR="00E248B5" w:rsidRPr="00E248B5" w:rsidRDefault="00E248B5" w:rsidP="00E248B5">
            <w:pPr>
              <w:spacing w:line="240" w:lineRule="auto"/>
              <w:rPr>
                <w:lang w:val="fr-FR"/>
              </w:rPr>
            </w:pPr>
            <w:r w:rsidRPr="00E86B2B">
              <w:rPr>
                <w:b/>
                <w:color w:val="auto"/>
                <w:lang w:val="fr-CA"/>
              </w:rPr>
              <w:t>Risque extrême</w:t>
            </w:r>
          </w:p>
        </w:tc>
      </w:tr>
      <w:tr w:rsidR="00E248B5" w:rsidRPr="00E86B2B" w14:paraId="1AAF4AE3" w14:textId="77777777" w:rsidTr="00E248B5">
        <w:trPr>
          <w:cantSplit/>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D5CAABD" w14:textId="7AF82104" w:rsidR="00E248B5" w:rsidRPr="00E86B2B" w:rsidRDefault="00E248B5" w:rsidP="00E248B5">
            <w:pPr>
              <w:spacing w:line="240" w:lineRule="auto"/>
              <w:rPr>
                <w:b/>
                <w:color w:val="002F87" w:themeColor="text2"/>
                <w:lang w:val="fr-CA"/>
              </w:rPr>
            </w:pPr>
            <w:r w:rsidRPr="009F3EA3">
              <w:rPr>
                <w:b/>
                <w:color w:val="002F87" w:themeColor="text2"/>
                <w:lang w:val="fr-FR"/>
              </w:rPr>
              <w:t>Stockage (stockage actif) et sécurité des données</w:t>
            </w:r>
          </w:p>
        </w:tc>
        <w:tc>
          <w:tcPr>
            <w:tcW w:w="1980" w:type="dxa"/>
            <w:tcBorders>
              <w:bottom w:val="single" w:sz="8" w:space="0" w:color="000000"/>
              <w:right w:val="single" w:sz="8" w:space="0" w:color="000000"/>
            </w:tcBorders>
            <w:tcMar>
              <w:top w:w="100" w:type="dxa"/>
              <w:left w:w="100" w:type="dxa"/>
              <w:bottom w:w="100" w:type="dxa"/>
              <w:right w:w="100" w:type="dxa"/>
            </w:tcMar>
          </w:tcPr>
          <w:p w14:paraId="640C2420" w14:textId="77777777" w:rsidR="00E248B5" w:rsidRPr="009F3EA3" w:rsidRDefault="00E248B5" w:rsidP="00E248B5">
            <w:pPr>
              <w:spacing w:line="240" w:lineRule="auto"/>
              <w:rPr>
                <w:lang w:val="fr-FR"/>
              </w:rPr>
            </w:pPr>
            <w:r w:rsidRPr="009F3EA3">
              <w:rPr>
                <w:lang w:val="fr-FR"/>
              </w:rPr>
              <w:t>Tous les appareils de stockage, les types de partage de fichiers et les services infonuagiques sont permis, incluant les services infonuagiques publics et institutionnels.</w:t>
            </w:r>
          </w:p>
          <w:p w14:paraId="2D10D77D" w14:textId="73C2269E" w:rsidR="00E248B5" w:rsidRPr="00E86B2B" w:rsidRDefault="00E248B5" w:rsidP="00E248B5">
            <w:pPr>
              <w:spacing w:line="240" w:lineRule="auto"/>
              <w:rPr>
                <w:lang w:val="fr-CA"/>
              </w:rPr>
            </w:pPr>
            <w:r w:rsidRPr="009F3EA3">
              <w:rPr>
                <w:lang w:val="fr-FR"/>
              </w:rPr>
              <w:t>Les données doivent être sauvegardées de manière conséquente par rapport à leur degré de risque.</w:t>
            </w:r>
          </w:p>
        </w:tc>
        <w:tc>
          <w:tcPr>
            <w:tcW w:w="3510" w:type="dxa"/>
            <w:tcBorders>
              <w:bottom w:val="single" w:sz="8" w:space="0" w:color="000000"/>
              <w:right w:val="single" w:sz="8" w:space="0" w:color="000000"/>
            </w:tcBorders>
            <w:tcMar>
              <w:top w:w="100" w:type="dxa"/>
              <w:left w:w="100" w:type="dxa"/>
              <w:bottom w:w="100" w:type="dxa"/>
              <w:right w:w="100" w:type="dxa"/>
            </w:tcMar>
          </w:tcPr>
          <w:p w14:paraId="769E0EF9" w14:textId="77777777" w:rsidR="00E248B5" w:rsidRPr="009F3EA3" w:rsidRDefault="00E248B5" w:rsidP="00E248B5">
            <w:pPr>
              <w:spacing w:line="240" w:lineRule="auto"/>
              <w:rPr>
                <w:lang w:val="fr-CA"/>
              </w:rPr>
            </w:pPr>
            <w:r w:rsidRPr="009F3EA3">
              <w:rPr>
                <w:lang w:val="fr-CA"/>
              </w:rPr>
              <w:t>Les données identificatoires doivent être stockées sur des appareils protégés par mot de passe dans un lieu sécuritaire approprié. S’il est nécessaire de rendre les données accessibles par internet, elles doivent être cryptées.</w:t>
            </w:r>
          </w:p>
          <w:p w14:paraId="28B159D9" w14:textId="77777777" w:rsidR="00E248B5" w:rsidRPr="009F3EA3" w:rsidRDefault="00E248B5" w:rsidP="00E248B5">
            <w:pPr>
              <w:spacing w:line="240" w:lineRule="auto"/>
              <w:rPr>
                <w:lang w:val="fr-CA"/>
              </w:rPr>
            </w:pPr>
            <w:r w:rsidRPr="009F3EA3">
              <w:rPr>
                <w:lang w:val="fr-CA"/>
              </w:rPr>
              <w:t>Les services infonuagiques publics ne doivent pas être utilisés, à moins qu’ils soient la seule option possible. S’ils sont utilisés, les fichiers et l’accès doivent être cryptés et protégés par mot de passe.</w:t>
            </w:r>
          </w:p>
          <w:p w14:paraId="7DF73142" w14:textId="77777777" w:rsidR="00E248B5" w:rsidRPr="009F3EA3" w:rsidRDefault="00E248B5" w:rsidP="00E248B5">
            <w:pPr>
              <w:spacing w:line="240" w:lineRule="auto"/>
              <w:rPr>
                <w:lang w:val="fr-CA"/>
              </w:rPr>
            </w:pPr>
            <w:r w:rsidRPr="009F3EA3">
              <w:rPr>
                <w:lang w:val="fr-CA"/>
              </w:rPr>
              <w:t xml:space="preserve">Les services infonuagiques privés offerts par les établissements de recherche ou jugés sécuritaires peuvent être utilisés. </w:t>
            </w:r>
          </w:p>
          <w:p w14:paraId="15E1661B" w14:textId="0F29B23B" w:rsidR="00E248B5" w:rsidRPr="00E86B2B" w:rsidRDefault="00E248B5" w:rsidP="00E248B5">
            <w:pPr>
              <w:spacing w:line="240" w:lineRule="auto"/>
              <w:rPr>
                <w:lang w:val="fr-CA"/>
              </w:rPr>
            </w:pPr>
            <w:r w:rsidRPr="009F3EA3">
              <w:rPr>
                <w:lang w:val="fr-CA"/>
              </w:rPr>
              <w:t>Les données doivent être sauvegardées de manière conséquente par rapport à leur degré de risque.</w:t>
            </w:r>
          </w:p>
        </w:tc>
        <w:tc>
          <w:tcPr>
            <w:tcW w:w="2880" w:type="dxa"/>
            <w:tcBorders>
              <w:bottom w:val="single" w:sz="8" w:space="0" w:color="000000"/>
              <w:right w:val="single" w:sz="8" w:space="0" w:color="000000"/>
            </w:tcBorders>
            <w:tcMar>
              <w:top w:w="100" w:type="dxa"/>
              <w:left w:w="100" w:type="dxa"/>
              <w:bottom w:w="100" w:type="dxa"/>
              <w:right w:w="100" w:type="dxa"/>
            </w:tcMar>
          </w:tcPr>
          <w:p w14:paraId="24E4E472" w14:textId="77777777" w:rsidR="00E248B5" w:rsidRPr="00E248B5" w:rsidRDefault="00E248B5" w:rsidP="00E248B5">
            <w:pPr>
              <w:spacing w:line="240" w:lineRule="auto"/>
              <w:rPr>
                <w:lang w:val="fr-FR"/>
              </w:rPr>
            </w:pPr>
            <w:r w:rsidRPr="00E248B5">
              <w:rPr>
                <w:lang w:val="fr-FR"/>
              </w:rPr>
              <w:t>Toutes les données doivent être stockées sur des appareils cryptés protégés par mot de passe dans un lieu sécuritaire approprié. Si les données doivent être accessibles par internet, elles doivent être cryptées.</w:t>
            </w:r>
          </w:p>
          <w:p w14:paraId="73060E1D" w14:textId="1739BCAA" w:rsidR="00E248B5" w:rsidRPr="00E248B5" w:rsidRDefault="00E248B5" w:rsidP="00E248B5">
            <w:pPr>
              <w:spacing w:line="240" w:lineRule="auto"/>
              <w:rPr>
                <w:lang w:val="fr-FR"/>
              </w:rPr>
            </w:pPr>
            <w:r w:rsidRPr="00E248B5">
              <w:rPr>
                <w:lang w:val="fr-FR"/>
              </w:rPr>
              <w:t>Les services infonuagiques publics sont strictement interdits.</w:t>
            </w:r>
          </w:p>
          <w:p w14:paraId="3E10153C" w14:textId="77777777" w:rsidR="00E248B5" w:rsidRPr="00E248B5" w:rsidRDefault="00E248B5" w:rsidP="00E248B5">
            <w:pPr>
              <w:spacing w:line="240" w:lineRule="auto"/>
              <w:rPr>
                <w:lang w:val="fr-FR"/>
              </w:rPr>
            </w:pPr>
            <w:r w:rsidRPr="00E248B5">
              <w:rPr>
                <w:lang w:val="fr-FR"/>
              </w:rPr>
              <w:t xml:space="preserve">Les services infonuagiques privés offerts par les établissements de recherche ou jugés sécuritaires peuvent être utilisés si le CÉR les autorise. </w:t>
            </w:r>
          </w:p>
          <w:p w14:paraId="6BDD5E5D" w14:textId="0A0B73C5" w:rsidR="00E248B5" w:rsidRPr="00E86B2B" w:rsidRDefault="00E248B5" w:rsidP="00E248B5">
            <w:pPr>
              <w:spacing w:line="240" w:lineRule="auto"/>
              <w:rPr>
                <w:lang w:val="fr-CA"/>
              </w:rPr>
            </w:pPr>
            <w:r w:rsidRPr="00E248B5">
              <w:rPr>
                <w:lang w:val="fr-FR"/>
              </w:rPr>
              <w:t>Les données doivent être sauvegardées de manière conséquente par rapport à leur degré de risque.</w:t>
            </w:r>
          </w:p>
        </w:tc>
        <w:tc>
          <w:tcPr>
            <w:tcW w:w="2970" w:type="dxa"/>
            <w:tcBorders>
              <w:bottom w:val="single" w:sz="8" w:space="0" w:color="000000"/>
              <w:right w:val="single" w:sz="8" w:space="0" w:color="000000"/>
            </w:tcBorders>
            <w:tcMar>
              <w:top w:w="100" w:type="dxa"/>
              <w:left w:w="100" w:type="dxa"/>
              <w:bottom w:w="100" w:type="dxa"/>
              <w:right w:w="100" w:type="dxa"/>
            </w:tcMar>
          </w:tcPr>
          <w:p w14:paraId="1A2CECA0" w14:textId="77777777" w:rsidR="00E248B5" w:rsidRPr="00E248B5" w:rsidRDefault="00E248B5" w:rsidP="00E248B5">
            <w:pPr>
              <w:spacing w:line="240" w:lineRule="auto"/>
              <w:rPr>
                <w:lang w:val="fr-FR"/>
              </w:rPr>
            </w:pPr>
            <w:r w:rsidRPr="00E248B5">
              <w:rPr>
                <w:lang w:val="fr-FR"/>
              </w:rPr>
              <w:t>Toutes les données doivent être stockées sur un ordinateur/site centralisé indépendant crypté, protégé par mot de passe et situé dans un lieu sécuritaire approprié.</w:t>
            </w:r>
          </w:p>
          <w:p w14:paraId="32DE715A" w14:textId="487E8001" w:rsidR="00E248B5" w:rsidRPr="00E86B2B" w:rsidRDefault="00E248B5" w:rsidP="00E248B5">
            <w:pPr>
              <w:spacing w:line="240" w:lineRule="auto"/>
              <w:rPr>
                <w:lang w:val="fr-CA"/>
              </w:rPr>
            </w:pPr>
            <w:r w:rsidRPr="00E248B5">
              <w:rPr>
                <w:lang w:val="fr-FR"/>
              </w:rPr>
              <w:t>Les données doivent être sauvegardées de manière conséquente par rapport à leur degré de risque.</w:t>
            </w:r>
          </w:p>
        </w:tc>
      </w:tr>
      <w:tr w:rsidR="00E248B5" w:rsidRPr="00E86B2B" w14:paraId="7A6AC123" w14:textId="77777777" w:rsidTr="00E248B5">
        <w:trPr>
          <w:cantSplit/>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D89AFD" w14:textId="27D5CEC1" w:rsidR="00E248B5" w:rsidRPr="00E86B2B" w:rsidRDefault="00E248B5" w:rsidP="00E248B5">
            <w:pPr>
              <w:spacing w:line="240" w:lineRule="auto"/>
              <w:rPr>
                <w:b/>
                <w:lang w:val="fr-CA"/>
              </w:rPr>
            </w:pPr>
            <w:r w:rsidRPr="00E248B5">
              <w:rPr>
                <w:b/>
                <w:color w:val="002F87" w:themeColor="text2"/>
                <w:lang w:val="fr-FR"/>
              </w:rPr>
              <w:lastRenderedPageBreak/>
              <w:t>Mobilité/</w:t>
            </w:r>
            <w:r>
              <w:rPr>
                <w:b/>
                <w:color w:val="002F87" w:themeColor="text2"/>
                <w:lang w:val="fr-FR"/>
              </w:rPr>
              <w:t xml:space="preserve"> </w:t>
            </w:r>
            <w:r w:rsidRPr="00E248B5">
              <w:rPr>
                <w:b/>
                <w:color w:val="002F87" w:themeColor="text2"/>
                <w:lang w:val="fr-FR"/>
              </w:rPr>
              <w:t>partage des données</w:t>
            </w:r>
          </w:p>
        </w:tc>
        <w:tc>
          <w:tcPr>
            <w:tcW w:w="1980" w:type="dxa"/>
            <w:tcBorders>
              <w:bottom w:val="single" w:sz="8" w:space="0" w:color="000000"/>
              <w:right w:val="single" w:sz="8" w:space="0" w:color="000000"/>
            </w:tcBorders>
            <w:tcMar>
              <w:top w:w="100" w:type="dxa"/>
              <w:left w:w="100" w:type="dxa"/>
              <w:bottom w:w="100" w:type="dxa"/>
              <w:right w:w="100" w:type="dxa"/>
            </w:tcMar>
          </w:tcPr>
          <w:p w14:paraId="7DBEC269" w14:textId="05817ACD" w:rsidR="00E248B5" w:rsidRPr="00E86B2B" w:rsidRDefault="00E248B5" w:rsidP="00E248B5">
            <w:pPr>
              <w:spacing w:line="240" w:lineRule="auto"/>
              <w:rPr>
                <w:lang w:val="fr-CA"/>
              </w:rPr>
            </w:pPr>
            <w:r w:rsidRPr="00E248B5">
              <w:rPr>
                <w:lang w:val="fr-FR"/>
              </w:rPr>
              <w:t xml:space="preserve">Les données peuvent être partagées par courriel ou services infonuagiques tels que les </w:t>
            </w:r>
            <w:r w:rsidRPr="00F76386">
              <w:rPr>
                <w:lang w:val="fr-FR"/>
              </w:rPr>
              <w:t>services infonuagiques</w:t>
            </w:r>
            <w:r w:rsidRPr="00E248B5">
              <w:rPr>
                <w:lang w:val="fr-FR"/>
              </w:rPr>
              <w:t xml:space="preserve"> publics.</w:t>
            </w:r>
            <w:r w:rsidRPr="00E86B2B">
              <w:rPr>
                <w:lang w:val="fr-CA"/>
              </w:rPr>
              <w:t>.</w:t>
            </w:r>
          </w:p>
        </w:tc>
        <w:tc>
          <w:tcPr>
            <w:tcW w:w="3510" w:type="dxa"/>
            <w:tcBorders>
              <w:bottom w:val="single" w:sz="8" w:space="0" w:color="000000"/>
              <w:right w:val="single" w:sz="8" w:space="0" w:color="000000"/>
            </w:tcBorders>
            <w:tcMar>
              <w:top w:w="100" w:type="dxa"/>
              <w:left w:w="100" w:type="dxa"/>
              <w:bottom w:w="100" w:type="dxa"/>
              <w:right w:w="100" w:type="dxa"/>
            </w:tcMar>
          </w:tcPr>
          <w:p w14:paraId="302CB0F3" w14:textId="77777777" w:rsidR="00F76386" w:rsidRPr="00F76386" w:rsidRDefault="00F76386" w:rsidP="00F76386">
            <w:pPr>
              <w:spacing w:line="240" w:lineRule="auto"/>
              <w:rPr>
                <w:lang w:val="fr-FR"/>
              </w:rPr>
            </w:pPr>
            <w:r w:rsidRPr="00F76386">
              <w:rPr>
                <w:lang w:val="fr-FR"/>
              </w:rPr>
              <w:t>Les fichiers cryptés et protégés par mot de passe peuvent être partagés par courriel et services infonuagiques ou sites collaboratifs autorisés par l’établissement.</w:t>
            </w:r>
          </w:p>
          <w:p w14:paraId="037BE83A" w14:textId="0CF26BC5" w:rsidR="00E248B5" w:rsidRPr="00E86B2B" w:rsidRDefault="00E248B5" w:rsidP="00F76386">
            <w:pPr>
              <w:spacing w:line="240" w:lineRule="auto"/>
              <w:rPr>
                <w:lang w:val="fr-CA"/>
              </w:rPr>
            </w:pPr>
          </w:p>
        </w:tc>
        <w:tc>
          <w:tcPr>
            <w:tcW w:w="2880" w:type="dxa"/>
            <w:tcBorders>
              <w:bottom w:val="single" w:sz="8" w:space="0" w:color="000000"/>
              <w:right w:val="single" w:sz="8" w:space="0" w:color="000000"/>
            </w:tcBorders>
            <w:tcMar>
              <w:top w:w="100" w:type="dxa"/>
              <w:left w:w="100" w:type="dxa"/>
              <w:bottom w:w="100" w:type="dxa"/>
              <w:right w:w="100" w:type="dxa"/>
            </w:tcMar>
          </w:tcPr>
          <w:p w14:paraId="43889A7D" w14:textId="2785C7F5" w:rsidR="00E248B5" w:rsidRPr="00E86B2B" w:rsidRDefault="00F76386" w:rsidP="00E248B5">
            <w:pPr>
              <w:spacing w:line="240" w:lineRule="auto"/>
              <w:rPr>
                <w:lang w:val="fr-CA"/>
              </w:rPr>
            </w:pPr>
            <w:r w:rsidRPr="00F76386">
              <w:rPr>
                <w:lang w:val="fr-FR"/>
              </w:rPr>
              <w:t>Les données réservées doivent seulement être partagées entre les membres de l’équipe de recherche selon les indications dans le protocole autorisé. Les fichiers doivent être cryptés et protégés par mot de passe.</w:t>
            </w:r>
          </w:p>
        </w:tc>
        <w:tc>
          <w:tcPr>
            <w:tcW w:w="2970" w:type="dxa"/>
            <w:tcBorders>
              <w:bottom w:val="single" w:sz="8" w:space="0" w:color="000000"/>
              <w:right w:val="single" w:sz="8" w:space="0" w:color="000000"/>
            </w:tcBorders>
            <w:tcMar>
              <w:top w:w="100" w:type="dxa"/>
              <w:left w:w="100" w:type="dxa"/>
              <w:bottom w:w="100" w:type="dxa"/>
              <w:right w:w="100" w:type="dxa"/>
            </w:tcMar>
          </w:tcPr>
          <w:p w14:paraId="5A3780A9" w14:textId="77777777" w:rsidR="00F76386" w:rsidRPr="00F76386" w:rsidRDefault="00F76386" w:rsidP="00F76386">
            <w:pPr>
              <w:spacing w:line="240" w:lineRule="auto"/>
              <w:rPr>
                <w:lang w:val="fr-FR"/>
              </w:rPr>
            </w:pPr>
            <w:r w:rsidRPr="00F76386">
              <w:rPr>
                <w:lang w:val="fr-FR"/>
              </w:rPr>
              <w:t>Les données sont uniquement disponibles sur un ordinateur/site centralisé indépendant, crypté et protégé par mot de passe.</w:t>
            </w:r>
          </w:p>
          <w:p w14:paraId="1E4FB301" w14:textId="77777777" w:rsidR="00F76386" w:rsidRPr="00F76386" w:rsidRDefault="00F76386" w:rsidP="00F76386">
            <w:pPr>
              <w:spacing w:line="240" w:lineRule="auto"/>
              <w:rPr>
                <w:lang w:val="fr-FR"/>
              </w:rPr>
            </w:pPr>
            <w:r w:rsidRPr="00F76386">
              <w:rPr>
                <w:lang w:val="fr-FR"/>
              </w:rPr>
              <w:t>Les fichiers ne doivent pas être copiés ou partagés.</w:t>
            </w:r>
          </w:p>
          <w:p w14:paraId="1B327978" w14:textId="7292FE82" w:rsidR="00E248B5" w:rsidRPr="00E86B2B" w:rsidRDefault="00F76386" w:rsidP="00F76386">
            <w:pPr>
              <w:spacing w:line="240" w:lineRule="auto"/>
              <w:rPr>
                <w:lang w:val="fr-CA"/>
              </w:rPr>
            </w:pPr>
            <w:r w:rsidRPr="00F76386">
              <w:rPr>
                <w:lang w:val="fr-FR"/>
              </w:rPr>
              <w:t>L’accès aux données doit se limiter aux personnes autorisées et identifiées explicitement dans le protocole du CÉR et au plus petit nombre possible de personnes.</w:t>
            </w:r>
          </w:p>
        </w:tc>
      </w:tr>
      <w:tr w:rsidR="00E248B5" w:rsidRPr="00E86B2B" w14:paraId="34C45CA2" w14:textId="77777777" w:rsidTr="00E248B5">
        <w:trPr>
          <w:cantSplit/>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A07541" w14:textId="51588176" w:rsidR="00F76386" w:rsidRPr="00F76386" w:rsidRDefault="00F76386" w:rsidP="00F76386">
            <w:pPr>
              <w:spacing w:line="240" w:lineRule="auto"/>
              <w:rPr>
                <w:b/>
                <w:color w:val="002F87" w:themeColor="text2"/>
                <w:lang w:val="fr-FR"/>
              </w:rPr>
            </w:pPr>
            <w:r w:rsidRPr="00F76386">
              <w:rPr>
                <w:b/>
                <w:color w:val="002F87" w:themeColor="text2"/>
                <w:lang w:val="fr-FR"/>
              </w:rPr>
              <w:lastRenderedPageBreak/>
              <w:t xml:space="preserve">Stockage des données et accès à </w:t>
            </w:r>
            <w:r>
              <w:rPr>
                <w:b/>
                <w:color w:val="002F87" w:themeColor="text2"/>
                <w:lang w:val="fr-FR"/>
              </w:rPr>
              <w:t xml:space="preserve"> </w:t>
            </w:r>
            <w:r w:rsidRPr="00F76386">
              <w:rPr>
                <w:b/>
                <w:color w:val="002F87" w:themeColor="text2"/>
                <w:lang w:val="fr-FR"/>
              </w:rPr>
              <w:t>celles-ci (y compris l’utilisation secondaire)</w:t>
            </w:r>
          </w:p>
          <w:p w14:paraId="14D726BD" w14:textId="77777777" w:rsidR="00E248B5" w:rsidRPr="00E86B2B" w:rsidRDefault="00E248B5" w:rsidP="00E248B5">
            <w:pPr>
              <w:spacing w:line="240" w:lineRule="auto"/>
              <w:rPr>
                <w:b/>
                <w:lang w:val="fr-CA"/>
              </w:rPr>
            </w:pPr>
            <w:r w:rsidRPr="00E86B2B">
              <w:rPr>
                <w:b/>
                <w:lang w:val="fr-CA"/>
              </w:rPr>
              <w:t xml:space="preserve"> </w:t>
            </w:r>
          </w:p>
        </w:tc>
        <w:tc>
          <w:tcPr>
            <w:tcW w:w="1980" w:type="dxa"/>
            <w:tcBorders>
              <w:bottom w:val="single" w:sz="8" w:space="0" w:color="000000"/>
              <w:right w:val="single" w:sz="8" w:space="0" w:color="000000"/>
            </w:tcBorders>
            <w:tcMar>
              <w:top w:w="100" w:type="dxa"/>
              <w:left w:w="100" w:type="dxa"/>
              <w:bottom w:w="100" w:type="dxa"/>
              <w:right w:w="100" w:type="dxa"/>
            </w:tcMar>
          </w:tcPr>
          <w:p w14:paraId="466004A2" w14:textId="77777777" w:rsidR="00F76386" w:rsidRPr="00F76386" w:rsidRDefault="00F76386" w:rsidP="00F76386">
            <w:pPr>
              <w:spacing w:line="240" w:lineRule="auto"/>
              <w:rPr>
                <w:lang w:val="fr-FR"/>
              </w:rPr>
            </w:pPr>
            <w:r w:rsidRPr="00F76386">
              <w:rPr>
                <w:lang w:val="fr-FR"/>
              </w:rPr>
              <w:t xml:space="preserve">Les données doivent être déposées avec un accès sans restriction dans un délai raisonnable, compte tenu de la publication des articles originaux. </w:t>
            </w:r>
          </w:p>
          <w:p w14:paraId="48AB83AA" w14:textId="6C9EA027" w:rsidR="00E248B5" w:rsidRPr="00E86B2B" w:rsidRDefault="00F76386" w:rsidP="00F76386">
            <w:pPr>
              <w:spacing w:line="240" w:lineRule="auto"/>
              <w:rPr>
                <w:lang w:val="fr-CA"/>
              </w:rPr>
            </w:pPr>
            <w:r w:rsidRPr="00F76386">
              <w:rPr>
                <w:lang w:val="fr-FR"/>
              </w:rPr>
              <w:t>L’utilisation secondaire des données ne nécessite pas l’autorisation du CÉR.</w:t>
            </w:r>
          </w:p>
        </w:tc>
        <w:tc>
          <w:tcPr>
            <w:tcW w:w="3510" w:type="dxa"/>
            <w:tcBorders>
              <w:bottom w:val="single" w:sz="8" w:space="0" w:color="000000"/>
              <w:right w:val="single" w:sz="8" w:space="0" w:color="000000"/>
            </w:tcBorders>
            <w:tcMar>
              <w:top w:w="100" w:type="dxa"/>
              <w:left w:w="100" w:type="dxa"/>
              <w:bottom w:w="100" w:type="dxa"/>
              <w:right w:w="100" w:type="dxa"/>
            </w:tcMar>
          </w:tcPr>
          <w:p w14:paraId="06070E47" w14:textId="77777777" w:rsidR="00F76386" w:rsidRPr="00F76386" w:rsidRDefault="00F76386" w:rsidP="00F76386">
            <w:pPr>
              <w:spacing w:line="240" w:lineRule="auto"/>
              <w:rPr>
                <w:lang w:val="fr-CA"/>
              </w:rPr>
            </w:pPr>
            <w:r w:rsidRPr="00F76386">
              <w:rPr>
                <w:lang w:val="fr-CA"/>
              </w:rPr>
              <w:t>Les données des participants/sujets qui se désistent doivent être séparées des données à déposer.</w:t>
            </w:r>
          </w:p>
          <w:p w14:paraId="57BB71C3" w14:textId="77777777" w:rsidR="00F76386" w:rsidRPr="00F76386" w:rsidRDefault="00F76386" w:rsidP="00F76386">
            <w:pPr>
              <w:spacing w:line="240" w:lineRule="auto"/>
              <w:rPr>
                <w:lang w:val="fr-CA"/>
              </w:rPr>
            </w:pPr>
            <w:r w:rsidRPr="00F76386">
              <w:rPr>
                <w:lang w:val="fr-CA"/>
              </w:rPr>
              <w:t>Les données dépersonnalisées doivent être déposées avec un accès sans restriction dans un délai raisonnable compte tenu de la publication des articles originaux, le besoin de reproduire la recherche et la durée appropriée des données pour leur réutilisation.</w:t>
            </w:r>
          </w:p>
          <w:p w14:paraId="49293098" w14:textId="4D0839FA" w:rsidR="00E248B5" w:rsidRPr="00E86B2B" w:rsidRDefault="00F76386" w:rsidP="00F76386">
            <w:pPr>
              <w:spacing w:line="240" w:lineRule="auto"/>
              <w:rPr>
                <w:lang w:val="fr-CA"/>
              </w:rPr>
            </w:pPr>
            <w:r w:rsidRPr="00F76386">
              <w:rPr>
                <w:lang w:val="fr-CA"/>
              </w:rPr>
              <w:t>L’utilisation secondaire des données dépersonnalisées nécessite actuellement l’autorisation du CÉR.</w:t>
            </w:r>
          </w:p>
        </w:tc>
        <w:tc>
          <w:tcPr>
            <w:tcW w:w="2880" w:type="dxa"/>
            <w:tcBorders>
              <w:bottom w:val="single" w:sz="8" w:space="0" w:color="000000"/>
              <w:right w:val="single" w:sz="8" w:space="0" w:color="000000"/>
            </w:tcBorders>
            <w:tcMar>
              <w:top w:w="100" w:type="dxa"/>
              <w:left w:w="100" w:type="dxa"/>
              <w:bottom w:w="100" w:type="dxa"/>
              <w:right w:w="100" w:type="dxa"/>
            </w:tcMar>
          </w:tcPr>
          <w:p w14:paraId="2A3AB645" w14:textId="77777777" w:rsidR="00F76386" w:rsidRPr="00F76386" w:rsidRDefault="00F76386" w:rsidP="00F76386">
            <w:pPr>
              <w:spacing w:line="240" w:lineRule="auto"/>
              <w:rPr>
                <w:lang w:val="fr-FR"/>
              </w:rPr>
            </w:pPr>
            <w:r w:rsidRPr="00F76386">
              <w:rPr>
                <w:lang w:val="fr-FR"/>
              </w:rPr>
              <w:t>Les données des participants/sujets qui se désistent doivent être séparées des données à déposer.</w:t>
            </w:r>
          </w:p>
          <w:p w14:paraId="296F4458" w14:textId="77777777" w:rsidR="00F76386" w:rsidRPr="00F76386" w:rsidRDefault="00F76386" w:rsidP="00F76386">
            <w:pPr>
              <w:spacing w:line="240" w:lineRule="auto"/>
              <w:rPr>
                <w:lang w:val="fr-FR"/>
              </w:rPr>
            </w:pPr>
            <w:r w:rsidRPr="00F76386">
              <w:rPr>
                <w:lang w:val="fr-FR"/>
              </w:rPr>
              <w:t>Les données dépersonnalisées doivent être déposées avec un accès restreint évalué par les gardiens des données. Les données peuvent être séparées en ensembles selon les utilisations auxquelles les participants ont consenti par le biais du consentement éclairé (par exemple : utilisation seulement pour cette étude, seulement pour les études dans le même domaine ou pour n’importe quelle utilisation).</w:t>
            </w:r>
          </w:p>
          <w:p w14:paraId="5485CE01" w14:textId="2C9D9E31" w:rsidR="00E248B5" w:rsidRPr="00E86B2B" w:rsidRDefault="00F76386" w:rsidP="00F76386">
            <w:pPr>
              <w:spacing w:line="240" w:lineRule="auto"/>
              <w:rPr>
                <w:lang w:val="fr-CA"/>
              </w:rPr>
            </w:pPr>
            <w:r w:rsidRPr="00F76386">
              <w:rPr>
                <w:lang w:val="fr-FR"/>
              </w:rPr>
              <w:t>L’utilisation secondaire des données nécessite l’autorisation du CÉR.</w:t>
            </w:r>
          </w:p>
        </w:tc>
        <w:tc>
          <w:tcPr>
            <w:tcW w:w="2970" w:type="dxa"/>
            <w:tcBorders>
              <w:bottom w:val="single" w:sz="8" w:space="0" w:color="000000"/>
              <w:right w:val="single" w:sz="8" w:space="0" w:color="000000"/>
            </w:tcBorders>
            <w:tcMar>
              <w:top w:w="100" w:type="dxa"/>
              <w:left w:w="100" w:type="dxa"/>
              <w:bottom w:w="100" w:type="dxa"/>
              <w:right w:w="100" w:type="dxa"/>
            </w:tcMar>
          </w:tcPr>
          <w:p w14:paraId="2C3CD501" w14:textId="66DE98FA" w:rsidR="00E248B5" w:rsidRPr="00E86B2B" w:rsidRDefault="00F76386" w:rsidP="00E248B5">
            <w:pPr>
              <w:spacing w:line="240" w:lineRule="auto"/>
              <w:rPr>
                <w:lang w:val="fr-CA"/>
              </w:rPr>
            </w:pPr>
            <w:r w:rsidRPr="00F76386">
              <w:rPr>
                <w:lang w:val="fr-FR"/>
              </w:rPr>
              <w:t>Les données ne doivent pas être déposées ailleurs que dans le lieu convenable pour les besoins de stockage et d’accès des membres de l’équipe de recherche.</w:t>
            </w:r>
          </w:p>
        </w:tc>
      </w:tr>
      <w:tr w:rsidR="00E248B5" w:rsidRPr="00E86B2B" w14:paraId="09BDADBE" w14:textId="77777777" w:rsidTr="00E248B5">
        <w:trPr>
          <w:cantSplit/>
        </w:trPr>
        <w:tc>
          <w:tcPr>
            <w:tcW w:w="181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228173" w14:textId="3EB90E40" w:rsidR="00E248B5" w:rsidRPr="00E86B2B" w:rsidRDefault="00F76386" w:rsidP="00E248B5">
            <w:pPr>
              <w:spacing w:line="240" w:lineRule="auto"/>
              <w:rPr>
                <w:b/>
                <w:lang w:val="fr-CA"/>
              </w:rPr>
            </w:pPr>
            <w:r w:rsidRPr="00F76386">
              <w:rPr>
                <w:b/>
                <w:color w:val="002F87" w:themeColor="text2"/>
                <w:lang w:val="fr-FR"/>
              </w:rPr>
              <w:lastRenderedPageBreak/>
              <w:t>Rétention et destruction des données</w:t>
            </w:r>
          </w:p>
        </w:tc>
        <w:tc>
          <w:tcPr>
            <w:tcW w:w="1980" w:type="dxa"/>
            <w:tcBorders>
              <w:bottom w:val="single" w:sz="8" w:space="0" w:color="000000"/>
              <w:right w:val="single" w:sz="8" w:space="0" w:color="000000"/>
            </w:tcBorders>
            <w:tcMar>
              <w:top w:w="100" w:type="dxa"/>
              <w:left w:w="100" w:type="dxa"/>
              <w:bottom w:w="100" w:type="dxa"/>
              <w:right w:w="100" w:type="dxa"/>
            </w:tcMar>
          </w:tcPr>
          <w:p w14:paraId="02CD0760" w14:textId="007EE79B" w:rsidR="00E248B5" w:rsidRPr="00E86B2B" w:rsidRDefault="00F76386" w:rsidP="00E248B5">
            <w:pPr>
              <w:spacing w:line="240" w:lineRule="auto"/>
              <w:rPr>
                <w:lang w:val="fr-CA"/>
              </w:rPr>
            </w:pPr>
            <w:r w:rsidRPr="00F76386">
              <w:rPr>
                <w:lang w:val="fr-FR"/>
              </w:rPr>
              <w:t>Les données peuvent être retenues indéfiniment à des fins de découverte, d’accès et d’archivage</w:t>
            </w:r>
            <w:r w:rsidR="00E248B5" w:rsidRPr="00E86B2B">
              <w:rPr>
                <w:lang w:val="fr-CA"/>
              </w:rPr>
              <w:t>.</w:t>
            </w:r>
          </w:p>
        </w:tc>
        <w:tc>
          <w:tcPr>
            <w:tcW w:w="3510" w:type="dxa"/>
            <w:tcBorders>
              <w:bottom w:val="single" w:sz="8" w:space="0" w:color="000000"/>
              <w:right w:val="single" w:sz="8" w:space="0" w:color="000000"/>
            </w:tcBorders>
            <w:tcMar>
              <w:top w:w="100" w:type="dxa"/>
              <w:left w:w="100" w:type="dxa"/>
              <w:bottom w:w="100" w:type="dxa"/>
              <w:right w:w="100" w:type="dxa"/>
            </w:tcMar>
          </w:tcPr>
          <w:p w14:paraId="43F044A5" w14:textId="1C69E250" w:rsidR="00E248B5" w:rsidRPr="00E86B2B" w:rsidRDefault="00F76386" w:rsidP="00F76386">
            <w:pPr>
              <w:spacing w:line="240" w:lineRule="auto"/>
              <w:rPr>
                <w:lang w:val="fr-CA"/>
              </w:rPr>
            </w:pPr>
            <w:r w:rsidRPr="00F76386">
              <w:rPr>
                <w:lang w:val="fr-FR"/>
              </w:rPr>
              <w:t>Les données peuvent être retenues indéfiniment à des fins de découverte, d’accès et d’archivage.</w:t>
            </w:r>
          </w:p>
        </w:tc>
        <w:tc>
          <w:tcPr>
            <w:tcW w:w="2880" w:type="dxa"/>
            <w:tcBorders>
              <w:bottom w:val="single" w:sz="8" w:space="0" w:color="000000"/>
              <w:right w:val="single" w:sz="8" w:space="0" w:color="000000"/>
            </w:tcBorders>
            <w:tcMar>
              <w:top w:w="100" w:type="dxa"/>
              <w:left w:w="100" w:type="dxa"/>
              <w:bottom w:w="100" w:type="dxa"/>
              <w:right w:w="100" w:type="dxa"/>
            </w:tcMar>
          </w:tcPr>
          <w:p w14:paraId="017F7534" w14:textId="677F9CC2" w:rsidR="00E248B5" w:rsidRPr="00F76386" w:rsidRDefault="00F76386" w:rsidP="00E248B5">
            <w:pPr>
              <w:spacing w:line="240" w:lineRule="auto"/>
              <w:rPr>
                <w:lang w:val="fr-CA"/>
              </w:rPr>
            </w:pPr>
            <w:r w:rsidRPr="00F76386">
              <w:rPr>
                <w:lang w:val="fr-FR"/>
              </w:rPr>
              <w:t>Les données peuvent être retenues indéfiniment à des fins de découverte, d’accès et d’archivage selon le protocole autorisé par le CÉR.</w:t>
            </w:r>
          </w:p>
        </w:tc>
        <w:tc>
          <w:tcPr>
            <w:tcW w:w="2970" w:type="dxa"/>
            <w:tcBorders>
              <w:bottom w:val="single" w:sz="8" w:space="0" w:color="000000"/>
              <w:right w:val="single" w:sz="8" w:space="0" w:color="000000"/>
            </w:tcBorders>
            <w:tcMar>
              <w:top w:w="100" w:type="dxa"/>
              <w:left w:w="100" w:type="dxa"/>
              <w:bottom w:w="100" w:type="dxa"/>
              <w:right w:w="100" w:type="dxa"/>
            </w:tcMar>
          </w:tcPr>
          <w:p w14:paraId="0D081296" w14:textId="01810D23" w:rsidR="00E248B5" w:rsidRPr="00E86B2B" w:rsidRDefault="00F76386" w:rsidP="00E248B5">
            <w:pPr>
              <w:spacing w:line="240" w:lineRule="auto"/>
              <w:rPr>
                <w:lang w:val="fr-CA"/>
              </w:rPr>
            </w:pPr>
            <w:r w:rsidRPr="00F76386">
              <w:rPr>
                <w:lang w:val="fr-FR"/>
              </w:rPr>
              <w:t>Les données doivent être détruites le plus tôt possible selon le protocole autorisé par le CÉR.</w:t>
            </w:r>
          </w:p>
        </w:tc>
      </w:tr>
    </w:tbl>
    <w:p w14:paraId="4CBF186B" w14:textId="77777777" w:rsidR="003127F7" w:rsidRPr="00E86B2B" w:rsidRDefault="003127F7" w:rsidP="003127F7">
      <w:pPr>
        <w:ind w:left="360"/>
        <w:rPr>
          <w:lang w:val="fr-CA"/>
        </w:rPr>
      </w:pPr>
    </w:p>
    <w:sectPr w:rsidR="003127F7" w:rsidRPr="00E86B2B" w:rsidSect="00E248B5">
      <w:footerReference w:type="even" r:id="rId14"/>
      <w:footerReference w:type="default" r:id="rId15"/>
      <w:headerReference w:type="first" r:id="rId16"/>
      <w:footerReference w:type="first" r:id="rId17"/>
      <w:pgSz w:w="15840" w:h="12240" w:orient="landscape"/>
      <w:pgMar w:top="1325" w:right="1296" w:bottom="1440" w:left="1296" w:header="706" w:footer="5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99478" w14:textId="77777777" w:rsidR="00DC7FE4" w:rsidRDefault="00DC7FE4" w:rsidP="00F070AA">
      <w:r>
        <w:separator/>
      </w:r>
    </w:p>
  </w:endnote>
  <w:endnote w:type="continuationSeparator" w:id="0">
    <w:p w14:paraId="6B9B101F" w14:textId="77777777" w:rsidR="00DC7FE4" w:rsidRDefault="00DC7FE4" w:rsidP="00F0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GSMinchoE">
    <w:charset w:val="80"/>
    <w:family w:val="roman"/>
    <w:pitch w:val="variable"/>
    <w:sig w:usb0="E00002FF" w:usb1="2AC7EDFE" w:usb2="00000012" w:usb3="00000000" w:csb0="00020001" w:csb1="00000000"/>
  </w:font>
  <w:font w:name="Gotham Book">
    <w:panose1 w:val="00000000000000000000"/>
    <w:charset w:val="00"/>
    <w:family w:val="auto"/>
    <w:pitch w:val="variable"/>
    <w:sig w:usb0="A10000FF" w:usb1="4000005B" w:usb2="00000000" w:usb3="00000000" w:csb0="0000009B" w:csb1="00000000"/>
  </w:font>
  <w:font w:name="Gotham Medium">
    <w:panose1 w:val="00000000000000000000"/>
    <w:charset w:val="00"/>
    <w:family w:val="auto"/>
    <w:pitch w:val="variable"/>
    <w:sig w:usb0="A10000FF" w:usb1="4000005B" w:usb2="00000000" w:usb3="00000000" w:csb0="0000009B" w:csb1="00000000"/>
  </w:font>
  <w:font w:name="Gotham Bold">
    <w:panose1 w:val="00000000000000000000"/>
    <w:charset w:val="00"/>
    <w:family w:val="auto"/>
    <w:pitch w:val="variable"/>
    <w:sig w:usb0="A10000FF" w:usb1="4000005B" w:usb2="00000000" w:usb3="00000000" w:csb0="0000009B"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F620B" w14:textId="77777777" w:rsidR="003127F7" w:rsidRDefault="003127F7" w:rsidP="00F070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4211297F" w14:textId="77777777" w:rsidR="003127F7" w:rsidRDefault="003127F7" w:rsidP="00F070AA">
    <w:pPr>
      <w:pStyle w:val="Footer"/>
      <w:rPr>
        <w:rStyle w:val="PageNumber"/>
      </w:rPr>
    </w:pPr>
  </w:p>
  <w:p w14:paraId="2771BD63" w14:textId="77777777" w:rsidR="003127F7" w:rsidRDefault="003127F7" w:rsidP="00F070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1672A" w14:textId="5B21976A" w:rsidR="003127F7" w:rsidRPr="00A41EA8" w:rsidRDefault="00A41EA8" w:rsidP="00A41EA8">
    <w:pPr>
      <w:pStyle w:val="Footer"/>
      <w:rPr>
        <w:lang w:val="fr-CA"/>
      </w:rPr>
    </w:pPr>
    <w:r w:rsidRPr="00A41EA8">
      <w:rPr>
        <w:color w:val="131875"/>
        <w:sz w:val="16"/>
        <w:szCs w:val="18"/>
        <w:lang w:val="fr-CA"/>
      </w:rPr>
      <w:t>RÉSEAU PORTAGE / ASSOCIATION DES BIBLIOTHÈQUES DE RECHERCHE DU CANADA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5BF0B" w14:textId="77777777" w:rsidR="003127F7" w:rsidRDefault="003127F7" w:rsidP="00C333DA">
    <w:pPr>
      <w:pStyle w:val="Footer"/>
      <w:tabs>
        <w:tab w:val="clear" w:pos="4320"/>
        <w:tab w:val="clear" w:pos="8640"/>
        <w:tab w:val="left" w:pos="7800"/>
      </w:tabs>
    </w:pPr>
    <w:r>
      <w:rPr>
        <w:noProof/>
      </w:rPr>
      <w:drawing>
        <wp:anchor distT="0" distB="0" distL="114300" distR="114300" simplePos="0" relativeHeight="251657728" behindDoc="0" locked="0" layoutInCell="1" allowOverlap="1" wp14:anchorId="4C53B2FC" wp14:editId="468D115E">
          <wp:simplePos x="0" y="0"/>
          <wp:positionH relativeFrom="column">
            <wp:posOffset>4281170</wp:posOffset>
          </wp:positionH>
          <wp:positionV relativeFrom="paragraph">
            <wp:posOffset>-1148715</wp:posOffset>
          </wp:positionV>
          <wp:extent cx="1600835" cy="52006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ge_logo_Tagline_rgb_bilingual.png"/>
                  <pic:cNvPicPr/>
                </pic:nvPicPr>
                <pic:blipFill>
                  <a:blip r:embed="rId1"/>
                  <a:stretch>
                    <a:fillRect/>
                  </a:stretch>
                </pic:blipFill>
                <pic:spPr>
                  <a:xfrm>
                    <a:off x="0" y="0"/>
                    <a:ext cx="1600835" cy="52006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08F2AFDA" wp14:editId="2CE020BC">
              <wp:simplePos x="0" y="0"/>
              <wp:positionH relativeFrom="column">
                <wp:posOffset>0</wp:posOffset>
              </wp:positionH>
              <wp:positionV relativeFrom="paragraph">
                <wp:posOffset>1183640</wp:posOffset>
              </wp:positionV>
              <wp:extent cx="2323465" cy="352425"/>
              <wp:effectExtent l="0" t="0" r="0" b="3175"/>
              <wp:wrapNone/>
              <wp:docPr id="1" name="Text Box 1"/>
              <wp:cNvGraphicFramePr/>
              <a:graphic xmlns:a="http://schemas.openxmlformats.org/drawingml/2006/main">
                <a:graphicData uri="http://schemas.microsoft.com/office/word/2010/wordprocessingShape">
                  <wps:wsp>
                    <wps:cNvSpPr txBox="1"/>
                    <wps:spPr>
                      <a:xfrm>
                        <a:off x="0" y="0"/>
                        <a:ext cx="2323465" cy="352425"/>
                      </a:xfrm>
                      <a:prstGeom prst="rect">
                        <a:avLst/>
                      </a:prstGeom>
                      <a:solidFill>
                        <a:schemeClr val="lt1"/>
                      </a:solidFill>
                      <a:ln w="6350">
                        <a:noFill/>
                      </a:ln>
                    </wps:spPr>
                    <wps:txbx>
                      <w:txbxContent>
                        <w:p w14:paraId="19C4125B" w14:textId="77777777" w:rsidR="003127F7" w:rsidRPr="004800C4" w:rsidRDefault="003127F7" w:rsidP="00E03F03">
                          <w:pPr>
                            <w:rPr>
                              <w:rFonts w:ascii="Gotham Medium" w:hAnsi="Gotham Medium"/>
                              <w:color w:val="002F87"/>
                              <w:sz w:val="26"/>
                              <w:szCs w:val="26"/>
                            </w:rPr>
                          </w:pPr>
                          <w:r w:rsidRPr="004800C4">
                            <w:rPr>
                              <w:rFonts w:ascii="Gotham Medium" w:hAnsi="Gotham Medium"/>
                              <w:color w:val="002F87"/>
                              <w:sz w:val="26"/>
                              <w:szCs w:val="26"/>
                            </w:rPr>
                            <w:t>www.portagenetwork.ca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2AFDA" id="_x0000_t202" coordsize="21600,21600" o:spt="202" path="m,l,21600r21600,l21600,xe">
              <v:stroke joinstyle="miter"/>
              <v:path gradientshapeok="t" o:connecttype="rect"/>
            </v:shapetype>
            <v:shape id="Text Box 1" o:spid="_x0000_s1030" type="#_x0000_t202" style="position:absolute;margin-left:0;margin-top:93.2pt;width:182.95pt;height:2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" fillcolor="white [3201]" stroked="f" strokeweight=".5pt">
              <v:textbox>
                <w:txbxContent>
                  <w:p w14:paraId="19C4125B" w14:textId="77777777" w:rsidR="003127F7" w:rsidRPr="004800C4" w:rsidRDefault="003127F7" w:rsidP="00E03F03">
                    <w:pPr>
                      <w:rPr>
                        <w:rFonts w:ascii="Gotham Medium" w:hAnsi="Gotham Medium"/>
                        <w:color w:val="002F87"/>
                        <w:sz w:val="26"/>
                        <w:szCs w:val="26"/>
                      </w:rPr>
                    </w:pPr>
                    <w:r w:rsidRPr="004800C4">
                      <w:rPr>
                        <w:rFonts w:ascii="Gotham Medium" w:hAnsi="Gotham Medium"/>
                        <w:color w:val="002F87"/>
                        <w:sz w:val="26"/>
                        <w:szCs w:val="26"/>
                      </w:rPr>
                      <w:t>www.portagenetwork.ca</w:t>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A9DA5" w14:textId="77777777" w:rsidR="002760C1" w:rsidRDefault="002760C1" w:rsidP="00F070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2B56B8BD" w14:textId="14B25B05" w:rsidR="002760C1" w:rsidRDefault="002760C1" w:rsidP="00F070AA">
    <w:pPr>
      <w:pStyle w:val="Footer"/>
      <w:rPr>
        <w:rStyle w:val="PageNumber"/>
      </w:rPr>
    </w:pPr>
  </w:p>
  <w:p w14:paraId="5092D087" w14:textId="77777777" w:rsidR="002760C1" w:rsidRDefault="002760C1" w:rsidP="00F070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87958" w14:textId="10806307" w:rsidR="002760C1" w:rsidRPr="00AE3786" w:rsidRDefault="00E248B5" w:rsidP="00E248B5">
    <w:pPr>
      <w:pStyle w:val="Footer"/>
    </w:pPr>
    <w:r w:rsidRPr="00A41EA8">
      <w:rPr>
        <w:color w:val="131875"/>
        <w:sz w:val="16"/>
        <w:szCs w:val="18"/>
        <w:lang w:val="fr-CA"/>
      </w:rPr>
      <w:t>RÉSEAU PORTAGE / ASSOCIATION DES BIBLIOTHÈQUES DE RECHERCHE DU CANADA</w:t>
    </w:r>
    <w:r w:rsidR="002760C1" w:rsidRPr="00E248B5">
      <w:rPr>
        <w:rStyle w:val="PageNumber"/>
        <w:lang w:val="fr-CA"/>
      </w:rPr>
      <w:tab/>
    </w:r>
    <w:r w:rsidR="0047632B" w:rsidRPr="00E248B5">
      <w:rPr>
        <w:rStyle w:val="PageNumber"/>
        <w:lang w:val="fr-CA"/>
      </w:rPr>
      <w:tab/>
    </w:r>
    <w:r w:rsidR="0047632B" w:rsidRPr="00E248B5">
      <w:rPr>
        <w:rStyle w:val="PageNumber"/>
        <w:lang w:val="fr-CA"/>
      </w:rPr>
      <w:tab/>
    </w:r>
    <w:r w:rsidR="0047632B" w:rsidRPr="00E248B5">
      <w:rPr>
        <w:rStyle w:val="PageNumber"/>
        <w:lang w:val="fr-CA"/>
      </w:rPr>
      <w:tab/>
    </w:r>
    <w:r w:rsidR="0047632B" w:rsidRPr="00E248B5">
      <w:rPr>
        <w:rStyle w:val="PageNumber"/>
        <w:lang w:val="fr-CA"/>
      </w:rPr>
      <w:tab/>
    </w:r>
    <w:r w:rsidR="0047632B" w:rsidRPr="00E248B5">
      <w:rPr>
        <w:rStyle w:val="PageNumber"/>
        <w:lang w:val="fr-CA"/>
      </w:rPr>
      <w:tab/>
    </w:r>
    <w:r w:rsidR="002760C1" w:rsidRPr="00083924">
      <w:rPr>
        <w:rStyle w:val="PageNumber"/>
        <w:sz w:val="20"/>
      </w:rPr>
      <w:fldChar w:fldCharType="begin"/>
    </w:r>
    <w:r w:rsidR="002760C1" w:rsidRPr="00083924">
      <w:rPr>
        <w:rStyle w:val="PageNumber"/>
        <w:sz w:val="20"/>
      </w:rPr>
      <w:instrText xml:space="preserve">PAGE  </w:instrText>
    </w:r>
    <w:r w:rsidR="002760C1" w:rsidRPr="00083924">
      <w:rPr>
        <w:rStyle w:val="PageNumber"/>
        <w:sz w:val="20"/>
      </w:rPr>
      <w:fldChar w:fldCharType="separate"/>
    </w:r>
    <w:r w:rsidR="00BB136B">
      <w:rPr>
        <w:rStyle w:val="PageNumber"/>
        <w:noProof/>
        <w:sz w:val="20"/>
      </w:rPr>
      <w:t>12</w:t>
    </w:r>
    <w:r w:rsidR="002760C1" w:rsidRPr="00083924">
      <w:rPr>
        <w:rStyle w:val="PageNumber"/>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05E8C" w14:textId="6E915B8A" w:rsidR="002760C1" w:rsidRDefault="002162C5" w:rsidP="00C333DA">
    <w:pPr>
      <w:pStyle w:val="Footer"/>
      <w:tabs>
        <w:tab w:val="clear" w:pos="4320"/>
        <w:tab w:val="clear" w:pos="8640"/>
        <w:tab w:val="left" w:pos="7800"/>
      </w:tabs>
    </w:pPr>
    <w:r>
      <w:rPr>
        <w:noProof/>
      </w:rPr>
      <w:drawing>
        <wp:anchor distT="0" distB="0" distL="114300" distR="114300" simplePos="0" relativeHeight="251661824" behindDoc="0" locked="0" layoutInCell="1" allowOverlap="1" wp14:anchorId="10F708EC" wp14:editId="22B5C70E">
          <wp:simplePos x="0" y="0"/>
          <wp:positionH relativeFrom="column">
            <wp:posOffset>4281170</wp:posOffset>
          </wp:positionH>
          <wp:positionV relativeFrom="paragraph">
            <wp:posOffset>-1148715</wp:posOffset>
          </wp:positionV>
          <wp:extent cx="1600835" cy="52006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ge_logo_Tagline_rgb_bilingual.png"/>
                  <pic:cNvPicPr/>
                </pic:nvPicPr>
                <pic:blipFill>
                  <a:blip r:embed="rId1"/>
                  <a:stretch>
                    <a:fillRect/>
                  </a:stretch>
                </pic:blipFill>
                <pic:spPr>
                  <a:xfrm>
                    <a:off x="0" y="0"/>
                    <a:ext cx="1600835" cy="52006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776" behindDoc="0" locked="0" layoutInCell="1" allowOverlap="1" wp14:anchorId="63EF5FE5" wp14:editId="32A21EAE">
              <wp:simplePos x="0" y="0"/>
              <wp:positionH relativeFrom="column">
                <wp:posOffset>0</wp:posOffset>
              </wp:positionH>
              <wp:positionV relativeFrom="paragraph">
                <wp:posOffset>1183640</wp:posOffset>
              </wp:positionV>
              <wp:extent cx="2323465" cy="352425"/>
              <wp:effectExtent l="0" t="0" r="0" b="3175"/>
              <wp:wrapNone/>
              <wp:docPr id="4" name="Text Box 4"/>
              <wp:cNvGraphicFramePr/>
              <a:graphic xmlns:a="http://schemas.openxmlformats.org/drawingml/2006/main">
                <a:graphicData uri="http://schemas.microsoft.com/office/word/2010/wordprocessingShape">
                  <wps:wsp>
                    <wps:cNvSpPr txBox="1"/>
                    <wps:spPr>
                      <a:xfrm>
                        <a:off x="0" y="0"/>
                        <a:ext cx="2323465" cy="352425"/>
                      </a:xfrm>
                      <a:prstGeom prst="rect">
                        <a:avLst/>
                      </a:prstGeom>
                      <a:solidFill>
                        <a:schemeClr val="lt1"/>
                      </a:solidFill>
                      <a:ln w="6350">
                        <a:noFill/>
                      </a:ln>
                    </wps:spPr>
                    <wps:txbx>
                      <w:txbxContent>
                        <w:p w14:paraId="335CF5EC" w14:textId="77777777" w:rsidR="002162C5" w:rsidRPr="004800C4" w:rsidRDefault="002162C5" w:rsidP="00CF22D3">
                          <w:pPr>
                            <w:rPr>
                              <w:rFonts w:ascii="Gotham Medium" w:hAnsi="Gotham Medium"/>
                              <w:color w:val="002F87"/>
                              <w:sz w:val="26"/>
                              <w:szCs w:val="26"/>
                            </w:rPr>
                          </w:pPr>
                          <w:r w:rsidRPr="004800C4">
                            <w:rPr>
                              <w:rFonts w:ascii="Gotham Medium" w:hAnsi="Gotham Medium"/>
                              <w:color w:val="002F87"/>
                              <w:sz w:val="26"/>
                              <w:szCs w:val="26"/>
                            </w:rPr>
                            <w:t>www.portagenetwork.ca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F5FE5" id="_x0000_t202" coordsize="21600,21600" o:spt="202" path="m,l,21600r21600,l21600,xe">
              <v:stroke joinstyle="miter"/>
              <v:path gradientshapeok="t" o:connecttype="rect"/>
            </v:shapetype>
            <v:shape id="Text Box 4" o:spid="_x0000_s1031" type="#_x0000_t202" style="position:absolute;margin-left:0;margin-top:93.2pt;width:182.95pt;height:2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" fillcolor="white [3201]" stroked="f" strokeweight=".5pt">
              <v:textbox>
                <w:txbxContent>
                  <w:p w14:paraId="335CF5EC" w14:textId="77777777" w:rsidR="002162C5" w:rsidRPr="004800C4" w:rsidRDefault="002162C5" w:rsidP="00CF22D3">
                    <w:pPr>
                      <w:rPr>
                        <w:rFonts w:ascii="Gotham Medium" w:hAnsi="Gotham Medium"/>
                        <w:color w:val="002F87"/>
                        <w:sz w:val="26"/>
                        <w:szCs w:val="26"/>
                      </w:rPr>
                    </w:pPr>
                    <w:r w:rsidRPr="004800C4">
                      <w:rPr>
                        <w:rFonts w:ascii="Gotham Medium" w:hAnsi="Gotham Medium"/>
                        <w:color w:val="002F87"/>
                        <w:sz w:val="26"/>
                        <w:szCs w:val="26"/>
                      </w:rPr>
                      <w:t>www.portagenetwork.ca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BD254" w14:textId="77777777" w:rsidR="00DC7FE4" w:rsidRDefault="00DC7FE4" w:rsidP="00F070AA">
      <w:r>
        <w:separator/>
      </w:r>
    </w:p>
  </w:footnote>
  <w:footnote w:type="continuationSeparator" w:id="0">
    <w:p w14:paraId="27F57169" w14:textId="77777777" w:rsidR="00DC7FE4" w:rsidRDefault="00DC7FE4" w:rsidP="00F07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614B96" w14:textId="15EEAFF5" w:rsidR="003127F7" w:rsidRDefault="003127F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AA792" w14:textId="77777777" w:rsidR="003127F7" w:rsidRDefault="003127F7">
    <w:pPr>
      <w:pStyle w:val="Header"/>
    </w:pPr>
    <w:r>
      <w:rPr>
        <w:noProof/>
      </w:rPr>
      <w:drawing>
        <wp:anchor distT="0" distB="0" distL="114300" distR="114300" simplePos="0" relativeHeight="251655680" behindDoc="1" locked="0" layoutInCell="1" allowOverlap="1" wp14:anchorId="40F51F10" wp14:editId="3B5853A1">
          <wp:simplePos x="0" y="0"/>
          <wp:positionH relativeFrom="column">
            <wp:posOffset>-914400</wp:posOffset>
          </wp:positionH>
          <wp:positionV relativeFrom="paragraph">
            <wp:posOffset>-459579</wp:posOffset>
          </wp:positionV>
          <wp:extent cx="7772400" cy="10058241"/>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L Report CoverReverse.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2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B9AA7" w14:textId="14573A39" w:rsidR="002760C1" w:rsidRDefault="002760C1">
    <w:pPr>
      <w:pStyle w:val="Header"/>
    </w:pPr>
    <w:r>
      <w:rPr>
        <w:noProof/>
      </w:rPr>
      <w:drawing>
        <wp:anchor distT="0" distB="0" distL="114300" distR="114300" simplePos="0" relativeHeight="251654656" behindDoc="1" locked="0" layoutInCell="1" allowOverlap="1" wp14:anchorId="4B1782A3" wp14:editId="2D54A11E">
          <wp:simplePos x="0" y="0"/>
          <wp:positionH relativeFrom="column">
            <wp:posOffset>-914400</wp:posOffset>
          </wp:positionH>
          <wp:positionV relativeFrom="paragraph">
            <wp:posOffset>-459579</wp:posOffset>
          </wp:positionV>
          <wp:extent cx="7772400" cy="10058241"/>
          <wp:effectExtent l="0" t="0" r="0" b="63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L Report CoverReverse.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2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85A16"/>
    <w:multiLevelType w:val="hybridMultilevel"/>
    <w:tmpl w:val="9CFE2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A112F3"/>
    <w:multiLevelType w:val="multilevel"/>
    <w:tmpl w:val="61404C38"/>
    <w:lvl w:ilvl="0">
      <w:start w:val="1"/>
      <w:numFmt w:val="decimal"/>
      <w:lvlText w:val="%1)"/>
      <w:lvlJc w:val="left"/>
      <w:pPr>
        <w:ind w:left="1440" w:firstLine="2520"/>
      </w:pPr>
      <w:rPr>
        <w:u w:val="none"/>
      </w:rPr>
    </w:lvl>
    <w:lvl w:ilvl="1">
      <w:start w:val="1"/>
      <w:numFmt w:val="lowerLetter"/>
      <w:lvlText w:val="%2)"/>
      <w:lvlJc w:val="left"/>
      <w:pPr>
        <w:ind w:left="2160" w:firstLine="3960"/>
      </w:pPr>
      <w:rPr>
        <w:u w:val="none"/>
      </w:rPr>
    </w:lvl>
    <w:lvl w:ilvl="2">
      <w:start w:val="1"/>
      <w:numFmt w:val="lowerRoman"/>
      <w:lvlText w:val="%3)"/>
      <w:lvlJc w:val="right"/>
      <w:pPr>
        <w:ind w:left="2880" w:firstLine="5400"/>
      </w:pPr>
      <w:rPr>
        <w:u w:val="none"/>
      </w:rPr>
    </w:lvl>
    <w:lvl w:ilvl="3">
      <w:start w:val="1"/>
      <w:numFmt w:val="decimal"/>
      <w:lvlText w:val="(%4)"/>
      <w:lvlJc w:val="left"/>
      <w:pPr>
        <w:ind w:left="3600" w:firstLine="6840"/>
      </w:pPr>
      <w:rPr>
        <w:u w:val="none"/>
      </w:rPr>
    </w:lvl>
    <w:lvl w:ilvl="4">
      <w:start w:val="1"/>
      <w:numFmt w:val="lowerLetter"/>
      <w:lvlText w:val="(%5)"/>
      <w:lvlJc w:val="left"/>
      <w:pPr>
        <w:ind w:left="4320" w:firstLine="8280"/>
      </w:pPr>
      <w:rPr>
        <w:u w:val="none"/>
      </w:rPr>
    </w:lvl>
    <w:lvl w:ilvl="5">
      <w:start w:val="1"/>
      <w:numFmt w:val="lowerRoman"/>
      <w:lvlText w:val="(%6)"/>
      <w:lvlJc w:val="right"/>
      <w:pPr>
        <w:ind w:left="5040" w:firstLine="9720"/>
      </w:pPr>
      <w:rPr>
        <w:u w:val="none"/>
      </w:rPr>
    </w:lvl>
    <w:lvl w:ilvl="6">
      <w:start w:val="1"/>
      <w:numFmt w:val="decimal"/>
      <w:lvlText w:val="%7."/>
      <w:lvlJc w:val="left"/>
      <w:pPr>
        <w:ind w:left="5760" w:firstLine="11160"/>
      </w:pPr>
      <w:rPr>
        <w:u w:val="none"/>
      </w:rPr>
    </w:lvl>
    <w:lvl w:ilvl="7">
      <w:start w:val="1"/>
      <w:numFmt w:val="lowerLetter"/>
      <w:lvlText w:val="%8."/>
      <w:lvlJc w:val="left"/>
      <w:pPr>
        <w:ind w:left="6480" w:firstLine="12600"/>
      </w:pPr>
      <w:rPr>
        <w:u w:val="none"/>
      </w:rPr>
    </w:lvl>
    <w:lvl w:ilvl="8">
      <w:start w:val="1"/>
      <w:numFmt w:val="lowerRoman"/>
      <w:lvlText w:val="%9."/>
      <w:lvlJc w:val="right"/>
      <w:pPr>
        <w:ind w:left="7200" w:firstLine="14040"/>
      </w:pPr>
      <w:rPr>
        <w:u w:val="none"/>
      </w:rPr>
    </w:lvl>
  </w:abstractNum>
  <w:abstractNum w:abstractNumId="2" w15:restartNumberingAfterBreak="0">
    <w:nsid w:val="125C0BD3"/>
    <w:multiLevelType w:val="hybridMultilevel"/>
    <w:tmpl w:val="A0706F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BF28BB"/>
    <w:multiLevelType w:val="multilevel"/>
    <w:tmpl w:val="86A62C4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15:restartNumberingAfterBreak="0">
    <w:nsid w:val="1E263F77"/>
    <w:multiLevelType w:val="hybridMultilevel"/>
    <w:tmpl w:val="0044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27587B"/>
    <w:multiLevelType w:val="multilevel"/>
    <w:tmpl w:val="3B627CF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FE83D16"/>
    <w:multiLevelType w:val="multilevel"/>
    <w:tmpl w:val="76504756"/>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15:restartNumberingAfterBreak="0">
    <w:nsid w:val="20EE106B"/>
    <w:multiLevelType w:val="hybridMultilevel"/>
    <w:tmpl w:val="2E62E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9F6B33"/>
    <w:multiLevelType w:val="multilevel"/>
    <w:tmpl w:val="C62C3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C5445AC"/>
    <w:multiLevelType w:val="multilevel"/>
    <w:tmpl w:val="2898A04E"/>
    <w:lvl w:ilvl="0">
      <w:start w:val="1"/>
      <w:numFmt w:val="decimal"/>
      <w:lvlText w:val="%1."/>
      <w:lvlJc w:val="left"/>
      <w:pPr>
        <w:ind w:left="720" w:firstLine="1080"/>
      </w:pPr>
      <w:rPr>
        <w:vertAlign w:val="baseline"/>
      </w:rPr>
    </w:lvl>
    <w:lvl w:ilvl="1">
      <w:start w:val="1"/>
      <w:numFmt w:val="decimal"/>
      <w:lvlText w:val="%2."/>
      <w:lvlJc w:val="left"/>
      <w:pPr>
        <w:ind w:left="1440" w:firstLine="2520"/>
      </w:pPr>
      <w:rPr>
        <w:vertAlign w:val="baseline"/>
      </w:rPr>
    </w:lvl>
    <w:lvl w:ilvl="2">
      <w:start w:val="1"/>
      <w:numFmt w:val="decimal"/>
      <w:lvlText w:val="%3."/>
      <w:lvlJc w:val="left"/>
      <w:pPr>
        <w:ind w:left="2160" w:firstLine="3960"/>
      </w:pPr>
      <w:rPr>
        <w:vertAlign w:val="baseline"/>
      </w:rPr>
    </w:lvl>
    <w:lvl w:ilvl="3">
      <w:start w:val="1"/>
      <w:numFmt w:val="decimal"/>
      <w:lvlText w:val="%4."/>
      <w:lvlJc w:val="left"/>
      <w:pPr>
        <w:ind w:left="2880" w:firstLine="5400"/>
      </w:pPr>
      <w:rPr>
        <w:vertAlign w:val="baseline"/>
      </w:rPr>
    </w:lvl>
    <w:lvl w:ilvl="4">
      <w:start w:val="1"/>
      <w:numFmt w:val="decimal"/>
      <w:lvlText w:val="%5."/>
      <w:lvlJc w:val="left"/>
      <w:pPr>
        <w:ind w:left="3600" w:firstLine="6840"/>
      </w:pPr>
      <w:rPr>
        <w:vertAlign w:val="baseline"/>
      </w:rPr>
    </w:lvl>
    <w:lvl w:ilvl="5">
      <w:start w:val="1"/>
      <w:numFmt w:val="decimal"/>
      <w:lvlText w:val="%6."/>
      <w:lvlJc w:val="left"/>
      <w:pPr>
        <w:ind w:left="4320" w:firstLine="8280"/>
      </w:pPr>
      <w:rPr>
        <w:vertAlign w:val="baseline"/>
      </w:rPr>
    </w:lvl>
    <w:lvl w:ilvl="6">
      <w:start w:val="1"/>
      <w:numFmt w:val="decimal"/>
      <w:lvlText w:val="%7."/>
      <w:lvlJc w:val="left"/>
      <w:pPr>
        <w:ind w:left="5040" w:firstLine="9720"/>
      </w:pPr>
      <w:rPr>
        <w:vertAlign w:val="baseline"/>
      </w:rPr>
    </w:lvl>
    <w:lvl w:ilvl="7">
      <w:start w:val="1"/>
      <w:numFmt w:val="decimal"/>
      <w:lvlText w:val="%8."/>
      <w:lvlJc w:val="left"/>
      <w:pPr>
        <w:ind w:left="5760" w:firstLine="11160"/>
      </w:pPr>
      <w:rPr>
        <w:vertAlign w:val="baseline"/>
      </w:rPr>
    </w:lvl>
    <w:lvl w:ilvl="8">
      <w:start w:val="1"/>
      <w:numFmt w:val="decimal"/>
      <w:lvlText w:val="%9."/>
      <w:lvlJc w:val="left"/>
      <w:pPr>
        <w:ind w:left="6480" w:firstLine="12600"/>
      </w:pPr>
      <w:rPr>
        <w:vertAlign w:val="baseline"/>
      </w:rPr>
    </w:lvl>
  </w:abstractNum>
  <w:abstractNum w:abstractNumId="10" w15:restartNumberingAfterBreak="0">
    <w:nsid w:val="3DDC7148"/>
    <w:multiLevelType w:val="multilevel"/>
    <w:tmpl w:val="66B81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E75BCE"/>
    <w:multiLevelType w:val="hybridMultilevel"/>
    <w:tmpl w:val="4C9C6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AB134A"/>
    <w:multiLevelType w:val="hybridMultilevel"/>
    <w:tmpl w:val="48429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113A44"/>
    <w:multiLevelType w:val="multilevel"/>
    <w:tmpl w:val="1902B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2653AEA"/>
    <w:multiLevelType w:val="multilevel"/>
    <w:tmpl w:val="E870D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3C71168"/>
    <w:multiLevelType w:val="multilevel"/>
    <w:tmpl w:val="CC86A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65D5670"/>
    <w:multiLevelType w:val="hybridMultilevel"/>
    <w:tmpl w:val="A3742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A9742F"/>
    <w:multiLevelType w:val="multilevel"/>
    <w:tmpl w:val="1794E9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9B87C70"/>
    <w:multiLevelType w:val="hybridMultilevel"/>
    <w:tmpl w:val="50C4D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8B0E7A"/>
    <w:multiLevelType w:val="hybridMultilevel"/>
    <w:tmpl w:val="93CEBA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6CF71127"/>
    <w:multiLevelType w:val="multilevel"/>
    <w:tmpl w:val="68C00CE6"/>
    <w:lvl w:ilvl="0">
      <w:start w:val="1"/>
      <w:numFmt w:val="bullet"/>
      <w:lvlText w:val="●"/>
      <w:lvlJc w:val="left"/>
      <w:pPr>
        <w:ind w:left="720" w:firstLine="1080"/>
      </w:pPr>
      <w:rPr>
        <w:rFonts w:ascii="Arial" w:eastAsia="Arial" w:hAnsi="Arial" w:cs="Arial"/>
        <w:sz w:val="20"/>
        <w:szCs w:val="20"/>
        <w:vertAlign w:val="baseline"/>
      </w:rPr>
    </w:lvl>
    <w:lvl w:ilvl="1">
      <w:start w:val="1"/>
      <w:numFmt w:val="bullet"/>
      <w:lvlText w:val="o"/>
      <w:lvlJc w:val="left"/>
      <w:pPr>
        <w:ind w:left="1440" w:firstLine="2520"/>
      </w:pPr>
      <w:rPr>
        <w:rFonts w:ascii="Arial" w:eastAsia="Arial" w:hAnsi="Arial" w:cs="Arial"/>
        <w:sz w:val="20"/>
        <w:szCs w:val="20"/>
        <w:vertAlign w:val="baseline"/>
      </w:rPr>
    </w:lvl>
    <w:lvl w:ilvl="2">
      <w:start w:val="1"/>
      <w:numFmt w:val="bullet"/>
      <w:lvlText w:val="▪"/>
      <w:lvlJc w:val="left"/>
      <w:pPr>
        <w:ind w:left="2160" w:firstLine="3960"/>
      </w:pPr>
      <w:rPr>
        <w:rFonts w:ascii="Arial" w:eastAsia="Arial" w:hAnsi="Arial" w:cs="Arial"/>
        <w:sz w:val="20"/>
        <w:szCs w:val="20"/>
        <w:vertAlign w:val="baseline"/>
      </w:rPr>
    </w:lvl>
    <w:lvl w:ilvl="3">
      <w:start w:val="1"/>
      <w:numFmt w:val="bullet"/>
      <w:lvlText w:val="▪"/>
      <w:lvlJc w:val="left"/>
      <w:pPr>
        <w:ind w:left="2880" w:firstLine="5400"/>
      </w:pPr>
      <w:rPr>
        <w:rFonts w:ascii="Arial" w:eastAsia="Arial" w:hAnsi="Arial" w:cs="Arial"/>
        <w:sz w:val="20"/>
        <w:szCs w:val="20"/>
        <w:vertAlign w:val="baseline"/>
      </w:rPr>
    </w:lvl>
    <w:lvl w:ilvl="4">
      <w:start w:val="1"/>
      <w:numFmt w:val="bullet"/>
      <w:lvlText w:val="▪"/>
      <w:lvlJc w:val="left"/>
      <w:pPr>
        <w:ind w:left="3600" w:firstLine="6840"/>
      </w:pPr>
      <w:rPr>
        <w:rFonts w:ascii="Arial" w:eastAsia="Arial" w:hAnsi="Arial" w:cs="Arial"/>
        <w:sz w:val="20"/>
        <w:szCs w:val="20"/>
        <w:vertAlign w:val="baseline"/>
      </w:rPr>
    </w:lvl>
    <w:lvl w:ilvl="5">
      <w:start w:val="1"/>
      <w:numFmt w:val="bullet"/>
      <w:lvlText w:val="▪"/>
      <w:lvlJc w:val="left"/>
      <w:pPr>
        <w:ind w:left="4320" w:firstLine="8280"/>
      </w:pPr>
      <w:rPr>
        <w:rFonts w:ascii="Arial" w:eastAsia="Arial" w:hAnsi="Arial" w:cs="Arial"/>
        <w:sz w:val="20"/>
        <w:szCs w:val="20"/>
        <w:vertAlign w:val="baseline"/>
      </w:rPr>
    </w:lvl>
    <w:lvl w:ilvl="6">
      <w:start w:val="1"/>
      <w:numFmt w:val="bullet"/>
      <w:lvlText w:val="▪"/>
      <w:lvlJc w:val="left"/>
      <w:pPr>
        <w:ind w:left="5040" w:firstLine="9720"/>
      </w:pPr>
      <w:rPr>
        <w:rFonts w:ascii="Arial" w:eastAsia="Arial" w:hAnsi="Arial" w:cs="Arial"/>
        <w:sz w:val="20"/>
        <w:szCs w:val="20"/>
        <w:vertAlign w:val="baseline"/>
      </w:rPr>
    </w:lvl>
    <w:lvl w:ilvl="7">
      <w:start w:val="1"/>
      <w:numFmt w:val="bullet"/>
      <w:lvlText w:val="▪"/>
      <w:lvlJc w:val="left"/>
      <w:pPr>
        <w:ind w:left="5760" w:firstLine="11160"/>
      </w:pPr>
      <w:rPr>
        <w:rFonts w:ascii="Arial" w:eastAsia="Arial" w:hAnsi="Arial" w:cs="Arial"/>
        <w:sz w:val="20"/>
        <w:szCs w:val="20"/>
        <w:vertAlign w:val="baseline"/>
      </w:rPr>
    </w:lvl>
    <w:lvl w:ilvl="8">
      <w:start w:val="1"/>
      <w:numFmt w:val="bullet"/>
      <w:lvlText w:val="▪"/>
      <w:lvlJc w:val="left"/>
      <w:pPr>
        <w:ind w:left="6480" w:firstLine="12600"/>
      </w:pPr>
      <w:rPr>
        <w:rFonts w:ascii="Arial" w:eastAsia="Arial" w:hAnsi="Arial" w:cs="Arial"/>
        <w:sz w:val="20"/>
        <w:szCs w:val="20"/>
        <w:vertAlign w:val="baseline"/>
      </w:rPr>
    </w:lvl>
  </w:abstractNum>
  <w:abstractNum w:abstractNumId="21" w15:restartNumberingAfterBreak="0">
    <w:nsid w:val="6F393685"/>
    <w:multiLevelType w:val="multilevel"/>
    <w:tmpl w:val="70224D0C"/>
    <w:lvl w:ilvl="0">
      <w:start w:val="1"/>
      <w:numFmt w:val="decimal"/>
      <w:lvlText w:val="%1."/>
      <w:lvlJc w:val="left"/>
      <w:pPr>
        <w:ind w:left="720" w:firstLine="1080"/>
      </w:pPr>
      <w:rPr>
        <w:u w:val="none"/>
      </w:rPr>
    </w:lvl>
    <w:lvl w:ilvl="1">
      <w:start w:val="1"/>
      <w:numFmt w:val="bullet"/>
      <w:lvlText w:val="○"/>
      <w:lvlJc w:val="left"/>
      <w:pPr>
        <w:ind w:left="1440" w:firstLine="2520"/>
      </w:pPr>
      <w:rPr>
        <w:rFonts w:ascii="Arial" w:eastAsia="Arial" w:hAnsi="Arial" w:cs="Arial"/>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2" w15:restartNumberingAfterBreak="0">
    <w:nsid w:val="718302C0"/>
    <w:multiLevelType w:val="multilevel"/>
    <w:tmpl w:val="4B5ED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EC5160B"/>
    <w:multiLevelType w:val="multilevel"/>
    <w:tmpl w:val="98D485C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4" w15:restartNumberingAfterBreak="0">
    <w:nsid w:val="7F343B75"/>
    <w:multiLevelType w:val="hybridMultilevel"/>
    <w:tmpl w:val="6B08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9"/>
  </w:num>
  <w:num w:numId="4">
    <w:abstractNumId w:val="24"/>
  </w:num>
  <w:num w:numId="5">
    <w:abstractNumId w:val="4"/>
  </w:num>
  <w:num w:numId="6">
    <w:abstractNumId w:val="6"/>
  </w:num>
  <w:num w:numId="7">
    <w:abstractNumId w:val="20"/>
  </w:num>
  <w:num w:numId="8">
    <w:abstractNumId w:val="0"/>
  </w:num>
  <w:num w:numId="9">
    <w:abstractNumId w:val="5"/>
  </w:num>
  <w:num w:numId="10">
    <w:abstractNumId w:val="1"/>
  </w:num>
  <w:num w:numId="11">
    <w:abstractNumId w:val="23"/>
  </w:num>
  <w:num w:numId="12">
    <w:abstractNumId w:val="11"/>
  </w:num>
  <w:num w:numId="13">
    <w:abstractNumId w:val="21"/>
  </w:num>
  <w:num w:numId="14">
    <w:abstractNumId w:val="3"/>
  </w:num>
  <w:num w:numId="15">
    <w:abstractNumId w:val="2"/>
  </w:num>
  <w:num w:numId="16">
    <w:abstractNumId w:val="7"/>
  </w:num>
  <w:num w:numId="17">
    <w:abstractNumId w:val="10"/>
  </w:num>
  <w:num w:numId="18">
    <w:abstractNumId w:val="14"/>
  </w:num>
  <w:num w:numId="19">
    <w:abstractNumId w:val="22"/>
  </w:num>
  <w:num w:numId="20">
    <w:abstractNumId w:val="8"/>
  </w:num>
  <w:num w:numId="21">
    <w:abstractNumId w:val="13"/>
  </w:num>
  <w:num w:numId="22">
    <w:abstractNumId w:val="15"/>
  </w:num>
  <w:num w:numId="23">
    <w:abstractNumId w:val="17"/>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50C"/>
    <w:rsid w:val="00024E01"/>
    <w:rsid w:val="00027874"/>
    <w:rsid w:val="00043693"/>
    <w:rsid w:val="00064CBB"/>
    <w:rsid w:val="00083924"/>
    <w:rsid w:val="00090F15"/>
    <w:rsid w:val="000C1933"/>
    <w:rsid w:val="000C2BBA"/>
    <w:rsid w:val="000E0CFD"/>
    <w:rsid w:val="000E734E"/>
    <w:rsid w:val="0010127C"/>
    <w:rsid w:val="00145D0D"/>
    <w:rsid w:val="001833B4"/>
    <w:rsid w:val="001F098F"/>
    <w:rsid w:val="002162C5"/>
    <w:rsid w:val="00226745"/>
    <w:rsid w:val="002532E2"/>
    <w:rsid w:val="00260A24"/>
    <w:rsid w:val="00275807"/>
    <w:rsid w:val="002760C1"/>
    <w:rsid w:val="0028108C"/>
    <w:rsid w:val="002C7971"/>
    <w:rsid w:val="002D1D87"/>
    <w:rsid w:val="003115AD"/>
    <w:rsid w:val="003127F7"/>
    <w:rsid w:val="00331CB9"/>
    <w:rsid w:val="003C0456"/>
    <w:rsid w:val="003D1C75"/>
    <w:rsid w:val="003F0AB1"/>
    <w:rsid w:val="00417C0E"/>
    <w:rsid w:val="00421949"/>
    <w:rsid w:val="0042473E"/>
    <w:rsid w:val="0042767B"/>
    <w:rsid w:val="004338ED"/>
    <w:rsid w:val="00473FB4"/>
    <w:rsid w:val="0047632B"/>
    <w:rsid w:val="0049531A"/>
    <w:rsid w:val="004B49EA"/>
    <w:rsid w:val="004E0A10"/>
    <w:rsid w:val="005151D1"/>
    <w:rsid w:val="00526BC5"/>
    <w:rsid w:val="0054442F"/>
    <w:rsid w:val="0058425F"/>
    <w:rsid w:val="005A2068"/>
    <w:rsid w:val="005D423F"/>
    <w:rsid w:val="005F1A19"/>
    <w:rsid w:val="005F571E"/>
    <w:rsid w:val="005F7F69"/>
    <w:rsid w:val="00612DAD"/>
    <w:rsid w:val="00622E3E"/>
    <w:rsid w:val="00653FA3"/>
    <w:rsid w:val="00667F29"/>
    <w:rsid w:val="0068150C"/>
    <w:rsid w:val="006C5581"/>
    <w:rsid w:val="006E6CD4"/>
    <w:rsid w:val="007333BA"/>
    <w:rsid w:val="00742D69"/>
    <w:rsid w:val="00767027"/>
    <w:rsid w:val="00773227"/>
    <w:rsid w:val="00784BBC"/>
    <w:rsid w:val="00794A7B"/>
    <w:rsid w:val="00794E65"/>
    <w:rsid w:val="007A2323"/>
    <w:rsid w:val="007B5A96"/>
    <w:rsid w:val="007F6896"/>
    <w:rsid w:val="008621B0"/>
    <w:rsid w:val="008C64A1"/>
    <w:rsid w:val="008D329E"/>
    <w:rsid w:val="008F12CF"/>
    <w:rsid w:val="008F3BD8"/>
    <w:rsid w:val="008F5687"/>
    <w:rsid w:val="008F738C"/>
    <w:rsid w:val="0095387E"/>
    <w:rsid w:val="00986D2A"/>
    <w:rsid w:val="009872BB"/>
    <w:rsid w:val="00994CCD"/>
    <w:rsid w:val="009B28D5"/>
    <w:rsid w:val="009D4DB9"/>
    <w:rsid w:val="009F3EA3"/>
    <w:rsid w:val="009F4642"/>
    <w:rsid w:val="009F6148"/>
    <w:rsid w:val="00A35E7B"/>
    <w:rsid w:val="00A41EA8"/>
    <w:rsid w:val="00A55985"/>
    <w:rsid w:val="00A7226E"/>
    <w:rsid w:val="00AA4512"/>
    <w:rsid w:val="00AE3786"/>
    <w:rsid w:val="00B01697"/>
    <w:rsid w:val="00B23D0A"/>
    <w:rsid w:val="00B24898"/>
    <w:rsid w:val="00B60800"/>
    <w:rsid w:val="00BB136B"/>
    <w:rsid w:val="00BD28B4"/>
    <w:rsid w:val="00BD607B"/>
    <w:rsid w:val="00BF762E"/>
    <w:rsid w:val="00C326B1"/>
    <w:rsid w:val="00C333DA"/>
    <w:rsid w:val="00C41549"/>
    <w:rsid w:val="00CC0A9A"/>
    <w:rsid w:val="00CF69A0"/>
    <w:rsid w:val="00D443E7"/>
    <w:rsid w:val="00D56572"/>
    <w:rsid w:val="00DC7FE4"/>
    <w:rsid w:val="00DD5CA0"/>
    <w:rsid w:val="00DE0E99"/>
    <w:rsid w:val="00E248B5"/>
    <w:rsid w:val="00E50188"/>
    <w:rsid w:val="00E64376"/>
    <w:rsid w:val="00E86B2B"/>
    <w:rsid w:val="00ED0239"/>
    <w:rsid w:val="00EE13B7"/>
    <w:rsid w:val="00F070AA"/>
    <w:rsid w:val="00F1118A"/>
    <w:rsid w:val="00F12108"/>
    <w:rsid w:val="00F54DDA"/>
    <w:rsid w:val="00F60212"/>
    <w:rsid w:val="00F76386"/>
    <w:rsid w:val="00F84E7D"/>
    <w:rsid w:val="00FD7386"/>
    <w:rsid w:val="00FD7461"/>
    <w:rsid w:val="00FD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49DC1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1697"/>
    <w:pPr>
      <w:spacing w:after="240" w:line="276" w:lineRule="auto"/>
    </w:pPr>
    <w:rPr>
      <w:rFonts w:ascii="Gotham Book" w:hAnsi="Gotham Book" w:cs="Arial"/>
      <w:color w:val="595959" w:themeColor="text1" w:themeTint="A6"/>
      <w:sz w:val="22"/>
      <w:szCs w:val="22"/>
    </w:rPr>
  </w:style>
  <w:style w:type="paragraph" w:styleId="Heading1">
    <w:name w:val="heading 1"/>
    <w:basedOn w:val="Heading4"/>
    <w:next w:val="Normal"/>
    <w:link w:val="Heading1Char"/>
    <w:uiPriority w:val="9"/>
    <w:qFormat/>
    <w:rsid w:val="005A2068"/>
    <w:pPr>
      <w:spacing w:before="480" w:after="240" w:line="276" w:lineRule="auto"/>
      <w:outlineLvl w:val="0"/>
    </w:pPr>
    <w:rPr>
      <w:rFonts w:ascii="Gotham Medium" w:hAnsi="Gotham Medium"/>
      <w:sz w:val="36"/>
      <w:szCs w:val="36"/>
    </w:rPr>
  </w:style>
  <w:style w:type="paragraph" w:styleId="Heading2">
    <w:name w:val="heading 2"/>
    <w:basedOn w:val="Normal"/>
    <w:next w:val="Normal"/>
    <w:link w:val="Heading2Char"/>
    <w:uiPriority w:val="9"/>
    <w:unhideWhenUsed/>
    <w:qFormat/>
    <w:rsid w:val="005A2068"/>
    <w:pPr>
      <w:keepNext/>
      <w:keepLines/>
      <w:spacing w:before="200" w:after="0"/>
      <w:outlineLvl w:val="1"/>
    </w:pPr>
    <w:rPr>
      <w:rFonts w:ascii="Gotham Medium" w:eastAsiaTheme="majorEastAsia" w:hAnsi="Gotham Medium"/>
      <w:bCs/>
      <w:color w:val="0A2F87"/>
      <w:sz w:val="28"/>
      <w:szCs w:val="28"/>
    </w:rPr>
  </w:style>
  <w:style w:type="paragraph" w:styleId="Heading3">
    <w:name w:val="heading 3"/>
    <w:basedOn w:val="Normal"/>
    <w:next w:val="Normal"/>
    <w:link w:val="Heading3Char"/>
    <w:uiPriority w:val="9"/>
    <w:unhideWhenUsed/>
    <w:qFormat/>
    <w:rsid w:val="005A2068"/>
    <w:pPr>
      <w:widowControl w:val="0"/>
      <w:autoSpaceDE w:val="0"/>
      <w:autoSpaceDN w:val="0"/>
      <w:adjustRightInd w:val="0"/>
      <w:spacing w:after="0"/>
      <w:jc w:val="both"/>
      <w:outlineLvl w:val="2"/>
    </w:pPr>
    <w:rPr>
      <w:rFonts w:ascii="Gotham Medium" w:hAnsi="Gotham Medium"/>
    </w:rPr>
  </w:style>
  <w:style w:type="paragraph" w:styleId="Heading4">
    <w:name w:val="heading 4"/>
    <w:basedOn w:val="Normal"/>
    <w:next w:val="Normal"/>
    <w:link w:val="Heading4Char"/>
    <w:uiPriority w:val="9"/>
    <w:unhideWhenUsed/>
    <w:qFormat/>
    <w:rsid w:val="005A2068"/>
    <w:pPr>
      <w:keepNext/>
      <w:keepLines/>
      <w:spacing w:after="0" w:line="240" w:lineRule="auto"/>
      <w:outlineLvl w:val="3"/>
    </w:pPr>
    <w:rPr>
      <w:rFonts w:ascii="Gotham Bold" w:eastAsiaTheme="majorEastAsia" w:hAnsi="Gotham Bold"/>
      <w:bCs/>
      <w:iCs/>
      <w:color w:val="0A2F87"/>
      <w:sz w:val="72"/>
      <w:szCs w:val="7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50C"/>
    <w:pPr>
      <w:tabs>
        <w:tab w:val="center" w:pos="4320"/>
        <w:tab w:val="right" w:pos="8640"/>
      </w:tabs>
    </w:pPr>
  </w:style>
  <w:style w:type="character" w:customStyle="1" w:styleId="HeaderChar">
    <w:name w:val="Header Char"/>
    <w:basedOn w:val="DefaultParagraphFont"/>
    <w:link w:val="Header"/>
    <w:uiPriority w:val="99"/>
    <w:rsid w:val="0068150C"/>
  </w:style>
  <w:style w:type="paragraph" w:styleId="Footer">
    <w:name w:val="footer"/>
    <w:basedOn w:val="Normal"/>
    <w:link w:val="FooterChar"/>
    <w:uiPriority w:val="99"/>
    <w:unhideWhenUsed/>
    <w:rsid w:val="0068150C"/>
    <w:pPr>
      <w:tabs>
        <w:tab w:val="center" w:pos="4320"/>
        <w:tab w:val="right" w:pos="8640"/>
      </w:tabs>
    </w:pPr>
  </w:style>
  <w:style w:type="character" w:customStyle="1" w:styleId="FooterChar">
    <w:name w:val="Footer Char"/>
    <w:basedOn w:val="DefaultParagraphFont"/>
    <w:link w:val="Footer"/>
    <w:uiPriority w:val="99"/>
    <w:rsid w:val="0068150C"/>
  </w:style>
  <w:style w:type="paragraph" w:styleId="BalloonText">
    <w:name w:val="Balloon Text"/>
    <w:basedOn w:val="Normal"/>
    <w:link w:val="BalloonTextChar"/>
    <w:uiPriority w:val="99"/>
    <w:semiHidden/>
    <w:unhideWhenUsed/>
    <w:rsid w:val="006815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150C"/>
    <w:rPr>
      <w:rFonts w:ascii="Lucida Grande" w:hAnsi="Lucida Grande" w:cs="Lucida Grande"/>
      <w:sz w:val="18"/>
      <w:szCs w:val="18"/>
    </w:rPr>
  </w:style>
  <w:style w:type="paragraph" w:styleId="TOC1">
    <w:name w:val="toc 1"/>
    <w:basedOn w:val="Normal"/>
    <w:next w:val="Normal"/>
    <w:autoRedefine/>
    <w:uiPriority w:val="39"/>
    <w:unhideWhenUsed/>
    <w:rsid w:val="002760C1"/>
    <w:pPr>
      <w:tabs>
        <w:tab w:val="right" w:leader="dot" w:pos="9498"/>
      </w:tabs>
      <w:spacing w:before="120" w:after="0" w:line="360" w:lineRule="auto"/>
    </w:pPr>
    <w:rPr>
      <w:rFonts w:ascii="Gotham Medium" w:hAnsi="Gotham Medium"/>
      <w:noProof/>
    </w:rPr>
  </w:style>
  <w:style w:type="paragraph" w:styleId="TOC2">
    <w:name w:val="toc 2"/>
    <w:basedOn w:val="Normal"/>
    <w:next w:val="Normal"/>
    <w:autoRedefine/>
    <w:uiPriority w:val="39"/>
    <w:unhideWhenUsed/>
    <w:rsid w:val="00CF69A0"/>
    <w:pPr>
      <w:spacing w:after="0"/>
    </w:pPr>
    <w:rPr>
      <w:rFonts w:asciiTheme="minorHAnsi" w:hAnsiTheme="minorHAnsi"/>
    </w:rPr>
  </w:style>
  <w:style w:type="paragraph" w:styleId="TOC3">
    <w:name w:val="toc 3"/>
    <w:basedOn w:val="Normal"/>
    <w:next w:val="Normal"/>
    <w:autoRedefine/>
    <w:uiPriority w:val="39"/>
    <w:unhideWhenUsed/>
    <w:rsid w:val="00226745"/>
    <w:pPr>
      <w:spacing w:after="0"/>
      <w:ind w:left="240"/>
    </w:pPr>
    <w:rPr>
      <w:rFonts w:asciiTheme="minorHAnsi" w:hAnsiTheme="minorHAnsi"/>
      <w:i/>
    </w:rPr>
  </w:style>
  <w:style w:type="paragraph" w:styleId="TOC4">
    <w:name w:val="toc 4"/>
    <w:basedOn w:val="Normal"/>
    <w:next w:val="Normal"/>
    <w:autoRedefine/>
    <w:uiPriority w:val="39"/>
    <w:unhideWhenUsed/>
    <w:rsid w:val="00A55985"/>
    <w:pPr>
      <w:pBdr>
        <w:between w:val="double" w:sz="6" w:space="0" w:color="auto"/>
      </w:pBdr>
      <w:spacing w:after="0"/>
      <w:ind w:left="480"/>
    </w:pPr>
    <w:rPr>
      <w:rFonts w:asciiTheme="minorHAnsi" w:hAnsiTheme="minorHAnsi"/>
      <w:sz w:val="20"/>
      <w:szCs w:val="20"/>
    </w:rPr>
  </w:style>
  <w:style w:type="paragraph" w:styleId="TOC5">
    <w:name w:val="toc 5"/>
    <w:basedOn w:val="Normal"/>
    <w:next w:val="Normal"/>
    <w:autoRedefine/>
    <w:uiPriority w:val="39"/>
    <w:unhideWhenUsed/>
    <w:rsid w:val="00A55985"/>
    <w:pPr>
      <w:pBdr>
        <w:between w:val="double" w:sz="6" w:space="0" w:color="auto"/>
      </w:pBdr>
      <w:spacing w:after="0"/>
      <w:ind w:left="720"/>
    </w:pPr>
    <w:rPr>
      <w:rFonts w:asciiTheme="minorHAnsi" w:hAnsiTheme="minorHAnsi"/>
      <w:sz w:val="20"/>
      <w:szCs w:val="20"/>
    </w:rPr>
  </w:style>
  <w:style w:type="paragraph" w:styleId="TOC6">
    <w:name w:val="toc 6"/>
    <w:basedOn w:val="Normal"/>
    <w:next w:val="Normal"/>
    <w:autoRedefine/>
    <w:uiPriority w:val="39"/>
    <w:unhideWhenUsed/>
    <w:rsid w:val="00A55985"/>
    <w:pPr>
      <w:pBdr>
        <w:between w:val="double" w:sz="6" w:space="0" w:color="auto"/>
      </w:pBdr>
      <w:spacing w:after="0"/>
      <w:ind w:left="960"/>
    </w:pPr>
    <w:rPr>
      <w:rFonts w:asciiTheme="minorHAnsi" w:hAnsiTheme="minorHAnsi"/>
      <w:sz w:val="20"/>
      <w:szCs w:val="20"/>
    </w:rPr>
  </w:style>
  <w:style w:type="paragraph" w:styleId="TOC7">
    <w:name w:val="toc 7"/>
    <w:basedOn w:val="Normal"/>
    <w:next w:val="Normal"/>
    <w:autoRedefine/>
    <w:uiPriority w:val="39"/>
    <w:unhideWhenUsed/>
    <w:rsid w:val="00A55985"/>
    <w:pPr>
      <w:pBdr>
        <w:between w:val="double" w:sz="6" w:space="0" w:color="auto"/>
      </w:pBdr>
      <w:spacing w:after="0"/>
      <w:ind w:left="1200"/>
    </w:pPr>
    <w:rPr>
      <w:rFonts w:asciiTheme="minorHAnsi" w:hAnsiTheme="minorHAnsi"/>
      <w:sz w:val="20"/>
      <w:szCs w:val="20"/>
    </w:rPr>
  </w:style>
  <w:style w:type="paragraph" w:styleId="TOC8">
    <w:name w:val="toc 8"/>
    <w:basedOn w:val="Normal"/>
    <w:next w:val="Normal"/>
    <w:autoRedefine/>
    <w:uiPriority w:val="39"/>
    <w:unhideWhenUsed/>
    <w:rsid w:val="00A55985"/>
    <w:pPr>
      <w:pBdr>
        <w:between w:val="double" w:sz="6" w:space="0" w:color="auto"/>
      </w:pBdr>
      <w:spacing w:after="0"/>
      <w:ind w:left="1440"/>
    </w:pPr>
    <w:rPr>
      <w:rFonts w:asciiTheme="minorHAnsi" w:hAnsiTheme="minorHAnsi"/>
      <w:sz w:val="20"/>
      <w:szCs w:val="20"/>
    </w:rPr>
  </w:style>
  <w:style w:type="paragraph" w:styleId="TOC9">
    <w:name w:val="toc 9"/>
    <w:basedOn w:val="Normal"/>
    <w:next w:val="Normal"/>
    <w:autoRedefine/>
    <w:uiPriority w:val="39"/>
    <w:unhideWhenUsed/>
    <w:rsid w:val="00A55985"/>
    <w:pPr>
      <w:pBdr>
        <w:between w:val="double" w:sz="6" w:space="0" w:color="auto"/>
      </w:pBdr>
      <w:spacing w:after="0"/>
      <w:ind w:left="1680"/>
    </w:pPr>
    <w:rPr>
      <w:rFonts w:asciiTheme="minorHAnsi" w:hAnsiTheme="minorHAnsi"/>
      <w:sz w:val="20"/>
      <w:szCs w:val="20"/>
    </w:rPr>
  </w:style>
  <w:style w:type="character" w:customStyle="1" w:styleId="Heading1Char">
    <w:name w:val="Heading 1 Char"/>
    <w:basedOn w:val="DefaultParagraphFont"/>
    <w:link w:val="Heading1"/>
    <w:uiPriority w:val="9"/>
    <w:rsid w:val="005A2068"/>
    <w:rPr>
      <w:rFonts w:ascii="Gotham Medium" w:eastAsiaTheme="majorEastAsia" w:hAnsi="Gotham Medium" w:cs="Arial"/>
      <w:bCs/>
      <w:iCs/>
      <w:color w:val="0A2F87"/>
      <w:sz w:val="36"/>
      <w:szCs w:val="36"/>
    </w:rPr>
  </w:style>
  <w:style w:type="paragraph" w:styleId="TOCHeading">
    <w:name w:val="TOC Heading"/>
    <w:basedOn w:val="Heading1"/>
    <w:next w:val="Normal"/>
    <w:uiPriority w:val="39"/>
    <w:unhideWhenUsed/>
    <w:qFormat/>
    <w:rsid w:val="005A2068"/>
    <w:pPr>
      <w:outlineLvl w:val="9"/>
    </w:pPr>
  </w:style>
  <w:style w:type="character" w:styleId="Hyperlink">
    <w:name w:val="Hyperlink"/>
    <w:basedOn w:val="DefaultParagraphFont"/>
    <w:uiPriority w:val="99"/>
    <w:unhideWhenUsed/>
    <w:rsid w:val="00A55985"/>
    <w:rPr>
      <w:color w:val="002F87" w:themeColor="hyperlink"/>
      <w:u w:val="single"/>
    </w:rPr>
  </w:style>
  <w:style w:type="paragraph" w:styleId="TableofFigures">
    <w:name w:val="table of figures"/>
    <w:basedOn w:val="Normal"/>
    <w:next w:val="Normal"/>
    <w:uiPriority w:val="99"/>
    <w:unhideWhenUsed/>
    <w:rsid w:val="00A55985"/>
    <w:rPr>
      <w:rFonts w:ascii="Times New Roman" w:eastAsiaTheme="minorHAnsi" w:hAnsi="Times New Roman" w:cs="Times New Roman"/>
    </w:rPr>
  </w:style>
  <w:style w:type="character" w:styleId="PageNumber">
    <w:name w:val="page number"/>
    <w:basedOn w:val="DefaultParagraphFont"/>
    <w:uiPriority w:val="99"/>
    <w:semiHidden/>
    <w:unhideWhenUsed/>
    <w:rsid w:val="00A55985"/>
  </w:style>
  <w:style w:type="character" w:customStyle="1" w:styleId="Heading2Char">
    <w:name w:val="Heading 2 Char"/>
    <w:basedOn w:val="DefaultParagraphFont"/>
    <w:link w:val="Heading2"/>
    <w:uiPriority w:val="9"/>
    <w:rsid w:val="005A2068"/>
    <w:rPr>
      <w:rFonts w:ascii="Gotham Medium" w:eastAsiaTheme="majorEastAsia" w:hAnsi="Gotham Medium" w:cs="Arial"/>
      <w:bCs/>
      <w:color w:val="0A2F87"/>
      <w:sz w:val="28"/>
      <w:szCs w:val="28"/>
    </w:rPr>
  </w:style>
  <w:style w:type="character" w:customStyle="1" w:styleId="Heading3Char">
    <w:name w:val="Heading 3 Char"/>
    <w:basedOn w:val="DefaultParagraphFont"/>
    <w:link w:val="Heading3"/>
    <w:uiPriority w:val="9"/>
    <w:rsid w:val="005A2068"/>
    <w:rPr>
      <w:rFonts w:ascii="Gotham Medium" w:hAnsi="Gotham Medium" w:cs="Arial"/>
      <w:color w:val="7F7F7F" w:themeColor="text1" w:themeTint="80"/>
    </w:rPr>
  </w:style>
  <w:style w:type="character" w:customStyle="1" w:styleId="Heading4Char">
    <w:name w:val="Heading 4 Char"/>
    <w:basedOn w:val="DefaultParagraphFont"/>
    <w:link w:val="Heading4"/>
    <w:uiPriority w:val="9"/>
    <w:rsid w:val="005A2068"/>
    <w:rPr>
      <w:rFonts w:ascii="Gotham Bold" w:eastAsiaTheme="majorEastAsia" w:hAnsi="Gotham Bold" w:cs="Arial"/>
      <w:bCs/>
      <w:iCs/>
      <w:color w:val="0A2F87"/>
      <w:sz w:val="72"/>
      <w:szCs w:val="72"/>
    </w:rPr>
  </w:style>
  <w:style w:type="paragraph" w:styleId="Quote">
    <w:name w:val="Quote"/>
    <w:basedOn w:val="Normal"/>
    <w:next w:val="Normal"/>
    <w:link w:val="QuoteChar"/>
    <w:uiPriority w:val="29"/>
    <w:qFormat/>
    <w:rsid w:val="004B49EA"/>
    <w:rPr>
      <w:i/>
      <w:iCs/>
      <w:color w:val="000000" w:themeColor="text1"/>
    </w:rPr>
  </w:style>
  <w:style w:type="character" w:customStyle="1" w:styleId="QuoteChar">
    <w:name w:val="Quote Char"/>
    <w:basedOn w:val="DefaultParagraphFont"/>
    <w:link w:val="Quote"/>
    <w:uiPriority w:val="29"/>
    <w:rsid w:val="004B49EA"/>
    <w:rPr>
      <w:rFonts w:ascii="Arial" w:hAnsi="Arial" w:cs="Arial"/>
      <w:i/>
      <w:iCs/>
      <w:color w:val="000000" w:themeColor="text1"/>
    </w:rPr>
  </w:style>
  <w:style w:type="paragraph" w:styleId="NoSpacing">
    <w:name w:val="No Spacing"/>
    <w:autoRedefine/>
    <w:uiPriority w:val="1"/>
    <w:qFormat/>
    <w:rsid w:val="0058425F"/>
    <w:pPr>
      <w:ind w:left="-360"/>
    </w:pPr>
    <w:rPr>
      <w:rFonts w:ascii="Gotham Book" w:hAnsi="Gotham Book" w:cs="Arial"/>
      <w:color w:val="7F7F7F" w:themeColor="text1" w:themeTint="80"/>
    </w:rPr>
  </w:style>
  <w:style w:type="paragraph" w:styleId="ListParagraph">
    <w:name w:val="List Paragraph"/>
    <w:basedOn w:val="Normal"/>
    <w:uiPriority w:val="34"/>
    <w:qFormat/>
    <w:rsid w:val="00B24898"/>
    <w:pPr>
      <w:ind w:left="720"/>
      <w:contextualSpacing/>
    </w:pPr>
  </w:style>
  <w:style w:type="character" w:styleId="FollowedHyperlink">
    <w:name w:val="FollowedHyperlink"/>
    <w:basedOn w:val="DefaultParagraphFont"/>
    <w:uiPriority w:val="99"/>
    <w:semiHidden/>
    <w:unhideWhenUsed/>
    <w:rsid w:val="00E50188"/>
    <w:rPr>
      <w:color w:val="FF9E15" w:themeColor="followedHyperlink"/>
      <w:u w:val="single"/>
    </w:rPr>
  </w:style>
  <w:style w:type="character" w:styleId="CommentReference">
    <w:name w:val="annotation reference"/>
    <w:basedOn w:val="DefaultParagraphFont"/>
    <w:uiPriority w:val="99"/>
    <w:semiHidden/>
    <w:unhideWhenUsed/>
    <w:rsid w:val="003127F7"/>
    <w:rPr>
      <w:sz w:val="16"/>
      <w:szCs w:val="16"/>
    </w:rPr>
  </w:style>
  <w:style w:type="paragraph" w:styleId="CommentText">
    <w:name w:val="annotation text"/>
    <w:basedOn w:val="Normal"/>
    <w:link w:val="CommentTextChar"/>
    <w:uiPriority w:val="99"/>
    <w:unhideWhenUsed/>
    <w:rsid w:val="003127F7"/>
    <w:pPr>
      <w:spacing w:line="240" w:lineRule="auto"/>
    </w:pPr>
    <w:rPr>
      <w:sz w:val="20"/>
      <w:szCs w:val="20"/>
    </w:rPr>
  </w:style>
  <w:style w:type="character" w:customStyle="1" w:styleId="CommentTextChar">
    <w:name w:val="Comment Text Char"/>
    <w:basedOn w:val="DefaultParagraphFont"/>
    <w:link w:val="CommentText"/>
    <w:uiPriority w:val="99"/>
    <w:rsid w:val="003127F7"/>
    <w:rPr>
      <w:rFonts w:ascii="Gotham Book" w:hAnsi="Gotham Book" w:cs="Arial"/>
      <w:color w:val="595959" w:themeColor="text1" w:themeTint="A6"/>
      <w:sz w:val="20"/>
      <w:szCs w:val="20"/>
    </w:rPr>
  </w:style>
  <w:style w:type="character" w:styleId="UnresolvedMention">
    <w:name w:val="Unresolved Mention"/>
    <w:basedOn w:val="DefaultParagraphFont"/>
    <w:uiPriority w:val="99"/>
    <w:rsid w:val="003127F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C64A1"/>
    <w:rPr>
      <w:b/>
      <w:bCs/>
    </w:rPr>
  </w:style>
  <w:style w:type="character" w:customStyle="1" w:styleId="CommentSubjectChar">
    <w:name w:val="Comment Subject Char"/>
    <w:basedOn w:val="CommentTextChar"/>
    <w:link w:val="CommentSubject"/>
    <w:uiPriority w:val="99"/>
    <w:semiHidden/>
    <w:rsid w:val="008C64A1"/>
    <w:rPr>
      <w:rFonts w:ascii="Gotham Book" w:hAnsi="Gotham Book" w:cs="Arial"/>
      <w:b/>
      <w:bCs/>
      <w:color w:val="595959" w:themeColor="text1" w:themeTint="A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314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5281/zenodo.4088985"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lemental">
  <a:themeElements>
    <a:clrScheme name="CARL Colours">
      <a:dk1>
        <a:sysClr val="windowText" lastClr="000000"/>
      </a:dk1>
      <a:lt1>
        <a:sysClr val="window" lastClr="FFFFFF"/>
      </a:lt1>
      <a:dk2>
        <a:srgbClr val="002F87"/>
      </a:dk2>
      <a:lt2>
        <a:srgbClr val="EEECE1"/>
      </a:lt2>
      <a:accent1>
        <a:srgbClr val="4F81BD"/>
      </a:accent1>
      <a:accent2>
        <a:srgbClr val="C0504D"/>
      </a:accent2>
      <a:accent3>
        <a:srgbClr val="9BBB59"/>
      </a:accent3>
      <a:accent4>
        <a:srgbClr val="8064A2"/>
      </a:accent4>
      <a:accent5>
        <a:srgbClr val="002F87"/>
      </a:accent5>
      <a:accent6>
        <a:srgbClr val="FF9E15"/>
      </a:accent6>
      <a:hlink>
        <a:srgbClr val="002F87"/>
      </a:hlink>
      <a:folHlink>
        <a:srgbClr val="FF9E15"/>
      </a:folHlink>
    </a:clrScheme>
    <a:fontScheme name="Elemental">
      <a:maj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lemental">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glow" dir="tl">
              <a:rot lat="0" lon="0" rev="19800000"/>
            </a:lightRig>
          </a:scene3d>
          <a:sp3d prstMaterial="metal">
            <a:bevelT w="38100" h="3810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50800" h="50800"/>
          </a:sp3d>
        </a:effectStyle>
      </a:effectStyleLst>
      <a:bgFillStyleLst>
        <a:solidFill>
          <a:schemeClr val="phClr"/>
        </a:solidFill>
        <a:gradFill rotWithShape="1">
          <a:gsLst>
            <a:gs pos="0">
              <a:schemeClr val="phClr">
                <a:tint val="95000"/>
              </a:schemeClr>
            </a:gs>
            <a:gs pos="100000">
              <a:schemeClr val="phClr">
                <a:shade val="40000"/>
                <a:satMod val="180000"/>
              </a:schemeClr>
            </a:gs>
          </a:gsLst>
          <a:lin ang="5400000" scaled="0"/>
        </a:gradFill>
        <a:blipFill>
          <a:blip xmlns:r="http://schemas.openxmlformats.org/officeDocument/2006/relationships" r:embed="rId1">
            <a:duotone>
              <a:schemeClr val="phClr">
                <a:shade val="14000"/>
                <a:satMod val="280000"/>
              </a:schemeClr>
              <a:schemeClr val="phClr">
                <a:tint val="60000"/>
                <a:satMod val="12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9B765-4E8E-4248-AA8F-15F754EA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1967</Words>
  <Characters>11215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Cicada Creative</Company>
  <LinksUpToDate>false</LinksUpToDate>
  <CharactersWithSpaces>13156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Sensitive Data Expert Group</dc:creator>
  <cp:lastModifiedBy>Jennifer Abel</cp:lastModifiedBy>
  <cp:revision>5</cp:revision>
  <cp:lastPrinted>2018-05-10T14:44:00Z</cp:lastPrinted>
  <dcterms:created xsi:type="dcterms:W3CDTF">2020-10-15T23:51:00Z</dcterms:created>
  <dcterms:modified xsi:type="dcterms:W3CDTF">2020-10-16T00:24:00Z</dcterms:modified>
</cp:coreProperties>
</file>