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1B733" w14:textId="39FC5EB1" w:rsidR="001A76B3" w:rsidRDefault="002F2960" w:rsidP="00C413E5">
      <w:r w:rsidRPr="00C413E5">
        <w:rPr>
          <w:b/>
        </w:rPr>
        <w:t>The Effects of Aquatic Invasive Species on Recreational Fishing Participation and Value in the Great Lakes: Possible Future Scenarios</w:t>
      </w:r>
    </w:p>
    <w:p w14:paraId="2D5F0ED3" w14:textId="4945713D" w:rsidR="00C413E5" w:rsidRPr="00D57862" w:rsidRDefault="00C413E5" w:rsidP="00C413E5">
      <w:pPr>
        <w:spacing w:line="240" w:lineRule="auto"/>
        <w:rPr>
          <w:vertAlign w:val="superscript"/>
        </w:rPr>
      </w:pPr>
      <w:r>
        <w:t>T. Bruce Lauber</w:t>
      </w:r>
      <w:r w:rsidR="00D57862">
        <w:t>*</w:t>
      </w:r>
      <w:r w:rsidR="00D57862">
        <w:rPr>
          <w:vertAlign w:val="superscript"/>
        </w:rPr>
        <w:t>a</w:t>
      </w:r>
      <w:r>
        <w:t>,</w:t>
      </w:r>
      <w:r w:rsidRPr="00C413E5">
        <w:t xml:space="preserve"> </w:t>
      </w:r>
      <w:r>
        <w:t>Richard C. Stedman</w:t>
      </w:r>
      <w:r w:rsidR="00D57862">
        <w:rPr>
          <w:vertAlign w:val="superscript"/>
        </w:rPr>
        <w:t>a</w:t>
      </w:r>
      <w:r>
        <w:t>, Nancy A. Connelly</w:t>
      </w:r>
      <w:r w:rsidR="00D57862">
        <w:rPr>
          <w:vertAlign w:val="superscript"/>
        </w:rPr>
        <w:t>a</w:t>
      </w:r>
      <w:r>
        <w:t xml:space="preserve">, </w:t>
      </w:r>
      <w:r w:rsidR="00B75EE6">
        <w:t>Richard C. Ready</w:t>
      </w:r>
      <w:r w:rsidR="00B75EE6" w:rsidRPr="00272B89">
        <w:rPr>
          <w:vertAlign w:val="superscript"/>
        </w:rPr>
        <w:t>b</w:t>
      </w:r>
      <w:r w:rsidR="00B75EE6">
        <w:t xml:space="preserve">, </w:t>
      </w:r>
      <w:r>
        <w:t>Lars G.</w:t>
      </w:r>
      <w:r w:rsidR="00D57862">
        <w:t xml:space="preserve"> </w:t>
      </w:r>
      <w:r>
        <w:t>Rudstam</w:t>
      </w:r>
      <w:r w:rsidR="00B75EE6" w:rsidRPr="00B75EE6">
        <w:rPr>
          <w:vertAlign w:val="superscript"/>
        </w:rPr>
        <w:t>c</w:t>
      </w:r>
      <w:r w:rsidR="00D57862">
        <w:t>, and Gregory L. Poe</w:t>
      </w:r>
      <w:r w:rsidR="00D57862">
        <w:rPr>
          <w:vertAlign w:val="superscript"/>
        </w:rPr>
        <w:t>d</w:t>
      </w:r>
    </w:p>
    <w:p w14:paraId="32C875FE" w14:textId="24C75ECD" w:rsidR="00C413E5" w:rsidRDefault="00D57862" w:rsidP="00C413E5">
      <w:pPr>
        <w:spacing w:line="240" w:lineRule="auto"/>
      </w:pPr>
      <w:r>
        <w:rPr>
          <w:vertAlign w:val="superscript"/>
        </w:rPr>
        <w:t>a</w:t>
      </w:r>
      <w:r>
        <w:t xml:space="preserve">Center for Conservation Social Sciences, </w:t>
      </w:r>
      <w:r w:rsidR="00C413E5" w:rsidRPr="00C413E5">
        <w:t>Department of Natural Resources, Cornell University, Fernow Hall, Ithaca, New York 14583, USA</w:t>
      </w:r>
    </w:p>
    <w:p w14:paraId="6514E6BA" w14:textId="28F89726" w:rsidR="00B75EE6" w:rsidRPr="00C413E5" w:rsidRDefault="00B75EE6" w:rsidP="00B75EE6">
      <w:pPr>
        <w:spacing w:line="240" w:lineRule="auto"/>
      </w:pPr>
      <w:r>
        <w:rPr>
          <w:vertAlign w:val="superscript"/>
        </w:rPr>
        <w:t>b</w:t>
      </w:r>
      <w:r w:rsidRPr="00C413E5">
        <w:t>Department of Agricultural Economics and Economics, Montana State University, Linfield Hall,</w:t>
      </w:r>
      <w:r>
        <w:t xml:space="preserve"> </w:t>
      </w:r>
      <w:r w:rsidRPr="00C413E5">
        <w:t>Post Office Box 172920, Bozeman, Montana 59717, USA</w:t>
      </w:r>
    </w:p>
    <w:p w14:paraId="5521C0FA" w14:textId="1A64A3E5" w:rsidR="00D57862" w:rsidRPr="00C413E5" w:rsidRDefault="00B75EE6" w:rsidP="00C413E5">
      <w:pPr>
        <w:spacing w:line="240" w:lineRule="auto"/>
      </w:pPr>
      <w:r>
        <w:rPr>
          <w:vertAlign w:val="superscript"/>
        </w:rPr>
        <w:t>c</w:t>
      </w:r>
      <w:r w:rsidR="00D57862" w:rsidRPr="00C413E5">
        <w:t>Department of Natural Resources, Cornell University, Fernow Hall, Ithaca, New York 14583, USA</w:t>
      </w:r>
    </w:p>
    <w:p w14:paraId="21C99042" w14:textId="28D917E5" w:rsidR="00C413E5" w:rsidRDefault="00D57862" w:rsidP="00C413E5">
      <w:pPr>
        <w:spacing w:line="240" w:lineRule="auto"/>
      </w:pPr>
      <w:r>
        <w:rPr>
          <w:vertAlign w:val="superscript"/>
        </w:rPr>
        <w:t>d</w:t>
      </w:r>
      <w:r w:rsidR="00C413E5" w:rsidRPr="00C413E5">
        <w:t>Dyson School of Applied Economics and Management, Cornell University, Warren Hall, Ithaca,</w:t>
      </w:r>
      <w:r>
        <w:t xml:space="preserve"> </w:t>
      </w:r>
      <w:r w:rsidR="00C413E5" w:rsidRPr="00C413E5">
        <w:t>New York 14583, USA</w:t>
      </w:r>
    </w:p>
    <w:p w14:paraId="3FEE14F0" w14:textId="622F1EE1" w:rsidR="00C413E5" w:rsidRDefault="00C413E5">
      <w:r>
        <w:br w:type="page"/>
      </w:r>
    </w:p>
    <w:p w14:paraId="44C098EC" w14:textId="77777777" w:rsidR="00C413E5" w:rsidRPr="00C413E5" w:rsidRDefault="00C413E5" w:rsidP="00C413E5"/>
    <w:p w14:paraId="7AF7B527" w14:textId="7EC9B086" w:rsidR="001A2003" w:rsidRPr="00614549" w:rsidRDefault="001A2003" w:rsidP="00614549">
      <w:pPr>
        <w:pStyle w:val="Heading1"/>
      </w:pPr>
      <w:r w:rsidRPr="00614549">
        <w:t>Abstract</w:t>
      </w:r>
    </w:p>
    <w:p w14:paraId="1A85EFE8" w14:textId="2D2D866F" w:rsidR="008B2F4E" w:rsidRDefault="008B2F4E" w:rsidP="008B2F4E">
      <w:r>
        <w:t xml:space="preserve">The impacts of aquatic invasive species (AIS) on the recreational fishery in the Laurentian Great Lakes </w:t>
      </w:r>
      <w:r w:rsidR="00614549">
        <w:t>are</w:t>
      </w:r>
      <w:r>
        <w:t xml:space="preserve"> of concern to managers and policy makers. Some AIS have the potential to depress sportfish population</w:t>
      </w:r>
      <w:r w:rsidR="00A75730">
        <w:t>s</w:t>
      </w:r>
      <w:r>
        <w:t>, reduc</w:t>
      </w:r>
      <w:r w:rsidR="00A75730">
        <w:t>ing</w:t>
      </w:r>
      <w:r>
        <w:t xml:space="preserve"> recreational fishing opportunities and damag</w:t>
      </w:r>
      <w:r w:rsidR="00A75730">
        <w:t>ing</w:t>
      </w:r>
      <w:r>
        <w:t xml:space="preserve"> local </w:t>
      </w:r>
      <w:r w:rsidR="00723C4E">
        <w:t>economies</w:t>
      </w:r>
      <w:r>
        <w:t xml:space="preserve">. </w:t>
      </w:r>
      <w:r w:rsidR="00F53068">
        <w:t>A</w:t>
      </w:r>
      <w:r>
        <w:t xml:space="preserve">lternatives that could reduce the threat </w:t>
      </w:r>
      <w:r w:rsidR="00614549">
        <w:t xml:space="preserve">of </w:t>
      </w:r>
      <w:r>
        <w:t xml:space="preserve">AIS could be costly. Assessments of how AIS could affect recreational fishing participation and the economic value </w:t>
      </w:r>
      <w:r w:rsidR="00F53068">
        <w:t xml:space="preserve">derived from it </w:t>
      </w:r>
      <w:r>
        <w:t>would contribute to the evaluation of these alternatives. We assessed best</w:t>
      </w:r>
      <w:r w:rsidR="00ED2BA4">
        <w:t>-</w:t>
      </w:r>
      <w:r>
        <w:t xml:space="preserve">case and </w:t>
      </w:r>
      <w:r w:rsidR="00343F0D">
        <w:t>worst-case</w:t>
      </w:r>
      <w:r>
        <w:t xml:space="preserve"> scenarios for how a range of AIS could affect recreational fishing participation and </w:t>
      </w:r>
      <w:r w:rsidR="00F53068">
        <w:t xml:space="preserve">economic </w:t>
      </w:r>
      <w:r>
        <w:t xml:space="preserve">value. We utilized previously developed scenarios for how AIS could affect sportfish populations as input for a recreational fishing model developed by Ready et al. </w:t>
      </w:r>
      <w:r w:rsidR="00350ACC" w:rsidRPr="00350ACC">
        <w:rPr>
          <w:rFonts w:ascii="Calibri" w:hAnsi="Calibri" w:cs="Calibri"/>
        </w:rPr>
        <w:t>(2018)</w:t>
      </w:r>
      <w:r w:rsidR="00A75730">
        <w:t>. The</w:t>
      </w:r>
      <w:r w:rsidR="00F53068">
        <w:t>ir</w:t>
      </w:r>
      <w:r w:rsidR="00A75730">
        <w:t xml:space="preserve"> model </w:t>
      </w:r>
      <w:r>
        <w:t>estimate</w:t>
      </w:r>
      <w:r w:rsidR="00F53068">
        <w:t>d</w:t>
      </w:r>
      <w:r>
        <w:t xml:space="preserve"> changes in fishing participation and economic value </w:t>
      </w:r>
      <w:r w:rsidR="00791612">
        <w:t xml:space="preserve">from </w:t>
      </w:r>
      <w:r w:rsidR="00A75730">
        <w:t xml:space="preserve">such </w:t>
      </w:r>
      <w:r>
        <w:t xml:space="preserve">scenarios. </w:t>
      </w:r>
      <w:r w:rsidR="00614549">
        <w:t xml:space="preserve">Given </w:t>
      </w:r>
      <w:r w:rsidR="00632013">
        <w:t xml:space="preserve">uncertainty in </w:t>
      </w:r>
      <w:r w:rsidR="00ED2BA4">
        <w:t>how AIS could affect sportfish</w:t>
      </w:r>
      <w:r w:rsidR="00632013">
        <w:t xml:space="preserve">, </w:t>
      </w:r>
      <w:r w:rsidR="00ED2BA4">
        <w:t xml:space="preserve">projected </w:t>
      </w:r>
      <w:r w:rsidR="00632013">
        <w:t>effect</w:t>
      </w:r>
      <w:r w:rsidR="00ED2BA4">
        <w:t>s</w:t>
      </w:r>
      <w:r w:rsidR="00632013">
        <w:t xml:space="preserve"> of AIS on economic value varied widely, </w:t>
      </w:r>
      <w:r w:rsidR="005B6B45">
        <w:t>with some scenarios likely to have minimal effects and others leading to losses of over $100 million</w:t>
      </w:r>
      <w:r w:rsidR="007C08E2">
        <w:t xml:space="preserve"> annually</w:t>
      </w:r>
      <w:r w:rsidR="005B6B45">
        <w:t xml:space="preserve">. </w:t>
      </w:r>
      <w:r w:rsidR="003825BA">
        <w:t>N</w:t>
      </w:r>
      <w:r w:rsidR="00BC0D06">
        <w:t xml:space="preserve">one of </w:t>
      </w:r>
      <w:r w:rsidR="003825BA">
        <w:t xml:space="preserve">the scenarios </w:t>
      </w:r>
      <w:r w:rsidR="00BC0D06">
        <w:t>would lead to a large percentage decrease in recreational fishing in the eight Great Lake states</w:t>
      </w:r>
      <w:r w:rsidR="003825BA">
        <w:t>, largely because anglers have numerous inland fishing opportunities</w:t>
      </w:r>
      <w:r w:rsidR="00BC0D06">
        <w:t xml:space="preserve">. </w:t>
      </w:r>
      <w:r w:rsidR="004246AB">
        <w:t xml:space="preserve">Nevertheless, lakeshore communities dependent on Great Lakes fishing could still suffer considerable </w:t>
      </w:r>
      <w:r w:rsidR="007C08E2">
        <w:t>economic loss</w:t>
      </w:r>
      <w:r w:rsidR="004246AB">
        <w:t>.</w:t>
      </w:r>
      <w:r w:rsidR="00BC0D06">
        <w:t xml:space="preserve"> </w:t>
      </w:r>
      <w:r w:rsidR="00BD1944">
        <w:t>C</w:t>
      </w:r>
      <w:r w:rsidR="005B6B45">
        <w:t xml:space="preserve">ollectively the </w:t>
      </w:r>
      <w:r w:rsidR="00343F0D">
        <w:t xml:space="preserve">economic valuation of the </w:t>
      </w:r>
      <w:r w:rsidR="005B6B45">
        <w:t>range of scenarios narrows down the possible impacts on fishing and the economy that decision makers need to consider.</w:t>
      </w:r>
      <w:r w:rsidR="00343F0D">
        <w:t xml:space="preserve">  </w:t>
      </w:r>
    </w:p>
    <w:p w14:paraId="0C31D003" w14:textId="71FE0C5D" w:rsidR="0048466A" w:rsidRDefault="0048466A" w:rsidP="008B2F4E">
      <w:r>
        <w:rPr>
          <w:b/>
        </w:rPr>
        <w:t xml:space="preserve">Keywords: </w:t>
      </w:r>
      <w:r>
        <w:t>invasive species, recreational fishing, economic value.</w:t>
      </w:r>
    </w:p>
    <w:p w14:paraId="3A2D4D0A" w14:textId="264FF6DC" w:rsidR="00A90041" w:rsidRDefault="00A90041">
      <w:r>
        <w:br w:type="page"/>
      </w:r>
    </w:p>
    <w:p w14:paraId="0D4DD4BB" w14:textId="3D6586F8" w:rsidR="00245D9C" w:rsidRDefault="00245D9C" w:rsidP="00614549">
      <w:pPr>
        <w:pStyle w:val="Heading1"/>
      </w:pPr>
      <w:r>
        <w:lastRenderedPageBreak/>
        <w:t>Introduction</w:t>
      </w:r>
    </w:p>
    <w:p w14:paraId="1615181E" w14:textId="41C80F15" w:rsidR="00900351" w:rsidRPr="00B50ECE" w:rsidRDefault="00900351" w:rsidP="00900351">
      <w:r>
        <w:t>Together, the</w:t>
      </w:r>
      <w:r w:rsidRPr="007E63B4">
        <w:t xml:space="preserve"> </w:t>
      </w:r>
      <w:r>
        <w:t xml:space="preserve">Laurentian </w:t>
      </w:r>
      <w:r w:rsidRPr="007E63B4">
        <w:t>Great Lakes</w:t>
      </w:r>
      <w:r>
        <w:t xml:space="preserve"> represent the </w:t>
      </w:r>
      <w:r w:rsidRPr="007E63B4">
        <w:t>largest freshwater system in the world</w:t>
      </w:r>
      <w:r>
        <w:t xml:space="preserve"> and</w:t>
      </w:r>
      <w:r w:rsidRPr="007E63B4">
        <w:t xml:space="preserve"> provide a range of benefits to people including water supply, recreational and commercial fisheries, transportation, and recreation</w:t>
      </w:r>
      <w:r w:rsidR="00E8550D">
        <w:t>. Aquatic invasive species (AIS) put these benefits at risk and are considered</w:t>
      </w:r>
      <w:r w:rsidR="00E8550D" w:rsidRPr="00B50ECE">
        <w:t xml:space="preserve"> major</w:t>
      </w:r>
      <w:r w:rsidR="00E8550D" w:rsidRPr="007E63B4">
        <w:t xml:space="preserve"> threat</w:t>
      </w:r>
      <w:r w:rsidR="00B05E17">
        <w:t>s</w:t>
      </w:r>
      <w:r w:rsidR="00E8550D" w:rsidRPr="007E63B4">
        <w:t xml:space="preserve"> </w:t>
      </w:r>
      <w:r w:rsidR="00E8550D">
        <w:t xml:space="preserve">to </w:t>
      </w:r>
      <w:r w:rsidR="00E8550D" w:rsidRPr="007E63B4">
        <w:t xml:space="preserve">the Laurentian Great Lakes </w:t>
      </w:r>
      <w:r w:rsidR="00E8550D" w:rsidRPr="00350ACC">
        <w:rPr>
          <w:rFonts w:ascii="Calibri" w:hAnsi="Calibri" w:cs="Calibri"/>
        </w:rPr>
        <w:t>(Mills et al., 1993; White House Council on Environmental Quality et al., 2010)</w:t>
      </w:r>
      <w:r w:rsidR="00E8550D" w:rsidRPr="007E63B4">
        <w:t>.</w:t>
      </w:r>
    </w:p>
    <w:p w14:paraId="17C97926" w14:textId="199F3E08" w:rsidR="003C23C5" w:rsidRDefault="00B23261" w:rsidP="007E63B4">
      <w:r w:rsidRPr="00B50ECE">
        <w:t>The potential impacts of invasive species on the Great Lakes recreational fishery ha</w:t>
      </w:r>
      <w:r w:rsidR="008F7537">
        <w:t>ve</w:t>
      </w:r>
      <w:r w:rsidRPr="00B50ECE">
        <w:t xml:space="preserve"> been </w:t>
      </w:r>
      <w:r w:rsidR="008F7537">
        <w:t xml:space="preserve">of </w:t>
      </w:r>
      <w:r w:rsidRPr="00B50ECE">
        <w:t xml:space="preserve">concern to managers and policy makers. Some invasive species have the potential to depress </w:t>
      </w:r>
      <w:r w:rsidR="0044435E">
        <w:t>sportfish</w:t>
      </w:r>
      <w:r w:rsidRPr="00B50ECE">
        <w:t xml:space="preserve"> populations, reducing recreational</w:t>
      </w:r>
      <w:r>
        <w:t xml:space="preserve"> fishing opportunities. Because recreational fishing makes an important contribution to the economy of the Great Lakes region, many stakeholders have </w:t>
      </w:r>
      <w:r w:rsidR="00EF3C3A">
        <w:t>concerns about how changes to the fishery could affect the regional economy.</w:t>
      </w:r>
    </w:p>
    <w:p w14:paraId="27395749" w14:textId="09A547C9" w:rsidR="00EF3C3A" w:rsidRDefault="00EF3C3A" w:rsidP="007E63B4">
      <w:r w:rsidRPr="00B50ECE">
        <w:t>Policies to address this concern continue to be debated. For years, people have advocated a</w:t>
      </w:r>
      <w:r>
        <w:t xml:space="preserve"> variety of approaches to reduce or prevent the movement of invasive species into the Great Lakes. These measures, ranging from requirements for lake-going ships to treat their ballast water to hydrological separation of the Great Lakes and Mississippi River basins, could be costly. Some </w:t>
      </w:r>
      <w:r w:rsidR="00B07DFE">
        <w:t xml:space="preserve">approaches to </w:t>
      </w:r>
      <w:r>
        <w:t xml:space="preserve">separating the Great Lakes and Mississippi River basins </w:t>
      </w:r>
      <w:r w:rsidR="003F64E9">
        <w:t>discussed in recent years were estimated to</w:t>
      </w:r>
      <w:r>
        <w:t xml:space="preserve"> cost up to $14 billion</w:t>
      </w:r>
      <w:r w:rsidR="007E63B4">
        <w:t xml:space="preserve"> </w:t>
      </w:r>
      <w:r w:rsidR="00350ACC" w:rsidRPr="00350ACC">
        <w:rPr>
          <w:rFonts w:ascii="Calibri" w:hAnsi="Calibri" w:cs="Calibri"/>
        </w:rPr>
        <w:t>(U.S. Army Corps of Engineers, 2014)</w:t>
      </w:r>
      <w:r>
        <w:t xml:space="preserve">. </w:t>
      </w:r>
    </w:p>
    <w:p w14:paraId="5DD65300" w14:textId="3EE181FD" w:rsidR="00EF3C3A" w:rsidRPr="000E728A" w:rsidRDefault="00B50ECE" w:rsidP="007E63B4">
      <w:r w:rsidRPr="00B50ECE">
        <w:t>A</w:t>
      </w:r>
      <w:r w:rsidR="00EF3C3A" w:rsidRPr="00B50ECE">
        <w:t>ssessments of how invasive species could affect the economic value of the Great Lakes recreational fishery</w:t>
      </w:r>
      <w:r w:rsidRPr="00B50ECE">
        <w:t xml:space="preserve"> could</w:t>
      </w:r>
      <w:r w:rsidR="008B5B37">
        <w:t xml:space="preserve"> help policy makers </w:t>
      </w:r>
      <w:r w:rsidRPr="00B50ECE">
        <w:t>evaluat</w:t>
      </w:r>
      <w:r w:rsidR="008B5B37">
        <w:t>e</w:t>
      </w:r>
      <w:r w:rsidRPr="00B50ECE">
        <w:t xml:space="preserve"> these alternatives</w:t>
      </w:r>
      <w:r w:rsidR="00EF3C3A" w:rsidRPr="00B50ECE">
        <w:t>. Such assessments</w:t>
      </w:r>
      <w:r w:rsidR="00EF3C3A">
        <w:t xml:space="preserve"> require both ecological and social components</w:t>
      </w:r>
      <w:r w:rsidR="00BC3C0C">
        <w:t>; e</w:t>
      </w:r>
      <w:r w:rsidR="00EF3C3A">
        <w:t xml:space="preserve">stimates of the </w:t>
      </w:r>
      <w:r w:rsidR="008B5B37">
        <w:t xml:space="preserve">potential </w:t>
      </w:r>
      <w:r w:rsidR="00EF3C3A">
        <w:t xml:space="preserve">effects of AIS on sportfish populations need to be paired with </w:t>
      </w:r>
      <w:r w:rsidR="008B5B37">
        <w:t xml:space="preserve">assessments </w:t>
      </w:r>
      <w:r w:rsidR="00EF3C3A">
        <w:t xml:space="preserve">of how changes in fish populations </w:t>
      </w:r>
      <w:r w:rsidR="008B5B37">
        <w:t xml:space="preserve">may </w:t>
      </w:r>
      <w:r w:rsidR="00EF3C3A">
        <w:t xml:space="preserve">affect fishing </w:t>
      </w:r>
      <w:r w:rsidR="00EF3C3A" w:rsidRPr="000E728A">
        <w:t>participation and the economic value of fishing.</w:t>
      </w:r>
    </w:p>
    <w:p w14:paraId="023B0BC8" w14:textId="361887F1" w:rsidR="00F72461" w:rsidRDefault="00EF3C3A" w:rsidP="007E63B4">
      <w:r w:rsidRPr="000E728A">
        <w:t xml:space="preserve">The literature includes numerous examples of studies to assess the ecological impacts of invasive species. </w:t>
      </w:r>
      <w:r w:rsidR="00F72461" w:rsidRPr="000E728A">
        <w:t xml:space="preserve">Authors approach this task in a variety of ways. </w:t>
      </w:r>
      <w:r w:rsidR="0086068D">
        <w:t xml:space="preserve">Some have utilized </w:t>
      </w:r>
      <w:r w:rsidR="00F72461" w:rsidRPr="000E728A">
        <w:t xml:space="preserve">findings from other invasions in other contexts </w:t>
      </w:r>
      <w:r w:rsidR="00350ACC" w:rsidRPr="000E728A">
        <w:rPr>
          <w:rFonts w:ascii="Calibri" w:hAnsi="Calibri" w:cs="Calibri"/>
        </w:rPr>
        <w:t>(Kulhanek et al., 2011; Ricciardi and Rasmussen, 1998)</w:t>
      </w:r>
      <w:r w:rsidR="00AE41BC" w:rsidRPr="000E728A">
        <w:t xml:space="preserve"> </w:t>
      </w:r>
      <w:r w:rsidR="0086068D">
        <w:t xml:space="preserve">or developed </w:t>
      </w:r>
      <w:r w:rsidR="001B0034" w:rsidRPr="000E728A">
        <w:t xml:space="preserve">empirical models </w:t>
      </w:r>
      <w:r w:rsidR="00350ACC" w:rsidRPr="000E728A">
        <w:rPr>
          <w:rFonts w:ascii="Calibri" w:hAnsi="Calibri" w:cs="Calibri"/>
        </w:rPr>
        <w:t>(Rinella and Luschei, 2007)</w:t>
      </w:r>
      <w:r w:rsidR="00F72461" w:rsidRPr="000E728A">
        <w:t xml:space="preserve">. </w:t>
      </w:r>
      <w:r w:rsidR="00E8550D">
        <w:t>Others have approached this task</w:t>
      </w:r>
      <w:r w:rsidR="003D392C" w:rsidRPr="000E728A">
        <w:t xml:space="preserve"> using </w:t>
      </w:r>
      <w:r w:rsidR="00F72461" w:rsidRPr="000E728A">
        <w:t xml:space="preserve">theory-driven assessments and models </w:t>
      </w:r>
      <w:r w:rsidR="003D392C" w:rsidRPr="000E728A">
        <w:t xml:space="preserve">based on understanding </w:t>
      </w:r>
      <w:r w:rsidR="00F72461" w:rsidRPr="000E728A">
        <w:t xml:space="preserve">how invasive species impacts are influenced by community structure </w:t>
      </w:r>
      <w:r w:rsidR="00350ACC" w:rsidRPr="000E728A">
        <w:rPr>
          <w:rFonts w:ascii="Calibri" w:hAnsi="Calibri" w:cs="Calibri"/>
        </w:rPr>
        <w:t>(Parker et al., 1999)</w:t>
      </w:r>
      <w:r w:rsidR="00F72461" w:rsidRPr="000E728A">
        <w:t xml:space="preserve">, population dynamics </w:t>
      </w:r>
      <w:r w:rsidR="00350ACC" w:rsidRPr="000E728A">
        <w:rPr>
          <w:rFonts w:ascii="Calibri" w:hAnsi="Calibri" w:cs="Calibri"/>
        </w:rPr>
        <w:t>(Love and Newhard, 2012)</w:t>
      </w:r>
      <w:r w:rsidR="00F72461" w:rsidRPr="000E728A">
        <w:t xml:space="preserve">, niche overlap </w:t>
      </w:r>
      <w:r w:rsidR="003D392C" w:rsidRPr="000E728A">
        <w:t xml:space="preserve">with </w:t>
      </w:r>
      <w:r w:rsidR="00F72461" w:rsidRPr="000E728A">
        <w:t xml:space="preserve">native species </w:t>
      </w:r>
      <w:r w:rsidR="00350ACC" w:rsidRPr="000E728A">
        <w:rPr>
          <w:rFonts w:ascii="Calibri" w:hAnsi="Calibri" w:cs="Calibri"/>
        </w:rPr>
        <w:t>(Thum and Lennon, 2009)</w:t>
      </w:r>
      <w:r w:rsidR="00F72461" w:rsidRPr="000E728A">
        <w:t xml:space="preserve">, and the comparative functional </w:t>
      </w:r>
      <w:r w:rsidR="007C08E2">
        <w:t>responses</w:t>
      </w:r>
      <w:r w:rsidR="00F72461" w:rsidRPr="000E728A">
        <w:t xml:space="preserve"> of invasive and native species </w:t>
      </w:r>
      <w:r w:rsidR="00350ACC" w:rsidRPr="000E728A">
        <w:rPr>
          <w:rFonts w:ascii="Calibri" w:hAnsi="Calibri" w:cs="Calibri"/>
        </w:rPr>
        <w:t>(Dick et al., 2014; Dodd et al., 2014)</w:t>
      </w:r>
      <w:r w:rsidR="00F72461" w:rsidRPr="000E728A">
        <w:t>.</w:t>
      </w:r>
    </w:p>
    <w:p w14:paraId="2E3FB6E6" w14:textId="089AA815" w:rsidR="00226D93" w:rsidRDefault="00226D93" w:rsidP="007E63B4">
      <w:r>
        <w:t>Regardless of the approach, however, it is difficult to predict the ecological effects of invasive species with a high degree of certainty</w:t>
      </w:r>
      <w:r w:rsidR="00C915F4">
        <w:t xml:space="preserve"> </w:t>
      </w:r>
      <w:r w:rsidR="00350ACC" w:rsidRPr="00350ACC">
        <w:rPr>
          <w:rFonts w:ascii="Calibri" w:hAnsi="Calibri" w:cs="Calibri"/>
        </w:rPr>
        <w:t>(Ricciardi and Rasmussen, 1998)</w:t>
      </w:r>
      <w:r w:rsidR="007C08E2">
        <w:t xml:space="preserve"> as the data need </w:t>
      </w:r>
      <w:r>
        <w:t xml:space="preserve">to predict effects </w:t>
      </w:r>
      <w:r w:rsidR="007C08E2">
        <w:t xml:space="preserve">are often lacking </w:t>
      </w:r>
      <w:r w:rsidR="00350ACC" w:rsidRPr="00350ACC">
        <w:rPr>
          <w:rFonts w:ascii="Calibri" w:hAnsi="Calibri" w:cs="Calibri"/>
        </w:rPr>
        <w:t>(Kulhanek et al., 2011; Leung et al., 2012)</w:t>
      </w:r>
      <w:r w:rsidR="008B5B37">
        <w:rPr>
          <w:rFonts w:ascii="Calibri" w:hAnsi="Calibri" w:cs="Calibri"/>
        </w:rPr>
        <w:t xml:space="preserve">. Further, </w:t>
      </w:r>
      <w:r w:rsidR="008B5B37">
        <w:t xml:space="preserve">it is difficult to </w:t>
      </w:r>
      <w:r>
        <w:t>predict the effects of invasive species in new contexts in which their effects may differ from locations where they are currently present</w:t>
      </w:r>
      <w:r w:rsidR="002126D1">
        <w:t xml:space="preserve"> </w:t>
      </w:r>
      <w:r w:rsidR="00350ACC" w:rsidRPr="00350ACC">
        <w:rPr>
          <w:rFonts w:ascii="Calibri" w:hAnsi="Calibri" w:cs="Calibri"/>
        </w:rPr>
        <w:t>(Kulhanek et al., 2011)</w:t>
      </w:r>
      <w:r>
        <w:t>.</w:t>
      </w:r>
    </w:p>
    <w:p w14:paraId="5D5854B8" w14:textId="00986317" w:rsidR="00986EE5" w:rsidRDefault="008B5B37" w:rsidP="007E63B4">
      <w:r>
        <w:t xml:space="preserve">In response, </w:t>
      </w:r>
      <w:r w:rsidR="00AE41BC">
        <w:t xml:space="preserve">some scientists have utilized </w:t>
      </w:r>
      <w:r w:rsidR="00AE41BC" w:rsidRPr="00F72461">
        <w:t xml:space="preserve">expert opinion </w:t>
      </w:r>
      <w:r w:rsidR="00AE41BC">
        <w:t xml:space="preserve">to assess the possible impacts of invasions </w:t>
      </w:r>
      <w:r w:rsidR="00350ACC" w:rsidRPr="00350ACC">
        <w:rPr>
          <w:rFonts w:ascii="Calibri" w:hAnsi="Calibri" w:cs="Calibri"/>
        </w:rPr>
        <w:t xml:space="preserve">(Hardin and Hill, 2012; Hill and Lawson, 2015; Lauber et al., 2016; Wittmann et al., </w:t>
      </w:r>
      <w:r w:rsidR="00350ACC" w:rsidRPr="00350ACC">
        <w:rPr>
          <w:rFonts w:ascii="Calibri" w:hAnsi="Calibri" w:cs="Calibri"/>
        </w:rPr>
        <w:lastRenderedPageBreak/>
        <w:t>2015, 2014)</w:t>
      </w:r>
      <w:r w:rsidR="00AE41BC">
        <w:t xml:space="preserve">. In </w:t>
      </w:r>
      <w:r w:rsidR="007C08E2">
        <w:t>Lauber et al. (2016), we described our approach of using an expert panel to assess impacts. W</w:t>
      </w:r>
      <w:r w:rsidR="00AE41BC">
        <w:t xml:space="preserve">e tasked </w:t>
      </w:r>
      <w:r w:rsidR="007C08E2">
        <w:t xml:space="preserve">the </w:t>
      </w:r>
      <w:r w:rsidR="00986EE5">
        <w:t xml:space="preserve">panel </w:t>
      </w:r>
      <w:r w:rsidR="00AE41BC">
        <w:t xml:space="preserve">with developing </w:t>
      </w:r>
      <w:r w:rsidR="00986EE5">
        <w:t xml:space="preserve">a range of scenarios for how invasive species </w:t>
      </w:r>
      <w:r w:rsidR="00350ACC">
        <w:t xml:space="preserve">with diverse ecological functions (pelagic and benthic planktivores, piscivore, herbivore, and macrophyte) </w:t>
      </w:r>
      <w:r w:rsidR="00986EE5">
        <w:t>could affect sportfish populations</w:t>
      </w:r>
      <w:r w:rsidR="001D4284">
        <w:t xml:space="preserve"> in the Great Lakes</w:t>
      </w:r>
      <w:r w:rsidR="00986EE5">
        <w:t xml:space="preserve">. </w:t>
      </w:r>
      <w:r w:rsidR="001D4284">
        <w:t xml:space="preserve">Rather than attempting to </w:t>
      </w:r>
      <w:r w:rsidR="00AE41BC">
        <w:t xml:space="preserve">develop a single best estimate of </w:t>
      </w:r>
      <w:r w:rsidR="001D4284">
        <w:t xml:space="preserve">invasive species </w:t>
      </w:r>
      <w:r w:rsidR="00F25807">
        <w:t>e</w:t>
      </w:r>
      <w:r w:rsidR="001D4284">
        <w:t xml:space="preserve">ffects, </w:t>
      </w:r>
      <w:r w:rsidR="00670DA9">
        <w:t xml:space="preserve">we </w:t>
      </w:r>
      <w:r w:rsidR="001D4284">
        <w:t>produce</w:t>
      </w:r>
      <w:r w:rsidR="00670DA9">
        <w:t>d</w:t>
      </w:r>
      <w:r w:rsidR="001D4284">
        <w:t xml:space="preserve"> a range of plausible, internally consistent scenarios that would encompass the </w:t>
      </w:r>
      <w:r w:rsidR="005F6C59">
        <w:t xml:space="preserve">full </w:t>
      </w:r>
      <w:r w:rsidR="001D4284">
        <w:t xml:space="preserve">range of effects that invasive species might </w:t>
      </w:r>
      <w:r w:rsidR="00B07DFE">
        <w:t xml:space="preserve">have on </w:t>
      </w:r>
      <w:r w:rsidR="001D4284">
        <w:t xml:space="preserve">these populations. </w:t>
      </w:r>
      <w:r w:rsidR="00AE41BC">
        <w:t xml:space="preserve">These estimates were intended to </w:t>
      </w:r>
      <w:r w:rsidR="00384993">
        <w:t xml:space="preserve">establish the bounds within which </w:t>
      </w:r>
      <w:r w:rsidR="005F6C59">
        <w:t xml:space="preserve">the effects of </w:t>
      </w:r>
      <w:r w:rsidR="00384993">
        <w:t>invasive species on Great Lakes sportfish populations were likely to fall.</w:t>
      </w:r>
    </w:p>
    <w:p w14:paraId="55646500" w14:textId="3AF18FD0" w:rsidR="007C08E2" w:rsidRDefault="007C08E2" w:rsidP="007C08E2">
      <w:r>
        <w:t xml:space="preserve">Our next step was to develop and apply an economic model (Ready et al. </w:t>
      </w:r>
      <w:r>
        <w:rPr>
          <w:rFonts w:ascii="Calibri" w:hAnsi="Calibri" w:cs="Calibri"/>
        </w:rPr>
        <w:t>[</w:t>
      </w:r>
      <w:r w:rsidRPr="00731C58">
        <w:rPr>
          <w:rFonts w:ascii="Calibri" w:hAnsi="Calibri" w:cs="Calibri"/>
        </w:rPr>
        <w:t>2018</w:t>
      </w:r>
      <w:r>
        <w:rPr>
          <w:rFonts w:ascii="Calibri" w:hAnsi="Calibri" w:cs="Calibri"/>
        </w:rPr>
        <w:t>])</w:t>
      </w:r>
      <w:r>
        <w:t xml:space="preserve"> to assess how the predicted changes in sportfish population in the Great Lakes would affect recreational fishing participation and the net economic value of recreational fishing.</w:t>
      </w:r>
      <w:r w:rsidRPr="00297B42">
        <w:t xml:space="preserve"> </w:t>
      </w:r>
      <w:r>
        <w:t>As Ready et al. (2018, p. 306) explained the concept of net economic value in this context (p. 306):</w:t>
      </w:r>
    </w:p>
    <w:p w14:paraId="4325B5D8" w14:textId="45C321E0" w:rsidR="00731C58" w:rsidRDefault="00FD460D" w:rsidP="00A65461">
      <w:pPr>
        <w:ind w:left="720"/>
      </w:pPr>
      <w:r w:rsidRPr="00FD460D">
        <w:t>When an angler goes on a</w:t>
      </w:r>
      <w:r>
        <w:t xml:space="preserve"> </w:t>
      </w:r>
      <w:r w:rsidRPr="00FD460D">
        <w:t>fishing trip, he or she gets enjoyment out of that experience and</w:t>
      </w:r>
      <w:r>
        <w:t xml:space="preserve"> </w:t>
      </w:r>
      <w:r w:rsidRPr="00FD460D">
        <w:t>places some value on that enjoyment. The angler must pay some</w:t>
      </w:r>
      <w:r>
        <w:t xml:space="preserve"> </w:t>
      </w:r>
      <w:r w:rsidRPr="00FD460D">
        <w:t>expenditures (on gasoline, bait, charter services, etc.) for the trip,</w:t>
      </w:r>
      <w:r>
        <w:t xml:space="preserve"> </w:t>
      </w:r>
      <w:r w:rsidRPr="00FD460D">
        <w:t>but the anticipated value of the trip to the angler exceeds the cost to</w:t>
      </w:r>
      <w:r>
        <w:t xml:space="preserve"> </w:t>
      </w:r>
      <w:r w:rsidRPr="00FD460D">
        <w:t>the angler. This must be true, or the angler would not go on the trip.</w:t>
      </w:r>
      <w:r>
        <w:t xml:space="preserve"> </w:t>
      </w:r>
      <w:r w:rsidRPr="00FD460D">
        <w:t>The difference between the value to the angler of the trip and the</w:t>
      </w:r>
      <w:r>
        <w:t xml:space="preserve"> </w:t>
      </w:r>
      <w:r w:rsidRPr="00FD460D">
        <w:t>cost to the angler is called the angler's consumer surplus from the</w:t>
      </w:r>
      <w:r>
        <w:t xml:space="preserve"> </w:t>
      </w:r>
      <w:r w:rsidRPr="00FD460D">
        <w:t>trip. The net economic value of the recreational fishery is the sum</w:t>
      </w:r>
      <w:r>
        <w:t xml:space="preserve"> </w:t>
      </w:r>
      <w:r w:rsidRPr="00FD460D">
        <w:t>over all trips and over all anglers of these per-trip consumer surplus</w:t>
      </w:r>
      <w:r>
        <w:t xml:space="preserve"> </w:t>
      </w:r>
      <w:r w:rsidRPr="00FD460D">
        <w:t>values</w:t>
      </w:r>
      <w:r w:rsidR="00731C58">
        <w:t>.</w:t>
      </w:r>
      <w:r w:rsidR="00996035">
        <w:t xml:space="preserve"> </w:t>
      </w:r>
    </w:p>
    <w:p w14:paraId="43A2A041" w14:textId="07D327D9" w:rsidR="00FD460D" w:rsidRDefault="00731C58" w:rsidP="00FD460D">
      <w:r w:rsidRPr="00B2240F">
        <w:t xml:space="preserve">Net economic value </w:t>
      </w:r>
      <w:r w:rsidR="00996035" w:rsidRPr="00B2240F">
        <w:t xml:space="preserve">is considered the </w:t>
      </w:r>
      <w:r w:rsidR="005F6C59" w:rsidRPr="00B2240F">
        <w:t xml:space="preserve">most </w:t>
      </w:r>
      <w:r w:rsidR="00996035" w:rsidRPr="00B2240F">
        <w:t xml:space="preserve">appropriate </w:t>
      </w:r>
      <w:r w:rsidR="00CC2AD0" w:rsidRPr="00B2240F">
        <w:t xml:space="preserve">economic </w:t>
      </w:r>
      <w:r w:rsidR="00996035" w:rsidRPr="00B2240F">
        <w:t>measure to use when</w:t>
      </w:r>
      <w:r w:rsidR="00996035">
        <w:t xml:space="preserve"> assessing tradeoffs between policy alternatives (such as whether to take action to reduce the threat of AIS)</w:t>
      </w:r>
      <w:r w:rsidR="00270429">
        <w:t xml:space="preserve"> </w:t>
      </w:r>
      <w:r w:rsidR="00270429" w:rsidRPr="00270429">
        <w:rPr>
          <w:rFonts w:ascii="Calibri" w:hAnsi="Calibri" w:cs="Calibri"/>
        </w:rPr>
        <w:t>(Buck et al., 2010)</w:t>
      </w:r>
      <w:r w:rsidR="00C212B4">
        <w:t xml:space="preserve">; </w:t>
      </w:r>
      <w:r w:rsidR="00327E24">
        <w:t xml:space="preserve">it represents </w:t>
      </w:r>
      <w:r w:rsidR="00C212B4">
        <w:t xml:space="preserve">the value </w:t>
      </w:r>
      <w:r w:rsidR="00327E24">
        <w:t xml:space="preserve">society gains from </w:t>
      </w:r>
      <w:r w:rsidR="00C212B4">
        <w:t xml:space="preserve">a recreational </w:t>
      </w:r>
      <w:r w:rsidR="00327E24">
        <w:t xml:space="preserve">activity </w:t>
      </w:r>
      <w:r w:rsidR="00C212B4">
        <w:t>compared to a situation in which the recreational activity w</w:t>
      </w:r>
      <w:r w:rsidR="005F6C59">
        <w:t xml:space="preserve">as </w:t>
      </w:r>
      <w:r w:rsidR="00C212B4">
        <w:t>unavailable</w:t>
      </w:r>
      <w:r w:rsidR="00270429">
        <w:t xml:space="preserve">. Other economic measures, such as the expenditures made on recreational activities or regional economic impact (which also considers the ripple effects that expenditures can have on a local economy) are also frequently reported. From the narrow perspective of the benefits to the local community, it is tempting to view these direct and secondary impacts as benefits from recreational activities: this is the amount of additional purchases of goods and services within a community resulting from expenditures by recreational anglers. From the broader social perspective, however, expenditures and secondary effects merely represent a transfer of income from recreationists to regional businesses. If these </w:t>
      </w:r>
      <w:r w:rsidR="00CD2814">
        <w:t xml:space="preserve">monies were not </w:t>
      </w:r>
      <w:r w:rsidR="00270429">
        <w:t>expend</w:t>
      </w:r>
      <w:r w:rsidR="00CD2814">
        <w:t xml:space="preserve">ed </w:t>
      </w:r>
      <w:r w:rsidR="00270429">
        <w:t xml:space="preserve">on fishing, they would be </w:t>
      </w:r>
      <w:r w:rsidR="00CD2814">
        <w:t xml:space="preserve">spent on </w:t>
      </w:r>
      <w:r w:rsidR="00270429">
        <w:t>other</w:t>
      </w:r>
      <w:r w:rsidR="00CD2814">
        <w:t xml:space="preserve"> things</w:t>
      </w:r>
      <w:r w:rsidR="005F6C59">
        <w:t>, and hence not lost from the economy</w:t>
      </w:r>
      <w:r w:rsidR="00270429">
        <w:t>.</w:t>
      </w:r>
    </w:p>
    <w:p w14:paraId="16B4AC6A" w14:textId="751EA38B" w:rsidR="00D737CD" w:rsidRDefault="00DC47F8" w:rsidP="00297B42">
      <w:r>
        <w:t>We (</w:t>
      </w:r>
      <w:r w:rsidR="00FD460D">
        <w:t xml:space="preserve">Ready et al. </w:t>
      </w:r>
      <w:r w:rsidR="00350ACC" w:rsidRPr="00350ACC">
        <w:rPr>
          <w:rFonts w:ascii="Calibri" w:hAnsi="Calibri" w:cs="Calibri"/>
        </w:rPr>
        <w:t>2018)</w:t>
      </w:r>
      <w:r w:rsidR="0072533B">
        <w:t xml:space="preserve"> </w:t>
      </w:r>
      <w:r w:rsidR="00297B42">
        <w:t xml:space="preserve">developed a recreational behavior model for the Great Lakes region </w:t>
      </w:r>
      <w:r w:rsidR="00FD460D">
        <w:t xml:space="preserve">to estimate how </w:t>
      </w:r>
      <w:r w:rsidR="00996035">
        <w:t xml:space="preserve">participation in the recreational fishery (days fished) and </w:t>
      </w:r>
      <w:r w:rsidR="00FD460D">
        <w:t xml:space="preserve">net economic value of the recreational fishery would change as sportfish populations change. </w:t>
      </w:r>
      <w:r w:rsidR="003A77DF">
        <w:t>We</w:t>
      </w:r>
      <w:r w:rsidR="00FD460D">
        <w:t xml:space="preserve"> </w:t>
      </w:r>
      <w:r w:rsidR="00297B42">
        <w:t xml:space="preserve">based </w:t>
      </w:r>
      <w:r w:rsidR="00FD460D">
        <w:t xml:space="preserve">this model </w:t>
      </w:r>
      <w:r w:rsidR="00297B42">
        <w:t xml:space="preserve">on a survey of sport anglers in the 12 states of the Great Lakes and Upper Mississippi River basins. </w:t>
      </w:r>
      <w:r w:rsidR="003A77DF">
        <w:t>We</w:t>
      </w:r>
      <w:r w:rsidR="00297B42">
        <w:t xml:space="preserve"> used data on the travel cost of fishing trips taken by anglers and statements about how the </w:t>
      </w:r>
      <w:r w:rsidR="00297B42">
        <w:lastRenderedPageBreak/>
        <w:t xml:space="preserve">anglers would respond to changes in fishing populations to model angler behavior in relation to fishing quality. The model </w:t>
      </w:r>
      <w:r w:rsidR="00996035">
        <w:t xml:space="preserve">was spatially explicit, so that it could </w:t>
      </w:r>
      <w:r w:rsidR="00297B42">
        <w:t>estimate the loss in the net economic value of the recreational fishery under geographically explicit scenarios.</w:t>
      </w:r>
    </w:p>
    <w:p w14:paraId="1DE0BB41" w14:textId="4891733D" w:rsidR="004E063B" w:rsidRDefault="007C08E2" w:rsidP="004E31FE">
      <w:r>
        <w:t xml:space="preserve">In </w:t>
      </w:r>
      <w:r w:rsidR="004E31FE" w:rsidRPr="00791E45">
        <w:t>Ready et al</w:t>
      </w:r>
      <w:r w:rsidR="00C73529" w:rsidRPr="00791E45">
        <w:t>.</w:t>
      </w:r>
      <w:r w:rsidR="004E31FE" w:rsidRPr="00791E45">
        <w:t xml:space="preserve"> </w:t>
      </w:r>
      <w:r w:rsidR="00350ACC" w:rsidRPr="00791E45">
        <w:rPr>
          <w:rFonts w:ascii="Calibri" w:hAnsi="Calibri" w:cs="Calibri"/>
        </w:rPr>
        <w:t>(2018)</w:t>
      </w:r>
      <w:r w:rsidR="004E31FE" w:rsidRPr="00791E45">
        <w:t xml:space="preserve"> </w:t>
      </w:r>
      <w:r>
        <w:t xml:space="preserve">we provided </w:t>
      </w:r>
      <w:r w:rsidR="00C73529" w:rsidRPr="00791E45">
        <w:t xml:space="preserve">a tool for assessing some of the socio-economic effects of AIS in the Great Lakes, but </w:t>
      </w:r>
      <w:r w:rsidR="00791E45">
        <w:t>in that paper we</w:t>
      </w:r>
      <w:r w:rsidR="00791E45" w:rsidRPr="00791E45">
        <w:t xml:space="preserve"> </w:t>
      </w:r>
      <w:r w:rsidR="00C73529" w:rsidRPr="00D74D91">
        <w:t xml:space="preserve">applied this tool </w:t>
      </w:r>
      <w:r w:rsidR="004E063B" w:rsidRPr="00D74D91">
        <w:t xml:space="preserve">only </w:t>
      </w:r>
      <w:r w:rsidR="00CD2814" w:rsidRPr="00D74D91">
        <w:t xml:space="preserve">to </w:t>
      </w:r>
      <w:r w:rsidR="004E063B" w:rsidRPr="007C08E2">
        <w:rPr>
          <w:i/>
        </w:rPr>
        <w:t xml:space="preserve">a </w:t>
      </w:r>
      <w:r w:rsidR="00791E45" w:rsidRPr="007C08E2">
        <w:rPr>
          <w:i/>
        </w:rPr>
        <w:t xml:space="preserve">single </w:t>
      </w:r>
      <w:r w:rsidR="00DD57A7" w:rsidRPr="007C08E2">
        <w:rPr>
          <w:i/>
        </w:rPr>
        <w:t>worst-case</w:t>
      </w:r>
      <w:r w:rsidR="004E063B" w:rsidRPr="007C08E2">
        <w:rPr>
          <w:i/>
        </w:rPr>
        <w:t xml:space="preserve"> scenario</w:t>
      </w:r>
      <w:r w:rsidR="004E063B" w:rsidRPr="00D74D91">
        <w:t xml:space="preserve"> for </w:t>
      </w:r>
      <w:r w:rsidR="00D536AB" w:rsidRPr="00D74D91">
        <w:t>b</w:t>
      </w:r>
      <w:r w:rsidR="004E063B" w:rsidRPr="00D74D91">
        <w:t xml:space="preserve">ighead </w:t>
      </w:r>
      <w:r w:rsidR="00D536AB" w:rsidRPr="00D74D91">
        <w:t>c</w:t>
      </w:r>
      <w:r w:rsidR="007E76CF" w:rsidRPr="00D74D91">
        <w:t>arp</w:t>
      </w:r>
      <w:r w:rsidR="007E76CF" w:rsidRPr="00791E45">
        <w:t xml:space="preserve"> </w:t>
      </w:r>
      <w:r w:rsidR="007E76CF" w:rsidRPr="00791E45">
        <w:rPr>
          <w:i/>
        </w:rPr>
        <w:t xml:space="preserve">Hypophthalmichthys nobilis </w:t>
      </w:r>
      <w:r w:rsidR="007E76CF" w:rsidRPr="00791E45">
        <w:t xml:space="preserve">and </w:t>
      </w:r>
      <w:r w:rsidR="00D536AB" w:rsidRPr="00791E45">
        <w:t>s</w:t>
      </w:r>
      <w:r w:rsidR="007E76CF" w:rsidRPr="00791E45">
        <w:t xml:space="preserve">ilver </w:t>
      </w:r>
      <w:r w:rsidR="00D536AB" w:rsidRPr="00791E45">
        <w:t>c</w:t>
      </w:r>
      <w:r w:rsidR="007E76CF" w:rsidRPr="00791E45">
        <w:t xml:space="preserve">arp </w:t>
      </w:r>
      <w:r w:rsidR="007E76CF" w:rsidRPr="00791E45">
        <w:rPr>
          <w:i/>
        </w:rPr>
        <w:t>H</w:t>
      </w:r>
      <w:r w:rsidR="00D536AB" w:rsidRPr="00791E45">
        <w:rPr>
          <w:i/>
        </w:rPr>
        <w:t>.</w:t>
      </w:r>
      <w:r w:rsidR="007E76CF" w:rsidRPr="00791E45">
        <w:rPr>
          <w:i/>
        </w:rPr>
        <w:t xml:space="preserve"> molitrix</w:t>
      </w:r>
      <w:r w:rsidR="00CD2814" w:rsidRPr="00791E45">
        <w:rPr>
          <w:i/>
        </w:rPr>
        <w:t>.</w:t>
      </w:r>
      <w:r w:rsidR="004E063B" w:rsidRPr="00791E45">
        <w:t xml:space="preserve"> </w:t>
      </w:r>
      <w:r w:rsidR="00043DC5" w:rsidRPr="00791E45">
        <w:t>P</w:t>
      </w:r>
      <w:r w:rsidR="004E063B" w:rsidRPr="00791E45">
        <w:t xml:space="preserve">olicy makers and managers, however, need to make decisions that are appropriate for addressing the </w:t>
      </w:r>
      <w:r w:rsidR="004E063B" w:rsidRPr="00D74D91">
        <w:rPr>
          <w:i/>
          <w:iCs/>
        </w:rPr>
        <w:t xml:space="preserve">range </w:t>
      </w:r>
      <w:r w:rsidR="004E063B" w:rsidRPr="00791E45">
        <w:t xml:space="preserve">of possible effects that AIS could have—not just the </w:t>
      </w:r>
      <w:r w:rsidR="00DD57A7" w:rsidRPr="00791E45">
        <w:t>worst-case</w:t>
      </w:r>
      <w:r w:rsidR="004E063B" w:rsidRPr="00791E45">
        <w:t xml:space="preserve"> scenario</w:t>
      </w:r>
      <w:r w:rsidR="003F75FE">
        <w:t xml:space="preserve"> of</w:t>
      </w:r>
      <w:r w:rsidR="004E063B" w:rsidRPr="00791E45">
        <w:t xml:space="preserve"> </w:t>
      </w:r>
      <w:r w:rsidR="00DC47F8">
        <w:t xml:space="preserve">a </w:t>
      </w:r>
      <w:r w:rsidR="004E063B" w:rsidRPr="00791E45">
        <w:t>particular species</w:t>
      </w:r>
      <w:r w:rsidR="00043DC5" w:rsidRPr="00791E45">
        <w:t xml:space="preserve">. </w:t>
      </w:r>
      <w:r w:rsidR="004E063B" w:rsidRPr="00791E45">
        <w:t>Informing these decisions requires assess</w:t>
      </w:r>
      <w:r w:rsidR="00DC47F8">
        <w:t xml:space="preserve">ing </w:t>
      </w:r>
      <w:r w:rsidR="004E063B" w:rsidRPr="00791E45">
        <w:t xml:space="preserve">the range of effects that AIS could have on recreational fishing. </w:t>
      </w:r>
      <w:r w:rsidR="007E2283">
        <w:t xml:space="preserve">The scenarios that Lauber et al. (2016) developed encompass a range of possible ways that five different AIS could affect sportfish populations. </w:t>
      </w:r>
      <w:r w:rsidR="00385DD1" w:rsidRPr="00791E45">
        <w:t xml:space="preserve">We </w:t>
      </w:r>
      <w:r w:rsidR="00791E45">
        <w:t xml:space="preserve">apply </w:t>
      </w:r>
      <w:r w:rsidR="00385DD1" w:rsidRPr="00791E45">
        <w:t xml:space="preserve">Ready et al.’s </w:t>
      </w:r>
      <w:r w:rsidR="00350ACC" w:rsidRPr="00791E45">
        <w:rPr>
          <w:rFonts w:ascii="Calibri" w:hAnsi="Calibri" w:cs="Calibri"/>
        </w:rPr>
        <w:t>(2018)</w:t>
      </w:r>
      <w:r w:rsidR="0072533B" w:rsidRPr="00791E45">
        <w:t xml:space="preserve"> </w:t>
      </w:r>
      <w:r w:rsidR="00385DD1" w:rsidRPr="00791E45">
        <w:t xml:space="preserve">model to </w:t>
      </w:r>
      <w:r w:rsidR="007E2283">
        <w:t xml:space="preserve">both the best-case and worst-case </w:t>
      </w:r>
      <w:r w:rsidR="00385DD1" w:rsidRPr="00791E45">
        <w:t xml:space="preserve">scenarios </w:t>
      </w:r>
      <w:r w:rsidR="007E2283">
        <w:t>for each of these AIS</w:t>
      </w:r>
      <w:r w:rsidR="00791E45">
        <w:t xml:space="preserve">, as opposed </w:t>
      </w:r>
      <w:r w:rsidR="007E2283">
        <w:t>to just a single scenario for one AIS as Ready et al. (2018) did</w:t>
      </w:r>
      <w:r w:rsidR="00385DD1" w:rsidRPr="00791E45">
        <w:t xml:space="preserve">. Our results </w:t>
      </w:r>
      <w:r w:rsidR="00CD2814" w:rsidRPr="00791E45">
        <w:t xml:space="preserve">therefore </w:t>
      </w:r>
      <w:r>
        <w:t xml:space="preserve">expand on our previous work by analyzing </w:t>
      </w:r>
      <w:r w:rsidR="00385DD1" w:rsidRPr="00791E45">
        <w:t>a wider range of the possible effects of AIS on recreational fishing participation and economic value.</w:t>
      </w:r>
    </w:p>
    <w:p w14:paraId="1F07362A" w14:textId="59D24912" w:rsidR="004859E2" w:rsidRPr="00A90041" w:rsidRDefault="004859E2" w:rsidP="00A90041">
      <w:pPr>
        <w:pStyle w:val="Heading2"/>
      </w:pPr>
      <w:r w:rsidRPr="00A90041">
        <w:t>Description of Study Area</w:t>
      </w:r>
    </w:p>
    <w:p w14:paraId="7F01BED7" w14:textId="25B62C7A" w:rsidR="00AF1071" w:rsidRPr="00F25807" w:rsidRDefault="00AF1071" w:rsidP="007E63B4">
      <w:r w:rsidRPr="00AF1071">
        <w:t>The Laurentian Great Lakes cover 244,000 km</w:t>
      </w:r>
      <w:r w:rsidRPr="002126D1">
        <w:rPr>
          <w:vertAlign w:val="superscript"/>
        </w:rPr>
        <w:t>2</w:t>
      </w:r>
      <w:r w:rsidRPr="00AF1071">
        <w:t xml:space="preserve"> and contain</w:t>
      </w:r>
      <w:r w:rsidR="002823CE">
        <w:t xml:space="preserve"> </w:t>
      </w:r>
      <w:r w:rsidRPr="00AF1071">
        <w:t xml:space="preserve">one-fifth of the world’s surface freshwater supply. </w:t>
      </w:r>
      <w:r w:rsidR="00D341FA">
        <w:t xml:space="preserve">The </w:t>
      </w:r>
      <w:r w:rsidR="000D4491">
        <w:t>fisheries in four of the lakes</w:t>
      </w:r>
      <w:r w:rsidR="0026080A">
        <w:t>—</w:t>
      </w:r>
      <w:r w:rsidR="00D341FA">
        <w:t>Superior, Michigan, Huron, and Ontario</w:t>
      </w:r>
      <w:r w:rsidR="0026080A">
        <w:t>—</w:t>
      </w:r>
      <w:r w:rsidR="00D341FA">
        <w:t>primarily</w:t>
      </w:r>
      <w:r w:rsidR="0026080A">
        <w:t xml:space="preserve"> </w:t>
      </w:r>
      <w:r w:rsidR="00D341FA">
        <w:t>target coldwater salmonids, although f</w:t>
      </w:r>
      <w:r w:rsidR="00D341FA" w:rsidRPr="00AF1071">
        <w:t xml:space="preserve">isheries for coolwater </w:t>
      </w:r>
      <w:r w:rsidR="00D536AB">
        <w:t>w</w:t>
      </w:r>
      <w:r w:rsidR="00D341FA" w:rsidRPr="00AF1071">
        <w:t xml:space="preserve">alleye </w:t>
      </w:r>
      <w:r w:rsidR="00D341FA" w:rsidRPr="002126D1">
        <w:rPr>
          <w:i/>
        </w:rPr>
        <w:t>Sander vitreus</w:t>
      </w:r>
      <w:r w:rsidR="00D341FA" w:rsidRPr="00AF1071">
        <w:t xml:space="preserve"> and warmwater </w:t>
      </w:r>
      <w:r w:rsidR="00D536AB">
        <w:t>s</w:t>
      </w:r>
      <w:r w:rsidR="00D341FA" w:rsidRPr="00AF1071">
        <w:t xml:space="preserve">mallmouth </w:t>
      </w:r>
      <w:r w:rsidR="00D536AB">
        <w:t>b</w:t>
      </w:r>
      <w:r w:rsidR="00D341FA" w:rsidRPr="00AF1071">
        <w:t xml:space="preserve">ass </w:t>
      </w:r>
      <w:r w:rsidR="00D341FA" w:rsidRPr="002126D1">
        <w:rPr>
          <w:i/>
        </w:rPr>
        <w:t>Micropterus dolomieu</w:t>
      </w:r>
      <w:r w:rsidR="00D341FA">
        <w:t xml:space="preserve"> </w:t>
      </w:r>
      <w:r w:rsidR="00D341FA" w:rsidRPr="00AF1071">
        <w:t>occur in nearshore areas and more productive larger bays</w:t>
      </w:r>
      <w:r w:rsidR="00D341FA">
        <w:t xml:space="preserve">. </w:t>
      </w:r>
      <w:r w:rsidRPr="00AF1071">
        <w:t>Lake Erie is the</w:t>
      </w:r>
      <w:r w:rsidR="002823CE">
        <w:t xml:space="preserve"> </w:t>
      </w:r>
      <w:r w:rsidRPr="00AF1071">
        <w:t>most productive and shallowest of the five lakes</w:t>
      </w:r>
      <w:r w:rsidR="0026080A">
        <w:t>;</w:t>
      </w:r>
      <w:r w:rsidRPr="00AF1071">
        <w:t xml:space="preserve"> its fishery primarily targets</w:t>
      </w:r>
      <w:r w:rsidR="0026080A">
        <w:t xml:space="preserve"> </w:t>
      </w:r>
      <w:r w:rsidR="00D536AB">
        <w:t>w</w:t>
      </w:r>
      <w:r w:rsidRPr="00AF1071">
        <w:t>alleye</w:t>
      </w:r>
      <w:r w:rsidR="00F97306">
        <w:t xml:space="preserve">, </w:t>
      </w:r>
      <w:r w:rsidR="00D536AB">
        <w:t>y</w:t>
      </w:r>
      <w:r w:rsidRPr="00AF1071">
        <w:t xml:space="preserve">ellow </w:t>
      </w:r>
      <w:r w:rsidR="00D536AB">
        <w:t>p</w:t>
      </w:r>
      <w:r w:rsidRPr="00AF1071">
        <w:t xml:space="preserve">erch </w:t>
      </w:r>
      <w:r w:rsidRPr="002126D1">
        <w:rPr>
          <w:i/>
        </w:rPr>
        <w:t>Perca flavescens</w:t>
      </w:r>
      <w:r w:rsidR="00F97306">
        <w:t xml:space="preserve">, </w:t>
      </w:r>
      <w:r w:rsidR="00D536AB">
        <w:t>s</w:t>
      </w:r>
      <w:r w:rsidR="00F97306">
        <w:t xml:space="preserve">mallmouth </w:t>
      </w:r>
      <w:r w:rsidR="00D536AB">
        <w:t>b</w:t>
      </w:r>
      <w:r w:rsidR="00F97306">
        <w:t>ass</w:t>
      </w:r>
      <w:r w:rsidR="0026080A">
        <w:t>, and salmonids</w:t>
      </w:r>
      <w:r w:rsidR="00F97306">
        <w:t>.</w:t>
      </w:r>
      <w:r w:rsidRPr="00AF1071">
        <w:t xml:space="preserve"> </w:t>
      </w:r>
      <w:r w:rsidR="003F75FE">
        <w:t>The Great Lakes</w:t>
      </w:r>
      <w:r w:rsidRPr="00AF1071">
        <w:t xml:space="preserve"> system contains connecting corridors in the Detroit</w:t>
      </w:r>
      <w:r w:rsidR="002823CE">
        <w:t xml:space="preserve"> </w:t>
      </w:r>
      <w:r w:rsidRPr="00AF1071">
        <w:t>River and Lake St</w:t>
      </w:r>
      <w:r w:rsidR="007E76CF">
        <w:t>.</w:t>
      </w:r>
      <w:r w:rsidRPr="00AF1071">
        <w:t xml:space="preserve"> Clair</w:t>
      </w:r>
      <w:r w:rsidR="002823CE">
        <w:t xml:space="preserve"> </w:t>
      </w:r>
      <w:r w:rsidRPr="00AF1071">
        <w:t>between Lake Huron and Lake Erie, in the Niagara River</w:t>
      </w:r>
      <w:r w:rsidR="002823CE">
        <w:t xml:space="preserve"> </w:t>
      </w:r>
      <w:r w:rsidRPr="00AF1071">
        <w:t>between Lake Erie and Lake Ontario, and in the St. Lawrence River between Lake Ontario and the</w:t>
      </w:r>
      <w:r w:rsidR="002823CE">
        <w:t xml:space="preserve"> </w:t>
      </w:r>
      <w:r w:rsidRPr="00AF1071">
        <w:t xml:space="preserve">Atlantic Ocean. Allan et al. </w:t>
      </w:r>
      <w:r w:rsidR="00350ACC" w:rsidRPr="00350ACC">
        <w:rPr>
          <w:rFonts w:ascii="Calibri" w:hAnsi="Calibri" w:cs="Calibri"/>
        </w:rPr>
        <w:t>(2013)</w:t>
      </w:r>
      <w:r w:rsidRPr="00AF1071">
        <w:t xml:space="preserve"> recently ranked Lake</w:t>
      </w:r>
      <w:r w:rsidR="002823CE">
        <w:t xml:space="preserve"> </w:t>
      </w:r>
      <w:r w:rsidRPr="00AF1071">
        <w:t>Superior as the least affected by human disturbance and</w:t>
      </w:r>
      <w:r w:rsidR="002823CE">
        <w:t xml:space="preserve"> </w:t>
      </w:r>
      <w:r w:rsidRPr="00AF1071">
        <w:t>Lake Ontario and Lake Erie as the most affected.</w:t>
      </w:r>
    </w:p>
    <w:p w14:paraId="3E51920B" w14:textId="63FBC4E5" w:rsidR="00245D9C" w:rsidRDefault="00245D9C" w:rsidP="00614549">
      <w:pPr>
        <w:pStyle w:val="Heading1"/>
      </w:pPr>
      <w:r>
        <w:t>Methods</w:t>
      </w:r>
      <w:r w:rsidR="00FA15BB">
        <w:tab/>
      </w:r>
    </w:p>
    <w:p w14:paraId="2FE4BAFA" w14:textId="77777777" w:rsidR="003F75FE" w:rsidRDefault="003F75FE" w:rsidP="003F75FE">
      <w:r>
        <w:t xml:space="preserve">As we reported in </w:t>
      </w:r>
      <w:r w:rsidRPr="00350ACC">
        <w:rPr>
          <w:rFonts w:ascii="Calibri" w:hAnsi="Calibri" w:cs="Calibri"/>
        </w:rPr>
        <w:t>Lauber et al.</w:t>
      </w:r>
      <w:r>
        <w:rPr>
          <w:rFonts w:ascii="Calibri" w:hAnsi="Calibri" w:cs="Calibri"/>
        </w:rPr>
        <w:t xml:space="preserve"> (</w:t>
      </w:r>
      <w:r w:rsidRPr="00350ACC">
        <w:rPr>
          <w:rFonts w:ascii="Calibri" w:hAnsi="Calibri" w:cs="Calibri"/>
        </w:rPr>
        <w:t>2016)</w:t>
      </w:r>
      <w:r>
        <w:t xml:space="preserve">, we engaged an expert panel to build a series of plausible, internally consistent scenarios describing how AIS could affect sportfish populations and angler catch rates in the future. Given the inherent uncertainty involved in projecting the future effects of AIS, we designed our process to develop scenarios that would encompass the range of likely possible outcomes for each AIS considered. We recruited a group of aquatic ecologists and fisheries managers with collective expertise about all five Great Lakes and a wide range of AIS. (For a complete description of the scenario-building process, see Lauber et al. </w:t>
      </w:r>
      <w:r>
        <w:rPr>
          <w:rFonts w:ascii="Calibri" w:hAnsi="Calibri" w:cs="Calibri"/>
        </w:rPr>
        <w:t>[</w:t>
      </w:r>
      <w:r w:rsidRPr="00350ACC">
        <w:rPr>
          <w:rFonts w:ascii="Calibri" w:hAnsi="Calibri" w:cs="Calibri"/>
        </w:rPr>
        <w:t>2016</w:t>
      </w:r>
      <w:r>
        <w:rPr>
          <w:rFonts w:ascii="Calibri" w:hAnsi="Calibri" w:cs="Calibri"/>
        </w:rPr>
        <w:t>]</w:t>
      </w:r>
      <w:r>
        <w:t>). We first engaged them through a modified Delphi survey in which they identified the AIS that they thought were most likely to affect recreational fish populations throughout the Great Lakes regions and the mechanisms through which they might affect them.</w:t>
      </w:r>
    </w:p>
    <w:p w14:paraId="0751EBFE" w14:textId="79A3B18C" w:rsidR="00E35275" w:rsidRDefault="00E35275" w:rsidP="007E63B4">
      <w:r>
        <w:lastRenderedPageBreak/>
        <w:t xml:space="preserve">The survey was followed by a 2-day scenario-building workshop. </w:t>
      </w:r>
      <w:r w:rsidR="00DF2972">
        <w:t>During the workshop, t</w:t>
      </w:r>
      <w:r>
        <w:t xml:space="preserve">he expert panel first selected five AIS for which they would develop detailed scenarios describing their effects on recreational fish. </w:t>
      </w:r>
      <w:r w:rsidR="008C3DB1">
        <w:t>In selecting species, they represented a range of taxa and ecological functions</w:t>
      </w:r>
      <w:r w:rsidR="009F37C6">
        <w:t>,</w:t>
      </w:r>
      <w:r w:rsidR="008C3DB1">
        <w:t xml:space="preserve"> </w:t>
      </w:r>
      <w:r w:rsidR="009F37C6">
        <w:t xml:space="preserve">focusing </w:t>
      </w:r>
      <w:r>
        <w:t xml:space="preserve">on </w:t>
      </w:r>
      <w:r w:rsidR="008C3DB1">
        <w:t xml:space="preserve">those </w:t>
      </w:r>
      <w:r>
        <w:t xml:space="preserve">species that they </w:t>
      </w:r>
      <w:r w:rsidR="008C3DB1">
        <w:t xml:space="preserve">believed </w:t>
      </w:r>
      <w:r>
        <w:t xml:space="preserve">were most likely to affect </w:t>
      </w:r>
      <w:r w:rsidR="008C3DB1">
        <w:t xml:space="preserve">recreational fish populations and about which they were knowledgeable. The final species they selected were </w:t>
      </w:r>
      <w:r w:rsidR="00122541">
        <w:t>b</w:t>
      </w:r>
      <w:r w:rsidR="008C3DB1">
        <w:t xml:space="preserve">ighead and </w:t>
      </w:r>
      <w:r w:rsidR="00122541">
        <w:t>s</w:t>
      </w:r>
      <w:r w:rsidR="008C3DB1">
        <w:t xml:space="preserve">ilver </w:t>
      </w:r>
      <w:r w:rsidR="00122541">
        <w:t>c</w:t>
      </w:r>
      <w:r w:rsidR="008C3DB1">
        <w:t>arp (</w:t>
      </w:r>
      <w:r w:rsidR="00E121F3">
        <w:t xml:space="preserve">pelagic planktivores, </w:t>
      </w:r>
      <w:r w:rsidR="008C3DB1">
        <w:t>which were treated as one species because their ecological functions are very similar</w:t>
      </w:r>
      <w:r w:rsidR="00F25807">
        <w:t>)</w:t>
      </w:r>
      <w:r w:rsidR="008C3DB1">
        <w:t xml:space="preserve">, </w:t>
      </w:r>
      <w:r w:rsidR="00122541">
        <w:t>n</w:t>
      </w:r>
      <w:r w:rsidR="008C3DB1">
        <w:t xml:space="preserve">orthern </w:t>
      </w:r>
      <w:r w:rsidR="00122541">
        <w:t>s</w:t>
      </w:r>
      <w:r w:rsidR="008C3DB1">
        <w:t>nakehead</w:t>
      </w:r>
      <w:r w:rsidR="009F37C6">
        <w:t xml:space="preserve"> </w:t>
      </w:r>
      <w:r w:rsidR="009F37C6">
        <w:rPr>
          <w:i/>
        </w:rPr>
        <w:t>Channa argus</w:t>
      </w:r>
      <w:r w:rsidR="00E121F3">
        <w:t xml:space="preserve"> (a piscivore)</w:t>
      </w:r>
      <w:r w:rsidR="008C3DB1">
        <w:t xml:space="preserve">, </w:t>
      </w:r>
      <w:r w:rsidR="00122541">
        <w:t>g</w:t>
      </w:r>
      <w:r w:rsidR="008C3DB1">
        <w:t xml:space="preserve">rass </w:t>
      </w:r>
      <w:r w:rsidR="00122541">
        <w:t>c</w:t>
      </w:r>
      <w:r w:rsidR="008C3DB1">
        <w:t>arp</w:t>
      </w:r>
      <w:r w:rsidR="009F37C6">
        <w:t xml:space="preserve"> </w:t>
      </w:r>
      <w:r w:rsidR="009F37C6">
        <w:rPr>
          <w:i/>
        </w:rPr>
        <w:t>Ctenopharyngodon idella</w:t>
      </w:r>
      <w:r w:rsidR="00E121F3">
        <w:t xml:space="preserve"> (an herbivore)</w:t>
      </w:r>
      <w:r w:rsidR="008C3DB1">
        <w:t>, hydrilla</w:t>
      </w:r>
      <w:r w:rsidR="009F37C6">
        <w:t xml:space="preserve"> </w:t>
      </w:r>
      <w:r w:rsidR="009F37C6">
        <w:rPr>
          <w:i/>
        </w:rPr>
        <w:t>Hydrilla verticillata</w:t>
      </w:r>
      <w:r w:rsidR="00E121F3">
        <w:t xml:space="preserve"> (a macrophyte)</w:t>
      </w:r>
      <w:r w:rsidR="008C3DB1">
        <w:t>, and quagga mussel</w:t>
      </w:r>
      <w:r w:rsidR="009F37C6">
        <w:rPr>
          <w:i/>
        </w:rPr>
        <w:t xml:space="preserve"> Dreissena rostriformis bugensis</w:t>
      </w:r>
      <w:r w:rsidR="00E121F3">
        <w:t xml:space="preserve"> (a benthic </w:t>
      </w:r>
      <w:r w:rsidR="003F75FE">
        <w:t>filter-feeder</w:t>
      </w:r>
      <w:r w:rsidR="00E121F3">
        <w:t>)</w:t>
      </w:r>
      <w:r w:rsidR="008C3DB1">
        <w:t>.</w:t>
      </w:r>
    </w:p>
    <w:p w14:paraId="6CE8F832" w14:textId="2D7AB395" w:rsidR="00D7684C" w:rsidRDefault="00D7684C" w:rsidP="007E63B4">
      <w:r>
        <w:t>For each AIS, the panel developed multiple scenarios describing</w:t>
      </w:r>
      <w:r w:rsidR="00191946">
        <w:t xml:space="preserve"> the mechanisms by which</w:t>
      </w:r>
      <w:r>
        <w:t xml:space="preserve"> the species might plausibly affect fish populations and angler catch rates. The scenarios included descriptions of </w:t>
      </w:r>
      <w:r w:rsidR="009B66F3">
        <w:t xml:space="preserve">the ecological roles the </w:t>
      </w:r>
      <w:r>
        <w:t xml:space="preserve">AIS would </w:t>
      </w:r>
      <w:r w:rsidR="009B66F3">
        <w:t xml:space="preserve">play </w:t>
      </w:r>
      <w:r>
        <w:t>within the system</w:t>
      </w:r>
      <w:r w:rsidR="00685E78">
        <w:t xml:space="preserve">, and the </w:t>
      </w:r>
      <w:r w:rsidR="00BE2FC9">
        <w:t xml:space="preserve">direct and indirect </w:t>
      </w:r>
      <w:r w:rsidR="00685E78">
        <w:t>effects</w:t>
      </w:r>
      <w:r w:rsidR="00BE2FC9">
        <w:t xml:space="preserve"> they would have</w:t>
      </w:r>
      <w:r>
        <w:t xml:space="preserve">. Each scenario </w:t>
      </w:r>
      <w:r w:rsidR="00F0369C">
        <w:t>was accompanied by quantitative estimates of percentage change in catch rates for particular recreational fish species for specified geographic areas throughout the Great Lakes basin.</w:t>
      </w:r>
    </w:p>
    <w:p w14:paraId="1A5CE16F" w14:textId="0919F518" w:rsidR="00BF037D" w:rsidRDefault="00D14D50" w:rsidP="007E63B4">
      <w:r>
        <w:t xml:space="preserve">Ready et al. (2018) </w:t>
      </w:r>
      <w:r w:rsidR="003B63C6">
        <w:t xml:space="preserve">previously </w:t>
      </w:r>
      <w:r>
        <w:t xml:space="preserve">developed a recreational fishing model </w:t>
      </w:r>
      <w:r w:rsidR="00CA7DB4">
        <w:t>for the 8 Great Lake</w:t>
      </w:r>
      <w:r w:rsidR="003B63C6">
        <w:t>s</w:t>
      </w:r>
      <w:r w:rsidR="00CA7DB4">
        <w:t xml:space="preserve"> states </w:t>
      </w:r>
      <w:r>
        <w:t xml:space="preserve">that </w:t>
      </w:r>
      <w:r w:rsidR="00CA7DB4">
        <w:t>utilize</w:t>
      </w:r>
      <w:r w:rsidR="003B63C6">
        <w:t>s</w:t>
      </w:r>
      <w:r w:rsidR="00CA7DB4">
        <w:t xml:space="preserve"> ecological scenarios, such as those developed by Lauber et al. (2016) to assess how angler behavior and the net value of the recreational fishery </w:t>
      </w:r>
      <w:r w:rsidR="003D1CC9">
        <w:t xml:space="preserve">(i.e., the total consumer surplus generated) </w:t>
      </w:r>
      <w:r w:rsidR="00CA7DB4">
        <w:t xml:space="preserve">would change if AIS (or other factors) affected recreational fish catch rates in a spatially explicit way. </w:t>
      </w:r>
      <w:r w:rsidR="00835EEB">
        <w:t>(For a complete description of this model, see Ready et al.</w:t>
      </w:r>
      <w:r w:rsidR="00302302">
        <w:t xml:space="preserve"> </w:t>
      </w:r>
      <w:r w:rsidR="00DF2972">
        <w:rPr>
          <w:rFonts w:ascii="Calibri" w:hAnsi="Calibri" w:cs="Calibri"/>
        </w:rPr>
        <w:t>[</w:t>
      </w:r>
      <w:r w:rsidR="00350ACC" w:rsidRPr="00350ACC">
        <w:rPr>
          <w:rFonts w:ascii="Calibri" w:hAnsi="Calibri" w:cs="Calibri"/>
        </w:rPr>
        <w:t>2018</w:t>
      </w:r>
      <w:r w:rsidR="00DF2972">
        <w:rPr>
          <w:rFonts w:ascii="Calibri" w:hAnsi="Calibri" w:cs="Calibri"/>
        </w:rPr>
        <w:t>]</w:t>
      </w:r>
      <w:r w:rsidR="00835EEB">
        <w:t xml:space="preserve">.) This model describes how angler behavior and the net value of the recreational fishery would change if AIS (or other factors) affected recreational fish catch rates. It was developed based on data collected from recreational anglers through a travel cost-contingent behavior survey </w:t>
      </w:r>
      <w:r w:rsidR="003D1CC9">
        <w:t>of 3,539 anglers</w:t>
      </w:r>
      <w:r w:rsidR="003B63C6">
        <w:t xml:space="preserve"> residing </w:t>
      </w:r>
      <w:r w:rsidR="00835EEB">
        <w:t xml:space="preserve">in the Great Lakes and Upper Mississippi River basins. </w:t>
      </w:r>
    </w:p>
    <w:p w14:paraId="162E8858" w14:textId="1D665C58" w:rsidR="00BF037D" w:rsidRDefault="00835EEB" w:rsidP="007E63B4">
      <w:r>
        <w:t>Th</w:t>
      </w:r>
      <w:r w:rsidR="003D1CC9">
        <w:t>e</w:t>
      </w:r>
      <w:r>
        <w:t xml:space="preserve"> survey collected detailed data on all fishing trips taken over the 2011 license year.</w:t>
      </w:r>
      <w:r w:rsidR="00BF037D">
        <w:t xml:space="preserve"> </w:t>
      </w:r>
      <w:r w:rsidR="003D1CC9">
        <w:t xml:space="preserve">For each fishing trip, information on the trip origin, destination and primary fishing type was </w:t>
      </w:r>
      <w:r w:rsidR="00BF037D">
        <w:t>collected</w:t>
      </w:r>
      <w:r w:rsidR="003D1CC9">
        <w:t>. F</w:t>
      </w:r>
      <w:r w:rsidR="00BF037D">
        <w:t xml:space="preserve">ishing trips </w:t>
      </w:r>
      <w:r w:rsidR="003D1CC9">
        <w:t xml:space="preserve">were classified </w:t>
      </w:r>
      <w:r w:rsidR="00BF037D">
        <w:t>into seve</w:t>
      </w:r>
      <w:r w:rsidR="00F25807">
        <w:t>n</w:t>
      </w:r>
      <w:r w:rsidR="00BF037D">
        <w:t xml:space="preserve"> types</w:t>
      </w:r>
      <w:r w:rsidR="003D1CC9">
        <w:t>, according to the stated primary purpose of the trip</w:t>
      </w:r>
      <w:r w:rsidR="00BF037D">
        <w:t>: Great Lakes coldwater (i.e., salmonids), Great Lakes warmwater (i.e., species other than salmonids</w:t>
      </w:r>
      <w:r w:rsidR="00E47983">
        <w:t>, which includes warmwater and coolwater fish</w:t>
      </w:r>
      <w:r w:rsidR="00BF037D">
        <w:t>), anadromous</w:t>
      </w:r>
      <w:r w:rsidR="00BE2FC9">
        <w:t xml:space="preserve"> (salmonid fishing during spawning runs)</w:t>
      </w:r>
      <w:r w:rsidR="00BF037D">
        <w:t xml:space="preserve">, inland lakes and ponds </w:t>
      </w:r>
      <w:r w:rsidR="003D1CC9">
        <w:t xml:space="preserve">for </w:t>
      </w:r>
      <w:r w:rsidR="00BF037D">
        <w:t>coldwater</w:t>
      </w:r>
      <w:r w:rsidR="003D1CC9">
        <w:t xml:space="preserve"> species</w:t>
      </w:r>
      <w:r w:rsidR="00BF037D">
        <w:t xml:space="preserve">, inland lakes and ponds </w:t>
      </w:r>
      <w:r w:rsidR="003D1CC9">
        <w:t xml:space="preserve">for </w:t>
      </w:r>
      <w:r w:rsidR="00BF037D">
        <w:t>warmwater</w:t>
      </w:r>
      <w:r w:rsidR="003D1CC9">
        <w:t xml:space="preserve"> species</w:t>
      </w:r>
      <w:r w:rsidR="00BF037D">
        <w:t xml:space="preserve">, inland rivers and streams </w:t>
      </w:r>
      <w:r w:rsidR="003D1CC9">
        <w:t xml:space="preserve">for </w:t>
      </w:r>
      <w:r w:rsidR="00BF037D">
        <w:t>coldwater</w:t>
      </w:r>
      <w:r w:rsidR="003D1CC9">
        <w:t xml:space="preserve"> species</w:t>
      </w:r>
      <w:r w:rsidR="00BF037D">
        <w:t xml:space="preserve">, and inland rivers and streams </w:t>
      </w:r>
      <w:r w:rsidR="003D1CC9">
        <w:t xml:space="preserve">for </w:t>
      </w:r>
      <w:r w:rsidR="00BF037D">
        <w:t>warmwater</w:t>
      </w:r>
      <w:r w:rsidR="003D1CC9">
        <w:t xml:space="preserve"> species</w:t>
      </w:r>
      <w:r w:rsidR="00BF037D">
        <w:t>.</w:t>
      </w:r>
      <w:r w:rsidR="00A21DF4">
        <w:t xml:space="preserve"> </w:t>
      </w:r>
      <w:r w:rsidR="003D1CC9">
        <w:t>C</w:t>
      </w:r>
      <w:r w:rsidR="00A21DF4">
        <w:t>ontingent behavior</w:t>
      </w:r>
      <w:r w:rsidR="00F25807">
        <w:t xml:space="preserve"> questions</w:t>
      </w:r>
      <w:r w:rsidR="00A21DF4">
        <w:t xml:space="preserve"> </w:t>
      </w:r>
      <w:r w:rsidR="003D1CC9">
        <w:t xml:space="preserve">asked </w:t>
      </w:r>
      <w:r w:rsidR="00A21DF4">
        <w:t xml:space="preserve">how the number and types of fishing trips would change if catch rates </w:t>
      </w:r>
      <w:r w:rsidR="00CD2814">
        <w:t>changed</w:t>
      </w:r>
      <w:r w:rsidR="00A21DF4">
        <w:t>.</w:t>
      </w:r>
    </w:p>
    <w:p w14:paraId="3C5BE8BE" w14:textId="659E010B" w:rsidR="00412C0A" w:rsidRDefault="00CD2EF9" w:rsidP="007E63B4">
      <w:r>
        <w:t xml:space="preserve">From this survey data, Ready et al. </w:t>
      </w:r>
      <w:r w:rsidR="003B63C6">
        <w:t xml:space="preserve">previously </w:t>
      </w:r>
      <w:r>
        <w:t>estimated a repeated nested logit random utility model of angler behavior</w:t>
      </w:r>
      <w:r w:rsidR="00BE2FC9">
        <w:t xml:space="preserve"> </w:t>
      </w:r>
      <w:r w:rsidR="00BE2FC9" w:rsidRPr="00BE2FC9">
        <w:rPr>
          <w:rFonts w:ascii="Calibri" w:hAnsi="Calibri" w:cs="Calibri"/>
        </w:rPr>
        <w:t>(Morey et al., 1993)</w:t>
      </w:r>
      <w:r>
        <w:t xml:space="preserve">. This model </w:t>
      </w:r>
      <w:r w:rsidR="003D1CC9">
        <w:t xml:space="preserve">includes three decisions that must be made for each fishing trip. First, on each day of the year, the angler decides whether to go fishing. Second, each day that a fishing trip is taken, the angler must decide what type of fishing to engage in. Finally, for each fishing trip, a destination must be chosen. The model assumes the </w:t>
      </w:r>
      <w:r>
        <w:t xml:space="preserve">angler chooses a destination and fishing type that gives them the highest possible consumer </w:t>
      </w:r>
      <w:r>
        <w:lastRenderedPageBreak/>
        <w:t xml:space="preserve">surplus for that day. </w:t>
      </w:r>
      <w:r w:rsidR="00412C0A">
        <w:t>Destinations that are located closer to the angler’s home will tend to generate higher consumer surplus becau</w:t>
      </w:r>
      <w:r w:rsidR="004A45AE">
        <w:t>s</w:t>
      </w:r>
      <w:r w:rsidR="00412C0A">
        <w:t>e they require less expenditure on travel expenses. Destinations with better fishing quality (i.e. more availability of water resources, better water quality, and/or higher catch rates) will tend to generate higher consumer surplus. An included random term means that the same angler may visit different destinations or fish for different target species on different days.</w:t>
      </w:r>
    </w:p>
    <w:p w14:paraId="47EBDA9C" w14:textId="66A43E3F" w:rsidR="00CD2EF9" w:rsidRDefault="008E5825" w:rsidP="007E63B4">
      <w:r>
        <w:t xml:space="preserve">From the estimated model parameters, it is possible to calculate </w:t>
      </w:r>
      <w:r w:rsidR="00A9187B">
        <w:t xml:space="preserve">how a change in </w:t>
      </w:r>
      <w:r w:rsidR="00412C0A">
        <w:t xml:space="preserve">fishing quality (specifically, </w:t>
      </w:r>
      <w:r w:rsidR="00A9187B">
        <w:t>catch rates</w:t>
      </w:r>
      <w:r w:rsidR="00412C0A">
        <w:t>)</w:t>
      </w:r>
      <w:r w:rsidR="00A9187B">
        <w:t xml:space="preserve"> for specific fishing types at specific destinations would change </w:t>
      </w:r>
      <w:r>
        <w:t>the consumer surplus from a trip</w:t>
      </w:r>
      <w:r w:rsidR="00A9187B">
        <w:t xml:space="preserve"> for those </w:t>
      </w:r>
      <w:r w:rsidR="00412C0A">
        <w:t xml:space="preserve">fishing </w:t>
      </w:r>
      <w:r w:rsidR="00A9187B">
        <w:t>types to those destinations</w:t>
      </w:r>
      <w:r w:rsidR="00412C0A">
        <w:t>. It is then possible to predict how fishing behavior would change, including the impact on the types of trips taken, the destinations chosen, and the total number of trips taken. For example, if catch rates decline for some fishing types at some destinations, anglers will react in two ways. They will 1) substitute away from fishing trips whose quality has declined toward fishing trips whose quality has not changed and 2) they will tend to take fewer total trips. The total impact on the consumer surplus enjoyed by anglers will include the consumer surplus loss associated with the lost trips as well as the reduction in consumer surplus from trips that are still taken.</w:t>
      </w:r>
      <w:r w:rsidR="00CD2EF9">
        <w:t xml:space="preserve"> </w:t>
      </w:r>
    </w:p>
    <w:p w14:paraId="23481288" w14:textId="77777777" w:rsidR="00412C0A" w:rsidRDefault="00412C0A" w:rsidP="00412C0A">
      <w:r>
        <w:t>For each AIS scenario, these calculations were done for every angler living in the eight Great Lakes states. Origins and destinations were aggregated at the county level. For each angler, the change in total consumer surplus over the season resulting from the scenario was calculated. These were then averaged for each state and a total change in net economic value was calculated for the scenario. For each destination, the change in total fishing trips to that destination was calculated for each fishing type. These were aggregated by fishing type.</w:t>
      </w:r>
    </w:p>
    <w:p w14:paraId="39798D5E" w14:textId="3EC5523F" w:rsidR="00052CDF" w:rsidRPr="00E35275" w:rsidRDefault="00CA7DB4" w:rsidP="007E63B4">
      <w:r>
        <w:t>Ready et al. (2018) applied this model to only one of the ecological scenarios developed by Lauber et al. (2016)—the worst case scenario for bighead and silver carp. In th</w:t>
      </w:r>
      <w:r w:rsidR="00CE61CB">
        <w:t xml:space="preserve">e current </w:t>
      </w:r>
      <w:r>
        <w:t xml:space="preserve">manuscript, we apply the model to both the best-case </w:t>
      </w:r>
      <w:r w:rsidRPr="003A77DF">
        <w:rPr>
          <w:i/>
          <w:iCs/>
        </w:rPr>
        <w:t>and</w:t>
      </w:r>
      <w:r>
        <w:t xml:space="preserve"> worst-case scenarios for </w:t>
      </w:r>
      <w:r w:rsidRPr="003A77DF">
        <w:rPr>
          <w:i/>
          <w:iCs/>
        </w:rPr>
        <w:t>each</w:t>
      </w:r>
      <w:r>
        <w:t xml:space="preserve"> of the five AIS considered by Lauber et al. (2016). </w:t>
      </w:r>
      <w:r w:rsidR="00A86019">
        <w:t>To generate the necessary input for the recreational fishing model</w:t>
      </w:r>
      <w:r w:rsidR="006F4CDB">
        <w:t xml:space="preserve">, we had to translate </w:t>
      </w:r>
      <w:r>
        <w:t xml:space="preserve">Lauber et al.’s (2016) </w:t>
      </w:r>
      <w:r w:rsidR="006F4CDB">
        <w:t>AIS scenarios, which specified changes in catch rates of particular species, into county</w:t>
      </w:r>
      <w:r w:rsidR="00154DE3">
        <w:t>-</w:t>
      </w:r>
      <w:r w:rsidR="006F4CDB">
        <w:t xml:space="preserve">level projections of changes in the catch rates for each of the </w:t>
      </w:r>
      <w:r w:rsidR="009D4CD5">
        <w:t>seven</w:t>
      </w:r>
      <w:r w:rsidR="006F4CDB">
        <w:t xml:space="preserve"> fishing types utilized in the model. We calculated the change in the </w:t>
      </w:r>
      <w:r w:rsidR="00160313">
        <w:t xml:space="preserve">catch rates </w:t>
      </w:r>
      <w:r w:rsidR="006F4CDB">
        <w:t xml:space="preserve">of each of the 7 fishing types by weighting the change in the populations of species that were part of that fishing type (with weights based on the importance of each species to the fishing type, as measured by creel surveys). </w:t>
      </w:r>
      <w:r w:rsidR="00FC5A5F">
        <w:t>(See the supplementary materials in Ready et al. [2018] for more detailed instructions on how to</w:t>
      </w:r>
      <w:r w:rsidR="00DB12C7">
        <w:t>s</w:t>
      </w:r>
      <w:r w:rsidR="00FC5A5F">
        <w:t xml:space="preserve"> how to make these calculations.) </w:t>
      </w:r>
      <w:r w:rsidR="006F4CDB">
        <w:t xml:space="preserve">Consequently, in a situation in which an AIS had a dramatic effect on some Great Lakes coldwater species, but minimal effect on others, for example, the overall change in </w:t>
      </w:r>
      <w:r w:rsidR="000F7650">
        <w:t xml:space="preserve">the catch rate </w:t>
      </w:r>
      <w:r w:rsidR="006F4CDB">
        <w:t>of Great Lakes coldwater fishing would be less than for those individual species most affected.</w:t>
      </w:r>
      <w:r w:rsidR="00AB7504">
        <w:t xml:space="preserve"> We report </w:t>
      </w:r>
      <w:r w:rsidR="00052CDF">
        <w:t xml:space="preserve">the </w:t>
      </w:r>
      <w:r w:rsidR="00DD57A7">
        <w:t>best-case</w:t>
      </w:r>
      <w:r w:rsidR="00052CDF">
        <w:t xml:space="preserve"> and </w:t>
      </w:r>
      <w:r w:rsidR="00DD57A7">
        <w:t>worst-case</w:t>
      </w:r>
      <w:r w:rsidR="00052CDF">
        <w:t xml:space="preserve"> scenarios (as judged by change in the economic value of the Great Lakes fishery)</w:t>
      </w:r>
      <w:r w:rsidR="00886510">
        <w:t xml:space="preserve">, projecting how the number of fishing days and the net value of fishing </w:t>
      </w:r>
      <w:r w:rsidR="004B596F">
        <w:t xml:space="preserve">(in 2012 dollars) </w:t>
      </w:r>
      <w:r w:rsidR="00886510">
        <w:t xml:space="preserve">would change in each state of the Great Lakes region. </w:t>
      </w:r>
      <w:r w:rsidR="00547FD7">
        <w:t xml:space="preserve">We </w:t>
      </w:r>
      <w:r w:rsidR="00CD2EF9">
        <w:lastRenderedPageBreak/>
        <w:t xml:space="preserve">report </w:t>
      </w:r>
      <w:r w:rsidR="00547FD7">
        <w:t xml:space="preserve">the </w:t>
      </w:r>
      <w:r w:rsidR="00027FE0">
        <w:t xml:space="preserve">four </w:t>
      </w:r>
      <w:r w:rsidR="00547FD7">
        <w:t xml:space="preserve">inland fishing types </w:t>
      </w:r>
      <w:r w:rsidR="00CD2EF9">
        <w:t xml:space="preserve">as </w:t>
      </w:r>
      <w:r w:rsidR="00547FD7">
        <w:t xml:space="preserve">a single category in this manuscript. </w:t>
      </w:r>
      <w:r w:rsidR="00886510">
        <w:t>T</w:t>
      </w:r>
      <w:r w:rsidR="00622CD6">
        <w:t>hese results provide decision makers with a wide range of possible effects of AIS</w:t>
      </w:r>
      <w:r w:rsidR="00052CDF">
        <w:t xml:space="preserve"> </w:t>
      </w:r>
      <w:r w:rsidR="00622CD6">
        <w:t>on recreational fishing participation and value</w:t>
      </w:r>
      <w:r w:rsidR="00052CDF">
        <w:t xml:space="preserve">. </w:t>
      </w:r>
      <w:r w:rsidR="00F97306">
        <w:t xml:space="preserve">Note that effects on Canadian recreational fisheries are not included as the Province of Ontario was not included in the surveys that form the basis of the economic model </w:t>
      </w:r>
      <w:r w:rsidR="00154DE3" w:rsidRPr="00154DE3">
        <w:rPr>
          <w:rFonts w:ascii="Calibri" w:hAnsi="Calibri" w:cs="Calibri"/>
        </w:rPr>
        <w:t>(Ready et al., 2018)</w:t>
      </w:r>
      <w:r w:rsidR="00F97306">
        <w:t xml:space="preserve">. </w:t>
      </w:r>
    </w:p>
    <w:p w14:paraId="5EF87AB7" w14:textId="5CDD7699" w:rsidR="00245D9C" w:rsidRDefault="00245D9C" w:rsidP="00614549">
      <w:pPr>
        <w:pStyle w:val="Heading1"/>
      </w:pPr>
      <w:r>
        <w:t>Results</w:t>
      </w:r>
    </w:p>
    <w:p w14:paraId="1E4EDECC" w14:textId="78A30129" w:rsidR="00BC4885" w:rsidRDefault="00BC4885" w:rsidP="007E63B4">
      <w:r>
        <w:t xml:space="preserve">We estimated that anglers in the </w:t>
      </w:r>
      <w:r w:rsidR="006F7298">
        <w:t xml:space="preserve">U.S. </w:t>
      </w:r>
      <w:r>
        <w:t xml:space="preserve">Great Lakes region took over 174 million fishing trips in 2011 (Table 1). Wisconsin had the greatest number of trips and Indiana the least. The vast majority of the trips (87%) were inland fishing trips, ranging from a high of 99% of the trips in Minnesota to a low of 75% of the trips in Michigan. </w:t>
      </w:r>
    </w:p>
    <w:p w14:paraId="371BBB00" w14:textId="5EB6C0C5" w:rsidR="00BC4885" w:rsidRPr="00BC4885" w:rsidRDefault="00BC4885" w:rsidP="007E63B4">
      <w:r>
        <w:t xml:space="preserve">These estimates served as a baseline for our projections of the effects of AIS on recreational fishing trips and the net value of recreational fishing. For each </w:t>
      </w:r>
      <w:r w:rsidR="00BA3B5F">
        <w:t>AIS</w:t>
      </w:r>
      <w:r>
        <w:t xml:space="preserve">, we summarize the </w:t>
      </w:r>
      <w:r w:rsidR="00BA3B5F">
        <w:t xml:space="preserve">best-case and worst-case </w:t>
      </w:r>
      <w:r>
        <w:t xml:space="preserve">scenarios (reported in detail in Lauber et al. </w:t>
      </w:r>
      <w:r w:rsidR="00DF2972">
        <w:t>[</w:t>
      </w:r>
      <w:r w:rsidR="003F75FE">
        <w:t>2016</w:t>
      </w:r>
      <w:r w:rsidR="00DF2972">
        <w:t>]</w:t>
      </w:r>
      <w:r>
        <w:t>)</w:t>
      </w:r>
      <w:r w:rsidR="00547FD7">
        <w:t>. We then</w:t>
      </w:r>
      <w:r>
        <w:t xml:space="preserve"> project how the number of fishing days and the net value of fishing would change in each state</w:t>
      </w:r>
      <w:r w:rsidR="00547FD7">
        <w:t xml:space="preserve"> under these scenarios</w:t>
      </w:r>
      <w:r>
        <w:t>.</w:t>
      </w:r>
      <w:r w:rsidR="00F74D3A">
        <w:t xml:space="preserve"> </w:t>
      </w:r>
    </w:p>
    <w:p w14:paraId="1A2F521C" w14:textId="63059E26" w:rsidR="00CB42D2" w:rsidRDefault="00CB42D2" w:rsidP="00A90041">
      <w:pPr>
        <w:pStyle w:val="Heading2"/>
      </w:pPr>
      <w:r>
        <w:t>Bighead and Silver Carp</w:t>
      </w:r>
    </w:p>
    <w:p w14:paraId="11852F85" w14:textId="2A2B56A8" w:rsidR="00612F83" w:rsidRDefault="00612F83" w:rsidP="007E63B4">
      <w:r>
        <w:t xml:space="preserve">Bighead and </w:t>
      </w:r>
      <w:r w:rsidR="00122541">
        <w:t>s</w:t>
      </w:r>
      <w:r>
        <w:t xml:space="preserve">ilver </w:t>
      </w:r>
      <w:r w:rsidR="00122541">
        <w:t>c</w:t>
      </w:r>
      <w:r>
        <w:t>arp (</w:t>
      </w:r>
      <w:r w:rsidR="009D4CD5">
        <w:t xml:space="preserve">hereafter referred to as </w:t>
      </w:r>
      <w:r w:rsidR="000F246A">
        <w:t>“</w:t>
      </w:r>
      <w:r>
        <w:t>Asian carp</w:t>
      </w:r>
      <w:r w:rsidR="000F246A">
        <w:t>”</w:t>
      </w:r>
      <w:r>
        <w:t xml:space="preserve">) </w:t>
      </w:r>
      <w:r w:rsidR="000F246A">
        <w:t xml:space="preserve">are similar in food selection, body size, and potential ecological effects.  Asian carp </w:t>
      </w:r>
      <w:r>
        <w:t xml:space="preserve">are pelagic filter feeders that consume both phytoplankton and zooplankton and therefore are potential competitors with existing prey species of </w:t>
      </w:r>
      <w:r w:rsidR="00F74D3A">
        <w:t xml:space="preserve">several </w:t>
      </w:r>
      <w:r>
        <w:t xml:space="preserve">important </w:t>
      </w:r>
      <w:r w:rsidR="0044435E">
        <w:t>sportfish</w:t>
      </w:r>
      <w:r>
        <w:t xml:space="preserve"> species</w:t>
      </w:r>
      <w:r w:rsidR="0085075C">
        <w:t xml:space="preserve"> </w:t>
      </w:r>
      <w:r w:rsidR="00350ACC" w:rsidRPr="00350ACC">
        <w:rPr>
          <w:rFonts w:ascii="Calibri" w:hAnsi="Calibri" w:cs="Calibri"/>
        </w:rPr>
        <w:t>(Kolar et al., 2007)</w:t>
      </w:r>
      <w:r>
        <w:t xml:space="preserve">. They can grow sufficiently large to have a size refuge from predatory fish. To date, </w:t>
      </w:r>
      <w:r w:rsidR="00F74D3A">
        <w:t xml:space="preserve">Asian carp are not considered to be established in the Great Lakes, though </w:t>
      </w:r>
      <w:r>
        <w:t xml:space="preserve">three individual </w:t>
      </w:r>
      <w:r w:rsidR="00122541">
        <w:t>b</w:t>
      </w:r>
      <w:r>
        <w:t xml:space="preserve">ighead </w:t>
      </w:r>
      <w:r w:rsidR="00122541">
        <w:t>c</w:t>
      </w:r>
      <w:r>
        <w:t xml:space="preserve">arp have been caught in Lake Erie </w:t>
      </w:r>
      <w:r w:rsidR="00350ACC" w:rsidRPr="00350ACC">
        <w:rPr>
          <w:rFonts w:ascii="Calibri" w:hAnsi="Calibri" w:cs="Calibri"/>
        </w:rPr>
        <w:t>(Kocovsky et al., 2012)</w:t>
      </w:r>
      <w:r>
        <w:t>.</w:t>
      </w:r>
    </w:p>
    <w:p w14:paraId="6CE5D90F" w14:textId="77777777" w:rsidR="003F75FE" w:rsidRDefault="003F75FE" w:rsidP="003F75FE">
      <w:r>
        <w:t xml:space="preserve">In developing the scenarios for Asian carp, the expert panel assumed that carp establishment in the Great Lakes would be limited by food availability (Lauber et al., 2016). A central question was whether these species would be limited to high productivity areas (bays near large tributaries and the western and central basins of Lake Erie) or if food concentrations would be high enough for them to also establish offshore populations. The latter scenario was considered less likely, but would lead to more widespread effects, particularly on salmonids. Several independent modeling exercises have been completed on Asian carp effects that largely support the expert panel’s conclusions </w:t>
      </w:r>
      <w:r w:rsidRPr="00154DE3">
        <w:rPr>
          <w:rFonts w:ascii="Calibri" w:hAnsi="Calibri" w:cs="Calibri"/>
        </w:rPr>
        <w:t>(Anderson et al., 2015; Currie et al., 2012; Zhang et al., 2016)</w:t>
      </w:r>
      <w:r>
        <w:t xml:space="preserve">. </w:t>
      </w:r>
    </w:p>
    <w:p w14:paraId="4EABFE52" w14:textId="5E7D842E" w:rsidR="008A6726" w:rsidRDefault="00BF379B" w:rsidP="007E63B4">
      <w:r>
        <w:t>T</w:t>
      </w:r>
      <w:r w:rsidR="008A6726">
        <w:t xml:space="preserve">he </w:t>
      </w:r>
      <w:r w:rsidR="008A1D24">
        <w:t xml:space="preserve">Asian carp </w:t>
      </w:r>
      <w:r w:rsidR="008A6726">
        <w:t xml:space="preserve">scenarios varied widely in their projected impacts (Table 2). Depending on the assumptions made, the establishment of Asian carp could lead to a loss of more than 400,000 fishing trips and nearly $139 million in value </w:t>
      </w:r>
      <w:r w:rsidR="00361E99">
        <w:t>(</w:t>
      </w:r>
      <w:r w:rsidR="00DD57A7">
        <w:t>worst-case</w:t>
      </w:r>
      <w:r w:rsidR="00361E99">
        <w:t xml:space="preserve"> scenario) </w:t>
      </w:r>
      <w:r w:rsidR="008A6726">
        <w:t>or an increase of more than 11,000 fishing trips and nearly $4 million in value</w:t>
      </w:r>
      <w:r w:rsidR="00191946">
        <w:t xml:space="preserve"> (</w:t>
      </w:r>
      <w:r w:rsidR="00DD57A7">
        <w:t>best-case</w:t>
      </w:r>
      <w:r w:rsidR="00191946">
        <w:t xml:space="preserve"> scenario)</w:t>
      </w:r>
      <w:r w:rsidR="008A6726">
        <w:t xml:space="preserve">. </w:t>
      </w:r>
    </w:p>
    <w:p w14:paraId="74C8C907" w14:textId="7CE9B132" w:rsidR="005C204A" w:rsidRDefault="005C204A" w:rsidP="007E63B4">
      <w:r>
        <w:lastRenderedPageBreak/>
        <w:t xml:space="preserve">The </w:t>
      </w:r>
      <w:r w:rsidR="00DD57A7">
        <w:t>best-case</w:t>
      </w:r>
      <w:r>
        <w:t xml:space="preserve"> scenario assumed that Asian carp would only become established in high productivity areas</w:t>
      </w:r>
      <w:r w:rsidR="00DD57A7">
        <w:t xml:space="preserve"> </w:t>
      </w:r>
      <w:r w:rsidR="00823E76">
        <w:t>(Lauber et al., 2016)</w:t>
      </w:r>
      <w:r>
        <w:t xml:space="preserve">. They would have a small negative effect on salmonids because they would compete with </w:t>
      </w:r>
      <w:r w:rsidR="00033560">
        <w:t>salmonid</w:t>
      </w:r>
      <w:r>
        <w:t xml:space="preserve"> prey when </w:t>
      </w:r>
      <w:r w:rsidR="00033560">
        <w:t>these</w:t>
      </w:r>
      <w:r>
        <w:t xml:space="preserve"> prey </w:t>
      </w:r>
      <w:r w:rsidR="00027FE0">
        <w:t xml:space="preserve">species </w:t>
      </w:r>
      <w:r>
        <w:t>were in nearshore areas, reducing the</w:t>
      </w:r>
      <w:r w:rsidR="00027FE0">
        <w:t>ir</w:t>
      </w:r>
      <w:r>
        <w:t xml:space="preserve"> abundance somewhat. The expert panel estimated that </w:t>
      </w:r>
      <w:r w:rsidR="00033560">
        <w:t>Asian carp</w:t>
      </w:r>
      <w:r>
        <w:t xml:space="preserve"> could lead to a 5% decrease in Great Lakes salmonids under these conditions. But under this scenario, Asian carp would have both positive and negative effects on warmwater species. While they would compete </w:t>
      </w:r>
      <w:r w:rsidR="00361E99">
        <w:t xml:space="preserve">for food </w:t>
      </w:r>
      <w:r>
        <w:t>with warmwater species</w:t>
      </w:r>
      <w:r w:rsidR="00361E99">
        <w:t xml:space="preserve"> and the prey of warmwater species</w:t>
      </w:r>
      <w:r>
        <w:t xml:space="preserve">, they could also serve as a prey resource for some piscivores, increasing their </w:t>
      </w:r>
      <w:r w:rsidR="003F75FE">
        <w:t>growth rates</w:t>
      </w:r>
      <w:r>
        <w:t xml:space="preserve"> and releasing other species from predation. Under the </w:t>
      </w:r>
      <w:r w:rsidR="00DD57A7">
        <w:t>best-case</w:t>
      </w:r>
      <w:r>
        <w:t xml:space="preserve"> scenari</w:t>
      </w:r>
      <w:r w:rsidR="00BC67F1">
        <w:t xml:space="preserve">o, the expert panel assumed that the positive effects would dominate and lead to increases in </w:t>
      </w:r>
      <w:r w:rsidR="00122541">
        <w:t>l</w:t>
      </w:r>
      <w:r w:rsidR="00BC67F1">
        <w:t xml:space="preserve">argemouth </w:t>
      </w:r>
      <w:r w:rsidR="00122541">
        <w:t>b</w:t>
      </w:r>
      <w:r w:rsidR="00033560">
        <w:t xml:space="preserve">ass </w:t>
      </w:r>
      <w:r w:rsidR="00033560">
        <w:rPr>
          <w:i/>
        </w:rPr>
        <w:t>Micropterus salmoides</w:t>
      </w:r>
      <w:r w:rsidR="00A86019">
        <w:t>,</w:t>
      </w:r>
      <w:r w:rsidR="00BC67F1">
        <w:t xml:space="preserve"> </w:t>
      </w:r>
      <w:r w:rsidR="00122541">
        <w:t>s</w:t>
      </w:r>
      <w:r w:rsidR="00BC67F1">
        <w:t xml:space="preserve">mallmouth </w:t>
      </w:r>
      <w:r w:rsidR="00122541">
        <w:t>b</w:t>
      </w:r>
      <w:r w:rsidR="00BC67F1">
        <w:t xml:space="preserve">ass, </w:t>
      </w:r>
      <w:r w:rsidR="00122541">
        <w:t>y</w:t>
      </w:r>
      <w:r w:rsidR="00BC67F1">
        <w:t xml:space="preserve">ellow </w:t>
      </w:r>
      <w:r w:rsidR="00122541">
        <w:t>p</w:t>
      </w:r>
      <w:r w:rsidR="00BC67F1">
        <w:t xml:space="preserve">erch, and </w:t>
      </w:r>
      <w:r w:rsidR="00122541">
        <w:t>w</w:t>
      </w:r>
      <w:r w:rsidR="00BC67F1">
        <w:t>alleye.</w:t>
      </w:r>
    </w:p>
    <w:p w14:paraId="37FE312B" w14:textId="7A968169" w:rsidR="00BC67F1" w:rsidRDefault="00BC67F1" w:rsidP="007E63B4">
      <w:r>
        <w:t xml:space="preserve">According to </w:t>
      </w:r>
      <w:r w:rsidR="002B2380">
        <w:t xml:space="preserve">the Ready et al. (2018) </w:t>
      </w:r>
      <w:r>
        <w:t xml:space="preserve">model, these changes would be </w:t>
      </w:r>
      <w:r w:rsidR="002927AF">
        <w:t xml:space="preserve">more </w:t>
      </w:r>
      <w:r>
        <w:t xml:space="preserve">beneficial to recreational fishing in Michigan and Ohio because warmwater species would increase in the western and central basins of Lake Erie, Lake St. Clair, and Saginaw Bay. </w:t>
      </w:r>
      <w:r w:rsidR="00B82F21">
        <w:t>Anglers living i</w:t>
      </w:r>
      <w:r>
        <w:t>n these states</w:t>
      </w:r>
      <w:r w:rsidR="00B82F21">
        <w:t xml:space="preserve"> would increase their annual </w:t>
      </w:r>
      <w:r w:rsidRPr="004031A6">
        <w:t>fishing trips</w:t>
      </w:r>
      <w:r>
        <w:t xml:space="preserve"> by nearly 50,000, and the </w:t>
      </w:r>
      <w:r w:rsidR="00E32C17">
        <w:t xml:space="preserve">net economic </w:t>
      </w:r>
      <w:r>
        <w:t>value of these trips would increase by over $16 million</w:t>
      </w:r>
      <w:r w:rsidR="0026690F">
        <w:t xml:space="preserve"> annually</w:t>
      </w:r>
      <w:r>
        <w:t>.</w:t>
      </w:r>
      <w:r w:rsidR="008D57E6">
        <w:t xml:space="preserve"> The biggest negative effects would be felt</w:t>
      </w:r>
      <w:r w:rsidR="00B82F21">
        <w:t xml:space="preserve"> by anglers</w:t>
      </w:r>
      <w:r w:rsidR="008D57E6">
        <w:t xml:space="preserve"> in Illinois with a loss of 17,000 fishing trips and nearly $6 million in value</w:t>
      </w:r>
      <w:r w:rsidR="00361E99">
        <w:t xml:space="preserve"> annually</w:t>
      </w:r>
      <w:r w:rsidR="008D57E6">
        <w:t xml:space="preserve">. In Illinois, </w:t>
      </w:r>
      <w:r w:rsidR="00B82F21">
        <w:t xml:space="preserve">anglers take more than twice as many Great Lakes coldwater trips </w:t>
      </w:r>
      <w:r w:rsidR="009C270A">
        <w:t xml:space="preserve">than </w:t>
      </w:r>
      <w:r w:rsidR="008D57E6">
        <w:t xml:space="preserve">Great Lakes warmwater </w:t>
      </w:r>
      <w:r w:rsidR="00B82F21">
        <w:t xml:space="preserve">trips </w:t>
      </w:r>
      <w:r w:rsidR="008D57E6">
        <w:t>and so the small loss in salmonids would have a bigger effect than the increase in warmwater species.</w:t>
      </w:r>
    </w:p>
    <w:p w14:paraId="5AE97069" w14:textId="34198780" w:rsidR="00C6286F" w:rsidRDefault="004859E2" w:rsidP="007E63B4">
      <w:r>
        <w:t xml:space="preserve">Under the </w:t>
      </w:r>
      <w:r w:rsidR="00DD57A7">
        <w:t>worst-case</w:t>
      </w:r>
      <w:r>
        <w:t xml:space="preserve"> scenario, the expert panel assumed that Asian carp would become established in the pelagic portions of all lakes except Superior</w:t>
      </w:r>
      <w:r w:rsidR="00DD57A7">
        <w:t xml:space="preserve"> </w:t>
      </w:r>
      <w:r w:rsidR="00823E76">
        <w:t>(Lauber et al., 2016)</w:t>
      </w:r>
      <w:r>
        <w:t xml:space="preserve">. They would compete with </w:t>
      </w:r>
      <w:r w:rsidR="00122541">
        <w:t>a</w:t>
      </w:r>
      <w:r>
        <w:t xml:space="preserve">lewife </w:t>
      </w:r>
      <w:r w:rsidR="00033560">
        <w:rPr>
          <w:i/>
        </w:rPr>
        <w:t xml:space="preserve">Alosa pseudoharengus </w:t>
      </w:r>
      <w:r>
        <w:t>for food</w:t>
      </w:r>
      <w:r w:rsidR="009C270A">
        <w:t xml:space="preserve">, thus contributing </w:t>
      </w:r>
      <w:r>
        <w:t xml:space="preserve">to an </w:t>
      </w:r>
      <w:r w:rsidR="00122541">
        <w:t>a</w:t>
      </w:r>
      <w:r>
        <w:t xml:space="preserve">lewife collapse in Lakes Michigan and Ontario. (The </w:t>
      </w:r>
      <w:r w:rsidR="00122541">
        <w:t>a</w:t>
      </w:r>
      <w:r>
        <w:t xml:space="preserve">lewife population has already collapsed in Lake Huron.) </w:t>
      </w:r>
      <w:r w:rsidR="00096245">
        <w:t xml:space="preserve">This collapse would result in an 80% decrease in </w:t>
      </w:r>
      <w:r w:rsidR="00122541">
        <w:t>c</w:t>
      </w:r>
      <w:r w:rsidR="00096245">
        <w:t xml:space="preserve">oho </w:t>
      </w:r>
      <w:r w:rsidR="00122541">
        <w:t>s</w:t>
      </w:r>
      <w:r w:rsidR="00033560">
        <w:t xml:space="preserve">almon </w:t>
      </w:r>
      <w:r w:rsidR="00033560">
        <w:rPr>
          <w:i/>
        </w:rPr>
        <w:t xml:space="preserve">Oncorhynchus kisutch </w:t>
      </w:r>
      <w:r w:rsidR="00096245">
        <w:t xml:space="preserve">and </w:t>
      </w:r>
      <w:r w:rsidR="00122541">
        <w:t>c</w:t>
      </w:r>
      <w:r w:rsidR="00096245">
        <w:t xml:space="preserve">hinook </w:t>
      </w:r>
      <w:r w:rsidR="00122541">
        <w:t>s</w:t>
      </w:r>
      <w:r w:rsidR="00096245">
        <w:t xml:space="preserve">almon </w:t>
      </w:r>
      <w:r w:rsidR="00033560">
        <w:rPr>
          <w:i/>
        </w:rPr>
        <w:t>O</w:t>
      </w:r>
      <w:r w:rsidR="00122541">
        <w:rPr>
          <w:i/>
        </w:rPr>
        <w:t>.</w:t>
      </w:r>
      <w:r w:rsidR="00033560">
        <w:rPr>
          <w:i/>
        </w:rPr>
        <w:t xml:space="preserve"> tshawytscha </w:t>
      </w:r>
      <w:r w:rsidR="00096245">
        <w:t>in Lakes Michigan and Ontario.</w:t>
      </w:r>
    </w:p>
    <w:p w14:paraId="0C8D8928" w14:textId="0E9DCF51" w:rsidR="00096245" w:rsidRPr="00C6286F" w:rsidRDefault="00096245" w:rsidP="007E63B4">
      <w:r>
        <w:t>Great Lakes coldwater</w:t>
      </w:r>
      <w:r w:rsidR="004031A6">
        <w:t xml:space="preserve"> fishing</w:t>
      </w:r>
      <w:r w:rsidR="004A6A28">
        <w:t xml:space="preserve"> by anglers in the region</w:t>
      </w:r>
      <w:r>
        <w:t xml:space="preserve"> would decrease by more than 70% under this scenario with </w:t>
      </w:r>
      <w:r w:rsidR="007B472D">
        <w:t xml:space="preserve">a </w:t>
      </w:r>
      <w:r w:rsidR="009C270A">
        <w:t xml:space="preserve">much smaller, but still </w:t>
      </w:r>
      <w:r>
        <w:t>substantial, decrease in anadromous fishing (more than 10%)</w:t>
      </w:r>
      <w:r w:rsidR="00D3043F">
        <w:t xml:space="preserve"> (Table </w:t>
      </w:r>
      <w:r w:rsidR="00E32C17">
        <w:t>3</w:t>
      </w:r>
      <w:r w:rsidR="00D3043F">
        <w:t>)</w:t>
      </w:r>
      <w:r>
        <w:t>. Some anglers would switch to Great Lakes warmwater fishing (9% increase in trips) and inland warmwater fishing (3%)</w:t>
      </w:r>
      <w:r w:rsidR="0035715A">
        <w:t xml:space="preserve">; these increases would reduce the losses in </w:t>
      </w:r>
      <w:r>
        <w:t>Great Lakes coldwater trips</w:t>
      </w:r>
      <w:r w:rsidR="0035715A">
        <w:t xml:space="preserve"> by more than 90%</w:t>
      </w:r>
      <w:r>
        <w:t xml:space="preserve">. The biggest negative effects would be felt </w:t>
      </w:r>
      <w:r w:rsidR="004A6A28">
        <w:t xml:space="preserve">by anglers living </w:t>
      </w:r>
      <w:r>
        <w:t xml:space="preserve">in the five states that border Lakes Michigan and Ontario with a loss of more than 163,000 trips and $55 million in value in Illinois alone (Table 2). Minnesota and Pennsylvania would remain relatively unaffected given that the effects of this scenario would be minimal in the </w:t>
      </w:r>
      <w:r w:rsidR="007B472D">
        <w:t xml:space="preserve">Great Lakes </w:t>
      </w:r>
      <w:r>
        <w:t>that they border</w:t>
      </w:r>
      <w:r w:rsidR="007B472D">
        <w:t xml:space="preserve"> (Superior and Erie)</w:t>
      </w:r>
      <w:r>
        <w:t xml:space="preserve">. Ohio </w:t>
      </w:r>
      <w:r w:rsidR="004A6A28">
        <w:t xml:space="preserve">anglers </w:t>
      </w:r>
      <w:r>
        <w:t xml:space="preserve">would actually increase </w:t>
      </w:r>
      <w:r w:rsidR="004A6A28">
        <w:t xml:space="preserve">their number of fishing trips by </w:t>
      </w:r>
      <w:r>
        <w:t xml:space="preserve">over 8,000 </w:t>
      </w:r>
      <w:r w:rsidR="004A6A28">
        <w:t xml:space="preserve">and the value of those trips would increase by nearly </w:t>
      </w:r>
      <w:r>
        <w:t xml:space="preserve">$3 million in value as people switched to warmwater fishing in the western and central basins of Lake Erie. The overall effects of this scenario </w:t>
      </w:r>
      <w:r w:rsidR="007124FE">
        <w:t xml:space="preserve">on the net economic value from all fishing </w:t>
      </w:r>
      <w:r>
        <w:t xml:space="preserve">would </w:t>
      </w:r>
      <w:r w:rsidR="009C270A">
        <w:lastRenderedPageBreak/>
        <w:t xml:space="preserve">still </w:t>
      </w:r>
      <w:r>
        <w:t>be negative, however</w:t>
      </w:r>
      <w:r w:rsidR="007124FE">
        <w:t>, with a loss of $139 million annually. Still, the average loss in consumer surplus, per trip taken, is less than $1</w:t>
      </w:r>
      <w:r>
        <w:t>.</w:t>
      </w:r>
    </w:p>
    <w:p w14:paraId="6945461B" w14:textId="6F8B0A7A" w:rsidR="00283C1C" w:rsidRDefault="00283C1C" w:rsidP="00A90041">
      <w:pPr>
        <w:pStyle w:val="Heading2"/>
      </w:pPr>
      <w:r>
        <w:t>Northern Snakehead</w:t>
      </w:r>
    </w:p>
    <w:p w14:paraId="016121C9" w14:textId="4B19417C" w:rsidR="00BC65AA" w:rsidRDefault="005F13EB" w:rsidP="007E63B4">
      <w:r>
        <w:t xml:space="preserve">The </w:t>
      </w:r>
      <w:r w:rsidR="00027FE0">
        <w:t xml:space="preserve">northern </w:t>
      </w:r>
      <w:r w:rsidR="004803D0">
        <w:t>s</w:t>
      </w:r>
      <w:r w:rsidR="00BC65AA">
        <w:t xml:space="preserve">nakehead is an obligate air-breather and can therefore survive in poorly oxygenated water such as shallow ponds and swamps </w:t>
      </w:r>
      <w:r w:rsidR="00350ACC" w:rsidRPr="00350ACC">
        <w:rPr>
          <w:rFonts w:ascii="Calibri" w:hAnsi="Calibri" w:cs="Calibri"/>
        </w:rPr>
        <w:t>(Courtenay and Williams, 2004)</w:t>
      </w:r>
      <w:r w:rsidR="00BC65AA">
        <w:t xml:space="preserve">. It feeds almost entirely on fish </w:t>
      </w:r>
      <w:r w:rsidR="00350ACC" w:rsidRPr="00350ACC">
        <w:rPr>
          <w:rFonts w:ascii="Calibri" w:hAnsi="Calibri" w:cs="Calibri"/>
        </w:rPr>
        <w:t>(Saylor et al., 2012)</w:t>
      </w:r>
      <w:r w:rsidR="00BC65AA">
        <w:t xml:space="preserve">. In the USA, it has spread primarily through intentional or accidental release. It is established in the Potomac River and several other locations on the east coast, and suitable habitats for this species occur across the Great Lakes basin </w:t>
      </w:r>
      <w:r w:rsidR="00350ACC" w:rsidRPr="00350ACC">
        <w:rPr>
          <w:rFonts w:ascii="Calibri" w:hAnsi="Calibri" w:cs="Calibri"/>
        </w:rPr>
        <w:t>(Herborg et al., 2007)</w:t>
      </w:r>
      <w:r w:rsidR="00BC65AA">
        <w:t xml:space="preserve">. </w:t>
      </w:r>
    </w:p>
    <w:p w14:paraId="441DD59E" w14:textId="20861355" w:rsidR="00915F0B" w:rsidRDefault="00915F0B" w:rsidP="007E63B4">
      <w:r>
        <w:t xml:space="preserve">The expert panel reasoned that if </w:t>
      </w:r>
      <w:r w:rsidR="004803D0">
        <w:t>n</w:t>
      </w:r>
      <w:r>
        <w:t xml:space="preserve">orthern </w:t>
      </w:r>
      <w:r w:rsidR="004803D0">
        <w:t>s</w:t>
      </w:r>
      <w:r>
        <w:t xml:space="preserve">nakehead became established in the Great Lakes, it </w:t>
      </w:r>
      <w:r w:rsidRPr="00E02680">
        <w:t>would be limited to nearshore areas and shallow, relatively warm waters</w:t>
      </w:r>
      <w:r w:rsidR="003936B2">
        <w:t xml:space="preserve"> </w:t>
      </w:r>
      <w:r w:rsidR="00823E76">
        <w:t>(Lauber et al., 2016)</w:t>
      </w:r>
      <w:r w:rsidRPr="00E02680">
        <w:t>. Ecologically, it would</w:t>
      </w:r>
      <w:r>
        <w:t xml:space="preserve"> function like other piscivores, particularly </w:t>
      </w:r>
      <w:r w:rsidR="00E02680">
        <w:t>l</w:t>
      </w:r>
      <w:r>
        <w:t xml:space="preserve">argemouth </w:t>
      </w:r>
      <w:r w:rsidR="00E02680">
        <w:t>b</w:t>
      </w:r>
      <w:r>
        <w:t xml:space="preserve">ass. The panel was uncertain, however, about two key questions: whether it would augment or simply replace other predator species in the system; and whether it would itself </w:t>
      </w:r>
      <w:r w:rsidR="009C5FF3">
        <w:t>become a sought-after sportfish. Depending on the assumptions made, the predicted effects on recreational fishing ranged from no change in the status quo to a loss of 140,000 fishing trips and $48 million in consumer surplus annually</w:t>
      </w:r>
      <w:r w:rsidR="00A23F5C">
        <w:t xml:space="preserve"> (Table </w:t>
      </w:r>
      <w:r w:rsidR="0085075C">
        <w:t>4</w:t>
      </w:r>
      <w:r w:rsidR="00A23F5C">
        <w:t>)</w:t>
      </w:r>
      <w:r w:rsidR="009C5FF3">
        <w:t>.</w:t>
      </w:r>
    </w:p>
    <w:p w14:paraId="5B769FFF" w14:textId="6EE79156" w:rsidR="00AB5AEE" w:rsidRDefault="00AB5AEE" w:rsidP="007E63B4">
      <w:r>
        <w:t>Under the best</w:t>
      </w:r>
      <w:r w:rsidR="00A23F5C">
        <w:t>-</w:t>
      </w:r>
      <w:r>
        <w:t xml:space="preserve">case scenario, </w:t>
      </w:r>
      <w:r w:rsidR="004803D0">
        <w:t>n</w:t>
      </w:r>
      <w:r>
        <w:t xml:space="preserve">orthern </w:t>
      </w:r>
      <w:r w:rsidR="004803D0">
        <w:t>s</w:t>
      </w:r>
      <w:r>
        <w:t>nakehead would partially replace other predator species, but the overall level of predation would not increase in the system</w:t>
      </w:r>
      <w:r w:rsidR="003936B2">
        <w:t xml:space="preserve"> </w:t>
      </w:r>
      <w:r w:rsidR="00823E76">
        <w:t>(Lauber et al., 2016)</w:t>
      </w:r>
      <w:r>
        <w:t xml:space="preserve">. In addition, </w:t>
      </w:r>
      <w:r w:rsidR="00E02680">
        <w:t>n</w:t>
      </w:r>
      <w:r>
        <w:t xml:space="preserve">orthern </w:t>
      </w:r>
      <w:r w:rsidR="00E02680">
        <w:t>s</w:t>
      </w:r>
      <w:r>
        <w:t>nakehead would become a sportfish itself, and so recreational fishing would not be affected.</w:t>
      </w:r>
    </w:p>
    <w:p w14:paraId="5D405C33" w14:textId="029CA808" w:rsidR="00AB5AEE" w:rsidRDefault="00AB5AEE" w:rsidP="007E63B4">
      <w:r>
        <w:t>Under the worst</w:t>
      </w:r>
      <w:r w:rsidR="00A23F5C">
        <w:t>-</w:t>
      </w:r>
      <w:r>
        <w:t xml:space="preserve">case scenario, the </w:t>
      </w:r>
      <w:r w:rsidR="00B53982">
        <w:t xml:space="preserve">overall </w:t>
      </w:r>
      <w:r>
        <w:t xml:space="preserve">level of predation </w:t>
      </w:r>
      <w:r w:rsidR="00B53982">
        <w:t xml:space="preserve">would increase in the Great Lakes as </w:t>
      </w:r>
      <w:r w:rsidR="00E02680">
        <w:t>n</w:t>
      </w:r>
      <w:r w:rsidR="00B53982">
        <w:t xml:space="preserve">orthern </w:t>
      </w:r>
      <w:r w:rsidR="00E02680">
        <w:t>s</w:t>
      </w:r>
      <w:r w:rsidR="00B53982">
        <w:t>nakehead became established, driving down populations of prey species</w:t>
      </w:r>
      <w:r w:rsidR="003936B2">
        <w:t xml:space="preserve"> </w:t>
      </w:r>
      <w:r w:rsidR="00823E76">
        <w:t>(Lauber et al., 2016)</w:t>
      </w:r>
      <w:r w:rsidR="00B53982">
        <w:t xml:space="preserve">. In addition, </w:t>
      </w:r>
      <w:r w:rsidR="00E02680">
        <w:t>n</w:t>
      </w:r>
      <w:r w:rsidR="00B53982">
        <w:t xml:space="preserve">orthern </w:t>
      </w:r>
      <w:r w:rsidR="00E02680">
        <w:t>s</w:t>
      </w:r>
      <w:r w:rsidR="00B53982">
        <w:t xml:space="preserve">nakehead would outcompete native predators. Ultimately, populations of </w:t>
      </w:r>
      <w:r w:rsidR="00E02680">
        <w:t>s</w:t>
      </w:r>
      <w:r w:rsidR="00B53982">
        <w:t xml:space="preserve">mallmouth </w:t>
      </w:r>
      <w:r w:rsidR="00E02680">
        <w:t>b</w:t>
      </w:r>
      <w:r w:rsidR="00B53982">
        <w:t xml:space="preserve">ass, </w:t>
      </w:r>
      <w:r w:rsidR="00E02680">
        <w:t>y</w:t>
      </w:r>
      <w:r w:rsidR="00B53982">
        <w:t xml:space="preserve">ellow </w:t>
      </w:r>
      <w:r w:rsidR="00E02680">
        <w:t>p</w:t>
      </w:r>
      <w:r w:rsidR="00B53982">
        <w:t xml:space="preserve">erch, and </w:t>
      </w:r>
      <w:r w:rsidR="00E02680">
        <w:t>l</w:t>
      </w:r>
      <w:r w:rsidR="00B53982">
        <w:t xml:space="preserve">argemouth </w:t>
      </w:r>
      <w:r w:rsidR="00E02680">
        <w:t>b</w:t>
      </w:r>
      <w:r w:rsidR="00B53982">
        <w:t xml:space="preserve">ass would be affected in high-productivity areas and </w:t>
      </w:r>
      <w:r w:rsidR="00E02680">
        <w:t>w</w:t>
      </w:r>
      <w:r w:rsidR="00B53982">
        <w:t xml:space="preserve">alleye populations would be affected lakewide. In addition, </w:t>
      </w:r>
      <w:r w:rsidR="00E02680">
        <w:t>N</w:t>
      </w:r>
      <w:r w:rsidR="00B53982">
        <w:t xml:space="preserve">orthern </w:t>
      </w:r>
      <w:r w:rsidR="00E02680">
        <w:t>s</w:t>
      </w:r>
      <w:r w:rsidR="00B53982">
        <w:t>nakehead would have some effects on salmonid populations as it preyed on juvenile salmonids running down streams.</w:t>
      </w:r>
    </w:p>
    <w:p w14:paraId="67D7E99A" w14:textId="71B89C0B" w:rsidR="00B53982" w:rsidRDefault="001E615F" w:rsidP="007E63B4">
      <w:r>
        <w:t xml:space="preserve">In this </w:t>
      </w:r>
      <w:r w:rsidR="00DD57A7">
        <w:t>worst-case</w:t>
      </w:r>
      <w:r>
        <w:t xml:space="preserve"> scenario, the most substantial negative effects on recreational fishing would be </w:t>
      </w:r>
      <w:r w:rsidR="00371D2D">
        <w:t xml:space="preserve">on anglers living </w:t>
      </w:r>
      <w:r>
        <w:t xml:space="preserve">in Michigan, </w:t>
      </w:r>
      <w:r w:rsidR="00371D2D">
        <w:t xml:space="preserve">who </w:t>
      </w:r>
      <w:r>
        <w:t xml:space="preserve">would lose nearly 55,000 fishing trips and $19 million in consumer surplus annually. </w:t>
      </w:r>
      <w:r w:rsidR="00371D2D">
        <w:t xml:space="preserve">Anglers in </w:t>
      </w:r>
      <w:r>
        <w:t xml:space="preserve">Ohio, Illinois, and Wisconsin would also suffer negative effects, </w:t>
      </w:r>
      <w:r w:rsidR="00C61488">
        <w:t>as these</w:t>
      </w:r>
      <w:r>
        <w:t xml:space="preserve"> states border the high productivity areas most affected under this scenario (Green Bay, Saginaw Bay, Lake St. Clair, and the western and central basins of Lake Erie).</w:t>
      </w:r>
      <w:r w:rsidR="00C07304">
        <w:t xml:space="preserve"> </w:t>
      </w:r>
      <w:r w:rsidR="00371D2D">
        <w:t xml:space="preserve">Anglers in </w:t>
      </w:r>
      <w:r w:rsidR="00C07304">
        <w:t xml:space="preserve">Minnesota and Pennsylvania, which are more distant from these areas, would </w:t>
      </w:r>
      <w:r w:rsidR="00977A26">
        <w:t xml:space="preserve">be much less negatively affected. </w:t>
      </w:r>
    </w:p>
    <w:p w14:paraId="15E6A4C4" w14:textId="3C868BCE" w:rsidR="003F2EBC" w:rsidRDefault="003F2EBC" w:rsidP="007E63B4">
      <w:r>
        <w:t>Both Great Lakes coldwater fishing (10% decrease) and Great Lakes warmwater fishing (8% decrease) would decline under the worst-case scenario</w:t>
      </w:r>
      <w:r w:rsidR="00D3043F">
        <w:t xml:space="preserve"> (Table </w:t>
      </w:r>
      <w:r w:rsidR="0085075C">
        <w:t>3</w:t>
      </w:r>
      <w:r w:rsidR="00D3043F">
        <w:t>)</w:t>
      </w:r>
      <w:r>
        <w:t xml:space="preserve">. The loss in Great Lakes coldwater fishing would be fairly consistent across the basin with a 9-11% decrease </w:t>
      </w:r>
      <w:r w:rsidR="00371D2D">
        <w:t xml:space="preserve">among </w:t>
      </w:r>
      <w:r w:rsidR="00371D2D">
        <w:lastRenderedPageBreak/>
        <w:t xml:space="preserve">anglers </w:t>
      </w:r>
      <w:r>
        <w:t xml:space="preserve">in each state except for Ohio (7% decrease). The loss in Great Lakes warmwater fishing would be greatest </w:t>
      </w:r>
      <w:r w:rsidR="009336B9">
        <w:t xml:space="preserve">for anglers </w:t>
      </w:r>
      <w:r w:rsidR="00197CD5">
        <w:t xml:space="preserve">fishing </w:t>
      </w:r>
      <w:r>
        <w:t xml:space="preserve">in Ohio and Michigan with over 790,000 fewer trips (12-14% decrease in these states). Inland fishing trips would increase as anglers switched to inland fishing from Great Lakes fishing. </w:t>
      </w:r>
      <w:r w:rsidR="00FE7687">
        <w:t xml:space="preserve">This </w:t>
      </w:r>
      <w:r>
        <w:t>increase of nearly 1.5 million inland fishing trips</w:t>
      </w:r>
      <w:r w:rsidR="00FE7687">
        <w:t xml:space="preserve"> </w:t>
      </w:r>
      <w:r>
        <w:t xml:space="preserve">would </w:t>
      </w:r>
      <w:r w:rsidR="00FE7687">
        <w:t xml:space="preserve">nearly make up for </w:t>
      </w:r>
      <w:r>
        <w:t>the loss in Great Lakes fishing.</w:t>
      </w:r>
    </w:p>
    <w:p w14:paraId="68F64D34" w14:textId="00151777" w:rsidR="00CB681E" w:rsidRDefault="00CB681E" w:rsidP="00A90041">
      <w:pPr>
        <w:pStyle w:val="Heading2"/>
      </w:pPr>
      <w:r>
        <w:t>Grass Carp</w:t>
      </w:r>
    </w:p>
    <w:p w14:paraId="42ABE4EB" w14:textId="5E6E568B" w:rsidR="000D2EFF" w:rsidRDefault="005F13EB" w:rsidP="007E63B4">
      <w:r>
        <w:t xml:space="preserve">The </w:t>
      </w:r>
      <w:r w:rsidR="00027FE0">
        <w:t xml:space="preserve">grass </w:t>
      </w:r>
      <w:r w:rsidR="00E02680">
        <w:t>c</w:t>
      </w:r>
      <w:r w:rsidR="000D2EFF">
        <w:t>arp is a</w:t>
      </w:r>
      <w:r w:rsidR="003774FC">
        <w:t>n</w:t>
      </w:r>
      <w:r w:rsidR="000D2EFF">
        <w:t xml:space="preserve"> herbivore</w:t>
      </w:r>
      <w:r w:rsidR="001D2AA3">
        <w:t xml:space="preserve"> that tolerates a</w:t>
      </w:r>
      <w:r w:rsidR="000D2EFF">
        <w:t xml:space="preserve"> wide range of temperatures, but is probably limited by the availability of spawning habitat. It has been introduced to many small water bodies for control of aquatic vegetation. Although introduced fish were supposed to be triploid and sterile, diploids were used by some states and reproducing populations are now established in the Mississippi River basin. </w:t>
      </w:r>
      <w:r w:rsidR="001D2AA3">
        <w:t xml:space="preserve">Grass carp is now reproducing in Lake Erie </w:t>
      </w:r>
      <w:r w:rsidR="00FE7687" w:rsidRPr="00FE7687">
        <w:rPr>
          <w:rFonts w:ascii="Calibri" w:hAnsi="Calibri" w:cs="Calibri"/>
        </w:rPr>
        <w:t>(Chapman et al., 2013; Embke et al., 2016)</w:t>
      </w:r>
      <w:r w:rsidR="000D2EFF">
        <w:t xml:space="preserve">, but have not yet become abundant in the Great Lakes basin. </w:t>
      </w:r>
    </w:p>
    <w:p w14:paraId="2575A3F9" w14:textId="0CAD1345" w:rsidR="00C45C72" w:rsidRDefault="00CC32D2" w:rsidP="007E63B4">
      <w:r>
        <w:t xml:space="preserve">The expert panel concluded that if </w:t>
      </w:r>
      <w:r w:rsidR="00E02680">
        <w:t>g</w:t>
      </w:r>
      <w:r w:rsidR="00A23F5C">
        <w:t>r</w:t>
      </w:r>
      <w:r>
        <w:t xml:space="preserve">ass </w:t>
      </w:r>
      <w:r w:rsidR="00E02680">
        <w:t>c</w:t>
      </w:r>
      <w:r>
        <w:t>arp became abundant in the Great Lakes, it would have novel impacts because it consumes primarily macrophytes, which is unlike any other Great Lakes native fish</w:t>
      </w:r>
      <w:r w:rsidR="004000BB">
        <w:t xml:space="preserve"> </w:t>
      </w:r>
      <w:r w:rsidR="00823E76">
        <w:t>(Lauber et al., 2016)</w:t>
      </w:r>
      <w:r>
        <w:t>. It would reduce and change aquatic vegetation leading to increase</w:t>
      </w:r>
      <w:r w:rsidR="00E47983">
        <w:t>d</w:t>
      </w:r>
      <w:r>
        <w:t xml:space="preserve"> predation on juvenile fish. These changes to vegetation in nearshore areas would have negative effects on warmwater and coolwater fishes, including </w:t>
      </w:r>
      <w:r w:rsidR="00E02680">
        <w:t>n</w:t>
      </w:r>
      <w:r>
        <w:t xml:space="preserve">orthern </w:t>
      </w:r>
      <w:r w:rsidR="00E02680">
        <w:t>p</w:t>
      </w:r>
      <w:r>
        <w:t>ike</w:t>
      </w:r>
      <w:r w:rsidR="00A23F5C">
        <w:t xml:space="preserve"> </w:t>
      </w:r>
      <w:r w:rsidR="00A23F5C">
        <w:rPr>
          <w:i/>
        </w:rPr>
        <w:t>Esox lucius</w:t>
      </w:r>
      <w:r>
        <w:t xml:space="preserve">, </w:t>
      </w:r>
      <w:r w:rsidR="00E02680">
        <w:t>y</w:t>
      </w:r>
      <w:r>
        <w:t xml:space="preserve">ellow </w:t>
      </w:r>
      <w:r w:rsidR="00E02680">
        <w:t>p</w:t>
      </w:r>
      <w:r>
        <w:t xml:space="preserve">erch, </w:t>
      </w:r>
      <w:r w:rsidR="00E02680">
        <w:t>l</w:t>
      </w:r>
      <w:r w:rsidR="001D2AA3">
        <w:t xml:space="preserve">argemouth </w:t>
      </w:r>
      <w:r w:rsidR="00E02680">
        <w:t>b</w:t>
      </w:r>
      <w:r w:rsidR="001D2AA3">
        <w:t xml:space="preserve">ass, </w:t>
      </w:r>
      <w:r>
        <w:t xml:space="preserve">and most other centrarchids. The negative effects on </w:t>
      </w:r>
      <w:r w:rsidR="00E02680">
        <w:t>l</w:t>
      </w:r>
      <w:r>
        <w:t xml:space="preserve">argemouth </w:t>
      </w:r>
      <w:r w:rsidR="00E02680">
        <w:t>b</w:t>
      </w:r>
      <w:r>
        <w:t xml:space="preserve">ass and </w:t>
      </w:r>
      <w:r w:rsidR="00E02680">
        <w:t>n</w:t>
      </w:r>
      <w:r>
        <w:t xml:space="preserve">orthern </w:t>
      </w:r>
      <w:r w:rsidR="00E02680">
        <w:t>p</w:t>
      </w:r>
      <w:r>
        <w:t xml:space="preserve">ike might be offset to some degree by the benefits these </w:t>
      </w:r>
      <w:r w:rsidR="00E83E9F">
        <w:t xml:space="preserve">fish </w:t>
      </w:r>
      <w:r>
        <w:t xml:space="preserve">would gain by the opportunity to prey on young </w:t>
      </w:r>
      <w:r w:rsidR="00E02680">
        <w:t>g</w:t>
      </w:r>
      <w:r>
        <w:t xml:space="preserve">rass </w:t>
      </w:r>
      <w:r w:rsidR="00E02680">
        <w:t>c</w:t>
      </w:r>
      <w:r>
        <w:t>arp.</w:t>
      </w:r>
    </w:p>
    <w:p w14:paraId="777E8F53" w14:textId="79C06E1F" w:rsidR="00CC32D2" w:rsidRDefault="003A7609" w:rsidP="007E63B4">
      <w:r>
        <w:t xml:space="preserve">The key uncertainties about the effects of </w:t>
      </w:r>
      <w:r w:rsidR="00E02680">
        <w:t>g</w:t>
      </w:r>
      <w:r>
        <w:t xml:space="preserve">rass </w:t>
      </w:r>
      <w:r w:rsidR="00E02680">
        <w:t>c</w:t>
      </w:r>
      <w:r>
        <w:t>arp</w:t>
      </w:r>
      <w:r w:rsidR="002E1375">
        <w:t xml:space="preserve"> are based on</w:t>
      </w:r>
      <w:r>
        <w:t xml:space="preserve"> how numerous and widespread they would become, which would be influenced in turn by how much </w:t>
      </w:r>
      <w:r w:rsidR="00E02680">
        <w:t>n</w:t>
      </w:r>
      <w:r>
        <w:t xml:space="preserve">orthern </w:t>
      </w:r>
      <w:r w:rsidR="00E02680">
        <w:t>p</w:t>
      </w:r>
      <w:r>
        <w:t xml:space="preserve">ike and </w:t>
      </w:r>
      <w:r w:rsidR="00E02680">
        <w:t>l</w:t>
      </w:r>
      <w:r>
        <w:t xml:space="preserve">argemouth </w:t>
      </w:r>
      <w:r w:rsidR="00E02680">
        <w:t>b</w:t>
      </w:r>
      <w:r>
        <w:t xml:space="preserve">ass would prey on young </w:t>
      </w:r>
      <w:r w:rsidR="00E02680">
        <w:t>g</w:t>
      </w:r>
      <w:r>
        <w:t xml:space="preserve">rass </w:t>
      </w:r>
      <w:r w:rsidR="00E02680">
        <w:t>c</w:t>
      </w:r>
      <w:r>
        <w:t>arp</w:t>
      </w:r>
      <w:r w:rsidR="004000BB">
        <w:t xml:space="preserve"> </w:t>
      </w:r>
      <w:r w:rsidR="00823E76">
        <w:t>(Lauber et al., 2016)</w:t>
      </w:r>
      <w:r>
        <w:t xml:space="preserve">. The expert panel varied assumptions about these factors in the scenarios they generated. The projected effects of </w:t>
      </w:r>
      <w:r w:rsidR="00E02680">
        <w:t>g</w:t>
      </w:r>
      <w:r>
        <w:t xml:space="preserve">rass </w:t>
      </w:r>
      <w:r w:rsidR="00E02680">
        <w:t>c</w:t>
      </w:r>
      <w:r>
        <w:t>arp ranged from losses of 29,000-60,000 fishing days annually and $10-21 million in consumer surplus</w:t>
      </w:r>
      <w:r w:rsidR="00A23F5C">
        <w:t xml:space="preserve"> (Table </w:t>
      </w:r>
      <w:r w:rsidR="00930007">
        <w:t>5</w:t>
      </w:r>
      <w:r w:rsidR="00A23F5C">
        <w:t>)</w:t>
      </w:r>
      <w:r>
        <w:t>.</w:t>
      </w:r>
    </w:p>
    <w:p w14:paraId="3B11F4A1" w14:textId="21B8E615" w:rsidR="003A7609" w:rsidRDefault="003A7609" w:rsidP="007E63B4">
      <w:r>
        <w:t>Under the best</w:t>
      </w:r>
      <w:r w:rsidR="00ED4468">
        <w:t>-</w:t>
      </w:r>
      <w:r>
        <w:t xml:space="preserve">case scenario, </w:t>
      </w:r>
      <w:r w:rsidR="00E02680">
        <w:t>g</w:t>
      </w:r>
      <w:r>
        <w:t xml:space="preserve">rass </w:t>
      </w:r>
      <w:r w:rsidR="00E02680">
        <w:t>c</w:t>
      </w:r>
      <w:r>
        <w:t xml:space="preserve">arp would become established, but would not become numerous because of predation </w:t>
      </w:r>
      <w:r w:rsidR="0052387C">
        <w:t xml:space="preserve">on young fish </w:t>
      </w:r>
      <w:r>
        <w:t xml:space="preserve">by </w:t>
      </w:r>
      <w:r w:rsidR="00E02680">
        <w:t>n</w:t>
      </w:r>
      <w:r>
        <w:t xml:space="preserve">orthern </w:t>
      </w:r>
      <w:r w:rsidR="00E02680">
        <w:t>p</w:t>
      </w:r>
      <w:r>
        <w:t xml:space="preserve">ike and </w:t>
      </w:r>
      <w:r w:rsidR="00E02680">
        <w:t>l</w:t>
      </w:r>
      <w:r>
        <w:t xml:space="preserve">argemouth </w:t>
      </w:r>
      <w:r w:rsidR="00E02680">
        <w:t>b</w:t>
      </w:r>
      <w:r>
        <w:t>ass</w:t>
      </w:r>
      <w:r w:rsidR="004000BB">
        <w:t xml:space="preserve"> </w:t>
      </w:r>
      <w:r w:rsidR="00823E76">
        <w:t>(Lauber et al., 2016)</w:t>
      </w:r>
      <w:r>
        <w:t xml:space="preserve">. Although there would be some decrease in </w:t>
      </w:r>
      <w:r w:rsidR="00E02680">
        <w:t>y</w:t>
      </w:r>
      <w:r>
        <w:t xml:space="preserve">ellow </w:t>
      </w:r>
      <w:r w:rsidR="00E02680">
        <w:t>p</w:t>
      </w:r>
      <w:r>
        <w:t xml:space="preserve">erch and centrarchids other than bass, populations of </w:t>
      </w:r>
      <w:r w:rsidR="00E02680">
        <w:t>l</w:t>
      </w:r>
      <w:r>
        <w:t xml:space="preserve">argemouth </w:t>
      </w:r>
      <w:r w:rsidR="00E02680">
        <w:t>b</w:t>
      </w:r>
      <w:r>
        <w:t xml:space="preserve">ass and </w:t>
      </w:r>
      <w:r w:rsidR="00E02680">
        <w:t>n</w:t>
      </w:r>
      <w:r>
        <w:t xml:space="preserve">orthern </w:t>
      </w:r>
      <w:r w:rsidR="00E02680">
        <w:t>p</w:t>
      </w:r>
      <w:r>
        <w:t>ike would be unchanged because the benefits of preying on young carp would offset habitat loss.</w:t>
      </w:r>
    </w:p>
    <w:p w14:paraId="6C3D1549" w14:textId="316A17F0" w:rsidR="003A7609" w:rsidRDefault="0052387C" w:rsidP="007E63B4">
      <w:r>
        <w:t>Under this scenario, t</w:t>
      </w:r>
      <w:r w:rsidR="003A7609">
        <w:t>he greatest effects would be felt by anglers from Michigan and Ohio and, to a lesser extent, Wisconsin and New York. Collectively, these anglers would lose 22,000 in fishing trips and $5.5 million in consumer surplus. Anglers from Minnesota and Pennsylvania would be minimally affected. Great Lakes warmwater fishing would decline by more than 3.5% under this scenario</w:t>
      </w:r>
      <w:r w:rsidR="00D3043F">
        <w:t xml:space="preserve"> (Table </w:t>
      </w:r>
      <w:r w:rsidR="00930007">
        <w:t>3</w:t>
      </w:r>
      <w:r w:rsidR="00D3043F">
        <w:t>)</w:t>
      </w:r>
      <w:r w:rsidR="003A7609">
        <w:t xml:space="preserve">, but all other fishing types would increase as anglers switched to different forms of fishing. </w:t>
      </w:r>
      <w:r w:rsidR="00C905F2">
        <w:t xml:space="preserve">Great Lakes coldwater and anadromous fishing would increase about </w:t>
      </w:r>
      <w:r w:rsidR="00C905F2">
        <w:lastRenderedPageBreak/>
        <w:t>0.5% while the percentage increase for inland fishing would be less than half of that. The overall decrease in fishing would be only 0.02%.</w:t>
      </w:r>
    </w:p>
    <w:p w14:paraId="33B4111D" w14:textId="62FA2656" w:rsidR="00C905F2" w:rsidRDefault="00ED4468" w:rsidP="007E63B4">
      <w:r>
        <w:t xml:space="preserve">Under the worst-case scenario, predation by </w:t>
      </w:r>
      <w:r w:rsidR="00E02680">
        <w:t>largemouth bass</w:t>
      </w:r>
      <w:r>
        <w:t xml:space="preserve"> and </w:t>
      </w:r>
      <w:r w:rsidR="00E02680">
        <w:t>northern pike</w:t>
      </w:r>
      <w:r>
        <w:t xml:space="preserve"> would have no appreciable effects on </w:t>
      </w:r>
      <w:r w:rsidR="00E02680">
        <w:t>grass carp</w:t>
      </w:r>
      <w:r>
        <w:t xml:space="preserve"> populations</w:t>
      </w:r>
      <w:r w:rsidR="004000BB">
        <w:t xml:space="preserve"> </w:t>
      </w:r>
      <w:r w:rsidR="00823E76">
        <w:t>(Lauber et al., 2016)</w:t>
      </w:r>
      <w:r>
        <w:t xml:space="preserve">. Grass </w:t>
      </w:r>
      <w:r w:rsidR="00E02680">
        <w:t>c</w:t>
      </w:r>
      <w:r>
        <w:t xml:space="preserve">arp would, therefore, become established and reduce macrophyte habitat in all Great Lakes. Largemouth </w:t>
      </w:r>
      <w:r w:rsidR="00E02680">
        <w:t>b</w:t>
      </w:r>
      <w:r>
        <w:t xml:space="preserve">ass, </w:t>
      </w:r>
      <w:r w:rsidR="00E02680">
        <w:t>northern pike</w:t>
      </w:r>
      <w:r>
        <w:t xml:space="preserve">, and most other centrarchids would decrease by 50% under this scenario, with a smaller decrease in </w:t>
      </w:r>
      <w:r w:rsidR="00E02680">
        <w:t>yellow perch</w:t>
      </w:r>
      <w:r>
        <w:t>.</w:t>
      </w:r>
    </w:p>
    <w:p w14:paraId="2DC15F2C" w14:textId="4A50D281" w:rsidR="00ED4468" w:rsidRDefault="00ED4468" w:rsidP="007E63B4">
      <w:r>
        <w:t>The greatest effects would be felt by anglers from Michigan. Anglers from Ohio and Illinois and, to a lesser extent, Wisconsin and New York would also be substantively affected. More than 60,000 fishing trips and nearly $21 million in consumer surplus would be lost by anglers from these states. As with the best-case scenario, anglers from Pennsylvania and Minnesota would be minimally affected. Great Lakes warmwater fishing would decline by 7.5%</w:t>
      </w:r>
      <w:r w:rsidR="00D3043F">
        <w:t xml:space="preserve"> (Table </w:t>
      </w:r>
      <w:r w:rsidR="00930007">
        <w:t>3</w:t>
      </w:r>
      <w:r w:rsidR="00D3043F">
        <w:t>)</w:t>
      </w:r>
      <w:r>
        <w:t xml:space="preserve">, more than twice as much as under the best-case scenario. Great Lakes coldwater fishing and anadromous fishing would increase 1% or more as anglers switched away from warmwater fishing. The overall decrease in fishing would </w:t>
      </w:r>
      <w:r w:rsidR="004246AB">
        <w:t xml:space="preserve">only </w:t>
      </w:r>
      <w:r>
        <w:t>be 0.04%.</w:t>
      </w:r>
    </w:p>
    <w:p w14:paraId="5EC269D2" w14:textId="616E60E0" w:rsidR="00152EEE" w:rsidRDefault="00152EEE" w:rsidP="00A90041">
      <w:pPr>
        <w:pStyle w:val="Heading2"/>
      </w:pPr>
      <w:r>
        <w:t>Hydrilla</w:t>
      </w:r>
    </w:p>
    <w:p w14:paraId="4C8496DF" w14:textId="72ACD46F" w:rsidR="00EE4988" w:rsidRDefault="00EE4988" w:rsidP="007E63B4">
      <w:r>
        <w:t xml:space="preserve">Hydrilla is an aquatic macrophyte that can form dense monocultures in areas it invades. It is spreading northwards from Florida where it was probably introduced through the aquarium trade </w:t>
      </w:r>
      <w:r w:rsidR="00350ACC" w:rsidRPr="00350ACC">
        <w:rPr>
          <w:rFonts w:ascii="Calibri" w:hAnsi="Calibri" w:cs="Calibri"/>
        </w:rPr>
        <w:t>(Langeland, 1996)</w:t>
      </w:r>
      <w:r>
        <w:t>. It is easily spread by recreational boaters when they move their boats from one waterbody to another and it is already present in several locations in New York, Pennsylvania, and Ohio, which are within the Great Lakes watershed. Surface mats usually first occur in July or August and remain through the rest of the growing season</w:t>
      </w:r>
      <w:r w:rsidR="009D4455">
        <w:t>.</w:t>
      </w:r>
    </w:p>
    <w:p w14:paraId="62875208" w14:textId="6A6421B6" w:rsidR="00CE1F95" w:rsidRDefault="00CE1F95" w:rsidP="007E63B4">
      <w:r>
        <w:t>The expert panel reasoned that if hydrilla became established in the Great Lakes, it would be able to colonize some areas that do not currently have macrophytes because it can become established in deeper waters</w:t>
      </w:r>
      <w:r w:rsidR="009E4D45">
        <w:t xml:space="preserve"> </w:t>
      </w:r>
      <w:r w:rsidR="00823E76">
        <w:t>(Lauber et al., 2016)</w:t>
      </w:r>
      <w:r>
        <w:t xml:space="preserve">. Under some conditions, this might benefit fish that depend on macrophytes, but hydrilla can also form dense monocultures that </w:t>
      </w:r>
      <w:r w:rsidR="003F75FE">
        <w:t>can be</w:t>
      </w:r>
      <w:r>
        <w:t xml:space="preserve"> unsuitable for fish. </w:t>
      </w:r>
      <w:r w:rsidR="00257D33">
        <w:t xml:space="preserve">The effects of hydrilla on fisheries, whether good or bad, would be confined to </w:t>
      </w:r>
      <w:r w:rsidR="00C61488">
        <w:t xml:space="preserve">specific </w:t>
      </w:r>
      <w:r w:rsidR="00257D33">
        <w:t>areas</w:t>
      </w:r>
      <w:r w:rsidR="00C61488">
        <w:t xml:space="preserve"> that tend to be</w:t>
      </w:r>
      <w:r w:rsidR="00257D33">
        <w:t xml:space="preserve"> important for </w:t>
      </w:r>
      <w:r w:rsidR="00E02680">
        <w:t>northern pike</w:t>
      </w:r>
      <w:r w:rsidR="00257D33">
        <w:t xml:space="preserve"> and bass (particularly </w:t>
      </w:r>
      <w:r w:rsidR="00E02680">
        <w:t>largemouth bass</w:t>
      </w:r>
      <w:r w:rsidR="00257D33">
        <w:t>). Salmonids would not be expected to be affected as much. Beyond the effects that hydrilla could have on fish populations, it could also make it harder for anglers to catch fish under some conditions, depressing fishing and the value of fishing.</w:t>
      </w:r>
    </w:p>
    <w:p w14:paraId="2047F334" w14:textId="28E65845" w:rsidR="00257D33" w:rsidRDefault="008F741E" w:rsidP="007E63B4">
      <w:r>
        <w:t xml:space="preserve">The key uncertainties about the effects of hydrilla on fisheries </w:t>
      </w:r>
      <w:r w:rsidR="002E1375">
        <w:t xml:space="preserve">are linked </w:t>
      </w:r>
      <w:r>
        <w:t>to the areas that it would colonize</w:t>
      </w:r>
      <w:r w:rsidR="009E4D45">
        <w:t xml:space="preserve"> </w:t>
      </w:r>
      <w:r w:rsidR="00823E76">
        <w:t>(Lauber et al., 2016)</w:t>
      </w:r>
      <w:r>
        <w:t xml:space="preserve">. In particular, the expert panel was uncertain about whether hydrilla would simply replace other macrophytes or colonize new areas and whether it would maintain similar vegetative structure or form dense monocultures that </w:t>
      </w:r>
      <w:r w:rsidR="002E1375">
        <w:t xml:space="preserve">reduce </w:t>
      </w:r>
      <w:r>
        <w:t>habitat</w:t>
      </w:r>
      <w:r w:rsidR="002E1375">
        <w:t xml:space="preserve"> quality</w:t>
      </w:r>
      <w:r>
        <w:t>. Depending on the</w:t>
      </w:r>
      <w:r w:rsidR="002E1375">
        <w:t>se</w:t>
      </w:r>
      <w:r>
        <w:t xml:space="preserve"> assumptions, hydrilla could lead to a loss of more than 100,000 fishing days and $35 million in consumer surplus or could actually increase fishing by more than 85,000 fishing days and add $30 million in consumer surplus</w:t>
      </w:r>
      <w:r w:rsidR="00B30B88">
        <w:t xml:space="preserve"> (Table </w:t>
      </w:r>
      <w:r w:rsidR="00234D06">
        <w:t>6</w:t>
      </w:r>
      <w:r w:rsidR="00B30B88">
        <w:t>)</w:t>
      </w:r>
      <w:r>
        <w:t>.</w:t>
      </w:r>
    </w:p>
    <w:p w14:paraId="70EBA13A" w14:textId="6C450B0F" w:rsidR="008F741E" w:rsidRDefault="001410B8" w:rsidP="007E63B4">
      <w:r>
        <w:lastRenderedPageBreak/>
        <w:t>Under the best-case scenario, hydrilla would colonize only deeper areas of the Great Lakes that do not currently have macrophytes</w:t>
      </w:r>
      <w:r w:rsidR="009E4D45">
        <w:t xml:space="preserve"> </w:t>
      </w:r>
      <w:r w:rsidR="00823E76">
        <w:t>(Lauber et al., 2016)</w:t>
      </w:r>
      <w:r>
        <w:t xml:space="preserve">. Under this scenario, it would improve habitat and fishing opportunities for </w:t>
      </w:r>
      <w:r w:rsidR="00E02680">
        <w:t>yellow perch</w:t>
      </w:r>
      <w:r>
        <w:t xml:space="preserve">, </w:t>
      </w:r>
      <w:r w:rsidR="00E02680">
        <w:t>largemouth bass</w:t>
      </w:r>
      <w:r>
        <w:t xml:space="preserve">, </w:t>
      </w:r>
      <w:r w:rsidR="00E02680">
        <w:t>northern pike</w:t>
      </w:r>
      <w:r>
        <w:t xml:space="preserve">, and </w:t>
      </w:r>
      <w:r w:rsidR="00E02680">
        <w:t>m</w:t>
      </w:r>
      <w:r>
        <w:t>uskellunge</w:t>
      </w:r>
      <w:r w:rsidR="00B30B88">
        <w:t xml:space="preserve"> </w:t>
      </w:r>
      <w:r w:rsidR="00B30B88">
        <w:rPr>
          <w:i/>
        </w:rPr>
        <w:t>Esox masquinongy</w:t>
      </w:r>
      <w:r>
        <w:t>. It could lead to substantial increases in fishing by anglers in a number of Great Lakes states including Michigan (27,000 additional fishing days), Ohio (19,000), Illinois (16,000), and Wisconsin and New York (10,000 each). The economic value of fishing would increase by $3-9 million in each of these states. Minnesota and Pennsylvania would be minimally affected. Great Lakes warmwater fishing would increase by more than 10% under this scenario, with small decreases in other fishing types as people switched to Great Lakes warmwater fishing to take advantage of the improved opportunities</w:t>
      </w:r>
      <w:r w:rsidR="00D3043F">
        <w:t xml:space="preserve"> (Table </w:t>
      </w:r>
      <w:r w:rsidR="00234D06">
        <w:t>3</w:t>
      </w:r>
      <w:r w:rsidR="00D3043F">
        <w:t>)</w:t>
      </w:r>
      <w:r>
        <w:t>. Other types of Great Lakes fishing, coldwater and anadromous, would decrease by 1.4-1.6%</w:t>
      </w:r>
      <w:r w:rsidR="00D772AA">
        <w:t xml:space="preserve"> as anglers substitute toward warmwater species</w:t>
      </w:r>
      <w:r>
        <w:t xml:space="preserve">. Inland fishing would decrease by 0.6%. </w:t>
      </w:r>
      <w:r w:rsidR="006F449B">
        <w:t>Overall, f</w:t>
      </w:r>
      <w:r>
        <w:t>ishing in the Great Lakes states would increase by a total of 0.05%.</w:t>
      </w:r>
    </w:p>
    <w:p w14:paraId="100557C8" w14:textId="619832D9" w:rsidR="006A5AD8" w:rsidRDefault="006A5AD8" w:rsidP="007E63B4">
      <w:r>
        <w:t xml:space="preserve">Under the worst-case scenario, </w:t>
      </w:r>
      <w:r w:rsidR="00A708B0">
        <w:t>hydrilla would replace other macrophytes and form dense monocultures in shallow, calm embayments, particularly in the most productive areas of the lakes</w:t>
      </w:r>
      <w:r w:rsidR="009E4D45">
        <w:t xml:space="preserve"> </w:t>
      </w:r>
      <w:r w:rsidR="00823E76">
        <w:t>(Lauber et al., 2016)</w:t>
      </w:r>
      <w:r w:rsidR="00A708B0">
        <w:t xml:space="preserve">. This change would harm habitat quality and lead to lower catch rates for </w:t>
      </w:r>
      <w:r w:rsidR="00E02680">
        <w:t>yellow perch</w:t>
      </w:r>
      <w:r w:rsidR="00A708B0">
        <w:t xml:space="preserve">, </w:t>
      </w:r>
      <w:r w:rsidR="00E02680">
        <w:t>largemouth bass</w:t>
      </w:r>
      <w:r w:rsidR="00A708B0">
        <w:t xml:space="preserve">, </w:t>
      </w:r>
      <w:r w:rsidR="00E02680">
        <w:t>northern pike</w:t>
      </w:r>
      <w:r w:rsidR="00A708B0">
        <w:t xml:space="preserve">, and </w:t>
      </w:r>
      <w:r w:rsidR="00E02680">
        <w:t>muskellunge</w:t>
      </w:r>
      <w:r w:rsidR="00A708B0">
        <w:t xml:space="preserve">. </w:t>
      </w:r>
      <w:r w:rsidR="00D772AA">
        <w:t>A</w:t>
      </w:r>
      <w:r w:rsidR="00A708B0">
        <w:t>nglers would be most affected in Michigan (loss of 40,000 fishing trips), Ohio (20,000), Illinois (17,000), Wisconsin (12,000), and New York (10,000). Minnesota, Pennsylvania, and Indiana would be minimally affected. Great Lakes warmwater fishing would decrease by nearly 13% overall. Great Lakes coldwater and anadromous fishing would increase by 1.6-1</w:t>
      </w:r>
      <w:r w:rsidR="00E47983">
        <w:t>.8</w:t>
      </w:r>
      <w:r w:rsidR="00A708B0">
        <w:t>%. Inland fishing would increase by 0.7%</w:t>
      </w:r>
      <w:r w:rsidR="00D3043F">
        <w:t xml:space="preserve"> (Table </w:t>
      </w:r>
      <w:r w:rsidR="00234D06">
        <w:t>3</w:t>
      </w:r>
      <w:r w:rsidR="00D3043F">
        <w:t>)</w:t>
      </w:r>
      <w:r w:rsidR="00A708B0">
        <w:t xml:space="preserve">. </w:t>
      </w:r>
      <w:r w:rsidR="006F449B">
        <w:t>O</w:t>
      </w:r>
      <w:r w:rsidR="00A708B0">
        <w:t>verall</w:t>
      </w:r>
      <w:r w:rsidR="006F449B">
        <w:t xml:space="preserve">, </w:t>
      </w:r>
      <w:r w:rsidR="00A708B0">
        <w:t xml:space="preserve">the number of fishing trips would </w:t>
      </w:r>
      <w:r w:rsidR="006F449B">
        <w:t xml:space="preserve">decrease by </w:t>
      </w:r>
      <w:r w:rsidR="004246AB">
        <w:t xml:space="preserve">just </w:t>
      </w:r>
      <w:r w:rsidR="00A708B0">
        <w:t>0.6%.</w:t>
      </w:r>
    </w:p>
    <w:p w14:paraId="15BBA556" w14:textId="4D0F88F2" w:rsidR="00162279" w:rsidRDefault="00162279" w:rsidP="00A90041">
      <w:pPr>
        <w:pStyle w:val="Heading2"/>
      </w:pPr>
      <w:r>
        <w:t>Quagga Mussel</w:t>
      </w:r>
    </w:p>
    <w:p w14:paraId="276834F6" w14:textId="38418AEE" w:rsidR="004B18B8" w:rsidRDefault="004B18B8" w:rsidP="007E63B4">
      <w:r>
        <w:t>The quagga mussel is a benthic filter</w:t>
      </w:r>
      <w:r w:rsidR="002E1375">
        <w:t xml:space="preserve"> </w:t>
      </w:r>
      <w:r>
        <w:t xml:space="preserve">feeder that invaded the Great Lakes in the late 1980s </w:t>
      </w:r>
      <w:r w:rsidR="00350ACC" w:rsidRPr="00350ACC">
        <w:rPr>
          <w:rFonts w:ascii="Calibri" w:hAnsi="Calibri" w:cs="Calibri"/>
        </w:rPr>
        <w:t>(Mills et al., 1993)</w:t>
      </w:r>
      <w:r>
        <w:t xml:space="preserve">. The species is well established in most of the Great Lakes and has replaced zebra mussels </w:t>
      </w:r>
      <w:r w:rsidRPr="00E606C2">
        <w:rPr>
          <w:i/>
        </w:rPr>
        <w:t>Dreissena polymorpha</w:t>
      </w:r>
      <w:r>
        <w:t xml:space="preserve"> in most locations </w:t>
      </w:r>
      <w:r w:rsidR="00350ACC" w:rsidRPr="00350ACC">
        <w:rPr>
          <w:rFonts w:ascii="Calibri" w:hAnsi="Calibri" w:cs="Calibri"/>
        </w:rPr>
        <w:t>(Karatayev et al., 2014)</w:t>
      </w:r>
      <w:r>
        <w:t xml:space="preserve">. Quagga mussels consume phytoplankton and may reduce zooplankton through competition. </w:t>
      </w:r>
    </w:p>
    <w:p w14:paraId="68057AF6" w14:textId="39D6B065" w:rsidR="00406B0A" w:rsidRDefault="00406B0A" w:rsidP="007E63B4">
      <w:r>
        <w:t>The expert panel evaluated the effects of a possible further increase in quagga mussels coupled with increases in salmon through stocking</w:t>
      </w:r>
      <w:r w:rsidR="004B18B8">
        <w:t xml:space="preserve"> or</w:t>
      </w:r>
      <w:r>
        <w:t xml:space="preserve"> </w:t>
      </w:r>
      <w:r w:rsidR="004C1D61">
        <w:t xml:space="preserve">increases in </w:t>
      </w:r>
      <w:r>
        <w:t>wild reproduction</w:t>
      </w:r>
      <w:r w:rsidR="003A0367">
        <w:t xml:space="preserve"> </w:t>
      </w:r>
      <w:r w:rsidR="00823E76">
        <w:t>(Lauber et al., 2016)</w:t>
      </w:r>
      <w:r>
        <w:t xml:space="preserve">. Under these circumstances, they considered it possible that </w:t>
      </w:r>
      <w:r w:rsidR="00E02680">
        <w:t>alewife</w:t>
      </w:r>
      <w:r>
        <w:t xml:space="preserve"> populations could collapse</w:t>
      </w:r>
      <w:r w:rsidR="002E1375">
        <w:t>,</w:t>
      </w:r>
      <w:r>
        <w:t xml:space="preserve"> leading to substantial decreases in </w:t>
      </w:r>
      <w:r w:rsidR="00E02680">
        <w:t>c</w:t>
      </w:r>
      <w:r>
        <w:t xml:space="preserve">oho and </w:t>
      </w:r>
      <w:r w:rsidR="00E02680">
        <w:t>c</w:t>
      </w:r>
      <w:r>
        <w:t xml:space="preserve">hinook </w:t>
      </w:r>
      <w:r w:rsidR="00E02680">
        <w:t>s</w:t>
      </w:r>
      <w:r>
        <w:t>almon populations. Such a scenario was considered most likely to occur in Lake Michigan</w:t>
      </w:r>
      <w:r w:rsidR="004C1D61">
        <w:t xml:space="preserve"> but could also occur in Lake Ontario</w:t>
      </w:r>
      <w:r>
        <w:t xml:space="preserve">. </w:t>
      </w:r>
      <w:r w:rsidR="004C1D61">
        <w:t>Alewife has already collapsed in Lake Huron</w:t>
      </w:r>
      <w:r w:rsidR="00D772AA">
        <w:t>,</w:t>
      </w:r>
      <w:r w:rsidR="004C1D61">
        <w:t xml:space="preserve"> attributed by several authors to decreased nutrient loading, quagga mussels, and high wild production of </w:t>
      </w:r>
      <w:r w:rsidR="00E02680">
        <w:t>c</w:t>
      </w:r>
      <w:r w:rsidR="004C1D61">
        <w:t xml:space="preserve">hinook </w:t>
      </w:r>
      <w:r w:rsidR="00E02680">
        <w:t>s</w:t>
      </w:r>
      <w:r w:rsidR="004C1D61">
        <w:t xml:space="preserve">almon </w:t>
      </w:r>
      <w:r w:rsidR="00364C35" w:rsidRPr="00364C35">
        <w:rPr>
          <w:rFonts w:ascii="Calibri" w:hAnsi="Calibri" w:cs="Calibri"/>
        </w:rPr>
        <w:t>(He et al., 2015; Kao et al., 2016)</w:t>
      </w:r>
      <w:r w:rsidR="004C1D61">
        <w:t xml:space="preserve">.  Note that this </w:t>
      </w:r>
      <w:r w:rsidR="00DD57A7">
        <w:t>worst-case</w:t>
      </w:r>
      <w:r w:rsidR="004C1D61">
        <w:t xml:space="preserve"> scenario would be mediated if fisheries management </w:t>
      </w:r>
      <w:r w:rsidR="003A0367">
        <w:t xml:space="preserve">agencies </w:t>
      </w:r>
      <w:r w:rsidR="000A2F69">
        <w:t xml:space="preserve">take action to </w:t>
      </w:r>
      <w:r w:rsidR="004C1D61">
        <w:t>reduce salmon stocking to appropriate levels</w:t>
      </w:r>
      <w:r w:rsidR="003A0367">
        <w:t xml:space="preserve">—an </w:t>
      </w:r>
      <w:r w:rsidR="004C1D61">
        <w:t>action that to date ha</w:t>
      </w:r>
      <w:r w:rsidR="00D772AA">
        <w:t>s</w:t>
      </w:r>
      <w:r w:rsidR="004C1D61">
        <w:t xml:space="preserve"> been </w:t>
      </w:r>
      <w:r w:rsidR="007B472D">
        <w:t xml:space="preserve">unacceptable </w:t>
      </w:r>
      <w:r w:rsidR="004C1D61">
        <w:t xml:space="preserve">to </w:t>
      </w:r>
      <w:r w:rsidR="003F75FE">
        <w:t>some angler groups</w:t>
      </w:r>
      <w:r w:rsidR="004C1D61">
        <w:t xml:space="preserve"> that wish to maintain high salmonid abundance. The </w:t>
      </w:r>
      <w:r w:rsidR="006F449B">
        <w:t>panel</w:t>
      </w:r>
      <w:r>
        <w:t xml:space="preserve"> compared this possibility with the status quo (which was considered the </w:t>
      </w:r>
      <w:r w:rsidR="00DD57A7">
        <w:t>best-case</w:t>
      </w:r>
      <w:r>
        <w:t xml:space="preserve"> scenario). </w:t>
      </w:r>
    </w:p>
    <w:p w14:paraId="3F42D8E8" w14:textId="21C846CD" w:rsidR="00406B0A" w:rsidRDefault="00406B0A" w:rsidP="007E63B4">
      <w:r>
        <w:lastRenderedPageBreak/>
        <w:t xml:space="preserve">Under the worst-case scenario, 80% of the </w:t>
      </w:r>
      <w:r w:rsidR="00E02680">
        <w:t>c</w:t>
      </w:r>
      <w:r>
        <w:t xml:space="preserve">oho and </w:t>
      </w:r>
      <w:r w:rsidR="00E02680">
        <w:t>c</w:t>
      </w:r>
      <w:r>
        <w:t xml:space="preserve">hinook </w:t>
      </w:r>
      <w:r w:rsidR="00E02680">
        <w:t>s</w:t>
      </w:r>
      <w:r>
        <w:t>almon in Lake Michigan would be lost</w:t>
      </w:r>
      <w:r w:rsidR="003A0367">
        <w:t xml:space="preserve"> </w:t>
      </w:r>
      <w:r w:rsidR="00823E76">
        <w:t>(Lauber et al., 2016)</w:t>
      </w:r>
      <w:r>
        <w:t xml:space="preserve">. </w:t>
      </w:r>
      <w:r w:rsidR="001202DF">
        <w:t>O</w:t>
      </w:r>
      <w:r>
        <w:t>nly anglers living in states on or near Lake Michigan would be affected, but these effects would be dramatic with more than 375,000 fishing days and $128 million in consumer surplus being lost</w:t>
      </w:r>
      <w:r w:rsidR="00B30B88">
        <w:t xml:space="preserve"> (Table </w:t>
      </w:r>
      <w:r w:rsidR="00E606C2">
        <w:t>7</w:t>
      </w:r>
      <w:r w:rsidR="00B30B88">
        <w:t>)</w:t>
      </w:r>
      <w:r>
        <w:t xml:space="preserve">. </w:t>
      </w:r>
      <w:r w:rsidR="00761433">
        <w:t xml:space="preserve">Anglers in Illinois would be most affected </w:t>
      </w:r>
      <w:r w:rsidR="00E20F3B">
        <w:t>(</w:t>
      </w:r>
      <w:r w:rsidR="00761433">
        <w:t>162,000 fishing days lost</w:t>
      </w:r>
      <w:r w:rsidR="00E20F3B">
        <w:t>)</w:t>
      </w:r>
      <w:r w:rsidR="00761433">
        <w:t>. The other states most affected would include Wisconsin (94,000 fishing days), Michigan (78,000), and Indiana</w:t>
      </w:r>
      <w:r w:rsidR="00B30B88">
        <w:t xml:space="preserve"> (41,000)</w:t>
      </w:r>
      <w:r w:rsidR="00761433">
        <w:t>. The loss of consumer surplus would range from $14-55 million in each of these states.</w:t>
      </w:r>
    </w:p>
    <w:p w14:paraId="286B556D" w14:textId="297A57B6" w:rsidR="00761433" w:rsidRDefault="00A75207" w:rsidP="007E63B4">
      <w:r>
        <w:t>The type of fishing most affected under this scenario would be Great Lakes coldwater fishing, which would decrease by nearly 64%</w:t>
      </w:r>
      <w:r w:rsidR="00D3043F">
        <w:t xml:space="preserve"> (Table </w:t>
      </w:r>
      <w:r w:rsidR="00E606C2">
        <w:t>3</w:t>
      </w:r>
      <w:r w:rsidR="00D3043F">
        <w:t>)</w:t>
      </w:r>
      <w:r>
        <w:t>. Although catch rates for anadromous anglers around Lake Michigan would also decrease sharply, participation in anadromous fishing would be much less affected (8% decrease).</w:t>
      </w:r>
    </w:p>
    <w:p w14:paraId="235AD5C0" w14:textId="7D3D4CD7" w:rsidR="00A75207" w:rsidRDefault="00D83256" w:rsidP="007E63B4">
      <w:r>
        <w:t>Other fishing types in the region would increase as anglers switched away from Great Lakes coldwater fishing. Great Lakes warmwater fishing would increase by 5% (more than 562,000 days), and inland fishing would increase by 3% (more than 4,600,000 days). The overall decrease in fishing in the 8-state Great Lakes region would be 0.22%</w:t>
      </w:r>
      <w:r w:rsidR="004246AB">
        <w:t xml:space="preserve"> because the increase in Great Lakes warmwater and inland fishing would nearly make up for the losses in Great Lakes coldwater fishing</w:t>
      </w:r>
      <w:r>
        <w:t>.</w:t>
      </w:r>
    </w:p>
    <w:p w14:paraId="72270EB1" w14:textId="1479C0CD" w:rsidR="00245D9C" w:rsidRDefault="00245D9C" w:rsidP="00614549">
      <w:pPr>
        <w:pStyle w:val="Heading1"/>
      </w:pPr>
      <w:r>
        <w:t>Discussion</w:t>
      </w:r>
    </w:p>
    <w:p w14:paraId="01699459" w14:textId="47BE78AC" w:rsidR="00526000" w:rsidRDefault="00526000" w:rsidP="007E63B4">
      <w:r>
        <w:t>Although the</w:t>
      </w:r>
      <w:r w:rsidR="00E20F3B">
        <w:t>re is widespread concern about potential</w:t>
      </w:r>
      <w:r>
        <w:t xml:space="preserve"> effects of AIS on sportfish and recreational fishing, little work has been done in the Great Lakes to quantify the effects of AIS on recreational fishing participation and the economic value of recreational fishing. </w:t>
      </w:r>
      <w:r w:rsidR="00E00C73">
        <w:t>W</w:t>
      </w:r>
      <w:r w:rsidR="00185E95">
        <w:t>e used previously developed</w:t>
      </w:r>
      <w:r>
        <w:t xml:space="preserve"> scenarios for how AIS might affect sportfish populations in the Great Lakes</w:t>
      </w:r>
      <w:r w:rsidR="008A3E5D">
        <w:t xml:space="preserve"> </w:t>
      </w:r>
      <w:r w:rsidR="00350ACC" w:rsidRPr="00350ACC">
        <w:rPr>
          <w:rFonts w:ascii="Calibri" w:hAnsi="Calibri" w:cs="Calibri"/>
        </w:rPr>
        <w:t>(Lauber et al., 2016)</w:t>
      </w:r>
      <w:r w:rsidR="00E00C73">
        <w:t xml:space="preserve"> </w:t>
      </w:r>
      <w:r>
        <w:t xml:space="preserve">as input for a model developed by Ready et al. </w:t>
      </w:r>
      <w:r w:rsidR="00350ACC" w:rsidRPr="00350ACC">
        <w:rPr>
          <w:rFonts w:ascii="Calibri" w:hAnsi="Calibri" w:cs="Calibri"/>
        </w:rPr>
        <w:t>(2018)</w:t>
      </w:r>
      <w:r>
        <w:t xml:space="preserve"> to determine the possible effects of AIS on fishing participation and value.</w:t>
      </w:r>
    </w:p>
    <w:p w14:paraId="1DE642A7" w14:textId="4C3F7A5B" w:rsidR="00B13C6E" w:rsidRDefault="009D3D2B" w:rsidP="007E63B4">
      <w:r>
        <w:t xml:space="preserve">We evaluated </w:t>
      </w:r>
      <w:r w:rsidR="00E20F3B">
        <w:t xml:space="preserve">ecologically plausible </w:t>
      </w:r>
      <w:r>
        <w:t>impacts</w:t>
      </w:r>
      <w:r w:rsidR="00896488">
        <w:t xml:space="preserve"> of</w:t>
      </w:r>
      <w:r>
        <w:t xml:space="preserve"> </w:t>
      </w:r>
      <w:r w:rsidR="00641C44">
        <w:t xml:space="preserve">five </w:t>
      </w:r>
      <w:r w:rsidR="002E35BD">
        <w:t xml:space="preserve">AIS </w:t>
      </w:r>
      <w:r>
        <w:t xml:space="preserve">on recreational fishing participation and economic value. </w:t>
      </w:r>
      <w:r w:rsidR="00641C44">
        <w:t xml:space="preserve">Because of the inherent uncertainties in predicting how </w:t>
      </w:r>
      <w:r w:rsidR="002E35BD">
        <w:t xml:space="preserve">AIS </w:t>
      </w:r>
      <w:r w:rsidR="00641C44">
        <w:t xml:space="preserve">will affect sportfish, we considered a range of plausible scenarios for each of the </w:t>
      </w:r>
      <w:r w:rsidR="002E35BD">
        <w:t>AIS</w:t>
      </w:r>
      <w:r w:rsidR="00641C44">
        <w:t>. Consequently, we found a wide range of possible outcomes of how these species could affect the recreational fishery. Most, but not all, of these outcomes were negative, depressing recreational fishing and economic value.</w:t>
      </w:r>
    </w:p>
    <w:p w14:paraId="1EE20657" w14:textId="5F121DC3" w:rsidR="00641C44" w:rsidRDefault="00196138" w:rsidP="007E63B4">
      <w:r>
        <w:t xml:space="preserve">Under some scenarios, particular types of fishing could be dramatically affected by AIS. We predicted that days spent on Great Lakes coldwater fishing trips would decrease by more than 60% under the </w:t>
      </w:r>
      <w:r w:rsidR="00DD57A7">
        <w:t>worst-case</w:t>
      </w:r>
      <w:r>
        <w:t xml:space="preserve"> scenar</w:t>
      </w:r>
      <w:r w:rsidR="00A60749">
        <w:t xml:space="preserve">ios for </w:t>
      </w:r>
      <w:r w:rsidR="00E02680">
        <w:t>b</w:t>
      </w:r>
      <w:r w:rsidR="00A60749">
        <w:t>ighead</w:t>
      </w:r>
      <w:r w:rsidR="003F75FE">
        <w:t>/</w:t>
      </w:r>
      <w:r w:rsidR="00E02680">
        <w:t>s</w:t>
      </w:r>
      <w:r w:rsidR="00A60749">
        <w:t xml:space="preserve">ilver </w:t>
      </w:r>
      <w:r w:rsidR="00E02680">
        <w:t>c</w:t>
      </w:r>
      <w:r w:rsidR="00A60749">
        <w:t xml:space="preserve">arp and </w:t>
      </w:r>
      <w:r w:rsidR="00263264">
        <w:t>q</w:t>
      </w:r>
      <w:r w:rsidR="00A60749">
        <w:t xml:space="preserve">uagga mussels. </w:t>
      </w:r>
      <w:r w:rsidR="007B472D">
        <w:t>E</w:t>
      </w:r>
      <w:r w:rsidR="00A60749">
        <w:t>ven under these extreme scenarios,</w:t>
      </w:r>
      <w:r w:rsidR="00E20F3B">
        <w:t xml:space="preserve"> however,</w:t>
      </w:r>
      <w:r w:rsidR="00A60749">
        <w:t xml:space="preserve"> the overall loss of recreational fishing participation in the 8-state Great Lakes region would be low. The </w:t>
      </w:r>
      <w:r w:rsidR="003F75FE">
        <w:t xml:space="preserve">total </w:t>
      </w:r>
      <w:r w:rsidR="00A60749">
        <w:t>number of fishing trips never decreased by more than 0.25%, even under these scenarios.</w:t>
      </w:r>
      <w:r w:rsidR="00D772AA">
        <w:t xml:space="preserve"> </w:t>
      </w:r>
    </w:p>
    <w:p w14:paraId="00CB5265" w14:textId="64F89973" w:rsidR="00A60749" w:rsidRDefault="009D349C" w:rsidP="007E63B4">
      <w:r>
        <w:lastRenderedPageBreak/>
        <w:t>A number of reasons</w:t>
      </w:r>
      <w:r w:rsidR="004C634A">
        <w:t xml:space="preserve"> underlie</w:t>
      </w:r>
      <w:r>
        <w:t xml:space="preserve"> this outcome. To begin with, recreational fishing is dominated by inland fishing, even in the Great Lakes states. More than 85% of the fishing trips taken in the Great Lakes region are to inland fishing locations. </w:t>
      </w:r>
      <w:r w:rsidR="00AD3B94">
        <w:t>Therefore, e</w:t>
      </w:r>
      <w:r>
        <w:t xml:space="preserve">ven when </w:t>
      </w:r>
      <w:r w:rsidR="007C4BC1">
        <w:t xml:space="preserve">Great Lakes fishing is </w:t>
      </w:r>
      <w:r w:rsidR="004C634A">
        <w:t xml:space="preserve">dramatically </w:t>
      </w:r>
      <w:r w:rsidR="007C4BC1">
        <w:t>affected by AIS, the vast majority of fishing trips are unaffected.</w:t>
      </w:r>
      <w:r w:rsidR="000A2F69">
        <w:t xml:space="preserve"> </w:t>
      </w:r>
    </w:p>
    <w:p w14:paraId="1E03E5C0" w14:textId="7FED5954" w:rsidR="007C4BC1" w:rsidRDefault="007C4BC1" w:rsidP="007E63B4">
      <w:r>
        <w:t>Second, AIS effects differ geographically</w:t>
      </w:r>
      <w:r w:rsidR="004C634A">
        <w:t xml:space="preserve">. For many scenarios, </w:t>
      </w:r>
      <w:r>
        <w:t>only some of the Great Lakes states</w:t>
      </w:r>
      <w:r w:rsidR="004C634A">
        <w:t xml:space="preserve"> are</w:t>
      </w:r>
      <w:r>
        <w:t xml:space="preserve"> affected. Anglers from Michigan and Illinois would be among the most adversely affected </w:t>
      </w:r>
      <w:r w:rsidR="002D29AC">
        <w:t xml:space="preserve">for all AIS scenarios. Anglers from Ohio would be </w:t>
      </w:r>
      <w:r w:rsidR="001202DF">
        <w:t xml:space="preserve">seriously </w:t>
      </w:r>
      <w:r w:rsidR="002D29AC">
        <w:t xml:space="preserve">affected by the scenarios impacting warmwater fishing, and Wisconsin anglers would be </w:t>
      </w:r>
      <w:r w:rsidR="007B472D">
        <w:t xml:space="preserve">particular </w:t>
      </w:r>
      <w:r w:rsidR="002D29AC">
        <w:t>affected by those sce</w:t>
      </w:r>
      <w:r w:rsidR="00896488">
        <w:t>n</w:t>
      </w:r>
      <w:r w:rsidR="002D29AC">
        <w:t xml:space="preserve">arios impacting </w:t>
      </w:r>
      <w:r w:rsidR="00896488">
        <w:t>coldwater</w:t>
      </w:r>
      <w:r w:rsidR="002D29AC">
        <w:t xml:space="preserve"> fishing. </w:t>
      </w:r>
      <w:r w:rsidR="004C634A">
        <w:t>A</w:t>
      </w:r>
      <w:r w:rsidR="002D29AC">
        <w:t>nglers from Pennsylvania and Minnesota, where only 1-3% of the fishing trips are Great Lakes fishing trips, would be relatively unaffected by most scenarios.</w:t>
      </w:r>
      <w:r w:rsidR="00DA5AFF">
        <w:t xml:space="preserve"> This geographical specificity moderates the </w:t>
      </w:r>
      <w:r w:rsidR="004C634A">
        <w:t xml:space="preserve">overall </w:t>
      </w:r>
      <w:r w:rsidR="00DA5AFF">
        <w:t>effects of some scenarios.</w:t>
      </w:r>
    </w:p>
    <w:p w14:paraId="7190B1F7" w14:textId="7D4D4F3B" w:rsidR="00AD3B94" w:rsidRDefault="00DA5AFF" w:rsidP="00AD3B94">
      <w:r>
        <w:t xml:space="preserve">Third, </w:t>
      </w:r>
      <w:r w:rsidR="00AD3B94">
        <w:t>the overall decline</w:t>
      </w:r>
      <w:r w:rsidR="004C698D">
        <w:t xml:space="preserve"> in fishing participation is attenuated because the model shows that many</w:t>
      </w:r>
      <w:r w:rsidR="00AD3B94">
        <w:t xml:space="preserve"> anglers may simply switch to different types of fishing</w:t>
      </w:r>
      <w:r w:rsidR="004C698D">
        <w:t xml:space="preserve"> if one </w:t>
      </w:r>
      <w:r w:rsidR="00823E76">
        <w:t xml:space="preserve">type </w:t>
      </w:r>
      <w:r w:rsidR="004C698D">
        <w:t>declines</w:t>
      </w:r>
      <w:r w:rsidR="00D772AA">
        <w:t xml:space="preserve"> and to different destinations if only selected areas</w:t>
      </w:r>
      <w:r w:rsidR="00823E76">
        <w:t xml:space="preserve"> are affected</w:t>
      </w:r>
      <w:r w:rsidR="00AD3B94">
        <w:t xml:space="preserve">. In all of the scenarios described above, when one type of fishing was negatively affected, other fishing types increased as anglers switched to fishing for species that were </w:t>
      </w:r>
      <w:r w:rsidR="004C698D">
        <w:t>unaffected</w:t>
      </w:r>
      <w:r w:rsidR="00AD3B94">
        <w:t>. This switching behavior often led to substantial increases in days spent fishing for sportfish that were not affected by AIS</w:t>
      </w:r>
      <w:r w:rsidR="00616FA1">
        <w:t xml:space="preserve">. These </w:t>
      </w:r>
      <w:r w:rsidR="00AD3B94">
        <w:t xml:space="preserve">increases were </w:t>
      </w:r>
      <w:r w:rsidR="00616FA1">
        <w:t xml:space="preserve">often </w:t>
      </w:r>
      <w:r w:rsidR="00823E76">
        <w:t>nearly</w:t>
      </w:r>
      <w:r w:rsidR="00AD3B94">
        <w:t xml:space="preserve"> enough to make up for the losses.</w:t>
      </w:r>
    </w:p>
    <w:p w14:paraId="7D280787" w14:textId="740BE951" w:rsidR="00DA5AFF" w:rsidRDefault="004C698D" w:rsidP="007E63B4">
      <w:r>
        <w:t xml:space="preserve">Further, </w:t>
      </w:r>
      <w:r w:rsidR="00DA5AFF">
        <w:t>not all anglers fish less when their preferred type of fishing declines in quality</w:t>
      </w:r>
      <w:r w:rsidR="001202DF">
        <w:t xml:space="preserve"> (defined as catch rates in this study)</w:t>
      </w:r>
      <w:r w:rsidR="00DA5AFF">
        <w:t xml:space="preserve">. Some anglers care less </w:t>
      </w:r>
      <w:r w:rsidR="00AD3B94">
        <w:t xml:space="preserve">than others </w:t>
      </w:r>
      <w:r w:rsidR="00DA5AFF">
        <w:t xml:space="preserve">about catch rates. Anadromous anglers, in particular, are among the least affected by catch rates. Although catch rates for both Great Lakes coldwater fishing and anadromous fishing are dependent on salmonid populations, when populations of salmonids drop sharply, participation in Great Lakes coldwater fishing decreases much more sharply than participation in anadromous fishing. </w:t>
      </w:r>
    </w:p>
    <w:p w14:paraId="6EB38769" w14:textId="0F7AB8EF" w:rsidR="00BD776A" w:rsidRDefault="00535A98" w:rsidP="007E63B4">
      <w:r>
        <w:t xml:space="preserve">For all of these reasons, declines in fishing participation and value are often much less than the corresponding decreases in sportfish populations. Nevertheless, under some conditions the loss of </w:t>
      </w:r>
      <w:r w:rsidR="00823E76">
        <w:t xml:space="preserve">net economic </w:t>
      </w:r>
      <w:r>
        <w:t xml:space="preserve">value can be substantial. For all of the AIS we considered, the </w:t>
      </w:r>
      <w:r w:rsidR="00DD57A7">
        <w:t>worst-case</w:t>
      </w:r>
      <w:r>
        <w:t xml:space="preserve"> scenarios involved economic losses at least in the tens of millions of dollars, and some scenarios involved losses </w:t>
      </w:r>
      <w:r w:rsidR="00D772AA">
        <w:t xml:space="preserve">in net economic value </w:t>
      </w:r>
      <w:r>
        <w:t>of nearly $140 million. The</w:t>
      </w:r>
      <w:r w:rsidR="00D772AA">
        <w:t xml:space="preserve"> projected decrease in visits to </w:t>
      </w:r>
      <w:r w:rsidR="00C6551F">
        <w:t xml:space="preserve">specific </w:t>
      </w:r>
      <w:r w:rsidR="00D772AA">
        <w:t xml:space="preserve">destinations </w:t>
      </w:r>
      <w:r w:rsidR="00C6551F">
        <w:t xml:space="preserve">for specific fishing types </w:t>
      </w:r>
      <w:r>
        <w:t xml:space="preserve">might have considerable effects </w:t>
      </w:r>
      <w:r w:rsidR="00C6551F">
        <w:t xml:space="preserve">on local economies </w:t>
      </w:r>
      <w:r>
        <w:t>in states and regions that depend on Great Lakes fishing.</w:t>
      </w:r>
    </w:p>
    <w:p w14:paraId="28C763C2" w14:textId="0F4B6295" w:rsidR="00BE55C5" w:rsidRDefault="00BE55C5" w:rsidP="007E63B4">
      <w:r>
        <w:t xml:space="preserve">The chief limitation of our projections of economic loss and changes in fishing participation is that </w:t>
      </w:r>
      <w:r w:rsidR="00023ABF">
        <w:t>considerable uncertainty exists about which of the scenarios is most likely to occur</w:t>
      </w:r>
      <w:r w:rsidR="0067583A">
        <w:t xml:space="preserve">. </w:t>
      </w:r>
      <w:r w:rsidR="00B95DE4">
        <w:t xml:space="preserve">When Lauber et al. </w:t>
      </w:r>
      <w:r w:rsidR="00350ACC" w:rsidRPr="00350ACC">
        <w:rPr>
          <w:rFonts w:ascii="Calibri" w:hAnsi="Calibri" w:cs="Calibri"/>
        </w:rPr>
        <w:t>(2016)</w:t>
      </w:r>
      <w:r w:rsidR="00242815">
        <w:t xml:space="preserve"> </w:t>
      </w:r>
      <w:r w:rsidR="00B95DE4">
        <w:t xml:space="preserve">asked the expert panelists who developed the scenarios to rate the likelihood of each one, the mean ratings </w:t>
      </w:r>
      <w:r w:rsidR="005658AB">
        <w:t xml:space="preserve">of almost all scenarios </w:t>
      </w:r>
      <w:r w:rsidR="00B95DE4">
        <w:t xml:space="preserve">ranged from </w:t>
      </w:r>
      <w:r w:rsidR="005658AB">
        <w:t xml:space="preserve">“unlikely” </w:t>
      </w:r>
      <w:r w:rsidR="00B95DE4">
        <w:t xml:space="preserve">to </w:t>
      </w:r>
      <w:r w:rsidR="005658AB">
        <w:t>“possible, but not likely</w:t>
      </w:r>
      <w:r w:rsidR="00B95DE4">
        <w:t>.</w:t>
      </w:r>
      <w:r w:rsidR="005658AB">
        <w:t>”</w:t>
      </w:r>
      <w:r w:rsidR="00B95DE4">
        <w:t xml:space="preserve"> </w:t>
      </w:r>
      <w:r w:rsidR="00EF0A9E">
        <w:t xml:space="preserve">Panelists also recognized that the establishment of more than one AIS in the same region could lead to additional scenarios that managers might face in the future. Nevertheless, any </w:t>
      </w:r>
      <w:r w:rsidR="00B95DE4">
        <w:t xml:space="preserve">method used to project possible future invasive species </w:t>
      </w:r>
      <w:r w:rsidR="00242815">
        <w:t>e</w:t>
      </w:r>
      <w:r w:rsidR="00B95DE4">
        <w:t xml:space="preserve">ffects would be </w:t>
      </w:r>
      <w:r w:rsidR="00B95DE4">
        <w:lastRenderedPageBreak/>
        <w:t>similarly uncertain</w:t>
      </w:r>
      <w:r w:rsidR="009D19FA">
        <w:t>, and f</w:t>
      </w:r>
      <w:r w:rsidR="00B95DE4">
        <w:t xml:space="preserve">isheries managers and policy makers still have to make decisions </w:t>
      </w:r>
      <w:r w:rsidR="00242815">
        <w:t>in the face of this uncertainty</w:t>
      </w:r>
      <w:r w:rsidR="00B95DE4">
        <w:t xml:space="preserve">. </w:t>
      </w:r>
      <w:r w:rsidR="005658AB">
        <w:t xml:space="preserve">Under such conditions, scientists have often assessed the likelihood of different outcomes </w:t>
      </w:r>
      <w:r w:rsidR="008250AF">
        <w:t xml:space="preserve">using subjective assessments by experts </w:t>
      </w:r>
      <w:r w:rsidR="00350ACC" w:rsidRPr="00350ACC">
        <w:rPr>
          <w:rFonts w:ascii="Calibri" w:hAnsi="Calibri" w:cs="Calibri"/>
        </w:rPr>
        <w:t>(Goodwin and Wright, 1999; Morgan, 2014)</w:t>
      </w:r>
      <w:r w:rsidR="008250AF">
        <w:t xml:space="preserve">. </w:t>
      </w:r>
      <w:r w:rsidR="005658AB">
        <w:t xml:space="preserve">The scenario-building approach that we used is </w:t>
      </w:r>
      <w:r w:rsidR="008250AF">
        <w:t xml:space="preserve">an expert-judgment approach that is </w:t>
      </w:r>
      <w:r w:rsidR="005658AB">
        <w:t xml:space="preserve">premised on the assumption that the likelihood of any particular scenario accurately describing the future is low </w:t>
      </w:r>
      <w:r w:rsidR="00350ACC" w:rsidRPr="00350ACC">
        <w:rPr>
          <w:rFonts w:ascii="Calibri" w:hAnsi="Calibri" w:cs="Calibri"/>
        </w:rPr>
        <w:t>(Schoemaker, 1995; Van der Heijden, 1996, 1994)</w:t>
      </w:r>
      <w:r w:rsidR="005658AB">
        <w:t xml:space="preserve">. </w:t>
      </w:r>
      <w:r w:rsidR="004C634A">
        <w:t>D</w:t>
      </w:r>
      <w:r w:rsidR="002D21A5">
        <w:t>eveloping a wide range of scenarios narrows down the range of possibl</w:t>
      </w:r>
      <w:r w:rsidR="00242815">
        <w:t>e</w:t>
      </w:r>
      <w:r w:rsidR="005658AB">
        <w:t xml:space="preserve"> </w:t>
      </w:r>
      <w:r w:rsidR="0071713A">
        <w:t xml:space="preserve">future </w:t>
      </w:r>
      <w:r w:rsidR="005658AB">
        <w:t>impacts on fishing and the economy</w:t>
      </w:r>
      <w:r w:rsidR="002D21A5">
        <w:t xml:space="preserve"> that decision makers need to consider</w:t>
      </w:r>
      <w:r w:rsidR="0071713A">
        <w:t xml:space="preserve"> when developing fishery management and local economic development plans</w:t>
      </w:r>
      <w:r w:rsidR="002D21A5">
        <w:t xml:space="preserve">. </w:t>
      </w:r>
      <w:r w:rsidR="00D865F4">
        <w:t xml:space="preserve">Our projection of potential economic effects of AIS can also be used to help evaluate and justify possible management actions designed to prevent the establishment of new AIS or control existing AIS. </w:t>
      </w:r>
      <w:r w:rsidR="007E2FC2">
        <w:t xml:space="preserve">Even if none of the individual scenarios develops as </w:t>
      </w:r>
      <w:r w:rsidR="00ED5CA3">
        <w:t>described</w:t>
      </w:r>
      <w:r w:rsidR="007E2FC2">
        <w:t xml:space="preserve">, collectively they help to define the boundaries around a range of possible future conditions </w:t>
      </w:r>
      <w:r w:rsidR="00ED5CA3">
        <w:t>that decision makers might face</w:t>
      </w:r>
      <w:r w:rsidR="00D865F4">
        <w:t xml:space="preserve">. </w:t>
      </w:r>
      <w:r w:rsidR="0067583A">
        <w:t xml:space="preserve">If any of the AIS we consider do become more widely established in the Great Lakes, additional research could assess how subsequent changes in fishing participation compare to our projections. This work would also provide an opportunity to evaluate methods for making these projections. </w:t>
      </w:r>
    </w:p>
    <w:p w14:paraId="3D493ED2" w14:textId="1524DE48" w:rsidR="0067583A" w:rsidRDefault="0067583A" w:rsidP="007E63B4">
      <w:r>
        <w:t>Although our model was developed to assess the effects of AIS, it is equally suitable for application to other fishery perturbations that could affect catch rates in the Great Lakes states and, therefore, fishing participation. The model could be used</w:t>
      </w:r>
      <w:r w:rsidR="00607BBA">
        <w:t xml:space="preserve">, for example, </w:t>
      </w:r>
      <w:r>
        <w:t>to assess how other environmental stressors, such as disease or climate change, might influence fishing participation and value in the future.</w:t>
      </w:r>
    </w:p>
    <w:p w14:paraId="3778FC22" w14:textId="5412D7CC" w:rsidR="00A90041" w:rsidRDefault="00A90041" w:rsidP="00A90041">
      <w:pPr>
        <w:pStyle w:val="Heading1"/>
        <w:rPr>
          <w:b w:val="0"/>
        </w:rPr>
      </w:pPr>
      <w:r>
        <w:t>Acknowledgements</w:t>
      </w:r>
    </w:p>
    <w:p w14:paraId="1085ED69" w14:textId="7AF9162C" w:rsidR="00A90041" w:rsidRPr="00A90041" w:rsidRDefault="00A90041" w:rsidP="00A90041">
      <w:r w:rsidRPr="00A90041">
        <w:t>The work described in this manuscript was supported by</w:t>
      </w:r>
      <w:r>
        <w:t xml:space="preserve"> </w:t>
      </w:r>
      <w:r w:rsidRPr="00A90041">
        <w:t>funding from the Great Lakes Fishery Commission. We</w:t>
      </w:r>
      <w:r>
        <w:t xml:space="preserve"> </w:t>
      </w:r>
      <w:r w:rsidRPr="00A90041">
        <w:t>appreciate the contributions of the individuals who participated</w:t>
      </w:r>
      <w:r>
        <w:t xml:space="preserve"> </w:t>
      </w:r>
      <w:r w:rsidRPr="00A90041">
        <w:t>in the scenario-building process</w:t>
      </w:r>
      <w:r>
        <w:t xml:space="preserve"> that supported the analyses in this manuscript,</w:t>
      </w:r>
      <w:r w:rsidRPr="00A90041">
        <w:t xml:space="preserve"> but who are not authors</w:t>
      </w:r>
      <w:r>
        <w:t xml:space="preserve"> </w:t>
      </w:r>
      <w:r w:rsidRPr="00A90041">
        <w:t xml:space="preserve">of this manuscript, including </w:t>
      </w:r>
      <w:r>
        <w:t xml:space="preserve">David Bunnell, </w:t>
      </w:r>
      <w:r w:rsidRPr="00A90041">
        <w:t>Stephanie Guildford, Robert</w:t>
      </w:r>
      <w:r>
        <w:t xml:space="preserve"> </w:t>
      </w:r>
      <w:r w:rsidRPr="00A90041">
        <w:t xml:space="preserve">Hecky, </w:t>
      </w:r>
      <w:r>
        <w:t>Tomas H</w:t>
      </w:r>
      <w:r>
        <w:rPr>
          <w:rFonts w:cstheme="minorHAnsi"/>
        </w:rPr>
        <w:t xml:space="preserve">öök, Marten Koops, Stuart Ludsin, Edward Rutherford, </w:t>
      </w:r>
      <w:r w:rsidRPr="00A90041">
        <w:t>Tom Stewart, Andy Todd, and Marion Wittmann.</w:t>
      </w:r>
      <w:r>
        <w:t xml:space="preserve"> </w:t>
      </w:r>
    </w:p>
    <w:p w14:paraId="71ED946F" w14:textId="7775EA8C" w:rsidR="00A90041" w:rsidRPr="00A90041" w:rsidRDefault="00A90041" w:rsidP="00A90041"/>
    <w:p w14:paraId="4862827A" w14:textId="7B1A8A29" w:rsidR="008F6915" w:rsidRDefault="00A90041" w:rsidP="00614549">
      <w:pPr>
        <w:pStyle w:val="Heading1"/>
      </w:pPr>
      <w:r>
        <w:t>References</w:t>
      </w:r>
    </w:p>
    <w:p w14:paraId="33C8BA2C" w14:textId="2395FC0F" w:rsidR="007D434F" w:rsidRPr="00DD7DA8" w:rsidRDefault="007D434F" w:rsidP="007D434F">
      <w:pPr>
        <w:pStyle w:val="Bibliography"/>
        <w:rPr>
          <w:rFonts w:ascii="Calibri" w:hAnsi="Calibri" w:cs="Calibri"/>
        </w:rPr>
      </w:pPr>
      <w:r w:rsidRPr="00DD7DA8">
        <w:rPr>
          <w:rFonts w:ascii="Calibri" w:hAnsi="Calibri" w:cs="Calibri"/>
        </w:rPr>
        <w:t>Allan, J.D., McIntyre, P.B., Smith, S.D.P., Halpern, B.S., Boyer, G.L., Buchsbaum, A., Burton, G.A., Campbell, L.M., Chadderton, W.L., Ciborowski, J.J.H., Doran, P.J., Eder, T., Infante, D.M., Johnson, L.B., Joseph, C.A., Marino, A.L., Prusevich, A., Read, J.G., Rose, J.B., Rutherford, E.S., Sowa, S.P., Steinman, A.D., 2013. Joint analysis of stressors and ecosystem services to enhance restoration effectiveness. Proc. Natl. Acad. Sci. 110, 372–377. https://doi.org/10.1073/pnas.1213841110</w:t>
      </w:r>
    </w:p>
    <w:p w14:paraId="369AEEEB" w14:textId="09FFEF92" w:rsidR="007D434F" w:rsidRPr="00DD7DA8" w:rsidRDefault="007D434F" w:rsidP="007D434F">
      <w:pPr>
        <w:pStyle w:val="Bibliography"/>
        <w:rPr>
          <w:rFonts w:ascii="Calibri" w:hAnsi="Calibri" w:cs="Calibri"/>
        </w:rPr>
      </w:pPr>
      <w:r w:rsidRPr="00DD7DA8">
        <w:rPr>
          <w:rFonts w:ascii="Calibri" w:hAnsi="Calibri" w:cs="Calibri"/>
        </w:rPr>
        <w:t xml:space="preserve">Anderson, K.R., Chapman, D.C., Wynne, T.T., Masagounder, K., Paukert, C.P., 2015. Suitability of Lake Erie for bigheaded carps based on bioenergetic models and remote sensing. J. </w:t>
      </w:r>
      <w:r w:rsidR="00FA4CF7">
        <w:rPr>
          <w:rFonts w:ascii="Calibri" w:hAnsi="Calibri" w:cs="Calibri"/>
        </w:rPr>
        <w:t>Great</w:t>
      </w:r>
      <w:r w:rsidRPr="00DD7DA8">
        <w:rPr>
          <w:rFonts w:ascii="Calibri" w:hAnsi="Calibri" w:cs="Calibri"/>
        </w:rPr>
        <w:t xml:space="preserve"> Lakes Res. 41, 358–366. https://doi.org/10.1016/j.jglr.2015.03.029</w:t>
      </w:r>
    </w:p>
    <w:p w14:paraId="720CED0B" w14:textId="64EE6470" w:rsidR="007D434F" w:rsidRPr="00DD7DA8" w:rsidRDefault="007D434F" w:rsidP="007D434F">
      <w:pPr>
        <w:pStyle w:val="Bibliography"/>
        <w:rPr>
          <w:rFonts w:ascii="Calibri" w:hAnsi="Calibri" w:cs="Calibri"/>
        </w:rPr>
      </w:pPr>
      <w:r w:rsidRPr="00DD7DA8">
        <w:rPr>
          <w:rFonts w:ascii="Calibri" w:hAnsi="Calibri" w:cs="Calibri"/>
        </w:rPr>
        <w:lastRenderedPageBreak/>
        <w:t xml:space="preserve">Buck, E., Upton, H., Stern, C., Nicols, J., 2010. Asian </w:t>
      </w:r>
      <w:r w:rsidR="0081489A" w:rsidRPr="00DD7DA8">
        <w:rPr>
          <w:rFonts w:ascii="Calibri" w:hAnsi="Calibri" w:cs="Calibri"/>
        </w:rPr>
        <w:t>c</w:t>
      </w:r>
      <w:r w:rsidRPr="00DD7DA8">
        <w:rPr>
          <w:rFonts w:ascii="Calibri" w:hAnsi="Calibri" w:cs="Calibri"/>
        </w:rPr>
        <w:t xml:space="preserve">arp and the Great Lakes </w:t>
      </w:r>
      <w:r w:rsidR="0081489A" w:rsidRPr="00DD7DA8">
        <w:rPr>
          <w:rFonts w:ascii="Calibri" w:hAnsi="Calibri" w:cs="Calibri"/>
        </w:rPr>
        <w:t>r</w:t>
      </w:r>
      <w:r w:rsidRPr="00DD7DA8">
        <w:rPr>
          <w:rFonts w:ascii="Calibri" w:hAnsi="Calibri" w:cs="Calibri"/>
        </w:rPr>
        <w:t>egion. Congr. Res. Serv. Rep.</w:t>
      </w:r>
    </w:p>
    <w:p w14:paraId="74EEBE4C" w14:textId="354A0910" w:rsidR="007D434F" w:rsidRPr="00DD7DA8" w:rsidRDefault="007D434F" w:rsidP="007D434F">
      <w:pPr>
        <w:pStyle w:val="Bibliography"/>
        <w:rPr>
          <w:rFonts w:ascii="Calibri" w:hAnsi="Calibri" w:cs="Calibri"/>
        </w:rPr>
      </w:pPr>
      <w:r w:rsidRPr="00DD7DA8">
        <w:rPr>
          <w:rFonts w:ascii="Calibri" w:hAnsi="Calibri" w:cs="Calibri"/>
        </w:rPr>
        <w:t xml:space="preserve">Chapman, D.C., Davis, J.J., Jenkins, J.A., Kocovsky, P.M., Miner, J.G., Farver, J., Jackson, P.R., 2013. First evidence of grass carp recruitment in the Great Lakes Basin. J. </w:t>
      </w:r>
      <w:r w:rsidR="00FA4CF7">
        <w:rPr>
          <w:rFonts w:ascii="Calibri" w:hAnsi="Calibri" w:cs="Calibri"/>
        </w:rPr>
        <w:t>Great</w:t>
      </w:r>
      <w:r w:rsidRPr="00DD7DA8">
        <w:rPr>
          <w:rFonts w:ascii="Calibri" w:hAnsi="Calibri" w:cs="Calibri"/>
        </w:rPr>
        <w:t xml:space="preserve"> Lakes Res. 39, 547–554. https://doi.org/10.1016/j.jglr.2013.09.019</w:t>
      </w:r>
    </w:p>
    <w:p w14:paraId="06075AD4" w14:textId="17778C47" w:rsidR="007D434F" w:rsidRPr="00DD7DA8" w:rsidRDefault="007D434F" w:rsidP="007D434F">
      <w:pPr>
        <w:pStyle w:val="Bibliography"/>
        <w:rPr>
          <w:rFonts w:ascii="Calibri" w:hAnsi="Calibri" w:cs="Calibri"/>
        </w:rPr>
      </w:pPr>
      <w:r w:rsidRPr="00DD7DA8">
        <w:rPr>
          <w:rFonts w:ascii="Calibri" w:hAnsi="Calibri" w:cs="Calibri"/>
        </w:rPr>
        <w:t>Courtenay, W.R., Williams, J.D., 2004. Snakeheads (</w:t>
      </w:r>
      <w:r w:rsidRPr="00DD7DA8">
        <w:rPr>
          <w:rFonts w:ascii="Calibri" w:hAnsi="Calibri" w:cs="Calibri"/>
          <w:i/>
        </w:rPr>
        <w:t>Pisces, Channidae</w:t>
      </w:r>
      <w:r w:rsidRPr="00DD7DA8">
        <w:rPr>
          <w:rFonts w:ascii="Calibri" w:hAnsi="Calibri" w:cs="Calibri"/>
        </w:rPr>
        <w:t>): a biological synopsis and risk assessment. U.S. Dept. of the Interior, U.S. Geological Survey, Gainesville, FL</w:t>
      </w:r>
      <w:r w:rsidR="0081489A" w:rsidRPr="00DD7DA8">
        <w:rPr>
          <w:rFonts w:ascii="Calibri" w:hAnsi="Calibri" w:cs="Calibri"/>
        </w:rPr>
        <w:t>.</w:t>
      </w:r>
    </w:p>
    <w:p w14:paraId="63343C2C" w14:textId="116BD2FD" w:rsidR="007D434F" w:rsidRPr="00DD7DA8" w:rsidRDefault="007D434F" w:rsidP="0081489A">
      <w:pPr>
        <w:pStyle w:val="Bibliography"/>
        <w:rPr>
          <w:rFonts w:ascii="Calibri" w:hAnsi="Calibri" w:cs="Calibri"/>
        </w:rPr>
      </w:pPr>
      <w:r w:rsidRPr="00DD7DA8">
        <w:rPr>
          <w:rFonts w:ascii="Calibri" w:hAnsi="Calibri" w:cs="Calibri"/>
        </w:rPr>
        <w:t>Currie, W.J.S., Cuddington, K.M.D., Stewart, T.J., Zhang, H., Koops, M.A., 2012. Modelling spread, establishment and impact of bighead and silver carps in the Great Lakes.</w:t>
      </w:r>
      <w:r w:rsidR="0081489A" w:rsidRPr="00DD7DA8">
        <w:rPr>
          <w:rFonts w:ascii="Calibri" w:hAnsi="Calibri" w:cs="Calibri"/>
        </w:rPr>
        <w:t xml:space="preserve"> Canadian Science Advisory Secretariat Research Document 2011/113.</w:t>
      </w:r>
    </w:p>
    <w:p w14:paraId="65F556EC" w14:textId="079C6107" w:rsidR="007D434F" w:rsidRPr="00DD7DA8" w:rsidRDefault="007D434F" w:rsidP="007D434F">
      <w:pPr>
        <w:pStyle w:val="Bibliography"/>
        <w:rPr>
          <w:rFonts w:ascii="Calibri" w:hAnsi="Calibri" w:cs="Calibri"/>
        </w:rPr>
      </w:pPr>
      <w:r w:rsidRPr="00DD7DA8">
        <w:rPr>
          <w:rFonts w:ascii="Calibri" w:hAnsi="Calibri" w:cs="Calibri"/>
        </w:rPr>
        <w:t>Dick, J.T.A., Hatcher, M.J., Dunn, A.M., Weyl, O.L.F., Richardson, D.M., Farnsworth, K.D., Paterson, R.A., Ricciardi, A., Jeschke, J.M., Alexander, M.E., Kumschick, S., Robinson, T.B., MacIsaac, H.J., 2014. Advancing impact prediction and hypothesis testing in invasion ecology using a comparative functional response approach. Biol. Invasions 16, 735–753. https://doi.org/10.1007/s10530-013-0550-8</w:t>
      </w:r>
    </w:p>
    <w:p w14:paraId="10148E01" w14:textId="3759FC23" w:rsidR="007D434F" w:rsidRPr="00DD7DA8" w:rsidRDefault="007D434F" w:rsidP="007D434F">
      <w:pPr>
        <w:pStyle w:val="Bibliography"/>
        <w:rPr>
          <w:rFonts w:ascii="Calibri" w:hAnsi="Calibri" w:cs="Calibri"/>
        </w:rPr>
      </w:pPr>
      <w:r w:rsidRPr="00DD7DA8">
        <w:rPr>
          <w:rFonts w:ascii="Calibri" w:hAnsi="Calibri" w:cs="Calibri"/>
        </w:rPr>
        <w:t>Dodd, J.A., Dunn, A.M., Aldridge, D.C., MacNeil, C., Dick, J.T.A., Alexander, M.E., 2014. Predicting the ecological impacts of a new freshwater invader: functional responses and prey selectivity of the ‘killer shrimp’,</w:t>
      </w:r>
      <w:r w:rsidRPr="00DD7DA8">
        <w:rPr>
          <w:rFonts w:ascii="Calibri" w:hAnsi="Calibri" w:cs="Calibri"/>
          <w:i/>
        </w:rPr>
        <w:t xml:space="preserve"> Dikerogammarus villosus</w:t>
      </w:r>
      <w:r w:rsidRPr="00DD7DA8">
        <w:rPr>
          <w:rFonts w:ascii="Calibri" w:hAnsi="Calibri" w:cs="Calibri"/>
        </w:rPr>
        <w:t xml:space="preserve">, compared to the native </w:t>
      </w:r>
      <w:r w:rsidRPr="00DD7DA8">
        <w:rPr>
          <w:rFonts w:ascii="Calibri" w:hAnsi="Calibri" w:cs="Calibri"/>
          <w:i/>
        </w:rPr>
        <w:t>Gammarus pulex</w:t>
      </w:r>
      <w:r w:rsidRPr="00DD7DA8">
        <w:rPr>
          <w:rFonts w:ascii="Calibri" w:hAnsi="Calibri" w:cs="Calibri"/>
        </w:rPr>
        <w:t>. Freshw. Biol. 59, 337–352. https://doi.org/10.1111/fwb.12268</w:t>
      </w:r>
    </w:p>
    <w:p w14:paraId="7F986FE9" w14:textId="30982C24" w:rsidR="007D434F" w:rsidRPr="00DD7DA8" w:rsidRDefault="007D434F" w:rsidP="007D434F">
      <w:pPr>
        <w:pStyle w:val="Bibliography"/>
        <w:rPr>
          <w:rFonts w:ascii="Calibri" w:hAnsi="Calibri" w:cs="Calibri"/>
        </w:rPr>
      </w:pPr>
      <w:r w:rsidRPr="00DD7DA8">
        <w:rPr>
          <w:rFonts w:ascii="Calibri" w:hAnsi="Calibri" w:cs="Calibri"/>
        </w:rPr>
        <w:t xml:space="preserve">Embke, H.S., Kocovsky, P.M., Richter, C.A., Pritt, J.J., Mayer, C.M., Qian, S.S., 2016. First direct confirmation of grass carp spawning in a Great Lakes tributary. J. </w:t>
      </w:r>
      <w:r w:rsidR="00FA4CF7">
        <w:rPr>
          <w:rFonts w:ascii="Calibri" w:hAnsi="Calibri" w:cs="Calibri"/>
        </w:rPr>
        <w:t>Great</w:t>
      </w:r>
      <w:r w:rsidRPr="00DD7DA8">
        <w:rPr>
          <w:rFonts w:ascii="Calibri" w:hAnsi="Calibri" w:cs="Calibri"/>
        </w:rPr>
        <w:t xml:space="preserve"> Lakes Res. 42, 899–903.</w:t>
      </w:r>
    </w:p>
    <w:p w14:paraId="160A3CA7" w14:textId="1811645F" w:rsidR="007D434F" w:rsidRPr="00DD7DA8" w:rsidRDefault="007D434F" w:rsidP="007D434F">
      <w:pPr>
        <w:pStyle w:val="Bibliography"/>
        <w:rPr>
          <w:rFonts w:ascii="Calibri" w:hAnsi="Calibri" w:cs="Calibri"/>
        </w:rPr>
      </w:pPr>
      <w:r w:rsidRPr="00DD7DA8">
        <w:rPr>
          <w:rFonts w:ascii="Calibri" w:hAnsi="Calibri" w:cs="Calibri"/>
        </w:rPr>
        <w:t>Goodwin, P., Wright, G., 1999. Decision analysis for management judgment, 2nd ed. ed. Wiley, New York</w:t>
      </w:r>
      <w:r w:rsidR="0061454E" w:rsidRPr="00DD7DA8">
        <w:rPr>
          <w:rFonts w:ascii="Calibri" w:hAnsi="Calibri" w:cs="Calibri"/>
        </w:rPr>
        <w:t>.</w:t>
      </w:r>
    </w:p>
    <w:p w14:paraId="21C581A6" w14:textId="53C24982" w:rsidR="007D434F" w:rsidRPr="00DD7DA8" w:rsidRDefault="007D434F" w:rsidP="007D434F">
      <w:pPr>
        <w:pStyle w:val="Bibliography"/>
        <w:rPr>
          <w:rFonts w:ascii="Calibri" w:hAnsi="Calibri" w:cs="Calibri"/>
        </w:rPr>
      </w:pPr>
      <w:r w:rsidRPr="00DD7DA8">
        <w:rPr>
          <w:rFonts w:ascii="Calibri" w:hAnsi="Calibri" w:cs="Calibri"/>
        </w:rPr>
        <w:t xml:space="preserve">Hardin, S., Hill, J.E., 2012. Risk </w:t>
      </w:r>
      <w:r w:rsidR="0061454E" w:rsidRPr="00DD7DA8">
        <w:rPr>
          <w:rFonts w:ascii="Calibri" w:hAnsi="Calibri" w:cs="Calibri"/>
        </w:rPr>
        <w:t>a</w:t>
      </w:r>
      <w:r w:rsidRPr="00DD7DA8">
        <w:rPr>
          <w:rFonts w:ascii="Calibri" w:hAnsi="Calibri" w:cs="Calibri"/>
        </w:rPr>
        <w:t xml:space="preserve">nalysis of </w:t>
      </w:r>
      <w:r w:rsidR="0061454E" w:rsidRPr="00DD7DA8">
        <w:rPr>
          <w:rFonts w:ascii="Calibri" w:hAnsi="Calibri" w:cs="Calibri"/>
        </w:rPr>
        <w:t>b</w:t>
      </w:r>
      <w:r w:rsidRPr="00DD7DA8">
        <w:rPr>
          <w:rFonts w:ascii="Calibri" w:hAnsi="Calibri" w:cs="Calibri"/>
        </w:rPr>
        <w:t xml:space="preserve">arramundi </w:t>
      </w:r>
      <w:r w:rsidR="0061454E" w:rsidRPr="00DD7DA8">
        <w:rPr>
          <w:rFonts w:ascii="Calibri" w:hAnsi="Calibri" w:cs="Calibri"/>
        </w:rPr>
        <w:t>p</w:t>
      </w:r>
      <w:r w:rsidRPr="00DD7DA8">
        <w:rPr>
          <w:rFonts w:ascii="Calibri" w:hAnsi="Calibri" w:cs="Calibri"/>
        </w:rPr>
        <w:t xml:space="preserve">erch </w:t>
      </w:r>
      <w:r w:rsidRPr="00DD7DA8">
        <w:rPr>
          <w:rFonts w:ascii="Calibri" w:hAnsi="Calibri" w:cs="Calibri"/>
          <w:i/>
        </w:rPr>
        <w:t>Lates calcarifer</w:t>
      </w:r>
      <w:r w:rsidRPr="00DD7DA8">
        <w:rPr>
          <w:rFonts w:ascii="Calibri" w:hAnsi="Calibri" w:cs="Calibri"/>
        </w:rPr>
        <w:t xml:space="preserve"> </w:t>
      </w:r>
      <w:r w:rsidR="0061454E" w:rsidRPr="00DD7DA8">
        <w:rPr>
          <w:rFonts w:ascii="Calibri" w:hAnsi="Calibri" w:cs="Calibri"/>
        </w:rPr>
        <w:t>a</w:t>
      </w:r>
      <w:r w:rsidRPr="00DD7DA8">
        <w:rPr>
          <w:rFonts w:ascii="Calibri" w:hAnsi="Calibri" w:cs="Calibri"/>
        </w:rPr>
        <w:t>quaculture in Florida. North Am. J. Fish. Manag. 32, 577–585. https://doi.org/10.1080/02755947.2012.675956</w:t>
      </w:r>
    </w:p>
    <w:p w14:paraId="310B92E0" w14:textId="352E146D" w:rsidR="007D434F" w:rsidRPr="00DD7DA8" w:rsidRDefault="007D434F" w:rsidP="007D434F">
      <w:pPr>
        <w:pStyle w:val="Bibliography"/>
        <w:rPr>
          <w:rFonts w:ascii="Calibri" w:hAnsi="Calibri" w:cs="Calibri"/>
        </w:rPr>
      </w:pPr>
      <w:r w:rsidRPr="00DD7DA8">
        <w:rPr>
          <w:rFonts w:ascii="Calibri" w:hAnsi="Calibri" w:cs="Calibri"/>
        </w:rPr>
        <w:t>He, J.X., Bence, J.R., Madenjian, C.P., Pothoven, S.A., Dobiesz, N.E., Fielder, D.G., Johnson, J.E., Ebener, M.P., Cottrill, R.A., Mohr, L.C., Koproski, S.R., 2015. Coupling age-structured stock assessment and fish bioenergetics models: a system of time-varying models for quantifying piscivory patterns during the rapid trophic shift in the main basin of Lake Huron. Can. J. Fish. Aquat. Sci. 72, 7</w:t>
      </w:r>
      <w:r w:rsidR="0061454E" w:rsidRPr="00DD7DA8">
        <w:rPr>
          <w:rFonts w:ascii="Calibri" w:hAnsi="Calibri" w:cs="Calibri"/>
        </w:rPr>
        <w:t>-23</w:t>
      </w:r>
      <w:r w:rsidRPr="00DD7DA8">
        <w:rPr>
          <w:rFonts w:ascii="Calibri" w:hAnsi="Calibri" w:cs="Calibri"/>
        </w:rPr>
        <w:t>.</w:t>
      </w:r>
    </w:p>
    <w:p w14:paraId="240E5F7D" w14:textId="77777777" w:rsidR="007D434F" w:rsidRPr="00DD7DA8" w:rsidRDefault="007D434F" w:rsidP="007D434F">
      <w:pPr>
        <w:pStyle w:val="Bibliography"/>
        <w:rPr>
          <w:rFonts w:ascii="Calibri" w:hAnsi="Calibri" w:cs="Calibri"/>
        </w:rPr>
      </w:pPr>
      <w:r w:rsidRPr="00DD7DA8">
        <w:rPr>
          <w:rFonts w:ascii="Calibri" w:hAnsi="Calibri" w:cs="Calibri"/>
        </w:rPr>
        <w:t>Herborg, L.-M., Mandrak, N.E., Cudmore, B.C., MacIsaac, H.J., 2007. Comparative distribution and invasion risk of snakehead (</w:t>
      </w:r>
      <w:r w:rsidRPr="00DD7DA8">
        <w:rPr>
          <w:rFonts w:ascii="Calibri" w:hAnsi="Calibri" w:cs="Calibri"/>
          <w:i/>
        </w:rPr>
        <w:t>Channidae</w:t>
      </w:r>
      <w:r w:rsidRPr="00DD7DA8">
        <w:rPr>
          <w:rFonts w:ascii="Calibri" w:hAnsi="Calibri" w:cs="Calibri"/>
        </w:rPr>
        <w:t>) and Asian carp (</w:t>
      </w:r>
      <w:r w:rsidRPr="00DD7DA8">
        <w:rPr>
          <w:rFonts w:ascii="Calibri" w:hAnsi="Calibri" w:cs="Calibri"/>
          <w:i/>
        </w:rPr>
        <w:t>Cyprinidae</w:t>
      </w:r>
      <w:r w:rsidRPr="00DD7DA8">
        <w:rPr>
          <w:rFonts w:ascii="Calibri" w:hAnsi="Calibri" w:cs="Calibri"/>
        </w:rPr>
        <w:t>) species in North America. Can. J. Fish. Aquat. Sci. 64, 1723–1735. https://doi.org/10.1139/f07-130</w:t>
      </w:r>
    </w:p>
    <w:p w14:paraId="5671F628" w14:textId="504CC584" w:rsidR="007D434F" w:rsidRPr="00DD7DA8" w:rsidRDefault="007D434F" w:rsidP="007D434F">
      <w:pPr>
        <w:pStyle w:val="Bibliography"/>
        <w:rPr>
          <w:rFonts w:ascii="Calibri" w:hAnsi="Calibri" w:cs="Calibri"/>
        </w:rPr>
      </w:pPr>
      <w:r w:rsidRPr="00DD7DA8">
        <w:rPr>
          <w:rFonts w:ascii="Calibri" w:hAnsi="Calibri" w:cs="Calibri"/>
        </w:rPr>
        <w:t xml:space="preserve">Hill, J.E., Lawson, K.M., 2015. Risk </w:t>
      </w:r>
      <w:r w:rsidR="0061454E" w:rsidRPr="00DD7DA8">
        <w:rPr>
          <w:rFonts w:ascii="Calibri" w:hAnsi="Calibri" w:cs="Calibri"/>
        </w:rPr>
        <w:t>s</w:t>
      </w:r>
      <w:r w:rsidRPr="00DD7DA8">
        <w:rPr>
          <w:rFonts w:ascii="Calibri" w:hAnsi="Calibri" w:cs="Calibri"/>
        </w:rPr>
        <w:t xml:space="preserve">creening of </w:t>
      </w:r>
      <w:r w:rsidR="0061454E" w:rsidRPr="00DD7DA8">
        <w:rPr>
          <w:rFonts w:ascii="Calibri" w:hAnsi="Calibri" w:cs="Calibri"/>
        </w:rPr>
        <w:t>a</w:t>
      </w:r>
      <w:r w:rsidRPr="00DD7DA8">
        <w:rPr>
          <w:rFonts w:ascii="Calibri" w:hAnsi="Calibri" w:cs="Calibri"/>
        </w:rPr>
        <w:t xml:space="preserve">rapaima, a </w:t>
      </w:r>
      <w:r w:rsidR="0061454E" w:rsidRPr="00DD7DA8">
        <w:rPr>
          <w:rFonts w:ascii="Calibri" w:hAnsi="Calibri" w:cs="Calibri"/>
        </w:rPr>
        <w:t>n</w:t>
      </w:r>
      <w:r w:rsidRPr="00DD7DA8">
        <w:rPr>
          <w:rFonts w:ascii="Calibri" w:hAnsi="Calibri" w:cs="Calibri"/>
        </w:rPr>
        <w:t xml:space="preserve">ew </w:t>
      </w:r>
      <w:r w:rsidR="0061454E" w:rsidRPr="00DD7DA8">
        <w:rPr>
          <w:rFonts w:ascii="Calibri" w:hAnsi="Calibri" w:cs="Calibri"/>
        </w:rPr>
        <w:t>s</w:t>
      </w:r>
      <w:r w:rsidRPr="00DD7DA8">
        <w:rPr>
          <w:rFonts w:ascii="Calibri" w:hAnsi="Calibri" w:cs="Calibri"/>
        </w:rPr>
        <w:t xml:space="preserve">pecies </w:t>
      </w:r>
      <w:r w:rsidR="0061454E" w:rsidRPr="00DD7DA8">
        <w:rPr>
          <w:rFonts w:ascii="Calibri" w:hAnsi="Calibri" w:cs="Calibri"/>
        </w:rPr>
        <w:t>p</w:t>
      </w:r>
      <w:r w:rsidRPr="00DD7DA8">
        <w:rPr>
          <w:rFonts w:ascii="Calibri" w:hAnsi="Calibri" w:cs="Calibri"/>
        </w:rPr>
        <w:t xml:space="preserve">roposed for </w:t>
      </w:r>
      <w:r w:rsidR="0061454E" w:rsidRPr="00DD7DA8">
        <w:rPr>
          <w:rFonts w:ascii="Calibri" w:hAnsi="Calibri" w:cs="Calibri"/>
        </w:rPr>
        <w:t>a</w:t>
      </w:r>
      <w:r w:rsidRPr="00DD7DA8">
        <w:rPr>
          <w:rFonts w:ascii="Calibri" w:hAnsi="Calibri" w:cs="Calibri"/>
        </w:rPr>
        <w:t>quaculture in Florida. North Am. J. Fish. Manag. 35, 885–894. https://doi.org/10.1080/02755947.2015.1064835</w:t>
      </w:r>
    </w:p>
    <w:p w14:paraId="6CFD3BC3" w14:textId="02DA4D48" w:rsidR="007D434F" w:rsidRPr="00DD7DA8" w:rsidRDefault="007D434F" w:rsidP="007D434F">
      <w:pPr>
        <w:pStyle w:val="Bibliography"/>
        <w:rPr>
          <w:rFonts w:ascii="Calibri" w:hAnsi="Calibri" w:cs="Calibri"/>
        </w:rPr>
      </w:pPr>
      <w:r w:rsidRPr="00DD7DA8">
        <w:rPr>
          <w:rFonts w:ascii="Calibri" w:hAnsi="Calibri" w:cs="Calibri"/>
        </w:rPr>
        <w:t xml:space="preserve">Kao, Y., Adlerstein, S.A., Rutherford, E.S., 2016. Assessment of </w:t>
      </w:r>
      <w:r w:rsidR="0061454E" w:rsidRPr="00DD7DA8">
        <w:rPr>
          <w:rFonts w:ascii="Calibri" w:hAnsi="Calibri" w:cs="Calibri"/>
        </w:rPr>
        <w:t>t</w:t>
      </w:r>
      <w:r w:rsidRPr="00DD7DA8">
        <w:rPr>
          <w:rFonts w:ascii="Calibri" w:hAnsi="Calibri" w:cs="Calibri"/>
        </w:rPr>
        <w:t>op-</w:t>
      </w:r>
      <w:r w:rsidR="0061454E" w:rsidRPr="00DD7DA8">
        <w:rPr>
          <w:rFonts w:ascii="Calibri" w:hAnsi="Calibri" w:cs="Calibri"/>
        </w:rPr>
        <w:t>d</w:t>
      </w:r>
      <w:r w:rsidRPr="00DD7DA8">
        <w:rPr>
          <w:rFonts w:ascii="Calibri" w:hAnsi="Calibri" w:cs="Calibri"/>
        </w:rPr>
        <w:t xml:space="preserve">own and </w:t>
      </w:r>
      <w:r w:rsidR="0061454E" w:rsidRPr="00DD7DA8">
        <w:rPr>
          <w:rFonts w:ascii="Calibri" w:hAnsi="Calibri" w:cs="Calibri"/>
        </w:rPr>
        <w:t>b</w:t>
      </w:r>
      <w:r w:rsidRPr="00DD7DA8">
        <w:rPr>
          <w:rFonts w:ascii="Calibri" w:hAnsi="Calibri" w:cs="Calibri"/>
        </w:rPr>
        <w:t>ottom-</w:t>
      </w:r>
      <w:r w:rsidR="0061454E" w:rsidRPr="00DD7DA8">
        <w:rPr>
          <w:rFonts w:ascii="Calibri" w:hAnsi="Calibri" w:cs="Calibri"/>
        </w:rPr>
        <w:t>u</w:t>
      </w:r>
      <w:r w:rsidRPr="00DD7DA8">
        <w:rPr>
          <w:rFonts w:ascii="Calibri" w:hAnsi="Calibri" w:cs="Calibri"/>
        </w:rPr>
        <w:t xml:space="preserve">p </w:t>
      </w:r>
      <w:r w:rsidR="0061454E" w:rsidRPr="00DD7DA8">
        <w:rPr>
          <w:rFonts w:ascii="Calibri" w:hAnsi="Calibri" w:cs="Calibri"/>
        </w:rPr>
        <w:t>c</w:t>
      </w:r>
      <w:r w:rsidRPr="00DD7DA8">
        <w:rPr>
          <w:rFonts w:ascii="Calibri" w:hAnsi="Calibri" w:cs="Calibri"/>
        </w:rPr>
        <w:t xml:space="preserve">ontrols on the </w:t>
      </w:r>
      <w:r w:rsidR="0061454E" w:rsidRPr="00DD7DA8">
        <w:rPr>
          <w:rFonts w:ascii="Calibri" w:hAnsi="Calibri" w:cs="Calibri"/>
        </w:rPr>
        <w:t>c</w:t>
      </w:r>
      <w:r w:rsidRPr="00DD7DA8">
        <w:rPr>
          <w:rFonts w:ascii="Calibri" w:hAnsi="Calibri" w:cs="Calibri"/>
        </w:rPr>
        <w:t xml:space="preserve">ollapse of </w:t>
      </w:r>
      <w:r w:rsidR="0061454E" w:rsidRPr="00DD7DA8">
        <w:rPr>
          <w:rFonts w:ascii="Calibri" w:hAnsi="Calibri" w:cs="Calibri"/>
        </w:rPr>
        <w:t>a</w:t>
      </w:r>
      <w:r w:rsidRPr="00DD7DA8">
        <w:rPr>
          <w:rFonts w:ascii="Calibri" w:hAnsi="Calibri" w:cs="Calibri"/>
        </w:rPr>
        <w:t>lewives (</w:t>
      </w:r>
      <w:r w:rsidRPr="00DD7DA8">
        <w:rPr>
          <w:rFonts w:ascii="Calibri" w:hAnsi="Calibri" w:cs="Calibri"/>
          <w:i/>
        </w:rPr>
        <w:t>Alosa pseudoharengus</w:t>
      </w:r>
      <w:r w:rsidRPr="00DD7DA8">
        <w:rPr>
          <w:rFonts w:ascii="Calibri" w:hAnsi="Calibri" w:cs="Calibri"/>
        </w:rPr>
        <w:t>) in Lake Huron. Ecosyst</w:t>
      </w:r>
      <w:r w:rsidR="00FA4CF7">
        <w:rPr>
          <w:rFonts w:ascii="Calibri" w:hAnsi="Calibri" w:cs="Calibri"/>
        </w:rPr>
        <w:t>ems</w:t>
      </w:r>
      <w:r w:rsidRPr="00DD7DA8">
        <w:rPr>
          <w:rFonts w:ascii="Calibri" w:hAnsi="Calibri" w:cs="Calibri"/>
        </w:rPr>
        <w:t>. 19, 803–831. http://dx.doi.org/10.1007/s10021-016-9969-y</w:t>
      </w:r>
    </w:p>
    <w:p w14:paraId="49EAA2DF" w14:textId="77777777" w:rsidR="007D434F" w:rsidRPr="00DD7DA8" w:rsidRDefault="007D434F" w:rsidP="007D434F">
      <w:pPr>
        <w:pStyle w:val="Bibliography"/>
        <w:rPr>
          <w:rFonts w:ascii="Calibri" w:hAnsi="Calibri" w:cs="Calibri"/>
        </w:rPr>
      </w:pPr>
      <w:r w:rsidRPr="00DD7DA8">
        <w:rPr>
          <w:rFonts w:ascii="Calibri" w:hAnsi="Calibri" w:cs="Calibri"/>
        </w:rPr>
        <w:t>Karatayev, A.Y., Burlakova, L.E., Padilla, D.K., 2014. Zebra versus quagga mussels: a review of their spread, population dynamics, and ecosystem impacts. Hydrobiologia 746, 97–112. https://doi.org/10.1007/s10750-014-1901-x</w:t>
      </w:r>
    </w:p>
    <w:p w14:paraId="497728BE" w14:textId="63B9ACD0" w:rsidR="007D434F" w:rsidRPr="00DD7DA8" w:rsidRDefault="007D434F" w:rsidP="007D434F">
      <w:pPr>
        <w:pStyle w:val="Bibliography"/>
        <w:rPr>
          <w:rFonts w:ascii="Calibri" w:hAnsi="Calibri" w:cs="Calibri"/>
        </w:rPr>
      </w:pPr>
      <w:r w:rsidRPr="005A2F5C">
        <w:rPr>
          <w:rFonts w:ascii="Calibri" w:hAnsi="Calibri" w:cs="Calibri"/>
          <w:highlight w:val="green"/>
        </w:rPr>
        <w:lastRenderedPageBreak/>
        <w:t>Kocovsky, P.M., Chapman, D.C., McKenna, J.E., 2012. Thermal and hydrologic suitability of Lake</w:t>
      </w:r>
      <w:bookmarkStart w:id="0" w:name="_GoBack"/>
      <w:bookmarkEnd w:id="0"/>
      <w:r w:rsidRPr="00DD7DA8">
        <w:rPr>
          <w:rFonts w:ascii="Calibri" w:hAnsi="Calibri" w:cs="Calibri"/>
        </w:rPr>
        <w:t xml:space="preserve"> Erie and its major tributaries for spawning of Asian carps. J. </w:t>
      </w:r>
      <w:r w:rsidR="00FA4CF7">
        <w:rPr>
          <w:rFonts w:ascii="Calibri" w:hAnsi="Calibri" w:cs="Calibri"/>
        </w:rPr>
        <w:t>Great</w:t>
      </w:r>
      <w:r w:rsidRPr="00DD7DA8">
        <w:rPr>
          <w:rFonts w:ascii="Calibri" w:hAnsi="Calibri" w:cs="Calibri"/>
        </w:rPr>
        <w:t xml:space="preserve"> Lakes Res. 38, 159–166. https://doi.org/10.1016/j.jglr.2011.11.015</w:t>
      </w:r>
    </w:p>
    <w:p w14:paraId="7B62D1CB" w14:textId="77777777" w:rsidR="007D434F" w:rsidRPr="00DD7DA8" w:rsidRDefault="007D434F" w:rsidP="007D434F">
      <w:pPr>
        <w:pStyle w:val="Bibliography"/>
        <w:rPr>
          <w:rFonts w:ascii="Calibri" w:hAnsi="Calibri" w:cs="Calibri"/>
        </w:rPr>
      </w:pPr>
      <w:r w:rsidRPr="00DD7DA8">
        <w:rPr>
          <w:rFonts w:ascii="Calibri" w:hAnsi="Calibri" w:cs="Calibri"/>
        </w:rPr>
        <w:t>Kolar, C.S., Chapman, D.C., Courtenay, Jr., W.R., Housel, C.M., Williams, J.D., Jennings, D.P. (Eds.), 2007. Bigheaded carps: a biological synopsis and environmental risk assessment, American Fisheries Society Special Publication. American Fisheries Society, Bethesda, Md.</w:t>
      </w:r>
    </w:p>
    <w:p w14:paraId="1917519C" w14:textId="77777777" w:rsidR="007D434F" w:rsidRPr="00DD7DA8" w:rsidRDefault="007D434F" w:rsidP="007D434F">
      <w:pPr>
        <w:pStyle w:val="Bibliography"/>
        <w:rPr>
          <w:rFonts w:ascii="Calibri" w:hAnsi="Calibri" w:cs="Calibri"/>
        </w:rPr>
      </w:pPr>
      <w:r w:rsidRPr="00DD7DA8">
        <w:rPr>
          <w:rFonts w:ascii="Calibri" w:hAnsi="Calibri" w:cs="Calibri"/>
        </w:rPr>
        <w:t>Kulhanek, S.A., Ricciardi, A., Leung, B., 2011. Is invasion history a useful tool for predicting the impacts of the world’s worst aquatic invasive species? Ecol. Appl. 21, 189–202.</w:t>
      </w:r>
    </w:p>
    <w:p w14:paraId="2EA280B3" w14:textId="77777777" w:rsidR="007D434F" w:rsidRPr="00DD7DA8" w:rsidRDefault="007D434F" w:rsidP="007D434F">
      <w:pPr>
        <w:pStyle w:val="Bibliography"/>
        <w:rPr>
          <w:rFonts w:ascii="Calibri" w:hAnsi="Calibri" w:cs="Calibri"/>
        </w:rPr>
      </w:pPr>
      <w:r w:rsidRPr="00DD7DA8">
        <w:rPr>
          <w:rFonts w:ascii="Calibri" w:hAnsi="Calibri" w:cs="Calibri"/>
        </w:rPr>
        <w:t xml:space="preserve">Langeland, K.A., 1996. </w:t>
      </w:r>
      <w:r w:rsidRPr="00DD7DA8">
        <w:rPr>
          <w:rFonts w:ascii="Calibri" w:hAnsi="Calibri" w:cs="Calibri"/>
          <w:i/>
        </w:rPr>
        <w:t xml:space="preserve">Hydrilla verticillata </w:t>
      </w:r>
      <w:r w:rsidRPr="00DD7DA8">
        <w:rPr>
          <w:rFonts w:ascii="Calibri" w:hAnsi="Calibri" w:cs="Calibri"/>
        </w:rPr>
        <w:t>(L.F.) Royle (Hydrocharitaceae), “The Perfect Aquatic Weed.” Castanea 61, 293–304.</w:t>
      </w:r>
    </w:p>
    <w:p w14:paraId="2B302141" w14:textId="58B6F3BA" w:rsidR="007D434F" w:rsidRPr="00DD7DA8" w:rsidRDefault="007D434F" w:rsidP="007D434F">
      <w:pPr>
        <w:pStyle w:val="Bibliography"/>
        <w:rPr>
          <w:rFonts w:ascii="Calibri" w:hAnsi="Calibri" w:cs="Calibri"/>
        </w:rPr>
      </w:pPr>
      <w:r w:rsidRPr="00DD7DA8">
        <w:rPr>
          <w:rFonts w:ascii="Calibri" w:hAnsi="Calibri" w:cs="Calibri"/>
        </w:rPr>
        <w:t xml:space="preserve">Lauber, T.B., Stedman, R.C., Connelly, N.A., Rudstam, L.G., Ready, R.C., Poe, G.L., Bunnell, D.B., Höök, T.O., Koops, M.A., Ludsin, S.A., Rutherford, E.S., 2016. Using </w:t>
      </w:r>
      <w:r w:rsidR="00C563BD" w:rsidRPr="00DD7DA8">
        <w:rPr>
          <w:rFonts w:ascii="Calibri" w:hAnsi="Calibri" w:cs="Calibri"/>
        </w:rPr>
        <w:t>s</w:t>
      </w:r>
      <w:r w:rsidRPr="00DD7DA8">
        <w:rPr>
          <w:rFonts w:ascii="Calibri" w:hAnsi="Calibri" w:cs="Calibri"/>
        </w:rPr>
        <w:t xml:space="preserve">cenarios to </w:t>
      </w:r>
      <w:r w:rsidR="00C563BD" w:rsidRPr="00DD7DA8">
        <w:rPr>
          <w:rFonts w:ascii="Calibri" w:hAnsi="Calibri" w:cs="Calibri"/>
        </w:rPr>
        <w:t>a</w:t>
      </w:r>
      <w:r w:rsidRPr="00DD7DA8">
        <w:rPr>
          <w:rFonts w:ascii="Calibri" w:hAnsi="Calibri" w:cs="Calibri"/>
        </w:rPr>
        <w:t xml:space="preserve">ssess </w:t>
      </w:r>
      <w:r w:rsidR="00C563BD" w:rsidRPr="00DD7DA8">
        <w:rPr>
          <w:rFonts w:ascii="Calibri" w:hAnsi="Calibri" w:cs="Calibri"/>
        </w:rPr>
        <w:t>p</w:t>
      </w:r>
      <w:r w:rsidRPr="00DD7DA8">
        <w:rPr>
          <w:rFonts w:ascii="Calibri" w:hAnsi="Calibri" w:cs="Calibri"/>
        </w:rPr>
        <w:t xml:space="preserve">ossible </w:t>
      </w:r>
      <w:r w:rsidR="00C563BD" w:rsidRPr="00DD7DA8">
        <w:rPr>
          <w:rFonts w:ascii="Calibri" w:hAnsi="Calibri" w:cs="Calibri"/>
        </w:rPr>
        <w:t>f</w:t>
      </w:r>
      <w:r w:rsidRPr="00DD7DA8">
        <w:rPr>
          <w:rFonts w:ascii="Calibri" w:hAnsi="Calibri" w:cs="Calibri"/>
        </w:rPr>
        <w:t xml:space="preserve">uture </w:t>
      </w:r>
      <w:r w:rsidR="00C563BD" w:rsidRPr="00DD7DA8">
        <w:rPr>
          <w:rFonts w:ascii="Calibri" w:hAnsi="Calibri" w:cs="Calibri"/>
        </w:rPr>
        <w:t>i</w:t>
      </w:r>
      <w:r w:rsidRPr="00DD7DA8">
        <w:rPr>
          <w:rFonts w:ascii="Calibri" w:hAnsi="Calibri" w:cs="Calibri"/>
        </w:rPr>
        <w:t xml:space="preserve">mpacts of </w:t>
      </w:r>
      <w:r w:rsidR="00C563BD" w:rsidRPr="00DD7DA8">
        <w:rPr>
          <w:rFonts w:ascii="Calibri" w:hAnsi="Calibri" w:cs="Calibri"/>
        </w:rPr>
        <w:t>i</w:t>
      </w:r>
      <w:r w:rsidRPr="00DD7DA8">
        <w:rPr>
          <w:rFonts w:ascii="Calibri" w:hAnsi="Calibri" w:cs="Calibri"/>
        </w:rPr>
        <w:t xml:space="preserve">nvasive </w:t>
      </w:r>
      <w:r w:rsidR="00C563BD" w:rsidRPr="00DD7DA8">
        <w:rPr>
          <w:rFonts w:ascii="Calibri" w:hAnsi="Calibri" w:cs="Calibri"/>
        </w:rPr>
        <w:t>s</w:t>
      </w:r>
      <w:r w:rsidRPr="00DD7DA8">
        <w:rPr>
          <w:rFonts w:ascii="Calibri" w:hAnsi="Calibri" w:cs="Calibri"/>
        </w:rPr>
        <w:t>pecies in the Laurentian Great Lakes. North Am. J. Fish. Manag. 36, 1292–1307. https://doi.org/10.1080/02755947.2016.1214647</w:t>
      </w:r>
    </w:p>
    <w:p w14:paraId="7078865D" w14:textId="77777777" w:rsidR="007D434F" w:rsidRPr="00DD7DA8" w:rsidRDefault="007D434F" w:rsidP="007D434F">
      <w:pPr>
        <w:pStyle w:val="Bibliography"/>
        <w:rPr>
          <w:rFonts w:ascii="Calibri" w:hAnsi="Calibri" w:cs="Calibri"/>
        </w:rPr>
      </w:pPr>
      <w:r w:rsidRPr="00DD7DA8">
        <w:rPr>
          <w:rFonts w:ascii="Calibri" w:hAnsi="Calibri" w:cs="Calibri"/>
        </w:rPr>
        <w:t>Leung, B., Roura-Pascual, N., Bacher, S., Heikkilä, J., Brotons, L., Burgman, M.A., Dehnen-Schmutz, K., Essl, F., Hulme, P.E., Richardson, D.M., Sol, D., Vilà, M., 2012. TEASIng apart alien species risk assessments: a framework for best practices. Ecol. Lett. 15, 1475–1493. https://doi.org/10.1111/ele.12003</w:t>
      </w:r>
    </w:p>
    <w:p w14:paraId="34F0FCA8" w14:textId="77777777" w:rsidR="007D434F" w:rsidRPr="00DD7DA8" w:rsidRDefault="007D434F" w:rsidP="007D434F">
      <w:pPr>
        <w:pStyle w:val="Bibliography"/>
        <w:rPr>
          <w:rFonts w:ascii="Calibri" w:hAnsi="Calibri" w:cs="Calibri"/>
        </w:rPr>
      </w:pPr>
      <w:r w:rsidRPr="00DD7DA8">
        <w:rPr>
          <w:rFonts w:ascii="Calibri" w:hAnsi="Calibri" w:cs="Calibri"/>
        </w:rPr>
        <w:t>Love, J.W., Newhard, J.J., 2012. Will the expansion of northern snakehead negatively affect the fishery for largemouth bass in the Potomac River [Chesapeake Bay]. North Am. J. Fish. Manag. 32, 859–868.</w:t>
      </w:r>
    </w:p>
    <w:p w14:paraId="1C199B7D" w14:textId="205A87F6" w:rsidR="007D434F" w:rsidRPr="00DD7DA8" w:rsidRDefault="007D434F" w:rsidP="007D434F">
      <w:pPr>
        <w:pStyle w:val="Bibliography"/>
        <w:rPr>
          <w:rFonts w:ascii="Calibri" w:hAnsi="Calibri" w:cs="Calibri"/>
        </w:rPr>
      </w:pPr>
      <w:r w:rsidRPr="00DD7DA8">
        <w:rPr>
          <w:rFonts w:ascii="Calibri" w:hAnsi="Calibri" w:cs="Calibri"/>
        </w:rPr>
        <w:t xml:space="preserve">Mills, E.L., Leach, J.H., Carlton, J.T., Secor, C.L., 1993. Exotic </w:t>
      </w:r>
      <w:r w:rsidR="00C563BD" w:rsidRPr="00DD7DA8">
        <w:rPr>
          <w:rFonts w:ascii="Calibri" w:hAnsi="Calibri" w:cs="Calibri"/>
        </w:rPr>
        <w:t>s</w:t>
      </w:r>
      <w:r w:rsidRPr="00DD7DA8">
        <w:rPr>
          <w:rFonts w:ascii="Calibri" w:hAnsi="Calibri" w:cs="Calibri"/>
        </w:rPr>
        <w:t xml:space="preserve">pecies in the Great Lakes: </w:t>
      </w:r>
      <w:r w:rsidR="00C563BD" w:rsidRPr="00DD7DA8">
        <w:rPr>
          <w:rFonts w:ascii="Calibri" w:hAnsi="Calibri" w:cs="Calibri"/>
        </w:rPr>
        <w:t>a</w:t>
      </w:r>
      <w:r w:rsidRPr="00DD7DA8">
        <w:rPr>
          <w:rFonts w:ascii="Calibri" w:hAnsi="Calibri" w:cs="Calibri"/>
        </w:rPr>
        <w:t xml:space="preserve"> </w:t>
      </w:r>
      <w:r w:rsidR="00C563BD" w:rsidRPr="00DD7DA8">
        <w:rPr>
          <w:rFonts w:ascii="Calibri" w:hAnsi="Calibri" w:cs="Calibri"/>
        </w:rPr>
        <w:t>h</w:t>
      </w:r>
      <w:r w:rsidRPr="00DD7DA8">
        <w:rPr>
          <w:rFonts w:ascii="Calibri" w:hAnsi="Calibri" w:cs="Calibri"/>
        </w:rPr>
        <w:t xml:space="preserve">istory of </w:t>
      </w:r>
      <w:r w:rsidR="00C563BD" w:rsidRPr="00DD7DA8">
        <w:rPr>
          <w:rFonts w:ascii="Calibri" w:hAnsi="Calibri" w:cs="Calibri"/>
        </w:rPr>
        <w:t>b</w:t>
      </w:r>
      <w:r w:rsidRPr="00DD7DA8">
        <w:rPr>
          <w:rFonts w:ascii="Calibri" w:hAnsi="Calibri" w:cs="Calibri"/>
        </w:rPr>
        <w:t xml:space="preserve">iotic </w:t>
      </w:r>
      <w:r w:rsidR="00C563BD" w:rsidRPr="00DD7DA8">
        <w:rPr>
          <w:rFonts w:ascii="Calibri" w:hAnsi="Calibri" w:cs="Calibri"/>
        </w:rPr>
        <w:t>c</w:t>
      </w:r>
      <w:r w:rsidRPr="00DD7DA8">
        <w:rPr>
          <w:rFonts w:ascii="Calibri" w:hAnsi="Calibri" w:cs="Calibri"/>
        </w:rPr>
        <w:t xml:space="preserve">rises and </w:t>
      </w:r>
      <w:r w:rsidR="00C563BD" w:rsidRPr="00DD7DA8">
        <w:rPr>
          <w:rFonts w:ascii="Calibri" w:hAnsi="Calibri" w:cs="Calibri"/>
        </w:rPr>
        <w:t>a</w:t>
      </w:r>
      <w:r w:rsidRPr="00DD7DA8">
        <w:rPr>
          <w:rFonts w:ascii="Calibri" w:hAnsi="Calibri" w:cs="Calibri"/>
        </w:rPr>
        <w:t xml:space="preserve">nthropogenic </w:t>
      </w:r>
      <w:r w:rsidR="00C563BD" w:rsidRPr="00DD7DA8">
        <w:rPr>
          <w:rFonts w:ascii="Calibri" w:hAnsi="Calibri" w:cs="Calibri"/>
        </w:rPr>
        <w:t>i</w:t>
      </w:r>
      <w:r w:rsidRPr="00DD7DA8">
        <w:rPr>
          <w:rFonts w:ascii="Calibri" w:hAnsi="Calibri" w:cs="Calibri"/>
        </w:rPr>
        <w:t xml:space="preserve">ntroductions. J. </w:t>
      </w:r>
      <w:r w:rsidR="00FA4CF7">
        <w:rPr>
          <w:rFonts w:ascii="Calibri" w:hAnsi="Calibri" w:cs="Calibri"/>
        </w:rPr>
        <w:t>Great</w:t>
      </w:r>
      <w:r w:rsidRPr="00DD7DA8">
        <w:rPr>
          <w:rFonts w:ascii="Calibri" w:hAnsi="Calibri" w:cs="Calibri"/>
        </w:rPr>
        <w:t xml:space="preserve"> Lakes Res. 19, 1–54. https://doi.org/10.1016/S0380-1330(93)71197-1</w:t>
      </w:r>
    </w:p>
    <w:p w14:paraId="1D6ED7D0" w14:textId="49DC2C5C" w:rsidR="007D434F" w:rsidRPr="00DD7DA8" w:rsidRDefault="007D434F" w:rsidP="007D434F">
      <w:pPr>
        <w:pStyle w:val="Bibliography"/>
        <w:rPr>
          <w:rFonts w:ascii="Calibri" w:hAnsi="Calibri" w:cs="Calibri"/>
        </w:rPr>
      </w:pPr>
      <w:r w:rsidRPr="00DD7DA8">
        <w:rPr>
          <w:rFonts w:ascii="Calibri" w:hAnsi="Calibri" w:cs="Calibri"/>
        </w:rPr>
        <w:t xml:space="preserve">Morey, E.R., Rowe, R.D., Watson, M., 1993. A </w:t>
      </w:r>
      <w:r w:rsidR="00C563BD" w:rsidRPr="00DD7DA8">
        <w:rPr>
          <w:rFonts w:ascii="Calibri" w:hAnsi="Calibri" w:cs="Calibri"/>
        </w:rPr>
        <w:t>r</w:t>
      </w:r>
      <w:r w:rsidRPr="00DD7DA8">
        <w:rPr>
          <w:rFonts w:ascii="Calibri" w:hAnsi="Calibri" w:cs="Calibri"/>
        </w:rPr>
        <w:t xml:space="preserve">epeated </w:t>
      </w:r>
      <w:r w:rsidR="00C563BD" w:rsidRPr="00DD7DA8">
        <w:rPr>
          <w:rFonts w:ascii="Calibri" w:hAnsi="Calibri" w:cs="Calibri"/>
        </w:rPr>
        <w:t>n</w:t>
      </w:r>
      <w:r w:rsidRPr="00DD7DA8">
        <w:rPr>
          <w:rFonts w:ascii="Calibri" w:hAnsi="Calibri" w:cs="Calibri"/>
        </w:rPr>
        <w:t>ested-</w:t>
      </w:r>
      <w:r w:rsidR="00C563BD" w:rsidRPr="00DD7DA8">
        <w:rPr>
          <w:rFonts w:ascii="Calibri" w:hAnsi="Calibri" w:cs="Calibri"/>
        </w:rPr>
        <w:t>l</w:t>
      </w:r>
      <w:r w:rsidRPr="00DD7DA8">
        <w:rPr>
          <w:rFonts w:ascii="Calibri" w:hAnsi="Calibri" w:cs="Calibri"/>
        </w:rPr>
        <w:t xml:space="preserve">ogit </w:t>
      </w:r>
      <w:r w:rsidR="00C563BD" w:rsidRPr="00DD7DA8">
        <w:rPr>
          <w:rFonts w:ascii="Calibri" w:hAnsi="Calibri" w:cs="Calibri"/>
        </w:rPr>
        <w:t>m</w:t>
      </w:r>
      <w:r w:rsidRPr="00DD7DA8">
        <w:rPr>
          <w:rFonts w:ascii="Calibri" w:hAnsi="Calibri" w:cs="Calibri"/>
        </w:rPr>
        <w:t xml:space="preserve">odel of Atlantic </w:t>
      </w:r>
      <w:r w:rsidR="00DE0CFF" w:rsidRPr="00DD7DA8">
        <w:rPr>
          <w:rFonts w:ascii="Calibri" w:hAnsi="Calibri" w:cs="Calibri"/>
        </w:rPr>
        <w:t>s</w:t>
      </w:r>
      <w:r w:rsidRPr="00DD7DA8">
        <w:rPr>
          <w:rFonts w:ascii="Calibri" w:hAnsi="Calibri" w:cs="Calibri"/>
        </w:rPr>
        <w:t xml:space="preserve">almon </w:t>
      </w:r>
      <w:r w:rsidR="00C563BD" w:rsidRPr="00DD7DA8">
        <w:rPr>
          <w:rFonts w:ascii="Calibri" w:hAnsi="Calibri" w:cs="Calibri"/>
        </w:rPr>
        <w:t>f</w:t>
      </w:r>
      <w:r w:rsidRPr="00DD7DA8">
        <w:rPr>
          <w:rFonts w:ascii="Calibri" w:hAnsi="Calibri" w:cs="Calibri"/>
        </w:rPr>
        <w:t>ishing. Am. J. Agric. Econ. 75, 578–592. https://doi.org/10.2307/1243565</w:t>
      </w:r>
    </w:p>
    <w:p w14:paraId="405A1264" w14:textId="77777777" w:rsidR="007D434F" w:rsidRPr="00DD7DA8" w:rsidRDefault="007D434F" w:rsidP="007D434F">
      <w:pPr>
        <w:pStyle w:val="Bibliography"/>
        <w:rPr>
          <w:rFonts w:ascii="Calibri" w:hAnsi="Calibri" w:cs="Calibri"/>
        </w:rPr>
      </w:pPr>
      <w:r w:rsidRPr="00DD7DA8">
        <w:rPr>
          <w:rFonts w:ascii="Calibri" w:hAnsi="Calibri" w:cs="Calibri"/>
        </w:rPr>
        <w:t>Morgan, M.G., 2014. Use (and abuse) of expert elicitation in support of decision making for public policy. Proc. Natl. Acad. Sci. U. S. A. 111, 7176–7184. https://doi.org/10.1073/pnas.1319946111</w:t>
      </w:r>
    </w:p>
    <w:p w14:paraId="5A805946" w14:textId="51835974" w:rsidR="007D434F" w:rsidRPr="00DD7DA8" w:rsidRDefault="007D434F" w:rsidP="007D434F">
      <w:pPr>
        <w:pStyle w:val="Bibliography"/>
        <w:rPr>
          <w:rFonts w:ascii="Calibri" w:hAnsi="Calibri" w:cs="Calibri"/>
        </w:rPr>
      </w:pPr>
      <w:r w:rsidRPr="00DD7DA8">
        <w:rPr>
          <w:rFonts w:ascii="Calibri" w:hAnsi="Calibri" w:cs="Calibri"/>
        </w:rPr>
        <w:t xml:space="preserve">Parker, I.M., Simberloff, D., Lonsdale, W.M., Goodell, K., Wonham, M., Kareiva, P.M., Williamson, M.H., Holle, B.V., Moyle, P.B., Byers, J.E., Goldwasser, L., 1999. Impact: </w:t>
      </w:r>
      <w:r w:rsidR="00C563BD" w:rsidRPr="00DD7DA8">
        <w:rPr>
          <w:rFonts w:ascii="Calibri" w:hAnsi="Calibri" w:cs="Calibri"/>
        </w:rPr>
        <w:t>t</w:t>
      </w:r>
      <w:r w:rsidRPr="00DD7DA8">
        <w:rPr>
          <w:rFonts w:ascii="Calibri" w:hAnsi="Calibri" w:cs="Calibri"/>
        </w:rPr>
        <w:t xml:space="preserve">oward a </w:t>
      </w:r>
      <w:r w:rsidR="00C563BD" w:rsidRPr="00DD7DA8">
        <w:rPr>
          <w:rFonts w:ascii="Calibri" w:hAnsi="Calibri" w:cs="Calibri"/>
        </w:rPr>
        <w:t>f</w:t>
      </w:r>
      <w:r w:rsidRPr="00DD7DA8">
        <w:rPr>
          <w:rFonts w:ascii="Calibri" w:hAnsi="Calibri" w:cs="Calibri"/>
        </w:rPr>
        <w:t xml:space="preserve">ramework for </w:t>
      </w:r>
      <w:r w:rsidR="00C563BD" w:rsidRPr="00DD7DA8">
        <w:rPr>
          <w:rFonts w:ascii="Calibri" w:hAnsi="Calibri" w:cs="Calibri"/>
        </w:rPr>
        <w:t>u</w:t>
      </w:r>
      <w:r w:rsidRPr="00DD7DA8">
        <w:rPr>
          <w:rFonts w:ascii="Calibri" w:hAnsi="Calibri" w:cs="Calibri"/>
        </w:rPr>
        <w:t xml:space="preserve">nderstanding the </w:t>
      </w:r>
      <w:r w:rsidR="00C563BD" w:rsidRPr="00DD7DA8">
        <w:rPr>
          <w:rFonts w:ascii="Calibri" w:hAnsi="Calibri" w:cs="Calibri"/>
        </w:rPr>
        <w:t>e</w:t>
      </w:r>
      <w:r w:rsidRPr="00DD7DA8">
        <w:rPr>
          <w:rFonts w:ascii="Calibri" w:hAnsi="Calibri" w:cs="Calibri"/>
        </w:rPr>
        <w:t xml:space="preserve">cological </w:t>
      </w:r>
      <w:r w:rsidR="00C563BD" w:rsidRPr="00DD7DA8">
        <w:rPr>
          <w:rFonts w:ascii="Calibri" w:hAnsi="Calibri" w:cs="Calibri"/>
        </w:rPr>
        <w:t>e</w:t>
      </w:r>
      <w:r w:rsidRPr="00DD7DA8">
        <w:rPr>
          <w:rFonts w:ascii="Calibri" w:hAnsi="Calibri" w:cs="Calibri"/>
        </w:rPr>
        <w:t xml:space="preserve">ffects of </w:t>
      </w:r>
      <w:r w:rsidR="00C563BD" w:rsidRPr="00DD7DA8">
        <w:rPr>
          <w:rFonts w:ascii="Calibri" w:hAnsi="Calibri" w:cs="Calibri"/>
        </w:rPr>
        <w:t>i</w:t>
      </w:r>
      <w:r w:rsidRPr="00DD7DA8">
        <w:rPr>
          <w:rFonts w:ascii="Calibri" w:hAnsi="Calibri" w:cs="Calibri"/>
        </w:rPr>
        <w:t>nvaders. Biol. Invasions 1, 3–19. https://doi.org/10.1023/A:1010034312781</w:t>
      </w:r>
    </w:p>
    <w:p w14:paraId="2166BFB2" w14:textId="77777777" w:rsidR="007D434F" w:rsidRPr="00DD7DA8" w:rsidRDefault="007D434F" w:rsidP="007D434F">
      <w:pPr>
        <w:pStyle w:val="Bibliography"/>
        <w:rPr>
          <w:rFonts w:ascii="Calibri" w:hAnsi="Calibri" w:cs="Calibri"/>
        </w:rPr>
      </w:pPr>
      <w:r w:rsidRPr="00DD7DA8">
        <w:rPr>
          <w:rFonts w:ascii="Calibri" w:hAnsi="Calibri" w:cs="Calibri"/>
        </w:rPr>
        <w:t>Ready, R.C., Poe, G.L., Lauber, T.B., Connelly, N.A., Stedman, R.C., Rudstam, L.G., 2018. The potential impact of aquatic nuisance species on recreational fishing in the Great Lakes and Upper Mississippi and Ohio River Basins. J. Environ. Manage. 206, 304–318. https://doi.org/10.1016/j.jenvman.2017.10.025</w:t>
      </w:r>
    </w:p>
    <w:p w14:paraId="7DD4E1C8" w14:textId="77777777" w:rsidR="007D434F" w:rsidRPr="00DD7DA8" w:rsidRDefault="007D434F" w:rsidP="007D434F">
      <w:pPr>
        <w:pStyle w:val="Bibliography"/>
        <w:rPr>
          <w:rFonts w:ascii="Calibri" w:hAnsi="Calibri" w:cs="Calibri"/>
        </w:rPr>
      </w:pPr>
      <w:r w:rsidRPr="00DD7DA8">
        <w:rPr>
          <w:rFonts w:ascii="Calibri" w:hAnsi="Calibri" w:cs="Calibri"/>
        </w:rPr>
        <w:t>Ricciardi, A., Rasmussen, J.B., 1998. Predicting the identity and impact of future biological invaders: A priority for aquatic resource management. Can. J. Fish. Aquat. Sci. 55, 1759–1765.</w:t>
      </w:r>
    </w:p>
    <w:p w14:paraId="6AE6B8DA" w14:textId="77777777" w:rsidR="007D434F" w:rsidRPr="00DD7DA8" w:rsidRDefault="007D434F" w:rsidP="007D434F">
      <w:pPr>
        <w:pStyle w:val="Bibliography"/>
        <w:rPr>
          <w:rFonts w:ascii="Calibri" w:hAnsi="Calibri" w:cs="Calibri"/>
        </w:rPr>
      </w:pPr>
      <w:r w:rsidRPr="00DD7DA8">
        <w:rPr>
          <w:rFonts w:ascii="Calibri" w:hAnsi="Calibri" w:cs="Calibri"/>
        </w:rPr>
        <w:t>Rinella, M.J., Luschei, E.C., 2007. Hierarchical Bayesian methods estimate invasive weed impacts at pertinent spatial scales [electronic resource]. Biol. Invasions 9, 545–558. https://doi.org/10.1007/s10530-006-9057-x</w:t>
      </w:r>
    </w:p>
    <w:p w14:paraId="304E857F" w14:textId="77777777" w:rsidR="007D434F" w:rsidRPr="00DD7DA8" w:rsidRDefault="007D434F" w:rsidP="007D434F">
      <w:pPr>
        <w:pStyle w:val="Bibliography"/>
        <w:rPr>
          <w:rFonts w:ascii="Calibri" w:hAnsi="Calibri" w:cs="Calibri"/>
        </w:rPr>
      </w:pPr>
      <w:r w:rsidRPr="00DD7DA8">
        <w:rPr>
          <w:rFonts w:ascii="Calibri" w:hAnsi="Calibri" w:cs="Calibri"/>
        </w:rPr>
        <w:lastRenderedPageBreak/>
        <w:t>Saylor, R.K., Lapointe, N.W.R., Angermeier, P.L., 2012. Diet of non-native northern snakehead (</w:t>
      </w:r>
      <w:r w:rsidRPr="00DD7DA8">
        <w:rPr>
          <w:rFonts w:ascii="Calibri" w:hAnsi="Calibri" w:cs="Calibri"/>
          <w:i/>
        </w:rPr>
        <w:t>Channa argus</w:t>
      </w:r>
      <w:r w:rsidRPr="00DD7DA8">
        <w:rPr>
          <w:rFonts w:ascii="Calibri" w:hAnsi="Calibri" w:cs="Calibri"/>
        </w:rPr>
        <w:t>) compared to three co-occurring predators in the lower Potomac River, USA. Ecol. Freshw. Fish 21, 443–452. https://doi.org/10.1111/j.1600-0633.2012.00563.x</w:t>
      </w:r>
    </w:p>
    <w:p w14:paraId="4F642E2E" w14:textId="5A0524AA" w:rsidR="007D434F" w:rsidRPr="00DD7DA8" w:rsidRDefault="007D434F" w:rsidP="007D434F">
      <w:pPr>
        <w:pStyle w:val="Bibliography"/>
        <w:rPr>
          <w:rFonts w:ascii="Calibri" w:hAnsi="Calibri" w:cs="Calibri"/>
        </w:rPr>
      </w:pPr>
      <w:r w:rsidRPr="00DD7DA8">
        <w:rPr>
          <w:rFonts w:ascii="Calibri" w:hAnsi="Calibri" w:cs="Calibri"/>
        </w:rPr>
        <w:t>Schoemaker, P.J.H., 1995. Scenario planning: a tool for strategic thinking. Sloan Manage. Rev. 36, 25</w:t>
      </w:r>
      <w:r w:rsidR="00C563BD" w:rsidRPr="00DD7DA8">
        <w:rPr>
          <w:rFonts w:ascii="Calibri" w:hAnsi="Calibri" w:cs="Calibri"/>
        </w:rPr>
        <w:t>-40</w:t>
      </w:r>
      <w:r w:rsidRPr="00DD7DA8">
        <w:rPr>
          <w:rFonts w:ascii="Calibri" w:hAnsi="Calibri" w:cs="Calibri"/>
        </w:rPr>
        <w:t>.</w:t>
      </w:r>
    </w:p>
    <w:p w14:paraId="7E0EAC28" w14:textId="77777777" w:rsidR="007D434F" w:rsidRPr="00DD7DA8" w:rsidRDefault="007D434F" w:rsidP="007D434F">
      <w:pPr>
        <w:pStyle w:val="Bibliography"/>
        <w:rPr>
          <w:rFonts w:ascii="Calibri" w:hAnsi="Calibri" w:cs="Calibri"/>
        </w:rPr>
      </w:pPr>
      <w:r w:rsidRPr="00DD7DA8">
        <w:rPr>
          <w:rFonts w:ascii="Calibri" w:hAnsi="Calibri" w:cs="Calibri"/>
        </w:rPr>
        <w:t>Thum, R.A., Lennon, J.T., 2009. Comparative ecological niche models predict the invasive spread of variable-leaf milfoil (</w:t>
      </w:r>
      <w:r w:rsidRPr="00DD7DA8">
        <w:rPr>
          <w:rFonts w:ascii="Calibri" w:hAnsi="Calibri" w:cs="Calibri"/>
          <w:i/>
        </w:rPr>
        <w:t>Myriophyllum heterophyllum</w:t>
      </w:r>
      <w:r w:rsidRPr="00DD7DA8">
        <w:rPr>
          <w:rFonts w:ascii="Calibri" w:hAnsi="Calibri" w:cs="Calibri"/>
        </w:rPr>
        <w:t>) and its potential impact on closely related native species. Biol. Invasions 12, 133–143. https://doi.org/10.1007/s10530-009-9437-0</w:t>
      </w:r>
    </w:p>
    <w:p w14:paraId="13EF7D82" w14:textId="73AEF759" w:rsidR="007D434F" w:rsidRPr="00DD7DA8" w:rsidRDefault="007D434F" w:rsidP="00C563BD">
      <w:pPr>
        <w:pStyle w:val="Bibliography"/>
        <w:rPr>
          <w:rFonts w:ascii="Calibri" w:hAnsi="Calibri" w:cs="Calibri"/>
        </w:rPr>
      </w:pPr>
      <w:r w:rsidRPr="00DD7DA8">
        <w:rPr>
          <w:rFonts w:ascii="Calibri" w:hAnsi="Calibri" w:cs="Calibri"/>
        </w:rPr>
        <w:t>U.S. Army Corps of Engineers, 2014. The GLMRIS Report: Great Lakes and Mississippi River Interbasin Study.</w:t>
      </w:r>
      <w:r w:rsidR="00C563BD" w:rsidRPr="00DD7DA8">
        <w:rPr>
          <w:rFonts w:ascii="Calibri" w:hAnsi="Calibri" w:cs="Calibri"/>
        </w:rPr>
        <w:t xml:space="preserve"> USACE, Chicago District, Chicago.</w:t>
      </w:r>
    </w:p>
    <w:p w14:paraId="65AEAB2F" w14:textId="2ED9483B" w:rsidR="007D434F" w:rsidRPr="00DD7DA8" w:rsidRDefault="007D434F" w:rsidP="007D434F">
      <w:pPr>
        <w:pStyle w:val="Bibliography"/>
        <w:rPr>
          <w:rFonts w:ascii="Calibri" w:hAnsi="Calibri" w:cs="Calibri"/>
        </w:rPr>
      </w:pPr>
      <w:r w:rsidRPr="00DD7DA8">
        <w:rPr>
          <w:rFonts w:ascii="Calibri" w:hAnsi="Calibri" w:cs="Calibri"/>
        </w:rPr>
        <w:t xml:space="preserve">Van der Heijden, K., 1996. Scenarios: the </w:t>
      </w:r>
      <w:r w:rsidR="00C563BD" w:rsidRPr="00DD7DA8">
        <w:rPr>
          <w:rFonts w:ascii="Calibri" w:hAnsi="Calibri" w:cs="Calibri"/>
        </w:rPr>
        <w:t>A</w:t>
      </w:r>
      <w:r w:rsidRPr="00DD7DA8">
        <w:rPr>
          <w:rFonts w:ascii="Calibri" w:hAnsi="Calibri" w:cs="Calibri"/>
        </w:rPr>
        <w:t xml:space="preserve">rt of </w:t>
      </w:r>
      <w:r w:rsidR="00C563BD" w:rsidRPr="00DD7DA8">
        <w:rPr>
          <w:rFonts w:ascii="Calibri" w:hAnsi="Calibri" w:cs="Calibri"/>
        </w:rPr>
        <w:t>S</w:t>
      </w:r>
      <w:r w:rsidRPr="00DD7DA8">
        <w:rPr>
          <w:rFonts w:ascii="Calibri" w:hAnsi="Calibri" w:cs="Calibri"/>
        </w:rPr>
        <w:t xml:space="preserve">trategic </w:t>
      </w:r>
      <w:r w:rsidR="00C563BD" w:rsidRPr="00DD7DA8">
        <w:rPr>
          <w:rFonts w:ascii="Calibri" w:hAnsi="Calibri" w:cs="Calibri"/>
        </w:rPr>
        <w:t>C</w:t>
      </w:r>
      <w:r w:rsidRPr="00DD7DA8">
        <w:rPr>
          <w:rFonts w:ascii="Calibri" w:hAnsi="Calibri" w:cs="Calibri"/>
        </w:rPr>
        <w:t>onversation. John Wiley &amp; Sons, Chichester, England; New York.</w:t>
      </w:r>
    </w:p>
    <w:p w14:paraId="78EA046F" w14:textId="278BB7E9" w:rsidR="007D434F" w:rsidRPr="00DD7DA8" w:rsidRDefault="007D434F" w:rsidP="007D434F">
      <w:pPr>
        <w:pStyle w:val="Bibliography"/>
        <w:rPr>
          <w:rFonts w:ascii="Calibri" w:hAnsi="Calibri" w:cs="Calibri"/>
        </w:rPr>
      </w:pPr>
      <w:r w:rsidRPr="00DD7DA8">
        <w:rPr>
          <w:rFonts w:ascii="Calibri" w:hAnsi="Calibri" w:cs="Calibri"/>
        </w:rPr>
        <w:t>Van der Heijden, K., 1994. Probabilistic planning and scenario planning, in:</w:t>
      </w:r>
      <w:r w:rsidR="00C563BD" w:rsidRPr="00DD7DA8">
        <w:rPr>
          <w:rFonts w:ascii="Calibri" w:hAnsi="Calibri" w:cs="Calibri"/>
        </w:rPr>
        <w:t xml:space="preserve"> </w:t>
      </w:r>
      <w:r w:rsidR="00FA4CF7">
        <w:rPr>
          <w:rFonts w:ascii="Calibri" w:hAnsi="Calibri" w:cs="Calibri"/>
        </w:rPr>
        <w:t>Wright</w:t>
      </w:r>
      <w:r w:rsidR="00C563BD" w:rsidRPr="00DD7DA8">
        <w:rPr>
          <w:rFonts w:ascii="Calibri" w:hAnsi="Calibri" w:cs="Calibri"/>
        </w:rPr>
        <w:t xml:space="preserve">, G. and Ayton P. (Eds.), </w:t>
      </w:r>
      <w:r w:rsidRPr="00DD7DA8">
        <w:rPr>
          <w:rFonts w:ascii="Calibri" w:hAnsi="Calibri" w:cs="Calibri"/>
        </w:rPr>
        <w:t>Subjective Probability. John Wiley &amp; Sons, New York, NY, pp. 549–573.</w:t>
      </w:r>
    </w:p>
    <w:p w14:paraId="0BF846EA" w14:textId="2EA3EB53" w:rsidR="007D434F" w:rsidRPr="00DD7DA8" w:rsidRDefault="007D434F" w:rsidP="007D434F">
      <w:pPr>
        <w:pStyle w:val="Bibliography"/>
        <w:rPr>
          <w:rFonts w:ascii="Calibri" w:hAnsi="Calibri" w:cs="Calibri"/>
        </w:rPr>
      </w:pPr>
      <w:r w:rsidRPr="00DD7DA8">
        <w:rPr>
          <w:rFonts w:ascii="Calibri" w:hAnsi="Calibri" w:cs="Calibri"/>
        </w:rPr>
        <w:t>White House Council on Environmental Quality, U.S. Department of Agriculture, U.S. Department of Commerce, U.S. Department of Health and Human Services, U.S. Department of Homeland Security, U.S. Department of Housing and Urban Development, U.S. Department of State, U.S. Department of the Army, U.S. Department of the Interior, U.S. Department of Transportation, U.S. Environmental Protection Agency, 2010. Great Lakes Restoration Initiative Action Plan.</w:t>
      </w:r>
      <w:r w:rsidR="00C563BD" w:rsidRPr="00DD7DA8">
        <w:rPr>
          <w:rFonts w:ascii="Calibri" w:hAnsi="Calibri" w:cs="Calibri"/>
        </w:rPr>
        <w:t xml:space="preserve"> U.S. Government Printing Office, Washington D.C.</w:t>
      </w:r>
    </w:p>
    <w:p w14:paraId="4EC53076" w14:textId="77777777" w:rsidR="007D434F" w:rsidRPr="00DD7DA8" w:rsidRDefault="007D434F" w:rsidP="007D434F">
      <w:pPr>
        <w:pStyle w:val="Bibliography"/>
        <w:rPr>
          <w:rFonts w:ascii="Calibri" w:hAnsi="Calibri" w:cs="Calibri"/>
        </w:rPr>
      </w:pPr>
      <w:r w:rsidRPr="00DD7DA8">
        <w:rPr>
          <w:rFonts w:ascii="Calibri" w:hAnsi="Calibri" w:cs="Calibri"/>
        </w:rPr>
        <w:t>Wittmann, M.E., Cooke, R.M., Rothlisberger, J.D., Rutherford, E.S., Zhang, H., Mason, D.M., Lodge, D.M., 2015. Use of structured expert judgment to forecast invasions by bighead and silver carp in Lake Erie. Conserv. Biol. 29, 187–197. https://doi.org/10.1111/cobi.12369</w:t>
      </w:r>
    </w:p>
    <w:p w14:paraId="7DE0F435" w14:textId="77777777" w:rsidR="007D434F" w:rsidRPr="00DD7DA8" w:rsidRDefault="007D434F" w:rsidP="007D434F">
      <w:pPr>
        <w:pStyle w:val="Bibliography"/>
        <w:rPr>
          <w:rFonts w:ascii="Calibri" w:hAnsi="Calibri" w:cs="Calibri"/>
        </w:rPr>
      </w:pPr>
      <w:r w:rsidRPr="00DD7DA8">
        <w:rPr>
          <w:rFonts w:ascii="Calibri" w:hAnsi="Calibri" w:cs="Calibri"/>
        </w:rPr>
        <w:t>Wittmann, M.E., Jerde, C.L., Howeth, J.G., Maher, S.P., Deines, A.M., Jenkins, J.A., Whitledge, G.W., Burbank, S.R., Chadderton, W.L., Mahon, A.R., Tyson, J.T., Gantz, C.A., Keller, R.P., Drake, J.M., Lodge, D.M., 2014. Grass carp in the Great Lakes region: establishment potential, expert perceptions, and re-evaluation of experimental evidence of ecological impact. Can. J. Fish. Aquat. Sci. 71, 992–999. https://doi.org/10.1139/cjfas-2013-0537</w:t>
      </w:r>
    </w:p>
    <w:p w14:paraId="3A059130" w14:textId="55E6DD36" w:rsidR="007D434F" w:rsidRPr="007D434F" w:rsidRDefault="007D434F" w:rsidP="007D434F">
      <w:pPr>
        <w:pStyle w:val="Bibliography"/>
        <w:rPr>
          <w:rFonts w:ascii="Calibri" w:hAnsi="Calibri" w:cs="Calibri"/>
        </w:rPr>
      </w:pPr>
      <w:r w:rsidRPr="00DD7DA8">
        <w:rPr>
          <w:rFonts w:ascii="Calibri" w:hAnsi="Calibri" w:cs="Calibri"/>
        </w:rPr>
        <w:t xml:space="preserve">Zhang, H., Rutherford, E.S., Mason, D.M., Breck, J.T., Wittmann, M.E., Cooke, R.M., Lodge, D.M., Rothlisberger, J.D., Zhu, X., Johnson, T.B., 2016. Forecasting the </w:t>
      </w:r>
      <w:r w:rsidR="0015439C" w:rsidRPr="00DD7DA8">
        <w:rPr>
          <w:rFonts w:ascii="Calibri" w:hAnsi="Calibri" w:cs="Calibri"/>
        </w:rPr>
        <w:t>i</w:t>
      </w:r>
      <w:r w:rsidRPr="00DD7DA8">
        <w:rPr>
          <w:rFonts w:ascii="Calibri" w:hAnsi="Calibri" w:cs="Calibri"/>
        </w:rPr>
        <w:t xml:space="preserve">mpacts of </w:t>
      </w:r>
      <w:r w:rsidR="0015439C" w:rsidRPr="00DD7DA8">
        <w:rPr>
          <w:rFonts w:ascii="Calibri" w:hAnsi="Calibri" w:cs="Calibri"/>
        </w:rPr>
        <w:t>s</w:t>
      </w:r>
      <w:r w:rsidRPr="00DD7DA8">
        <w:rPr>
          <w:rFonts w:ascii="Calibri" w:hAnsi="Calibri" w:cs="Calibri"/>
        </w:rPr>
        <w:t xml:space="preserve">ilver and </w:t>
      </w:r>
      <w:r w:rsidR="0015439C" w:rsidRPr="00DD7DA8">
        <w:rPr>
          <w:rFonts w:ascii="Calibri" w:hAnsi="Calibri" w:cs="Calibri"/>
        </w:rPr>
        <w:t>b</w:t>
      </w:r>
      <w:r w:rsidRPr="00DD7DA8">
        <w:rPr>
          <w:rFonts w:ascii="Calibri" w:hAnsi="Calibri" w:cs="Calibri"/>
        </w:rPr>
        <w:t xml:space="preserve">ighead </w:t>
      </w:r>
      <w:r w:rsidR="0015439C" w:rsidRPr="00DD7DA8">
        <w:rPr>
          <w:rFonts w:ascii="Calibri" w:hAnsi="Calibri" w:cs="Calibri"/>
        </w:rPr>
        <w:t>c</w:t>
      </w:r>
      <w:r w:rsidRPr="00DD7DA8">
        <w:rPr>
          <w:rFonts w:ascii="Calibri" w:hAnsi="Calibri" w:cs="Calibri"/>
        </w:rPr>
        <w:t xml:space="preserve">arp on the Lake Erie </w:t>
      </w:r>
      <w:r w:rsidR="0015439C" w:rsidRPr="00DD7DA8">
        <w:rPr>
          <w:rFonts w:ascii="Calibri" w:hAnsi="Calibri" w:cs="Calibri"/>
        </w:rPr>
        <w:t>f</w:t>
      </w:r>
      <w:r w:rsidRPr="00DD7DA8">
        <w:rPr>
          <w:rFonts w:ascii="Calibri" w:hAnsi="Calibri" w:cs="Calibri"/>
        </w:rPr>
        <w:t xml:space="preserve">ood </w:t>
      </w:r>
      <w:r w:rsidR="0015439C" w:rsidRPr="00DD7DA8">
        <w:rPr>
          <w:rFonts w:ascii="Calibri" w:hAnsi="Calibri" w:cs="Calibri"/>
        </w:rPr>
        <w:t>w</w:t>
      </w:r>
      <w:r w:rsidRPr="00DD7DA8">
        <w:rPr>
          <w:rFonts w:ascii="Calibri" w:hAnsi="Calibri" w:cs="Calibri"/>
        </w:rPr>
        <w:t>eb. Trans. Am. Fish. Soc. 145, 136–162. https://doi.org/10.1080/00028487.2015.1069211</w:t>
      </w:r>
    </w:p>
    <w:p w14:paraId="20B4500C" w14:textId="0C9DFA3F" w:rsidR="00234C54" w:rsidRDefault="00234C54" w:rsidP="00242815">
      <w:pPr>
        <w:spacing w:after="240" w:line="240" w:lineRule="auto"/>
      </w:pPr>
    </w:p>
    <w:p w14:paraId="1AA52CB9" w14:textId="77777777" w:rsidR="00234C54" w:rsidRDefault="00234C54">
      <w:r>
        <w:br w:type="page"/>
      </w:r>
    </w:p>
    <w:p w14:paraId="4D345DB0" w14:textId="60F9ECBA" w:rsidR="00234C54" w:rsidRPr="004031A6" w:rsidRDefault="00234C54" w:rsidP="00234C54">
      <w:r>
        <w:lastRenderedPageBreak/>
        <w:t>Table 1. Fishing trips by state and fishing type in the Great Lakes states in 2011</w:t>
      </w:r>
      <w:r w:rsidR="008D6C68">
        <w:rPr>
          <w:rStyle w:val="FootnoteReference"/>
        </w:rPr>
        <w:footnoteReference w:id="1"/>
      </w:r>
      <w:r>
        <w:t>.</w:t>
      </w:r>
    </w:p>
    <w:tbl>
      <w:tblPr>
        <w:tblStyle w:val="TableGrid"/>
        <w:tblW w:w="866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9"/>
        <w:gridCol w:w="1343"/>
        <w:gridCol w:w="1390"/>
        <w:gridCol w:w="1471"/>
        <w:gridCol w:w="1664"/>
        <w:gridCol w:w="1311"/>
      </w:tblGrid>
      <w:tr w:rsidR="00234C54" w:rsidRPr="004031A6" w14:paraId="0785C678" w14:textId="77777777" w:rsidTr="00234C54">
        <w:tc>
          <w:tcPr>
            <w:tcW w:w="1434" w:type="dxa"/>
            <w:vMerge w:val="restart"/>
            <w:tcBorders>
              <w:top w:val="single" w:sz="4" w:space="0" w:color="auto"/>
            </w:tcBorders>
          </w:tcPr>
          <w:p w14:paraId="42B7AA0E" w14:textId="77777777" w:rsidR="003A77DF" w:rsidRDefault="003A77DF" w:rsidP="00234C54"/>
          <w:p w14:paraId="733F8B1F" w14:textId="77777777" w:rsidR="003A77DF" w:rsidRDefault="003A77DF" w:rsidP="00234C54"/>
          <w:p w14:paraId="6CFB1069" w14:textId="5FF27356" w:rsidR="00234C54" w:rsidRPr="004031A6" w:rsidRDefault="00234C54" w:rsidP="00234C54">
            <w:r w:rsidRPr="004031A6">
              <w:t>Destination State</w:t>
            </w:r>
          </w:p>
        </w:tc>
        <w:tc>
          <w:tcPr>
            <w:tcW w:w="5870" w:type="dxa"/>
            <w:gridSpan w:val="4"/>
            <w:tcBorders>
              <w:top w:val="single" w:sz="4" w:space="0" w:color="auto"/>
              <w:bottom w:val="nil"/>
            </w:tcBorders>
            <w:vAlign w:val="bottom"/>
          </w:tcPr>
          <w:p w14:paraId="76B1866D" w14:textId="77777777" w:rsidR="00234C54" w:rsidRPr="004031A6" w:rsidRDefault="00234C54" w:rsidP="00234C54">
            <w:pPr>
              <w:jc w:val="center"/>
            </w:pPr>
            <w:r w:rsidRPr="004031A6">
              <w:t>Fishing Trips per Fishing Type (1000s)</w:t>
            </w:r>
          </w:p>
        </w:tc>
        <w:tc>
          <w:tcPr>
            <w:tcW w:w="1364" w:type="dxa"/>
            <w:vMerge w:val="restart"/>
            <w:tcBorders>
              <w:top w:val="single" w:sz="4" w:space="0" w:color="auto"/>
            </w:tcBorders>
            <w:vAlign w:val="bottom"/>
          </w:tcPr>
          <w:p w14:paraId="137EEE39" w14:textId="77777777" w:rsidR="00234C54" w:rsidRPr="004031A6" w:rsidRDefault="00234C54" w:rsidP="00234C54">
            <w:pPr>
              <w:pStyle w:val="Default"/>
              <w:jc w:val="center"/>
              <w:rPr>
                <w:rFonts w:asciiTheme="minorHAnsi" w:hAnsiTheme="minorHAnsi" w:cstheme="minorHAnsi"/>
                <w:sz w:val="22"/>
                <w:szCs w:val="22"/>
              </w:rPr>
            </w:pPr>
            <w:r w:rsidRPr="004031A6">
              <w:rPr>
                <w:rFonts w:asciiTheme="minorHAnsi" w:hAnsiTheme="minorHAnsi" w:cstheme="minorHAnsi"/>
                <w:sz w:val="22"/>
                <w:szCs w:val="22"/>
              </w:rPr>
              <w:t>Total</w:t>
            </w:r>
          </w:p>
        </w:tc>
      </w:tr>
      <w:tr w:rsidR="00234C54" w:rsidRPr="004031A6" w14:paraId="63F34792" w14:textId="77777777" w:rsidTr="00234C54">
        <w:tc>
          <w:tcPr>
            <w:tcW w:w="1434" w:type="dxa"/>
            <w:vMerge/>
            <w:tcBorders>
              <w:bottom w:val="single" w:sz="4" w:space="0" w:color="auto"/>
            </w:tcBorders>
          </w:tcPr>
          <w:p w14:paraId="321BA131" w14:textId="77777777" w:rsidR="00234C54" w:rsidRPr="004031A6" w:rsidRDefault="00234C54" w:rsidP="00234C54"/>
        </w:tc>
        <w:tc>
          <w:tcPr>
            <w:tcW w:w="1361" w:type="dxa"/>
            <w:tcBorders>
              <w:top w:val="nil"/>
              <w:bottom w:val="single" w:sz="4" w:space="0" w:color="auto"/>
            </w:tcBorders>
            <w:vAlign w:val="bottom"/>
          </w:tcPr>
          <w:p w14:paraId="6903A619" w14:textId="77777777" w:rsidR="00234C54" w:rsidRPr="004031A6" w:rsidRDefault="00234C54" w:rsidP="00234C54">
            <w:r w:rsidRPr="004031A6">
              <w:t>Great Lakes Coldwater</w:t>
            </w:r>
          </w:p>
        </w:tc>
        <w:tc>
          <w:tcPr>
            <w:tcW w:w="1382" w:type="dxa"/>
            <w:tcBorders>
              <w:top w:val="nil"/>
              <w:bottom w:val="single" w:sz="4" w:space="0" w:color="auto"/>
            </w:tcBorders>
            <w:vAlign w:val="bottom"/>
          </w:tcPr>
          <w:p w14:paraId="4C07E9FE" w14:textId="77777777" w:rsidR="00234C54" w:rsidRPr="004031A6" w:rsidRDefault="00234C54" w:rsidP="00234C54">
            <w:r w:rsidRPr="004031A6">
              <w:t>Great Lakes Warmwater</w:t>
            </w:r>
          </w:p>
        </w:tc>
        <w:tc>
          <w:tcPr>
            <w:tcW w:w="1369" w:type="dxa"/>
            <w:tcBorders>
              <w:top w:val="nil"/>
              <w:bottom w:val="single" w:sz="4" w:space="0" w:color="auto"/>
            </w:tcBorders>
            <w:vAlign w:val="bottom"/>
          </w:tcPr>
          <w:p w14:paraId="66A8981A" w14:textId="77777777" w:rsidR="00234C54" w:rsidRPr="004031A6" w:rsidRDefault="00234C54" w:rsidP="00234C54">
            <w:r w:rsidRPr="004031A6">
              <w:t>Anadromous</w:t>
            </w:r>
          </w:p>
        </w:tc>
        <w:tc>
          <w:tcPr>
            <w:tcW w:w="1758" w:type="dxa"/>
            <w:tcBorders>
              <w:top w:val="nil"/>
              <w:bottom w:val="single" w:sz="4" w:space="0" w:color="auto"/>
            </w:tcBorders>
            <w:vAlign w:val="bottom"/>
          </w:tcPr>
          <w:p w14:paraId="6CE00DAF" w14:textId="77777777" w:rsidR="00234C54" w:rsidRPr="004031A6" w:rsidRDefault="00234C54" w:rsidP="00234C54">
            <w:r w:rsidRPr="004031A6">
              <w:t>Inland</w:t>
            </w:r>
          </w:p>
        </w:tc>
        <w:tc>
          <w:tcPr>
            <w:tcW w:w="1364" w:type="dxa"/>
            <w:vMerge/>
            <w:tcBorders>
              <w:bottom w:val="single" w:sz="4" w:space="0" w:color="auto"/>
            </w:tcBorders>
            <w:vAlign w:val="bottom"/>
          </w:tcPr>
          <w:p w14:paraId="6A79F685" w14:textId="77777777" w:rsidR="00234C54" w:rsidRPr="004031A6" w:rsidRDefault="00234C54" w:rsidP="00234C54">
            <w:pPr>
              <w:pStyle w:val="Default"/>
              <w:jc w:val="center"/>
              <w:rPr>
                <w:rFonts w:asciiTheme="minorHAnsi" w:hAnsiTheme="minorHAnsi" w:cstheme="minorHAnsi"/>
                <w:sz w:val="22"/>
                <w:szCs w:val="22"/>
              </w:rPr>
            </w:pPr>
          </w:p>
        </w:tc>
      </w:tr>
      <w:tr w:rsidR="00234C54" w:rsidRPr="004031A6" w14:paraId="56F7EA64" w14:textId="77777777" w:rsidTr="00234C54">
        <w:tc>
          <w:tcPr>
            <w:tcW w:w="1434" w:type="dxa"/>
            <w:tcBorders>
              <w:top w:val="single" w:sz="4" w:space="0" w:color="auto"/>
            </w:tcBorders>
          </w:tcPr>
          <w:p w14:paraId="070DA487" w14:textId="77777777" w:rsidR="00234C54" w:rsidRPr="004031A6" w:rsidRDefault="00234C54" w:rsidP="00234C54">
            <w:r w:rsidRPr="004031A6">
              <w:t>Illinois</w:t>
            </w:r>
          </w:p>
        </w:tc>
        <w:tc>
          <w:tcPr>
            <w:tcW w:w="1361" w:type="dxa"/>
            <w:tcBorders>
              <w:top w:val="single" w:sz="4" w:space="0" w:color="auto"/>
            </w:tcBorders>
            <w:vAlign w:val="center"/>
          </w:tcPr>
          <w:p w14:paraId="316D8584" w14:textId="77777777" w:rsidR="00234C54" w:rsidRPr="004031A6" w:rsidRDefault="00234C54" w:rsidP="00234C54">
            <w:pPr>
              <w:jc w:val="right"/>
            </w:pPr>
            <w:r w:rsidRPr="004031A6">
              <w:t>1,726</w:t>
            </w:r>
          </w:p>
        </w:tc>
        <w:tc>
          <w:tcPr>
            <w:tcW w:w="1382" w:type="dxa"/>
            <w:tcBorders>
              <w:top w:val="single" w:sz="4" w:space="0" w:color="auto"/>
            </w:tcBorders>
            <w:vAlign w:val="center"/>
          </w:tcPr>
          <w:p w14:paraId="51A7F4D1" w14:textId="77777777" w:rsidR="00234C54" w:rsidRPr="004031A6" w:rsidRDefault="00234C54" w:rsidP="00234C54">
            <w:pPr>
              <w:jc w:val="right"/>
            </w:pPr>
            <w:r w:rsidRPr="004031A6">
              <w:t>810</w:t>
            </w:r>
          </w:p>
        </w:tc>
        <w:tc>
          <w:tcPr>
            <w:tcW w:w="1369" w:type="dxa"/>
            <w:tcBorders>
              <w:top w:val="single" w:sz="4" w:space="0" w:color="auto"/>
            </w:tcBorders>
            <w:vAlign w:val="center"/>
          </w:tcPr>
          <w:p w14:paraId="3367C3ED" w14:textId="77777777" w:rsidR="00234C54" w:rsidRPr="004031A6" w:rsidRDefault="00234C54" w:rsidP="00234C54">
            <w:pPr>
              <w:jc w:val="right"/>
            </w:pPr>
            <w:r w:rsidRPr="004031A6">
              <w:t>0</w:t>
            </w:r>
          </w:p>
        </w:tc>
        <w:tc>
          <w:tcPr>
            <w:tcW w:w="1758" w:type="dxa"/>
            <w:tcBorders>
              <w:top w:val="single" w:sz="4" w:space="0" w:color="auto"/>
            </w:tcBorders>
            <w:vAlign w:val="center"/>
          </w:tcPr>
          <w:p w14:paraId="2ED4384F" w14:textId="77777777" w:rsidR="00234C54" w:rsidRPr="004031A6" w:rsidRDefault="00234C54" w:rsidP="00234C54">
            <w:pPr>
              <w:jc w:val="right"/>
            </w:pPr>
            <w:r w:rsidRPr="004031A6">
              <w:t>13,869</w:t>
            </w:r>
          </w:p>
        </w:tc>
        <w:tc>
          <w:tcPr>
            <w:tcW w:w="1364" w:type="dxa"/>
            <w:tcBorders>
              <w:top w:val="single" w:sz="4" w:space="0" w:color="auto"/>
            </w:tcBorders>
            <w:vAlign w:val="center"/>
          </w:tcPr>
          <w:p w14:paraId="1E81070B"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16,404</w:t>
            </w:r>
          </w:p>
        </w:tc>
      </w:tr>
      <w:tr w:rsidR="00234C54" w:rsidRPr="004031A6" w14:paraId="4669EF76" w14:textId="77777777" w:rsidTr="00234C54">
        <w:tc>
          <w:tcPr>
            <w:tcW w:w="1434" w:type="dxa"/>
          </w:tcPr>
          <w:p w14:paraId="7FE7DD69" w14:textId="77777777" w:rsidR="00234C54" w:rsidRPr="004031A6" w:rsidRDefault="00234C54" w:rsidP="00234C54">
            <w:r w:rsidRPr="004031A6">
              <w:t>Indiana</w:t>
            </w:r>
          </w:p>
        </w:tc>
        <w:tc>
          <w:tcPr>
            <w:tcW w:w="1361" w:type="dxa"/>
            <w:vAlign w:val="center"/>
          </w:tcPr>
          <w:p w14:paraId="7D25F23D" w14:textId="77777777" w:rsidR="00234C54" w:rsidRPr="004031A6" w:rsidRDefault="00234C54" w:rsidP="00234C54">
            <w:pPr>
              <w:jc w:val="right"/>
            </w:pPr>
            <w:r w:rsidRPr="004031A6">
              <w:t>714</w:t>
            </w:r>
          </w:p>
        </w:tc>
        <w:tc>
          <w:tcPr>
            <w:tcW w:w="1382" w:type="dxa"/>
            <w:vAlign w:val="center"/>
          </w:tcPr>
          <w:p w14:paraId="33CAF9FC" w14:textId="77777777" w:rsidR="00234C54" w:rsidRPr="004031A6" w:rsidRDefault="00234C54" w:rsidP="00234C54">
            <w:pPr>
              <w:jc w:val="right"/>
            </w:pPr>
            <w:r w:rsidRPr="004031A6">
              <w:t>308</w:t>
            </w:r>
          </w:p>
        </w:tc>
        <w:tc>
          <w:tcPr>
            <w:tcW w:w="1369" w:type="dxa"/>
            <w:vAlign w:val="center"/>
          </w:tcPr>
          <w:p w14:paraId="0CE4FAB6" w14:textId="77777777" w:rsidR="00234C54" w:rsidRPr="004031A6" w:rsidRDefault="00234C54" w:rsidP="00234C54">
            <w:pPr>
              <w:jc w:val="right"/>
            </w:pPr>
            <w:r w:rsidRPr="004031A6">
              <w:t>614</w:t>
            </w:r>
          </w:p>
        </w:tc>
        <w:tc>
          <w:tcPr>
            <w:tcW w:w="1758" w:type="dxa"/>
            <w:vAlign w:val="center"/>
          </w:tcPr>
          <w:p w14:paraId="4772DA81" w14:textId="77777777" w:rsidR="00234C54" w:rsidRPr="004031A6" w:rsidRDefault="00234C54" w:rsidP="00234C54">
            <w:pPr>
              <w:jc w:val="right"/>
            </w:pPr>
            <w:r w:rsidRPr="004031A6">
              <w:t>11,514</w:t>
            </w:r>
          </w:p>
        </w:tc>
        <w:tc>
          <w:tcPr>
            <w:tcW w:w="1364" w:type="dxa"/>
            <w:vAlign w:val="center"/>
          </w:tcPr>
          <w:p w14:paraId="1C355E28"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13,150</w:t>
            </w:r>
          </w:p>
        </w:tc>
      </w:tr>
      <w:tr w:rsidR="00234C54" w:rsidRPr="004031A6" w14:paraId="6374D05F" w14:textId="77777777" w:rsidTr="00234C54">
        <w:tc>
          <w:tcPr>
            <w:tcW w:w="1434" w:type="dxa"/>
          </w:tcPr>
          <w:p w14:paraId="69144DEB" w14:textId="77777777" w:rsidR="00234C54" w:rsidRPr="004031A6" w:rsidRDefault="00234C54" w:rsidP="00234C54">
            <w:r w:rsidRPr="004031A6">
              <w:t>Michigan</w:t>
            </w:r>
          </w:p>
        </w:tc>
        <w:tc>
          <w:tcPr>
            <w:tcW w:w="1361" w:type="dxa"/>
            <w:vAlign w:val="center"/>
          </w:tcPr>
          <w:p w14:paraId="4AFE1839" w14:textId="77777777" w:rsidR="00234C54" w:rsidRPr="004031A6" w:rsidRDefault="00234C54" w:rsidP="00234C54">
            <w:pPr>
              <w:jc w:val="right"/>
            </w:pPr>
            <w:r w:rsidRPr="004031A6">
              <w:t>1,967</w:t>
            </w:r>
          </w:p>
        </w:tc>
        <w:tc>
          <w:tcPr>
            <w:tcW w:w="1382" w:type="dxa"/>
            <w:vAlign w:val="center"/>
          </w:tcPr>
          <w:p w14:paraId="10F4131C" w14:textId="77777777" w:rsidR="00234C54" w:rsidRPr="004031A6" w:rsidRDefault="00234C54" w:rsidP="00234C54">
            <w:pPr>
              <w:jc w:val="right"/>
            </w:pPr>
            <w:r w:rsidRPr="004031A6">
              <w:t>4,113</w:t>
            </w:r>
          </w:p>
        </w:tc>
        <w:tc>
          <w:tcPr>
            <w:tcW w:w="1369" w:type="dxa"/>
            <w:vAlign w:val="center"/>
          </w:tcPr>
          <w:p w14:paraId="7E8DC8D3" w14:textId="77777777" w:rsidR="00234C54" w:rsidRPr="004031A6" w:rsidRDefault="00234C54" w:rsidP="00234C54">
            <w:pPr>
              <w:jc w:val="right"/>
            </w:pPr>
            <w:r w:rsidRPr="004031A6">
              <w:t>1,383</w:t>
            </w:r>
          </w:p>
        </w:tc>
        <w:tc>
          <w:tcPr>
            <w:tcW w:w="1758" w:type="dxa"/>
            <w:vAlign w:val="center"/>
          </w:tcPr>
          <w:p w14:paraId="205E3493" w14:textId="77777777" w:rsidR="00234C54" w:rsidRPr="004031A6" w:rsidRDefault="00234C54" w:rsidP="00234C54">
            <w:pPr>
              <w:jc w:val="right"/>
            </w:pPr>
            <w:r w:rsidRPr="004031A6">
              <w:t>21,986</w:t>
            </w:r>
          </w:p>
        </w:tc>
        <w:tc>
          <w:tcPr>
            <w:tcW w:w="1364" w:type="dxa"/>
            <w:vAlign w:val="center"/>
          </w:tcPr>
          <w:p w14:paraId="5913B0DC"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29,450</w:t>
            </w:r>
          </w:p>
        </w:tc>
      </w:tr>
      <w:tr w:rsidR="00234C54" w:rsidRPr="004031A6" w14:paraId="570C479C" w14:textId="77777777" w:rsidTr="00234C54">
        <w:tc>
          <w:tcPr>
            <w:tcW w:w="1434" w:type="dxa"/>
          </w:tcPr>
          <w:p w14:paraId="136AAE4C" w14:textId="77777777" w:rsidR="00234C54" w:rsidRPr="004031A6" w:rsidRDefault="00234C54" w:rsidP="00234C54">
            <w:r w:rsidRPr="004031A6">
              <w:t>Minnesota</w:t>
            </w:r>
          </w:p>
        </w:tc>
        <w:tc>
          <w:tcPr>
            <w:tcW w:w="1361" w:type="dxa"/>
            <w:vAlign w:val="center"/>
          </w:tcPr>
          <w:p w14:paraId="7EAD4EA8" w14:textId="77777777" w:rsidR="00234C54" w:rsidRPr="004031A6" w:rsidRDefault="00234C54" w:rsidP="00234C54">
            <w:pPr>
              <w:jc w:val="right"/>
            </w:pPr>
            <w:r w:rsidRPr="004031A6">
              <w:t>162</w:t>
            </w:r>
          </w:p>
        </w:tc>
        <w:tc>
          <w:tcPr>
            <w:tcW w:w="1382" w:type="dxa"/>
            <w:vAlign w:val="center"/>
          </w:tcPr>
          <w:p w14:paraId="59AF73F2" w14:textId="77777777" w:rsidR="00234C54" w:rsidRPr="004031A6" w:rsidRDefault="00234C54" w:rsidP="00234C54">
            <w:pPr>
              <w:jc w:val="right"/>
            </w:pPr>
            <w:r w:rsidRPr="004031A6">
              <w:t>40</w:t>
            </w:r>
          </w:p>
        </w:tc>
        <w:tc>
          <w:tcPr>
            <w:tcW w:w="1369" w:type="dxa"/>
            <w:vAlign w:val="center"/>
          </w:tcPr>
          <w:p w14:paraId="3B0000ED" w14:textId="77777777" w:rsidR="00234C54" w:rsidRPr="004031A6" w:rsidRDefault="00234C54" w:rsidP="00234C54">
            <w:pPr>
              <w:jc w:val="right"/>
            </w:pPr>
            <w:r w:rsidRPr="004031A6">
              <w:t>19</w:t>
            </w:r>
          </w:p>
        </w:tc>
        <w:tc>
          <w:tcPr>
            <w:tcW w:w="1758" w:type="dxa"/>
            <w:vAlign w:val="center"/>
          </w:tcPr>
          <w:p w14:paraId="0A30612A" w14:textId="77777777" w:rsidR="00234C54" w:rsidRPr="004031A6" w:rsidRDefault="00234C54" w:rsidP="00234C54">
            <w:pPr>
              <w:jc w:val="right"/>
            </w:pPr>
            <w:r w:rsidRPr="004031A6">
              <w:t>24,557</w:t>
            </w:r>
          </w:p>
        </w:tc>
        <w:tc>
          <w:tcPr>
            <w:tcW w:w="1364" w:type="dxa"/>
            <w:vAlign w:val="center"/>
          </w:tcPr>
          <w:p w14:paraId="7D0C2C4C"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24,778</w:t>
            </w:r>
          </w:p>
        </w:tc>
      </w:tr>
      <w:tr w:rsidR="00234C54" w:rsidRPr="004031A6" w14:paraId="52BE0B4E" w14:textId="77777777" w:rsidTr="00234C54">
        <w:tc>
          <w:tcPr>
            <w:tcW w:w="1434" w:type="dxa"/>
          </w:tcPr>
          <w:p w14:paraId="0D240A03" w14:textId="77777777" w:rsidR="00234C54" w:rsidRPr="004031A6" w:rsidRDefault="00234C54" w:rsidP="00234C54">
            <w:r w:rsidRPr="004031A6">
              <w:t>New York</w:t>
            </w:r>
          </w:p>
        </w:tc>
        <w:tc>
          <w:tcPr>
            <w:tcW w:w="1361" w:type="dxa"/>
            <w:vAlign w:val="center"/>
          </w:tcPr>
          <w:p w14:paraId="3AA0BC81" w14:textId="77777777" w:rsidR="00234C54" w:rsidRPr="004031A6" w:rsidRDefault="00234C54" w:rsidP="00234C54">
            <w:pPr>
              <w:jc w:val="right"/>
            </w:pPr>
            <w:r w:rsidRPr="004031A6">
              <w:t>773</w:t>
            </w:r>
          </w:p>
        </w:tc>
        <w:tc>
          <w:tcPr>
            <w:tcW w:w="1382" w:type="dxa"/>
            <w:vAlign w:val="center"/>
          </w:tcPr>
          <w:p w14:paraId="436C692B" w14:textId="77777777" w:rsidR="00234C54" w:rsidRPr="004031A6" w:rsidRDefault="00234C54" w:rsidP="00234C54">
            <w:pPr>
              <w:jc w:val="right"/>
            </w:pPr>
            <w:r w:rsidRPr="004031A6">
              <w:t>1,553</w:t>
            </w:r>
          </w:p>
        </w:tc>
        <w:tc>
          <w:tcPr>
            <w:tcW w:w="1369" w:type="dxa"/>
            <w:vAlign w:val="center"/>
          </w:tcPr>
          <w:p w14:paraId="310B7B53" w14:textId="77777777" w:rsidR="00234C54" w:rsidRPr="004031A6" w:rsidRDefault="00234C54" w:rsidP="00234C54">
            <w:pPr>
              <w:jc w:val="right"/>
            </w:pPr>
            <w:r w:rsidRPr="004031A6">
              <w:t>922</w:t>
            </w:r>
          </w:p>
        </w:tc>
        <w:tc>
          <w:tcPr>
            <w:tcW w:w="1758" w:type="dxa"/>
            <w:vAlign w:val="center"/>
          </w:tcPr>
          <w:p w14:paraId="2086FDCA" w14:textId="77777777" w:rsidR="00234C54" w:rsidRPr="004031A6" w:rsidRDefault="00234C54" w:rsidP="00234C54">
            <w:pPr>
              <w:jc w:val="right"/>
            </w:pPr>
            <w:r w:rsidRPr="004031A6">
              <w:t>15,515</w:t>
            </w:r>
          </w:p>
        </w:tc>
        <w:tc>
          <w:tcPr>
            <w:tcW w:w="1364" w:type="dxa"/>
            <w:vAlign w:val="center"/>
          </w:tcPr>
          <w:p w14:paraId="75C2F1AA"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18,764</w:t>
            </w:r>
          </w:p>
        </w:tc>
      </w:tr>
      <w:tr w:rsidR="00234C54" w:rsidRPr="004031A6" w14:paraId="254E9748" w14:textId="77777777" w:rsidTr="00234C54">
        <w:tc>
          <w:tcPr>
            <w:tcW w:w="1434" w:type="dxa"/>
          </w:tcPr>
          <w:p w14:paraId="5FC4959D" w14:textId="77777777" w:rsidR="00234C54" w:rsidRPr="004031A6" w:rsidRDefault="00234C54" w:rsidP="00234C54">
            <w:r w:rsidRPr="004031A6">
              <w:t>Ohio</w:t>
            </w:r>
          </w:p>
        </w:tc>
        <w:tc>
          <w:tcPr>
            <w:tcW w:w="1361" w:type="dxa"/>
            <w:vAlign w:val="center"/>
          </w:tcPr>
          <w:p w14:paraId="13AC7F8E" w14:textId="77777777" w:rsidR="00234C54" w:rsidRPr="004031A6" w:rsidRDefault="00234C54" w:rsidP="00234C54">
            <w:pPr>
              <w:jc w:val="right"/>
            </w:pPr>
            <w:r w:rsidRPr="004031A6">
              <w:t>340</w:t>
            </w:r>
          </w:p>
        </w:tc>
        <w:tc>
          <w:tcPr>
            <w:tcW w:w="1382" w:type="dxa"/>
            <w:vAlign w:val="center"/>
          </w:tcPr>
          <w:p w14:paraId="5BA6240E" w14:textId="77777777" w:rsidR="00234C54" w:rsidRPr="004031A6" w:rsidRDefault="00234C54" w:rsidP="00234C54">
            <w:pPr>
              <w:jc w:val="right"/>
            </w:pPr>
            <w:r w:rsidRPr="004031A6">
              <w:t>2,179</w:t>
            </w:r>
          </w:p>
        </w:tc>
        <w:tc>
          <w:tcPr>
            <w:tcW w:w="1369" w:type="dxa"/>
            <w:vAlign w:val="center"/>
          </w:tcPr>
          <w:p w14:paraId="0FC21324" w14:textId="77777777" w:rsidR="00234C54" w:rsidRPr="004031A6" w:rsidRDefault="00234C54" w:rsidP="00234C54">
            <w:pPr>
              <w:jc w:val="right"/>
            </w:pPr>
            <w:r w:rsidRPr="004031A6">
              <w:t>501</w:t>
            </w:r>
          </w:p>
        </w:tc>
        <w:tc>
          <w:tcPr>
            <w:tcW w:w="1758" w:type="dxa"/>
            <w:vAlign w:val="center"/>
          </w:tcPr>
          <w:p w14:paraId="23650EB1" w14:textId="77777777" w:rsidR="00234C54" w:rsidRPr="004031A6" w:rsidRDefault="00234C54" w:rsidP="00234C54">
            <w:pPr>
              <w:jc w:val="right"/>
            </w:pPr>
            <w:r w:rsidRPr="004031A6">
              <w:t>11,703</w:t>
            </w:r>
          </w:p>
        </w:tc>
        <w:tc>
          <w:tcPr>
            <w:tcW w:w="1364" w:type="dxa"/>
            <w:vAlign w:val="center"/>
          </w:tcPr>
          <w:p w14:paraId="76F16222"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14,723</w:t>
            </w:r>
          </w:p>
        </w:tc>
      </w:tr>
      <w:tr w:rsidR="00234C54" w:rsidRPr="004031A6" w14:paraId="7B95D566" w14:textId="77777777" w:rsidTr="00234C54">
        <w:tc>
          <w:tcPr>
            <w:tcW w:w="1434" w:type="dxa"/>
          </w:tcPr>
          <w:p w14:paraId="530E7268" w14:textId="77777777" w:rsidR="00234C54" w:rsidRPr="004031A6" w:rsidRDefault="00234C54" w:rsidP="00234C54">
            <w:r w:rsidRPr="004031A6">
              <w:t>Pennsylvania</w:t>
            </w:r>
          </w:p>
        </w:tc>
        <w:tc>
          <w:tcPr>
            <w:tcW w:w="1361" w:type="dxa"/>
            <w:vAlign w:val="center"/>
          </w:tcPr>
          <w:p w14:paraId="6C47E408" w14:textId="77777777" w:rsidR="00234C54" w:rsidRPr="004031A6" w:rsidRDefault="00234C54" w:rsidP="00234C54">
            <w:pPr>
              <w:jc w:val="right"/>
            </w:pPr>
            <w:r w:rsidRPr="004031A6">
              <w:t>152</w:t>
            </w:r>
          </w:p>
        </w:tc>
        <w:tc>
          <w:tcPr>
            <w:tcW w:w="1382" w:type="dxa"/>
            <w:vAlign w:val="center"/>
          </w:tcPr>
          <w:p w14:paraId="1D040876" w14:textId="77777777" w:rsidR="00234C54" w:rsidRPr="004031A6" w:rsidRDefault="00234C54" w:rsidP="00234C54">
            <w:pPr>
              <w:jc w:val="right"/>
            </w:pPr>
            <w:r w:rsidRPr="004031A6">
              <w:t>374</w:t>
            </w:r>
          </w:p>
        </w:tc>
        <w:tc>
          <w:tcPr>
            <w:tcW w:w="1369" w:type="dxa"/>
            <w:vAlign w:val="center"/>
          </w:tcPr>
          <w:p w14:paraId="3EC54C97" w14:textId="77777777" w:rsidR="00234C54" w:rsidRPr="004031A6" w:rsidRDefault="00234C54" w:rsidP="00234C54">
            <w:pPr>
              <w:jc w:val="right"/>
            </w:pPr>
            <w:r w:rsidRPr="004031A6">
              <w:t>272</w:t>
            </w:r>
          </w:p>
        </w:tc>
        <w:tc>
          <w:tcPr>
            <w:tcW w:w="1758" w:type="dxa"/>
            <w:vAlign w:val="center"/>
          </w:tcPr>
          <w:p w14:paraId="32181FC3" w14:textId="77777777" w:rsidR="00234C54" w:rsidRPr="004031A6" w:rsidRDefault="00234C54" w:rsidP="00234C54">
            <w:pPr>
              <w:jc w:val="right"/>
            </w:pPr>
            <w:r w:rsidRPr="004031A6">
              <w:t>24,637</w:t>
            </w:r>
          </w:p>
        </w:tc>
        <w:tc>
          <w:tcPr>
            <w:tcW w:w="1364" w:type="dxa"/>
            <w:vAlign w:val="center"/>
          </w:tcPr>
          <w:p w14:paraId="62874CB0"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25,435</w:t>
            </w:r>
          </w:p>
        </w:tc>
      </w:tr>
      <w:tr w:rsidR="00234C54" w:rsidRPr="004031A6" w14:paraId="4DCB0205" w14:textId="77777777" w:rsidTr="00234C54">
        <w:tc>
          <w:tcPr>
            <w:tcW w:w="1434" w:type="dxa"/>
          </w:tcPr>
          <w:p w14:paraId="3E28A59D" w14:textId="77777777" w:rsidR="00234C54" w:rsidRPr="004031A6" w:rsidRDefault="00234C54" w:rsidP="00234C54">
            <w:r w:rsidRPr="004031A6">
              <w:t>Wisconsin</w:t>
            </w:r>
          </w:p>
        </w:tc>
        <w:tc>
          <w:tcPr>
            <w:tcW w:w="1361" w:type="dxa"/>
            <w:vAlign w:val="center"/>
          </w:tcPr>
          <w:p w14:paraId="38663FBE" w14:textId="77777777" w:rsidR="00234C54" w:rsidRPr="004031A6" w:rsidRDefault="00234C54" w:rsidP="00234C54">
            <w:pPr>
              <w:jc w:val="right"/>
            </w:pPr>
            <w:r w:rsidRPr="004031A6">
              <w:t>2,359</w:t>
            </w:r>
          </w:p>
        </w:tc>
        <w:tc>
          <w:tcPr>
            <w:tcW w:w="1382" w:type="dxa"/>
            <w:vAlign w:val="center"/>
          </w:tcPr>
          <w:p w14:paraId="45A82F58" w14:textId="77777777" w:rsidR="00234C54" w:rsidRPr="004031A6" w:rsidRDefault="00234C54" w:rsidP="00234C54">
            <w:pPr>
              <w:jc w:val="right"/>
            </w:pPr>
            <w:r w:rsidRPr="004031A6">
              <w:t>1,691</w:t>
            </w:r>
          </w:p>
        </w:tc>
        <w:tc>
          <w:tcPr>
            <w:tcW w:w="1369" w:type="dxa"/>
            <w:vAlign w:val="center"/>
          </w:tcPr>
          <w:p w14:paraId="602D1C35" w14:textId="77777777" w:rsidR="00234C54" w:rsidRPr="004031A6" w:rsidRDefault="00234C54" w:rsidP="00234C54">
            <w:pPr>
              <w:jc w:val="right"/>
            </w:pPr>
            <w:r w:rsidRPr="004031A6">
              <w:t>358</w:t>
            </w:r>
          </w:p>
        </w:tc>
        <w:tc>
          <w:tcPr>
            <w:tcW w:w="1758" w:type="dxa"/>
            <w:vAlign w:val="center"/>
          </w:tcPr>
          <w:p w14:paraId="3DA003E8" w14:textId="77777777" w:rsidR="00234C54" w:rsidRPr="004031A6" w:rsidRDefault="00234C54" w:rsidP="00234C54">
            <w:pPr>
              <w:jc w:val="right"/>
            </w:pPr>
            <w:r w:rsidRPr="004031A6">
              <w:t>27,003</w:t>
            </w:r>
          </w:p>
        </w:tc>
        <w:tc>
          <w:tcPr>
            <w:tcW w:w="1364" w:type="dxa"/>
            <w:vAlign w:val="center"/>
          </w:tcPr>
          <w:p w14:paraId="3EC2AF47"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31,411</w:t>
            </w:r>
          </w:p>
        </w:tc>
      </w:tr>
      <w:tr w:rsidR="00234C54" w:rsidRPr="004031A6" w14:paraId="540AD598" w14:textId="77777777" w:rsidTr="00234C54">
        <w:tc>
          <w:tcPr>
            <w:tcW w:w="1434" w:type="dxa"/>
          </w:tcPr>
          <w:p w14:paraId="001961BF" w14:textId="77777777" w:rsidR="00234C54" w:rsidRPr="004031A6" w:rsidRDefault="00234C54" w:rsidP="00234C54">
            <w:r w:rsidRPr="004031A6">
              <w:t>Total</w:t>
            </w:r>
          </w:p>
        </w:tc>
        <w:tc>
          <w:tcPr>
            <w:tcW w:w="1361" w:type="dxa"/>
            <w:vAlign w:val="center"/>
          </w:tcPr>
          <w:p w14:paraId="68C78D63" w14:textId="77777777" w:rsidR="00234C54" w:rsidRPr="004031A6" w:rsidRDefault="00234C54" w:rsidP="00234C54">
            <w:pPr>
              <w:jc w:val="right"/>
            </w:pPr>
            <w:r w:rsidRPr="004031A6">
              <w:t>8,193</w:t>
            </w:r>
          </w:p>
        </w:tc>
        <w:tc>
          <w:tcPr>
            <w:tcW w:w="1382" w:type="dxa"/>
            <w:vAlign w:val="center"/>
          </w:tcPr>
          <w:p w14:paraId="4A88073A" w14:textId="77777777" w:rsidR="00234C54" w:rsidRPr="004031A6" w:rsidRDefault="00234C54" w:rsidP="00234C54">
            <w:pPr>
              <w:jc w:val="right"/>
            </w:pPr>
            <w:r w:rsidRPr="004031A6">
              <w:t>11,070</w:t>
            </w:r>
          </w:p>
        </w:tc>
        <w:tc>
          <w:tcPr>
            <w:tcW w:w="1369" w:type="dxa"/>
            <w:vAlign w:val="center"/>
          </w:tcPr>
          <w:p w14:paraId="5F8A11A3" w14:textId="77777777" w:rsidR="00234C54" w:rsidRPr="004031A6" w:rsidRDefault="00234C54" w:rsidP="00234C54">
            <w:pPr>
              <w:jc w:val="right"/>
            </w:pPr>
            <w:r w:rsidRPr="004031A6">
              <w:t>4,070</w:t>
            </w:r>
          </w:p>
        </w:tc>
        <w:tc>
          <w:tcPr>
            <w:tcW w:w="1758" w:type="dxa"/>
            <w:vAlign w:val="center"/>
          </w:tcPr>
          <w:p w14:paraId="4ED384B0" w14:textId="77777777" w:rsidR="00234C54" w:rsidRPr="004031A6" w:rsidRDefault="00234C54" w:rsidP="00234C54">
            <w:pPr>
              <w:jc w:val="right"/>
            </w:pPr>
            <w:r w:rsidRPr="004031A6">
              <w:t>150,783</w:t>
            </w:r>
          </w:p>
        </w:tc>
        <w:tc>
          <w:tcPr>
            <w:tcW w:w="1364" w:type="dxa"/>
            <w:vAlign w:val="center"/>
          </w:tcPr>
          <w:p w14:paraId="2396320D" w14:textId="77777777" w:rsidR="00234C54" w:rsidRPr="004031A6" w:rsidRDefault="00234C54" w:rsidP="00234C54">
            <w:pPr>
              <w:pStyle w:val="Default"/>
              <w:jc w:val="right"/>
              <w:rPr>
                <w:rFonts w:asciiTheme="minorHAnsi" w:hAnsiTheme="minorHAnsi" w:cstheme="minorHAnsi"/>
                <w:sz w:val="22"/>
                <w:szCs w:val="22"/>
              </w:rPr>
            </w:pPr>
            <w:r w:rsidRPr="004031A6">
              <w:rPr>
                <w:rFonts w:asciiTheme="minorHAnsi" w:hAnsiTheme="minorHAnsi" w:cstheme="minorHAnsi"/>
                <w:sz w:val="22"/>
                <w:szCs w:val="22"/>
              </w:rPr>
              <w:t>174,115</w:t>
            </w:r>
          </w:p>
        </w:tc>
      </w:tr>
    </w:tbl>
    <w:p w14:paraId="3EB0FCE3" w14:textId="77777777" w:rsidR="00234C54" w:rsidRDefault="00234C54" w:rsidP="00234C54"/>
    <w:p w14:paraId="034A7EFE" w14:textId="75FBA120" w:rsidR="008F6915" w:rsidRDefault="008F6915" w:rsidP="00242815">
      <w:pPr>
        <w:spacing w:after="240" w:line="240" w:lineRule="auto"/>
      </w:pPr>
    </w:p>
    <w:p w14:paraId="7D073A05" w14:textId="77777777" w:rsidR="00234C54" w:rsidRDefault="00234C54" w:rsidP="00234C54">
      <w:pPr>
        <w:ind w:left="1800"/>
      </w:pPr>
    </w:p>
    <w:p w14:paraId="1949CEE0" w14:textId="77777777" w:rsidR="00234C54" w:rsidRDefault="00234C54" w:rsidP="00234C54">
      <w:pPr>
        <w:sectPr w:rsidR="00234C54" w:rsidSect="004B0443">
          <w:pgSz w:w="12240" w:h="15840"/>
          <w:pgMar w:top="1440" w:right="1440" w:bottom="1440" w:left="1440" w:header="720" w:footer="720" w:gutter="0"/>
          <w:lnNumType w:countBy="1" w:restart="continuous"/>
          <w:cols w:space="720"/>
          <w:docGrid w:linePitch="360"/>
        </w:sectPr>
      </w:pPr>
    </w:p>
    <w:p w14:paraId="6408A443" w14:textId="77777777" w:rsidR="00234C54" w:rsidRDefault="00234C54" w:rsidP="00234C54">
      <w:r>
        <w:lastRenderedPageBreak/>
        <w:t xml:space="preserve">Table 2. </w:t>
      </w:r>
      <w:r w:rsidRPr="00D377E1">
        <w:t>Effects</w:t>
      </w:r>
      <w:r>
        <w:t xml:space="preserve"> of bighead and silver carp on annual recreational fishing participation (1000s of days) and consumer surplus (CS) ($1000s) under the worst-case and best-case scenarios.  </w:t>
      </w:r>
    </w:p>
    <w:tbl>
      <w:tblPr>
        <w:tblStyle w:val="TableGrid"/>
        <w:tblW w:w="131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9"/>
        <w:gridCol w:w="1354"/>
        <w:gridCol w:w="1375"/>
        <w:gridCol w:w="1364"/>
        <w:gridCol w:w="1749"/>
        <w:gridCol w:w="1358"/>
        <w:gridCol w:w="1362"/>
        <w:gridCol w:w="1363"/>
        <w:gridCol w:w="1721"/>
      </w:tblGrid>
      <w:tr w:rsidR="00234C54" w14:paraId="4E445727" w14:textId="77777777" w:rsidTr="00234C54">
        <w:tc>
          <w:tcPr>
            <w:tcW w:w="1434" w:type="dxa"/>
            <w:vMerge w:val="restart"/>
            <w:tcBorders>
              <w:top w:val="single" w:sz="4" w:space="0" w:color="auto"/>
              <w:bottom w:val="nil"/>
            </w:tcBorders>
            <w:vAlign w:val="bottom"/>
          </w:tcPr>
          <w:p w14:paraId="3A927F13" w14:textId="77777777" w:rsidR="00234C54" w:rsidRDefault="00234C54" w:rsidP="00234C54">
            <w:r>
              <w:t>State of Residence</w:t>
            </w:r>
          </w:p>
        </w:tc>
        <w:tc>
          <w:tcPr>
            <w:tcW w:w="5870" w:type="dxa"/>
            <w:gridSpan w:val="4"/>
            <w:tcBorders>
              <w:top w:val="single" w:sz="4" w:space="0" w:color="auto"/>
              <w:bottom w:val="nil"/>
            </w:tcBorders>
            <w:vAlign w:val="bottom"/>
          </w:tcPr>
          <w:p w14:paraId="2121C27D" w14:textId="2E102F01" w:rsidR="00234C54" w:rsidRDefault="00DD57A7" w:rsidP="00234C54">
            <w:pPr>
              <w:jc w:val="center"/>
            </w:pPr>
            <w:r>
              <w:t>Worst-case</w:t>
            </w:r>
            <w:r w:rsidR="00234C54">
              <w:t xml:space="preserve"> Scenario </w:t>
            </w:r>
          </w:p>
        </w:tc>
        <w:tc>
          <w:tcPr>
            <w:tcW w:w="5831" w:type="dxa"/>
            <w:gridSpan w:val="4"/>
            <w:tcBorders>
              <w:top w:val="single" w:sz="4" w:space="0" w:color="auto"/>
              <w:bottom w:val="nil"/>
            </w:tcBorders>
            <w:vAlign w:val="bottom"/>
          </w:tcPr>
          <w:p w14:paraId="272EECEF" w14:textId="33C214EB" w:rsidR="00234C54" w:rsidRDefault="00DD57A7" w:rsidP="00234C54">
            <w:pPr>
              <w:jc w:val="center"/>
            </w:pPr>
            <w:r>
              <w:t>Best-case</w:t>
            </w:r>
            <w:r w:rsidR="00234C54">
              <w:t xml:space="preserve"> Scenario</w:t>
            </w:r>
          </w:p>
        </w:tc>
      </w:tr>
      <w:tr w:rsidR="00234C54" w14:paraId="5E0A68CD" w14:textId="77777777" w:rsidTr="00234C54">
        <w:tc>
          <w:tcPr>
            <w:tcW w:w="1434" w:type="dxa"/>
            <w:vMerge/>
            <w:tcBorders>
              <w:top w:val="nil"/>
              <w:bottom w:val="single" w:sz="4" w:space="0" w:color="auto"/>
            </w:tcBorders>
          </w:tcPr>
          <w:p w14:paraId="2ED05434" w14:textId="77777777" w:rsidR="00234C54" w:rsidRDefault="00234C54" w:rsidP="00234C54"/>
        </w:tc>
        <w:tc>
          <w:tcPr>
            <w:tcW w:w="1361" w:type="dxa"/>
            <w:tcBorders>
              <w:top w:val="nil"/>
              <w:bottom w:val="single" w:sz="4" w:space="0" w:color="auto"/>
            </w:tcBorders>
            <w:vAlign w:val="bottom"/>
          </w:tcPr>
          <w:p w14:paraId="093B0AFD" w14:textId="77777777" w:rsidR="00234C54" w:rsidRDefault="00234C54" w:rsidP="00234C54">
            <w:r>
              <w:t>Percent Change Fishing Days</w:t>
            </w:r>
          </w:p>
        </w:tc>
        <w:tc>
          <w:tcPr>
            <w:tcW w:w="1382" w:type="dxa"/>
            <w:tcBorders>
              <w:top w:val="nil"/>
              <w:bottom w:val="single" w:sz="4" w:space="0" w:color="auto"/>
            </w:tcBorders>
            <w:vAlign w:val="bottom"/>
          </w:tcPr>
          <w:p w14:paraId="392132F3" w14:textId="77777777" w:rsidR="00234C54" w:rsidRDefault="00234C54" w:rsidP="00234C54">
            <w:r>
              <w:t>Change in Total Fishing Days (1000s)</w:t>
            </w:r>
          </w:p>
        </w:tc>
        <w:tc>
          <w:tcPr>
            <w:tcW w:w="1369" w:type="dxa"/>
            <w:tcBorders>
              <w:top w:val="nil"/>
              <w:bottom w:val="single" w:sz="4" w:space="0" w:color="auto"/>
            </w:tcBorders>
            <w:vAlign w:val="bottom"/>
          </w:tcPr>
          <w:p w14:paraId="49AC601B" w14:textId="77777777" w:rsidR="00234C54" w:rsidRDefault="00234C54" w:rsidP="00234C54">
            <w:r>
              <w:t>Average CS Change per Angler ($)</w:t>
            </w:r>
          </w:p>
        </w:tc>
        <w:tc>
          <w:tcPr>
            <w:tcW w:w="1758" w:type="dxa"/>
            <w:tcBorders>
              <w:top w:val="nil"/>
              <w:bottom w:val="single" w:sz="4" w:space="0" w:color="auto"/>
            </w:tcBorders>
            <w:vAlign w:val="bottom"/>
          </w:tcPr>
          <w:p w14:paraId="74EFBEC0" w14:textId="77777777" w:rsidR="00234C54" w:rsidRDefault="00234C54" w:rsidP="00234C54">
            <w:r>
              <w:t>Total CS Change</w:t>
            </w:r>
          </w:p>
          <w:p w14:paraId="2C75CEE0" w14:textId="77777777" w:rsidR="00234C54" w:rsidRDefault="00234C54" w:rsidP="00234C54">
            <w:r>
              <w:t>($1000s)</w:t>
            </w:r>
          </w:p>
        </w:tc>
        <w:tc>
          <w:tcPr>
            <w:tcW w:w="1364" w:type="dxa"/>
            <w:tcBorders>
              <w:top w:val="nil"/>
              <w:bottom w:val="single" w:sz="4" w:space="0" w:color="auto"/>
            </w:tcBorders>
            <w:vAlign w:val="bottom"/>
          </w:tcPr>
          <w:p w14:paraId="3E8E3C6B" w14:textId="77777777" w:rsidR="00234C54" w:rsidRDefault="00234C54" w:rsidP="00234C54">
            <w:r>
              <w:t>Percent Change Fishing Days</w:t>
            </w:r>
          </w:p>
        </w:tc>
        <w:tc>
          <w:tcPr>
            <w:tcW w:w="1368" w:type="dxa"/>
            <w:tcBorders>
              <w:top w:val="nil"/>
              <w:bottom w:val="single" w:sz="4" w:space="0" w:color="auto"/>
            </w:tcBorders>
            <w:vAlign w:val="bottom"/>
          </w:tcPr>
          <w:p w14:paraId="71B0B4ED" w14:textId="77777777" w:rsidR="00234C54" w:rsidRDefault="00234C54" w:rsidP="00234C54">
            <w:r>
              <w:t>Change in Total Fishing Days (1000s)</w:t>
            </w:r>
          </w:p>
        </w:tc>
        <w:tc>
          <w:tcPr>
            <w:tcW w:w="1368" w:type="dxa"/>
            <w:tcBorders>
              <w:top w:val="nil"/>
              <w:bottom w:val="single" w:sz="4" w:space="0" w:color="auto"/>
            </w:tcBorders>
            <w:vAlign w:val="bottom"/>
          </w:tcPr>
          <w:p w14:paraId="2319E30F" w14:textId="77777777" w:rsidR="00234C54" w:rsidRDefault="00234C54" w:rsidP="00234C54">
            <w:r>
              <w:t>Average CS Change per Angler ($)</w:t>
            </w:r>
          </w:p>
        </w:tc>
        <w:tc>
          <w:tcPr>
            <w:tcW w:w="1731" w:type="dxa"/>
            <w:tcBorders>
              <w:top w:val="nil"/>
              <w:bottom w:val="single" w:sz="4" w:space="0" w:color="auto"/>
            </w:tcBorders>
            <w:vAlign w:val="bottom"/>
          </w:tcPr>
          <w:p w14:paraId="33286CC6" w14:textId="77777777" w:rsidR="00234C54" w:rsidRDefault="00234C54" w:rsidP="00234C54">
            <w:r>
              <w:t>Total CS Change</w:t>
            </w:r>
          </w:p>
          <w:p w14:paraId="30E1B5DB" w14:textId="77777777" w:rsidR="00234C54" w:rsidRDefault="00234C54" w:rsidP="00234C54">
            <w:r>
              <w:t>($1000s)</w:t>
            </w:r>
          </w:p>
        </w:tc>
      </w:tr>
      <w:tr w:rsidR="00234C54" w14:paraId="40BDE261" w14:textId="77777777" w:rsidTr="00234C54">
        <w:tc>
          <w:tcPr>
            <w:tcW w:w="1434" w:type="dxa"/>
            <w:tcBorders>
              <w:top w:val="single" w:sz="4" w:space="0" w:color="auto"/>
            </w:tcBorders>
          </w:tcPr>
          <w:p w14:paraId="50635CEF" w14:textId="77777777" w:rsidR="00234C54" w:rsidRDefault="00234C54" w:rsidP="00234C54">
            <w:r>
              <w:t>Illinois</w:t>
            </w:r>
          </w:p>
        </w:tc>
        <w:tc>
          <w:tcPr>
            <w:tcW w:w="1361" w:type="dxa"/>
            <w:tcBorders>
              <w:top w:val="single" w:sz="4" w:space="0" w:color="auto"/>
            </w:tcBorders>
            <w:vAlign w:val="center"/>
          </w:tcPr>
          <w:p w14:paraId="0EF11C36" w14:textId="77777777" w:rsidR="00234C54" w:rsidRDefault="00234C54" w:rsidP="00234C54">
            <w:pPr>
              <w:jc w:val="right"/>
            </w:pPr>
            <w:r>
              <w:t>-0.68%</w:t>
            </w:r>
          </w:p>
        </w:tc>
        <w:tc>
          <w:tcPr>
            <w:tcW w:w="1382" w:type="dxa"/>
            <w:tcBorders>
              <w:top w:val="single" w:sz="4" w:space="0" w:color="auto"/>
            </w:tcBorders>
            <w:vAlign w:val="center"/>
          </w:tcPr>
          <w:p w14:paraId="52D3FFDC" w14:textId="77777777" w:rsidR="00234C54" w:rsidRDefault="00234C54" w:rsidP="00234C54">
            <w:pPr>
              <w:jc w:val="right"/>
            </w:pPr>
            <w:r>
              <w:t>-163.2</w:t>
            </w:r>
          </w:p>
        </w:tc>
        <w:tc>
          <w:tcPr>
            <w:tcW w:w="1369" w:type="dxa"/>
            <w:tcBorders>
              <w:top w:val="single" w:sz="4" w:space="0" w:color="auto"/>
            </w:tcBorders>
            <w:vAlign w:val="center"/>
          </w:tcPr>
          <w:p w14:paraId="2A0B7643" w14:textId="77777777" w:rsidR="00234C54" w:rsidRDefault="00234C54" w:rsidP="00234C54">
            <w:pPr>
              <w:jc w:val="right"/>
            </w:pPr>
            <w:r>
              <w:t>-$91.66</w:t>
            </w:r>
          </w:p>
        </w:tc>
        <w:tc>
          <w:tcPr>
            <w:tcW w:w="1758" w:type="dxa"/>
            <w:tcBorders>
              <w:top w:val="single" w:sz="4" w:space="0" w:color="auto"/>
            </w:tcBorders>
            <w:vAlign w:val="center"/>
          </w:tcPr>
          <w:p w14:paraId="14C4ABEE" w14:textId="77777777" w:rsidR="00234C54" w:rsidRDefault="00234C54" w:rsidP="00234C54">
            <w:pPr>
              <w:jc w:val="right"/>
            </w:pPr>
            <w:r>
              <w:t>-$55,515</w:t>
            </w:r>
          </w:p>
        </w:tc>
        <w:tc>
          <w:tcPr>
            <w:tcW w:w="1364" w:type="dxa"/>
            <w:tcBorders>
              <w:top w:val="single" w:sz="4" w:space="0" w:color="auto"/>
            </w:tcBorders>
            <w:vAlign w:val="center"/>
          </w:tcPr>
          <w:p w14:paraId="580476CB"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-0.07%</w:t>
            </w:r>
          </w:p>
        </w:tc>
        <w:tc>
          <w:tcPr>
            <w:tcW w:w="1368" w:type="dxa"/>
            <w:tcBorders>
              <w:top w:val="single" w:sz="4" w:space="0" w:color="auto"/>
            </w:tcBorders>
            <w:vAlign w:val="center"/>
          </w:tcPr>
          <w:p w14:paraId="3E4E1F77"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-17</w:t>
            </w:r>
            <w:r>
              <w:rPr>
                <w:rFonts w:asciiTheme="minorHAnsi" w:hAnsiTheme="minorHAnsi" w:cstheme="minorHAnsi"/>
                <w:szCs w:val="22"/>
              </w:rPr>
              <w:t>.0</w:t>
            </w:r>
          </w:p>
        </w:tc>
        <w:tc>
          <w:tcPr>
            <w:tcW w:w="1368" w:type="dxa"/>
            <w:tcBorders>
              <w:top w:val="single" w:sz="4" w:space="0" w:color="auto"/>
            </w:tcBorders>
            <w:vAlign w:val="center"/>
          </w:tcPr>
          <w:p w14:paraId="5619EA47"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-$9.55</w:t>
            </w:r>
          </w:p>
        </w:tc>
        <w:tc>
          <w:tcPr>
            <w:tcW w:w="1731" w:type="dxa"/>
            <w:tcBorders>
              <w:top w:val="single" w:sz="4" w:space="0" w:color="auto"/>
            </w:tcBorders>
            <w:vAlign w:val="center"/>
          </w:tcPr>
          <w:p w14:paraId="3B3D7BA9"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-$5,781</w:t>
            </w:r>
          </w:p>
        </w:tc>
      </w:tr>
      <w:tr w:rsidR="00234C54" w14:paraId="58A215F3" w14:textId="77777777" w:rsidTr="00234C54">
        <w:tc>
          <w:tcPr>
            <w:tcW w:w="1434" w:type="dxa"/>
          </w:tcPr>
          <w:p w14:paraId="4FA270DD" w14:textId="77777777" w:rsidR="00234C54" w:rsidRDefault="00234C54" w:rsidP="00234C54">
            <w:r>
              <w:t>Indiana</w:t>
            </w:r>
          </w:p>
        </w:tc>
        <w:tc>
          <w:tcPr>
            <w:tcW w:w="1361" w:type="dxa"/>
            <w:vAlign w:val="center"/>
          </w:tcPr>
          <w:p w14:paraId="25D0AF05" w14:textId="77777777" w:rsidR="00234C54" w:rsidRDefault="00234C54" w:rsidP="00234C54">
            <w:pPr>
              <w:jc w:val="right"/>
            </w:pPr>
            <w:r>
              <w:t>-0.30%</w:t>
            </w:r>
          </w:p>
        </w:tc>
        <w:tc>
          <w:tcPr>
            <w:tcW w:w="1382" w:type="dxa"/>
            <w:vAlign w:val="center"/>
          </w:tcPr>
          <w:p w14:paraId="51D71966" w14:textId="77777777" w:rsidR="00234C54" w:rsidRDefault="00234C54" w:rsidP="00234C54">
            <w:pPr>
              <w:jc w:val="right"/>
            </w:pPr>
            <w:r>
              <w:t>-41.9</w:t>
            </w:r>
          </w:p>
        </w:tc>
        <w:tc>
          <w:tcPr>
            <w:tcW w:w="1369" w:type="dxa"/>
            <w:vAlign w:val="center"/>
          </w:tcPr>
          <w:p w14:paraId="43F63BF1" w14:textId="77777777" w:rsidR="00234C54" w:rsidRDefault="00234C54" w:rsidP="00234C54">
            <w:pPr>
              <w:jc w:val="right"/>
            </w:pPr>
            <w:r>
              <w:t>-$43.13</w:t>
            </w:r>
          </w:p>
        </w:tc>
        <w:tc>
          <w:tcPr>
            <w:tcW w:w="1758" w:type="dxa"/>
            <w:vAlign w:val="center"/>
          </w:tcPr>
          <w:p w14:paraId="586656E1" w14:textId="77777777" w:rsidR="00234C54" w:rsidRDefault="00234C54" w:rsidP="00234C54">
            <w:pPr>
              <w:jc w:val="right"/>
            </w:pPr>
            <w:r>
              <w:t>-$14,321</w:t>
            </w:r>
          </w:p>
        </w:tc>
        <w:tc>
          <w:tcPr>
            <w:tcW w:w="1364" w:type="dxa"/>
            <w:vAlign w:val="center"/>
          </w:tcPr>
          <w:p w14:paraId="691FD6C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-0.03%</w:t>
            </w:r>
          </w:p>
        </w:tc>
        <w:tc>
          <w:tcPr>
            <w:tcW w:w="1368" w:type="dxa"/>
            <w:vAlign w:val="center"/>
          </w:tcPr>
          <w:p w14:paraId="057F2607"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-4</w:t>
            </w:r>
            <w:r>
              <w:rPr>
                <w:rFonts w:asciiTheme="minorHAnsi" w:hAnsiTheme="minorHAnsi" w:cstheme="minorHAnsi"/>
                <w:szCs w:val="22"/>
              </w:rPr>
              <w:t>.</w:t>
            </w:r>
            <w:r w:rsidRPr="00361E99">
              <w:rPr>
                <w:rFonts w:asciiTheme="minorHAnsi" w:hAnsiTheme="minorHAnsi" w:cstheme="minorHAnsi"/>
                <w:szCs w:val="22"/>
              </w:rPr>
              <w:t>5</w:t>
            </w:r>
          </w:p>
        </w:tc>
        <w:tc>
          <w:tcPr>
            <w:tcW w:w="1368" w:type="dxa"/>
            <w:vAlign w:val="center"/>
          </w:tcPr>
          <w:p w14:paraId="79E28194"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-$4.65</w:t>
            </w:r>
          </w:p>
        </w:tc>
        <w:tc>
          <w:tcPr>
            <w:tcW w:w="1731" w:type="dxa"/>
            <w:vAlign w:val="center"/>
          </w:tcPr>
          <w:p w14:paraId="0191FCF6"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-$1,543</w:t>
            </w:r>
          </w:p>
        </w:tc>
      </w:tr>
      <w:tr w:rsidR="00234C54" w14:paraId="19D38203" w14:textId="77777777" w:rsidTr="00234C54">
        <w:tc>
          <w:tcPr>
            <w:tcW w:w="1434" w:type="dxa"/>
          </w:tcPr>
          <w:p w14:paraId="5D30E80A" w14:textId="77777777" w:rsidR="00234C54" w:rsidRDefault="00234C54" w:rsidP="00234C54">
            <w:r>
              <w:t>Michigan</w:t>
            </w:r>
          </w:p>
        </w:tc>
        <w:tc>
          <w:tcPr>
            <w:tcW w:w="1361" w:type="dxa"/>
            <w:vAlign w:val="center"/>
          </w:tcPr>
          <w:p w14:paraId="3842A7FE" w14:textId="77777777" w:rsidR="00234C54" w:rsidRDefault="00234C54" w:rsidP="00234C54">
            <w:pPr>
              <w:jc w:val="right"/>
            </w:pPr>
            <w:r>
              <w:t>-0.28%</w:t>
            </w:r>
          </w:p>
        </w:tc>
        <w:tc>
          <w:tcPr>
            <w:tcW w:w="1382" w:type="dxa"/>
            <w:vAlign w:val="center"/>
          </w:tcPr>
          <w:p w14:paraId="70338560" w14:textId="77777777" w:rsidR="00234C54" w:rsidRDefault="00234C54" w:rsidP="00234C54">
            <w:pPr>
              <w:jc w:val="right"/>
            </w:pPr>
            <w:r>
              <w:t>-78.1</w:t>
            </w:r>
          </w:p>
        </w:tc>
        <w:tc>
          <w:tcPr>
            <w:tcW w:w="1369" w:type="dxa"/>
            <w:vAlign w:val="center"/>
          </w:tcPr>
          <w:p w14:paraId="0390A65F" w14:textId="77777777" w:rsidR="00234C54" w:rsidRDefault="00234C54" w:rsidP="00234C54">
            <w:pPr>
              <w:jc w:val="right"/>
            </w:pPr>
            <w:r>
              <w:t>-$33.14</w:t>
            </w:r>
          </w:p>
        </w:tc>
        <w:tc>
          <w:tcPr>
            <w:tcW w:w="1758" w:type="dxa"/>
            <w:vAlign w:val="center"/>
          </w:tcPr>
          <w:p w14:paraId="5F4B2C9A" w14:textId="77777777" w:rsidR="00234C54" w:rsidRDefault="00234C54" w:rsidP="00234C54">
            <w:pPr>
              <w:jc w:val="right"/>
            </w:pPr>
            <w:r>
              <w:t>-$26,704</w:t>
            </w:r>
          </w:p>
        </w:tc>
        <w:tc>
          <w:tcPr>
            <w:tcW w:w="1364" w:type="dxa"/>
            <w:vAlign w:val="center"/>
          </w:tcPr>
          <w:p w14:paraId="61FB029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0.09%</w:t>
            </w:r>
          </w:p>
        </w:tc>
        <w:tc>
          <w:tcPr>
            <w:tcW w:w="1368" w:type="dxa"/>
            <w:vAlign w:val="center"/>
          </w:tcPr>
          <w:p w14:paraId="759F0AE2"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26</w:t>
            </w:r>
            <w:r>
              <w:rPr>
                <w:rFonts w:asciiTheme="minorHAnsi" w:hAnsiTheme="minorHAnsi" w:cstheme="minorHAnsi"/>
                <w:szCs w:val="22"/>
              </w:rPr>
              <w:t>.1</w:t>
            </w:r>
          </w:p>
        </w:tc>
        <w:tc>
          <w:tcPr>
            <w:tcW w:w="1368" w:type="dxa"/>
            <w:vAlign w:val="center"/>
          </w:tcPr>
          <w:p w14:paraId="71716A7F"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$11.03</w:t>
            </w:r>
          </w:p>
        </w:tc>
        <w:tc>
          <w:tcPr>
            <w:tcW w:w="1731" w:type="dxa"/>
            <w:vAlign w:val="center"/>
          </w:tcPr>
          <w:p w14:paraId="270F87A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$8,885</w:t>
            </w:r>
          </w:p>
        </w:tc>
      </w:tr>
      <w:tr w:rsidR="00234C54" w14:paraId="0E48036B" w14:textId="77777777" w:rsidTr="00234C54">
        <w:tc>
          <w:tcPr>
            <w:tcW w:w="1434" w:type="dxa"/>
          </w:tcPr>
          <w:p w14:paraId="622F61FD" w14:textId="77777777" w:rsidR="00234C54" w:rsidRDefault="00234C54" w:rsidP="00234C54">
            <w:r>
              <w:t>Minnesota</w:t>
            </w:r>
          </w:p>
        </w:tc>
        <w:tc>
          <w:tcPr>
            <w:tcW w:w="1361" w:type="dxa"/>
            <w:vAlign w:val="center"/>
          </w:tcPr>
          <w:p w14:paraId="4ECF09E4" w14:textId="77777777" w:rsidR="00234C54" w:rsidRDefault="00234C54" w:rsidP="00234C54">
            <w:pPr>
              <w:jc w:val="right"/>
            </w:pPr>
            <w:r>
              <w:t>-0.01%</w:t>
            </w:r>
          </w:p>
        </w:tc>
        <w:tc>
          <w:tcPr>
            <w:tcW w:w="1382" w:type="dxa"/>
            <w:vAlign w:val="center"/>
          </w:tcPr>
          <w:p w14:paraId="77BB47A4" w14:textId="77777777" w:rsidR="00234C54" w:rsidRDefault="00234C54" w:rsidP="00234C54">
            <w:pPr>
              <w:jc w:val="right"/>
            </w:pPr>
            <w:r>
              <w:t>-2.2</w:t>
            </w:r>
          </w:p>
        </w:tc>
        <w:tc>
          <w:tcPr>
            <w:tcW w:w="1369" w:type="dxa"/>
            <w:vAlign w:val="center"/>
          </w:tcPr>
          <w:p w14:paraId="66B85A48" w14:textId="77777777" w:rsidR="00234C54" w:rsidRDefault="00234C54" w:rsidP="00234C54">
            <w:pPr>
              <w:jc w:val="right"/>
            </w:pPr>
            <w:r>
              <w:t>-$0.72</w:t>
            </w:r>
          </w:p>
        </w:tc>
        <w:tc>
          <w:tcPr>
            <w:tcW w:w="1758" w:type="dxa"/>
            <w:vAlign w:val="center"/>
          </w:tcPr>
          <w:p w14:paraId="496C782A" w14:textId="77777777" w:rsidR="00234C54" w:rsidRDefault="00234C54" w:rsidP="00234C54">
            <w:pPr>
              <w:jc w:val="right"/>
            </w:pPr>
            <w:r>
              <w:t>-$742</w:t>
            </w:r>
          </w:p>
        </w:tc>
        <w:tc>
          <w:tcPr>
            <w:tcW w:w="1364" w:type="dxa"/>
            <w:vAlign w:val="center"/>
          </w:tcPr>
          <w:p w14:paraId="614AAE56"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-0.01%</w:t>
            </w:r>
          </w:p>
        </w:tc>
        <w:tc>
          <w:tcPr>
            <w:tcW w:w="1368" w:type="dxa"/>
            <w:vAlign w:val="center"/>
          </w:tcPr>
          <w:p w14:paraId="090EF33C"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w:t>
            </w:r>
            <w:r>
              <w:rPr>
                <w:rFonts w:asciiTheme="minorHAnsi" w:hAnsiTheme="minorHAnsi" w:cstheme="minorHAnsi"/>
                <w:szCs w:val="22"/>
              </w:rPr>
              <w:t>.0</w:t>
            </w:r>
          </w:p>
        </w:tc>
        <w:tc>
          <w:tcPr>
            <w:tcW w:w="1368" w:type="dxa"/>
            <w:vAlign w:val="center"/>
          </w:tcPr>
          <w:p w14:paraId="1D95FE0B"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-$0.68</w:t>
            </w:r>
          </w:p>
        </w:tc>
        <w:tc>
          <w:tcPr>
            <w:tcW w:w="1731" w:type="dxa"/>
            <w:vAlign w:val="center"/>
          </w:tcPr>
          <w:p w14:paraId="1E3FBD2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-$695</w:t>
            </w:r>
          </w:p>
        </w:tc>
      </w:tr>
      <w:tr w:rsidR="00234C54" w14:paraId="5C6A147A" w14:textId="77777777" w:rsidTr="00234C54">
        <w:tc>
          <w:tcPr>
            <w:tcW w:w="1434" w:type="dxa"/>
          </w:tcPr>
          <w:p w14:paraId="7BB7E494" w14:textId="77777777" w:rsidR="00234C54" w:rsidRDefault="00234C54" w:rsidP="00234C54">
            <w:r>
              <w:t>New York</w:t>
            </w:r>
          </w:p>
        </w:tc>
        <w:tc>
          <w:tcPr>
            <w:tcW w:w="1361" w:type="dxa"/>
            <w:vAlign w:val="center"/>
          </w:tcPr>
          <w:p w14:paraId="58C8F142" w14:textId="77777777" w:rsidR="00234C54" w:rsidRDefault="00234C54" w:rsidP="00234C54">
            <w:pPr>
              <w:jc w:val="right"/>
            </w:pPr>
            <w:r>
              <w:t>-0.18%</w:t>
            </w:r>
          </w:p>
        </w:tc>
        <w:tc>
          <w:tcPr>
            <w:tcW w:w="1382" w:type="dxa"/>
            <w:vAlign w:val="center"/>
          </w:tcPr>
          <w:p w14:paraId="2FDC559B" w14:textId="77777777" w:rsidR="00234C54" w:rsidRDefault="00234C54" w:rsidP="00234C54">
            <w:pPr>
              <w:jc w:val="right"/>
            </w:pPr>
            <w:r>
              <w:t>-33.7</w:t>
            </w:r>
          </w:p>
        </w:tc>
        <w:tc>
          <w:tcPr>
            <w:tcW w:w="1369" w:type="dxa"/>
            <w:vAlign w:val="center"/>
          </w:tcPr>
          <w:p w14:paraId="32CCF2FA" w14:textId="77777777" w:rsidR="00234C54" w:rsidRDefault="00234C54" w:rsidP="00234C54">
            <w:pPr>
              <w:jc w:val="right"/>
            </w:pPr>
            <w:r>
              <w:t>-$19.57</w:t>
            </w:r>
          </w:p>
        </w:tc>
        <w:tc>
          <w:tcPr>
            <w:tcW w:w="1758" w:type="dxa"/>
            <w:vAlign w:val="center"/>
          </w:tcPr>
          <w:p w14:paraId="7B922839" w14:textId="77777777" w:rsidR="00234C54" w:rsidRDefault="00234C54" w:rsidP="00234C54">
            <w:pPr>
              <w:jc w:val="right"/>
            </w:pPr>
            <w:r>
              <w:t>-$11,539</w:t>
            </w:r>
          </w:p>
        </w:tc>
        <w:tc>
          <w:tcPr>
            <w:tcW w:w="1364" w:type="dxa"/>
            <w:vAlign w:val="center"/>
          </w:tcPr>
          <w:p w14:paraId="311E16E2"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-0.03%</w:t>
            </w:r>
          </w:p>
        </w:tc>
        <w:tc>
          <w:tcPr>
            <w:tcW w:w="1368" w:type="dxa"/>
            <w:vAlign w:val="center"/>
          </w:tcPr>
          <w:p w14:paraId="6A609F76"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-6</w:t>
            </w:r>
            <w:r>
              <w:rPr>
                <w:rFonts w:asciiTheme="minorHAnsi" w:hAnsiTheme="minorHAnsi" w:cstheme="minorHAnsi"/>
                <w:szCs w:val="22"/>
              </w:rPr>
              <w:t>.3</w:t>
            </w:r>
          </w:p>
        </w:tc>
        <w:tc>
          <w:tcPr>
            <w:tcW w:w="1368" w:type="dxa"/>
            <w:vAlign w:val="center"/>
          </w:tcPr>
          <w:p w14:paraId="17D25706"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-$3.64</w:t>
            </w:r>
          </w:p>
        </w:tc>
        <w:tc>
          <w:tcPr>
            <w:tcW w:w="1731" w:type="dxa"/>
            <w:vAlign w:val="center"/>
          </w:tcPr>
          <w:p w14:paraId="7B613CE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-$2,144</w:t>
            </w:r>
          </w:p>
        </w:tc>
      </w:tr>
      <w:tr w:rsidR="00234C54" w14:paraId="015C2216" w14:textId="77777777" w:rsidTr="00234C54">
        <w:tc>
          <w:tcPr>
            <w:tcW w:w="1434" w:type="dxa"/>
          </w:tcPr>
          <w:p w14:paraId="6CA06CC0" w14:textId="77777777" w:rsidR="00234C54" w:rsidRDefault="00234C54" w:rsidP="00234C54">
            <w:r>
              <w:t>Ohio</w:t>
            </w:r>
          </w:p>
        </w:tc>
        <w:tc>
          <w:tcPr>
            <w:tcW w:w="1361" w:type="dxa"/>
            <w:vAlign w:val="center"/>
          </w:tcPr>
          <w:p w14:paraId="6178F92F" w14:textId="77777777" w:rsidR="00234C54" w:rsidRDefault="00234C54" w:rsidP="00234C54">
            <w:pPr>
              <w:jc w:val="right"/>
            </w:pPr>
            <w:r>
              <w:t>0.05%</w:t>
            </w:r>
          </w:p>
        </w:tc>
        <w:tc>
          <w:tcPr>
            <w:tcW w:w="1382" w:type="dxa"/>
            <w:vAlign w:val="center"/>
          </w:tcPr>
          <w:p w14:paraId="78FC6E97" w14:textId="77777777" w:rsidR="00234C54" w:rsidRDefault="00234C54" w:rsidP="00234C54">
            <w:pPr>
              <w:jc w:val="right"/>
            </w:pPr>
            <w:r>
              <w:t>8.0</w:t>
            </w:r>
          </w:p>
        </w:tc>
        <w:tc>
          <w:tcPr>
            <w:tcW w:w="1369" w:type="dxa"/>
            <w:vAlign w:val="center"/>
          </w:tcPr>
          <w:p w14:paraId="072B93FD" w14:textId="77777777" w:rsidR="00234C54" w:rsidRDefault="00234C54" w:rsidP="00234C54">
            <w:pPr>
              <w:jc w:val="right"/>
            </w:pPr>
            <w:r>
              <w:t>$5.27</w:t>
            </w:r>
          </w:p>
        </w:tc>
        <w:tc>
          <w:tcPr>
            <w:tcW w:w="1758" w:type="dxa"/>
            <w:vAlign w:val="center"/>
          </w:tcPr>
          <w:p w14:paraId="2DD91193" w14:textId="77777777" w:rsidR="00234C54" w:rsidRDefault="00234C54" w:rsidP="00234C54">
            <w:pPr>
              <w:jc w:val="right"/>
            </w:pPr>
            <w:r>
              <w:t>$2,745</w:t>
            </w:r>
          </w:p>
        </w:tc>
        <w:tc>
          <w:tcPr>
            <w:tcW w:w="1364" w:type="dxa"/>
            <w:vAlign w:val="center"/>
          </w:tcPr>
          <w:p w14:paraId="7B8404DF"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0.14%</w:t>
            </w:r>
          </w:p>
        </w:tc>
        <w:tc>
          <w:tcPr>
            <w:tcW w:w="1368" w:type="dxa"/>
            <w:vAlign w:val="center"/>
          </w:tcPr>
          <w:p w14:paraId="12BBE25D"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22</w:t>
            </w:r>
            <w:r>
              <w:rPr>
                <w:rFonts w:asciiTheme="minorHAnsi" w:hAnsiTheme="minorHAnsi" w:cstheme="minorHAnsi"/>
                <w:szCs w:val="22"/>
              </w:rPr>
              <w:t>.</w:t>
            </w:r>
            <w:r w:rsidRPr="00361E99">
              <w:rPr>
                <w:rFonts w:asciiTheme="minorHAnsi" w:hAnsiTheme="minorHAnsi" w:cstheme="minorHAnsi"/>
                <w:szCs w:val="22"/>
              </w:rPr>
              <w:t>5</w:t>
            </w:r>
          </w:p>
        </w:tc>
        <w:tc>
          <w:tcPr>
            <w:tcW w:w="1368" w:type="dxa"/>
            <w:vAlign w:val="center"/>
          </w:tcPr>
          <w:p w14:paraId="4CE7CD4C"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$14.75</w:t>
            </w:r>
          </w:p>
        </w:tc>
        <w:tc>
          <w:tcPr>
            <w:tcW w:w="1731" w:type="dxa"/>
            <w:vAlign w:val="center"/>
          </w:tcPr>
          <w:p w14:paraId="73BBA955"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$7,680</w:t>
            </w:r>
          </w:p>
        </w:tc>
      </w:tr>
      <w:tr w:rsidR="00234C54" w14:paraId="1F795A2A" w14:textId="77777777" w:rsidTr="00234C54">
        <w:tc>
          <w:tcPr>
            <w:tcW w:w="1434" w:type="dxa"/>
          </w:tcPr>
          <w:p w14:paraId="46945160" w14:textId="77777777" w:rsidR="00234C54" w:rsidRDefault="00234C54" w:rsidP="00234C54">
            <w:r>
              <w:t>Pennsylvania</w:t>
            </w:r>
          </w:p>
        </w:tc>
        <w:tc>
          <w:tcPr>
            <w:tcW w:w="1361" w:type="dxa"/>
            <w:vAlign w:val="center"/>
          </w:tcPr>
          <w:p w14:paraId="4302B03C" w14:textId="77777777" w:rsidR="00234C54" w:rsidRDefault="00234C54" w:rsidP="00234C54">
            <w:pPr>
              <w:jc w:val="right"/>
            </w:pPr>
            <w:r>
              <w:t>-0.01%</w:t>
            </w:r>
          </w:p>
        </w:tc>
        <w:tc>
          <w:tcPr>
            <w:tcW w:w="1382" w:type="dxa"/>
            <w:vAlign w:val="center"/>
          </w:tcPr>
          <w:p w14:paraId="592FC35D" w14:textId="77777777" w:rsidR="00234C54" w:rsidRDefault="00234C54" w:rsidP="00234C54">
            <w:pPr>
              <w:jc w:val="right"/>
            </w:pPr>
            <w:r>
              <w:t>-1.3</w:t>
            </w:r>
          </w:p>
        </w:tc>
        <w:tc>
          <w:tcPr>
            <w:tcW w:w="1369" w:type="dxa"/>
            <w:vAlign w:val="center"/>
          </w:tcPr>
          <w:p w14:paraId="1866B143" w14:textId="77777777" w:rsidR="00234C54" w:rsidRDefault="00234C54" w:rsidP="00234C54">
            <w:pPr>
              <w:jc w:val="right"/>
            </w:pPr>
            <w:r>
              <w:t>-$0.71</w:t>
            </w:r>
          </w:p>
        </w:tc>
        <w:tc>
          <w:tcPr>
            <w:tcW w:w="1758" w:type="dxa"/>
            <w:vAlign w:val="center"/>
          </w:tcPr>
          <w:p w14:paraId="36AB0F16" w14:textId="77777777" w:rsidR="00234C54" w:rsidRDefault="00234C54" w:rsidP="00234C54">
            <w:pPr>
              <w:jc w:val="right"/>
            </w:pPr>
            <w:r>
              <w:t>-$454</w:t>
            </w:r>
          </w:p>
        </w:tc>
        <w:tc>
          <w:tcPr>
            <w:tcW w:w="1364" w:type="dxa"/>
            <w:vAlign w:val="center"/>
          </w:tcPr>
          <w:p w14:paraId="5B6E9E3A"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0.00%</w:t>
            </w:r>
          </w:p>
        </w:tc>
        <w:tc>
          <w:tcPr>
            <w:tcW w:w="1368" w:type="dxa"/>
            <w:vAlign w:val="center"/>
          </w:tcPr>
          <w:p w14:paraId="3DB8EBBD"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w:t>
            </w:r>
            <w:r>
              <w:rPr>
                <w:rFonts w:asciiTheme="minorHAnsi" w:hAnsiTheme="minorHAnsi" w:cstheme="minorHAnsi"/>
                <w:szCs w:val="22"/>
              </w:rPr>
              <w:t>0.</w:t>
            </w:r>
            <w:r w:rsidRPr="00361E99">
              <w:rPr>
                <w:rFonts w:asciiTheme="minorHAnsi" w:hAnsiTheme="minorHAnsi" w:cstheme="minorHAnsi"/>
                <w:szCs w:val="22"/>
              </w:rPr>
              <w:t>6</w:t>
            </w:r>
          </w:p>
        </w:tc>
        <w:tc>
          <w:tcPr>
            <w:tcW w:w="1368" w:type="dxa"/>
            <w:vAlign w:val="center"/>
          </w:tcPr>
          <w:p w14:paraId="7A38953D"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-$0.34</w:t>
            </w:r>
          </w:p>
        </w:tc>
        <w:tc>
          <w:tcPr>
            <w:tcW w:w="1731" w:type="dxa"/>
            <w:vAlign w:val="center"/>
          </w:tcPr>
          <w:p w14:paraId="67C22E5B"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-$21</w:t>
            </w:r>
            <w:r>
              <w:rPr>
                <w:rFonts w:asciiTheme="minorHAnsi" w:hAnsiTheme="minorHAnsi" w:cstheme="minorHAnsi"/>
                <w:szCs w:val="22"/>
              </w:rPr>
              <w:t>9</w:t>
            </w:r>
          </w:p>
        </w:tc>
      </w:tr>
      <w:tr w:rsidR="00234C54" w14:paraId="3053AC64" w14:textId="77777777" w:rsidTr="00234C54">
        <w:tc>
          <w:tcPr>
            <w:tcW w:w="1434" w:type="dxa"/>
          </w:tcPr>
          <w:p w14:paraId="0D84AF77" w14:textId="77777777" w:rsidR="00234C54" w:rsidRDefault="00234C54" w:rsidP="00234C54">
            <w:r>
              <w:t>Wisconsin</w:t>
            </w:r>
          </w:p>
        </w:tc>
        <w:tc>
          <w:tcPr>
            <w:tcW w:w="1361" w:type="dxa"/>
            <w:vAlign w:val="center"/>
          </w:tcPr>
          <w:p w14:paraId="364C102B" w14:textId="77777777" w:rsidR="00234C54" w:rsidRDefault="00234C54" w:rsidP="00234C54">
            <w:pPr>
              <w:jc w:val="right"/>
            </w:pPr>
            <w:r>
              <w:t>-0.39%</w:t>
            </w:r>
          </w:p>
        </w:tc>
        <w:tc>
          <w:tcPr>
            <w:tcW w:w="1382" w:type="dxa"/>
            <w:vAlign w:val="center"/>
          </w:tcPr>
          <w:p w14:paraId="1F151458" w14:textId="77777777" w:rsidR="00234C54" w:rsidRDefault="00234C54" w:rsidP="00234C54">
            <w:pPr>
              <w:jc w:val="right"/>
            </w:pPr>
            <w:r>
              <w:t>-94.3</w:t>
            </w:r>
          </w:p>
        </w:tc>
        <w:tc>
          <w:tcPr>
            <w:tcW w:w="1369" w:type="dxa"/>
            <w:vAlign w:val="center"/>
          </w:tcPr>
          <w:p w14:paraId="06BA3BD4" w14:textId="77777777" w:rsidR="00234C54" w:rsidRDefault="00234C54" w:rsidP="00234C54">
            <w:pPr>
              <w:jc w:val="right"/>
            </w:pPr>
            <w:r>
              <w:t>-$44.12</w:t>
            </w:r>
          </w:p>
        </w:tc>
        <w:tc>
          <w:tcPr>
            <w:tcW w:w="1758" w:type="dxa"/>
            <w:vAlign w:val="center"/>
          </w:tcPr>
          <w:p w14:paraId="3195EEE9" w14:textId="77777777" w:rsidR="00234C54" w:rsidRDefault="00234C54" w:rsidP="00234C54">
            <w:pPr>
              <w:jc w:val="right"/>
            </w:pPr>
            <w:r>
              <w:t>-$32,144</w:t>
            </w:r>
          </w:p>
        </w:tc>
        <w:tc>
          <w:tcPr>
            <w:tcW w:w="1364" w:type="dxa"/>
            <w:vAlign w:val="center"/>
          </w:tcPr>
          <w:p w14:paraId="5FFB31A4"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-0.03%</w:t>
            </w:r>
          </w:p>
        </w:tc>
        <w:tc>
          <w:tcPr>
            <w:tcW w:w="1368" w:type="dxa"/>
            <w:vAlign w:val="center"/>
          </w:tcPr>
          <w:p w14:paraId="42AC47FB" w14:textId="77777777" w:rsidR="00234C54" w:rsidRPr="00361E99" w:rsidRDefault="00234C54" w:rsidP="00234C54">
            <w:pPr>
              <w:pStyle w:val="Default"/>
              <w:jc w:val="right"/>
              <w:rPr>
                <w:rFonts w:asciiTheme="minorHAnsi" w:hAnsiTheme="minorHAnsi" w:cstheme="minorHAnsi"/>
                <w:szCs w:val="22"/>
              </w:rPr>
            </w:pPr>
            <w:r>
              <w:rPr>
                <w:rFonts w:asciiTheme="minorHAnsi" w:hAnsiTheme="minorHAnsi" w:cstheme="minorHAnsi"/>
                <w:szCs w:val="22"/>
              </w:rPr>
              <w:t>-6.7</w:t>
            </w:r>
          </w:p>
        </w:tc>
        <w:tc>
          <w:tcPr>
            <w:tcW w:w="1368" w:type="dxa"/>
            <w:vAlign w:val="center"/>
          </w:tcPr>
          <w:p w14:paraId="66523522"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-$3.15</w:t>
            </w:r>
          </w:p>
        </w:tc>
        <w:tc>
          <w:tcPr>
            <w:tcW w:w="1731" w:type="dxa"/>
            <w:vAlign w:val="center"/>
          </w:tcPr>
          <w:p w14:paraId="7ACD4818"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-$2,297</w:t>
            </w:r>
          </w:p>
        </w:tc>
      </w:tr>
      <w:tr w:rsidR="00234C54" w14:paraId="1E23F86E" w14:textId="77777777" w:rsidTr="00234C54">
        <w:tc>
          <w:tcPr>
            <w:tcW w:w="1434" w:type="dxa"/>
          </w:tcPr>
          <w:p w14:paraId="150952EB" w14:textId="77777777" w:rsidR="00234C54" w:rsidRDefault="00234C54" w:rsidP="00234C54">
            <w:r>
              <w:t>Totals</w:t>
            </w:r>
          </w:p>
        </w:tc>
        <w:tc>
          <w:tcPr>
            <w:tcW w:w="1361" w:type="dxa"/>
            <w:vAlign w:val="center"/>
          </w:tcPr>
          <w:p w14:paraId="21BECC00" w14:textId="77777777" w:rsidR="00234C54" w:rsidRDefault="00234C54" w:rsidP="00234C54">
            <w:pPr>
              <w:jc w:val="right"/>
            </w:pPr>
            <w:r>
              <w:t>-0.23%</w:t>
            </w:r>
          </w:p>
        </w:tc>
        <w:tc>
          <w:tcPr>
            <w:tcW w:w="1382" w:type="dxa"/>
            <w:vAlign w:val="center"/>
          </w:tcPr>
          <w:p w14:paraId="2FA4F28B" w14:textId="77777777" w:rsidR="00234C54" w:rsidRDefault="00234C54" w:rsidP="00234C54">
            <w:pPr>
              <w:jc w:val="right"/>
            </w:pPr>
            <w:r>
              <w:t>-406.6</w:t>
            </w:r>
          </w:p>
        </w:tc>
        <w:tc>
          <w:tcPr>
            <w:tcW w:w="1369" w:type="dxa"/>
            <w:vAlign w:val="center"/>
          </w:tcPr>
          <w:p w14:paraId="65F99077" w14:textId="77777777" w:rsidR="00234C54" w:rsidRDefault="00234C54" w:rsidP="00234C54">
            <w:pPr>
              <w:jc w:val="right"/>
            </w:pPr>
            <w:r>
              <w:t>-$26.45</w:t>
            </w:r>
          </w:p>
        </w:tc>
        <w:tc>
          <w:tcPr>
            <w:tcW w:w="1758" w:type="dxa"/>
            <w:vAlign w:val="center"/>
          </w:tcPr>
          <w:p w14:paraId="32281A7F" w14:textId="77777777" w:rsidR="00234C54" w:rsidRDefault="00234C54" w:rsidP="00234C54">
            <w:pPr>
              <w:jc w:val="right"/>
            </w:pPr>
            <w:r>
              <w:t>-$138,673</w:t>
            </w:r>
          </w:p>
        </w:tc>
        <w:tc>
          <w:tcPr>
            <w:tcW w:w="1364" w:type="dxa"/>
            <w:vAlign w:val="center"/>
          </w:tcPr>
          <w:p w14:paraId="478D37E1"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0.01%</w:t>
            </w:r>
          </w:p>
        </w:tc>
        <w:tc>
          <w:tcPr>
            <w:tcW w:w="1368" w:type="dxa"/>
            <w:vAlign w:val="center"/>
          </w:tcPr>
          <w:p w14:paraId="0FA57FFE"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11</w:t>
            </w:r>
            <w:r>
              <w:rPr>
                <w:rFonts w:asciiTheme="minorHAnsi" w:hAnsiTheme="minorHAnsi" w:cstheme="minorHAnsi"/>
                <w:szCs w:val="22"/>
              </w:rPr>
              <w:t>.</w:t>
            </w:r>
            <w:r w:rsidRPr="00361E99">
              <w:rPr>
                <w:rFonts w:asciiTheme="minorHAnsi" w:hAnsiTheme="minorHAnsi" w:cstheme="minorHAnsi"/>
                <w:szCs w:val="22"/>
              </w:rPr>
              <w:t>3</w:t>
            </w:r>
          </w:p>
        </w:tc>
        <w:tc>
          <w:tcPr>
            <w:tcW w:w="1368" w:type="dxa"/>
            <w:vAlign w:val="center"/>
          </w:tcPr>
          <w:p w14:paraId="5B2BF12A"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$0.74</w:t>
            </w:r>
          </w:p>
        </w:tc>
        <w:tc>
          <w:tcPr>
            <w:tcW w:w="1731" w:type="dxa"/>
            <w:vAlign w:val="center"/>
          </w:tcPr>
          <w:p w14:paraId="3FCFB372" w14:textId="77777777" w:rsidR="00234C54" w:rsidRPr="00361E99" w:rsidRDefault="00234C54" w:rsidP="00234C54">
            <w:pPr>
              <w:pStyle w:val="Default"/>
              <w:jc w:val="right"/>
              <w:rPr>
                <w:rFonts w:asciiTheme="minorHAnsi" w:hAnsiTheme="minorHAnsi" w:cstheme="minorHAnsi"/>
                <w:szCs w:val="22"/>
              </w:rPr>
            </w:pPr>
            <w:r w:rsidRPr="00361E99">
              <w:rPr>
                <w:rFonts w:asciiTheme="minorHAnsi" w:hAnsiTheme="minorHAnsi" w:cstheme="minorHAnsi"/>
                <w:szCs w:val="22"/>
              </w:rPr>
              <w:t>$3,885</w:t>
            </w:r>
          </w:p>
        </w:tc>
      </w:tr>
    </w:tbl>
    <w:p w14:paraId="64FE4988" w14:textId="77777777" w:rsidR="00234C54" w:rsidRPr="00CB42D2" w:rsidRDefault="00234C54" w:rsidP="00234C54"/>
    <w:p w14:paraId="0A57E1BE" w14:textId="77777777" w:rsidR="00234C54" w:rsidRDefault="00234C54" w:rsidP="00234C54">
      <w:pPr>
        <w:sectPr w:rsidR="00234C54" w:rsidSect="004B0443">
          <w:pgSz w:w="15840" w:h="12240" w:orient="landscape"/>
          <w:pgMar w:top="1440" w:right="1440" w:bottom="1440" w:left="1440" w:header="720" w:footer="720" w:gutter="0"/>
          <w:lnNumType w:countBy="1" w:restart="continuous"/>
          <w:cols w:space="720"/>
          <w:docGrid w:linePitch="360"/>
        </w:sectPr>
      </w:pPr>
      <w:r>
        <w:br w:type="page"/>
      </w:r>
    </w:p>
    <w:p w14:paraId="42423F78" w14:textId="77777777" w:rsidR="00234C54" w:rsidRDefault="00234C54" w:rsidP="00234C54">
      <w:r>
        <w:lastRenderedPageBreak/>
        <w:t>Table 3. Change in number (1000s of days) and percentage of fishing trips by fishing type for the worst-case and best-case scenarios for each AIS.</w:t>
      </w:r>
    </w:p>
    <w:tbl>
      <w:tblPr>
        <w:tblStyle w:val="TableGrid"/>
        <w:tblW w:w="866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8"/>
        <w:gridCol w:w="1352"/>
        <w:gridCol w:w="1390"/>
        <w:gridCol w:w="1471"/>
        <w:gridCol w:w="1697"/>
        <w:gridCol w:w="1330"/>
      </w:tblGrid>
      <w:tr w:rsidR="00234C54" w:rsidRPr="00836448" w14:paraId="11A1BB69" w14:textId="77777777" w:rsidTr="00234C54">
        <w:tc>
          <w:tcPr>
            <w:tcW w:w="1428" w:type="dxa"/>
            <w:vMerge w:val="restart"/>
            <w:tcBorders>
              <w:top w:val="single" w:sz="4" w:space="0" w:color="auto"/>
            </w:tcBorders>
          </w:tcPr>
          <w:p w14:paraId="3F29C30F" w14:textId="77777777" w:rsidR="003A77DF" w:rsidRDefault="003A77DF" w:rsidP="00234C54">
            <w:pPr>
              <w:rPr>
                <w:szCs w:val="24"/>
              </w:rPr>
            </w:pPr>
          </w:p>
          <w:p w14:paraId="770FE8CE" w14:textId="77777777" w:rsidR="003A77DF" w:rsidRDefault="003A77DF" w:rsidP="00234C54">
            <w:pPr>
              <w:rPr>
                <w:szCs w:val="24"/>
              </w:rPr>
            </w:pPr>
          </w:p>
          <w:p w14:paraId="249B084E" w14:textId="77777777" w:rsidR="003A77DF" w:rsidRDefault="003A77DF" w:rsidP="00234C54">
            <w:pPr>
              <w:rPr>
                <w:szCs w:val="24"/>
              </w:rPr>
            </w:pPr>
          </w:p>
          <w:p w14:paraId="0289A927" w14:textId="4AE3EA29" w:rsidR="00234C54" w:rsidRPr="00836448" w:rsidRDefault="002A6ED3" w:rsidP="00234C54">
            <w:pPr>
              <w:rPr>
                <w:szCs w:val="24"/>
              </w:rPr>
            </w:pPr>
            <w:r>
              <w:rPr>
                <w:szCs w:val="24"/>
              </w:rPr>
              <w:t>AIS</w:t>
            </w:r>
          </w:p>
        </w:tc>
        <w:tc>
          <w:tcPr>
            <w:tcW w:w="5910" w:type="dxa"/>
            <w:gridSpan w:val="4"/>
            <w:tcBorders>
              <w:top w:val="single" w:sz="4" w:space="0" w:color="auto"/>
              <w:bottom w:val="nil"/>
            </w:tcBorders>
            <w:vAlign w:val="bottom"/>
          </w:tcPr>
          <w:p w14:paraId="762AE660" w14:textId="77777777" w:rsidR="00234C54" w:rsidRPr="00836448" w:rsidRDefault="00234C54" w:rsidP="00234C54">
            <w:pPr>
              <w:jc w:val="center"/>
              <w:rPr>
                <w:szCs w:val="24"/>
              </w:rPr>
            </w:pPr>
            <w:r w:rsidRPr="00836448">
              <w:rPr>
                <w:szCs w:val="24"/>
              </w:rPr>
              <w:t>Change in Fishing Trips</w:t>
            </w:r>
          </w:p>
        </w:tc>
        <w:tc>
          <w:tcPr>
            <w:tcW w:w="1330" w:type="dxa"/>
            <w:vMerge w:val="restart"/>
            <w:tcBorders>
              <w:top w:val="single" w:sz="4" w:space="0" w:color="auto"/>
            </w:tcBorders>
            <w:vAlign w:val="bottom"/>
          </w:tcPr>
          <w:p w14:paraId="66D4ED55" w14:textId="77777777" w:rsidR="00234C54" w:rsidRPr="00836448" w:rsidRDefault="00234C54" w:rsidP="00234C54">
            <w:pPr>
              <w:pStyle w:val="Default"/>
              <w:jc w:val="center"/>
            </w:pPr>
            <w:r w:rsidRPr="00836448">
              <w:t>Total</w:t>
            </w:r>
          </w:p>
        </w:tc>
      </w:tr>
      <w:tr w:rsidR="00234C54" w:rsidRPr="00836448" w14:paraId="31412965" w14:textId="77777777" w:rsidTr="00234C54">
        <w:tc>
          <w:tcPr>
            <w:tcW w:w="1428" w:type="dxa"/>
            <w:vMerge/>
            <w:tcBorders>
              <w:bottom w:val="single" w:sz="4" w:space="0" w:color="auto"/>
            </w:tcBorders>
          </w:tcPr>
          <w:p w14:paraId="049F6358" w14:textId="77777777" w:rsidR="00234C54" w:rsidRPr="00836448" w:rsidRDefault="00234C54" w:rsidP="00234C54">
            <w:pPr>
              <w:rPr>
                <w:szCs w:val="24"/>
              </w:rPr>
            </w:pPr>
          </w:p>
        </w:tc>
        <w:tc>
          <w:tcPr>
            <w:tcW w:w="1352" w:type="dxa"/>
            <w:tcBorders>
              <w:top w:val="nil"/>
              <w:bottom w:val="single" w:sz="4" w:space="0" w:color="auto"/>
            </w:tcBorders>
            <w:vAlign w:val="bottom"/>
          </w:tcPr>
          <w:p w14:paraId="71B2E349" w14:textId="77777777" w:rsidR="00234C54" w:rsidRPr="00836448" w:rsidRDefault="00234C54" w:rsidP="00234C54">
            <w:pPr>
              <w:rPr>
                <w:szCs w:val="24"/>
              </w:rPr>
            </w:pPr>
            <w:r w:rsidRPr="00836448">
              <w:rPr>
                <w:szCs w:val="24"/>
              </w:rPr>
              <w:t>Great Lakes Coldwater</w:t>
            </w:r>
          </w:p>
        </w:tc>
        <w:tc>
          <w:tcPr>
            <w:tcW w:w="1390" w:type="dxa"/>
            <w:tcBorders>
              <w:top w:val="nil"/>
              <w:bottom w:val="single" w:sz="4" w:space="0" w:color="auto"/>
            </w:tcBorders>
            <w:vAlign w:val="bottom"/>
          </w:tcPr>
          <w:p w14:paraId="76C649D3" w14:textId="77777777" w:rsidR="00234C54" w:rsidRPr="00836448" w:rsidRDefault="00234C54" w:rsidP="00234C54">
            <w:pPr>
              <w:rPr>
                <w:szCs w:val="24"/>
              </w:rPr>
            </w:pPr>
            <w:r w:rsidRPr="00836448">
              <w:rPr>
                <w:szCs w:val="24"/>
              </w:rPr>
              <w:t>Great Lakes Warmwater</w:t>
            </w:r>
          </w:p>
        </w:tc>
        <w:tc>
          <w:tcPr>
            <w:tcW w:w="1471" w:type="dxa"/>
            <w:tcBorders>
              <w:top w:val="nil"/>
              <w:bottom w:val="single" w:sz="4" w:space="0" w:color="auto"/>
            </w:tcBorders>
            <w:vAlign w:val="bottom"/>
          </w:tcPr>
          <w:p w14:paraId="300B097B" w14:textId="77777777" w:rsidR="00234C54" w:rsidRPr="00836448" w:rsidRDefault="00234C54" w:rsidP="00234C54">
            <w:pPr>
              <w:rPr>
                <w:szCs w:val="24"/>
              </w:rPr>
            </w:pPr>
            <w:r w:rsidRPr="00836448">
              <w:rPr>
                <w:szCs w:val="24"/>
              </w:rPr>
              <w:t>Anadromous</w:t>
            </w:r>
          </w:p>
        </w:tc>
        <w:tc>
          <w:tcPr>
            <w:tcW w:w="1697" w:type="dxa"/>
            <w:tcBorders>
              <w:top w:val="nil"/>
              <w:bottom w:val="single" w:sz="4" w:space="0" w:color="auto"/>
            </w:tcBorders>
            <w:vAlign w:val="bottom"/>
          </w:tcPr>
          <w:p w14:paraId="327787D4" w14:textId="77777777" w:rsidR="00234C54" w:rsidRPr="00836448" w:rsidRDefault="00234C54" w:rsidP="00234C54">
            <w:pPr>
              <w:rPr>
                <w:szCs w:val="24"/>
              </w:rPr>
            </w:pPr>
            <w:r w:rsidRPr="00836448">
              <w:rPr>
                <w:szCs w:val="24"/>
              </w:rPr>
              <w:t>Inland</w:t>
            </w:r>
          </w:p>
        </w:tc>
        <w:tc>
          <w:tcPr>
            <w:tcW w:w="1330" w:type="dxa"/>
            <w:vMerge/>
            <w:tcBorders>
              <w:bottom w:val="single" w:sz="4" w:space="0" w:color="auto"/>
            </w:tcBorders>
            <w:vAlign w:val="bottom"/>
          </w:tcPr>
          <w:p w14:paraId="2EA2A92F" w14:textId="77777777" w:rsidR="00234C54" w:rsidRPr="00836448" w:rsidRDefault="00234C54" w:rsidP="00234C54">
            <w:pPr>
              <w:pStyle w:val="Default"/>
              <w:jc w:val="center"/>
            </w:pPr>
          </w:p>
        </w:tc>
      </w:tr>
      <w:tr w:rsidR="00234C54" w:rsidRPr="00836448" w14:paraId="3F1FF6D8" w14:textId="77777777" w:rsidTr="00234C54">
        <w:tc>
          <w:tcPr>
            <w:tcW w:w="1428" w:type="dxa"/>
            <w:tcBorders>
              <w:top w:val="single" w:sz="4" w:space="0" w:color="auto"/>
            </w:tcBorders>
          </w:tcPr>
          <w:p w14:paraId="2BDDDFCF" w14:textId="77777777" w:rsidR="00234C54" w:rsidRPr="00836448" w:rsidRDefault="00234C54" w:rsidP="00234C54">
            <w:pPr>
              <w:rPr>
                <w:szCs w:val="24"/>
              </w:rPr>
            </w:pPr>
            <w:r w:rsidRPr="00836448">
              <w:rPr>
                <w:szCs w:val="24"/>
              </w:rPr>
              <w:t>Bighead and Silver Carp</w:t>
            </w:r>
          </w:p>
        </w:tc>
        <w:tc>
          <w:tcPr>
            <w:tcW w:w="1352" w:type="dxa"/>
            <w:tcBorders>
              <w:top w:val="single" w:sz="4" w:space="0" w:color="auto"/>
            </w:tcBorders>
            <w:vAlign w:val="center"/>
          </w:tcPr>
          <w:p w14:paraId="79DFD30D" w14:textId="77777777" w:rsidR="00234C54" w:rsidRPr="00836448" w:rsidRDefault="00234C54" w:rsidP="00234C54">
            <w:pPr>
              <w:rPr>
                <w:szCs w:val="24"/>
              </w:rPr>
            </w:pPr>
          </w:p>
        </w:tc>
        <w:tc>
          <w:tcPr>
            <w:tcW w:w="1390" w:type="dxa"/>
            <w:tcBorders>
              <w:top w:val="single" w:sz="4" w:space="0" w:color="auto"/>
            </w:tcBorders>
            <w:vAlign w:val="center"/>
          </w:tcPr>
          <w:p w14:paraId="1AB0852C" w14:textId="77777777" w:rsidR="00234C54" w:rsidRPr="00836448" w:rsidRDefault="00234C54" w:rsidP="00234C54">
            <w:pPr>
              <w:rPr>
                <w:szCs w:val="24"/>
              </w:rPr>
            </w:pPr>
          </w:p>
        </w:tc>
        <w:tc>
          <w:tcPr>
            <w:tcW w:w="1471" w:type="dxa"/>
            <w:tcBorders>
              <w:top w:val="single" w:sz="4" w:space="0" w:color="auto"/>
            </w:tcBorders>
            <w:vAlign w:val="center"/>
          </w:tcPr>
          <w:p w14:paraId="00F1AEBF" w14:textId="77777777" w:rsidR="00234C54" w:rsidRPr="00836448" w:rsidRDefault="00234C54" w:rsidP="00234C54">
            <w:pPr>
              <w:rPr>
                <w:szCs w:val="24"/>
              </w:rPr>
            </w:pPr>
          </w:p>
        </w:tc>
        <w:tc>
          <w:tcPr>
            <w:tcW w:w="1697" w:type="dxa"/>
            <w:tcBorders>
              <w:top w:val="single" w:sz="4" w:space="0" w:color="auto"/>
            </w:tcBorders>
            <w:vAlign w:val="center"/>
          </w:tcPr>
          <w:p w14:paraId="52C98CFC" w14:textId="77777777" w:rsidR="00234C54" w:rsidRPr="00836448" w:rsidRDefault="00234C54" w:rsidP="00234C54">
            <w:pPr>
              <w:rPr>
                <w:szCs w:val="24"/>
              </w:rPr>
            </w:pPr>
          </w:p>
        </w:tc>
        <w:tc>
          <w:tcPr>
            <w:tcW w:w="1330" w:type="dxa"/>
            <w:tcBorders>
              <w:top w:val="single" w:sz="4" w:space="0" w:color="auto"/>
            </w:tcBorders>
            <w:vAlign w:val="center"/>
          </w:tcPr>
          <w:p w14:paraId="193270D9" w14:textId="77777777" w:rsidR="00234C54" w:rsidRPr="00836448" w:rsidRDefault="00234C54" w:rsidP="00234C54">
            <w:pPr>
              <w:pStyle w:val="Default"/>
              <w:jc w:val="right"/>
            </w:pPr>
          </w:p>
        </w:tc>
      </w:tr>
      <w:tr w:rsidR="00234C54" w:rsidRPr="00836448" w14:paraId="0FA5BAC4" w14:textId="77777777" w:rsidTr="00234C54">
        <w:tc>
          <w:tcPr>
            <w:tcW w:w="1428" w:type="dxa"/>
          </w:tcPr>
          <w:p w14:paraId="484D9748" w14:textId="5310EDF8" w:rsidR="00234C54" w:rsidRPr="00836448" w:rsidRDefault="00DD57A7" w:rsidP="00DD57A7">
            <w:pPr>
              <w:rPr>
                <w:szCs w:val="24"/>
              </w:rPr>
            </w:pPr>
            <w:r>
              <w:rPr>
                <w:szCs w:val="24"/>
              </w:rPr>
              <w:t>Worst case</w:t>
            </w:r>
          </w:p>
        </w:tc>
        <w:tc>
          <w:tcPr>
            <w:tcW w:w="1352" w:type="dxa"/>
            <w:vAlign w:val="center"/>
          </w:tcPr>
          <w:p w14:paraId="63B184B0" w14:textId="77777777" w:rsidR="00234C54" w:rsidRPr="004B18B8" w:rsidRDefault="00234C54" w:rsidP="00234C54">
            <w:pPr>
              <w:jc w:val="right"/>
              <w:rPr>
                <w:rFonts w:cstheme="minorHAnsi"/>
                <w:szCs w:val="24"/>
              </w:rPr>
            </w:pPr>
            <w:r w:rsidRPr="004B18B8">
              <w:rPr>
                <w:rFonts w:cstheme="minorHAnsi"/>
                <w:szCs w:val="24"/>
              </w:rPr>
              <w:t>-5,87</w:t>
            </w:r>
            <w:r>
              <w:rPr>
                <w:rFonts w:cstheme="minorHAnsi"/>
                <w:szCs w:val="24"/>
              </w:rPr>
              <w:t>5.6</w:t>
            </w:r>
          </w:p>
          <w:p w14:paraId="2C3C447B" w14:textId="77777777" w:rsidR="00234C54" w:rsidRPr="004B18B8" w:rsidRDefault="00234C54" w:rsidP="00234C54">
            <w:pPr>
              <w:jc w:val="right"/>
              <w:rPr>
                <w:rFonts w:cstheme="minorHAnsi"/>
                <w:szCs w:val="24"/>
              </w:rPr>
            </w:pPr>
            <w:r w:rsidRPr="004B18B8">
              <w:rPr>
                <w:rFonts w:cstheme="minorHAnsi"/>
                <w:szCs w:val="24"/>
              </w:rPr>
              <w:t>-71.72%</w:t>
            </w:r>
          </w:p>
        </w:tc>
        <w:tc>
          <w:tcPr>
            <w:tcW w:w="1390" w:type="dxa"/>
            <w:vAlign w:val="center"/>
          </w:tcPr>
          <w:p w14:paraId="1F1BF5C8" w14:textId="77777777" w:rsidR="00234C54" w:rsidRPr="004B18B8" w:rsidRDefault="00234C54" w:rsidP="00234C54">
            <w:pPr>
              <w:jc w:val="right"/>
              <w:rPr>
                <w:rFonts w:cstheme="minorHAnsi"/>
                <w:szCs w:val="24"/>
              </w:rPr>
            </w:pPr>
            <w:r>
              <w:rPr>
                <w:rFonts w:cstheme="minorHAnsi"/>
                <w:szCs w:val="24"/>
              </w:rPr>
              <w:t>946.7</w:t>
            </w:r>
          </w:p>
          <w:p w14:paraId="0EB0BDFF" w14:textId="77777777" w:rsidR="00234C54" w:rsidRPr="004B18B8" w:rsidRDefault="00234C54" w:rsidP="00234C54">
            <w:pPr>
              <w:jc w:val="right"/>
              <w:rPr>
                <w:rFonts w:cstheme="minorHAnsi"/>
                <w:szCs w:val="24"/>
              </w:rPr>
            </w:pPr>
            <w:r w:rsidRPr="004B18B8">
              <w:rPr>
                <w:rFonts w:cstheme="minorHAnsi"/>
                <w:szCs w:val="24"/>
              </w:rPr>
              <w:t>8.55%</w:t>
            </w:r>
          </w:p>
        </w:tc>
        <w:tc>
          <w:tcPr>
            <w:tcW w:w="1471" w:type="dxa"/>
            <w:vAlign w:val="center"/>
          </w:tcPr>
          <w:p w14:paraId="2D7585ED" w14:textId="77777777" w:rsidR="00234C54" w:rsidRPr="004B18B8" w:rsidRDefault="00234C54" w:rsidP="00234C54">
            <w:pPr>
              <w:jc w:val="right"/>
              <w:rPr>
                <w:rFonts w:cstheme="minorHAnsi"/>
                <w:szCs w:val="24"/>
              </w:rPr>
            </w:pPr>
            <w:r w:rsidRPr="004B18B8">
              <w:rPr>
                <w:rFonts w:cstheme="minorHAnsi"/>
                <w:szCs w:val="24"/>
              </w:rPr>
              <w:t>-4</w:t>
            </w:r>
            <w:r>
              <w:rPr>
                <w:rFonts w:cstheme="minorHAnsi"/>
                <w:szCs w:val="24"/>
              </w:rPr>
              <w:t>39.5</w:t>
            </w:r>
          </w:p>
          <w:p w14:paraId="109FA7F9" w14:textId="77777777" w:rsidR="00234C54" w:rsidRPr="004B18B8" w:rsidRDefault="00234C54" w:rsidP="00234C54">
            <w:pPr>
              <w:jc w:val="right"/>
              <w:rPr>
                <w:rFonts w:cstheme="minorHAnsi"/>
                <w:szCs w:val="24"/>
              </w:rPr>
            </w:pPr>
            <w:r w:rsidRPr="004B18B8">
              <w:rPr>
                <w:rFonts w:cstheme="minorHAnsi"/>
                <w:szCs w:val="24"/>
              </w:rPr>
              <w:t>-10.80%</w:t>
            </w:r>
          </w:p>
        </w:tc>
        <w:tc>
          <w:tcPr>
            <w:tcW w:w="1697" w:type="dxa"/>
            <w:vAlign w:val="center"/>
          </w:tcPr>
          <w:p w14:paraId="57FBAAE3" w14:textId="77777777" w:rsidR="00234C54" w:rsidRPr="004B18B8" w:rsidRDefault="00234C54" w:rsidP="00234C54">
            <w:pPr>
              <w:jc w:val="right"/>
              <w:rPr>
                <w:rFonts w:cstheme="minorHAnsi"/>
                <w:szCs w:val="24"/>
              </w:rPr>
            </w:pPr>
            <w:r w:rsidRPr="004B18B8">
              <w:rPr>
                <w:rFonts w:cstheme="minorHAnsi"/>
                <w:szCs w:val="24"/>
              </w:rPr>
              <w:t>4,955</w:t>
            </w:r>
            <w:r>
              <w:rPr>
                <w:rFonts w:cstheme="minorHAnsi"/>
                <w:szCs w:val="24"/>
              </w:rPr>
              <w:t>.0</w:t>
            </w:r>
          </w:p>
          <w:p w14:paraId="6CD79F7A" w14:textId="77777777" w:rsidR="00234C54" w:rsidRPr="004B18B8" w:rsidRDefault="00234C54" w:rsidP="00234C54">
            <w:pPr>
              <w:jc w:val="right"/>
              <w:rPr>
                <w:rFonts w:cstheme="minorHAnsi"/>
                <w:szCs w:val="24"/>
              </w:rPr>
            </w:pPr>
            <w:r w:rsidRPr="004B18B8">
              <w:rPr>
                <w:rFonts w:cstheme="minorHAnsi"/>
                <w:szCs w:val="24"/>
              </w:rPr>
              <w:t>3.29%</w:t>
            </w:r>
          </w:p>
        </w:tc>
        <w:tc>
          <w:tcPr>
            <w:tcW w:w="1330" w:type="dxa"/>
            <w:vAlign w:val="center"/>
          </w:tcPr>
          <w:p w14:paraId="270E036F"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-413</w:t>
            </w:r>
            <w:r>
              <w:rPr>
                <w:rFonts w:asciiTheme="minorHAnsi" w:hAnsiTheme="minorHAnsi" w:cstheme="minorHAnsi"/>
              </w:rPr>
              <w:t>.4</w:t>
            </w:r>
          </w:p>
          <w:p w14:paraId="5FA67364"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-0.24%</w:t>
            </w:r>
          </w:p>
        </w:tc>
      </w:tr>
      <w:tr w:rsidR="00234C54" w:rsidRPr="00836448" w14:paraId="0B0A9D53" w14:textId="77777777" w:rsidTr="00234C54">
        <w:tc>
          <w:tcPr>
            <w:tcW w:w="1428" w:type="dxa"/>
          </w:tcPr>
          <w:p w14:paraId="63FAB935" w14:textId="77777777" w:rsidR="00234C54" w:rsidRPr="00836448" w:rsidRDefault="00234C54" w:rsidP="00234C54">
            <w:pPr>
              <w:rPr>
                <w:szCs w:val="24"/>
              </w:rPr>
            </w:pPr>
            <w:r w:rsidRPr="00836448">
              <w:rPr>
                <w:szCs w:val="24"/>
              </w:rPr>
              <w:t>Best Case</w:t>
            </w:r>
          </w:p>
        </w:tc>
        <w:tc>
          <w:tcPr>
            <w:tcW w:w="1352" w:type="dxa"/>
            <w:vAlign w:val="center"/>
          </w:tcPr>
          <w:p w14:paraId="24A01573" w14:textId="77777777" w:rsidR="00234C54" w:rsidRPr="004B18B8" w:rsidRDefault="00234C54" w:rsidP="00234C54">
            <w:pPr>
              <w:jc w:val="right"/>
              <w:rPr>
                <w:rFonts w:cstheme="minorHAnsi"/>
                <w:szCs w:val="24"/>
              </w:rPr>
            </w:pPr>
            <w:r w:rsidRPr="004B18B8">
              <w:rPr>
                <w:rFonts w:cstheme="minorHAnsi"/>
                <w:szCs w:val="24"/>
              </w:rPr>
              <w:t>-89</w:t>
            </w:r>
            <w:r>
              <w:rPr>
                <w:rFonts w:cstheme="minorHAnsi"/>
                <w:szCs w:val="24"/>
              </w:rPr>
              <w:t>1.9</w:t>
            </w:r>
          </w:p>
          <w:p w14:paraId="2C63A589" w14:textId="77777777" w:rsidR="00234C54" w:rsidRPr="004B18B8" w:rsidRDefault="00234C54" w:rsidP="00234C54">
            <w:pPr>
              <w:jc w:val="right"/>
              <w:rPr>
                <w:rFonts w:cstheme="minorHAnsi"/>
                <w:szCs w:val="24"/>
              </w:rPr>
            </w:pPr>
            <w:r w:rsidRPr="004B18B8">
              <w:rPr>
                <w:rFonts w:cstheme="minorHAnsi"/>
                <w:szCs w:val="24"/>
              </w:rPr>
              <w:t>-10.89%</w:t>
            </w:r>
          </w:p>
        </w:tc>
        <w:tc>
          <w:tcPr>
            <w:tcW w:w="1390" w:type="dxa"/>
            <w:vAlign w:val="center"/>
          </w:tcPr>
          <w:p w14:paraId="05D23A8F" w14:textId="77777777" w:rsidR="00234C54" w:rsidRPr="004B18B8" w:rsidRDefault="00234C54" w:rsidP="00234C54">
            <w:pPr>
              <w:jc w:val="right"/>
              <w:rPr>
                <w:rFonts w:cstheme="minorHAnsi"/>
                <w:szCs w:val="24"/>
              </w:rPr>
            </w:pPr>
            <w:r w:rsidRPr="004B18B8">
              <w:rPr>
                <w:rFonts w:cstheme="minorHAnsi"/>
                <w:szCs w:val="24"/>
              </w:rPr>
              <w:t>1,022</w:t>
            </w:r>
            <w:r>
              <w:rPr>
                <w:rFonts w:cstheme="minorHAnsi"/>
                <w:szCs w:val="24"/>
              </w:rPr>
              <w:t>.3</w:t>
            </w:r>
          </w:p>
          <w:p w14:paraId="6D1D45DB" w14:textId="77777777" w:rsidR="00234C54" w:rsidRPr="004B18B8" w:rsidRDefault="00234C54" w:rsidP="00234C54">
            <w:pPr>
              <w:jc w:val="right"/>
              <w:rPr>
                <w:rFonts w:cstheme="minorHAnsi"/>
                <w:szCs w:val="24"/>
              </w:rPr>
            </w:pPr>
            <w:r w:rsidRPr="004B18B8">
              <w:rPr>
                <w:rFonts w:cstheme="minorHAnsi"/>
                <w:szCs w:val="24"/>
              </w:rPr>
              <w:t>9.24%</w:t>
            </w:r>
          </w:p>
        </w:tc>
        <w:tc>
          <w:tcPr>
            <w:tcW w:w="1471" w:type="dxa"/>
            <w:vAlign w:val="center"/>
          </w:tcPr>
          <w:p w14:paraId="170DCE75" w14:textId="77777777" w:rsidR="00234C54" w:rsidRPr="004B18B8" w:rsidRDefault="00234C54" w:rsidP="00234C54">
            <w:pPr>
              <w:jc w:val="right"/>
              <w:rPr>
                <w:rFonts w:cstheme="minorHAnsi"/>
                <w:szCs w:val="24"/>
              </w:rPr>
            </w:pPr>
            <w:r>
              <w:rPr>
                <w:rFonts w:cstheme="minorHAnsi"/>
                <w:szCs w:val="24"/>
              </w:rPr>
              <w:t>-83.8</w:t>
            </w:r>
          </w:p>
          <w:p w14:paraId="07B62790" w14:textId="77777777" w:rsidR="00234C54" w:rsidRPr="004B18B8" w:rsidRDefault="00234C54" w:rsidP="00234C54">
            <w:pPr>
              <w:jc w:val="right"/>
              <w:rPr>
                <w:rFonts w:cstheme="minorHAnsi"/>
                <w:szCs w:val="24"/>
              </w:rPr>
            </w:pPr>
            <w:r w:rsidRPr="004B18B8">
              <w:rPr>
                <w:rFonts w:cstheme="minorHAnsi"/>
                <w:szCs w:val="24"/>
              </w:rPr>
              <w:t>-2.06%</w:t>
            </w:r>
          </w:p>
        </w:tc>
        <w:tc>
          <w:tcPr>
            <w:tcW w:w="1697" w:type="dxa"/>
            <w:vAlign w:val="center"/>
          </w:tcPr>
          <w:p w14:paraId="7218769B" w14:textId="77777777" w:rsidR="00234C54" w:rsidRPr="004B18B8" w:rsidRDefault="00234C54" w:rsidP="00234C54">
            <w:pPr>
              <w:jc w:val="right"/>
              <w:rPr>
                <w:rFonts w:cstheme="minorHAnsi"/>
                <w:szCs w:val="24"/>
              </w:rPr>
            </w:pPr>
            <w:r>
              <w:rPr>
                <w:rFonts w:cstheme="minorHAnsi"/>
                <w:szCs w:val="24"/>
              </w:rPr>
              <w:t>-34.7</w:t>
            </w:r>
          </w:p>
          <w:p w14:paraId="2F8B1A76" w14:textId="77777777" w:rsidR="00234C54" w:rsidRPr="004B18B8" w:rsidRDefault="00234C54" w:rsidP="00234C54">
            <w:pPr>
              <w:jc w:val="right"/>
              <w:rPr>
                <w:rFonts w:cstheme="minorHAnsi"/>
                <w:szCs w:val="24"/>
              </w:rPr>
            </w:pPr>
            <w:r w:rsidRPr="004B18B8">
              <w:rPr>
                <w:rFonts w:cstheme="minorHAnsi"/>
                <w:szCs w:val="24"/>
              </w:rPr>
              <w:t>-0.02%</w:t>
            </w:r>
          </w:p>
        </w:tc>
        <w:tc>
          <w:tcPr>
            <w:tcW w:w="1330" w:type="dxa"/>
            <w:vAlign w:val="center"/>
          </w:tcPr>
          <w:p w14:paraId="0682E7FA"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11.9</w:t>
            </w:r>
          </w:p>
          <w:p w14:paraId="670A23C1"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0.01%</w:t>
            </w:r>
          </w:p>
        </w:tc>
      </w:tr>
      <w:tr w:rsidR="00234C54" w:rsidRPr="00836448" w14:paraId="36CF8834" w14:textId="77777777" w:rsidTr="00234C54">
        <w:tc>
          <w:tcPr>
            <w:tcW w:w="1428" w:type="dxa"/>
          </w:tcPr>
          <w:p w14:paraId="31423672" w14:textId="77777777" w:rsidR="00234C54" w:rsidRPr="00836448" w:rsidRDefault="00234C54" w:rsidP="00234C54">
            <w:pPr>
              <w:rPr>
                <w:szCs w:val="24"/>
              </w:rPr>
            </w:pPr>
            <w:r w:rsidRPr="00836448">
              <w:rPr>
                <w:szCs w:val="24"/>
              </w:rPr>
              <w:t>Northern Snakehead</w:t>
            </w:r>
          </w:p>
        </w:tc>
        <w:tc>
          <w:tcPr>
            <w:tcW w:w="1352" w:type="dxa"/>
            <w:vAlign w:val="center"/>
          </w:tcPr>
          <w:p w14:paraId="542F7D38" w14:textId="77777777" w:rsidR="00234C54" w:rsidRPr="004B18B8" w:rsidRDefault="00234C54" w:rsidP="00234C54">
            <w:pPr>
              <w:jc w:val="right"/>
              <w:rPr>
                <w:rFonts w:cstheme="minorHAnsi"/>
                <w:szCs w:val="24"/>
              </w:rPr>
            </w:pPr>
          </w:p>
        </w:tc>
        <w:tc>
          <w:tcPr>
            <w:tcW w:w="1390" w:type="dxa"/>
            <w:vAlign w:val="center"/>
          </w:tcPr>
          <w:p w14:paraId="3CE3A3F6" w14:textId="77777777" w:rsidR="00234C54" w:rsidRPr="004B18B8" w:rsidRDefault="00234C54" w:rsidP="00234C54">
            <w:pPr>
              <w:jc w:val="right"/>
              <w:rPr>
                <w:rFonts w:cstheme="minorHAnsi"/>
                <w:szCs w:val="24"/>
              </w:rPr>
            </w:pPr>
          </w:p>
        </w:tc>
        <w:tc>
          <w:tcPr>
            <w:tcW w:w="1471" w:type="dxa"/>
            <w:vAlign w:val="center"/>
          </w:tcPr>
          <w:p w14:paraId="0415ED50" w14:textId="77777777" w:rsidR="00234C54" w:rsidRPr="004B18B8" w:rsidRDefault="00234C54" w:rsidP="00234C54">
            <w:pPr>
              <w:jc w:val="right"/>
              <w:rPr>
                <w:rFonts w:cstheme="minorHAnsi"/>
                <w:szCs w:val="24"/>
              </w:rPr>
            </w:pPr>
          </w:p>
        </w:tc>
        <w:tc>
          <w:tcPr>
            <w:tcW w:w="1697" w:type="dxa"/>
            <w:vAlign w:val="center"/>
          </w:tcPr>
          <w:p w14:paraId="583DBA7A" w14:textId="77777777" w:rsidR="00234C54" w:rsidRPr="004B18B8" w:rsidRDefault="00234C54" w:rsidP="00234C54">
            <w:pPr>
              <w:jc w:val="right"/>
              <w:rPr>
                <w:rFonts w:cstheme="minorHAnsi"/>
                <w:szCs w:val="24"/>
              </w:rPr>
            </w:pPr>
          </w:p>
        </w:tc>
        <w:tc>
          <w:tcPr>
            <w:tcW w:w="1330" w:type="dxa"/>
            <w:vAlign w:val="center"/>
          </w:tcPr>
          <w:p w14:paraId="5327BECC" w14:textId="77777777" w:rsidR="00234C54" w:rsidRPr="004B18B8" w:rsidRDefault="00234C54" w:rsidP="00234C54">
            <w:pPr>
              <w:pStyle w:val="Default"/>
              <w:jc w:val="right"/>
              <w:rPr>
                <w:rFonts w:asciiTheme="minorHAnsi" w:hAnsiTheme="minorHAnsi" w:cstheme="minorHAnsi"/>
              </w:rPr>
            </w:pPr>
          </w:p>
        </w:tc>
      </w:tr>
      <w:tr w:rsidR="00234C54" w:rsidRPr="00836448" w14:paraId="7360A83A" w14:textId="77777777" w:rsidTr="00234C54">
        <w:tc>
          <w:tcPr>
            <w:tcW w:w="1428" w:type="dxa"/>
          </w:tcPr>
          <w:p w14:paraId="52A9028A" w14:textId="33708A74" w:rsidR="00234C54" w:rsidRPr="00836448" w:rsidRDefault="00DD57A7" w:rsidP="00DD57A7">
            <w:pPr>
              <w:rPr>
                <w:szCs w:val="24"/>
              </w:rPr>
            </w:pPr>
            <w:r>
              <w:rPr>
                <w:szCs w:val="24"/>
              </w:rPr>
              <w:t>Worst case</w:t>
            </w:r>
          </w:p>
        </w:tc>
        <w:tc>
          <w:tcPr>
            <w:tcW w:w="1352" w:type="dxa"/>
            <w:vAlign w:val="center"/>
          </w:tcPr>
          <w:p w14:paraId="38D34532" w14:textId="77777777" w:rsidR="00234C54" w:rsidRPr="004B18B8" w:rsidRDefault="00234C54" w:rsidP="00234C54">
            <w:pPr>
              <w:jc w:val="right"/>
              <w:rPr>
                <w:rFonts w:cstheme="minorHAnsi"/>
                <w:szCs w:val="24"/>
              </w:rPr>
            </w:pPr>
            <w:r w:rsidRPr="004B18B8">
              <w:rPr>
                <w:rFonts w:cstheme="minorHAnsi"/>
                <w:szCs w:val="24"/>
              </w:rPr>
              <w:t>-788</w:t>
            </w:r>
            <w:r>
              <w:rPr>
                <w:rFonts w:cstheme="minorHAnsi"/>
                <w:szCs w:val="24"/>
              </w:rPr>
              <w:t>.5</w:t>
            </w:r>
          </w:p>
          <w:p w14:paraId="1C125992" w14:textId="77777777" w:rsidR="00234C54" w:rsidRPr="004B18B8" w:rsidRDefault="00234C54" w:rsidP="00234C54">
            <w:pPr>
              <w:jc w:val="right"/>
              <w:rPr>
                <w:rFonts w:cstheme="minorHAnsi"/>
                <w:szCs w:val="24"/>
              </w:rPr>
            </w:pPr>
            <w:r w:rsidRPr="004B18B8">
              <w:rPr>
                <w:rFonts w:cstheme="minorHAnsi"/>
                <w:szCs w:val="24"/>
              </w:rPr>
              <w:t>-9.62%</w:t>
            </w:r>
          </w:p>
        </w:tc>
        <w:tc>
          <w:tcPr>
            <w:tcW w:w="1390" w:type="dxa"/>
            <w:vAlign w:val="center"/>
          </w:tcPr>
          <w:p w14:paraId="0702F7AE" w14:textId="77777777" w:rsidR="00234C54" w:rsidRPr="004B18B8" w:rsidRDefault="00234C54" w:rsidP="00234C54">
            <w:pPr>
              <w:jc w:val="right"/>
              <w:rPr>
                <w:rFonts w:cstheme="minorHAnsi"/>
                <w:szCs w:val="24"/>
              </w:rPr>
            </w:pPr>
            <w:r w:rsidRPr="004B18B8">
              <w:rPr>
                <w:rFonts w:cstheme="minorHAnsi"/>
                <w:szCs w:val="24"/>
              </w:rPr>
              <w:t>-870</w:t>
            </w:r>
            <w:r>
              <w:rPr>
                <w:rFonts w:cstheme="minorHAnsi"/>
                <w:szCs w:val="24"/>
              </w:rPr>
              <w:t>.4</w:t>
            </w:r>
          </w:p>
          <w:p w14:paraId="17E4862F" w14:textId="77777777" w:rsidR="00234C54" w:rsidRPr="004B18B8" w:rsidRDefault="00234C54" w:rsidP="00234C54">
            <w:pPr>
              <w:jc w:val="right"/>
              <w:rPr>
                <w:rFonts w:cstheme="minorHAnsi"/>
                <w:szCs w:val="24"/>
              </w:rPr>
            </w:pPr>
            <w:r w:rsidRPr="004B18B8">
              <w:rPr>
                <w:rFonts w:cstheme="minorHAnsi"/>
                <w:szCs w:val="24"/>
              </w:rPr>
              <w:t>-7.86%</w:t>
            </w:r>
          </w:p>
        </w:tc>
        <w:tc>
          <w:tcPr>
            <w:tcW w:w="1471" w:type="dxa"/>
            <w:vAlign w:val="center"/>
          </w:tcPr>
          <w:p w14:paraId="34FC86DA" w14:textId="77777777" w:rsidR="00234C54" w:rsidRPr="004B18B8" w:rsidRDefault="00234C54" w:rsidP="00234C54">
            <w:pPr>
              <w:jc w:val="right"/>
              <w:rPr>
                <w:rFonts w:cstheme="minorHAnsi"/>
                <w:szCs w:val="24"/>
              </w:rPr>
            </w:pPr>
            <w:r w:rsidRPr="004B18B8">
              <w:rPr>
                <w:rFonts w:cstheme="minorHAnsi"/>
                <w:szCs w:val="24"/>
              </w:rPr>
              <w:t>21</w:t>
            </w:r>
            <w:r>
              <w:rPr>
                <w:rFonts w:cstheme="minorHAnsi"/>
                <w:szCs w:val="24"/>
              </w:rPr>
              <w:t>.0</w:t>
            </w:r>
          </w:p>
          <w:p w14:paraId="56CE2180" w14:textId="77777777" w:rsidR="00234C54" w:rsidRPr="004B18B8" w:rsidRDefault="00234C54" w:rsidP="00234C54">
            <w:pPr>
              <w:jc w:val="right"/>
              <w:rPr>
                <w:rFonts w:cstheme="minorHAnsi"/>
                <w:szCs w:val="24"/>
              </w:rPr>
            </w:pPr>
            <w:r w:rsidRPr="004B18B8">
              <w:rPr>
                <w:rFonts w:cstheme="minorHAnsi"/>
                <w:szCs w:val="24"/>
              </w:rPr>
              <w:t>0.52%</w:t>
            </w:r>
          </w:p>
        </w:tc>
        <w:tc>
          <w:tcPr>
            <w:tcW w:w="1697" w:type="dxa"/>
            <w:vAlign w:val="center"/>
          </w:tcPr>
          <w:p w14:paraId="3CE81034" w14:textId="77777777" w:rsidR="00234C54" w:rsidRPr="004B18B8" w:rsidRDefault="00234C54" w:rsidP="00234C54">
            <w:pPr>
              <w:jc w:val="right"/>
              <w:rPr>
                <w:rFonts w:cstheme="minorHAnsi"/>
                <w:szCs w:val="24"/>
              </w:rPr>
            </w:pPr>
            <w:r w:rsidRPr="004B18B8">
              <w:rPr>
                <w:rFonts w:cstheme="minorHAnsi"/>
                <w:szCs w:val="24"/>
              </w:rPr>
              <w:t>1,495</w:t>
            </w:r>
            <w:r>
              <w:rPr>
                <w:rFonts w:cstheme="minorHAnsi"/>
                <w:szCs w:val="24"/>
              </w:rPr>
              <w:t>.3</w:t>
            </w:r>
          </w:p>
          <w:p w14:paraId="2DC27987" w14:textId="77777777" w:rsidR="00234C54" w:rsidRPr="004B18B8" w:rsidRDefault="00234C54" w:rsidP="00234C54">
            <w:pPr>
              <w:jc w:val="right"/>
              <w:rPr>
                <w:rFonts w:cstheme="minorHAnsi"/>
                <w:szCs w:val="24"/>
              </w:rPr>
            </w:pPr>
            <w:r w:rsidRPr="004B18B8">
              <w:rPr>
                <w:rFonts w:cstheme="minorHAnsi"/>
                <w:szCs w:val="24"/>
              </w:rPr>
              <w:t>0.99%</w:t>
            </w:r>
          </w:p>
        </w:tc>
        <w:tc>
          <w:tcPr>
            <w:tcW w:w="1330" w:type="dxa"/>
            <w:vAlign w:val="center"/>
          </w:tcPr>
          <w:p w14:paraId="18BCF355"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-142.6</w:t>
            </w:r>
          </w:p>
          <w:p w14:paraId="23CFBBB4"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-0.08%</w:t>
            </w:r>
          </w:p>
        </w:tc>
      </w:tr>
      <w:tr w:rsidR="00234C54" w:rsidRPr="00836448" w14:paraId="15F22DBB" w14:textId="77777777" w:rsidTr="00234C54">
        <w:tc>
          <w:tcPr>
            <w:tcW w:w="1428" w:type="dxa"/>
          </w:tcPr>
          <w:p w14:paraId="5E22AFFB" w14:textId="77777777" w:rsidR="00234C54" w:rsidRPr="00836448" w:rsidRDefault="00234C54" w:rsidP="00234C54">
            <w:pPr>
              <w:rPr>
                <w:szCs w:val="24"/>
              </w:rPr>
            </w:pPr>
            <w:r w:rsidRPr="00836448">
              <w:rPr>
                <w:szCs w:val="24"/>
              </w:rPr>
              <w:t>Best Case</w:t>
            </w:r>
          </w:p>
        </w:tc>
        <w:tc>
          <w:tcPr>
            <w:tcW w:w="1352" w:type="dxa"/>
            <w:vAlign w:val="center"/>
          </w:tcPr>
          <w:p w14:paraId="73C61436"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11024844" w14:textId="77777777" w:rsidR="00234C54" w:rsidRPr="004B18B8" w:rsidRDefault="00234C54" w:rsidP="00234C54">
            <w:pPr>
              <w:jc w:val="right"/>
              <w:rPr>
                <w:rFonts w:cstheme="minorHAnsi"/>
                <w:szCs w:val="24"/>
              </w:rPr>
            </w:pPr>
            <w:r w:rsidRPr="004B18B8">
              <w:rPr>
                <w:rFonts w:cstheme="minorHAnsi"/>
                <w:szCs w:val="24"/>
              </w:rPr>
              <w:t>0.0%</w:t>
            </w:r>
          </w:p>
        </w:tc>
        <w:tc>
          <w:tcPr>
            <w:tcW w:w="1390" w:type="dxa"/>
            <w:vAlign w:val="center"/>
          </w:tcPr>
          <w:p w14:paraId="1F9B1ADE"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1C62790A" w14:textId="77777777" w:rsidR="00234C54" w:rsidRPr="004B18B8" w:rsidRDefault="00234C54" w:rsidP="00234C54">
            <w:pPr>
              <w:jc w:val="right"/>
              <w:rPr>
                <w:rFonts w:cstheme="minorHAnsi"/>
                <w:szCs w:val="24"/>
              </w:rPr>
            </w:pPr>
            <w:r w:rsidRPr="004B18B8">
              <w:rPr>
                <w:rFonts w:cstheme="minorHAnsi"/>
                <w:szCs w:val="24"/>
              </w:rPr>
              <w:t>0.0%</w:t>
            </w:r>
          </w:p>
        </w:tc>
        <w:tc>
          <w:tcPr>
            <w:tcW w:w="1471" w:type="dxa"/>
            <w:vAlign w:val="center"/>
          </w:tcPr>
          <w:p w14:paraId="08CA2591"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4E0FD03E" w14:textId="77777777" w:rsidR="00234C54" w:rsidRPr="004B18B8" w:rsidRDefault="00234C54" w:rsidP="00234C54">
            <w:pPr>
              <w:jc w:val="right"/>
              <w:rPr>
                <w:rFonts w:cstheme="minorHAnsi"/>
                <w:szCs w:val="24"/>
              </w:rPr>
            </w:pPr>
            <w:r w:rsidRPr="004B18B8">
              <w:rPr>
                <w:rFonts w:cstheme="minorHAnsi"/>
                <w:szCs w:val="24"/>
              </w:rPr>
              <w:t>0.0%</w:t>
            </w:r>
          </w:p>
        </w:tc>
        <w:tc>
          <w:tcPr>
            <w:tcW w:w="1697" w:type="dxa"/>
            <w:vAlign w:val="center"/>
          </w:tcPr>
          <w:p w14:paraId="4FB4A693"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60673D40" w14:textId="77777777" w:rsidR="00234C54" w:rsidRPr="004B18B8" w:rsidRDefault="00234C54" w:rsidP="00234C54">
            <w:pPr>
              <w:jc w:val="right"/>
              <w:rPr>
                <w:rFonts w:cstheme="minorHAnsi"/>
                <w:szCs w:val="24"/>
              </w:rPr>
            </w:pPr>
            <w:r w:rsidRPr="004B18B8">
              <w:rPr>
                <w:rFonts w:cstheme="minorHAnsi"/>
                <w:szCs w:val="24"/>
              </w:rPr>
              <w:t>0.0%</w:t>
            </w:r>
          </w:p>
        </w:tc>
        <w:tc>
          <w:tcPr>
            <w:tcW w:w="1330" w:type="dxa"/>
            <w:vAlign w:val="center"/>
          </w:tcPr>
          <w:p w14:paraId="73A5B702"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376AC41C"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w:t>
            </w:r>
          </w:p>
        </w:tc>
      </w:tr>
      <w:tr w:rsidR="00234C54" w:rsidRPr="00836448" w14:paraId="5A254928" w14:textId="77777777" w:rsidTr="00234C54">
        <w:tc>
          <w:tcPr>
            <w:tcW w:w="1428" w:type="dxa"/>
          </w:tcPr>
          <w:p w14:paraId="06D12452" w14:textId="77777777" w:rsidR="00234C54" w:rsidRPr="00836448" w:rsidRDefault="00234C54" w:rsidP="00234C54">
            <w:pPr>
              <w:rPr>
                <w:szCs w:val="24"/>
              </w:rPr>
            </w:pPr>
            <w:r w:rsidRPr="00836448">
              <w:rPr>
                <w:szCs w:val="24"/>
              </w:rPr>
              <w:t>Grass Carp</w:t>
            </w:r>
          </w:p>
        </w:tc>
        <w:tc>
          <w:tcPr>
            <w:tcW w:w="1352" w:type="dxa"/>
            <w:vAlign w:val="center"/>
          </w:tcPr>
          <w:p w14:paraId="206B18E9" w14:textId="77777777" w:rsidR="00234C54" w:rsidRPr="004B18B8" w:rsidRDefault="00234C54" w:rsidP="00234C54">
            <w:pPr>
              <w:jc w:val="right"/>
              <w:rPr>
                <w:rFonts w:cstheme="minorHAnsi"/>
                <w:szCs w:val="24"/>
              </w:rPr>
            </w:pPr>
          </w:p>
        </w:tc>
        <w:tc>
          <w:tcPr>
            <w:tcW w:w="1390" w:type="dxa"/>
            <w:vAlign w:val="center"/>
          </w:tcPr>
          <w:p w14:paraId="47A7622F" w14:textId="77777777" w:rsidR="00234C54" w:rsidRPr="004B18B8" w:rsidRDefault="00234C54" w:rsidP="00234C54">
            <w:pPr>
              <w:jc w:val="right"/>
              <w:rPr>
                <w:rFonts w:cstheme="minorHAnsi"/>
                <w:szCs w:val="24"/>
              </w:rPr>
            </w:pPr>
          </w:p>
        </w:tc>
        <w:tc>
          <w:tcPr>
            <w:tcW w:w="1471" w:type="dxa"/>
            <w:vAlign w:val="center"/>
          </w:tcPr>
          <w:p w14:paraId="7B6E801C" w14:textId="77777777" w:rsidR="00234C54" w:rsidRPr="004B18B8" w:rsidRDefault="00234C54" w:rsidP="00234C54">
            <w:pPr>
              <w:jc w:val="right"/>
              <w:rPr>
                <w:rFonts w:cstheme="minorHAnsi"/>
                <w:szCs w:val="24"/>
              </w:rPr>
            </w:pPr>
          </w:p>
        </w:tc>
        <w:tc>
          <w:tcPr>
            <w:tcW w:w="1697" w:type="dxa"/>
            <w:vAlign w:val="center"/>
          </w:tcPr>
          <w:p w14:paraId="5935A69C" w14:textId="77777777" w:rsidR="00234C54" w:rsidRPr="004B18B8" w:rsidRDefault="00234C54" w:rsidP="00234C54">
            <w:pPr>
              <w:jc w:val="right"/>
              <w:rPr>
                <w:rFonts w:cstheme="minorHAnsi"/>
                <w:szCs w:val="24"/>
              </w:rPr>
            </w:pPr>
          </w:p>
        </w:tc>
        <w:tc>
          <w:tcPr>
            <w:tcW w:w="1330" w:type="dxa"/>
            <w:vAlign w:val="center"/>
          </w:tcPr>
          <w:p w14:paraId="7A4592FF" w14:textId="77777777" w:rsidR="00234C54" w:rsidRPr="004B18B8" w:rsidRDefault="00234C54" w:rsidP="00234C54">
            <w:pPr>
              <w:pStyle w:val="Default"/>
              <w:jc w:val="right"/>
              <w:rPr>
                <w:rFonts w:asciiTheme="minorHAnsi" w:hAnsiTheme="minorHAnsi" w:cstheme="minorHAnsi"/>
              </w:rPr>
            </w:pPr>
          </w:p>
        </w:tc>
      </w:tr>
      <w:tr w:rsidR="00234C54" w:rsidRPr="00836448" w14:paraId="69F2510E" w14:textId="77777777" w:rsidTr="00234C54">
        <w:tc>
          <w:tcPr>
            <w:tcW w:w="1428" w:type="dxa"/>
          </w:tcPr>
          <w:p w14:paraId="63745B92" w14:textId="5E9ED557" w:rsidR="00234C54" w:rsidRPr="00836448" w:rsidRDefault="00DD57A7" w:rsidP="00DD57A7">
            <w:pPr>
              <w:rPr>
                <w:szCs w:val="24"/>
              </w:rPr>
            </w:pPr>
            <w:r>
              <w:rPr>
                <w:szCs w:val="24"/>
              </w:rPr>
              <w:t>Worst case</w:t>
            </w:r>
          </w:p>
        </w:tc>
        <w:tc>
          <w:tcPr>
            <w:tcW w:w="1352" w:type="dxa"/>
            <w:vAlign w:val="center"/>
          </w:tcPr>
          <w:p w14:paraId="01E9DA4B" w14:textId="77777777" w:rsidR="00234C54" w:rsidRPr="004B18B8" w:rsidRDefault="00234C54" w:rsidP="00234C54">
            <w:pPr>
              <w:jc w:val="right"/>
              <w:rPr>
                <w:rFonts w:cstheme="minorHAnsi"/>
                <w:szCs w:val="24"/>
              </w:rPr>
            </w:pPr>
            <w:r w:rsidRPr="004B18B8">
              <w:rPr>
                <w:rFonts w:cstheme="minorHAnsi"/>
                <w:szCs w:val="24"/>
              </w:rPr>
              <w:t>82</w:t>
            </w:r>
            <w:r>
              <w:rPr>
                <w:rFonts w:cstheme="minorHAnsi"/>
                <w:szCs w:val="24"/>
              </w:rPr>
              <w:t>.4</w:t>
            </w:r>
          </w:p>
          <w:p w14:paraId="03681217" w14:textId="77777777" w:rsidR="00234C54" w:rsidRPr="004B18B8" w:rsidRDefault="00234C54" w:rsidP="00234C54">
            <w:pPr>
              <w:jc w:val="right"/>
              <w:rPr>
                <w:rFonts w:cstheme="minorHAnsi"/>
                <w:szCs w:val="24"/>
              </w:rPr>
            </w:pPr>
            <w:r w:rsidRPr="004B18B8">
              <w:rPr>
                <w:rFonts w:cstheme="minorHAnsi"/>
                <w:szCs w:val="24"/>
              </w:rPr>
              <w:t>1.01%</w:t>
            </w:r>
          </w:p>
        </w:tc>
        <w:tc>
          <w:tcPr>
            <w:tcW w:w="1390" w:type="dxa"/>
            <w:vAlign w:val="center"/>
          </w:tcPr>
          <w:p w14:paraId="4A8AC197" w14:textId="77777777" w:rsidR="00234C54" w:rsidRPr="004B18B8" w:rsidRDefault="00234C54" w:rsidP="00234C54">
            <w:pPr>
              <w:jc w:val="right"/>
              <w:rPr>
                <w:rFonts w:cstheme="minorHAnsi"/>
                <w:szCs w:val="24"/>
              </w:rPr>
            </w:pPr>
            <w:r>
              <w:rPr>
                <w:rFonts w:cstheme="minorHAnsi"/>
                <w:szCs w:val="24"/>
              </w:rPr>
              <w:t>-826.6</w:t>
            </w:r>
          </w:p>
          <w:p w14:paraId="4831A865" w14:textId="77777777" w:rsidR="00234C54" w:rsidRPr="004B18B8" w:rsidRDefault="00234C54" w:rsidP="00234C54">
            <w:pPr>
              <w:jc w:val="right"/>
              <w:rPr>
                <w:rFonts w:cstheme="minorHAnsi"/>
                <w:szCs w:val="24"/>
              </w:rPr>
            </w:pPr>
            <w:r w:rsidRPr="004B18B8">
              <w:rPr>
                <w:rFonts w:cstheme="minorHAnsi"/>
                <w:szCs w:val="24"/>
              </w:rPr>
              <w:t>-7.47%</w:t>
            </w:r>
          </w:p>
        </w:tc>
        <w:tc>
          <w:tcPr>
            <w:tcW w:w="1471" w:type="dxa"/>
            <w:vAlign w:val="center"/>
          </w:tcPr>
          <w:p w14:paraId="3416007C" w14:textId="77777777" w:rsidR="00234C54" w:rsidRPr="004B18B8" w:rsidRDefault="00234C54" w:rsidP="00234C54">
            <w:pPr>
              <w:jc w:val="right"/>
              <w:rPr>
                <w:rFonts w:cstheme="minorHAnsi"/>
                <w:szCs w:val="24"/>
              </w:rPr>
            </w:pPr>
            <w:r>
              <w:rPr>
                <w:rFonts w:cstheme="minorHAnsi"/>
                <w:szCs w:val="24"/>
              </w:rPr>
              <w:t>47.5</w:t>
            </w:r>
          </w:p>
          <w:p w14:paraId="4B1D6E10" w14:textId="77777777" w:rsidR="00234C54" w:rsidRPr="004B18B8" w:rsidRDefault="00234C54" w:rsidP="00234C54">
            <w:pPr>
              <w:jc w:val="right"/>
              <w:rPr>
                <w:rFonts w:cstheme="minorHAnsi"/>
                <w:szCs w:val="24"/>
              </w:rPr>
            </w:pPr>
            <w:r w:rsidRPr="004B18B8">
              <w:rPr>
                <w:rFonts w:cstheme="minorHAnsi"/>
                <w:szCs w:val="24"/>
              </w:rPr>
              <w:t>1.17%</w:t>
            </w:r>
          </w:p>
        </w:tc>
        <w:tc>
          <w:tcPr>
            <w:tcW w:w="1697" w:type="dxa"/>
            <w:vAlign w:val="center"/>
          </w:tcPr>
          <w:p w14:paraId="43142D8F" w14:textId="77777777" w:rsidR="00234C54" w:rsidRPr="004B18B8" w:rsidRDefault="00234C54" w:rsidP="00234C54">
            <w:pPr>
              <w:jc w:val="right"/>
              <w:rPr>
                <w:rFonts w:cstheme="minorHAnsi"/>
                <w:szCs w:val="24"/>
              </w:rPr>
            </w:pPr>
            <w:r>
              <w:rPr>
                <w:rFonts w:cstheme="minorHAnsi"/>
                <w:szCs w:val="24"/>
              </w:rPr>
              <w:t>634.8</w:t>
            </w:r>
          </w:p>
          <w:p w14:paraId="7824A74E" w14:textId="77777777" w:rsidR="00234C54" w:rsidRPr="004B18B8" w:rsidRDefault="00234C54" w:rsidP="00234C54">
            <w:pPr>
              <w:jc w:val="right"/>
              <w:rPr>
                <w:rFonts w:cstheme="minorHAnsi"/>
                <w:szCs w:val="24"/>
              </w:rPr>
            </w:pPr>
            <w:r w:rsidRPr="004B18B8">
              <w:rPr>
                <w:rFonts w:cstheme="minorHAnsi"/>
                <w:szCs w:val="24"/>
              </w:rPr>
              <w:t>0.42%</w:t>
            </w:r>
          </w:p>
        </w:tc>
        <w:tc>
          <w:tcPr>
            <w:tcW w:w="1330" w:type="dxa"/>
            <w:vAlign w:val="center"/>
          </w:tcPr>
          <w:p w14:paraId="31334BCE"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-61.8</w:t>
            </w:r>
          </w:p>
          <w:p w14:paraId="17EFEA0A"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-0.04%</w:t>
            </w:r>
          </w:p>
        </w:tc>
      </w:tr>
      <w:tr w:rsidR="00234C54" w:rsidRPr="00836448" w14:paraId="685F232B" w14:textId="77777777" w:rsidTr="00234C54">
        <w:tc>
          <w:tcPr>
            <w:tcW w:w="1428" w:type="dxa"/>
          </w:tcPr>
          <w:p w14:paraId="101C749C" w14:textId="77777777" w:rsidR="00234C54" w:rsidRPr="00836448" w:rsidRDefault="00234C54" w:rsidP="00234C54">
            <w:pPr>
              <w:rPr>
                <w:szCs w:val="24"/>
              </w:rPr>
            </w:pPr>
            <w:r w:rsidRPr="00836448">
              <w:rPr>
                <w:szCs w:val="24"/>
              </w:rPr>
              <w:t>Best Case</w:t>
            </w:r>
          </w:p>
        </w:tc>
        <w:tc>
          <w:tcPr>
            <w:tcW w:w="1352" w:type="dxa"/>
            <w:vAlign w:val="center"/>
          </w:tcPr>
          <w:p w14:paraId="2EB23514" w14:textId="77777777" w:rsidR="00234C54" w:rsidRPr="004B18B8" w:rsidRDefault="00234C54" w:rsidP="00234C54">
            <w:pPr>
              <w:jc w:val="right"/>
              <w:rPr>
                <w:rFonts w:cstheme="minorHAnsi"/>
                <w:szCs w:val="24"/>
              </w:rPr>
            </w:pPr>
            <w:r w:rsidRPr="004B18B8">
              <w:rPr>
                <w:rFonts w:cstheme="minorHAnsi"/>
                <w:szCs w:val="24"/>
              </w:rPr>
              <w:t>39</w:t>
            </w:r>
            <w:r>
              <w:rPr>
                <w:rFonts w:cstheme="minorHAnsi"/>
                <w:szCs w:val="24"/>
              </w:rPr>
              <w:t>.3</w:t>
            </w:r>
          </w:p>
          <w:p w14:paraId="05AB00C8" w14:textId="77777777" w:rsidR="00234C54" w:rsidRPr="004B18B8" w:rsidRDefault="00234C54" w:rsidP="00234C54">
            <w:pPr>
              <w:jc w:val="right"/>
              <w:rPr>
                <w:rFonts w:cstheme="minorHAnsi"/>
                <w:szCs w:val="24"/>
              </w:rPr>
            </w:pPr>
            <w:r w:rsidRPr="004B18B8">
              <w:rPr>
                <w:rFonts w:cstheme="minorHAnsi"/>
                <w:szCs w:val="24"/>
              </w:rPr>
              <w:t>0.48%</w:t>
            </w:r>
          </w:p>
        </w:tc>
        <w:tc>
          <w:tcPr>
            <w:tcW w:w="1390" w:type="dxa"/>
            <w:vAlign w:val="center"/>
          </w:tcPr>
          <w:p w14:paraId="0C49BB32" w14:textId="77777777" w:rsidR="00234C54" w:rsidRPr="004B18B8" w:rsidRDefault="00234C54" w:rsidP="00234C54">
            <w:pPr>
              <w:jc w:val="right"/>
              <w:rPr>
                <w:rFonts w:cstheme="minorHAnsi"/>
                <w:szCs w:val="24"/>
              </w:rPr>
            </w:pPr>
            <w:r w:rsidRPr="004B18B8">
              <w:rPr>
                <w:rFonts w:cstheme="minorHAnsi"/>
                <w:szCs w:val="24"/>
              </w:rPr>
              <w:t>-393</w:t>
            </w:r>
            <w:r>
              <w:rPr>
                <w:rFonts w:cstheme="minorHAnsi"/>
                <w:szCs w:val="24"/>
              </w:rPr>
              <w:t>.0</w:t>
            </w:r>
          </w:p>
          <w:p w14:paraId="039F2C08" w14:textId="77777777" w:rsidR="00234C54" w:rsidRPr="004B18B8" w:rsidRDefault="00234C54" w:rsidP="00234C54">
            <w:pPr>
              <w:jc w:val="right"/>
              <w:rPr>
                <w:rFonts w:cstheme="minorHAnsi"/>
                <w:szCs w:val="24"/>
              </w:rPr>
            </w:pPr>
            <w:r w:rsidRPr="004B18B8">
              <w:rPr>
                <w:rFonts w:cstheme="minorHAnsi"/>
                <w:szCs w:val="24"/>
              </w:rPr>
              <w:t>-3.55%</w:t>
            </w:r>
          </w:p>
        </w:tc>
        <w:tc>
          <w:tcPr>
            <w:tcW w:w="1471" w:type="dxa"/>
            <w:vAlign w:val="center"/>
          </w:tcPr>
          <w:p w14:paraId="0C68F199" w14:textId="77777777" w:rsidR="00234C54" w:rsidRPr="004B18B8" w:rsidRDefault="00234C54" w:rsidP="00234C54">
            <w:pPr>
              <w:jc w:val="right"/>
              <w:rPr>
                <w:rFonts w:cstheme="minorHAnsi"/>
                <w:szCs w:val="24"/>
              </w:rPr>
            </w:pPr>
            <w:r w:rsidRPr="004B18B8">
              <w:rPr>
                <w:rFonts w:cstheme="minorHAnsi"/>
                <w:szCs w:val="24"/>
              </w:rPr>
              <w:t>22</w:t>
            </w:r>
            <w:r>
              <w:rPr>
                <w:rFonts w:cstheme="minorHAnsi"/>
                <w:szCs w:val="24"/>
              </w:rPr>
              <w:t>.4</w:t>
            </w:r>
          </w:p>
          <w:p w14:paraId="31092106" w14:textId="77777777" w:rsidR="00234C54" w:rsidRPr="004B18B8" w:rsidRDefault="00234C54" w:rsidP="00234C54">
            <w:pPr>
              <w:jc w:val="right"/>
              <w:rPr>
                <w:rFonts w:cstheme="minorHAnsi"/>
                <w:szCs w:val="24"/>
              </w:rPr>
            </w:pPr>
            <w:r w:rsidRPr="004B18B8">
              <w:rPr>
                <w:rFonts w:cstheme="minorHAnsi"/>
                <w:szCs w:val="24"/>
              </w:rPr>
              <w:t>0.55%</w:t>
            </w:r>
          </w:p>
        </w:tc>
        <w:tc>
          <w:tcPr>
            <w:tcW w:w="1697" w:type="dxa"/>
            <w:vAlign w:val="center"/>
          </w:tcPr>
          <w:p w14:paraId="46449DA0" w14:textId="77777777" w:rsidR="00234C54" w:rsidRPr="004B18B8" w:rsidRDefault="00234C54" w:rsidP="00234C54">
            <w:pPr>
              <w:jc w:val="right"/>
              <w:rPr>
                <w:rFonts w:cstheme="minorHAnsi"/>
                <w:szCs w:val="24"/>
              </w:rPr>
            </w:pPr>
            <w:r>
              <w:rPr>
                <w:rFonts w:cstheme="minorHAnsi"/>
                <w:szCs w:val="24"/>
              </w:rPr>
              <w:t>301.7</w:t>
            </w:r>
          </w:p>
          <w:p w14:paraId="515FD0AD" w14:textId="77777777" w:rsidR="00234C54" w:rsidRPr="004B18B8" w:rsidRDefault="00234C54" w:rsidP="00234C54">
            <w:pPr>
              <w:jc w:val="right"/>
              <w:rPr>
                <w:rFonts w:cstheme="minorHAnsi"/>
                <w:szCs w:val="24"/>
              </w:rPr>
            </w:pPr>
            <w:r w:rsidRPr="004B18B8">
              <w:rPr>
                <w:rFonts w:cstheme="minorHAnsi"/>
                <w:szCs w:val="24"/>
              </w:rPr>
              <w:t>0.20%</w:t>
            </w:r>
          </w:p>
        </w:tc>
        <w:tc>
          <w:tcPr>
            <w:tcW w:w="1330" w:type="dxa"/>
            <w:vAlign w:val="center"/>
          </w:tcPr>
          <w:p w14:paraId="63D5569C"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-29.6</w:t>
            </w:r>
          </w:p>
          <w:p w14:paraId="0A688FBE"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-0.02%</w:t>
            </w:r>
          </w:p>
        </w:tc>
      </w:tr>
      <w:tr w:rsidR="00234C54" w:rsidRPr="00836448" w14:paraId="62765C23" w14:textId="77777777" w:rsidTr="00234C54">
        <w:tc>
          <w:tcPr>
            <w:tcW w:w="1428" w:type="dxa"/>
          </w:tcPr>
          <w:p w14:paraId="24D51CD6" w14:textId="77777777" w:rsidR="00234C54" w:rsidRPr="00836448" w:rsidRDefault="00234C54" w:rsidP="00234C54">
            <w:pPr>
              <w:rPr>
                <w:szCs w:val="24"/>
              </w:rPr>
            </w:pPr>
            <w:r w:rsidRPr="00836448">
              <w:rPr>
                <w:szCs w:val="24"/>
              </w:rPr>
              <w:t>Hydrilla</w:t>
            </w:r>
          </w:p>
        </w:tc>
        <w:tc>
          <w:tcPr>
            <w:tcW w:w="1352" w:type="dxa"/>
            <w:vAlign w:val="center"/>
          </w:tcPr>
          <w:p w14:paraId="1EC00D05" w14:textId="77777777" w:rsidR="00234C54" w:rsidRPr="004B18B8" w:rsidRDefault="00234C54" w:rsidP="00234C54">
            <w:pPr>
              <w:jc w:val="right"/>
              <w:rPr>
                <w:rFonts w:cstheme="minorHAnsi"/>
                <w:szCs w:val="24"/>
              </w:rPr>
            </w:pPr>
          </w:p>
        </w:tc>
        <w:tc>
          <w:tcPr>
            <w:tcW w:w="1390" w:type="dxa"/>
            <w:vAlign w:val="center"/>
          </w:tcPr>
          <w:p w14:paraId="48C03309" w14:textId="77777777" w:rsidR="00234C54" w:rsidRPr="004B18B8" w:rsidRDefault="00234C54" w:rsidP="00234C54">
            <w:pPr>
              <w:jc w:val="right"/>
              <w:rPr>
                <w:rFonts w:cstheme="minorHAnsi"/>
                <w:szCs w:val="24"/>
              </w:rPr>
            </w:pPr>
          </w:p>
        </w:tc>
        <w:tc>
          <w:tcPr>
            <w:tcW w:w="1471" w:type="dxa"/>
            <w:vAlign w:val="center"/>
          </w:tcPr>
          <w:p w14:paraId="1072BF48" w14:textId="77777777" w:rsidR="00234C54" w:rsidRPr="004B18B8" w:rsidRDefault="00234C54" w:rsidP="00234C54">
            <w:pPr>
              <w:jc w:val="right"/>
              <w:rPr>
                <w:rFonts w:cstheme="minorHAnsi"/>
                <w:szCs w:val="24"/>
              </w:rPr>
            </w:pPr>
          </w:p>
        </w:tc>
        <w:tc>
          <w:tcPr>
            <w:tcW w:w="1697" w:type="dxa"/>
            <w:vAlign w:val="center"/>
          </w:tcPr>
          <w:p w14:paraId="1D20ECEC" w14:textId="77777777" w:rsidR="00234C54" w:rsidRPr="004B18B8" w:rsidRDefault="00234C54" w:rsidP="00234C54">
            <w:pPr>
              <w:jc w:val="right"/>
              <w:rPr>
                <w:rFonts w:cstheme="minorHAnsi"/>
                <w:szCs w:val="24"/>
              </w:rPr>
            </w:pPr>
          </w:p>
        </w:tc>
        <w:tc>
          <w:tcPr>
            <w:tcW w:w="1330" w:type="dxa"/>
            <w:vAlign w:val="center"/>
          </w:tcPr>
          <w:p w14:paraId="132DE351" w14:textId="77777777" w:rsidR="00234C54" w:rsidRPr="004B18B8" w:rsidRDefault="00234C54" w:rsidP="00234C54">
            <w:pPr>
              <w:pStyle w:val="Default"/>
              <w:jc w:val="right"/>
              <w:rPr>
                <w:rFonts w:asciiTheme="minorHAnsi" w:hAnsiTheme="minorHAnsi" w:cstheme="minorHAnsi"/>
              </w:rPr>
            </w:pPr>
          </w:p>
        </w:tc>
      </w:tr>
      <w:tr w:rsidR="00234C54" w:rsidRPr="00836448" w14:paraId="173931B1" w14:textId="77777777" w:rsidTr="00234C54">
        <w:tc>
          <w:tcPr>
            <w:tcW w:w="1428" w:type="dxa"/>
          </w:tcPr>
          <w:p w14:paraId="71B99004" w14:textId="46F67B03" w:rsidR="00234C54" w:rsidRPr="00836448" w:rsidRDefault="00DD57A7" w:rsidP="00DD57A7">
            <w:pPr>
              <w:rPr>
                <w:szCs w:val="24"/>
              </w:rPr>
            </w:pPr>
            <w:r>
              <w:rPr>
                <w:szCs w:val="24"/>
              </w:rPr>
              <w:t>Worst case</w:t>
            </w:r>
          </w:p>
        </w:tc>
        <w:tc>
          <w:tcPr>
            <w:tcW w:w="1352" w:type="dxa"/>
            <w:vAlign w:val="center"/>
          </w:tcPr>
          <w:p w14:paraId="76D6D978" w14:textId="77777777" w:rsidR="00234C54" w:rsidRPr="004B18B8" w:rsidRDefault="00234C54" w:rsidP="00234C54">
            <w:pPr>
              <w:jc w:val="right"/>
              <w:rPr>
                <w:rFonts w:cstheme="minorHAnsi"/>
                <w:szCs w:val="24"/>
              </w:rPr>
            </w:pPr>
            <w:r w:rsidRPr="004B18B8">
              <w:rPr>
                <w:rFonts w:cstheme="minorHAnsi"/>
                <w:szCs w:val="24"/>
              </w:rPr>
              <w:t>130</w:t>
            </w:r>
            <w:r>
              <w:rPr>
                <w:rFonts w:cstheme="minorHAnsi"/>
                <w:szCs w:val="24"/>
              </w:rPr>
              <w:t>.1</w:t>
            </w:r>
          </w:p>
          <w:p w14:paraId="2B61BFB7" w14:textId="77777777" w:rsidR="00234C54" w:rsidRPr="004B18B8" w:rsidRDefault="00234C54" w:rsidP="00234C54">
            <w:pPr>
              <w:jc w:val="right"/>
              <w:rPr>
                <w:rFonts w:cstheme="minorHAnsi"/>
                <w:szCs w:val="24"/>
              </w:rPr>
            </w:pPr>
            <w:r w:rsidRPr="004B18B8">
              <w:rPr>
                <w:rFonts w:cstheme="minorHAnsi"/>
                <w:szCs w:val="24"/>
              </w:rPr>
              <w:t>1.59%</w:t>
            </w:r>
          </w:p>
        </w:tc>
        <w:tc>
          <w:tcPr>
            <w:tcW w:w="1390" w:type="dxa"/>
            <w:vAlign w:val="center"/>
          </w:tcPr>
          <w:p w14:paraId="60049157" w14:textId="77777777" w:rsidR="00234C54" w:rsidRPr="004B18B8" w:rsidRDefault="00234C54" w:rsidP="00234C54">
            <w:pPr>
              <w:jc w:val="right"/>
              <w:rPr>
                <w:rFonts w:cstheme="minorHAnsi"/>
                <w:szCs w:val="24"/>
              </w:rPr>
            </w:pPr>
            <w:r w:rsidRPr="004B18B8">
              <w:rPr>
                <w:rFonts w:cstheme="minorHAnsi"/>
                <w:szCs w:val="24"/>
              </w:rPr>
              <w:t>-1,389</w:t>
            </w:r>
            <w:r>
              <w:rPr>
                <w:rFonts w:cstheme="minorHAnsi"/>
                <w:szCs w:val="24"/>
              </w:rPr>
              <w:t>.1</w:t>
            </w:r>
          </w:p>
          <w:p w14:paraId="2A48A9D9" w14:textId="77777777" w:rsidR="00234C54" w:rsidRPr="004B18B8" w:rsidRDefault="00234C54" w:rsidP="00234C54">
            <w:pPr>
              <w:jc w:val="right"/>
              <w:rPr>
                <w:rFonts w:cstheme="minorHAnsi"/>
                <w:szCs w:val="24"/>
              </w:rPr>
            </w:pPr>
            <w:r w:rsidRPr="004B18B8">
              <w:rPr>
                <w:rFonts w:cstheme="minorHAnsi"/>
                <w:szCs w:val="24"/>
              </w:rPr>
              <w:t>-12.55%</w:t>
            </w:r>
          </w:p>
        </w:tc>
        <w:tc>
          <w:tcPr>
            <w:tcW w:w="1471" w:type="dxa"/>
            <w:vAlign w:val="center"/>
          </w:tcPr>
          <w:p w14:paraId="40A8AB3F" w14:textId="77777777" w:rsidR="00234C54" w:rsidRPr="004B18B8" w:rsidRDefault="00234C54" w:rsidP="00234C54">
            <w:pPr>
              <w:jc w:val="right"/>
              <w:rPr>
                <w:rFonts w:cstheme="minorHAnsi"/>
                <w:szCs w:val="24"/>
              </w:rPr>
            </w:pPr>
            <w:r w:rsidRPr="004B18B8">
              <w:rPr>
                <w:rFonts w:cstheme="minorHAnsi"/>
                <w:szCs w:val="24"/>
              </w:rPr>
              <w:t>75</w:t>
            </w:r>
            <w:r>
              <w:rPr>
                <w:rFonts w:cstheme="minorHAnsi"/>
                <w:szCs w:val="24"/>
              </w:rPr>
              <w:t>.1</w:t>
            </w:r>
          </w:p>
          <w:p w14:paraId="21BE5952" w14:textId="77777777" w:rsidR="00234C54" w:rsidRPr="004B18B8" w:rsidRDefault="00234C54" w:rsidP="00234C54">
            <w:pPr>
              <w:jc w:val="right"/>
              <w:rPr>
                <w:rFonts w:cstheme="minorHAnsi"/>
                <w:szCs w:val="24"/>
              </w:rPr>
            </w:pPr>
            <w:r w:rsidRPr="004B18B8">
              <w:rPr>
                <w:rFonts w:cstheme="minorHAnsi"/>
                <w:szCs w:val="24"/>
              </w:rPr>
              <w:t>1.84%</w:t>
            </w:r>
          </w:p>
        </w:tc>
        <w:tc>
          <w:tcPr>
            <w:tcW w:w="1697" w:type="dxa"/>
            <w:vAlign w:val="center"/>
          </w:tcPr>
          <w:p w14:paraId="1E755291" w14:textId="77777777" w:rsidR="00234C54" w:rsidRPr="004B18B8" w:rsidRDefault="00234C54" w:rsidP="00234C54">
            <w:pPr>
              <w:jc w:val="right"/>
              <w:rPr>
                <w:rFonts w:cstheme="minorHAnsi"/>
                <w:szCs w:val="24"/>
              </w:rPr>
            </w:pPr>
            <w:r w:rsidRPr="004B18B8">
              <w:rPr>
                <w:rFonts w:cstheme="minorHAnsi"/>
                <w:szCs w:val="24"/>
              </w:rPr>
              <w:t>1,080</w:t>
            </w:r>
            <w:r>
              <w:rPr>
                <w:rFonts w:cstheme="minorHAnsi"/>
                <w:szCs w:val="24"/>
              </w:rPr>
              <w:t>.0</w:t>
            </w:r>
          </w:p>
          <w:p w14:paraId="15ED4BDC" w14:textId="77777777" w:rsidR="00234C54" w:rsidRPr="004B18B8" w:rsidRDefault="00234C54" w:rsidP="00234C54">
            <w:pPr>
              <w:jc w:val="right"/>
              <w:rPr>
                <w:rFonts w:cstheme="minorHAnsi"/>
                <w:szCs w:val="24"/>
              </w:rPr>
            </w:pPr>
            <w:r w:rsidRPr="004B18B8">
              <w:rPr>
                <w:rFonts w:cstheme="minorHAnsi"/>
                <w:szCs w:val="24"/>
              </w:rPr>
              <w:t>0.72%</w:t>
            </w:r>
          </w:p>
        </w:tc>
        <w:tc>
          <w:tcPr>
            <w:tcW w:w="1330" w:type="dxa"/>
            <w:vAlign w:val="center"/>
          </w:tcPr>
          <w:p w14:paraId="4B83FFD4"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-104</w:t>
            </w:r>
            <w:r>
              <w:rPr>
                <w:rFonts w:asciiTheme="minorHAnsi" w:hAnsiTheme="minorHAnsi" w:cstheme="minorHAnsi"/>
              </w:rPr>
              <w:t>.0</w:t>
            </w:r>
          </w:p>
          <w:p w14:paraId="21FA37BE"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-0.06%</w:t>
            </w:r>
          </w:p>
        </w:tc>
      </w:tr>
      <w:tr w:rsidR="00234C54" w:rsidRPr="00836448" w14:paraId="353C71AE" w14:textId="77777777" w:rsidTr="00234C54">
        <w:tc>
          <w:tcPr>
            <w:tcW w:w="1428" w:type="dxa"/>
          </w:tcPr>
          <w:p w14:paraId="08341996" w14:textId="77777777" w:rsidR="00234C54" w:rsidRPr="00836448" w:rsidRDefault="00234C54" w:rsidP="00234C54">
            <w:pPr>
              <w:rPr>
                <w:szCs w:val="24"/>
              </w:rPr>
            </w:pPr>
            <w:r w:rsidRPr="00836448">
              <w:rPr>
                <w:szCs w:val="24"/>
              </w:rPr>
              <w:t>Best Case</w:t>
            </w:r>
          </w:p>
        </w:tc>
        <w:tc>
          <w:tcPr>
            <w:tcW w:w="1352" w:type="dxa"/>
            <w:vAlign w:val="center"/>
          </w:tcPr>
          <w:p w14:paraId="51C65181" w14:textId="77777777" w:rsidR="00234C54" w:rsidRPr="004B18B8" w:rsidRDefault="00234C54" w:rsidP="00234C54">
            <w:pPr>
              <w:jc w:val="right"/>
              <w:rPr>
                <w:rFonts w:cstheme="minorHAnsi"/>
                <w:szCs w:val="24"/>
              </w:rPr>
            </w:pPr>
            <w:r w:rsidRPr="004B18B8">
              <w:rPr>
                <w:rFonts w:cstheme="minorHAnsi"/>
                <w:szCs w:val="24"/>
              </w:rPr>
              <w:t>-117</w:t>
            </w:r>
            <w:r>
              <w:rPr>
                <w:rFonts w:cstheme="minorHAnsi"/>
                <w:szCs w:val="24"/>
              </w:rPr>
              <w:t>.5</w:t>
            </w:r>
          </w:p>
          <w:p w14:paraId="40319CAD" w14:textId="77777777" w:rsidR="00234C54" w:rsidRPr="004B18B8" w:rsidRDefault="00234C54" w:rsidP="00234C54">
            <w:pPr>
              <w:jc w:val="right"/>
              <w:rPr>
                <w:rFonts w:cstheme="minorHAnsi"/>
                <w:szCs w:val="24"/>
              </w:rPr>
            </w:pPr>
            <w:r w:rsidRPr="004B18B8">
              <w:rPr>
                <w:rFonts w:cstheme="minorHAnsi"/>
                <w:szCs w:val="24"/>
              </w:rPr>
              <w:t>-1.43%</w:t>
            </w:r>
          </w:p>
        </w:tc>
        <w:tc>
          <w:tcPr>
            <w:tcW w:w="1390" w:type="dxa"/>
            <w:vAlign w:val="center"/>
          </w:tcPr>
          <w:p w14:paraId="4A547862" w14:textId="77777777" w:rsidR="00234C54" w:rsidRPr="004B18B8" w:rsidRDefault="00234C54" w:rsidP="00234C54">
            <w:pPr>
              <w:jc w:val="right"/>
              <w:rPr>
                <w:rFonts w:cstheme="minorHAnsi"/>
                <w:szCs w:val="24"/>
              </w:rPr>
            </w:pPr>
            <w:r w:rsidRPr="004B18B8">
              <w:rPr>
                <w:rFonts w:cstheme="minorHAnsi"/>
                <w:szCs w:val="24"/>
              </w:rPr>
              <w:t>1,162</w:t>
            </w:r>
            <w:r>
              <w:rPr>
                <w:rFonts w:cstheme="minorHAnsi"/>
                <w:szCs w:val="24"/>
              </w:rPr>
              <w:t>.0</w:t>
            </w:r>
          </w:p>
          <w:p w14:paraId="259B11C8" w14:textId="77777777" w:rsidR="00234C54" w:rsidRPr="004B18B8" w:rsidRDefault="00234C54" w:rsidP="00234C54">
            <w:pPr>
              <w:jc w:val="right"/>
              <w:rPr>
                <w:rFonts w:cstheme="minorHAnsi"/>
                <w:szCs w:val="24"/>
              </w:rPr>
            </w:pPr>
            <w:r w:rsidRPr="004B18B8">
              <w:rPr>
                <w:rFonts w:cstheme="minorHAnsi"/>
                <w:szCs w:val="24"/>
              </w:rPr>
              <w:t>10.50%</w:t>
            </w:r>
          </w:p>
        </w:tc>
        <w:tc>
          <w:tcPr>
            <w:tcW w:w="1471" w:type="dxa"/>
            <w:vAlign w:val="center"/>
          </w:tcPr>
          <w:p w14:paraId="4905F8C0" w14:textId="77777777" w:rsidR="00234C54" w:rsidRPr="004B18B8" w:rsidRDefault="00234C54" w:rsidP="00234C54">
            <w:pPr>
              <w:jc w:val="right"/>
              <w:rPr>
                <w:rFonts w:cstheme="minorHAnsi"/>
                <w:szCs w:val="24"/>
              </w:rPr>
            </w:pPr>
            <w:r>
              <w:rPr>
                <w:rFonts w:cstheme="minorHAnsi"/>
                <w:szCs w:val="24"/>
              </w:rPr>
              <w:t>-65.8</w:t>
            </w:r>
          </w:p>
          <w:p w14:paraId="0524C874" w14:textId="77777777" w:rsidR="00234C54" w:rsidRPr="004B18B8" w:rsidRDefault="00234C54" w:rsidP="00234C54">
            <w:pPr>
              <w:jc w:val="right"/>
              <w:rPr>
                <w:rFonts w:cstheme="minorHAnsi"/>
                <w:szCs w:val="24"/>
              </w:rPr>
            </w:pPr>
            <w:r w:rsidRPr="004B18B8">
              <w:rPr>
                <w:rFonts w:cstheme="minorHAnsi"/>
                <w:szCs w:val="24"/>
              </w:rPr>
              <w:t>-1.62%</w:t>
            </w:r>
          </w:p>
        </w:tc>
        <w:tc>
          <w:tcPr>
            <w:tcW w:w="1697" w:type="dxa"/>
            <w:vAlign w:val="center"/>
          </w:tcPr>
          <w:p w14:paraId="6F2AB06D" w14:textId="77777777" w:rsidR="00234C54" w:rsidRPr="004B18B8" w:rsidRDefault="00234C54" w:rsidP="00234C54">
            <w:pPr>
              <w:jc w:val="right"/>
              <w:rPr>
                <w:rFonts w:cstheme="minorHAnsi"/>
                <w:szCs w:val="24"/>
              </w:rPr>
            </w:pPr>
            <w:r w:rsidRPr="004B18B8">
              <w:rPr>
                <w:rFonts w:cstheme="minorHAnsi"/>
                <w:szCs w:val="24"/>
              </w:rPr>
              <w:t>-890</w:t>
            </w:r>
            <w:r>
              <w:rPr>
                <w:rFonts w:cstheme="minorHAnsi"/>
                <w:szCs w:val="24"/>
              </w:rPr>
              <w:t>.0</w:t>
            </w:r>
          </w:p>
          <w:p w14:paraId="53BF3ED5" w14:textId="77777777" w:rsidR="00234C54" w:rsidRPr="004B18B8" w:rsidRDefault="00234C54" w:rsidP="00234C54">
            <w:pPr>
              <w:jc w:val="right"/>
              <w:rPr>
                <w:rFonts w:cstheme="minorHAnsi"/>
                <w:szCs w:val="24"/>
              </w:rPr>
            </w:pPr>
            <w:r w:rsidRPr="004B18B8">
              <w:rPr>
                <w:rFonts w:cstheme="minorHAnsi"/>
                <w:szCs w:val="24"/>
              </w:rPr>
              <w:t>-0.59%</w:t>
            </w:r>
          </w:p>
        </w:tc>
        <w:tc>
          <w:tcPr>
            <w:tcW w:w="1330" w:type="dxa"/>
            <w:vAlign w:val="center"/>
          </w:tcPr>
          <w:p w14:paraId="6ADA4752"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88.6</w:t>
            </w:r>
          </w:p>
          <w:p w14:paraId="52EEFBBD"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0.05%</w:t>
            </w:r>
          </w:p>
        </w:tc>
      </w:tr>
      <w:tr w:rsidR="00234C54" w:rsidRPr="00836448" w14:paraId="6C2D47B7" w14:textId="77777777" w:rsidTr="00234C54">
        <w:tc>
          <w:tcPr>
            <w:tcW w:w="1428" w:type="dxa"/>
          </w:tcPr>
          <w:p w14:paraId="6AE1E8E4" w14:textId="77777777" w:rsidR="00234C54" w:rsidRPr="00836448" w:rsidRDefault="00234C54" w:rsidP="00234C54">
            <w:pPr>
              <w:rPr>
                <w:szCs w:val="24"/>
              </w:rPr>
            </w:pPr>
            <w:r w:rsidRPr="00836448">
              <w:rPr>
                <w:szCs w:val="24"/>
              </w:rPr>
              <w:t>Quagga Mussel</w:t>
            </w:r>
          </w:p>
        </w:tc>
        <w:tc>
          <w:tcPr>
            <w:tcW w:w="1352" w:type="dxa"/>
            <w:vAlign w:val="center"/>
          </w:tcPr>
          <w:p w14:paraId="77B05402" w14:textId="77777777" w:rsidR="00234C54" w:rsidRPr="004B18B8" w:rsidRDefault="00234C54" w:rsidP="00234C54">
            <w:pPr>
              <w:jc w:val="right"/>
              <w:rPr>
                <w:rFonts w:cstheme="minorHAnsi"/>
                <w:szCs w:val="24"/>
              </w:rPr>
            </w:pPr>
          </w:p>
        </w:tc>
        <w:tc>
          <w:tcPr>
            <w:tcW w:w="1390" w:type="dxa"/>
            <w:vAlign w:val="center"/>
          </w:tcPr>
          <w:p w14:paraId="4293C132" w14:textId="77777777" w:rsidR="00234C54" w:rsidRPr="004B18B8" w:rsidRDefault="00234C54" w:rsidP="00234C54">
            <w:pPr>
              <w:jc w:val="right"/>
              <w:rPr>
                <w:rFonts w:cstheme="minorHAnsi"/>
                <w:szCs w:val="24"/>
              </w:rPr>
            </w:pPr>
          </w:p>
        </w:tc>
        <w:tc>
          <w:tcPr>
            <w:tcW w:w="1471" w:type="dxa"/>
            <w:vAlign w:val="center"/>
          </w:tcPr>
          <w:p w14:paraId="3967675E" w14:textId="77777777" w:rsidR="00234C54" w:rsidRPr="004B18B8" w:rsidRDefault="00234C54" w:rsidP="00234C54">
            <w:pPr>
              <w:jc w:val="right"/>
              <w:rPr>
                <w:rFonts w:cstheme="minorHAnsi"/>
                <w:szCs w:val="24"/>
              </w:rPr>
            </w:pPr>
          </w:p>
        </w:tc>
        <w:tc>
          <w:tcPr>
            <w:tcW w:w="1697" w:type="dxa"/>
            <w:vAlign w:val="center"/>
          </w:tcPr>
          <w:p w14:paraId="4EF55092" w14:textId="77777777" w:rsidR="00234C54" w:rsidRPr="004B18B8" w:rsidRDefault="00234C54" w:rsidP="00234C54">
            <w:pPr>
              <w:jc w:val="right"/>
              <w:rPr>
                <w:rFonts w:cstheme="minorHAnsi"/>
                <w:szCs w:val="24"/>
              </w:rPr>
            </w:pPr>
          </w:p>
        </w:tc>
        <w:tc>
          <w:tcPr>
            <w:tcW w:w="1330" w:type="dxa"/>
            <w:vAlign w:val="center"/>
          </w:tcPr>
          <w:p w14:paraId="3420DF8F" w14:textId="77777777" w:rsidR="00234C54" w:rsidRPr="004B18B8" w:rsidRDefault="00234C54" w:rsidP="00234C54">
            <w:pPr>
              <w:pStyle w:val="Default"/>
              <w:jc w:val="right"/>
              <w:rPr>
                <w:rFonts w:asciiTheme="minorHAnsi" w:hAnsiTheme="minorHAnsi" w:cstheme="minorHAnsi"/>
              </w:rPr>
            </w:pPr>
          </w:p>
        </w:tc>
      </w:tr>
      <w:tr w:rsidR="00234C54" w:rsidRPr="00836448" w14:paraId="5BEA1556" w14:textId="77777777" w:rsidTr="00234C54">
        <w:tc>
          <w:tcPr>
            <w:tcW w:w="1428" w:type="dxa"/>
          </w:tcPr>
          <w:p w14:paraId="20251E5C" w14:textId="77777777" w:rsidR="00234C54" w:rsidRPr="00836448" w:rsidRDefault="00234C54" w:rsidP="00234C54">
            <w:pPr>
              <w:rPr>
                <w:szCs w:val="24"/>
              </w:rPr>
            </w:pPr>
            <w:r w:rsidRPr="00836448">
              <w:rPr>
                <w:szCs w:val="24"/>
              </w:rPr>
              <w:t>Worst Case</w:t>
            </w:r>
          </w:p>
        </w:tc>
        <w:tc>
          <w:tcPr>
            <w:tcW w:w="1352" w:type="dxa"/>
            <w:vAlign w:val="center"/>
          </w:tcPr>
          <w:p w14:paraId="4B0A7208" w14:textId="77777777" w:rsidR="00234C54" w:rsidRPr="004B18B8" w:rsidRDefault="00234C54" w:rsidP="00234C54">
            <w:pPr>
              <w:jc w:val="right"/>
              <w:rPr>
                <w:rFonts w:cstheme="minorHAnsi"/>
                <w:szCs w:val="24"/>
              </w:rPr>
            </w:pPr>
            <w:r w:rsidRPr="004B18B8">
              <w:rPr>
                <w:rFonts w:cstheme="minorHAnsi"/>
                <w:szCs w:val="24"/>
              </w:rPr>
              <w:t>-5,225</w:t>
            </w:r>
            <w:r>
              <w:rPr>
                <w:rFonts w:cstheme="minorHAnsi"/>
                <w:szCs w:val="24"/>
              </w:rPr>
              <w:t>.2</w:t>
            </w:r>
          </w:p>
          <w:p w14:paraId="6AC5891A" w14:textId="77777777" w:rsidR="00234C54" w:rsidRPr="004B18B8" w:rsidRDefault="00234C54" w:rsidP="00234C54">
            <w:pPr>
              <w:jc w:val="right"/>
              <w:rPr>
                <w:rFonts w:cstheme="minorHAnsi"/>
                <w:szCs w:val="24"/>
              </w:rPr>
            </w:pPr>
            <w:r w:rsidRPr="004B18B8">
              <w:rPr>
                <w:rFonts w:cstheme="minorHAnsi"/>
                <w:szCs w:val="24"/>
              </w:rPr>
              <w:t>-63.78%</w:t>
            </w:r>
          </w:p>
        </w:tc>
        <w:tc>
          <w:tcPr>
            <w:tcW w:w="1390" w:type="dxa"/>
            <w:vAlign w:val="center"/>
          </w:tcPr>
          <w:p w14:paraId="37298F60" w14:textId="77777777" w:rsidR="00234C54" w:rsidRPr="004B18B8" w:rsidRDefault="00234C54" w:rsidP="00234C54">
            <w:pPr>
              <w:jc w:val="right"/>
              <w:rPr>
                <w:rFonts w:cstheme="minorHAnsi"/>
                <w:szCs w:val="24"/>
              </w:rPr>
            </w:pPr>
            <w:r w:rsidRPr="004B18B8">
              <w:rPr>
                <w:rFonts w:cstheme="minorHAnsi"/>
                <w:szCs w:val="24"/>
              </w:rPr>
              <w:t>562</w:t>
            </w:r>
            <w:r>
              <w:rPr>
                <w:rFonts w:cstheme="minorHAnsi"/>
                <w:szCs w:val="24"/>
              </w:rPr>
              <w:t>.3</w:t>
            </w:r>
          </w:p>
          <w:p w14:paraId="506E2320" w14:textId="77777777" w:rsidR="00234C54" w:rsidRPr="004B18B8" w:rsidRDefault="00234C54" w:rsidP="00234C54">
            <w:pPr>
              <w:jc w:val="right"/>
              <w:rPr>
                <w:rFonts w:cstheme="minorHAnsi"/>
                <w:szCs w:val="24"/>
              </w:rPr>
            </w:pPr>
            <w:r w:rsidRPr="004B18B8">
              <w:rPr>
                <w:rFonts w:cstheme="minorHAnsi"/>
                <w:szCs w:val="24"/>
              </w:rPr>
              <w:t>5.08%</w:t>
            </w:r>
          </w:p>
        </w:tc>
        <w:tc>
          <w:tcPr>
            <w:tcW w:w="1471" w:type="dxa"/>
            <w:vAlign w:val="center"/>
          </w:tcPr>
          <w:p w14:paraId="2C4666E1" w14:textId="77777777" w:rsidR="00234C54" w:rsidRPr="004B18B8" w:rsidRDefault="00234C54" w:rsidP="00234C54">
            <w:pPr>
              <w:jc w:val="right"/>
              <w:rPr>
                <w:rFonts w:cstheme="minorHAnsi"/>
                <w:szCs w:val="24"/>
              </w:rPr>
            </w:pPr>
            <w:r>
              <w:rPr>
                <w:rFonts w:cstheme="minorHAnsi"/>
                <w:szCs w:val="24"/>
              </w:rPr>
              <w:t>-325.8</w:t>
            </w:r>
          </w:p>
          <w:p w14:paraId="23E5A0EE" w14:textId="77777777" w:rsidR="00234C54" w:rsidRPr="004B18B8" w:rsidRDefault="00234C54" w:rsidP="00234C54">
            <w:pPr>
              <w:jc w:val="right"/>
              <w:rPr>
                <w:rFonts w:cstheme="minorHAnsi"/>
                <w:szCs w:val="24"/>
              </w:rPr>
            </w:pPr>
            <w:r w:rsidRPr="004B18B8">
              <w:rPr>
                <w:rFonts w:cstheme="minorHAnsi"/>
                <w:szCs w:val="24"/>
              </w:rPr>
              <w:t>-8.01%</w:t>
            </w:r>
          </w:p>
        </w:tc>
        <w:tc>
          <w:tcPr>
            <w:tcW w:w="1697" w:type="dxa"/>
            <w:vAlign w:val="center"/>
          </w:tcPr>
          <w:p w14:paraId="3B5B801C" w14:textId="77777777" w:rsidR="00234C54" w:rsidRPr="004B18B8" w:rsidRDefault="00234C54" w:rsidP="00234C54">
            <w:pPr>
              <w:jc w:val="right"/>
              <w:rPr>
                <w:rFonts w:cstheme="minorHAnsi"/>
                <w:szCs w:val="24"/>
              </w:rPr>
            </w:pPr>
            <w:r w:rsidRPr="004B18B8">
              <w:rPr>
                <w:rFonts w:cstheme="minorHAnsi"/>
                <w:szCs w:val="24"/>
              </w:rPr>
              <w:t>4,605</w:t>
            </w:r>
            <w:r>
              <w:rPr>
                <w:rFonts w:cstheme="minorHAnsi"/>
                <w:szCs w:val="24"/>
              </w:rPr>
              <w:t>.1</w:t>
            </w:r>
          </w:p>
          <w:p w14:paraId="404E8E1C" w14:textId="77777777" w:rsidR="00234C54" w:rsidRPr="004B18B8" w:rsidRDefault="00234C54" w:rsidP="00234C54">
            <w:pPr>
              <w:jc w:val="right"/>
              <w:rPr>
                <w:rFonts w:cstheme="minorHAnsi"/>
                <w:szCs w:val="24"/>
              </w:rPr>
            </w:pPr>
            <w:r w:rsidRPr="004B18B8">
              <w:rPr>
                <w:rFonts w:cstheme="minorHAnsi"/>
                <w:szCs w:val="24"/>
              </w:rPr>
              <w:t>3.05%</w:t>
            </w:r>
          </w:p>
        </w:tc>
        <w:tc>
          <w:tcPr>
            <w:tcW w:w="1330" w:type="dxa"/>
            <w:vAlign w:val="center"/>
          </w:tcPr>
          <w:p w14:paraId="20AE9D25" w14:textId="77777777" w:rsidR="00234C54" w:rsidRPr="004B18B8" w:rsidRDefault="00234C54" w:rsidP="00234C54">
            <w:pPr>
              <w:pStyle w:val="Default"/>
              <w:jc w:val="right"/>
              <w:rPr>
                <w:rFonts w:asciiTheme="minorHAnsi" w:hAnsiTheme="minorHAnsi" w:cstheme="minorHAnsi"/>
              </w:rPr>
            </w:pPr>
            <w:r>
              <w:rPr>
                <w:rFonts w:asciiTheme="minorHAnsi" w:hAnsiTheme="minorHAnsi" w:cstheme="minorHAnsi"/>
              </w:rPr>
              <w:t>-383.5</w:t>
            </w:r>
          </w:p>
          <w:p w14:paraId="65CF472A"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-0.22%</w:t>
            </w:r>
          </w:p>
        </w:tc>
      </w:tr>
      <w:tr w:rsidR="00234C54" w:rsidRPr="00836448" w14:paraId="3FB0BB56" w14:textId="77777777" w:rsidTr="00234C54">
        <w:tc>
          <w:tcPr>
            <w:tcW w:w="1428" w:type="dxa"/>
          </w:tcPr>
          <w:p w14:paraId="3E41607B" w14:textId="77777777" w:rsidR="00234C54" w:rsidRPr="00836448" w:rsidRDefault="00234C54" w:rsidP="00234C54">
            <w:pPr>
              <w:rPr>
                <w:szCs w:val="24"/>
              </w:rPr>
            </w:pPr>
            <w:r w:rsidRPr="00836448">
              <w:rPr>
                <w:szCs w:val="24"/>
              </w:rPr>
              <w:t>Best Case</w:t>
            </w:r>
          </w:p>
        </w:tc>
        <w:tc>
          <w:tcPr>
            <w:tcW w:w="1352" w:type="dxa"/>
            <w:vAlign w:val="center"/>
          </w:tcPr>
          <w:p w14:paraId="6D1F1929"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5D1528DD" w14:textId="77777777" w:rsidR="00234C54" w:rsidRPr="004B18B8" w:rsidRDefault="00234C54" w:rsidP="00234C54">
            <w:pPr>
              <w:jc w:val="right"/>
              <w:rPr>
                <w:rFonts w:cstheme="minorHAnsi"/>
                <w:szCs w:val="24"/>
              </w:rPr>
            </w:pPr>
            <w:r w:rsidRPr="004B18B8">
              <w:rPr>
                <w:rFonts w:cstheme="minorHAnsi"/>
                <w:szCs w:val="24"/>
              </w:rPr>
              <w:t>0.0%</w:t>
            </w:r>
          </w:p>
        </w:tc>
        <w:tc>
          <w:tcPr>
            <w:tcW w:w="1390" w:type="dxa"/>
            <w:vAlign w:val="center"/>
          </w:tcPr>
          <w:p w14:paraId="0FCD8094"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59CA5C85" w14:textId="77777777" w:rsidR="00234C54" w:rsidRPr="004B18B8" w:rsidRDefault="00234C54" w:rsidP="00234C54">
            <w:pPr>
              <w:jc w:val="right"/>
              <w:rPr>
                <w:rFonts w:cstheme="minorHAnsi"/>
                <w:szCs w:val="24"/>
              </w:rPr>
            </w:pPr>
            <w:r w:rsidRPr="004B18B8">
              <w:rPr>
                <w:rFonts w:cstheme="minorHAnsi"/>
                <w:szCs w:val="24"/>
              </w:rPr>
              <w:t>0.0%</w:t>
            </w:r>
          </w:p>
        </w:tc>
        <w:tc>
          <w:tcPr>
            <w:tcW w:w="1471" w:type="dxa"/>
            <w:vAlign w:val="center"/>
          </w:tcPr>
          <w:p w14:paraId="434C4158"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5F739D71" w14:textId="77777777" w:rsidR="00234C54" w:rsidRPr="004B18B8" w:rsidRDefault="00234C54" w:rsidP="00234C54">
            <w:pPr>
              <w:jc w:val="right"/>
              <w:rPr>
                <w:rFonts w:cstheme="minorHAnsi"/>
                <w:szCs w:val="24"/>
              </w:rPr>
            </w:pPr>
            <w:r w:rsidRPr="004B18B8">
              <w:rPr>
                <w:rFonts w:cstheme="minorHAnsi"/>
                <w:szCs w:val="24"/>
              </w:rPr>
              <w:t>0.0%</w:t>
            </w:r>
          </w:p>
        </w:tc>
        <w:tc>
          <w:tcPr>
            <w:tcW w:w="1697" w:type="dxa"/>
            <w:vAlign w:val="center"/>
          </w:tcPr>
          <w:p w14:paraId="716BD509"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50D8A411" w14:textId="77777777" w:rsidR="00234C54" w:rsidRPr="004B18B8" w:rsidRDefault="00234C54" w:rsidP="00234C54">
            <w:pPr>
              <w:jc w:val="right"/>
              <w:rPr>
                <w:rFonts w:cstheme="minorHAnsi"/>
                <w:szCs w:val="24"/>
              </w:rPr>
            </w:pPr>
            <w:r w:rsidRPr="004B18B8">
              <w:rPr>
                <w:rFonts w:cstheme="minorHAnsi"/>
                <w:szCs w:val="24"/>
              </w:rPr>
              <w:t>0.0%</w:t>
            </w:r>
          </w:p>
        </w:tc>
        <w:tc>
          <w:tcPr>
            <w:tcW w:w="1330" w:type="dxa"/>
            <w:vAlign w:val="center"/>
          </w:tcPr>
          <w:p w14:paraId="221B0C4D" w14:textId="77777777" w:rsidR="00234C54" w:rsidRPr="004B18B8" w:rsidRDefault="00234C54" w:rsidP="00234C54">
            <w:pPr>
              <w:jc w:val="right"/>
              <w:rPr>
                <w:rFonts w:cstheme="minorHAnsi"/>
                <w:szCs w:val="24"/>
              </w:rPr>
            </w:pPr>
            <w:r w:rsidRPr="004B18B8">
              <w:rPr>
                <w:rFonts w:cstheme="minorHAnsi"/>
                <w:szCs w:val="24"/>
              </w:rPr>
              <w:t>0</w:t>
            </w:r>
            <w:r>
              <w:rPr>
                <w:rFonts w:cstheme="minorHAnsi"/>
                <w:szCs w:val="24"/>
              </w:rPr>
              <w:t>.0</w:t>
            </w:r>
          </w:p>
          <w:p w14:paraId="02B39D93" w14:textId="77777777" w:rsidR="00234C54" w:rsidRPr="004B18B8" w:rsidRDefault="00234C54" w:rsidP="00234C54">
            <w:pPr>
              <w:pStyle w:val="Default"/>
              <w:jc w:val="right"/>
              <w:rPr>
                <w:rFonts w:asciiTheme="minorHAnsi" w:hAnsiTheme="minorHAnsi" w:cstheme="minorHAnsi"/>
              </w:rPr>
            </w:pPr>
            <w:r w:rsidRPr="004B18B8">
              <w:rPr>
                <w:rFonts w:asciiTheme="minorHAnsi" w:hAnsiTheme="minorHAnsi" w:cstheme="minorHAnsi"/>
              </w:rPr>
              <w:t>0.0%</w:t>
            </w:r>
          </w:p>
        </w:tc>
      </w:tr>
    </w:tbl>
    <w:p w14:paraId="7A0FAF27" w14:textId="77777777" w:rsidR="00234C54" w:rsidRDefault="00234C54" w:rsidP="00234C54"/>
    <w:p w14:paraId="1A89C08F" w14:textId="77777777" w:rsidR="00234C54" w:rsidRPr="00915F0B" w:rsidRDefault="00234C54" w:rsidP="00234C54"/>
    <w:p w14:paraId="31ACE8D8" w14:textId="77777777" w:rsidR="00234C54" w:rsidRDefault="00234C54" w:rsidP="00234C54">
      <w:pPr>
        <w:sectPr w:rsidR="00234C54" w:rsidSect="004B0443">
          <w:pgSz w:w="12240" w:h="15840"/>
          <w:pgMar w:top="1440" w:right="1440" w:bottom="1440" w:left="1440" w:header="720" w:footer="720" w:gutter="0"/>
          <w:lnNumType w:countBy="1" w:restart="continuous"/>
          <w:cols w:space="720"/>
          <w:docGrid w:linePitch="360"/>
        </w:sectPr>
      </w:pPr>
    </w:p>
    <w:p w14:paraId="6F8CF7A1" w14:textId="5EDD57E9" w:rsidR="00234C54" w:rsidRDefault="00234C54" w:rsidP="00234C54">
      <w:r>
        <w:lastRenderedPageBreak/>
        <w:t xml:space="preserve">Table 4. Effects of </w:t>
      </w:r>
      <w:r w:rsidR="00FA4CF7">
        <w:t>n</w:t>
      </w:r>
      <w:r>
        <w:t xml:space="preserve">orthern </w:t>
      </w:r>
      <w:r w:rsidR="00FA4CF7">
        <w:t>s</w:t>
      </w:r>
      <w:r>
        <w:t>nakehead on annual recreational fishing participation (1000s of days) and consumer surplus (CS) ($1000s) under the worst-case and best-case scenarios.</w:t>
      </w:r>
    </w:p>
    <w:tbl>
      <w:tblPr>
        <w:tblStyle w:val="TableGrid"/>
        <w:tblW w:w="131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9"/>
        <w:gridCol w:w="1354"/>
        <w:gridCol w:w="1374"/>
        <w:gridCol w:w="1364"/>
        <w:gridCol w:w="1751"/>
        <w:gridCol w:w="1358"/>
        <w:gridCol w:w="1362"/>
        <w:gridCol w:w="1363"/>
        <w:gridCol w:w="1720"/>
      </w:tblGrid>
      <w:tr w:rsidR="00234C54" w14:paraId="7DCB5512" w14:textId="77777777" w:rsidTr="00234C54">
        <w:tc>
          <w:tcPr>
            <w:tcW w:w="1489" w:type="dxa"/>
            <w:vMerge w:val="restart"/>
            <w:tcBorders>
              <w:top w:val="single" w:sz="4" w:space="0" w:color="auto"/>
              <w:bottom w:val="nil"/>
            </w:tcBorders>
            <w:vAlign w:val="bottom"/>
          </w:tcPr>
          <w:p w14:paraId="0E04CECE" w14:textId="77777777" w:rsidR="00234C54" w:rsidRDefault="00234C54" w:rsidP="00234C54">
            <w:r>
              <w:t>State of Residence</w:t>
            </w:r>
          </w:p>
        </w:tc>
        <w:tc>
          <w:tcPr>
            <w:tcW w:w="5843" w:type="dxa"/>
            <w:gridSpan w:val="4"/>
            <w:tcBorders>
              <w:top w:val="single" w:sz="4" w:space="0" w:color="auto"/>
              <w:bottom w:val="nil"/>
            </w:tcBorders>
            <w:vAlign w:val="bottom"/>
          </w:tcPr>
          <w:p w14:paraId="697E7D4A" w14:textId="7210B121" w:rsidR="00234C54" w:rsidRDefault="00DD57A7" w:rsidP="00234C54">
            <w:pPr>
              <w:jc w:val="center"/>
            </w:pPr>
            <w:r>
              <w:t>Worst-case</w:t>
            </w:r>
            <w:r w:rsidR="00234C54">
              <w:t xml:space="preserve"> Scenario </w:t>
            </w:r>
          </w:p>
        </w:tc>
        <w:tc>
          <w:tcPr>
            <w:tcW w:w="5803" w:type="dxa"/>
            <w:gridSpan w:val="4"/>
            <w:tcBorders>
              <w:top w:val="single" w:sz="4" w:space="0" w:color="auto"/>
              <w:bottom w:val="nil"/>
            </w:tcBorders>
            <w:vAlign w:val="bottom"/>
          </w:tcPr>
          <w:p w14:paraId="34997286" w14:textId="57ACABF4" w:rsidR="00234C54" w:rsidRDefault="00DD57A7" w:rsidP="00234C54">
            <w:pPr>
              <w:jc w:val="center"/>
            </w:pPr>
            <w:r>
              <w:t>Best-case</w:t>
            </w:r>
            <w:r w:rsidR="00234C54">
              <w:t xml:space="preserve"> Scenario</w:t>
            </w:r>
          </w:p>
        </w:tc>
      </w:tr>
      <w:tr w:rsidR="00234C54" w14:paraId="4454FD8F" w14:textId="77777777" w:rsidTr="00234C54">
        <w:tc>
          <w:tcPr>
            <w:tcW w:w="1489" w:type="dxa"/>
            <w:vMerge/>
            <w:tcBorders>
              <w:top w:val="nil"/>
              <w:bottom w:val="single" w:sz="4" w:space="0" w:color="auto"/>
            </w:tcBorders>
          </w:tcPr>
          <w:p w14:paraId="7C8B7DEF" w14:textId="77777777" w:rsidR="00234C54" w:rsidRDefault="00234C54" w:rsidP="00234C54"/>
        </w:tc>
        <w:tc>
          <w:tcPr>
            <w:tcW w:w="1354" w:type="dxa"/>
            <w:tcBorders>
              <w:top w:val="nil"/>
              <w:bottom w:val="single" w:sz="4" w:space="0" w:color="auto"/>
            </w:tcBorders>
            <w:vAlign w:val="bottom"/>
          </w:tcPr>
          <w:p w14:paraId="0E6B3755" w14:textId="77777777" w:rsidR="00234C54" w:rsidRDefault="00234C54" w:rsidP="00234C54">
            <w:r>
              <w:t>Percent Change Fishing Days</w:t>
            </w:r>
          </w:p>
        </w:tc>
        <w:tc>
          <w:tcPr>
            <w:tcW w:w="1374" w:type="dxa"/>
            <w:tcBorders>
              <w:top w:val="nil"/>
              <w:bottom w:val="single" w:sz="4" w:space="0" w:color="auto"/>
            </w:tcBorders>
            <w:vAlign w:val="bottom"/>
          </w:tcPr>
          <w:p w14:paraId="423674F2" w14:textId="77777777" w:rsidR="00234C54" w:rsidRDefault="00234C54" w:rsidP="00234C54">
            <w:r>
              <w:t>Change in Total Fishing Days (1000s)</w:t>
            </w:r>
          </w:p>
        </w:tc>
        <w:tc>
          <w:tcPr>
            <w:tcW w:w="1364" w:type="dxa"/>
            <w:tcBorders>
              <w:top w:val="nil"/>
              <w:bottom w:val="single" w:sz="4" w:space="0" w:color="auto"/>
            </w:tcBorders>
            <w:vAlign w:val="bottom"/>
          </w:tcPr>
          <w:p w14:paraId="3E31432D" w14:textId="77777777" w:rsidR="00234C54" w:rsidRDefault="00234C54" w:rsidP="00234C54">
            <w:r>
              <w:t>Average CS Change per Angler ($)</w:t>
            </w:r>
          </w:p>
        </w:tc>
        <w:tc>
          <w:tcPr>
            <w:tcW w:w="1751" w:type="dxa"/>
            <w:tcBorders>
              <w:top w:val="nil"/>
              <w:bottom w:val="single" w:sz="4" w:space="0" w:color="auto"/>
            </w:tcBorders>
            <w:vAlign w:val="bottom"/>
          </w:tcPr>
          <w:p w14:paraId="02EAF855" w14:textId="77777777" w:rsidR="00234C54" w:rsidRDefault="00234C54" w:rsidP="00234C54">
            <w:r>
              <w:t>Total CS Change</w:t>
            </w:r>
          </w:p>
          <w:p w14:paraId="0B458656" w14:textId="77777777" w:rsidR="00234C54" w:rsidRDefault="00234C54" w:rsidP="00234C54">
            <w:r>
              <w:t>($1000s)</w:t>
            </w:r>
          </w:p>
        </w:tc>
        <w:tc>
          <w:tcPr>
            <w:tcW w:w="1358" w:type="dxa"/>
            <w:tcBorders>
              <w:top w:val="nil"/>
              <w:bottom w:val="single" w:sz="4" w:space="0" w:color="auto"/>
            </w:tcBorders>
            <w:vAlign w:val="bottom"/>
          </w:tcPr>
          <w:p w14:paraId="053F403A" w14:textId="77777777" w:rsidR="00234C54" w:rsidRDefault="00234C54" w:rsidP="00234C54">
            <w:r>
              <w:t>Percent Change Fishing Days</w:t>
            </w:r>
          </w:p>
        </w:tc>
        <w:tc>
          <w:tcPr>
            <w:tcW w:w="1362" w:type="dxa"/>
            <w:tcBorders>
              <w:top w:val="nil"/>
              <w:bottom w:val="single" w:sz="4" w:space="0" w:color="auto"/>
            </w:tcBorders>
            <w:vAlign w:val="bottom"/>
          </w:tcPr>
          <w:p w14:paraId="668FB744" w14:textId="77777777" w:rsidR="00234C54" w:rsidRDefault="00234C54" w:rsidP="00234C54">
            <w:r>
              <w:t>Change in Total Fishing Days (1000s)</w:t>
            </w:r>
          </w:p>
        </w:tc>
        <w:tc>
          <w:tcPr>
            <w:tcW w:w="1363" w:type="dxa"/>
            <w:tcBorders>
              <w:top w:val="nil"/>
              <w:bottom w:val="single" w:sz="4" w:space="0" w:color="auto"/>
            </w:tcBorders>
            <w:vAlign w:val="bottom"/>
          </w:tcPr>
          <w:p w14:paraId="3276A438" w14:textId="77777777" w:rsidR="00234C54" w:rsidRDefault="00234C54" w:rsidP="00234C54">
            <w:r>
              <w:t>Average CS Change per Angler ($)</w:t>
            </w:r>
          </w:p>
        </w:tc>
        <w:tc>
          <w:tcPr>
            <w:tcW w:w="1720" w:type="dxa"/>
            <w:tcBorders>
              <w:top w:val="nil"/>
              <w:bottom w:val="single" w:sz="4" w:space="0" w:color="auto"/>
            </w:tcBorders>
            <w:vAlign w:val="bottom"/>
          </w:tcPr>
          <w:p w14:paraId="0C86B63D" w14:textId="77777777" w:rsidR="00234C54" w:rsidRDefault="00234C54" w:rsidP="00234C54">
            <w:r>
              <w:t>Total CS Change</w:t>
            </w:r>
          </w:p>
          <w:p w14:paraId="2709F6FD" w14:textId="77777777" w:rsidR="00234C54" w:rsidRDefault="00234C54" w:rsidP="00234C54">
            <w:r>
              <w:t>($1000s)</w:t>
            </w:r>
          </w:p>
        </w:tc>
      </w:tr>
      <w:tr w:rsidR="00234C54" w:rsidRPr="00727FA1" w14:paraId="06B674A0" w14:textId="77777777" w:rsidTr="00234C54">
        <w:tc>
          <w:tcPr>
            <w:tcW w:w="1489" w:type="dxa"/>
            <w:tcBorders>
              <w:top w:val="single" w:sz="4" w:space="0" w:color="auto"/>
            </w:tcBorders>
          </w:tcPr>
          <w:p w14:paraId="0B9032E4" w14:textId="77777777" w:rsidR="00234C54" w:rsidRPr="00727FA1" w:rsidRDefault="00234C54" w:rsidP="00234C54">
            <w:r w:rsidRPr="00727FA1">
              <w:t>Illinois</w:t>
            </w:r>
          </w:p>
        </w:tc>
        <w:tc>
          <w:tcPr>
            <w:tcW w:w="1354" w:type="dxa"/>
            <w:tcBorders>
              <w:top w:val="single" w:sz="4" w:space="0" w:color="auto"/>
            </w:tcBorders>
            <w:vAlign w:val="center"/>
          </w:tcPr>
          <w:p w14:paraId="35FD036F"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-0.10% </w:t>
            </w:r>
          </w:p>
        </w:tc>
        <w:tc>
          <w:tcPr>
            <w:tcW w:w="1374" w:type="dxa"/>
            <w:tcBorders>
              <w:top w:val="single" w:sz="4" w:space="0" w:color="auto"/>
            </w:tcBorders>
            <w:vAlign w:val="center"/>
          </w:tcPr>
          <w:p w14:paraId="4679926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-22</w:t>
            </w:r>
            <w:r>
              <w:rPr>
                <w:rFonts w:asciiTheme="minorHAnsi" w:hAnsiTheme="minorHAnsi" w:cstheme="minorHAnsi"/>
              </w:rPr>
              <w:t>.9</w:t>
            </w:r>
            <w:r w:rsidRPr="000D2EFF">
              <w:rPr>
                <w:rFonts w:asciiTheme="minorHAnsi" w:hAnsiTheme="minorHAnsi" w:cstheme="minorHAnsi"/>
              </w:rPr>
              <w:t xml:space="preserve"> </w:t>
            </w:r>
          </w:p>
        </w:tc>
        <w:tc>
          <w:tcPr>
            <w:tcW w:w="1364" w:type="dxa"/>
            <w:tcBorders>
              <w:top w:val="single" w:sz="4" w:space="0" w:color="auto"/>
            </w:tcBorders>
            <w:vAlign w:val="center"/>
          </w:tcPr>
          <w:p w14:paraId="40F2C539"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-$12.86 </w:t>
            </w:r>
          </w:p>
        </w:tc>
        <w:tc>
          <w:tcPr>
            <w:tcW w:w="1751" w:type="dxa"/>
            <w:tcBorders>
              <w:top w:val="single" w:sz="4" w:space="0" w:color="auto"/>
            </w:tcBorders>
            <w:vAlign w:val="center"/>
          </w:tcPr>
          <w:p w14:paraId="3C84F7F2"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-$7,79</w:t>
            </w:r>
            <w:r>
              <w:rPr>
                <w:rFonts w:asciiTheme="minorHAnsi" w:hAnsiTheme="minorHAnsi" w:cstheme="minorHAnsi"/>
              </w:rPr>
              <w:t>2</w:t>
            </w:r>
            <w:r w:rsidRPr="000D2EFF">
              <w:rPr>
                <w:rFonts w:asciiTheme="minorHAnsi" w:hAnsiTheme="minorHAnsi" w:cstheme="minorHAnsi"/>
              </w:rPr>
              <w:t xml:space="preserve"> </w:t>
            </w:r>
          </w:p>
        </w:tc>
        <w:tc>
          <w:tcPr>
            <w:tcW w:w="1358" w:type="dxa"/>
            <w:tcBorders>
              <w:top w:val="single" w:sz="4" w:space="0" w:color="auto"/>
            </w:tcBorders>
            <w:vAlign w:val="center"/>
          </w:tcPr>
          <w:p w14:paraId="5428C964"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Borders>
              <w:top w:val="single" w:sz="4" w:space="0" w:color="auto"/>
            </w:tcBorders>
            <w:vAlign w:val="center"/>
          </w:tcPr>
          <w:p w14:paraId="3BC2F04C"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r>
              <w:rPr>
                <w:rFonts w:asciiTheme="minorHAnsi" w:hAnsiTheme="minorHAnsi" w:cstheme="minorHAnsi"/>
              </w:rPr>
              <w:t>.0</w:t>
            </w:r>
          </w:p>
        </w:tc>
        <w:tc>
          <w:tcPr>
            <w:tcW w:w="1363" w:type="dxa"/>
            <w:tcBorders>
              <w:top w:val="single" w:sz="4" w:space="0" w:color="auto"/>
            </w:tcBorders>
            <w:vAlign w:val="center"/>
          </w:tcPr>
          <w:p w14:paraId="40896DD3"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tcBorders>
              <w:top w:val="single" w:sz="4" w:space="0" w:color="auto"/>
            </w:tcBorders>
            <w:vAlign w:val="center"/>
          </w:tcPr>
          <w:p w14:paraId="734705CD"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63E573F4" w14:textId="77777777" w:rsidTr="00234C54">
        <w:tc>
          <w:tcPr>
            <w:tcW w:w="1489" w:type="dxa"/>
          </w:tcPr>
          <w:p w14:paraId="20A4C803" w14:textId="77777777" w:rsidR="00234C54" w:rsidRPr="00727FA1" w:rsidRDefault="00234C54" w:rsidP="00234C54">
            <w:r w:rsidRPr="00727FA1">
              <w:t>Indiana</w:t>
            </w:r>
          </w:p>
        </w:tc>
        <w:tc>
          <w:tcPr>
            <w:tcW w:w="1354" w:type="dxa"/>
            <w:vAlign w:val="center"/>
          </w:tcPr>
          <w:p w14:paraId="6C99E32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-0.04% </w:t>
            </w:r>
          </w:p>
        </w:tc>
        <w:tc>
          <w:tcPr>
            <w:tcW w:w="1374" w:type="dxa"/>
            <w:vAlign w:val="center"/>
          </w:tcPr>
          <w:p w14:paraId="66ACDEC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-5</w:t>
            </w:r>
            <w:r>
              <w:rPr>
                <w:rFonts w:asciiTheme="minorHAnsi" w:hAnsiTheme="minorHAnsi" w:cstheme="minorHAnsi"/>
              </w:rPr>
              <w:t>.2</w:t>
            </w:r>
            <w:r w:rsidRPr="000D2EFF">
              <w:rPr>
                <w:rFonts w:asciiTheme="minorHAnsi" w:hAnsiTheme="minorHAnsi" w:cstheme="minorHAnsi"/>
              </w:rPr>
              <w:t xml:space="preserve"> </w:t>
            </w:r>
          </w:p>
        </w:tc>
        <w:tc>
          <w:tcPr>
            <w:tcW w:w="1364" w:type="dxa"/>
            <w:vAlign w:val="center"/>
          </w:tcPr>
          <w:p w14:paraId="10EB89B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-$5.33 </w:t>
            </w:r>
          </w:p>
        </w:tc>
        <w:tc>
          <w:tcPr>
            <w:tcW w:w="1751" w:type="dxa"/>
            <w:vAlign w:val="center"/>
          </w:tcPr>
          <w:p w14:paraId="370F9411"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-$1,77</w:t>
            </w:r>
            <w:r>
              <w:rPr>
                <w:rFonts w:asciiTheme="minorHAnsi" w:hAnsiTheme="minorHAnsi" w:cstheme="minorHAnsi"/>
              </w:rPr>
              <w:t>1</w:t>
            </w:r>
          </w:p>
        </w:tc>
        <w:tc>
          <w:tcPr>
            <w:tcW w:w="1358" w:type="dxa"/>
            <w:vAlign w:val="center"/>
          </w:tcPr>
          <w:p w14:paraId="6BB00E70"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5C26DCB7"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59EE4666"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250FA2CE"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7FA68B59" w14:textId="77777777" w:rsidTr="00234C54">
        <w:tc>
          <w:tcPr>
            <w:tcW w:w="1489" w:type="dxa"/>
          </w:tcPr>
          <w:p w14:paraId="749E3D8A" w14:textId="77777777" w:rsidR="00234C54" w:rsidRPr="00727FA1" w:rsidRDefault="00234C54" w:rsidP="00234C54">
            <w:r w:rsidRPr="00727FA1">
              <w:t>Michigan</w:t>
            </w:r>
          </w:p>
        </w:tc>
        <w:tc>
          <w:tcPr>
            <w:tcW w:w="1354" w:type="dxa"/>
            <w:vAlign w:val="center"/>
          </w:tcPr>
          <w:p w14:paraId="75ABD88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-0.20% </w:t>
            </w:r>
          </w:p>
        </w:tc>
        <w:tc>
          <w:tcPr>
            <w:tcW w:w="1374" w:type="dxa"/>
            <w:vAlign w:val="center"/>
          </w:tcPr>
          <w:p w14:paraId="5C9ECDE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-54</w:t>
            </w:r>
            <w:r>
              <w:rPr>
                <w:rFonts w:asciiTheme="minorHAnsi" w:hAnsiTheme="minorHAnsi" w:cstheme="minorHAnsi"/>
              </w:rPr>
              <w:t>.8</w:t>
            </w:r>
            <w:r w:rsidRPr="000D2EFF">
              <w:rPr>
                <w:rFonts w:asciiTheme="minorHAnsi" w:hAnsiTheme="minorHAnsi" w:cstheme="minorHAnsi"/>
              </w:rPr>
              <w:t xml:space="preserve"> </w:t>
            </w:r>
          </w:p>
        </w:tc>
        <w:tc>
          <w:tcPr>
            <w:tcW w:w="1364" w:type="dxa"/>
            <w:vAlign w:val="center"/>
          </w:tcPr>
          <w:p w14:paraId="534E9B9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-$23.23 </w:t>
            </w:r>
          </w:p>
        </w:tc>
        <w:tc>
          <w:tcPr>
            <w:tcW w:w="1751" w:type="dxa"/>
            <w:vAlign w:val="center"/>
          </w:tcPr>
          <w:p w14:paraId="09B3ED4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-$18,72</w:t>
            </w:r>
            <w:r>
              <w:rPr>
                <w:rFonts w:asciiTheme="minorHAnsi" w:hAnsiTheme="minorHAnsi" w:cstheme="minorHAnsi"/>
              </w:rPr>
              <w:t>2</w:t>
            </w:r>
          </w:p>
        </w:tc>
        <w:tc>
          <w:tcPr>
            <w:tcW w:w="1358" w:type="dxa"/>
            <w:vAlign w:val="center"/>
          </w:tcPr>
          <w:p w14:paraId="56A2E5E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425ACDB2"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30920C64"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6DF2334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6B2CCA98" w14:textId="77777777" w:rsidTr="00234C54">
        <w:tc>
          <w:tcPr>
            <w:tcW w:w="1489" w:type="dxa"/>
          </w:tcPr>
          <w:p w14:paraId="333CE412" w14:textId="77777777" w:rsidR="00234C54" w:rsidRPr="00727FA1" w:rsidRDefault="00234C54" w:rsidP="00234C54">
            <w:r w:rsidRPr="00727FA1">
              <w:t>Minnesota</w:t>
            </w:r>
          </w:p>
        </w:tc>
        <w:tc>
          <w:tcPr>
            <w:tcW w:w="1354" w:type="dxa"/>
            <w:vAlign w:val="center"/>
          </w:tcPr>
          <w:p w14:paraId="4206616D"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-0.01% </w:t>
            </w:r>
          </w:p>
        </w:tc>
        <w:tc>
          <w:tcPr>
            <w:tcW w:w="1374" w:type="dxa"/>
            <w:vAlign w:val="center"/>
          </w:tcPr>
          <w:p w14:paraId="09D4791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-2</w:t>
            </w:r>
            <w:r>
              <w:rPr>
                <w:rFonts w:asciiTheme="minorHAnsi" w:hAnsiTheme="minorHAnsi" w:cstheme="minorHAnsi"/>
              </w:rPr>
              <w:t>.7</w:t>
            </w:r>
            <w:r w:rsidRPr="000D2EFF">
              <w:rPr>
                <w:rFonts w:asciiTheme="minorHAnsi" w:hAnsiTheme="minorHAnsi" w:cstheme="minorHAnsi"/>
              </w:rPr>
              <w:t xml:space="preserve"> </w:t>
            </w:r>
          </w:p>
        </w:tc>
        <w:tc>
          <w:tcPr>
            <w:tcW w:w="1364" w:type="dxa"/>
            <w:vAlign w:val="center"/>
          </w:tcPr>
          <w:p w14:paraId="3736A081"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-$0.90 </w:t>
            </w:r>
          </w:p>
        </w:tc>
        <w:tc>
          <w:tcPr>
            <w:tcW w:w="1751" w:type="dxa"/>
            <w:vAlign w:val="center"/>
          </w:tcPr>
          <w:p w14:paraId="45B84855"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-$9</w:t>
            </w:r>
            <w:r>
              <w:rPr>
                <w:rFonts w:asciiTheme="minorHAnsi" w:hAnsiTheme="minorHAnsi" w:cstheme="minorHAnsi"/>
              </w:rPr>
              <w:t>20</w:t>
            </w:r>
          </w:p>
        </w:tc>
        <w:tc>
          <w:tcPr>
            <w:tcW w:w="1358" w:type="dxa"/>
            <w:vAlign w:val="center"/>
          </w:tcPr>
          <w:p w14:paraId="49BBCC0E"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4490137F"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6648C3E1"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108F794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2658427E" w14:textId="77777777" w:rsidTr="00234C54">
        <w:tc>
          <w:tcPr>
            <w:tcW w:w="1489" w:type="dxa"/>
          </w:tcPr>
          <w:p w14:paraId="30652AB2" w14:textId="77777777" w:rsidR="00234C54" w:rsidRPr="00727FA1" w:rsidRDefault="00234C54" w:rsidP="00234C54">
            <w:r w:rsidRPr="00727FA1">
              <w:t>New York</w:t>
            </w:r>
          </w:p>
        </w:tc>
        <w:tc>
          <w:tcPr>
            <w:tcW w:w="1354" w:type="dxa"/>
            <w:vAlign w:val="center"/>
          </w:tcPr>
          <w:p w14:paraId="3423C3B5"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-0.04% </w:t>
            </w:r>
          </w:p>
        </w:tc>
        <w:tc>
          <w:tcPr>
            <w:tcW w:w="1374" w:type="dxa"/>
            <w:vAlign w:val="center"/>
          </w:tcPr>
          <w:p w14:paraId="5B17D6D0"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-7</w:t>
            </w:r>
            <w:r>
              <w:rPr>
                <w:rFonts w:asciiTheme="minorHAnsi" w:hAnsiTheme="minorHAnsi" w:cstheme="minorHAnsi"/>
              </w:rPr>
              <w:t>.1</w:t>
            </w:r>
            <w:r w:rsidRPr="000D2EFF">
              <w:rPr>
                <w:rFonts w:asciiTheme="minorHAnsi" w:hAnsiTheme="minorHAnsi" w:cstheme="minorHAnsi"/>
              </w:rPr>
              <w:t xml:space="preserve"> </w:t>
            </w:r>
          </w:p>
        </w:tc>
        <w:tc>
          <w:tcPr>
            <w:tcW w:w="1364" w:type="dxa"/>
            <w:vAlign w:val="center"/>
          </w:tcPr>
          <w:p w14:paraId="3C98BE2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-$4.13 </w:t>
            </w:r>
          </w:p>
        </w:tc>
        <w:tc>
          <w:tcPr>
            <w:tcW w:w="1751" w:type="dxa"/>
            <w:vAlign w:val="center"/>
          </w:tcPr>
          <w:p w14:paraId="4AC3E124"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-$2,43</w:t>
            </w:r>
            <w:r>
              <w:rPr>
                <w:rFonts w:asciiTheme="minorHAnsi" w:hAnsiTheme="minorHAnsi" w:cstheme="minorHAnsi"/>
              </w:rPr>
              <w:t>4</w:t>
            </w:r>
          </w:p>
        </w:tc>
        <w:tc>
          <w:tcPr>
            <w:tcW w:w="1358" w:type="dxa"/>
            <w:vAlign w:val="center"/>
          </w:tcPr>
          <w:p w14:paraId="57A10F66"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58D8966B"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080F62F6"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515433E9"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7C0F3BF5" w14:textId="77777777" w:rsidTr="00234C54">
        <w:tc>
          <w:tcPr>
            <w:tcW w:w="1489" w:type="dxa"/>
          </w:tcPr>
          <w:p w14:paraId="22FBB53D" w14:textId="77777777" w:rsidR="00234C54" w:rsidRPr="00727FA1" w:rsidRDefault="00234C54" w:rsidP="00234C54">
            <w:r w:rsidRPr="00727FA1">
              <w:t>Ohio</w:t>
            </w:r>
          </w:p>
        </w:tc>
        <w:tc>
          <w:tcPr>
            <w:tcW w:w="1354" w:type="dxa"/>
            <w:vAlign w:val="center"/>
          </w:tcPr>
          <w:p w14:paraId="2D64BA5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-0.16% </w:t>
            </w:r>
          </w:p>
        </w:tc>
        <w:tc>
          <w:tcPr>
            <w:tcW w:w="1374" w:type="dxa"/>
            <w:vAlign w:val="center"/>
          </w:tcPr>
          <w:p w14:paraId="0C4DFCB2"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-25</w:t>
            </w:r>
            <w:r>
              <w:rPr>
                <w:rFonts w:asciiTheme="minorHAnsi" w:hAnsiTheme="minorHAnsi" w:cstheme="minorHAnsi"/>
              </w:rPr>
              <w:t>.8</w:t>
            </w:r>
            <w:r w:rsidRPr="000D2EFF">
              <w:rPr>
                <w:rFonts w:asciiTheme="minorHAnsi" w:hAnsiTheme="minorHAnsi" w:cstheme="minorHAnsi"/>
              </w:rPr>
              <w:t xml:space="preserve"> </w:t>
            </w:r>
          </w:p>
        </w:tc>
        <w:tc>
          <w:tcPr>
            <w:tcW w:w="1364" w:type="dxa"/>
            <w:vAlign w:val="center"/>
          </w:tcPr>
          <w:p w14:paraId="26E3DEA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-$16.98 </w:t>
            </w:r>
          </w:p>
        </w:tc>
        <w:tc>
          <w:tcPr>
            <w:tcW w:w="1751" w:type="dxa"/>
            <w:vAlign w:val="center"/>
          </w:tcPr>
          <w:p w14:paraId="0EE18A0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-$8,84</w:t>
            </w:r>
            <w:r>
              <w:rPr>
                <w:rFonts w:asciiTheme="minorHAnsi" w:hAnsiTheme="minorHAnsi" w:cstheme="minorHAnsi"/>
              </w:rPr>
              <w:t>1</w:t>
            </w:r>
          </w:p>
        </w:tc>
        <w:tc>
          <w:tcPr>
            <w:tcW w:w="1358" w:type="dxa"/>
            <w:vAlign w:val="center"/>
          </w:tcPr>
          <w:p w14:paraId="7D7914D1"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292093CF"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61D325A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7C58F72C"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06B40227" w14:textId="77777777" w:rsidTr="00234C54">
        <w:tc>
          <w:tcPr>
            <w:tcW w:w="1489" w:type="dxa"/>
          </w:tcPr>
          <w:p w14:paraId="6F7C1246" w14:textId="77777777" w:rsidR="00234C54" w:rsidRPr="00727FA1" w:rsidRDefault="00234C54" w:rsidP="00234C54">
            <w:r w:rsidRPr="00727FA1">
              <w:t>Pennsylvania</w:t>
            </w:r>
          </w:p>
        </w:tc>
        <w:tc>
          <w:tcPr>
            <w:tcW w:w="1354" w:type="dxa"/>
            <w:vAlign w:val="center"/>
          </w:tcPr>
          <w:p w14:paraId="05D5F36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-0.01% </w:t>
            </w:r>
          </w:p>
        </w:tc>
        <w:tc>
          <w:tcPr>
            <w:tcW w:w="1374" w:type="dxa"/>
            <w:vAlign w:val="center"/>
          </w:tcPr>
          <w:p w14:paraId="7BE78683"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-2</w:t>
            </w:r>
            <w:r>
              <w:rPr>
                <w:rFonts w:asciiTheme="minorHAnsi" w:hAnsiTheme="minorHAnsi" w:cstheme="minorHAnsi"/>
              </w:rPr>
              <w:t>.6</w:t>
            </w:r>
            <w:r w:rsidRPr="000D2EFF">
              <w:rPr>
                <w:rFonts w:asciiTheme="minorHAnsi" w:hAnsiTheme="minorHAnsi" w:cstheme="minorHAnsi"/>
              </w:rPr>
              <w:t xml:space="preserve"> </w:t>
            </w:r>
          </w:p>
        </w:tc>
        <w:tc>
          <w:tcPr>
            <w:tcW w:w="1364" w:type="dxa"/>
            <w:vAlign w:val="center"/>
          </w:tcPr>
          <w:p w14:paraId="7C205675"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-$1.42 </w:t>
            </w:r>
          </w:p>
        </w:tc>
        <w:tc>
          <w:tcPr>
            <w:tcW w:w="1751" w:type="dxa"/>
            <w:vAlign w:val="center"/>
          </w:tcPr>
          <w:p w14:paraId="7FA1C4E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-$90</w:t>
            </w:r>
            <w:r>
              <w:rPr>
                <w:rFonts w:asciiTheme="minorHAnsi" w:hAnsiTheme="minorHAnsi" w:cstheme="minorHAnsi"/>
              </w:rPr>
              <w:t>2</w:t>
            </w:r>
          </w:p>
        </w:tc>
        <w:tc>
          <w:tcPr>
            <w:tcW w:w="1358" w:type="dxa"/>
            <w:vAlign w:val="center"/>
          </w:tcPr>
          <w:p w14:paraId="7C0BE29A"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6F01248E"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19E44A1C"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65FBC4A6"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3A6811DF" w14:textId="77777777" w:rsidTr="00234C54">
        <w:tc>
          <w:tcPr>
            <w:tcW w:w="1489" w:type="dxa"/>
          </w:tcPr>
          <w:p w14:paraId="42C35095" w14:textId="77777777" w:rsidR="00234C54" w:rsidRPr="00727FA1" w:rsidRDefault="00234C54" w:rsidP="00234C54">
            <w:r w:rsidRPr="00727FA1">
              <w:t>Wisconsin</w:t>
            </w:r>
          </w:p>
        </w:tc>
        <w:tc>
          <w:tcPr>
            <w:tcW w:w="1354" w:type="dxa"/>
            <w:vAlign w:val="center"/>
          </w:tcPr>
          <w:p w14:paraId="59F749BB"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-0.08% </w:t>
            </w:r>
          </w:p>
        </w:tc>
        <w:tc>
          <w:tcPr>
            <w:tcW w:w="1374" w:type="dxa"/>
            <w:vAlign w:val="center"/>
          </w:tcPr>
          <w:p w14:paraId="7ED47075"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-18</w:t>
            </w:r>
            <w:r>
              <w:rPr>
                <w:rFonts w:asciiTheme="minorHAnsi" w:hAnsiTheme="minorHAnsi" w:cstheme="minorHAnsi"/>
              </w:rPr>
              <w:t>.5</w:t>
            </w:r>
            <w:r w:rsidRPr="000D2EFF">
              <w:rPr>
                <w:rFonts w:asciiTheme="minorHAnsi" w:hAnsiTheme="minorHAnsi" w:cstheme="minorHAnsi"/>
              </w:rPr>
              <w:t xml:space="preserve"> </w:t>
            </w:r>
          </w:p>
        </w:tc>
        <w:tc>
          <w:tcPr>
            <w:tcW w:w="1364" w:type="dxa"/>
            <w:vAlign w:val="center"/>
          </w:tcPr>
          <w:p w14:paraId="36EB3D6D"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-$8.64 </w:t>
            </w:r>
          </w:p>
        </w:tc>
        <w:tc>
          <w:tcPr>
            <w:tcW w:w="1751" w:type="dxa"/>
            <w:vAlign w:val="center"/>
          </w:tcPr>
          <w:p w14:paraId="79A0616D"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-$6,29</w:t>
            </w:r>
            <w:r>
              <w:rPr>
                <w:rFonts w:asciiTheme="minorHAnsi" w:hAnsiTheme="minorHAnsi" w:cstheme="minorHAnsi"/>
              </w:rPr>
              <w:t>2</w:t>
            </w:r>
          </w:p>
        </w:tc>
        <w:tc>
          <w:tcPr>
            <w:tcW w:w="1358" w:type="dxa"/>
            <w:vAlign w:val="center"/>
          </w:tcPr>
          <w:p w14:paraId="18C682D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12964FD8"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2B81CDDD"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2DC35A33"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r w:rsidR="00234C54" w:rsidRPr="00727FA1" w14:paraId="4E75D9E4" w14:textId="77777777" w:rsidTr="00234C54">
        <w:tc>
          <w:tcPr>
            <w:tcW w:w="1489" w:type="dxa"/>
          </w:tcPr>
          <w:p w14:paraId="45826C75" w14:textId="77777777" w:rsidR="00234C54" w:rsidRPr="00727FA1" w:rsidRDefault="00234C54" w:rsidP="00234C54">
            <w:r w:rsidRPr="00727FA1">
              <w:t>Totals</w:t>
            </w:r>
          </w:p>
        </w:tc>
        <w:tc>
          <w:tcPr>
            <w:tcW w:w="1354" w:type="dxa"/>
            <w:vAlign w:val="center"/>
          </w:tcPr>
          <w:p w14:paraId="3787932E"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-0.08% </w:t>
            </w:r>
          </w:p>
        </w:tc>
        <w:tc>
          <w:tcPr>
            <w:tcW w:w="1374" w:type="dxa"/>
            <w:vAlign w:val="center"/>
          </w:tcPr>
          <w:p w14:paraId="67261AE8"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-139</w:t>
            </w:r>
            <w:r>
              <w:rPr>
                <w:rFonts w:asciiTheme="minorHAnsi" w:hAnsiTheme="minorHAnsi" w:cstheme="minorHAnsi"/>
              </w:rPr>
              <w:t>.5</w:t>
            </w:r>
            <w:r w:rsidRPr="000D2EFF">
              <w:rPr>
                <w:rFonts w:asciiTheme="minorHAnsi" w:hAnsiTheme="minorHAnsi" w:cstheme="minorHAnsi"/>
              </w:rPr>
              <w:t xml:space="preserve"> </w:t>
            </w:r>
          </w:p>
        </w:tc>
        <w:tc>
          <w:tcPr>
            <w:tcW w:w="1364" w:type="dxa"/>
            <w:vAlign w:val="center"/>
          </w:tcPr>
          <w:p w14:paraId="3BE33642"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 xml:space="preserve">-$9.09 </w:t>
            </w:r>
          </w:p>
        </w:tc>
        <w:tc>
          <w:tcPr>
            <w:tcW w:w="1751" w:type="dxa"/>
            <w:vAlign w:val="center"/>
          </w:tcPr>
          <w:p w14:paraId="16A5651C"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-$47,67</w:t>
            </w:r>
            <w:r>
              <w:rPr>
                <w:rFonts w:asciiTheme="minorHAnsi" w:hAnsiTheme="minorHAnsi" w:cstheme="minorHAnsi"/>
              </w:rPr>
              <w:t>3</w:t>
            </w:r>
          </w:p>
        </w:tc>
        <w:tc>
          <w:tcPr>
            <w:tcW w:w="1358" w:type="dxa"/>
            <w:vAlign w:val="center"/>
          </w:tcPr>
          <w:p w14:paraId="6224A28F"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w:t>
            </w:r>
          </w:p>
        </w:tc>
        <w:tc>
          <w:tcPr>
            <w:tcW w:w="1362" w:type="dxa"/>
          </w:tcPr>
          <w:p w14:paraId="327D3B6A" w14:textId="77777777" w:rsidR="00234C54" w:rsidRPr="000D2EFF" w:rsidRDefault="00234C54" w:rsidP="00234C54">
            <w:pPr>
              <w:pStyle w:val="Default"/>
              <w:jc w:val="right"/>
              <w:rPr>
                <w:rFonts w:asciiTheme="minorHAnsi" w:hAnsiTheme="minorHAnsi" w:cstheme="minorHAnsi"/>
              </w:rPr>
            </w:pPr>
            <w:r w:rsidRPr="00962F5C">
              <w:rPr>
                <w:rFonts w:asciiTheme="minorHAnsi" w:hAnsiTheme="minorHAnsi" w:cstheme="minorHAnsi"/>
              </w:rPr>
              <w:t>0.0</w:t>
            </w:r>
          </w:p>
        </w:tc>
        <w:tc>
          <w:tcPr>
            <w:tcW w:w="1363" w:type="dxa"/>
            <w:vAlign w:val="center"/>
          </w:tcPr>
          <w:p w14:paraId="095D27D4"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$0.00</w:t>
            </w:r>
          </w:p>
        </w:tc>
        <w:tc>
          <w:tcPr>
            <w:tcW w:w="1720" w:type="dxa"/>
            <w:vAlign w:val="center"/>
          </w:tcPr>
          <w:p w14:paraId="55CDAD15" w14:textId="77777777" w:rsidR="00234C54" w:rsidRPr="000D2EFF" w:rsidRDefault="00234C54" w:rsidP="00234C54">
            <w:pPr>
              <w:pStyle w:val="Default"/>
              <w:jc w:val="right"/>
              <w:rPr>
                <w:rFonts w:asciiTheme="minorHAnsi" w:hAnsiTheme="minorHAnsi" w:cstheme="minorHAnsi"/>
              </w:rPr>
            </w:pPr>
            <w:r w:rsidRPr="000D2EFF">
              <w:rPr>
                <w:rFonts w:asciiTheme="minorHAnsi" w:hAnsiTheme="minorHAnsi" w:cstheme="minorHAnsi"/>
              </w:rPr>
              <w:t>$0</w:t>
            </w:r>
          </w:p>
        </w:tc>
      </w:tr>
    </w:tbl>
    <w:p w14:paraId="1A34E2D0" w14:textId="77777777" w:rsidR="00234C54" w:rsidRDefault="00234C54" w:rsidP="00234C54"/>
    <w:p w14:paraId="79EDF703" w14:textId="4F52867E" w:rsidR="00234C54" w:rsidRDefault="00234C54" w:rsidP="00234C54"/>
    <w:p w14:paraId="2BFE6AD0" w14:textId="21801A20" w:rsidR="00234C54" w:rsidRDefault="00234C54" w:rsidP="00234C54"/>
    <w:p w14:paraId="1958A527" w14:textId="77777777" w:rsidR="003B4C28" w:rsidRDefault="003B4C28">
      <w:r>
        <w:br w:type="page"/>
      </w:r>
    </w:p>
    <w:p w14:paraId="1D02E675" w14:textId="1D31C4D3" w:rsidR="00234C54" w:rsidRDefault="00234C54" w:rsidP="00234C54">
      <w:r>
        <w:lastRenderedPageBreak/>
        <w:t>Table 5. Effects of grass carp on annual recreational fishing participation (1000s of days) and consumer surplus (CS) ($1000s) under the worst-case and best-case scenarios.</w:t>
      </w:r>
    </w:p>
    <w:tbl>
      <w:tblPr>
        <w:tblStyle w:val="TableGrid"/>
        <w:tblW w:w="131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0"/>
        <w:gridCol w:w="1354"/>
        <w:gridCol w:w="1374"/>
        <w:gridCol w:w="1364"/>
        <w:gridCol w:w="1751"/>
        <w:gridCol w:w="1357"/>
        <w:gridCol w:w="1361"/>
        <w:gridCol w:w="1363"/>
        <w:gridCol w:w="1721"/>
      </w:tblGrid>
      <w:tr w:rsidR="00234C54" w14:paraId="0CFFC178" w14:textId="77777777" w:rsidTr="00234C54">
        <w:tc>
          <w:tcPr>
            <w:tcW w:w="1490" w:type="dxa"/>
            <w:vMerge w:val="restart"/>
            <w:tcBorders>
              <w:top w:val="single" w:sz="4" w:space="0" w:color="auto"/>
              <w:bottom w:val="nil"/>
            </w:tcBorders>
            <w:vAlign w:val="bottom"/>
          </w:tcPr>
          <w:p w14:paraId="134FCE67" w14:textId="77777777" w:rsidR="00234C54" w:rsidRDefault="00234C54" w:rsidP="00234C54">
            <w:r>
              <w:t>State of Residence</w:t>
            </w:r>
          </w:p>
        </w:tc>
        <w:tc>
          <w:tcPr>
            <w:tcW w:w="5843" w:type="dxa"/>
            <w:gridSpan w:val="4"/>
            <w:tcBorders>
              <w:top w:val="single" w:sz="4" w:space="0" w:color="auto"/>
              <w:bottom w:val="nil"/>
            </w:tcBorders>
            <w:vAlign w:val="bottom"/>
          </w:tcPr>
          <w:p w14:paraId="77AE0C39" w14:textId="6993874E" w:rsidR="00234C54" w:rsidRDefault="00DD57A7" w:rsidP="00234C54">
            <w:pPr>
              <w:jc w:val="center"/>
            </w:pPr>
            <w:r>
              <w:t>Worst-case</w:t>
            </w:r>
            <w:r w:rsidR="00234C54">
              <w:t xml:space="preserve"> Scenario </w:t>
            </w:r>
          </w:p>
        </w:tc>
        <w:tc>
          <w:tcPr>
            <w:tcW w:w="5802" w:type="dxa"/>
            <w:gridSpan w:val="4"/>
            <w:tcBorders>
              <w:top w:val="single" w:sz="4" w:space="0" w:color="auto"/>
              <w:bottom w:val="nil"/>
            </w:tcBorders>
            <w:vAlign w:val="bottom"/>
          </w:tcPr>
          <w:p w14:paraId="6B17D97F" w14:textId="7874A7F8" w:rsidR="00234C54" w:rsidRDefault="00DD57A7" w:rsidP="00234C54">
            <w:pPr>
              <w:jc w:val="center"/>
            </w:pPr>
            <w:r>
              <w:t>Best-case</w:t>
            </w:r>
            <w:r w:rsidR="00234C54">
              <w:t xml:space="preserve"> Scenario</w:t>
            </w:r>
          </w:p>
        </w:tc>
      </w:tr>
      <w:tr w:rsidR="00234C54" w14:paraId="05711B7D" w14:textId="77777777" w:rsidTr="00234C54">
        <w:tc>
          <w:tcPr>
            <w:tcW w:w="1490" w:type="dxa"/>
            <w:vMerge/>
            <w:tcBorders>
              <w:top w:val="nil"/>
              <w:bottom w:val="single" w:sz="4" w:space="0" w:color="auto"/>
            </w:tcBorders>
          </w:tcPr>
          <w:p w14:paraId="4AADD476" w14:textId="77777777" w:rsidR="00234C54" w:rsidRDefault="00234C54" w:rsidP="00234C54"/>
        </w:tc>
        <w:tc>
          <w:tcPr>
            <w:tcW w:w="1354" w:type="dxa"/>
            <w:tcBorders>
              <w:top w:val="nil"/>
              <w:bottom w:val="single" w:sz="4" w:space="0" w:color="auto"/>
            </w:tcBorders>
            <w:vAlign w:val="bottom"/>
          </w:tcPr>
          <w:p w14:paraId="09BC91BB" w14:textId="77777777" w:rsidR="00234C54" w:rsidRDefault="00234C54" w:rsidP="00234C54">
            <w:r>
              <w:t>Percent Change Fishing Days</w:t>
            </w:r>
          </w:p>
        </w:tc>
        <w:tc>
          <w:tcPr>
            <w:tcW w:w="1374" w:type="dxa"/>
            <w:tcBorders>
              <w:top w:val="nil"/>
              <w:bottom w:val="single" w:sz="4" w:space="0" w:color="auto"/>
            </w:tcBorders>
            <w:vAlign w:val="bottom"/>
          </w:tcPr>
          <w:p w14:paraId="222F64C3" w14:textId="77777777" w:rsidR="00234C54" w:rsidRDefault="00234C54" w:rsidP="00234C54">
            <w:r>
              <w:t>Change in Total Fishing Days (1000s)</w:t>
            </w:r>
          </w:p>
        </w:tc>
        <w:tc>
          <w:tcPr>
            <w:tcW w:w="1364" w:type="dxa"/>
            <w:tcBorders>
              <w:top w:val="nil"/>
              <w:bottom w:val="single" w:sz="4" w:space="0" w:color="auto"/>
            </w:tcBorders>
            <w:vAlign w:val="bottom"/>
          </w:tcPr>
          <w:p w14:paraId="0F395EAA" w14:textId="77777777" w:rsidR="00234C54" w:rsidRDefault="00234C54" w:rsidP="00234C54">
            <w:r>
              <w:t>Average CS Change per Angler ($)</w:t>
            </w:r>
          </w:p>
        </w:tc>
        <w:tc>
          <w:tcPr>
            <w:tcW w:w="1751" w:type="dxa"/>
            <w:tcBorders>
              <w:top w:val="nil"/>
              <w:bottom w:val="single" w:sz="4" w:space="0" w:color="auto"/>
            </w:tcBorders>
            <w:vAlign w:val="bottom"/>
          </w:tcPr>
          <w:p w14:paraId="26F160B9" w14:textId="77777777" w:rsidR="00234C54" w:rsidRDefault="00234C54" w:rsidP="00234C54">
            <w:r>
              <w:t>Total CS Change</w:t>
            </w:r>
          </w:p>
          <w:p w14:paraId="15185F31" w14:textId="77777777" w:rsidR="00234C54" w:rsidRDefault="00234C54" w:rsidP="00234C54">
            <w:r>
              <w:t>($1000s)</w:t>
            </w:r>
          </w:p>
        </w:tc>
        <w:tc>
          <w:tcPr>
            <w:tcW w:w="1357" w:type="dxa"/>
            <w:tcBorders>
              <w:top w:val="nil"/>
              <w:bottom w:val="single" w:sz="4" w:space="0" w:color="auto"/>
            </w:tcBorders>
            <w:vAlign w:val="bottom"/>
          </w:tcPr>
          <w:p w14:paraId="6308A74D" w14:textId="77777777" w:rsidR="00234C54" w:rsidRDefault="00234C54" w:rsidP="00234C54">
            <w:r>
              <w:t>Percent Change Fishing Days</w:t>
            </w:r>
          </w:p>
        </w:tc>
        <w:tc>
          <w:tcPr>
            <w:tcW w:w="1361" w:type="dxa"/>
            <w:tcBorders>
              <w:top w:val="nil"/>
              <w:bottom w:val="single" w:sz="4" w:space="0" w:color="auto"/>
            </w:tcBorders>
            <w:vAlign w:val="bottom"/>
          </w:tcPr>
          <w:p w14:paraId="5E072045" w14:textId="77777777" w:rsidR="00234C54" w:rsidRDefault="00234C54" w:rsidP="00234C54">
            <w:r>
              <w:t>Change in Total Fishing Days (1000s)</w:t>
            </w:r>
          </w:p>
        </w:tc>
        <w:tc>
          <w:tcPr>
            <w:tcW w:w="1363" w:type="dxa"/>
            <w:tcBorders>
              <w:top w:val="nil"/>
              <w:bottom w:val="single" w:sz="4" w:space="0" w:color="auto"/>
            </w:tcBorders>
            <w:vAlign w:val="bottom"/>
          </w:tcPr>
          <w:p w14:paraId="526DD51A" w14:textId="77777777" w:rsidR="00234C54" w:rsidRDefault="00234C54" w:rsidP="00234C54">
            <w:r>
              <w:t>Average CS Change per Angler ($)</w:t>
            </w:r>
          </w:p>
        </w:tc>
        <w:tc>
          <w:tcPr>
            <w:tcW w:w="1721" w:type="dxa"/>
            <w:tcBorders>
              <w:top w:val="nil"/>
              <w:bottom w:val="single" w:sz="4" w:space="0" w:color="auto"/>
            </w:tcBorders>
            <w:vAlign w:val="bottom"/>
          </w:tcPr>
          <w:p w14:paraId="5A951EB6" w14:textId="77777777" w:rsidR="00234C54" w:rsidRDefault="00234C54" w:rsidP="00234C54">
            <w:r>
              <w:t>Total CS Change</w:t>
            </w:r>
          </w:p>
          <w:p w14:paraId="25C804E9" w14:textId="77777777" w:rsidR="00234C54" w:rsidRDefault="00234C54" w:rsidP="00234C54">
            <w:r>
              <w:t>($1000s)</w:t>
            </w:r>
          </w:p>
        </w:tc>
      </w:tr>
      <w:tr w:rsidR="00234C54" w14:paraId="024A3CBB" w14:textId="77777777" w:rsidTr="00234C54">
        <w:tc>
          <w:tcPr>
            <w:tcW w:w="1490" w:type="dxa"/>
            <w:tcBorders>
              <w:top w:val="single" w:sz="4" w:space="0" w:color="auto"/>
            </w:tcBorders>
          </w:tcPr>
          <w:p w14:paraId="5F3850C4" w14:textId="77777777" w:rsidR="00234C54" w:rsidRDefault="00234C54" w:rsidP="00234C54">
            <w:r>
              <w:t>Illinois</w:t>
            </w:r>
          </w:p>
        </w:tc>
        <w:tc>
          <w:tcPr>
            <w:tcW w:w="1354" w:type="dxa"/>
            <w:tcBorders>
              <w:top w:val="single" w:sz="4" w:space="0" w:color="auto"/>
            </w:tcBorders>
            <w:vAlign w:val="center"/>
          </w:tcPr>
          <w:p w14:paraId="0E7F5E8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-0.04% </w:t>
            </w:r>
          </w:p>
        </w:tc>
        <w:tc>
          <w:tcPr>
            <w:tcW w:w="1374" w:type="dxa"/>
            <w:tcBorders>
              <w:top w:val="single" w:sz="4" w:space="0" w:color="auto"/>
            </w:tcBorders>
            <w:vAlign w:val="center"/>
          </w:tcPr>
          <w:p w14:paraId="475AF78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-10</w:t>
            </w:r>
            <w:r>
              <w:rPr>
                <w:rFonts w:asciiTheme="minorHAnsi" w:hAnsiTheme="minorHAnsi" w:cstheme="minorHAnsi"/>
              </w:rPr>
              <w:t>.6</w:t>
            </w:r>
          </w:p>
        </w:tc>
        <w:tc>
          <w:tcPr>
            <w:tcW w:w="1364" w:type="dxa"/>
            <w:tcBorders>
              <w:top w:val="single" w:sz="4" w:space="0" w:color="auto"/>
            </w:tcBorders>
            <w:vAlign w:val="center"/>
          </w:tcPr>
          <w:p w14:paraId="07D7BC2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-$5.96 </w:t>
            </w:r>
          </w:p>
        </w:tc>
        <w:tc>
          <w:tcPr>
            <w:tcW w:w="1751" w:type="dxa"/>
            <w:tcBorders>
              <w:top w:val="single" w:sz="4" w:space="0" w:color="auto"/>
            </w:tcBorders>
            <w:vAlign w:val="center"/>
          </w:tcPr>
          <w:p w14:paraId="7A592B01"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-$3,607 </w:t>
            </w:r>
          </w:p>
        </w:tc>
        <w:tc>
          <w:tcPr>
            <w:tcW w:w="1357" w:type="dxa"/>
            <w:tcBorders>
              <w:top w:val="single" w:sz="4" w:space="0" w:color="auto"/>
            </w:tcBorders>
            <w:vAlign w:val="center"/>
          </w:tcPr>
          <w:p w14:paraId="49D3D094"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-0.02% </w:t>
            </w:r>
          </w:p>
        </w:tc>
        <w:tc>
          <w:tcPr>
            <w:tcW w:w="1361" w:type="dxa"/>
            <w:tcBorders>
              <w:top w:val="single" w:sz="4" w:space="0" w:color="auto"/>
            </w:tcBorders>
            <w:vAlign w:val="center"/>
          </w:tcPr>
          <w:p w14:paraId="5DF5AA7C"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-5</w:t>
            </w:r>
            <w:r>
              <w:rPr>
                <w:rFonts w:asciiTheme="minorHAnsi" w:hAnsiTheme="minorHAnsi" w:cstheme="minorHAnsi"/>
              </w:rPr>
              <w:t>.2</w:t>
            </w:r>
            <w:r w:rsidRPr="00EE4988">
              <w:rPr>
                <w:rFonts w:asciiTheme="minorHAnsi" w:hAnsiTheme="minorHAnsi" w:cstheme="minorHAnsi"/>
              </w:rPr>
              <w:t xml:space="preserve"> </w:t>
            </w:r>
          </w:p>
        </w:tc>
        <w:tc>
          <w:tcPr>
            <w:tcW w:w="1363" w:type="dxa"/>
            <w:tcBorders>
              <w:top w:val="single" w:sz="4" w:space="0" w:color="auto"/>
            </w:tcBorders>
            <w:vAlign w:val="center"/>
          </w:tcPr>
          <w:p w14:paraId="349A4664"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-$2.93 </w:t>
            </w:r>
          </w:p>
        </w:tc>
        <w:tc>
          <w:tcPr>
            <w:tcW w:w="1721" w:type="dxa"/>
            <w:tcBorders>
              <w:top w:val="single" w:sz="4" w:space="0" w:color="auto"/>
            </w:tcBorders>
            <w:vAlign w:val="center"/>
          </w:tcPr>
          <w:p w14:paraId="1D8B4106"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-$1,77</w:t>
            </w:r>
            <w:r>
              <w:rPr>
                <w:rFonts w:asciiTheme="minorHAnsi" w:hAnsiTheme="minorHAnsi" w:cstheme="minorHAnsi"/>
              </w:rPr>
              <w:t>3</w:t>
            </w:r>
          </w:p>
        </w:tc>
      </w:tr>
      <w:tr w:rsidR="00234C54" w14:paraId="00D0638F" w14:textId="77777777" w:rsidTr="00234C54">
        <w:tc>
          <w:tcPr>
            <w:tcW w:w="1490" w:type="dxa"/>
          </w:tcPr>
          <w:p w14:paraId="7508723A" w14:textId="77777777" w:rsidR="00234C54" w:rsidRDefault="00234C54" w:rsidP="00234C54">
            <w:r>
              <w:t>Indiana</w:t>
            </w:r>
          </w:p>
        </w:tc>
        <w:tc>
          <w:tcPr>
            <w:tcW w:w="1354" w:type="dxa"/>
            <w:vAlign w:val="center"/>
          </w:tcPr>
          <w:p w14:paraId="6012FFE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-0.01% </w:t>
            </w:r>
          </w:p>
        </w:tc>
        <w:tc>
          <w:tcPr>
            <w:tcW w:w="1374" w:type="dxa"/>
            <w:vAlign w:val="center"/>
          </w:tcPr>
          <w:p w14:paraId="53F1046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w:t>
            </w:r>
            <w:r>
              <w:rPr>
                <w:rFonts w:asciiTheme="minorHAnsi" w:hAnsiTheme="minorHAnsi" w:cstheme="minorHAnsi"/>
              </w:rPr>
              <w:t>.1</w:t>
            </w:r>
          </w:p>
        </w:tc>
        <w:tc>
          <w:tcPr>
            <w:tcW w:w="1364" w:type="dxa"/>
            <w:vAlign w:val="center"/>
          </w:tcPr>
          <w:p w14:paraId="604202E9"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-$2.11 </w:t>
            </w:r>
          </w:p>
        </w:tc>
        <w:tc>
          <w:tcPr>
            <w:tcW w:w="1751" w:type="dxa"/>
            <w:vAlign w:val="center"/>
          </w:tcPr>
          <w:p w14:paraId="5F76804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-$70</w:t>
            </w:r>
            <w:r>
              <w:rPr>
                <w:rFonts w:asciiTheme="minorHAnsi" w:hAnsiTheme="minorHAnsi" w:cstheme="minorHAnsi"/>
              </w:rPr>
              <w:t>1</w:t>
            </w:r>
          </w:p>
        </w:tc>
        <w:tc>
          <w:tcPr>
            <w:tcW w:w="1357" w:type="dxa"/>
            <w:vAlign w:val="center"/>
          </w:tcPr>
          <w:p w14:paraId="6024299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-0.01% </w:t>
            </w:r>
          </w:p>
        </w:tc>
        <w:tc>
          <w:tcPr>
            <w:tcW w:w="1361" w:type="dxa"/>
            <w:vAlign w:val="center"/>
          </w:tcPr>
          <w:p w14:paraId="665D559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w:t>
            </w:r>
            <w:r>
              <w:rPr>
                <w:rFonts w:asciiTheme="minorHAnsi" w:hAnsiTheme="minorHAnsi" w:cstheme="minorHAnsi"/>
              </w:rPr>
              <w:t>1.0</w:t>
            </w:r>
          </w:p>
        </w:tc>
        <w:tc>
          <w:tcPr>
            <w:tcW w:w="1363" w:type="dxa"/>
            <w:vAlign w:val="center"/>
          </w:tcPr>
          <w:p w14:paraId="25AA18E4"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-$1.03 </w:t>
            </w:r>
          </w:p>
        </w:tc>
        <w:tc>
          <w:tcPr>
            <w:tcW w:w="1721" w:type="dxa"/>
            <w:vAlign w:val="center"/>
          </w:tcPr>
          <w:p w14:paraId="0989A6C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-$34</w:t>
            </w:r>
            <w:r>
              <w:rPr>
                <w:rFonts w:asciiTheme="minorHAnsi" w:hAnsiTheme="minorHAnsi" w:cstheme="minorHAnsi"/>
              </w:rPr>
              <w:t>1</w:t>
            </w:r>
          </w:p>
        </w:tc>
      </w:tr>
      <w:tr w:rsidR="00234C54" w14:paraId="4B656065" w14:textId="77777777" w:rsidTr="00234C54">
        <w:tc>
          <w:tcPr>
            <w:tcW w:w="1490" w:type="dxa"/>
          </w:tcPr>
          <w:p w14:paraId="55882610" w14:textId="77777777" w:rsidR="00234C54" w:rsidRDefault="00234C54" w:rsidP="00234C54">
            <w:r>
              <w:t>Michigan</w:t>
            </w:r>
          </w:p>
        </w:tc>
        <w:tc>
          <w:tcPr>
            <w:tcW w:w="1354" w:type="dxa"/>
            <w:vAlign w:val="center"/>
          </w:tcPr>
          <w:p w14:paraId="632907B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-0.07% </w:t>
            </w:r>
          </w:p>
        </w:tc>
        <w:tc>
          <w:tcPr>
            <w:tcW w:w="1374" w:type="dxa"/>
            <w:vAlign w:val="center"/>
          </w:tcPr>
          <w:p w14:paraId="381A870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-19</w:t>
            </w:r>
            <w:r>
              <w:rPr>
                <w:rFonts w:asciiTheme="minorHAnsi" w:hAnsiTheme="minorHAnsi" w:cstheme="minorHAnsi"/>
              </w:rPr>
              <w:t>.3</w:t>
            </w:r>
          </w:p>
        </w:tc>
        <w:tc>
          <w:tcPr>
            <w:tcW w:w="1364" w:type="dxa"/>
            <w:vAlign w:val="center"/>
          </w:tcPr>
          <w:p w14:paraId="6CBAAED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-$8.16 </w:t>
            </w:r>
          </w:p>
        </w:tc>
        <w:tc>
          <w:tcPr>
            <w:tcW w:w="1751" w:type="dxa"/>
            <w:vAlign w:val="center"/>
          </w:tcPr>
          <w:p w14:paraId="50D2811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-$6,575 </w:t>
            </w:r>
          </w:p>
        </w:tc>
        <w:tc>
          <w:tcPr>
            <w:tcW w:w="1357" w:type="dxa"/>
            <w:vAlign w:val="center"/>
          </w:tcPr>
          <w:p w14:paraId="36B01E10"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-0.03% </w:t>
            </w:r>
          </w:p>
        </w:tc>
        <w:tc>
          <w:tcPr>
            <w:tcW w:w="1361" w:type="dxa"/>
            <w:vAlign w:val="center"/>
          </w:tcPr>
          <w:p w14:paraId="1D7E0E34"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-9</w:t>
            </w:r>
            <w:r>
              <w:rPr>
                <w:rFonts w:asciiTheme="minorHAnsi" w:hAnsiTheme="minorHAnsi" w:cstheme="minorHAnsi"/>
              </w:rPr>
              <w:t>.3</w:t>
            </w:r>
          </w:p>
        </w:tc>
        <w:tc>
          <w:tcPr>
            <w:tcW w:w="1363" w:type="dxa"/>
            <w:vAlign w:val="center"/>
          </w:tcPr>
          <w:p w14:paraId="07F391D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-$3.92 </w:t>
            </w:r>
          </w:p>
        </w:tc>
        <w:tc>
          <w:tcPr>
            <w:tcW w:w="1721" w:type="dxa"/>
            <w:vAlign w:val="center"/>
          </w:tcPr>
          <w:p w14:paraId="262DF03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-$3,16</w:t>
            </w:r>
            <w:r>
              <w:rPr>
                <w:rFonts w:asciiTheme="minorHAnsi" w:hAnsiTheme="minorHAnsi" w:cstheme="minorHAnsi"/>
              </w:rPr>
              <w:t>2</w:t>
            </w:r>
          </w:p>
        </w:tc>
      </w:tr>
      <w:tr w:rsidR="00234C54" w14:paraId="79622A63" w14:textId="77777777" w:rsidTr="00234C54">
        <w:tc>
          <w:tcPr>
            <w:tcW w:w="1490" w:type="dxa"/>
          </w:tcPr>
          <w:p w14:paraId="0B2FEA8C" w14:textId="77777777" w:rsidR="00234C54" w:rsidRDefault="00234C54" w:rsidP="00234C54">
            <w:r>
              <w:t>Minnesota</w:t>
            </w:r>
          </w:p>
        </w:tc>
        <w:tc>
          <w:tcPr>
            <w:tcW w:w="1354" w:type="dxa"/>
            <w:vAlign w:val="center"/>
          </w:tcPr>
          <w:p w14:paraId="4845A6E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0.00% </w:t>
            </w:r>
          </w:p>
        </w:tc>
        <w:tc>
          <w:tcPr>
            <w:tcW w:w="1374" w:type="dxa"/>
            <w:vAlign w:val="center"/>
          </w:tcPr>
          <w:p w14:paraId="33207536"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w:t>
            </w:r>
            <w:r>
              <w:rPr>
                <w:rFonts w:asciiTheme="minorHAnsi" w:hAnsiTheme="minorHAnsi" w:cstheme="minorHAnsi"/>
              </w:rPr>
              <w:t>0.4</w:t>
            </w:r>
            <w:r w:rsidRPr="00EE4988">
              <w:rPr>
                <w:rFonts w:asciiTheme="minorHAnsi" w:hAnsiTheme="minorHAnsi" w:cstheme="minorHAnsi"/>
              </w:rPr>
              <w:t xml:space="preserve"> </w:t>
            </w:r>
          </w:p>
        </w:tc>
        <w:tc>
          <w:tcPr>
            <w:tcW w:w="1364" w:type="dxa"/>
            <w:vAlign w:val="center"/>
          </w:tcPr>
          <w:p w14:paraId="7F3D602C"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-$0.13 </w:t>
            </w:r>
          </w:p>
        </w:tc>
        <w:tc>
          <w:tcPr>
            <w:tcW w:w="1751" w:type="dxa"/>
            <w:vAlign w:val="center"/>
          </w:tcPr>
          <w:p w14:paraId="709F63B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-$12</w:t>
            </w:r>
            <w:r>
              <w:rPr>
                <w:rFonts w:asciiTheme="minorHAnsi" w:hAnsiTheme="minorHAnsi" w:cstheme="minorHAnsi"/>
              </w:rPr>
              <w:t>9</w:t>
            </w:r>
          </w:p>
        </w:tc>
        <w:tc>
          <w:tcPr>
            <w:tcW w:w="1357" w:type="dxa"/>
            <w:vAlign w:val="center"/>
          </w:tcPr>
          <w:p w14:paraId="2DC1DE91"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0.00% </w:t>
            </w:r>
          </w:p>
        </w:tc>
        <w:tc>
          <w:tcPr>
            <w:tcW w:w="1361" w:type="dxa"/>
            <w:vAlign w:val="center"/>
          </w:tcPr>
          <w:p w14:paraId="01842E3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w:t>
            </w:r>
            <w:r>
              <w:rPr>
                <w:rFonts w:asciiTheme="minorHAnsi" w:hAnsiTheme="minorHAnsi" w:cstheme="minorHAnsi"/>
              </w:rPr>
              <w:t>0.1</w:t>
            </w:r>
          </w:p>
        </w:tc>
        <w:tc>
          <w:tcPr>
            <w:tcW w:w="1363" w:type="dxa"/>
            <w:vAlign w:val="center"/>
          </w:tcPr>
          <w:p w14:paraId="46EE40D6"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-$0.05 </w:t>
            </w:r>
          </w:p>
        </w:tc>
        <w:tc>
          <w:tcPr>
            <w:tcW w:w="1721" w:type="dxa"/>
            <w:vAlign w:val="center"/>
          </w:tcPr>
          <w:p w14:paraId="3D3A1C7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-$4</w:t>
            </w:r>
            <w:r>
              <w:rPr>
                <w:rFonts w:asciiTheme="minorHAnsi" w:hAnsiTheme="minorHAnsi" w:cstheme="minorHAnsi"/>
              </w:rPr>
              <w:t>7</w:t>
            </w:r>
          </w:p>
        </w:tc>
      </w:tr>
      <w:tr w:rsidR="00234C54" w14:paraId="2241A9A5" w14:textId="77777777" w:rsidTr="00234C54">
        <w:tc>
          <w:tcPr>
            <w:tcW w:w="1490" w:type="dxa"/>
          </w:tcPr>
          <w:p w14:paraId="46010429" w14:textId="77777777" w:rsidR="00234C54" w:rsidRDefault="00234C54" w:rsidP="00234C54">
            <w:r>
              <w:t>New York</w:t>
            </w:r>
          </w:p>
        </w:tc>
        <w:tc>
          <w:tcPr>
            <w:tcW w:w="1354" w:type="dxa"/>
            <w:vAlign w:val="center"/>
          </w:tcPr>
          <w:p w14:paraId="30097DD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-0.04% </w:t>
            </w:r>
          </w:p>
        </w:tc>
        <w:tc>
          <w:tcPr>
            <w:tcW w:w="1374" w:type="dxa"/>
            <w:vAlign w:val="center"/>
          </w:tcPr>
          <w:p w14:paraId="772CD4D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-7</w:t>
            </w:r>
            <w:r>
              <w:rPr>
                <w:rFonts w:asciiTheme="minorHAnsi" w:hAnsiTheme="minorHAnsi" w:cstheme="minorHAnsi"/>
              </w:rPr>
              <w:t>.5</w:t>
            </w:r>
          </w:p>
        </w:tc>
        <w:tc>
          <w:tcPr>
            <w:tcW w:w="1364" w:type="dxa"/>
            <w:vAlign w:val="center"/>
          </w:tcPr>
          <w:p w14:paraId="0DEDA64E"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-$4.36 </w:t>
            </w:r>
          </w:p>
        </w:tc>
        <w:tc>
          <w:tcPr>
            <w:tcW w:w="1751" w:type="dxa"/>
            <w:vAlign w:val="center"/>
          </w:tcPr>
          <w:p w14:paraId="7111B75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-$2,56</w:t>
            </w:r>
            <w:r>
              <w:rPr>
                <w:rFonts w:asciiTheme="minorHAnsi" w:hAnsiTheme="minorHAnsi" w:cstheme="minorHAnsi"/>
              </w:rPr>
              <w:t>8</w:t>
            </w:r>
          </w:p>
        </w:tc>
        <w:tc>
          <w:tcPr>
            <w:tcW w:w="1357" w:type="dxa"/>
            <w:vAlign w:val="center"/>
          </w:tcPr>
          <w:p w14:paraId="4FB400AA"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-0.02% </w:t>
            </w:r>
          </w:p>
        </w:tc>
        <w:tc>
          <w:tcPr>
            <w:tcW w:w="1361" w:type="dxa"/>
            <w:vAlign w:val="center"/>
          </w:tcPr>
          <w:p w14:paraId="478A551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-3</w:t>
            </w:r>
            <w:r>
              <w:rPr>
                <w:rFonts w:asciiTheme="minorHAnsi" w:hAnsiTheme="minorHAnsi" w:cstheme="minorHAnsi"/>
              </w:rPr>
              <w:t>.2</w:t>
            </w:r>
          </w:p>
        </w:tc>
        <w:tc>
          <w:tcPr>
            <w:tcW w:w="1363" w:type="dxa"/>
            <w:vAlign w:val="center"/>
          </w:tcPr>
          <w:p w14:paraId="20EF63AB"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-$1.84 </w:t>
            </w:r>
          </w:p>
        </w:tc>
        <w:tc>
          <w:tcPr>
            <w:tcW w:w="1721" w:type="dxa"/>
            <w:vAlign w:val="center"/>
          </w:tcPr>
          <w:p w14:paraId="1ACF6AD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-$1,08</w:t>
            </w:r>
            <w:r>
              <w:rPr>
                <w:rFonts w:asciiTheme="minorHAnsi" w:hAnsiTheme="minorHAnsi" w:cstheme="minorHAnsi"/>
              </w:rPr>
              <w:t>7</w:t>
            </w:r>
          </w:p>
        </w:tc>
      </w:tr>
      <w:tr w:rsidR="00234C54" w14:paraId="03E4585D" w14:textId="77777777" w:rsidTr="00234C54">
        <w:tc>
          <w:tcPr>
            <w:tcW w:w="1490" w:type="dxa"/>
          </w:tcPr>
          <w:p w14:paraId="4C15F0FD" w14:textId="77777777" w:rsidR="00234C54" w:rsidRDefault="00234C54" w:rsidP="00234C54">
            <w:r>
              <w:t>Ohio</w:t>
            </w:r>
          </w:p>
        </w:tc>
        <w:tc>
          <w:tcPr>
            <w:tcW w:w="1354" w:type="dxa"/>
            <w:vAlign w:val="center"/>
          </w:tcPr>
          <w:p w14:paraId="00CAEFC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-0.08% </w:t>
            </w:r>
          </w:p>
        </w:tc>
        <w:tc>
          <w:tcPr>
            <w:tcW w:w="1374" w:type="dxa"/>
            <w:vAlign w:val="center"/>
          </w:tcPr>
          <w:p w14:paraId="045D854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-13</w:t>
            </w:r>
            <w:r>
              <w:rPr>
                <w:rFonts w:asciiTheme="minorHAnsi" w:hAnsiTheme="minorHAnsi" w:cstheme="minorHAnsi"/>
              </w:rPr>
              <w:t>.0</w:t>
            </w:r>
          </w:p>
        </w:tc>
        <w:tc>
          <w:tcPr>
            <w:tcW w:w="1364" w:type="dxa"/>
            <w:vAlign w:val="center"/>
          </w:tcPr>
          <w:p w14:paraId="12CEC26C"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-$8.56 </w:t>
            </w:r>
          </w:p>
        </w:tc>
        <w:tc>
          <w:tcPr>
            <w:tcW w:w="1751" w:type="dxa"/>
            <w:vAlign w:val="center"/>
          </w:tcPr>
          <w:p w14:paraId="21056F1A"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-$4,457 </w:t>
            </w:r>
          </w:p>
        </w:tc>
        <w:tc>
          <w:tcPr>
            <w:tcW w:w="1357" w:type="dxa"/>
            <w:vAlign w:val="center"/>
          </w:tcPr>
          <w:p w14:paraId="6884060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-0.04% </w:t>
            </w:r>
          </w:p>
        </w:tc>
        <w:tc>
          <w:tcPr>
            <w:tcW w:w="1361" w:type="dxa"/>
            <w:vAlign w:val="center"/>
          </w:tcPr>
          <w:p w14:paraId="2BE9095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-6</w:t>
            </w:r>
            <w:r>
              <w:rPr>
                <w:rFonts w:asciiTheme="minorHAnsi" w:hAnsiTheme="minorHAnsi" w:cstheme="minorHAnsi"/>
              </w:rPr>
              <w:t>.5</w:t>
            </w:r>
          </w:p>
        </w:tc>
        <w:tc>
          <w:tcPr>
            <w:tcW w:w="1363" w:type="dxa"/>
            <w:vAlign w:val="center"/>
          </w:tcPr>
          <w:p w14:paraId="26177E8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-$4.28 </w:t>
            </w:r>
          </w:p>
        </w:tc>
        <w:tc>
          <w:tcPr>
            <w:tcW w:w="1721" w:type="dxa"/>
            <w:vAlign w:val="center"/>
          </w:tcPr>
          <w:p w14:paraId="6E5D146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-$2,22</w:t>
            </w:r>
            <w:r>
              <w:rPr>
                <w:rFonts w:asciiTheme="minorHAnsi" w:hAnsiTheme="minorHAnsi" w:cstheme="minorHAnsi"/>
              </w:rPr>
              <w:t>8</w:t>
            </w:r>
          </w:p>
        </w:tc>
      </w:tr>
      <w:tr w:rsidR="00234C54" w14:paraId="06D45E9F" w14:textId="77777777" w:rsidTr="00234C54">
        <w:tc>
          <w:tcPr>
            <w:tcW w:w="1490" w:type="dxa"/>
          </w:tcPr>
          <w:p w14:paraId="6A1E8A06" w14:textId="77777777" w:rsidR="00234C54" w:rsidRDefault="00234C54" w:rsidP="00234C54">
            <w:r>
              <w:t>Pennsylvania</w:t>
            </w:r>
          </w:p>
        </w:tc>
        <w:tc>
          <w:tcPr>
            <w:tcW w:w="1354" w:type="dxa"/>
            <w:vAlign w:val="center"/>
          </w:tcPr>
          <w:p w14:paraId="30A208C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0.00% </w:t>
            </w:r>
          </w:p>
        </w:tc>
        <w:tc>
          <w:tcPr>
            <w:tcW w:w="1374" w:type="dxa"/>
            <w:vAlign w:val="center"/>
          </w:tcPr>
          <w:p w14:paraId="5336C8A0"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w:t>
            </w:r>
            <w:r>
              <w:rPr>
                <w:rFonts w:asciiTheme="minorHAnsi" w:hAnsiTheme="minorHAnsi" w:cstheme="minorHAnsi"/>
              </w:rPr>
              <w:t>0.8</w:t>
            </w:r>
            <w:r w:rsidRPr="00EE4988">
              <w:rPr>
                <w:rFonts w:asciiTheme="minorHAnsi" w:hAnsiTheme="minorHAnsi" w:cstheme="minorHAnsi"/>
              </w:rPr>
              <w:t xml:space="preserve"> </w:t>
            </w:r>
          </w:p>
        </w:tc>
        <w:tc>
          <w:tcPr>
            <w:tcW w:w="1364" w:type="dxa"/>
            <w:vAlign w:val="center"/>
          </w:tcPr>
          <w:p w14:paraId="77BB8D4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-$0.44 </w:t>
            </w:r>
          </w:p>
        </w:tc>
        <w:tc>
          <w:tcPr>
            <w:tcW w:w="1751" w:type="dxa"/>
            <w:vAlign w:val="center"/>
          </w:tcPr>
          <w:p w14:paraId="71278686"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-$27</w:t>
            </w:r>
            <w:r>
              <w:rPr>
                <w:rFonts w:asciiTheme="minorHAnsi" w:hAnsiTheme="minorHAnsi" w:cstheme="minorHAnsi"/>
              </w:rPr>
              <w:t>9</w:t>
            </w:r>
          </w:p>
        </w:tc>
        <w:tc>
          <w:tcPr>
            <w:tcW w:w="1357" w:type="dxa"/>
            <w:vAlign w:val="center"/>
          </w:tcPr>
          <w:p w14:paraId="1460C9A1"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0.00% </w:t>
            </w:r>
          </w:p>
        </w:tc>
        <w:tc>
          <w:tcPr>
            <w:tcW w:w="1361" w:type="dxa"/>
            <w:vAlign w:val="center"/>
          </w:tcPr>
          <w:p w14:paraId="6023DE3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w:t>
            </w:r>
            <w:r>
              <w:rPr>
                <w:rFonts w:asciiTheme="minorHAnsi" w:hAnsiTheme="minorHAnsi" w:cstheme="minorHAnsi"/>
              </w:rPr>
              <w:t>0.4</w:t>
            </w:r>
            <w:r w:rsidRPr="00EE4988">
              <w:rPr>
                <w:rFonts w:asciiTheme="minorHAnsi" w:hAnsiTheme="minorHAnsi" w:cstheme="minorHAnsi"/>
              </w:rPr>
              <w:t xml:space="preserve"> </w:t>
            </w:r>
          </w:p>
        </w:tc>
        <w:tc>
          <w:tcPr>
            <w:tcW w:w="1363" w:type="dxa"/>
            <w:vAlign w:val="center"/>
          </w:tcPr>
          <w:p w14:paraId="5B108459"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-$0.22 </w:t>
            </w:r>
          </w:p>
        </w:tc>
        <w:tc>
          <w:tcPr>
            <w:tcW w:w="1721" w:type="dxa"/>
            <w:vAlign w:val="center"/>
          </w:tcPr>
          <w:p w14:paraId="23B23628"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-$137 </w:t>
            </w:r>
          </w:p>
        </w:tc>
      </w:tr>
      <w:tr w:rsidR="00234C54" w14:paraId="7CFC8DAB" w14:textId="77777777" w:rsidTr="00234C54">
        <w:tc>
          <w:tcPr>
            <w:tcW w:w="1490" w:type="dxa"/>
          </w:tcPr>
          <w:p w14:paraId="1C3EB52F" w14:textId="77777777" w:rsidR="00234C54" w:rsidRDefault="00234C54" w:rsidP="00234C54">
            <w:r>
              <w:t>Wisconsin</w:t>
            </w:r>
          </w:p>
        </w:tc>
        <w:tc>
          <w:tcPr>
            <w:tcW w:w="1354" w:type="dxa"/>
            <w:vAlign w:val="center"/>
          </w:tcPr>
          <w:p w14:paraId="2CB98120"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-0.03% </w:t>
            </w:r>
          </w:p>
        </w:tc>
        <w:tc>
          <w:tcPr>
            <w:tcW w:w="1374" w:type="dxa"/>
            <w:vAlign w:val="center"/>
          </w:tcPr>
          <w:p w14:paraId="639B732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-6</w:t>
            </w:r>
            <w:r>
              <w:rPr>
                <w:rFonts w:asciiTheme="minorHAnsi" w:hAnsiTheme="minorHAnsi" w:cstheme="minorHAnsi"/>
              </w:rPr>
              <w:t>.8</w:t>
            </w:r>
          </w:p>
        </w:tc>
        <w:tc>
          <w:tcPr>
            <w:tcW w:w="1364" w:type="dxa"/>
            <w:vAlign w:val="center"/>
          </w:tcPr>
          <w:p w14:paraId="5D9E7B49"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-$3.19 </w:t>
            </w:r>
          </w:p>
        </w:tc>
        <w:tc>
          <w:tcPr>
            <w:tcW w:w="1751" w:type="dxa"/>
            <w:vAlign w:val="center"/>
          </w:tcPr>
          <w:p w14:paraId="23EC759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-$2,32</w:t>
            </w:r>
            <w:r>
              <w:rPr>
                <w:rFonts w:asciiTheme="minorHAnsi" w:hAnsiTheme="minorHAnsi" w:cstheme="minorHAnsi"/>
              </w:rPr>
              <w:t>4</w:t>
            </w:r>
          </w:p>
        </w:tc>
        <w:tc>
          <w:tcPr>
            <w:tcW w:w="1357" w:type="dxa"/>
            <w:vAlign w:val="center"/>
          </w:tcPr>
          <w:p w14:paraId="4168D68F"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-0.01% </w:t>
            </w:r>
          </w:p>
        </w:tc>
        <w:tc>
          <w:tcPr>
            <w:tcW w:w="1361" w:type="dxa"/>
            <w:vAlign w:val="center"/>
          </w:tcPr>
          <w:p w14:paraId="6DFC1393"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-3</w:t>
            </w:r>
            <w:r>
              <w:rPr>
                <w:rFonts w:asciiTheme="minorHAnsi" w:hAnsiTheme="minorHAnsi" w:cstheme="minorHAnsi"/>
              </w:rPr>
              <w:t>.2</w:t>
            </w:r>
          </w:p>
        </w:tc>
        <w:tc>
          <w:tcPr>
            <w:tcW w:w="1363" w:type="dxa"/>
            <w:vAlign w:val="center"/>
          </w:tcPr>
          <w:p w14:paraId="7A87D041"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-$1.50 </w:t>
            </w:r>
          </w:p>
        </w:tc>
        <w:tc>
          <w:tcPr>
            <w:tcW w:w="1721" w:type="dxa"/>
            <w:vAlign w:val="center"/>
          </w:tcPr>
          <w:p w14:paraId="474D5682"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-$1,093 </w:t>
            </w:r>
          </w:p>
        </w:tc>
      </w:tr>
      <w:tr w:rsidR="00234C54" w14:paraId="3AECAA22" w14:textId="77777777" w:rsidTr="00234C54">
        <w:tc>
          <w:tcPr>
            <w:tcW w:w="1490" w:type="dxa"/>
          </w:tcPr>
          <w:p w14:paraId="7FD3CE28" w14:textId="77777777" w:rsidR="00234C54" w:rsidRDefault="00234C54" w:rsidP="00234C54">
            <w:r>
              <w:t>Totals</w:t>
            </w:r>
          </w:p>
        </w:tc>
        <w:tc>
          <w:tcPr>
            <w:tcW w:w="1354" w:type="dxa"/>
            <w:vAlign w:val="center"/>
          </w:tcPr>
          <w:p w14:paraId="7B98CA3E"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-0.04% </w:t>
            </w:r>
          </w:p>
        </w:tc>
        <w:tc>
          <w:tcPr>
            <w:tcW w:w="1374" w:type="dxa"/>
            <w:vAlign w:val="center"/>
          </w:tcPr>
          <w:p w14:paraId="2F939427"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-60</w:t>
            </w:r>
            <w:r>
              <w:rPr>
                <w:rFonts w:asciiTheme="minorHAnsi" w:hAnsiTheme="minorHAnsi" w:cstheme="minorHAnsi"/>
              </w:rPr>
              <w:t>.4</w:t>
            </w:r>
          </w:p>
        </w:tc>
        <w:tc>
          <w:tcPr>
            <w:tcW w:w="1364" w:type="dxa"/>
            <w:vAlign w:val="center"/>
          </w:tcPr>
          <w:p w14:paraId="4BA757BC"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-$3.94 </w:t>
            </w:r>
          </w:p>
        </w:tc>
        <w:tc>
          <w:tcPr>
            <w:tcW w:w="1751" w:type="dxa"/>
            <w:vAlign w:val="center"/>
          </w:tcPr>
          <w:p w14:paraId="6DDDB0A5"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-$20,6</w:t>
            </w:r>
            <w:r>
              <w:rPr>
                <w:rFonts w:asciiTheme="minorHAnsi" w:hAnsiTheme="minorHAnsi" w:cstheme="minorHAnsi"/>
              </w:rPr>
              <w:t>40</w:t>
            </w:r>
          </w:p>
        </w:tc>
        <w:tc>
          <w:tcPr>
            <w:tcW w:w="1357" w:type="dxa"/>
            <w:vAlign w:val="center"/>
          </w:tcPr>
          <w:p w14:paraId="6CCE929D"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-0.02% </w:t>
            </w:r>
          </w:p>
        </w:tc>
        <w:tc>
          <w:tcPr>
            <w:tcW w:w="1361" w:type="dxa"/>
            <w:vAlign w:val="center"/>
          </w:tcPr>
          <w:p w14:paraId="4BDB87CC"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-2</w:t>
            </w:r>
            <w:r>
              <w:rPr>
                <w:rFonts w:asciiTheme="minorHAnsi" w:hAnsiTheme="minorHAnsi" w:cstheme="minorHAnsi"/>
              </w:rPr>
              <w:t>8.9</w:t>
            </w:r>
          </w:p>
        </w:tc>
        <w:tc>
          <w:tcPr>
            <w:tcW w:w="1363" w:type="dxa"/>
            <w:vAlign w:val="center"/>
          </w:tcPr>
          <w:p w14:paraId="3FF57334"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-$1.88 </w:t>
            </w:r>
          </w:p>
        </w:tc>
        <w:tc>
          <w:tcPr>
            <w:tcW w:w="1721" w:type="dxa"/>
            <w:vAlign w:val="center"/>
          </w:tcPr>
          <w:p w14:paraId="4651606A" w14:textId="77777777" w:rsidR="00234C54" w:rsidRPr="00EE4988" w:rsidRDefault="00234C54" w:rsidP="00234C54">
            <w:pPr>
              <w:pStyle w:val="Default"/>
              <w:jc w:val="right"/>
              <w:rPr>
                <w:rFonts w:asciiTheme="minorHAnsi" w:hAnsiTheme="minorHAnsi" w:cstheme="minorHAnsi"/>
              </w:rPr>
            </w:pPr>
            <w:r w:rsidRPr="00EE4988">
              <w:rPr>
                <w:rFonts w:asciiTheme="minorHAnsi" w:hAnsiTheme="minorHAnsi" w:cstheme="minorHAnsi"/>
              </w:rPr>
              <w:t xml:space="preserve">-$9,867 </w:t>
            </w:r>
          </w:p>
        </w:tc>
      </w:tr>
    </w:tbl>
    <w:p w14:paraId="5CF2CF9F" w14:textId="77777777" w:rsidR="003B4C28" w:rsidRDefault="003B4C28" w:rsidP="00A635F1"/>
    <w:p w14:paraId="1C0312ED" w14:textId="77777777" w:rsidR="003B4C28" w:rsidRDefault="003B4C28">
      <w:r>
        <w:br w:type="page"/>
      </w:r>
    </w:p>
    <w:p w14:paraId="5846C407" w14:textId="6A13FDF8" w:rsidR="00A635F1" w:rsidRDefault="00A635F1" w:rsidP="00A635F1">
      <w:r>
        <w:lastRenderedPageBreak/>
        <w:t>Table 6. Effects of hydrilla on annual recreational fishing participation (1000s of days) and consumer surplus (CS) ($1000s) under the worst-case and best-case scenarios.</w:t>
      </w:r>
    </w:p>
    <w:tbl>
      <w:tblPr>
        <w:tblStyle w:val="TableGrid"/>
        <w:tblW w:w="131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1354"/>
        <w:gridCol w:w="1375"/>
        <w:gridCol w:w="1363"/>
        <w:gridCol w:w="1749"/>
        <w:gridCol w:w="1357"/>
        <w:gridCol w:w="1361"/>
        <w:gridCol w:w="1362"/>
        <w:gridCol w:w="1723"/>
      </w:tblGrid>
      <w:tr w:rsidR="00A635F1" w14:paraId="68EBF194" w14:textId="77777777" w:rsidTr="000E728A">
        <w:tc>
          <w:tcPr>
            <w:tcW w:w="1491" w:type="dxa"/>
            <w:vMerge w:val="restart"/>
            <w:tcBorders>
              <w:top w:val="single" w:sz="4" w:space="0" w:color="auto"/>
              <w:bottom w:val="nil"/>
            </w:tcBorders>
            <w:vAlign w:val="bottom"/>
          </w:tcPr>
          <w:p w14:paraId="2DDB26F9" w14:textId="77777777" w:rsidR="00A635F1" w:rsidRDefault="00A635F1" w:rsidP="000E728A">
            <w:r>
              <w:t>State of Residence</w:t>
            </w:r>
          </w:p>
        </w:tc>
        <w:tc>
          <w:tcPr>
            <w:tcW w:w="5841" w:type="dxa"/>
            <w:gridSpan w:val="4"/>
            <w:tcBorders>
              <w:top w:val="single" w:sz="4" w:space="0" w:color="auto"/>
              <w:bottom w:val="nil"/>
            </w:tcBorders>
            <w:vAlign w:val="bottom"/>
          </w:tcPr>
          <w:p w14:paraId="4B72DD8C" w14:textId="0E506646" w:rsidR="00A635F1" w:rsidRDefault="00DD57A7" w:rsidP="000E728A">
            <w:pPr>
              <w:jc w:val="center"/>
            </w:pPr>
            <w:r>
              <w:t>Worst-case</w:t>
            </w:r>
            <w:r w:rsidR="00A635F1">
              <w:t xml:space="preserve"> Scenario </w:t>
            </w:r>
          </w:p>
        </w:tc>
        <w:tc>
          <w:tcPr>
            <w:tcW w:w="5803" w:type="dxa"/>
            <w:gridSpan w:val="4"/>
            <w:tcBorders>
              <w:top w:val="single" w:sz="4" w:space="0" w:color="auto"/>
              <w:bottom w:val="nil"/>
            </w:tcBorders>
            <w:vAlign w:val="bottom"/>
          </w:tcPr>
          <w:p w14:paraId="10AA1B74" w14:textId="041D129A" w:rsidR="00A635F1" w:rsidRDefault="00DD57A7" w:rsidP="000E728A">
            <w:pPr>
              <w:jc w:val="center"/>
            </w:pPr>
            <w:r>
              <w:t>Best-case</w:t>
            </w:r>
            <w:r w:rsidR="00A635F1">
              <w:t xml:space="preserve"> Scenario</w:t>
            </w:r>
          </w:p>
        </w:tc>
      </w:tr>
      <w:tr w:rsidR="00A635F1" w14:paraId="3529448A" w14:textId="77777777" w:rsidTr="000E728A">
        <w:tc>
          <w:tcPr>
            <w:tcW w:w="1491" w:type="dxa"/>
            <w:vMerge/>
            <w:tcBorders>
              <w:top w:val="nil"/>
              <w:bottom w:val="single" w:sz="4" w:space="0" w:color="auto"/>
            </w:tcBorders>
          </w:tcPr>
          <w:p w14:paraId="3E9F9CB3" w14:textId="77777777" w:rsidR="00A635F1" w:rsidRDefault="00A635F1" w:rsidP="000E728A"/>
        </w:tc>
        <w:tc>
          <w:tcPr>
            <w:tcW w:w="1354" w:type="dxa"/>
            <w:tcBorders>
              <w:top w:val="nil"/>
              <w:bottom w:val="single" w:sz="4" w:space="0" w:color="auto"/>
            </w:tcBorders>
            <w:vAlign w:val="bottom"/>
          </w:tcPr>
          <w:p w14:paraId="0C4B4204" w14:textId="77777777" w:rsidR="00A635F1" w:rsidRDefault="00A635F1" w:rsidP="000E728A">
            <w:r>
              <w:t>Percent Change Fishing Days</w:t>
            </w:r>
          </w:p>
        </w:tc>
        <w:tc>
          <w:tcPr>
            <w:tcW w:w="1375" w:type="dxa"/>
            <w:tcBorders>
              <w:top w:val="nil"/>
              <w:bottom w:val="single" w:sz="4" w:space="0" w:color="auto"/>
            </w:tcBorders>
            <w:vAlign w:val="bottom"/>
          </w:tcPr>
          <w:p w14:paraId="3E3055C4" w14:textId="77777777" w:rsidR="00A635F1" w:rsidRDefault="00A635F1" w:rsidP="000E728A">
            <w:r>
              <w:t>Change in Total Fishing Days (1000s)</w:t>
            </w:r>
          </w:p>
        </w:tc>
        <w:tc>
          <w:tcPr>
            <w:tcW w:w="1363" w:type="dxa"/>
            <w:tcBorders>
              <w:top w:val="nil"/>
              <w:bottom w:val="single" w:sz="4" w:space="0" w:color="auto"/>
            </w:tcBorders>
            <w:vAlign w:val="bottom"/>
          </w:tcPr>
          <w:p w14:paraId="5F571086" w14:textId="77777777" w:rsidR="00A635F1" w:rsidRDefault="00A635F1" w:rsidP="000E728A">
            <w:r>
              <w:t>Average CS Change per Angler ($)</w:t>
            </w:r>
          </w:p>
        </w:tc>
        <w:tc>
          <w:tcPr>
            <w:tcW w:w="1749" w:type="dxa"/>
            <w:tcBorders>
              <w:top w:val="nil"/>
              <w:bottom w:val="single" w:sz="4" w:space="0" w:color="auto"/>
            </w:tcBorders>
            <w:vAlign w:val="bottom"/>
          </w:tcPr>
          <w:p w14:paraId="2A21DA18" w14:textId="77777777" w:rsidR="00A635F1" w:rsidRDefault="00A635F1" w:rsidP="000E728A">
            <w:r>
              <w:t>Total CS Change</w:t>
            </w:r>
          </w:p>
          <w:p w14:paraId="6FB89665" w14:textId="77777777" w:rsidR="00A635F1" w:rsidRDefault="00A635F1" w:rsidP="000E728A">
            <w:r>
              <w:t>($1000s)</w:t>
            </w:r>
          </w:p>
        </w:tc>
        <w:tc>
          <w:tcPr>
            <w:tcW w:w="1357" w:type="dxa"/>
            <w:tcBorders>
              <w:top w:val="nil"/>
              <w:bottom w:val="single" w:sz="4" w:space="0" w:color="auto"/>
            </w:tcBorders>
            <w:vAlign w:val="bottom"/>
          </w:tcPr>
          <w:p w14:paraId="176E8C11" w14:textId="77777777" w:rsidR="00A635F1" w:rsidRDefault="00A635F1" w:rsidP="000E728A">
            <w:r>
              <w:t>Percent Change Fishing Days</w:t>
            </w:r>
          </w:p>
        </w:tc>
        <w:tc>
          <w:tcPr>
            <w:tcW w:w="1361" w:type="dxa"/>
            <w:tcBorders>
              <w:top w:val="nil"/>
              <w:bottom w:val="single" w:sz="4" w:space="0" w:color="auto"/>
            </w:tcBorders>
            <w:vAlign w:val="bottom"/>
          </w:tcPr>
          <w:p w14:paraId="070026E5" w14:textId="77777777" w:rsidR="00A635F1" w:rsidRDefault="00A635F1" w:rsidP="000E728A">
            <w:r>
              <w:t>Change in Total Fishing Days (1000s)</w:t>
            </w:r>
          </w:p>
        </w:tc>
        <w:tc>
          <w:tcPr>
            <w:tcW w:w="1362" w:type="dxa"/>
            <w:tcBorders>
              <w:top w:val="nil"/>
              <w:bottom w:val="single" w:sz="4" w:space="0" w:color="auto"/>
            </w:tcBorders>
            <w:vAlign w:val="bottom"/>
          </w:tcPr>
          <w:p w14:paraId="2BE0D3F1" w14:textId="77777777" w:rsidR="00A635F1" w:rsidRDefault="00A635F1" w:rsidP="000E728A">
            <w:r>
              <w:t>Average CS Change per Angler ($)</w:t>
            </w:r>
          </w:p>
        </w:tc>
        <w:tc>
          <w:tcPr>
            <w:tcW w:w="1723" w:type="dxa"/>
            <w:tcBorders>
              <w:top w:val="nil"/>
              <w:bottom w:val="single" w:sz="4" w:space="0" w:color="auto"/>
            </w:tcBorders>
            <w:vAlign w:val="bottom"/>
          </w:tcPr>
          <w:p w14:paraId="6B2F9998" w14:textId="77777777" w:rsidR="00A635F1" w:rsidRDefault="00A635F1" w:rsidP="000E728A">
            <w:r>
              <w:t>Total CS Change</w:t>
            </w:r>
          </w:p>
          <w:p w14:paraId="1C243C48" w14:textId="77777777" w:rsidR="00A635F1" w:rsidRDefault="00A635F1" w:rsidP="000E728A">
            <w:r>
              <w:t>($1000s)</w:t>
            </w:r>
          </w:p>
        </w:tc>
      </w:tr>
      <w:tr w:rsidR="00A635F1" w:rsidRPr="002A6ED3" w14:paraId="7803A003" w14:textId="77777777" w:rsidTr="000E728A">
        <w:tc>
          <w:tcPr>
            <w:tcW w:w="1491" w:type="dxa"/>
            <w:tcBorders>
              <w:top w:val="single" w:sz="4" w:space="0" w:color="auto"/>
            </w:tcBorders>
          </w:tcPr>
          <w:p w14:paraId="0B372652" w14:textId="77777777" w:rsidR="00A635F1" w:rsidRPr="002A6ED3" w:rsidRDefault="00A635F1" w:rsidP="000E728A">
            <w:pPr>
              <w:rPr>
                <w:rFonts w:cstheme="minorHAnsi"/>
                <w:szCs w:val="24"/>
              </w:rPr>
            </w:pPr>
            <w:r w:rsidRPr="002A6ED3">
              <w:rPr>
                <w:rFonts w:cstheme="minorHAnsi"/>
                <w:szCs w:val="24"/>
              </w:rPr>
              <w:t>Illinois</w:t>
            </w:r>
          </w:p>
        </w:tc>
        <w:tc>
          <w:tcPr>
            <w:tcW w:w="1354" w:type="dxa"/>
            <w:tcBorders>
              <w:top w:val="single" w:sz="4" w:space="0" w:color="auto"/>
            </w:tcBorders>
            <w:vAlign w:val="center"/>
          </w:tcPr>
          <w:p w14:paraId="5DC5D68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-0.07% </w:t>
            </w:r>
          </w:p>
        </w:tc>
        <w:tc>
          <w:tcPr>
            <w:tcW w:w="1375" w:type="dxa"/>
            <w:tcBorders>
              <w:top w:val="single" w:sz="4" w:space="0" w:color="auto"/>
            </w:tcBorders>
            <w:vAlign w:val="center"/>
          </w:tcPr>
          <w:p w14:paraId="09C2EDF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-16.5</w:t>
            </w:r>
          </w:p>
        </w:tc>
        <w:tc>
          <w:tcPr>
            <w:tcW w:w="1363" w:type="dxa"/>
            <w:tcBorders>
              <w:top w:val="single" w:sz="4" w:space="0" w:color="auto"/>
            </w:tcBorders>
            <w:vAlign w:val="center"/>
          </w:tcPr>
          <w:p w14:paraId="163064D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-$9.31 </w:t>
            </w:r>
          </w:p>
        </w:tc>
        <w:tc>
          <w:tcPr>
            <w:tcW w:w="1749" w:type="dxa"/>
            <w:tcBorders>
              <w:top w:val="single" w:sz="4" w:space="0" w:color="auto"/>
            </w:tcBorders>
            <w:vAlign w:val="center"/>
          </w:tcPr>
          <w:p w14:paraId="599A525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-$5,639 </w:t>
            </w:r>
          </w:p>
        </w:tc>
        <w:tc>
          <w:tcPr>
            <w:tcW w:w="1357" w:type="dxa"/>
            <w:tcBorders>
              <w:top w:val="single" w:sz="4" w:space="0" w:color="auto"/>
            </w:tcBorders>
            <w:vAlign w:val="center"/>
          </w:tcPr>
          <w:p w14:paraId="1055CE9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0.07% </w:t>
            </w:r>
          </w:p>
        </w:tc>
        <w:tc>
          <w:tcPr>
            <w:tcW w:w="1361" w:type="dxa"/>
            <w:tcBorders>
              <w:top w:val="single" w:sz="4" w:space="0" w:color="auto"/>
            </w:tcBorders>
            <w:vAlign w:val="center"/>
          </w:tcPr>
          <w:p w14:paraId="46E246E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15.9</w:t>
            </w:r>
          </w:p>
        </w:tc>
        <w:tc>
          <w:tcPr>
            <w:tcW w:w="1362" w:type="dxa"/>
            <w:tcBorders>
              <w:top w:val="single" w:sz="4" w:space="0" w:color="auto"/>
            </w:tcBorders>
            <w:vAlign w:val="center"/>
          </w:tcPr>
          <w:p w14:paraId="71C7B90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$8.97 </w:t>
            </w:r>
          </w:p>
        </w:tc>
        <w:tc>
          <w:tcPr>
            <w:tcW w:w="1723" w:type="dxa"/>
            <w:tcBorders>
              <w:top w:val="single" w:sz="4" w:space="0" w:color="auto"/>
            </w:tcBorders>
            <w:vAlign w:val="center"/>
          </w:tcPr>
          <w:p w14:paraId="1613287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$5,433 </w:t>
            </w:r>
          </w:p>
        </w:tc>
      </w:tr>
      <w:tr w:rsidR="00A635F1" w:rsidRPr="002A6ED3" w14:paraId="26FD26A3" w14:textId="77777777" w:rsidTr="000E728A">
        <w:tc>
          <w:tcPr>
            <w:tcW w:w="1491" w:type="dxa"/>
          </w:tcPr>
          <w:p w14:paraId="3E1E83EF" w14:textId="77777777" w:rsidR="00A635F1" w:rsidRPr="00791E45" w:rsidRDefault="00A635F1" w:rsidP="000E728A">
            <w:pPr>
              <w:rPr>
                <w:rFonts w:cstheme="minorHAnsi"/>
                <w:szCs w:val="24"/>
              </w:rPr>
            </w:pPr>
            <w:r w:rsidRPr="00791E45">
              <w:rPr>
                <w:rFonts w:cstheme="minorHAnsi"/>
                <w:szCs w:val="24"/>
              </w:rPr>
              <w:t>Indiana</w:t>
            </w:r>
          </w:p>
        </w:tc>
        <w:tc>
          <w:tcPr>
            <w:tcW w:w="1354" w:type="dxa"/>
            <w:vAlign w:val="center"/>
          </w:tcPr>
          <w:p w14:paraId="33B8309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-0.02% </w:t>
            </w:r>
          </w:p>
        </w:tc>
        <w:tc>
          <w:tcPr>
            <w:tcW w:w="1375" w:type="dxa"/>
            <w:vAlign w:val="center"/>
          </w:tcPr>
          <w:p w14:paraId="3C2C85E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-2.9</w:t>
            </w:r>
          </w:p>
        </w:tc>
        <w:tc>
          <w:tcPr>
            <w:tcW w:w="1363" w:type="dxa"/>
            <w:vAlign w:val="center"/>
          </w:tcPr>
          <w:p w14:paraId="131A4E4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-$3.02 </w:t>
            </w:r>
          </w:p>
        </w:tc>
        <w:tc>
          <w:tcPr>
            <w:tcW w:w="1749" w:type="dxa"/>
            <w:vAlign w:val="center"/>
          </w:tcPr>
          <w:p w14:paraId="7339E5B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-$1,002 </w:t>
            </w:r>
          </w:p>
        </w:tc>
        <w:tc>
          <w:tcPr>
            <w:tcW w:w="1357" w:type="dxa"/>
            <w:vAlign w:val="center"/>
          </w:tcPr>
          <w:p w14:paraId="0F2D805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0.02% </w:t>
            </w:r>
          </w:p>
        </w:tc>
        <w:tc>
          <w:tcPr>
            <w:tcW w:w="1361" w:type="dxa"/>
            <w:vAlign w:val="center"/>
          </w:tcPr>
          <w:p w14:paraId="5FA200C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3.0</w:t>
            </w:r>
          </w:p>
        </w:tc>
        <w:tc>
          <w:tcPr>
            <w:tcW w:w="1362" w:type="dxa"/>
            <w:vAlign w:val="center"/>
          </w:tcPr>
          <w:p w14:paraId="65054E8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$3.12 </w:t>
            </w:r>
          </w:p>
        </w:tc>
        <w:tc>
          <w:tcPr>
            <w:tcW w:w="1723" w:type="dxa"/>
            <w:vAlign w:val="center"/>
          </w:tcPr>
          <w:p w14:paraId="17A16DC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$1,036</w:t>
            </w:r>
          </w:p>
        </w:tc>
      </w:tr>
      <w:tr w:rsidR="00A635F1" w:rsidRPr="002A6ED3" w14:paraId="514A0AB0" w14:textId="77777777" w:rsidTr="000E728A">
        <w:tc>
          <w:tcPr>
            <w:tcW w:w="1491" w:type="dxa"/>
          </w:tcPr>
          <w:p w14:paraId="58C00FA8" w14:textId="77777777" w:rsidR="00A635F1" w:rsidRPr="00791E45" w:rsidRDefault="00A635F1" w:rsidP="000E728A">
            <w:pPr>
              <w:rPr>
                <w:rFonts w:cstheme="minorHAnsi"/>
                <w:szCs w:val="24"/>
              </w:rPr>
            </w:pPr>
            <w:r w:rsidRPr="00791E45">
              <w:rPr>
                <w:rFonts w:cstheme="minorHAnsi"/>
                <w:szCs w:val="24"/>
              </w:rPr>
              <w:t>Michigan</w:t>
            </w:r>
          </w:p>
        </w:tc>
        <w:tc>
          <w:tcPr>
            <w:tcW w:w="1354" w:type="dxa"/>
            <w:vAlign w:val="center"/>
          </w:tcPr>
          <w:p w14:paraId="5B25951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-0.14% </w:t>
            </w:r>
          </w:p>
        </w:tc>
        <w:tc>
          <w:tcPr>
            <w:tcW w:w="1375" w:type="dxa"/>
            <w:vAlign w:val="center"/>
          </w:tcPr>
          <w:p w14:paraId="4BD4A2B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-39.9 </w:t>
            </w:r>
          </w:p>
        </w:tc>
        <w:tc>
          <w:tcPr>
            <w:tcW w:w="1363" w:type="dxa"/>
            <w:vAlign w:val="center"/>
          </w:tcPr>
          <w:p w14:paraId="3774064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-$16.88 </w:t>
            </w:r>
          </w:p>
        </w:tc>
        <w:tc>
          <w:tcPr>
            <w:tcW w:w="1749" w:type="dxa"/>
            <w:vAlign w:val="center"/>
          </w:tcPr>
          <w:p w14:paraId="79218E8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-$13,600</w:t>
            </w:r>
          </w:p>
        </w:tc>
        <w:tc>
          <w:tcPr>
            <w:tcW w:w="1357" w:type="dxa"/>
            <w:vAlign w:val="center"/>
          </w:tcPr>
          <w:p w14:paraId="1766E9B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0.10% </w:t>
            </w:r>
          </w:p>
        </w:tc>
        <w:tc>
          <w:tcPr>
            <w:tcW w:w="1361" w:type="dxa"/>
            <w:vAlign w:val="center"/>
          </w:tcPr>
          <w:p w14:paraId="62206BA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26.9</w:t>
            </w:r>
          </w:p>
        </w:tc>
        <w:tc>
          <w:tcPr>
            <w:tcW w:w="1362" w:type="dxa"/>
            <w:vAlign w:val="center"/>
          </w:tcPr>
          <w:p w14:paraId="10CE56D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$11.38 </w:t>
            </w:r>
          </w:p>
        </w:tc>
        <w:tc>
          <w:tcPr>
            <w:tcW w:w="1723" w:type="dxa"/>
            <w:vAlign w:val="center"/>
          </w:tcPr>
          <w:p w14:paraId="56E6049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$9,173</w:t>
            </w:r>
          </w:p>
        </w:tc>
      </w:tr>
      <w:tr w:rsidR="00A635F1" w:rsidRPr="002A6ED3" w14:paraId="5BDFCA8F" w14:textId="77777777" w:rsidTr="000E728A">
        <w:tc>
          <w:tcPr>
            <w:tcW w:w="1491" w:type="dxa"/>
          </w:tcPr>
          <w:p w14:paraId="2088DDE0" w14:textId="77777777" w:rsidR="00A635F1" w:rsidRPr="00791E45" w:rsidRDefault="00A635F1" w:rsidP="000E728A">
            <w:pPr>
              <w:rPr>
                <w:rFonts w:cstheme="minorHAnsi"/>
                <w:szCs w:val="24"/>
              </w:rPr>
            </w:pPr>
            <w:r w:rsidRPr="00791E45">
              <w:rPr>
                <w:rFonts w:cstheme="minorHAnsi"/>
                <w:szCs w:val="24"/>
              </w:rPr>
              <w:t>Minnesota</w:t>
            </w:r>
          </w:p>
        </w:tc>
        <w:tc>
          <w:tcPr>
            <w:tcW w:w="1354" w:type="dxa"/>
            <w:vAlign w:val="center"/>
          </w:tcPr>
          <w:p w14:paraId="3DB4AF5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5" w:type="dxa"/>
            <w:vAlign w:val="center"/>
          </w:tcPr>
          <w:p w14:paraId="57B79C0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-0.5</w:t>
            </w:r>
          </w:p>
        </w:tc>
        <w:tc>
          <w:tcPr>
            <w:tcW w:w="1363" w:type="dxa"/>
            <w:vAlign w:val="center"/>
          </w:tcPr>
          <w:p w14:paraId="39EAC42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-$0.15 </w:t>
            </w:r>
          </w:p>
        </w:tc>
        <w:tc>
          <w:tcPr>
            <w:tcW w:w="1749" w:type="dxa"/>
            <w:vAlign w:val="center"/>
          </w:tcPr>
          <w:p w14:paraId="7E745B7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-$156 </w:t>
            </w:r>
          </w:p>
        </w:tc>
        <w:tc>
          <w:tcPr>
            <w:tcW w:w="1357" w:type="dxa"/>
            <w:vAlign w:val="center"/>
          </w:tcPr>
          <w:p w14:paraId="50E6E19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61" w:type="dxa"/>
            <w:vAlign w:val="center"/>
          </w:tcPr>
          <w:p w14:paraId="446A332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0.5</w:t>
            </w:r>
          </w:p>
        </w:tc>
        <w:tc>
          <w:tcPr>
            <w:tcW w:w="1362" w:type="dxa"/>
            <w:vAlign w:val="center"/>
          </w:tcPr>
          <w:p w14:paraId="3939475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$0.15 </w:t>
            </w:r>
          </w:p>
        </w:tc>
        <w:tc>
          <w:tcPr>
            <w:tcW w:w="1723" w:type="dxa"/>
            <w:vAlign w:val="center"/>
          </w:tcPr>
          <w:p w14:paraId="6571DAB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$154</w:t>
            </w:r>
          </w:p>
        </w:tc>
      </w:tr>
      <w:tr w:rsidR="00A635F1" w:rsidRPr="002A6ED3" w14:paraId="00BDAAA0" w14:textId="77777777" w:rsidTr="000E728A">
        <w:tc>
          <w:tcPr>
            <w:tcW w:w="1491" w:type="dxa"/>
          </w:tcPr>
          <w:p w14:paraId="336ABF5E" w14:textId="77777777" w:rsidR="00A635F1" w:rsidRPr="00791E45" w:rsidRDefault="00A635F1" w:rsidP="000E728A">
            <w:pPr>
              <w:rPr>
                <w:rFonts w:cstheme="minorHAnsi"/>
                <w:szCs w:val="24"/>
              </w:rPr>
            </w:pPr>
            <w:r w:rsidRPr="00791E45">
              <w:rPr>
                <w:rFonts w:cstheme="minorHAnsi"/>
                <w:szCs w:val="24"/>
              </w:rPr>
              <w:t>New York</w:t>
            </w:r>
          </w:p>
        </w:tc>
        <w:tc>
          <w:tcPr>
            <w:tcW w:w="1354" w:type="dxa"/>
            <w:vAlign w:val="center"/>
          </w:tcPr>
          <w:p w14:paraId="213C56D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-0.05% </w:t>
            </w:r>
          </w:p>
        </w:tc>
        <w:tc>
          <w:tcPr>
            <w:tcW w:w="1375" w:type="dxa"/>
            <w:vAlign w:val="center"/>
          </w:tcPr>
          <w:p w14:paraId="22DB1EF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-9.6</w:t>
            </w:r>
          </w:p>
        </w:tc>
        <w:tc>
          <w:tcPr>
            <w:tcW w:w="1363" w:type="dxa"/>
            <w:vAlign w:val="center"/>
          </w:tcPr>
          <w:p w14:paraId="4B4096F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-$5.56 </w:t>
            </w:r>
          </w:p>
        </w:tc>
        <w:tc>
          <w:tcPr>
            <w:tcW w:w="1749" w:type="dxa"/>
            <w:vAlign w:val="center"/>
          </w:tcPr>
          <w:p w14:paraId="07EB7CE3"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-$3,279</w:t>
            </w:r>
          </w:p>
        </w:tc>
        <w:tc>
          <w:tcPr>
            <w:tcW w:w="1357" w:type="dxa"/>
            <w:vAlign w:val="center"/>
          </w:tcPr>
          <w:p w14:paraId="7022C21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0.05% </w:t>
            </w:r>
          </w:p>
        </w:tc>
        <w:tc>
          <w:tcPr>
            <w:tcW w:w="1361" w:type="dxa"/>
            <w:vAlign w:val="center"/>
          </w:tcPr>
          <w:p w14:paraId="007BE97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9.7</w:t>
            </w:r>
          </w:p>
        </w:tc>
        <w:tc>
          <w:tcPr>
            <w:tcW w:w="1362" w:type="dxa"/>
            <w:vAlign w:val="center"/>
          </w:tcPr>
          <w:p w14:paraId="2CB7FAE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$5.62 </w:t>
            </w:r>
          </w:p>
        </w:tc>
        <w:tc>
          <w:tcPr>
            <w:tcW w:w="1723" w:type="dxa"/>
            <w:vAlign w:val="center"/>
          </w:tcPr>
          <w:p w14:paraId="2921621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$3,313</w:t>
            </w:r>
          </w:p>
        </w:tc>
      </w:tr>
      <w:tr w:rsidR="00A635F1" w:rsidRPr="002A6ED3" w14:paraId="191DED0D" w14:textId="77777777" w:rsidTr="000E728A">
        <w:tc>
          <w:tcPr>
            <w:tcW w:w="1491" w:type="dxa"/>
          </w:tcPr>
          <w:p w14:paraId="07475AD0" w14:textId="77777777" w:rsidR="00A635F1" w:rsidRPr="00791E45" w:rsidRDefault="00A635F1" w:rsidP="000E728A">
            <w:pPr>
              <w:rPr>
                <w:rFonts w:cstheme="minorHAnsi"/>
                <w:szCs w:val="24"/>
              </w:rPr>
            </w:pPr>
            <w:r w:rsidRPr="00791E45">
              <w:rPr>
                <w:rFonts w:cstheme="minorHAnsi"/>
                <w:szCs w:val="24"/>
              </w:rPr>
              <w:t>Ohio</w:t>
            </w:r>
          </w:p>
        </w:tc>
        <w:tc>
          <w:tcPr>
            <w:tcW w:w="1354" w:type="dxa"/>
            <w:vAlign w:val="center"/>
          </w:tcPr>
          <w:p w14:paraId="57738C8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-0.12% </w:t>
            </w:r>
          </w:p>
        </w:tc>
        <w:tc>
          <w:tcPr>
            <w:tcW w:w="1375" w:type="dxa"/>
            <w:vAlign w:val="center"/>
          </w:tcPr>
          <w:p w14:paraId="06E221A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-19.6</w:t>
            </w:r>
          </w:p>
        </w:tc>
        <w:tc>
          <w:tcPr>
            <w:tcW w:w="1363" w:type="dxa"/>
            <w:vAlign w:val="center"/>
          </w:tcPr>
          <w:p w14:paraId="2C31057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-$12.85 </w:t>
            </w:r>
          </w:p>
        </w:tc>
        <w:tc>
          <w:tcPr>
            <w:tcW w:w="1749" w:type="dxa"/>
            <w:vAlign w:val="center"/>
          </w:tcPr>
          <w:p w14:paraId="6FAC6AB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-$6,693 </w:t>
            </w:r>
          </w:p>
        </w:tc>
        <w:tc>
          <w:tcPr>
            <w:tcW w:w="1357" w:type="dxa"/>
            <w:vAlign w:val="center"/>
          </w:tcPr>
          <w:p w14:paraId="4487EF2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0.12% </w:t>
            </w:r>
          </w:p>
        </w:tc>
        <w:tc>
          <w:tcPr>
            <w:tcW w:w="1361" w:type="dxa"/>
            <w:vAlign w:val="center"/>
          </w:tcPr>
          <w:p w14:paraId="2DEEE6B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19.5</w:t>
            </w:r>
          </w:p>
        </w:tc>
        <w:tc>
          <w:tcPr>
            <w:tcW w:w="1362" w:type="dxa"/>
            <w:vAlign w:val="center"/>
          </w:tcPr>
          <w:p w14:paraId="4115C6C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$12.80 </w:t>
            </w:r>
          </w:p>
        </w:tc>
        <w:tc>
          <w:tcPr>
            <w:tcW w:w="1723" w:type="dxa"/>
            <w:vAlign w:val="center"/>
          </w:tcPr>
          <w:p w14:paraId="7B76D6D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$6,667</w:t>
            </w:r>
          </w:p>
        </w:tc>
      </w:tr>
      <w:tr w:rsidR="00A635F1" w:rsidRPr="002A6ED3" w14:paraId="1EB93777" w14:textId="77777777" w:rsidTr="000E728A">
        <w:tc>
          <w:tcPr>
            <w:tcW w:w="1491" w:type="dxa"/>
          </w:tcPr>
          <w:p w14:paraId="2C1BBC81" w14:textId="77777777" w:rsidR="00A635F1" w:rsidRPr="00791E45" w:rsidRDefault="00A635F1" w:rsidP="000E728A">
            <w:pPr>
              <w:rPr>
                <w:rFonts w:cstheme="minorHAnsi"/>
                <w:szCs w:val="24"/>
              </w:rPr>
            </w:pPr>
            <w:r w:rsidRPr="00791E45">
              <w:rPr>
                <w:rFonts w:cstheme="minorHAnsi"/>
                <w:szCs w:val="24"/>
              </w:rPr>
              <w:t>Pennsylvania</w:t>
            </w:r>
          </w:p>
        </w:tc>
        <w:tc>
          <w:tcPr>
            <w:tcW w:w="1354" w:type="dxa"/>
            <w:vAlign w:val="center"/>
          </w:tcPr>
          <w:p w14:paraId="3F1B5DD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5" w:type="dxa"/>
            <w:vAlign w:val="center"/>
          </w:tcPr>
          <w:p w14:paraId="17EC6ED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-1.2</w:t>
            </w:r>
          </w:p>
        </w:tc>
        <w:tc>
          <w:tcPr>
            <w:tcW w:w="1363" w:type="dxa"/>
            <w:vAlign w:val="center"/>
          </w:tcPr>
          <w:p w14:paraId="6465884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-$0.64 </w:t>
            </w:r>
          </w:p>
        </w:tc>
        <w:tc>
          <w:tcPr>
            <w:tcW w:w="1749" w:type="dxa"/>
            <w:vAlign w:val="center"/>
          </w:tcPr>
          <w:p w14:paraId="262AA30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-$405</w:t>
            </w:r>
          </w:p>
        </w:tc>
        <w:tc>
          <w:tcPr>
            <w:tcW w:w="1357" w:type="dxa"/>
            <w:vAlign w:val="center"/>
          </w:tcPr>
          <w:p w14:paraId="4CBE029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61" w:type="dxa"/>
            <w:vAlign w:val="center"/>
          </w:tcPr>
          <w:p w14:paraId="30761EA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1.2</w:t>
            </w:r>
          </w:p>
        </w:tc>
        <w:tc>
          <w:tcPr>
            <w:tcW w:w="1362" w:type="dxa"/>
            <w:vAlign w:val="center"/>
          </w:tcPr>
          <w:p w14:paraId="3E83485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$0.67 </w:t>
            </w:r>
          </w:p>
        </w:tc>
        <w:tc>
          <w:tcPr>
            <w:tcW w:w="1723" w:type="dxa"/>
            <w:vAlign w:val="center"/>
          </w:tcPr>
          <w:p w14:paraId="4D7BBAC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$423 </w:t>
            </w:r>
          </w:p>
        </w:tc>
      </w:tr>
      <w:tr w:rsidR="00A635F1" w:rsidRPr="002A6ED3" w14:paraId="6491D279" w14:textId="77777777" w:rsidTr="000E728A">
        <w:tc>
          <w:tcPr>
            <w:tcW w:w="1491" w:type="dxa"/>
          </w:tcPr>
          <w:p w14:paraId="42919B89" w14:textId="77777777" w:rsidR="00A635F1" w:rsidRPr="00791E45" w:rsidRDefault="00A635F1" w:rsidP="000E728A">
            <w:pPr>
              <w:rPr>
                <w:rFonts w:cstheme="minorHAnsi"/>
                <w:szCs w:val="24"/>
              </w:rPr>
            </w:pPr>
            <w:r w:rsidRPr="00791E45">
              <w:rPr>
                <w:rFonts w:cstheme="minorHAnsi"/>
                <w:szCs w:val="24"/>
              </w:rPr>
              <w:t>Wisconsin</w:t>
            </w:r>
          </w:p>
        </w:tc>
        <w:tc>
          <w:tcPr>
            <w:tcW w:w="1354" w:type="dxa"/>
            <w:vAlign w:val="center"/>
          </w:tcPr>
          <w:p w14:paraId="67089F4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-0.05% </w:t>
            </w:r>
          </w:p>
        </w:tc>
        <w:tc>
          <w:tcPr>
            <w:tcW w:w="1375" w:type="dxa"/>
            <w:vAlign w:val="center"/>
          </w:tcPr>
          <w:p w14:paraId="50D4203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-11.8</w:t>
            </w:r>
          </w:p>
        </w:tc>
        <w:tc>
          <w:tcPr>
            <w:tcW w:w="1363" w:type="dxa"/>
            <w:vAlign w:val="center"/>
          </w:tcPr>
          <w:p w14:paraId="74E4D69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-$5.54 </w:t>
            </w:r>
          </w:p>
        </w:tc>
        <w:tc>
          <w:tcPr>
            <w:tcW w:w="1749" w:type="dxa"/>
            <w:vAlign w:val="center"/>
          </w:tcPr>
          <w:p w14:paraId="0A0A2FD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-$4,040</w:t>
            </w:r>
          </w:p>
        </w:tc>
        <w:tc>
          <w:tcPr>
            <w:tcW w:w="1357" w:type="dxa"/>
            <w:vAlign w:val="center"/>
          </w:tcPr>
          <w:p w14:paraId="43D8EBE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0.04% </w:t>
            </w:r>
          </w:p>
        </w:tc>
        <w:tc>
          <w:tcPr>
            <w:tcW w:w="1361" w:type="dxa"/>
            <w:vAlign w:val="center"/>
          </w:tcPr>
          <w:p w14:paraId="73DE85E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9.9</w:t>
            </w:r>
          </w:p>
        </w:tc>
        <w:tc>
          <w:tcPr>
            <w:tcW w:w="1362" w:type="dxa"/>
            <w:vAlign w:val="center"/>
          </w:tcPr>
          <w:p w14:paraId="3AC40DB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$4.63 </w:t>
            </w:r>
          </w:p>
        </w:tc>
        <w:tc>
          <w:tcPr>
            <w:tcW w:w="1723" w:type="dxa"/>
            <w:vAlign w:val="center"/>
          </w:tcPr>
          <w:p w14:paraId="0E4E153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$3,375 </w:t>
            </w:r>
          </w:p>
        </w:tc>
      </w:tr>
      <w:tr w:rsidR="00A635F1" w:rsidRPr="002A6ED3" w14:paraId="0883BA3E" w14:textId="77777777" w:rsidTr="000E728A">
        <w:tc>
          <w:tcPr>
            <w:tcW w:w="1491" w:type="dxa"/>
          </w:tcPr>
          <w:p w14:paraId="49445BD3" w14:textId="77777777" w:rsidR="00A635F1" w:rsidRPr="00791E45" w:rsidRDefault="00A635F1" w:rsidP="000E728A">
            <w:pPr>
              <w:rPr>
                <w:rFonts w:cstheme="minorHAnsi"/>
                <w:szCs w:val="24"/>
              </w:rPr>
            </w:pPr>
            <w:r w:rsidRPr="00791E45">
              <w:rPr>
                <w:rFonts w:cstheme="minorHAnsi"/>
                <w:szCs w:val="24"/>
              </w:rPr>
              <w:t>Totals</w:t>
            </w:r>
          </w:p>
        </w:tc>
        <w:tc>
          <w:tcPr>
            <w:tcW w:w="1354" w:type="dxa"/>
            <w:vAlign w:val="center"/>
          </w:tcPr>
          <w:p w14:paraId="5E838EC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-0.06% </w:t>
            </w:r>
          </w:p>
        </w:tc>
        <w:tc>
          <w:tcPr>
            <w:tcW w:w="1375" w:type="dxa"/>
            <w:vAlign w:val="center"/>
          </w:tcPr>
          <w:p w14:paraId="780891E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-102.0</w:t>
            </w:r>
          </w:p>
        </w:tc>
        <w:tc>
          <w:tcPr>
            <w:tcW w:w="1363" w:type="dxa"/>
            <w:vAlign w:val="center"/>
          </w:tcPr>
          <w:p w14:paraId="7BD2143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-$6.64 </w:t>
            </w:r>
          </w:p>
        </w:tc>
        <w:tc>
          <w:tcPr>
            <w:tcW w:w="1749" w:type="dxa"/>
            <w:vAlign w:val="center"/>
          </w:tcPr>
          <w:p w14:paraId="455DB4E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-$34,814 </w:t>
            </w:r>
          </w:p>
        </w:tc>
        <w:tc>
          <w:tcPr>
            <w:tcW w:w="1357" w:type="dxa"/>
            <w:vAlign w:val="center"/>
          </w:tcPr>
          <w:p w14:paraId="36F0F92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0.05% </w:t>
            </w:r>
          </w:p>
        </w:tc>
        <w:tc>
          <w:tcPr>
            <w:tcW w:w="1361" w:type="dxa"/>
            <w:vAlign w:val="center"/>
          </w:tcPr>
          <w:p w14:paraId="5593FA3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86.6</w:t>
            </w:r>
          </w:p>
        </w:tc>
        <w:tc>
          <w:tcPr>
            <w:tcW w:w="1362" w:type="dxa"/>
            <w:vAlign w:val="center"/>
          </w:tcPr>
          <w:p w14:paraId="28F37CD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$5.64 </w:t>
            </w:r>
          </w:p>
        </w:tc>
        <w:tc>
          <w:tcPr>
            <w:tcW w:w="1723" w:type="dxa"/>
            <w:vAlign w:val="center"/>
          </w:tcPr>
          <w:p w14:paraId="2008B13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$29,574 </w:t>
            </w:r>
          </w:p>
        </w:tc>
      </w:tr>
    </w:tbl>
    <w:p w14:paraId="408C8A88" w14:textId="77777777" w:rsidR="00A635F1" w:rsidRDefault="00A635F1" w:rsidP="00A635F1"/>
    <w:p w14:paraId="2447BC36" w14:textId="77777777" w:rsidR="00234C54" w:rsidRPr="00CB42D2" w:rsidRDefault="00234C54" w:rsidP="00234C54"/>
    <w:p w14:paraId="72DEC20E" w14:textId="77777777" w:rsidR="003B4C28" w:rsidRDefault="003B4C28">
      <w:r>
        <w:br w:type="page"/>
      </w:r>
    </w:p>
    <w:p w14:paraId="7487E775" w14:textId="47A3D2E7" w:rsidR="00A635F1" w:rsidRDefault="00A635F1" w:rsidP="00A635F1">
      <w:r>
        <w:lastRenderedPageBreak/>
        <w:t>Table 7. Effects of quagga mussel on annual recreational fishing participation (1000s of days) and consumer surplus (CS) ($1000s) under the worst-case and best-case scenarios.</w:t>
      </w:r>
    </w:p>
    <w:tbl>
      <w:tblPr>
        <w:tblStyle w:val="TableGrid"/>
        <w:tblW w:w="131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1355"/>
        <w:gridCol w:w="1374"/>
        <w:gridCol w:w="1363"/>
        <w:gridCol w:w="1752"/>
        <w:gridCol w:w="1357"/>
        <w:gridCol w:w="1361"/>
        <w:gridCol w:w="1362"/>
        <w:gridCol w:w="1720"/>
      </w:tblGrid>
      <w:tr w:rsidR="00A635F1" w14:paraId="53FCF248" w14:textId="77777777" w:rsidTr="000E728A">
        <w:tc>
          <w:tcPr>
            <w:tcW w:w="1491" w:type="dxa"/>
            <w:vMerge w:val="restart"/>
            <w:tcBorders>
              <w:top w:val="single" w:sz="4" w:space="0" w:color="auto"/>
              <w:bottom w:val="nil"/>
            </w:tcBorders>
            <w:vAlign w:val="bottom"/>
          </w:tcPr>
          <w:p w14:paraId="1CC77249" w14:textId="77777777" w:rsidR="00A635F1" w:rsidRDefault="00A635F1" w:rsidP="000E728A">
            <w:r>
              <w:t>State of Residence</w:t>
            </w:r>
          </w:p>
        </w:tc>
        <w:tc>
          <w:tcPr>
            <w:tcW w:w="5844" w:type="dxa"/>
            <w:gridSpan w:val="4"/>
            <w:tcBorders>
              <w:top w:val="single" w:sz="4" w:space="0" w:color="auto"/>
              <w:bottom w:val="nil"/>
            </w:tcBorders>
            <w:vAlign w:val="bottom"/>
          </w:tcPr>
          <w:p w14:paraId="2A781AE2" w14:textId="5009BC72" w:rsidR="00A635F1" w:rsidRDefault="00DD57A7" w:rsidP="000E728A">
            <w:pPr>
              <w:jc w:val="center"/>
            </w:pPr>
            <w:r>
              <w:t>Worst-case</w:t>
            </w:r>
            <w:r w:rsidR="00A635F1">
              <w:t xml:space="preserve"> Scenario </w:t>
            </w:r>
          </w:p>
        </w:tc>
        <w:tc>
          <w:tcPr>
            <w:tcW w:w="5800" w:type="dxa"/>
            <w:gridSpan w:val="4"/>
            <w:tcBorders>
              <w:top w:val="single" w:sz="4" w:space="0" w:color="auto"/>
              <w:bottom w:val="nil"/>
            </w:tcBorders>
            <w:vAlign w:val="bottom"/>
          </w:tcPr>
          <w:p w14:paraId="5CAC2B10" w14:textId="4C51F710" w:rsidR="00A635F1" w:rsidRDefault="00DD57A7" w:rsidP="000E728A">
            <w:pPr>
              <w:jc w:val="center"/>
            </w:pPr>
            <w:r>
              <w:t>Best-case</w:t>
            </w:r>
            <w:r w:rsidR="00A635F1">
              <w:t xml:space="preserve"> Scenario</w:t>
            </w:r>
          </w:p>
        </w:tc>
      </w:tr>
      <w:tr w:rsidR="00A635F1" w14:paraId="1CF4E471" w14:textId="77777777" w:rsidTr="000E728A">
        <w:tc>
          <w:tcPr>
            <w:tcW w:w="1491" w:type="dxa"/>
            <w:vMerge/>
            <w:tcBorders>
              <w:top w:val="nil"/>
              <w:bottom w:val="single" w:sz="4" w:space="0" w:color="auto"/>
            </w:tcBorders>
          </w:tcPr>
          <w:p w14:paraId="29E79C75" w14:textId="77777777" w:rsidR="00A635F1" w:rsidRDefault="00A635F1" w:rsidP="000E728A"/>
        </w:tc>
        <w:tc>
          <w:tcPr>
            <w:tcW w:w="1355" w:type="dxa"/>
            <w:tcBorders>
              <w:top w:val="nil"/>
              <w:bottom w:val="single" w:sz="4" w:space="0" w:color="auto"/>
            </w:tcBorders>
            <w:vAlign w:val="bottom"/>
          </w:tcPr>
          <w:p w14:paraId="356A085A" w14:textId="77777777" w:rsidR="00A635F1" w:rsidRDefault="00A635F1" w:rsidP="000E728A">
            <w:r>
              <w:t>Percent Change Fishing Days</w:t>
            </w:r>
          </w:p>
        </w:tc>
        <w:tc>
          <w:tcPr>
            <w:tcW w:w="1374" w:type="dxa"/>
            <w:tcBorders>
              <w:top w:val="nil"/>
              <w:bottom w:val="single" w:sz="4" w:space="0" w:color="auto"/>
            </w:tcBorders>
            <w:vAlign w:val="bottom"/>
          </w:tcPr>
          <w:p w14:paraId="3FCF21FD" w14:textId="77777777" w:rsidR="00A635F1" w:rsidRDefault="00A635F1" w:rsidP="000E728A">
            <w:r>
              <w:t>Change in Total Fishing Days (1000s)</w:t>
            </w:r>
          </w:p>
        </w:tc>
        <w:tc>
          <w:tcPr>
            <w:tcW w:w="1363" w:type="dxa"/>
            <w:tcBorders>
              <w:top w:val="nil"/>
              <w:bottom w:val="single" w:sz="4" w:space="0" w:color="auto"/>
            </w:tcBorders>
            <w:vAlign w:val="bottom"/>
          </w:tcPr>
          <w:p w14:paraId="0857B0B8" w14:textId="77777777" w:rsidR="00A635F1" w:rsidRDefault="00A635F1" w:rsidP="000E728A">
            <w:r>
              <w:t>Average CS Change per Angler ($)</w:t>
            </w:r>
          </w:p>
        </w:tc>
        <w:tc>
          <w:tcPr>
            <w:tcW w:w="1752" w:type="dxa"/>
            <w:tcBorders>
              <w:top w:val="nil"/>
              <w:bottom w:val="single" w:sz="4" w:space="0" w:color="auto"/>
            </w:tcBorders>
            <w:vAlign w:val="bottom"/>
          </w:tcPr>
          <w:p w14:paraId="27233319" w14:textId="77777777" w:rsidR="00A635F1" w:rsidRDefault="00A635F1" w:rsidP="000E728A">
            <w:r>
              <w:t>Total CS Change</w:t>
            </w:r>
          </w:p>
          <w:p w14:paraId="0C6C1F06" w14:textId="77777777" w:rsidR="00A635F1" w:rsidRDefault="00A635F1" w:rsidP="000E728A">
            <w:r>
              <w:t>($1000s)</w:t>
            </w:r>
          </w:p>
        </w:tc>
        <w:tc>
          <w:tcPr>
            <w:tcW w:w="1357" w:type="dxa"/>
            <w:tcBorders>
              <w:top w:val="nil"/>
              <w:bottom w:val="single" w:sz="4" w:space="0" w:color="auto"/>
            </w:tcBorders>
            <w:vAlign w:val="bottom"/>
          </w:tcPr>
          <w:p w14:paraId="2AEEF3F6" w14:textId="77777777" w:rsidR="00A635F1" w:rsidRDefault="00A635F1" w:rsidP="000E728A">
            <w:r>
              <w:t>Percent Change Fishing Days</w:t>
            </w:r>
          </w:p>
        </w:tc>
        <w:tc>
          <w:tcPr>
            <w:tcW w:w="1361" w:type="dxa"/>
            <w:tcBorders>
              <w:top w:val="nil"/>
              <w:bottom w:val="single" w:sz="4" w:space="0" w:color="auto"/>
            </w:tcBorders>
            <w:vAlign w:val="bottom"/>
          </w:tcPr>
          <w:p w14:paraId="2C11E27C" w14:textId="77777777" w:rsidR="00A635F1" w:rsidRDefault="00A635F1" w:rsidP="000E728A">
            <w:r>
              <w:t>Change in Total Fishing Days (1000s)</w:t>
            </w:r>
          </w:p>
        </w:tc>
        <w:tc>
          <w:tcPr>
            <w:tcW w:w="1362" w:type="dxa"/>
            <w:tcBorders>
              <w:top w:val="nil"/>
              <w:bottom w:val="single" w:sz="4" w:space="0" w:color="auto"/>
            </w:tcBorders>
            <w:vAlign w:val="bottom"/>
          </w:tcPr>
          <w:p w14:paraId="452A78C7" w14:textId="77777777" w:rsidR="00A635F1" w:rsidRDefault="00A635F1" w:rsidP="000E728A">
            <w:r>
              <w:t>Average CS Change per Angler ($)</w:t>
            </w:r>
          </w:p>
        </w:tc>
        <w:tc>
          <w:tcPr>
            <w:tcW w:w="1720" w:type="dxa"/>
            <w:tcBorders>
              <w:top w:val="nil"/>
              <w:bottom w:val="single" w:sz="4" w:space="0" w:color="auto"/>
            </w:tcBorders>
            <w:vAlign w:val="bottom"/>
          </w:tcPr>
          <w:p w14:paraId="096839F2" w14:textId="77777777" w:rsidR="00A635F1" w:rsidRDefault="00A635F1" w:rsidP="000E728A">
            <w:r>
              <w:t>Total CS Change</w:t>
            </w:r>
          </w:p>
          <w:p w14:paraId="7E83AF9C" w14:textId="77777777" w:rsidR="00A635F1" w:rsidRDefault="00A635F1" w:rsidP="000E728A">
            <w:r>
              <w:t>($1000s)</w:t>
            </w:r>
          </w:p>
        </w:tc>
      </w:tr>
      <w:tr w:rsidR="00A635F1" w14:paraId="0A5AF52B" w14:textId="77777777" w:rsidTr="000E728A">
        <w:tc>
          <w:tcPr>
            <w:tcW w:w="1491" w:type="dxa"/>
            <w:tcBorders>
              <w:top w:val="single" w:sz="4" w:space="0" w:color="auto"/>
            </w:tcBorders>
          </w:tcPr>
          <w:p w14:paraId="79EC84C2" w14:textId="77777777" w:rsidR="00A635F1" w:rsidRDefault="00A635F1" w:rsidP="000E728A">
            <w:r>
              <w:t>Illinois</w:t>
            </w:r>
          </w:p>
        </w:tc>
        <w:tc>
          <w:tcPr>
            <w:tcW w:w="1355" w:type="dxa"/>
            <w:tcBorders>
              <w:top w:val="single" w:sz="4" w:space="0" w:color="auto"/>
            </w:tcBorders>
            <w:vAlign w:val="center"/>
          </w:tcPr>
          <w:p w14:paraId="01AE122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-0.68% </w:t>
            </w:r>
          </w:p>
        </w:tc>
        <w:tc>
          <w:tcPr>
            <w:tcW w:w="1374" w:type="dxa"/>
            <w:tcBorders>
              <w:top w:val="single" w:sz="4" w:space="0" w:color="auto"/>
            </w:tcBorders>
            <w:vAlign w:val="center"/>
          </w:tcPr>
          <w:p w14:paraId="0DFADF19"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-162.4</w:t>
            </w:r>
          </w:p>
        </w:tc>
        <w:tc>
          <w:tcPr>
            <w:tcW w:w="1363" w:type="dxa"/>
            <w:tcBorders>
              <w:top w:val="single" w:sz="4" w:space="0" w:color="auto"/>
            </w:tcBorders>
            <w:vAlign w:val="center"/>
          </w:tcPr>
          <w:p w14:paraId="6C4D8AC3"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-$91.23 </w:t>
            </w:r>
          </w:p>
        </w:tc>
        <w:tc>
          <w:tcPr>
            <w:tcW w:w="1752" w:type="dxa"/>
            <w:tcBorders>
              <w:top w:val="single" w:sz="4" w:space="0" w:color="auto"/>
            </w:tcBorders>
            <w:vAlign w:val="center"/>
          </w:tcPr>
          <w:p w14:paraId="75D1530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-$55,252 </w:t>
            </w:r>
          </w:p>
        </w:tc>
        <w:tc>
          <w:tcPr>
            <w:tcW w:w="1357" w:type="dxa"/>
            <w:tcBorders>
              <w:top w:val="single" w:sz="4" w:space="0" w:color="auto"/>
            </w:tcBorders>
            <w:vAlign w:val="center"/>
          </w:tcPr>
          <w:p w14:paraId="7A6AF48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Borders>
              <w:top w:val="single" w:sz="4" w:space="0" w:color="auto"/>
            </w:tcBorders>
            <w:vAlign w:val="center"/>
          </w:tcPr>
          <w:p w14:paraId="7432E54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tcBorders>
              <w:top w:val="single" w:sz="4" w:space="0" w:color="auto"/>
            </w:tcBorders>
            <w:vAlign w:val="center"/>
          </w:tcPr>
          <w:p w14:paraId="5F92F51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tcBorders>
              <w:top w:val="single" w:sz="4" w:space="0" w:color="auto"/>
            </w:tcBorders>
            <w:vAlign w:val="center"/>
          </w:tcPr>
          <w:p w14:paraId="23D05509"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46DE86C9" w14:textId="77777777" w:rsidTr="000E728A">
        <w:tc>
          <w:tcPr>
            <w:tcW w:w="1491" w:type="dxa"/>
          </w:tcPr>
          <w:p w14:paraId="5E7C1D41" w14:textId="77777777" w:rsidR="00A635F1" w:rsidRDefault="00A635F1" w:rsidP="000E728A">
            <w:r>
              <w:t>Indiana</w:t>
            </w:r>
          </w:p>
        </w:tc>
        <w:tc>
          <w:tcPr>
            <w:tcW w:w="1355" w:type="dxa"/>
            <w:vAlign w:val="center"/>
          </w:tcPr>
          <w:p w14:paraId="5A7B2E03"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-0.30% </w:t>
            </w:r>
          </w:p>
        </w:tc>
        <w:tc>
          <w:tcPr>
            <w:tcW w:w="1374" w:type="dxa"/>
            <w:vAlign w:val="center"/>
          </w:tcPr>
          <w:p w14:paraId="42A11C6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-41.4</w:t>
            </w:r>
          </w:p>
        </w:tc>
        <w:tc>
          <w:tcPr>
            <w:tcW w:w="1363" w:type="dxa"/>
            <w:vAlign w:val="center"/>
          </w:tcPr>
          <w:p w14:paraId="39CB8A2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-$42.62 </w:t>
            </w:r>
          </w:p>
        </w:tc>
        <w:tc>
          <w:tcPr>
            <w:tcW w:w="1752" w:type="dxa"/>
            <w:vAlign w:val="center"/>
          </w:tcPr>
          <w:p w14:paraId="5080329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-$14,154 </w:t>
            </w:r>
          </w:p>
        </w:tc>
        <w:tc>
          <w:tcPr>
            <w:tcW w:w="1357" w:type="dxa"/>
            <w:vAlign w:val="center"/>
          </w:tcPr>
          <w:p w14:paraId="6120BF3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40537E7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5E274F8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2522E60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20EB8E8F" w14:textId="77777777" w:rsidTr="000E728A">
        <w:tc>
          <w:tcPr>
            <w:tcW w:w="1491" w:type="dxa"/>
          </w:tcPr>
          <w:p w14:paraId="61E59F5D" w14:textId="77777777" w:rsidR="00A635F1" w:rsidRDefault="00A635F1" w:rsidP="000E728A">
            <w:r>
              <w:t>Michigan</w:t>
            </w:r>
          </w:p>
        </w:tc>
        <w:tc>
          <w:tcPr>
            <w:tcW w:w="1355" w:type="dxa"/>
            <w:vAlign w:val="center"/>
          </w:tcPr>
          <w:p w14:paraId="411FA48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-0.28% </w:t>
            </w:r>
          </w:p>
        </w:tc>
        <w:tc>
          <w:tcPr>
            <w:tcW w:w="1374" w:type="dxa"/>
            <w:vAlign w:val="center"/>
          </w:tcPr>
          <w:p w14:paraId="75F79E8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-78.2</w:t>
            </w:r>
          </w:p>
        </w:tc>
        <w:tc>
          <w:tcPr>
            <w:tcW w:w="1363" w:type="dxa"/>
            <w:vAlign w:val="center"/>
          </w:tcPr>
          <w:p w14:paraId="378A099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-$33.18 </w:t>
            </w:r>
          </w:p>
        </w:tc>
        <w:tc>
          <w:tcPr>
            <w:tcW w:w="1752" w:type="dxa"/>
            <w:vAlign w:val="center"/>
          </w:tcPr>
          <w:p w14:paraId="459FEB6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-$26,739</w:t>
            </w:r>
          </w:p>
        </w:tc>
        <w:tc>
          <w:tcPr>
            <w:tcW w:w="1357" w:type="dxa"/>
            <w:vAlign w:val="center"/>
          </w:tcPr>
          <w:p w14:paraId="2316DC09"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3F040449"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1825352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6674910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748C7DA6" w14:textId="77777777" w:rsidTr="000E728A">
        <w:tc>
          <w:tcPr>
            <w:tcW w:w="1491" w:type="dxa"/>
          </w:tcPr>
          <w:p w14:paraId="07C8CA76" w14:textId="77777777" w:rsidR="00A635F1" w:rsidRDefault="00A635F1" w:rsidP="000E728A">
            <w:r>
              <w:t>Minnesota</w:t>
            </w:r>
          </w:p>
        </w:tc>
        <w:tc>
          <w:tcPr>
            <w:tcW w:w="1355" w:type="dxa"/>
            <w:vAlign w:val="center"/>
          </w:tcPr>
          <w:p w14:paraId="3D0BC16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4" w:type="dxa"/>
            <w:vAlign w:val="center"/>
          </w:tcPr>
          <w:p w14:paraId="07081AB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-0.1</w:t>
            </w:r>
          </w:p>
        </w:tc>
        <w:tc>
          <w:tcPr>
            <w:tcW w:w="1363" w:type="dxa"/>
            <w:vAlign w:val="center"/>
          </w:tcPr>
          <w:p w14:paraId="5CF48C3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-$0.04 </w:t>
            </w:r>
          </w:p>
        </w:tc>
        <w:tc>
          <w:tcPr>
            <w:tcW w:w="1752" w:type="dxa"/>
            <w:vAlign w:val="center"/>
          </w:tcPr>
          <w:p w14:paraId="2CB4996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-$37 </w:t>
            </w:r>
          </w:p>
        </w:tc>
        <w:tc>
          <w:tcPr>
            <w:tcW w:w="1357" w:type="dxa"/>
            <w:vAlign w:val="center"/>
          </w:tcPr>
          <w:p w14:paraId="276E332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49AD291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130F6ED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521B189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7466798C" w14:textId="77777777" w:rsidTr="000E728A">
        <w:tc>
          <w:tcPr>
            <w:tcW w:w="1491" w:type="dxa"/>
          </w:tcPr>
          <w:p w14:paraId="4CBD4D1A" w14:textId="77777777" w:rsidR="00A635F1" w:rsidRDefault="00A635F1" w:rsidP="000E728A">
            <w:r>
              <w:t>New York</w:t>
            </w:r>
          </w:p>
        </w:tc>
        <w:tc>
          <w:tcPr>
            <w:tcW w:w="1355" w:type="dxa"/>
            <w:vAlign w:val="center"/>
          </w:tcPr>
          <w:p w14:paraId="1543CBC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4" w:type="dxa"/>
            <w:vAlign w:val="center"/>
          </w:tcPr>
          <w:p w14:paraId="64ECF89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 </w:t>
            </w:r>
          </w:p>
        </w:tc>
        <w:tc>
          <w:tcPr>
            <w:tcW w:w="1363" w:type="dxa"/>
            <w:vAlign w:val="center"/>
          </w:tcPr>
          <w:p w14:paraId="7208AEC3"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752" w:type="dxa"/>
            <w:vAlign w:val="center"/>
          </w:tcPr>
          <w:p w14:paraId="522551B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 </w:t>
            </w:r>
          </w:p>
        </w:tc>
        <w:tc>
          <w:tcPr>
            <w:tcW w:w="1357" w:type="dxa"/>
            <w:vAlign w:val="center"/>
          </w:tcPr>
          <w:p w14:paraId="7CBDDD3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1ADD204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302B7FA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0FCE322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5FB0D67E" w14:textId="77777777" w:rsidTr="000E728A">
        <w:tc>
          <w:tcPr>
            <w:tcW w:w="1491" w:type="dxa"/>
          </w:tcPr>
          <w:p w14:paraId="1A51F456" w14:textId="77777777" w:rsidR="00A635F1" w:rsidRDefault="00A635F1" w:rsidP="000E728A">
            <w:r>
              <w:t>Ohio</w:t>
            </w:r>
          </w:p>
        </w:tc>
        <w:tc>
          <w:tcPr>
            <w:tcW w:w="1355" w:type="dxa"/>
            <w:vAlign w:val="center"/>
          </w:tcPr>
          <w:p w14:paraId="5517401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4" w:type="dxa"/>
            <w:vAlign w:val="center"/>
          </w:tcPr>
          <w:p w14:paraId="78036D33"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 </w:t>
            </w:r>
          </w:p>
        </w:tc>
        <w:tc>
          <w:tcPr>
            <w:tcW w:w="1363" w:type="dxa"/>
            <w:vAlign w:val="center"/>
          </w:tcPr>
          <w:p w14:paraId="36814779"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752" w:type="dxa"/>
            <w:vAlign w:val="center"/>
          </w:tcPr>
          <w:p w14:paraId="189FAFD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 </w:t>
            </w:r>
          </w:p>
        </w:tc>
        <w:tc>
          <w:tcPr>
            <w:tcW w:w="1357" w:type="dxa"/>
            <w:vAlign w:val="center"/>
          </w:tcPr>
          <w:p w14:paraId="412AB95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1F15AC81"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1D879F8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7700405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75E8632D" w14:textId="77777777" w:rsidTr="000E728A">
        <w:tc>
          <w:tcPr>
            <w:tcW w:w="1491" w:type="dxa"/>
          </w:tcPr>
          <w:p w14:paraId="1E2182E8" w14:textId="77777777" w:rsidR="00A635F1" w:rsidRDefault="00A635F1" w:rsidP="000E728A">
            <w:r>
              <w:t>Pennsylvania</w:t>
            </w:r>
          </w:p>
        </w:tc>
        <w:tc>
          <w:tcPr>
            <w:tcW w:w="1355" w:type="dxa"/>
            <w:vAlign w:val="center"/>
          </w:tcPr>
          <w:p w14:paraId="06A7BDA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374" w:type="dxa"/>
            <w:vAlign w:val="center"/>
          </w:tcPr>
          <w:p w14:paraId="6C243C95"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 </w:t>
            </w:r>
          </w:p>
        </w:tc>
        <w:tc>
          <w:tcPr>
            <w:tcW w:w="1363" w:type="dxa"/>
            <w:vAlign w:val="center"/>
          </w:tcPr>
          <w:p w14:paraId="45351CC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$0.00 </w:t>
            </w:r>
          </w:p>
        </w:tc>
        <w:tc>
          <w:tcPr>
            <w:tcW w:w="1752" w:type="dxa"/>
            <w:vAlign w:val="center"/>
          </w:tcPr>
          <w:p w14:paraId="219F14A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 </w:t>
            </w:r>
          </w:p>
        </w:tc>
        <w:tc>
          <w:tcPr>
            <w:tcW w:w="1357" w:type="dxa"/>
            <w:vAlign w:val="center"/>
          </w:tcPr>
          <w:p w14:paraId="6EE73FC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38858BB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764E5CD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374BE6F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575BF171" w14:textId="77777777" w:rsidTr="000E728A">
        <w:tc>
          <w:tcPr>
            <w:tcW w:w="1491" w:type="dxa"/>
          </w:tcPr>
          <w:p w14:paraId="6F31A031" w14:textId="77777777" w:rsidR="00A635F1" w:rsidRDefault="00A635F1" w:rsidP="000E728A">
            <w:r>
              <w:t>Wisconsin</w:t>
            </w:r>
          </w:p>
        </w:tc>
        <w:tc>
          <w:tcPr>
            <w:tcW w:w="1355" w:type="dxa"/>
            <w:vAlign w:val="center"/>
          </w:tcPr>
          <w:p w14:paraId="5DDB78E7"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-0.39% </w:t>
            </w:r>
          </w:p>
        </w:tc>
        <w:tc>
          <w:tcPr>
            <w:tcW w:w="1374" w:type="dxa"/>
            <w:vAlign w:val="center"/>
          </w:tcPr>
          <w:p w14:paraId="47BA0E8F"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-94.4</w:t>
            </w:r>
          </w:p>
        </w:tc>
        <w:tc>
          <w:tcPr>
            <w:tcW w:w="1363" w:type="dxa"/>
            <w:vAlign w:val="center"/>
          </w:tcPr>
          <w:p w14:paraId="47CD5938"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-$44.16 </w:t>
            </w:r>
          </w:p>
        </w:tc>
        <w:tc>
          <w:tcPr>
            <w:tcW w:w="1752" w:type="dxa"/>
            <w:vAlign w:val="center"/>
          </w:tcPr>
          <w:p w14:paraId="2BE487F2"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-$32,178</w:t>
            </w:r>
          </w:p>
        </w:tc>
        <w:tc>
          <w:tcPr>
            <w:tcW w:w="1357" w:type="dxa"/>
            <w:vAlign w:val="center"/>
          </w:tcPr>
          <w:p w14:paraId="7940172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2AC4C42E"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59A6D52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704D0F9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r w:rsidR="00A635F1" w14:paraId="262BC4FF" w14:textId="77777777" w:rsidTr="000E728A">
        <w:tc>
          <w:tcPr>
            <w:tcW w:w="1491" w:type="dxa"/>
          </w:tcPr>
          <w:p w14:paraId="7D4A50F1" w14:textId="77777777" w:rsidR="00A635F1" w:rsidRDefault="00A635F1" w:rsidP="000E728A">
            <w:r>
              <w:t>Totals</w:t>
            </w:r>
          </w:p>
        </w:tc>
        <w:tc>
          <w:tcPr>
            <w:tcW w:w="1355" w:type="dxa"/>
            <w:vAlign w:val="center"/>
          </w:tcPr>
          <w:p w14:paraId="2710260A"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-0.21% </w:t>
            </w:r>
          </w:p>
        </w:tc>
        <w:tc>
          <w:tcPr>
            <w:tcW w:w="1374" w:type="dxa"/>
            <w:vAlign w:val="center"/>
          </w:tcPr>
          <w:p w14:paraId="3190041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-376.5</w:t>
            </w:r>
          </w:p>
        </w:tc>
        <w:tc>
          <w:tcPr>
            <w:tcW w:w="1363" w:type="dxa"/>
            <w:vAlign w:val="center"/>
          </w:tcPr>
          <w:p w14:paraId="7CFA5BAB"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 xml:space="preserve">-$24.49 </w:t>
            </w:r>
          </w:p>
        </w:tc>
        <w:tc>
          <w:tcPr>
            <w:tcW w:w="1752" w:type="dxa"/>
            <w:vAlign w:val="center"/>
          </w:tcPr>
          <w:p w14:paraId="2B9BA37C"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-$128,360</w:t>
            </w:r>
          </w:p>
        </w:tc>
        <w:tc>
          <w:tcPr>
            <w:tcW w:w="1357" w:type="dxa"/>
            <w:vAlign w:val="center"/>
          </w:tcPr>
          <w:p w14:paraId="0CDBA956"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1" w:type="dxa"/>
          </w:tcPr>
          <w:p w14:paraId="61FC0130"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w:t>
            </w:r>
          </w:p>
        </w:tc>
        <w:tc>
          <w:tcPr>
            <w:tcW w:w="1362" w:type="dxa"/>
            <w:vAlign w:val="center"/>
          </w:tcPr>
          <w:p w14:paraId="1BC66A14"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$0.00</w:t>
            </w:r>
          </w:p>
        </w:tc>
        <w:tc>
          <w:tcPr>
            <w:tcW w:w="1720" w:type="dxa"/>
            <w:vAlign w:val="center"/>
          </w:tcPr>
          <w:p w14:paraId="25E03A5D" w14:textId="77777777" w:rsidR="00A635F1" w:rsidRPr="003A77DF" w:rsidRDefault="00A635F1" w:rsidP="000E728A">
            <w:pPr>
              <w:pStyle w:val="Default"/>
              <w:jc w:val="right"/>
              <w:rPr>
                <w:rFonts w:asciiTheme="minorHAnsi" w:hAnsiTheme="minorHAnsi" w:cstheme="minorHAnsi"/>
              </w:rPr>
            </w:pPr>
            <w:r w:rsidRPr="003A77DF">
              <w:rPr>
                <w:rFonts w:asciiTheme="minorHAnsi" w:hAnsiTheme="minorHAnsi" w:cstheme="minorHAnsi"/>
              </w:rPr>
              <w:t>$0</w:t>
            </w:r>
          </w:p>
        </w:tc>
      </w:tr>
    </w:tbl>
    <w:p w14:paraId="783141DA" w14:textId="77777777" w:rsidR="00A635F1" w:rsidRDefault="00A635F1" w:rsidP="00A635F1"/>
    <w:p w14:paraId="14B83286" w14:textId="77777777" w:rsidR="00A635F1" w:rsidRDefault="00A635F1" w:rsidP="00A635F1"/>
    <w:p w14:paraId="4A76F3B9" w14:textId="77777777" w:rsidR="00234C54" w:rsidRDefault="00234C54" w:rsidP="00234C54">
      <w:pPr>
        <w:sectPr w:rsidR="00234C54" w:rsidSect="004B0443">
          <w:pgSz w:w="15840" w:h="12240" w:orient="landscape"/>
          <w:pgMar w:top="1440" w:right="1440" w:bottom="1440" w:left="1440" w:header="720" w:footer="720" w:gutter="0"/>
          <w:lnNumType w:countBy="1" w:restart="continuous"/>
          <w:cols w:space="720"/>
          <w:docGrid w:linePitch="360"/>
        </w:sectPr>
      </w:pPr>
    </w:p>
    <w:p w14:paraId="392A29CC" w14:textId="77777777" w:rsidR="00234C54" w:rsidRDefault="00234C54" w:rsidP="00234C54"/>
    <w:p w14:paraId="51613DD0" w14:textId="77777777" w:rsidR="00234C54" w:rsidRPr="008F6915" w:rsidRDefault="00234C54" w:rsidP="00242815">
      <w:pPr>
        <w:spacing w:after="240" w:line="240" w:lineRule="auto"/>
      </w:pPr>
    </w:p>
    <w:sectPr w:rsidR="00234C54" w:rsidRPr="008F6915" w:rsidSect="004B0443">
      <w:pgSz w:w="12240" w:h="15840"/>
      <w:pgMar w:top="1440" w:right="1440" w:bottom="1440" w:left="1440" w:header="720" w:footer="720" w:gutter="0"/>
      <w:lnNumType w:countBy="1" w:restart="continuous"/>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D42C71" w16cid:durableId="221F2087"/>
  <w16cid:commentId w16cid:paraId="0B0AAD26" w16cid:durableId="221F1FCD"/>
  <w16cid:commentId w16cid:paraId="0C953E39" w16cid:durableId="221F2829"/>
  <w16cid:commentId w16cid:paraId="241BE9D7" w16cid:durableId="221F2804"/>
  <w16cid:commentId w16cid:paraId="620D54FE" w16cid:durableId="221F287D"/>
  <w16cid:commentId w16cid:paraId="35C2E2A0" w16cid:durableId="221F28D7"/>
  <w16cid:commentId w16cid:paraId="2C7EA17D" w16cid:durableId="221F28D8"/>
  <w16cid:commentId w16cid:paraId="0AE87C72" w16cid:durableId="221F29CC"/>
  <w16cid:commentId w16cid:paraId="452A6B0E" w16cid:durableId="221F2A2E"/>
  <w16cid:commentId w16cid:paraId="1268B466" w16cid:durableId="221F2DBB"/>
  <w16cid:commentId w16cid:paraId="4A9912C9" w16cid:durableId="221F2E24"/>
  <w16cid:commentId w16cid:paraId="1F4A8C3D" w16cid:durableId="221F30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0A4BC" w14:textId="77777777" w:rsidR="00837CD2" w:rsidRDefault="00837CD2" w:rsidP="007E63B4">
      <w:r>
        <w:separator/>
      </w:r>
    </w:p>
  </w:endnote>
  <w:endnote w:type="continuationSeparator" w:id="0">
    <w:p w14:paraId="58683E81" w14:textId="77777777" w:rsidR="00837CD2" w:rsidRDefault="00837CD2" w:rsidP="007E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D3550" w14:textId="77777777" w:rsidR="00837CD2" w:rsidRDefault="00837CD2" w:rsidP="007E63B4">
      <w:r>
        <w:separator/>
      </w:r>
    </w:p>
  </w:footnote>
  <w:footnote w:type="continuationSeparator" w:id="0">
    <w:p w14:paraId="35BF516E" w14:textId="77777777" w:rsidR="00837CD2" w:rsidRDefault="00837CD2" w:rsidP="007E63B4">
      <w:r>
        <w:continuationSeparator/>
      </w:r>
    </w:p>
  </w:footnote>
  <w:footnote w:id="1">
    <w:p w14:paraId="6EFB885D" w14:textId="74A42DE3" w:rsidR="007C08E2" w:rsidRDefault="007C08E2">
      <w:pPr>
        <w:pStyle w:val="FootnoteText"/>
      </w:pPr>
      <w:r>
        <w:rPr>
          <w:rStyle w:val="FootnoteReference"/>
        </w:rPr>
        <w:footnoteRef/>
      </w:r>
      <w:r>
        <w:t xml:space="preserve"> The figures in this table were originally reported in Ready et al.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7D99"/>
    <w:multiLevelType w:val="hybridMultilevel"/>
    <w:tmpl w:val="517EC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D7930"/>
    <w:multiLevelType w:val="hybridMultilevel"/>
    <w:tmpl w:val="013E1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73150"/>
    <w:multiLevelType w:val="hybridMultilevel"/>
    <w:tmpl w:val="50AE9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25B95"/>
    <w:multiLevelType w:val="hybridMultilevel"/>
    <w:tmpl w:val="8C68E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275505"/>
    <w:multiLevelType w:val="multilevel"/>
    <w:tmpl w:val="E346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0340AE"/>
    <w:multiLevelType w:val="hybridMultilevel"/>
    <w:tmpl w:val="2B62A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C1C94"/>
    <w:multiLevelType w:val="hybridMultilevel"/>
    <w:tmpl w:val="3D1A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785AE2"/>
    <w:multiLevelType w:val="hybridMultilevel"/>
    <w:tmpl w:val="A2DAF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417F19"/>
    <w:multiLevelType w:val="hybridMultilevel"/>
    <w:tmpl w:val="61AEB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11D95"/>
    <w:multiLevelType w:val="hybridMultilevel"/>
    <w:tmpl w:val="4208B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423F19"/>
    <w:multiLevelType w:val="hybridMultilevel"/>
    <w:tmpl w:val="C6E6F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E61EBC"/>
    <w:multiLevelType w:val="hybridMultilevel"/>
    <w:tmpl w:val="AA74C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E3A38"/>
    <w:multiLevelType w:val="hybridMultilevel"/>
    <w:tmpl w:val="483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DE2007"/>
    <w:multiLevelType w:val="hybridMultilevel"/>
    <w:tmpl w:val="CEE0F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D045D3"/>
    <w:multiLevelType w:val="hybridMultilevel"/>
    <w:tmpl w:val="E932D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10"/>
  </w:num>
  <w:num w:numId="6">
    <w:abstractNumId w:val="8"/>
  </w:num>
  <w:num w:numId="7">
    <w:abstractNumId w:val="13"/>
  </w:num>
  <w:num w:numId="8">
    <w:abstractNumId w:val="2"/>
  </w:num>
  <w:num w:numId="9">
    <w:abstractNumId w:val="7"/>
  </w:num>
  <w:num w:numId="10">
    <w:abstractNumId w:val="11"/>
  </w:num>
  <w:num w:numId="11">
    <w:abstractNumId w:val="14"/>
  </w:num>
  <w:num w:numId="12">
    <w:abstractNumId w:val="9"/>
  </w:num>
  <w:num w:numId="13">
    <w:abstractNumId w:val="12"/>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D9C"/>
    <w:rsid w:val="000062FB"/>
    <w:rsid w:val="0001468C"/>
    <w:rsid w:val="00015637"/>
    <w:rsid w:val="00017180"/>
    <w:rsid w:val="00023ABF"/>
    <w:rsid w:val="00027FE0"/>
    <w:rsid w:val="00033560"/>
    <w:rsid w:val="00034925"/>
    <w:rsid w:val="0004175D"/>
    <w:rsid w:val="00043722"/>
    <w:rsid w:val="00043DC5"/>
    <w:rsid w:val="00052CDF"/>
    <w:rsid w:val="00053E8E"/>
    <w:rsid w:val="00060549"/>
    <w:rsid w:val="00086BBD"/>
    <w:rsid w:val="00095F49"/>
    <w:rsid w:val="00096245"/>
    <w:rsid w:val="000A2F69"/>
    <w:rsid w:val="000A6CC7"/>
    <w:rsid w:val="000B6D24"/>
    <w:rsid w:val="000C3EB8"/>
    <w:rsid w:val="000D2EFF"/>
    <w:rsid w:val="000D3178"/>
    <w:rsid w:val="000D4491"/>
    <w:rsid w:val="000D4A71"/>
    <w:rsid w:val="000E728A"/>
    <w:rsid w:val="000F246A"/>
    <w:rsid w:val="000F7650"/>
    <w:rsid w:val="00101C5C"/>
    <w:rsid w:val="001045D4"/>
    <w:rsid w:val="001202DF"/>
    <w:rsid w:val="00122541"/>
    <w:rsid w:val="001251CC"/>
    <w:rsid w:val="00131435"/>
    <w:rsid w:val="001410B8"/>
    <w:rsid w:val="001421B3"/>
    <w:rsid w:val="00146EF7"/>
    <w:rsid w:val="00152EEE"/>
    <w:rsid w:val="0015439C"/>
    <w:rsid w:val="00154DE3"/>
    <w:rsid w:val="00160313"/>
    <w:rsid w:val="00162279"/>
    <w:rsid w:val="00165F40"/>
    <w:rsid w:val="00185E95"/>
    <w:rsid w:val="00191946"/>
    <w:rsid w:val="00196138"/>
    <w:rsid w:val="00197CD5"/>
    <w:rsid w:val="001A085A"/>
    <w:rsid w:val="001A2003"/>
    <w:rsid w:val="001A76B3"/>
    <w:rsid w:val="001B0034"/>
    <w:rsid w:val="001D2AA3"/>
    <w:rsid w:val="001D3A1E"/>
    <w:rsid w:val="001D4015"/>
    <w:rsid w:val="001D4284"/>
    <w:rsid w:val="001E615F"/>
    <w:rsid w:val="001F01AD"/>
    <w:rsid w:val="001F4DA8"/>
    <w:rsid w:val="00201A38"/>
    <w:rsid w:val="00204741"/>
    <w:rsid w:val="00205FD8"/>
    <w:rsid w:val="002075C5"/>
    <w:rsid w:val="002126D1"/>
    <w:rsid w:val="00226D93"/>
    <w:rsid w:val="002317D7"/>
    <w:rsid w:val="00233EFE"/>
    <w:rsid w:val="00234C54"/>
    <w:rsid w:val="00234D06"/>
    <w:rsid w:val="002375C3"/>
    <w:rsid w:val="002418DF"/>
    <w:rsid w:val="00242815"/>
    <w:rsid w:val="00245D9C"/>
    <w:rsid w:val="00257D33"/>
    <w:rsid w:val="0026080A"/>
    <w:rsid w:val="00263264"/>
    <w:rsid w:val="0026690F"/>
    <w:rsid w:val="00270429"/>
    <w:rsid w:val="00272B89"/>
    <w:rsid w:val="002823CE"/>
    <w:rsid w:val="00283755"/>
    <w:rsid w:val="00283C1C"/>
    <w:rsid w:val="002927AF"/>
    <w:rsid w:val="00297B42"/>
    <w:rsid w:val="002A6ED3"/>
    <w:rsid w:val="002B1590"/>
    <w:rsid w:val="002B2380"/>
    <w:rsid w:val="002D21A5"/>
    <w:rsid w:val="002D29AC"/>
    <w:rsid w:val="002E1375"/>
    <w:rsid w:val="002E35BD"/>
    <w:rsid w:val="002E3AAB"/>
    <w:rsid w:val="002F2960"/>
    <w:rsid w:val="00302302"/>
    <w:rsid w:val="00302C62"/>
    <w:rsid w:val="00307012"/>
    <w:rsid w:val="0031305D"/>
    <w:rsid w:val="00316B87"/>
    <w:rsid w:val="00327E24"/>
    <w:rsid w:val="0034027C"/>
    <w:rsid w:val="00341462"/>
    <w:rsid w:val="00343F0D"/>
    <w:rsid w:val="0034616A"/>
    <w:rsid w:val="00350ACC"/>
    <w:rsid w:val="0035715A"/>
    <w:rsid w:val="00361E99"/>
    <w:rsid w:val="00364C35"/>
    <w:rsid w:val="00371D2D"/>
    <w:rsid w:val="003774FC"/>
    <w:rsid w:val="00380B54"/>
    <w:rsid w:val="00381B0D"/>
    <w:rsid w:val="003825BA"/>
    <w:rsid w:val="00384993"/>
    <w:rsid w:val="00385DD1"/>
    <w:rsid w:val="003936B2"/>
    <w:rsid w:val="00395049"/>
    <w:rsid w:val="003A0367"/>
    <w:rsid w:val="003A04E5"/>
    <w:rsid w:val="003A608F"/>
    <w:rsid w:val="003A6E98"/>
    <w:rsid w:val="003A7609"/>
    <w:rsid w:val="003A77DF"/>
    <w:rsid w:val="003B4C28"/>
    <w:rsid w:val="003B63C6"/>
    <w:rsid w:val="003C23C5"/>
    <w:rsid w:val="003D1CC9"/>
    <w:rsid w:val="003D392C"/>
    <w:rsid w:val="003E2A2E"/>
    <w:rsid w:val="003F10FD"/>
    <w:rsid w:val="003F2EBC"/>
    <w:rsid w:val="003F64E9"/>
    <w:rsid w:val="003F75FE"/>
    <w:rsid w:val="004000BB"/>
    <w:rsid w:val="00402347"/>
    <w:rsid w:val="004031A6"/>
    <w:rsid w:val="00403FD0"/>
    <w:rsid w:val="00406B0A"/>
    <w:rsid w:val="00412C0A"/>
    <w:rsid w:val="00414D94"/>
    <w:rsid w:val="004246AB"/>
    <w:rsid w:val="004316C7"/>
    <w:rsid w:val="00437834"/>
    <w:rsid w:val="004431E3"/>
    <w:rsid w:val="0044435E"/>
    <w:rsid w:val="00447E76"/>
    <w:rsid w:val="004575F4"/>
    <w:rsid w:val="004803D0"/>
    <w:rsid w:val="0048466A"/>
    <w:rsid w:val="00484E06"/>
    <w:rsid w:val="004859E2"/>
    <w:rsid w:val="00490206"/>
    <w:rsid w:val="00493471"/>
    <w:rsid w:val="004A45AE"/>
    <w:rsid w:val="004A6A28"/>
    <w:rsid w:val="004B0443"/>
    <w:rsid w:val="004B18B8"/>
    <w:rsid w:val="004B596F"/>
    <w:rsid w:val="004B7B91"/>
    <w:rsid w:val="004C0ED5"/>
    <w:rsid w:val="004C194D"/>
    <w:rsid w:val="004C1D61"/>
    <w:rsid w:val="004C3057"/>
    <w:rsid w:val="004C634A"/>
    <w:rsid w:val="004C683F"/>
    <w:rsid w:val="004C698D"/>
    <w:rsid w:val="004E063B"/>
    <w:rsid w:val="004E31FE"/>
    <w:rsid w:val="004E3BAB"/>
    <w:rsid w:val="004E5929"/>
    <w:rsid w:val="004F030E"/>
    <w:rsid w:val="004F41D1"/>
    <w:rsid w:val="00506EED"/>
    <w:rsid w:val="00516A34"/>
    <w:rsid w:val="00521C78"/>
    <w:rsid w:val="0052387C"/>
    <w:rsid w:val="00526000"/>
    <w:rsid w:val="005309D5"/>
    <w:rsid w:val="00535A98"/>
    <w:rsid w:val="00547FD7"/>
    <w:rsid w:val="00555A37"/>
    <w:rsid w:val="00561C5E"/>
    <w:rsid w:val="005658AB"/>
    <w:rsid w:val="00566EC3"/>
    <w:rsid w:val="0058721B"/>
    <w:rsid w:val="00593ACC"/>
    <w:rsid w:val="005A2F5C"/>
    <w:rsid w:val="005A4605"/>
    <w:rsid w:val="005B37AB"/>
    <w:rsid w:val="005B4BE5"/>
    <w:rsid w:val="005B6B45"/>
    <w:rsid w:val="005C204A"/>
    <w:rsid w:val="005D09DE"/>
    <w:rsid w:val="005D5AB5"/>
    <w:rsid w:val="005E5B3E"/>
    <w:rsid w:val="005F13EB"/>
    <w:rsid w:val="005F2535"/>
    <w:rsid w:val="005F6C59"/>
    <w:rsid w:val="00600CD0"/>
    <w:rsid w:val="0060513B"/>
    <w:rsid w:val="00606B5E"/>
    <w:rsid w:val="00607BBA"/>
    <w:rsid w:val="00612F83"/>
    <w:rsid w:val="00614549"/>
    <w:rsid w:val="0061454E"/>
    <w:rsid w:val="00614B9E"/>
    <w:rsid w:val="00616FA1"/>
    <w:rsid w:val="00622CD6"/>
    <w:rsid w:val="00632013"/>
    <w:rsid w:val="00641C44"/>
    <w:rsid w:val="00646451"/>
    <w:rsid w:val="0065012A"/>
    <w:rsid w:val="006538BC"/>
    <w:rsid w:val="00653B0E"/>
    <w:rsid w:val="00655F50"/>
    <w:rsid w:val="006638FB"/>
    <w:rsid w:val="00670DA9"/>
    <w:rsid w:val="0067583A"/>
    <w:rsid w:val="00677B3E"/>
    <w:rsid w:val="00681F62"/>
    <w:rsid w:val="00685E78"/>
    <w:rsid w:val="006A5AD8"/>
    <w:rsid w:val="006D6946"/>
    <w:rsid w:val="006D6A44"/>
    <w:rsid w:val="006E55F9"/>
    <w:rsid w:val="006F449B"/>
    <w:rsid w:val="006F4CDB"/>
    <w:rsid w:val="006F5696"/>
    <w:rsid w:val="006F59C9"/>
    <w:rsid w:val="006F7298"/>
    <w:rsid w:val="006F7F5E"/>
    <w:rsid w:val="00700C15"/>
    <w:rsid w:val="007012F0"/>
    <w:rsid w:val="00710662"/>
    <w:rsid w:val="007124FE"/>
    <w:rsid w:val="0071713A"/>
    <w:rsid w:val="00723C4E"/>
    <w:rsid w:val="007248B6"/>
    <w:rsid w:val="0072533B"/>
    <w:rsid w:val="00727FA1"/>
    <w:rsid w:val="007311B5"/>
    <w:rsid w:val="00731C58"/>
    <w:rsid w:val="007344D5"/>
    <w:rsid w:val="0073749C"/>
    <w:rsid w:val="00743604"/>
    <w:rsid w:val="00761433"/>
    <w:rsid w:val="00761445"/>
    <w:rsid w:val="007656E7"/>
    <w:rsid w:val="007730A6"/>
    <w:rsid w:val="00782269"/>
    <w:rsid w:val="00791612"/>
    <w:rsid w:val="00791E45"/>
    <w:rsid w:val="007A16A9"/>
    <w:rsid w:val="007A4B15"/>
    <w:rsid w:val="007B472D"/>
    <w:rsid w:val="007C0791"/>
    <w:rsid w:val="007C08E2"/>
    <w:rsid w:val="007C264A"/>
    <w:rsid w:val="007C4BC1"/>
    <w:rsid w:val="007C6BD3"/>
    <w:rsid w:val="007D1837"/>
    <w:rsid w:val="007D434F"/>
    <w:rsid w:val="007E2283"/>
    <w:rsid w:val="007E2FC2"/>
    <w:rsid w:val="007E63B4"/>
    <w:rsid w:val="007E76CF"/>
    <w:rsid w:val="00800B48"/>
    <w:rsid w:val="00801CD5"/>
    <w:rsid w:val="0080404C"/>
    <w:rsid w:val="00807D1D"/>
    <w:rsid w:val="0081221D"/>
    <w:rsid w:val="0081489A"/>
    <w:rsid w:val="00816425"/>
    <w:rsid w:val="00820D6C"/>
    <w:rsid w:val="00823E76"/>
    <w:rsid w:val="008250AF"/>
    <w:rsid w:val="00835EEB"/>
    <w:rsid w:val="00836448"/>
    <w:rsid w:val="00837CD2"/>
    <w:rsid w:val="0084235B"/>
    <w:rsid w:val="0085075C"/>
    <w:rsid w:val="00855C4E"/>
    <w:rsid w:val="0086068D"/>
    <w:rsid w:val="0086270C"/>
    <w:rsid w:val="008644BB"/>
    <w:rsid w:val="00866510"/>
    <w:rsid w:val="00886510"/>
    <w:rsid w:val="00896488"/>
    <w:rsid w:val="008A06EB"/>
    <w:rsid w:val="008A1D24"/>
    <w:rsid w:val="008A3E5D"/>
    <w:rsid w:val="008A6726"/>
    <w:rsid w:val="008B2AE4"/>
    <w:rsid w:val="008B2F4E"/>
    <w:rsid w:val="008B5B37"/>
    <w:rsid w:val="008B6947"/>
    <w:rsid w:val="008B703C"/>
    <w:rsid w:val="008C3895"/>
    <w:rsid w:val="008C3DB1"/>
    <w:rsid w:val="008C7304"/>
    <w:rsid w:val="008D57E6"/>
    <w:rsid w:val="008D6C68"/>
    <w:rsid w:val="008D7552"/>
    <w:rsid w:val="008E5825"/>
    <w:rsid w:val="008F6915"/>
    <w:rsid w:val="008F741E"/>
    <w:rsid w:val="008F7537"/>
    <w:rsid w:val="00900351"/>
    <w:rsid w:val="00913B4D"/>
    <w:rsid w:val="00914186"/>
    <w:rsid w:val="00915F0B"/>
    <w:rsid w:val="00916055"/>
    <w:rsid w:val="00917CF6"/>
    <w:rsid w:val="009237B8"/>
    <w:rsid w:val="00930007"/>
    <w:rsid w:val="009336B9"/>
    <w:rsid w:val="00933B8B"/>
    <w:rsid w:val="009415C1"/>
    <w:rsid w:val="009577CD"/>
    <w:rsid w:val="00966E4E"/>
    <w:rsid w:val="00977A26"/>
    <w:rsid w:val="00983F2C"/>
    <w:rsid w:val="00986EE5"/>
    <w:rsid w:val="00990A5A"/>
    <w:rsid w:val="00996035"/>
    <w:rsid w:val="009A1132"/>
    <w:rsid w:val="009A3959"/>
    <w:rsid w:val="009B5555"/>
    <w:rsid w:val="009B5DF5"/>
    <w:rsid w:val="009B66F3"/>
    <w:rsid w:val="009C270A"/>
    <w:rsid w:val="009C4A3E"/>
    <w:rsid w:val="009C5FF3"/>
    <w:rsid w:val="009D157C"/>
    <w:rsid w:val="009D19FA"/>
    <w:rsid w:val="009D349C"/>
    <w:rsid w:val="009D3D2B"/>
    <w:rsid w:val="009D4455"/>
    <w:rsid w:val="009D4CD5"/>
    <w:rsid w:val="009E4D45"/>
    <w:rsid w:val="009F37C6"/>
    <w:rsid w:val="009F784E"/>
    <w:rsid w:val="00A02D6C"/>
    <w:rsid w:val="00A123FF"/>
    <w:rsid w:val="00A16E54"/>
    <w:rsid w:val="00A21DF4"/>
    <w:rsid w:val="00A2347C"/>
    <w:rsid w:val="00A23F5C"/>
    <w:rsid w:val="00A27E33"/>
    <w:rsid w:val="00A46C00"/>
    <w:rsid w:val="00A53682"/>
    <w:rsid w:val="00A572E4"/>
    <w:rsid w:val="00A60749"/>
    <w:rsid w:val="00A635F1"/>
    <w:rsid w:val="00A64694"/>
    <w:rsid w:val="00A65461"/>
    <w:rsid w:val="00A65DBE"/>
    <w:rsid w:val="00A708B0"/>
    <w:rsid w:val="00A75207"/>
    <w:rsid w:val="00A75730"/>
    <w:rsid w:val="00A86019"/>
    <w:rsid w:val="00A90041"/>
    <w:rsid w:val="00A9187B"/>
    <w:rsid w:val="00A94464"/>
    <w:rsid w:val="00AA1293"/>
    <w:rsid w:val="00AA71F3"/>
    <w:rsid w:val="00AB5AEE"/>
    <w:rsid w:val="00AB7504"/>
    <w:rsid w:val="00AD3B94"/>
    <w:rsid w:val="00AE3EC4"/>
    <w:rsid w:val="00AE41BC"/>
    <w:rsid w:val="00AF1071"/>
    <w:rsid w:val="00AF63CC"/>
    <w:rsid w:val="00B05E17"/>
    <w:rsid w:val="00B07DFE"/>
    <w:rsid w:val="00B13C6E"/>
    <w:rsid w:val="00B2240F"/>
    <w:rsid w:val="00B23261"/>
    <w:rsid w:val="00B255A8"/>
    <w:rsid w:val="00B30B88"/>
    <w:rsid w:val="00B32E03"/>
    <w:rsid w:val="00B50ECE"/>
    <w:rsid w:val="00B52344"/>
    <w:rsid w:val="00B5364F"/>
    <w:rsid w:val="00B53982"/>
    <w:rsid w:val="00B553EE"/>
    <w:rsid w:val="00B67837"/>
    <w:rsid w:val="00B70DE4"/>
    <w:rsid w:val="00B72AE7"/>
    <w:rsid w:val="00B75EE6"/>
    <w:rsid w:val="00B82F21"/>
    <w:rsid w:val="00B86005"/>
    <w:rsid w:val="00B95DE4"/>
    <w:rsid w:val="00BA3A2C"/>
    <w:rsid w:val="00BA3B5F"/>
    <w:rsid w:val="00BC0D06"/>
    <w:rsid w:val="00BC3C0C"/>
    <w:rsid w:val="00BC4885"/>
    <w:rsid w:val="00BC65AA"/>
    <w:rsid w:val="00BC67F1"/>
    <w:rsid w:val="00BD1944"/>
    <w:rsid w:val="00BD53F4"/>
    <w:rsid w:val="00BD776A"/>
    <w:rsid w:val="00BE2FC9"/>
    <w:rsid w:val="00BE49C6"/>
    <w:rsid w:val="00BE55C5"/>
    <w:rsid w:val="00BF037D"/>
    <w:rsid w:val="00BF379B"/>
    <w:rsid w:val="00C05CE4"/>
    <w:rsid w:val="00C07304"/>
    <w:rsid w:val="00C14217"/>
    <w:rsid w:val="00C212B4"/>
    <w:rsid w:val="00C305E7"/>
    <w:rsid w:val="00C30D31"/>
    <w:rsid w:val="00C413E5"/>
    <w:rsid w:val="00C45C72"/>
    <w:rsid w:val="00C563BD"/>
    <w:rsid w:val="00C61488"/>
    <w:rsid w:val="00C6286F"/>
    <w:rsid w:val="00C6551F"/>
    <w:rsid w:val="00C710D9"/>
    <w:rsid w:val="00C72564"/>
    <w:rsid w:val="00C73529"/>
    <w:rsid w:val="00C745C6"/>
    <w:rsid w:val="00C74858"/>
    <w:rsid w:val="00C905F2"/>
    <w:rsid w:val="00C915F4"/>
    <w:rsid w:val="00C93837"/>
    <w:rsid w:val="00C94AA3"/>
    <w:rsid w:val="00CA45E5"/>
    <w:rsid w:val="00CA7DB4"/>
    <w:rsid w:val="00CB1C1A"/>
    <w:rsid w:val="00CB42D2"/>
    <w:rsid w:val="00CB681E"/>
    <w:rsid w:val="00CB7F90"/>
    <w:rsid w:val="00CC2AD0"/>
    <w:rsid w:val="00CC32D2"/>
    <w:rsid w:val="00CD2814"/>
    <w:rsid w:val="00CD2EF9"/>
    <w:rsid w:val="00CD547F"/>
    <w:rsid w:val="00CE1365"/>
    <w:rsid w:val="00CE1F95"/>
    <w:rsid w:val="00CE61CB"/>
    <w:rsid w:val="00CF20BB"/>
    <w:rsid w:val="00CF31B1"/>
    <w:rsid w:val="00CF3495"/>
    <w:rsid w:val="00D040FF"/>
    <w:rsid w:val="00D14D50"/>
    <w:rsid w:val="00D16B95"/>
    <w:rsid w:val="00D17385"/>
    <w:rsid w:val="00D3043F"/>
    <w:rsid w:val="00D341FA"/>
    <w:rsid w:val="00D3575A"/>
    <w:rsid w:val="00D377E1"/>
    <w:rsid w:val="00D41901"/>
    <w:rsid w:val="00D536AB"/>
    <w:rsid w:val="00D57862"/>
    <w:rsid w:val="00D737CD"/>
    <w:rsid w:val="00D74D91"/>
    <w:rsid w:val="00D75429"/>
    <w:rsid w:val="00D7684C"/>
    <w:rsid w:val="00D772AA"/>
    <w:rsid w:val="00D8021F"/>
    <w:rsid w:val="00D82986"/>
    <w:rsid w:val="00D83256"/>
    <w:rsid w:val="00D865F4"/>
    <w:rsid w:val="00D87340"/>
    <w:rsid w:val="00D91798"/>
    <w:rsid w:val="00DA2F7C"/>
    <w:rsid w:val="00DA5AFF"/>
    <w:rsid w:val="00DA6B17"/>
    <w:rsid w:val="00DB12C7"/>
    <w:rsid w:val="00DC442D"/>
    <w:rsid w:val="00DC47F8"/>
    <w:rsid w:val="00DC7DD6"/>
    <w:rsid w:val="00DD57A7"/>
    <w:rsid w:val="00DD7DA8"/>
    <w:rsid w:val="00DE0CFF"/>
    <w:rsid w:val="00DF06D0"/>
    <w:rsid w:val="00DF2972"/>
    <w:rsid w:val="00DF7C29"/>
    <w:rsid w:val="00E0076D"/>
    <w:rsid w:val="00E00C73"/>
    <w:rsid w:val="00E02680"/>
    <w:rsid w:val="00E07110"/>
    <w:rsid w:val="00E121F3"/>
    <w:rsid w:val="00E13FF9"/>
    <w:rsid w:val="00E141FD"/>
    <w:rsid w:val="00E20F3B"/>
    <w:rsid w:val="00E32C17"/>
    <w:rsid w:val="00E35275"/>
    <w:rsid w:val="00E42F8D"/>
    <w:rsid w:val="00E47983"/>
    <w:rsid w:val="00E606C2"/>
    <w:rsid w:val="00E646B7"/>
    <w:rsid w:val="00E83E9F"/>
    <w:rsid w:val="00E8550D"/>
    <w:rsid w:val="00E864F0"/>
    <w:rsid w:val="00E916BB"/>
    <w:rsid w:val="00EB183C"/>
    <w:rsid w:val="00EB25FB"/>
    <w:rsid w:val="00EB6C0C"/>
    <w:rsid w:val="00ED2BA4"/>
    <w:rsid w:val="00ED4468"/>
    <w:rsid w:val="00ED5CA3"/>
    <w:rsid w:val="00ED7A7F"/>
    <w:rsid w:val="00EE4988"/>
    <w:rsid w:val="00EF0A9E"/>
    <w:rsid w:val="00EF20D1"/>
    <w:rsid w:val="00EF3C3A"/>
    <w:rsid w:val="00F0369C"/>
    <w:rsid w:val="00F13365"/>
    <w:rsid w:val="00F24657"/>
    <w:rsid w:val="00F25807"/>
    <w:rsid w:val="00F3312C"/>
    <w:rsid w:val="00F33AFE"/>
    <w:rsid w:val="00F3561C"/>
    <w:rsid w:val="00F53068"/>
    <w:rsid w:val="00F61363"/>
    <w:rsid w:val="00F6307A"/>
    <w:rsid w:val="00F66468"/>
    <w:rsid w:val="00F72461"/>
    <w:rsid w:val="00F74B5E"/>
    <w:rsid w:val="00F74D3A"/>
    <w:rsid w:val="00F9021A"/>
    <w:rsid w:val="00F97306"/>
    <w:rsid w:val="00F97967"/>
    <w:rsid w:val="00FA15BB"/>
    <w:rsid w:val="00FA2838"/>
    <w:rsid w:val="00FA4CF7"/>
    <w:rsid w:val="00FA5C49"/>
    <w:rsid w:val="00FA6C30"/>
    <w:rsid w:val="00FB7117"/>
    <w:rsid w:val="00FC5A5F"/>
    <w:rsid w:val="00FD460D"/>
    <w:rsid w:val="00FD7109"/>
    <w:rsid w:val="00FE1217"/>
    <w:rsid w:val="00FE60B1"/>
    <w:rsid w:val="00FE7687"/>
    <w:rsid w:val="00FF1C45"/>
    <w:rsid w:val="00FF1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EEB1B"/>
  <w15:chartTrackingRefBased/>
  <w15:docId w15:val="{B7D0439F-EEBC-4A43-8989-84BBFE93C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B4"/>
    <w:rPr>
      <w:sz w:val="24"/>
    </w:rPr>
  </w:style>
  <w:style w:type="paragraph" w:styleId="Heading1">
    <w:name w:val="heading 1"/>
    <w:basedOn w:val="Normal"/>
    <w:next w:val="Normal"/>
    <w:link w:val="Heading1Char"/>
    <w:uiPriority w:val="9"/>
    <w:qFormat/>
    <w:rsid w:val="00614549"/>
    <w:pPr>
      <w:keepNext/>
      <w:keepLines/>
      <w:spacing w:before="240" w:after="0"/>
      <w:outlineLvl w:val="0"/>
    </w:pPr>
    <w:rPr>
      <w:rFonts w:eastAsiaTheme="majorEastAsia" w:cstheme="minorHAnsi"/>
      <w:b/>
      <w:szCs w:val="24"/>
    </w:rPr>
  </w:style>
  <w:style w:type="paragraph" w:styleId="Heading2">
    <w:name w:val="heading 2"/>
    <w:basedOn w:val="Normal"/>
    <w:next w:val="Normal"/>
    <w:link w:val="Heading2Char"/>
    <w:uiPriority w:val="9"/>
    <w:unhideWhenUsed/>
    <w:qFormat/>
    <w:rsid w:val="00A90041"/>
    <w:pPr>
      <w:keepNext/>
      <w:keepLines/>
      <w:spacing w:before="40" w:after="0"/>
      <w:ind w:left="720"/>
      <w:outlineLvl w:val="1"/>
    </w:pPr>
    <w:rPr>
      <w:rFonts w:eastAsiaTheme="majorEastAsia" w:cstheme="minorHAns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549"/>
    <w:rPr>
      <w:rFonts w:eastAsiaTheme="majorEastAsia" w:cstheme="minorHAnsi"/>
      <w:b/>
      <w:sz w:val="24"/>
      <w:szCs w:val="24"/>
    </w:rPr>
  </w:style>
  <w:style w:type="character" w:customStyle="1" w:styleId="Heading2Char">
    <w:name w:val="Heading 2 Char"/>
    <w:basedOn w:val="DefaultParagraphFont"/>
    <w:link w:val="Heading2"/>
    <w:uiPriority w:val="9"/>
    <w:rsid w:val="00A90041"/>
    <w:rPr>
      <w:rFonts w:eastAsiaTheme="majorEastAsia" w:cstheme="minorHAnsi"/>
      <w:b/>
      <w:sz w:val="24"/>
      <w:szCs w:val="26"/>
    </w:rPr>
  </w:style>
  <w:style w:type="character" w:styleId="Emphasis">
    <w:name w:val="Emphasis"/>
    <w:basedOn w:val="DefaultParagraphFont"/>
    <w:uiPriority w:val="20"/>
    <w:qFormat/>
    <w:rsid w:val="00245D9C"/>
    <w:rPr>
      <w:i/>
      <w:iCs/>
    </w:rPr>
  </w:style>
  <w:style w:type="character" w:styleId="Strong">
    <w:name w:val="Strong"/>
    <w:basedOn w:val="DefaultParagraphFont"/>
    <w:uiPriority w:val="22"/>
    <w:qFormat/>
    <w:rsid w:val="00245D9C"/>
    <w:rPr>
      <w:b/>
      <w:bCs/>
    </w:rPr>
  </w:style>
  <w:style w:type="paragraph" w:styleId="ListParagraph">
    <w:name w:val="List Paragraph"/>
    <w:basedOn w:val="Normal"/>
    <w:uiPriority w:val="34"/>
    <w:qFormat/>
    <w:rsid w:val="00917CF6"/>
    <w:pPr>
      <w:ind w:left="720"/>
      <w:contextualSpacing/>
    </w:pPr>
  </w:style>
  <w:style w:type="table" w:styleId="TableGrid">
    <w:name w:val="Table Grid"/>
    <w:basedOn w:val="TableNormal"/>
    <w:uiPriority w:val="39"/>
    <w:rsid w:val="00CB4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0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0549"/>
    <w:rPr>
      <w:rFonts w:ascii="Segoe UI" w:hAnsi="Segoe UI" w:cs="Segoe UI"/>
      <w:sz w:val="18"/>
      <w:szCs w:val="18"/>
    </w:rPr>
  </w:style>
  <w:style w:type="paragraph" w:customStyle="1" w:styleId="Default">
    <w:name w:val="Default"/>
    <w:rsid w:val="0006054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1A76B3"/>
    <w:rPr>
      <w:sz w:val="16"/>
      <w:szCs w:val="16"/>
    </w:rPr>
  </w:style>
  <w:style w:type="paragraph" w:styleId="CommentText">
    <w:name w:val="annotation text"/>
    <w:basedOn w:val="Normal"/>
    <w:link w:val="CommentTextChar"/>
    <w:uiPriority w:val="99"/>
    <w:semiHidden/>
    <w:unhideWhenUsed/>
    <w:rsid w:val="001A76B3"/>
    <w:pPr>
      <w:spacing w:line="240" w:lineRule="auto"/>
    </w:pPr>
    <w:rPr>
      <w:sz w:val="20"/>
      <w:szCs w:val="20"/>
    </w:rPr>
  </w:style>
  <w:style w:type="character" w:customStyle="1" w:styleId="CommentTextChar">
    <w:name w:val="Comment Text Char"/>
    <w:basedOn w:val="DefaultParagraphFont"/>
    <w:link w:val="CommentText"/>
    <w:uiPriority w:val="99"/>
    <w:semiHidden/>
    <w:rsid w:val="001A76B3"/>
    <w:rPr>
      <w:sz w:val="20"/>
      <w:szCs w:val="20"/>
    </w:rPr>
  </w:style>
  <w:style w:type="paragraph" w:styleId="CommentSubject">
    <w:name w:val="annotation subject"/>
    <w:basedOn w:val="CommentText"/>
    <w:next w:val="CommentText"/>
    <w:link w:val="CommentSubjectChar"/>
    <w:uiPriority w:val="99"/>
    <w:semiHidden/>
    <w:unhideWhenUsed/>
    <w:rsid w:val="001A76B3"/>
    <w:rPr>
      <w:b/>
      <w:bCs/>
    </w:rPr>
  </w:style>
  <w:style w:type="character" w:customStyle="1" w:styleId="CommentSubjectChar">
    <w:name w:val="Comment Subject Char"/>
    <w:basedOn w:val="CommentTextChar"/>
    <w:link w:val="CommentSubject"/>
    <w:uiPriority w:val="99"/>
    <w:semiHidden/>
    <w:rsid w:val="001A76B3"/>
    <w:rPr>
      <w:b/>
      <w:bCs/>
      <w:sz w:val="20"/>
      <w:szCs w:val="20"/>
    </w:rPr>
  </w:style>
  <w:style w:type="paragraph" w:styleId="FootnoteText">
    <w:name w:val="footnote text"/>
    <w:basedOn w:val="Normal"/>
    <w:link w:val="FootnoteTextChar"/>
    <w:uiPriority w:val="99"/>
    <w:semiHidden/>
    <w:unhideWhenUsed/>
    <w:rsid w:val="007E63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3B4"/>
    <w:rPr>
      <w:sz w:val="20"/>
      <w:szCs w:val="20"/>
    </w:rPr>
  </w:style>
  <w:style w:type="character" w:styleId="FootnoteReference">
    <w:name w:val="footnote reference"/>
    <w:basedOn w:val="DefaultParagraphFont"/>
    <w:uiPriority w:val="99"/>
    <w:semiHidden/>
    <w:unhideWhenUsed/>
    <w:rsid w:val="007E63B4"/>
    <w:rPr>
      <w:vertAlign w:val="superscript"/>
    </w:rPr>
  </w:style>
  <w:style w:type="paragraph" w:styleId="Bibliography">
    <w:name w:val="Bibliography"/>
    <w:basedOn w:val="Normal"/>
    <w:next w:val="Normal"/>
    <w:uiPriority w:val="37"/>
    <w:unhideWhenUsed/>
    <w:rsid w:val="008F6915"/>
    <w:pPr>
      <w:spacing w:after="0" w:line="240" w:lineRule="auto"/>
      <w:ind w:left="720" w:hanging="720"/>
    </w:pPr>
  </w:style>
  <w:style w:type="character" w:styleId="LineNumber">
    <w:name w:val="line number"/>
    <w:basedOn w:val="DefaultParagraphFont"/>
    <w:uiPriority w:val="99"/>
    <w:semiHidden/>
    <w:unhideWhenUsed/>
    <w:rsid w:val="004B0443"/>
  </w:style>
  <w:style w:type="paragraph" w:styleId="Revision">
    <w:name w:val="Revision"/>
    <w:hidden/>
    <w:uiPriority w:val="99"/>
    <w:semiHidden/>
    <w:rsid w:val="007B472D"/>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2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8FD56-F9EE-4565-88CF-D9B4A3D6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27</Pages>
  <Words>9608</Words>
  <Characters>54766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64246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Lauber</dc:creator>
  <cp:keywords/>
  <dc:description/>
  <cp:lastModifiedBy>Bruce Lauber</cp:lastModifiedBy>
  <cp:revision>7</cp:revision>
  <dcterms:created xsi:type="dcterms:W3CDTF">2020-03-25T18:01:00Z</dcterms:created>
  <dcterms:modified xsi:type="dcterms:W3CDTF">2020-04-10T20:59:00Z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zotero-version="5.0.71"&gt;&lt;session id="OWMq58yT"/&gt;&lt;style id="http://www.zotero.org/styles/journal-of-great-lakes-research" hasBibliography="1" bibliographyStyleHasBeenSet="1"/&gt;&lt;prefs&gt;&lt;pref name="fieldType" value="Field"/&gt;&lt;pref name="a</vt:lpwstr>
  </property>
  <property fmtid="{D5CDD505-2E9C-101B-9397-08002B2CF9AE}" pid="3" name="ZOTERO_PREF_2">
    <vt:lpwstr>utomaticJournalAbbreviations" value="true"/&gt;&lt;/prefs&gt;&lt;/data&gt;</vt:lpwstr>
  </property>
</Properties>
</file>